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A6317A" w14:textId="0F3DA2BE" w:rsidR="00135455" w:rsidRPr="008848FE" w:rsidRDefault="006B7FFB" w:rsidP="008A0C04">
      <w:pPr>
        <w:pStyle w:val="Heading1"/>
        <w:jc w:val="center"/>
        <w:rPr>
          <w:rFonts w:asciiTheme="majorHAnsi" w:hAnsiTheme="majorHAnsi" w:cs="Arial"/>
          <w:color w:val="1F497D" w:themeColor="text2"/>
          <w:lang w:eastAsia="en-GB"/>
        </w:rPr>
      </w:pPr>
      <w:bookmarkStart w:id="0" w:name="_Toc5212523"/>
      <w:bookmarkStart w:id="1" w:name="_Toc6092978"/>
      <w:r w:rsidRPr="008848FE">
        <w:rPr>
          <w:rFonts w:asciiTheme="majorHAnsi" w:hAnsiTheme="majorHAnsi" w:cs="Arial"/>
          <w:color w:val="1F497D" w:themeColor="text2"/>
          <w:lang w:eastAsia="en-GB"/>
        </w:rPr>
        <w:t>“Peripheral and Central Biomarkers in Painful Diabetic Peripheral Neuropathy”</w:t>
      </w:r>
      <w:bookmarkEnd w:id="0"/>
      <w:bookmarkEnd w:id="1"/>
    </w:p>
    <w:p w14:paraId="3A87D1C6" w14:textId="77777777" w:rsidR="00426D5E" w:rsidRPr="008848FE" w:rsidRDefault="00426D5E" w:rsidP="00426D5E">
      <w:pPr>
        <w:rPr>
          <w:rFonts w:asciiTheme="majorHAnsi" w:hAnsiTheme="majorHAnsi" w:cs="Arial"/>
          <w:b/>
          <w:i/>
          <w:color w:val="1F497D" w:themeColor="text2"/>
          <w:sz w:val="32"/>
          <w:szCs w:val="32"/>
          <w:lang w:eastAsia="en-GB"/>
        </w:rPr>
      </w:pPr>
    </w:p>
    <w:p w14:paraId="1D19D013" w14:textId="6307191D" w:rsidR="008703D1" w:rsidRPr="001D2AB7" w:rsidRDefault="008703D1" w:rsidP="00426D5E">
      <w:pPr>
        <w:jc w:val="center"/>
        <w:rPr>
          <w:rFonts w:asciiTheme="majorHAnsi" w:hAnsiTheme="majorHAnsi" w:cs="Arial"/>
          <w:b/>
          <w:bCs/>
          <w:i/>
          <w:lang w:val="it-IT" w:eastAsia="en-GB"/>
        </w:rPr>
      </w:pPr>
      <w:r w:rsidRPr="001D2AB7">
        <w:rPr>
          <w:rFonts w:asciiTheme="majorHAnsi" w:hAnsiTheme="majorHAnsi" w:cs="Arial"/>
          <w:b/>
          <w:bCs/>
          <w:i/>
          <w:lang w:val="it-IT" w:eastAsia="en-GB"/>
        </w:rPr>
        <w:t xml:space="preserve">Dr Pallai </w:t>
      </w:r>
      <w:proofErr w:type="spellStart"/>
      <w:r w:rsidRPr="001D2AB7">
        <w:rPr>
          <w:rFonts w:asciiTheme="majorHAnsi" w:hAnsiTheme="majorHAnsi" w:cs="Arial"/>
          <w:b/>
          <w:bCs/>
          <w:i/>
          <w:lang w:val="it-IT" w:eastAsia="en-GB"/>
        </w:rPr>
        <w:t>Rappai</w:t>
      </w:r>
      <w:proofErr w:type="spellEnd"/>
      <w:r w:rsidRPr="001D2AB7">
        <w:rPr>
          <w:rFonts w:asciiTheme="majorHAnsi" w:hAnsiTheme="majorHAnsi" w:cs="Arial"/>
          <w:b/>
          <w:bCs/>
          <w:i/>
          <w:lang w:val="it-IT" w:eastAsia="en-GB"/>
        </w:rPr>
        <w:t xml:space="preserve"> Shillo</w:t>
      </w:r>
      <w:r w:rsidR="00EE292B" w:rsidRPr="001D2AB7">
        <w:rPr>
          <w:rFonts w:asciiTheme="majorHAnsi" w:hAnsiTheme="majorHAnsi" w:cs="Arial"/>
          <w:b/>
          <w:bCs/>
          <w:i/>
          <w:lang w:val="it-IT" w:eastAsia="en-GB"/>
        </w:rPr>
        <w:t>,</w:t>
      </w:r>
      <w:r w:rsidR="00426D5E" w:rsidRPr="001D2AB7">
        <w:rPr>
          <w:rFonts w:asciiTheme="majorHAnsi" w:hAnsiTheme="majorHAnsi" w:cs="Arial"/>
          <w:b/>
          <w:bCs/>
          <w:i/>
          <w:lang w:val="it-IT" w:eastAsia="en-GB"/>
        </w:rPr>
        <w:t xml:space="preserve"> </w:t>
      </w:r>
      <w:proofErr w:type="spellStart"/>
      <w:r w:rsidR="00426D5E" w:rsidRPr="001D2AB7">
        <w:rPr>
          <w:rFonts w:asciiTheme="majorHAnsi" w:hAnsiTheme="majorHAnsi" w:cs="Arial"/>
          <w:b/>
          <w:bCs/>
          <w:i/>
          <w:lang w:val="it-IT" w:eastAsia="en-GB"/>
        </w:rPr>
        <w:t>MBBS</w:t>
      </w:r>
      <w:proofErr w:type="spellEnd"/>
      <w:r w:rsidR="00426D5E" w:rsidRPr="001D2AB7">
        <w:rPr>
          <w:rFonts w:asciiTheme="majorHAnsi" w:hAnsiTheme="majorHAnsi" w:cs="Arial"/>
          <w:b/>
          <w:bCs/>
          <w:i/>
          <w:lang w:val="it-IT" w:eastAsia="en-GB"/>
        </w:rPr>
        <w:t xml:space="preserve"> </w:t>
      </w:r>
      <w:proofErr w:type="spellStart"/>
      <w:r w:rsidR="00426D5E" w:rsidRPr="001D2AB7">
        <w:rPr>
          <w:rFonts w:asciiTheme="majorHAnsi" w:hAnsiTheme="majorHAnsi" w:cs="Arial"/>
          <w:b/>
          <w:bCs/>
          <w:i/>
          <w:lang w:val="it-IT" w:eastAsia="en-GB"/>
        </w:rPr>
        <w:t>MRCP</w:t>
      </w:r>
      <w:proofErr w:type="spellEnd"/>
    </w:p>
    <w:p w14:paraId="50B8D6A7" w14:textId="6A7228D6" w:rsidR="006B7FFB" w:rsidRPr="001D2AB7" w:rsidRDefault="006B7FFB" w:rsidP="007B47E4">
      <w:pPr>
        <w:jc w:val="both"/>
        <w:rPr>
          <w:rFonts w:asciiTheme="majorHAnsi" w:hAnsiTheme="majorHAnsi"/>
          <w:lang w:val="it-IT" w:eastAsia="en-GB"/>
        </w:rPr>
      </w:pPr>
    </w:p>
    <w:p w14:paraId="38959048" w14:textId="625FE32B" w:rsidR="006B7FFB" w:rsidRPr="001D2AB7" w:rsidRDefault="006B7FFB" w:rsidP="007B47E4">
      <w:pPr>
        <w:jc w:val="both"/>
        <w:rPr>
          <w:lang w:val="it-IT" w:eastAsia="en-GB"/>
        </w:rPr>
      </w:pPr>
    </w:p>
    <w:p w14:paraId="139AD4AC" w14:textId="5CB30BBD" w:rsidR="006B7FFB" w:rsidRPr="001D2AB7" w:rsidRDefault="006B7FFB" w:rsidP="007B47E4">
      <w:pPr>
        <w:jc w:val="both"/>
        <w:rPr>
          <w:lang w:eastAsia="en-GB"/>
        </w:rPr>
      </w:pPr>
      <w:r w:rsidRPr="001D2AB7">
        <w:rPr>
          <w:rFonts w:asciiTheme="majorHAnsi" w:hAnsiTheme="majorHAnsi"/>
          <w:b/>
          <w:bCs/>
          <w:noProof/>
          <w:color w:val="548DD4" w:themeColor="text2" w:themeTint="99"/>
          <w:spacing w:val="60"/>
          <w:lang w:eastAsia="zh-CN"/>
        </w:rPr>
        <w:drawing>
          <wp:inline distT="0" distB="0" distL="0" distR="0" wp14:anchorId="5BD63C5B" wp14:editId="7490285C">
            <wp:extent cx="5856605" cy="398819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15108" cy="4028030"/>
                    </a:xfrm>
                    <a:prstGeom prst="rect">
                      <a:avLst/>
                    </a:prstGeom>
                    <a:noFill/>
                  </pic:spPr>
                </pic:pic>
              </a:graphicData>
            </a:graphic>
          </wp:inline>
        </w:drawing>
      </w:r>
    </w:p>
    <w:p w14:paraId="06C48D83" w14:textId="77777777" w:rsidR="00426D5E" w:rsidRPr="001D2AB7" w:rsidRDefault="00426D5E" w:rsidP="007B47E4">
      <w:pPr>
        <w:spacing w:after="0"/>
        <w:jc w:val="both"/>
        <w:rPr>
          <w:i/>
          <w:iCs/>
          <w:lang w:eastAsia="en-GB"/>
        </w:rPr>
      </w:pPr>
    </w:p>
    <w:p w14:paraId="7273A9F7" w14:textId="77777777" w:rsidR="00426D5E" w:rsidRPr="001D2AB7" w:rsidRDefault="00426D5E" w:rsidP="007B47E4">
      <w:pPr>
        <w:spacing w:after="0"/>
        <w:jc w:val="both"/>
        <w:rPr>
          <w:i/>
          <w:iCs/>
          <w:lang w:eastAsia="en-GB"/>
        </w:rPr>
      </w:pPr>
    </w:p>
    <w:p w14:paraId="0EB7454D" w14:textId="77777777" w:rsidR="00426D5E" w:rsidRPr="001D2AB7" w:rsidRDefault="00426D5E" w:rsidP="00426D5E">
      <w:pPr>
        <w:spacing w:after="0"/>
        <w:jc w:val="center"/>
        <w:rPr>
          <w:rFonts w:ascii="Arial" w:hAnsi="Arial" w:cs="Arial"/>
          <w:b/>
          <w:bCs/>
          <w:lang w:eastAsia="en-GB"/>
        </w:rPr>
      </w:pPr>
    </w:p>
    <w:p w14:paraId="50647482" w14:textId="77777777" w:rsidR="00426D5E" w:rsidRPr="001D2AB7" w:rsidRDefault="00426D5E" w:rsidP="00426D5E">
      <w:pPr>
        <w:spacing w:after="0"/>
        <w:jc w:val="center"/>
        <w:rPr>
          <w:rFonts w:ascii="Arial" w:hAnsi="Arial" w:cs="Arial"/>
          <w:b/>
          <w:bCs/>
          <w:lang w:eastAsia="en-GB"/>
        </w:rPr>
      </w:pPr>
    </w:p>
    <w:p w14:paraId="7BAA095A" w14:textId="28AB2262" w:rsidR="00426D5E" w:rsidRPr="001D2AB7" w:rsidRDefault="00426D5E" w:rsidP="00A316E9">
      <w:pPr>
        <w:spacing w:after="0"/>
        <w:jc w:val="center"/>
        <w:rPr>
          <w:rFonts w:asciiTheme="majorHAnsi" w:hAnsiTheme="majorHAnsi" w:cs="Arial"/>
          <w:b/>
          <w:bCs/>
          <w:lang w:eastAsia="en-GB"/>
        </w:rPr>
      </w:pPr>
      <w:r w:rsidRPr="001D2AB7">
        <w:rPr>
          <w:rFonts w:asciiTheme="majorHAnsi" w:hAnsiTheme="majorHAnsi" w:cs="Arial"/>
          <w:b/>
          <w:bCs/>
          <w:lang w:eastAsia="en-GB"/>
        </w:rPr>
        <w:t>MD Thesis</w:t>
      </w:r>
    </w:p>
    <w:p w14:paraId="60ACDF10" w14:textId="77777777" w:rsidR="00426D5E" w:rsidRPr="001D2AB7" w:rsidRDefault="00426D5E" w:rsidP="00A316E9">
      <w:pPr>
        <w:spacing w:after="0"/>
        <w:jc w:val="center"/>
        <w:rPr>
          <w:rFonts w:asciiTheme="majorHAnsi" w:hAnsiTheme="majorHAnsi" w:cs="Arial"/>
          <w:b/>
          <w:bCs/>
          <w:lang w:eastAsia="en-GB"/>
        </w:rPr>
      </w:pPr>
    </w:p>
    <w:p w14:paraId="07D6D017" w14:textId="77777777" w:rsidR="00426D5E" w:rsidRPr="001D2AB7" w:rsidRDefault="00426D5E" w:rsidP="00A316E9">
      <w:pPr>
        <w:spacing w:after="0"/>
        <w:jc w:val="center"/>
        <w:rPr>
          <w:rFonts w:asciiTheme="majorHAnsi" w:hAnsiTheme="majorHAnsi" w:cs="Arial"/>
          <w:b/>
          <w:bCs/>
          <w:lang w:eastAsia="en-GB"/>
        </w:rPr>
      </w:pPr>
      <w:r w:rsidRPr="001D2AB7">
        <w:rPr>
          <w:rFonts w:asciiTheme="majorHAnsi" w:hAnsiTheme="majorHAnsi" w:cs="Arial"/>
          <w:b/>
          <w:bCs/>
          <w:lang w:eastAsia="en-GB"/>
        </w:rPr>
        <w:t>Department of Human Metabolism</w:t>
      </w:r>
    </w:p>
    <w:p w14:paraId="7146EE24" w14:textId="77777777" w:rsidR="00426D5E" w:rsidRPr="001D2AB7" w:rsidRDefault="00426D5E" w:rsidP="00A316E9">
      <w:pPr>
        <w:spacing w:after="0"/>
        <w:jc w:val="center"/>
        <w:rPr>
          <w:rFonts w:asciiTheme="majorHAnsi" w:hAnsiTheme="majorHAnsi" w:cs="Arial"/>
          <w:b/>
          <w:bCs/>
          <w:lang w:eastAsia="en-GB"/>
        </w:rPr>
      </w:pPr>
    </w:p>
    <w:p w14:paraId="47EC8058" w14:textId="77777777" w:rsidR="00426D5E" w:rsidRPr="001D2AB7" w:rsidRDefault="00426D5E" w:rsidP="00A316E9">
      <w:pPr>
        <w:spacing w:after="0"/>
        <w:jc w:val="center"/>
        <w:rPr>
          <w:rFonts w:asciiTheme="majorHAnsi" w:hAnsiTheme="majorHAnsi" w:cs="Arial"/>
          <w:b/>
          <w:bCs/>
          <w:lang w:eastAsia="en-GB"/>
        </w:rPr>
      </w:pPr>
      <w:r w:rsidRPr="001D2AB7">
        <w:rPr>
          <w:rFonts w:asciiTheme="majorHAnsi" w:hAnsiTheme="majorHAnsi" w:cs="Arial"/>
          <w:b/>
          <w:bCs/>
          <w:lang w:eastAsia="en-GB"/>
        </w:rPr>
        <w:t>University of Sheffield</w:t>
      </w:r>
    </w:p>
    <w:p w14:paraId="0F9EA79E" w14:textId="77777777" w:rsidR="00426D5E" w:rsidRPr="001D2AB7" w:rsidRDefault="00426D5E" w:rsidP="00A316E9">
      <w:pPr>
        <w:spacing w:after="0"/>
        <w:jc w:val="center"/>
        <w:rPr>
          <w:rFonts w:asciiTheme="majorHAnsi" w:hAnsiTheme="majorHAnsi" w:cs="Arial"/>
          <w:b/>
          <w:bCs/>
          <w:lang w:eastAsia="en-GB"/>
        </w:rPr>
      </w:pPr>
    </w:p>
    <w:p w14:paraId="408897F0" w14:textId="77777777" w:rsidR="007A447A" w:rsidRPr="001D2AB7" w:rsidRDefault="00426D5E" w:rsidP="00A316E9">
      <w:pPr>
        <w:spacing w:after="0"/>
        <w:jc w:val="center"/>
        <w:rPr>
          <w:rFonts w:asciiTheme="majorHAnsi" w:hAnsiTheme="majorHAnsi"/>
          <w:i/>
          <w:iCs/>
          <w:lang w:eastAsia="en-GB"/>
        </w:rPr>
      </w:pPr>
      <w:r w:rsidRPr="001D2AB7">
        <w:rPr>
          <w:rFonts w:asciiTheme="majorHAnsi" w:hAnsiTheme="majorHAnsi" w:cs="Arial"/>
          <w:b/>
          <w:bCs/>
          <w:lang w:eastAsia="en-GB"/>
        </w:rPr>
        <w:t>April 2019</w:t>
      </w:r>
      <w:r w:rsidRPr="001D2AB7">
        <w:rPr>
          <w:rFonts w:asciiTheme="majorHAnsi" w:hAnsiTheme="majorHAnsi"/>
          <w:i/>
          <w:iCs/>
          <w:lang w:eastAsia="en-GB"/>
        </w:rPr>
        <w:t xml:space="preserve"> </w:t>
      </w:r>
    </w:p>
    <w:p w14:paraId="65A084B0" w14:textId="77777777" w:rsidR="007A447A" w:rsidRPr="001D2AB7" w:rsidRDefault="007A447A">
      <w:pPr>
        <w:spacing w:after="0"/>
        <w:rPr>
          <w:i/>
          <w:iCs/>
          <w:lang w:eastAsia="en-GB"/>
        </w:rPr>
      </w:pPr>
      <w:r w:rsidRPr="001D2AB7">
        <w:rPr>
          <w:i/>
          <w:iCs/>
          <w:lang w:eastAsia="en-GB"/>
        </w:rPr>
        <w:br w:type="page"/>
      </w:r>
    </w:p>
    <w:p w14:paraId="603C2986" w14:textId="77777777" w:rsidR="00C3306D" w:rsidRPr="001D2AB7" w:rsidRDefault="00C3306D" w:rsidP="00A316E9">
      <w:pPr>
        <w:spacing w:after="0"/>
        <w:jc w:val="center"/>
        <w:rPr>
          <w:i/>
          <w:iCs/>
          <w:lang w:eastAsia="en-GB"/>
        </w:rPr>
      </w:pPr>
    </w:p>
    <w:p w14:paraId="6C9232A3" w14:textId="77777777" w:rsidR="00C3306D" w:rsidRPr="001D2AB7" w:rsidRDefault="00C3306D" w:rsidP="00A316E9">
      <w:pPr>
        <w:spacing w:after="0"/>
        <w:jc w:val="center"/>
        <w:rPr>
          <w:i/>
          <w:iCs/>
          <w:lang w:eastAsia="en-GB"/>
        </w:rPr>
      </w:pPr>
    </w:p>
    <w:p w14:paraId="0A7EA970" w14:textId="77777777" w:rsidR="00C3306D" w:rsidRPr="001D2AB7" w:rsidRDefault="00C3306D" w:rsidP="00A316E9">
      <w:pPr>
        <w:spacing w:after="0"/>
        <w:jc w:val="center"/>
        <w:rPr>
          <w:i/>
          <w:iCs/>
          <w:lang w:eastAsia="en-GB"/>
        </w:rPr>
      </w:pPr>
    </w:p>
    <w:p w14:paraId="7AFF05D4" w14:textId="77777777" w:rsidR="00C3306D" w:rsidRPr="001D2AB7" w:rsidRDefault="00C3306D" w:rsidP="00A316E9">
      <w:pPr>
        <w:spacing w:after="0"/>
        <w:jc w:val="center"/>
        <w:rPr>
          <w:rFonts w:asciiTheme="minorHAnsi" w:hAnsiTheme="minorHAnsi" w:cstheme="minorHAnsi"/>
          <w:i/>
          <w:iCs/>
          <w:lang w:eastAsia="en-GB"/>
        </w:rPr>
      </w:pPr>
    </w:p>
    <w:p w14:paraId="6ABC1C28" w14:textId="00C36804" w:rsidR="00C3306D" w:rsidRPr="00AD7B00" w:rsidRDefault="00C3306D" w:rsidP="00820C19">
      <w:pPr>
        <w:spacing w:after="0"/>
        <w:jc w:val="center"/>
        <w:rPr>
          <w:rFonts w:asciiTheme="majorHAnsi" w:hAnsiTheme="majorHAnsi" w:cstheme="minorHAnsi"/>
          <w:b/>
          <w:bCs/>
          <w:i/>
          <w:iCs/>
          <w:lang w:eastAsia="en-GB"/>
        </w:rPr>
      </w:pPr>
      <w:r w:rsidRPr="00AD7B00">
        <w:rPr>
          <w:rFonts w:asciiTheme="majorHAnsi" w:hAnsiTheme="majorHAnsi" w:cstheme="minorHAnsi"/>
          <w:b/>
          <w:bCs/>
          <w:i/>
          <w:iCs/>
          <w:lang w:eastAsia="en-GB"/>
        </w:rPr>
        <w:t>“</w:t>
      </w:r>
      <w:proofErr w:type="spellStart"/>
      <w:r w:rsidRPr="00AD7B00">
        <w:rPr>
          <w:rFonts w:asciiTheme="majorHAnsi" w:hAnsiTheme="majorHAnsi" w:cstheme="minorHAnsi"/>
          <w:b/>
          <w:bCs/>
          <w:i/>
          <w:iCs/>
          <w:lang w:eastAsia="en-GB"/>
        </w:rPr>
        <w:t>Matha</w:t>
      </w:r>
      <w:proofErr w:type="spellEnd"/>
      <w:r w:rsidRPr="00AD7B00">
        <w:rPr>
          <w:rFonts w:asciiTheme="majorHAnsi" w:hAnsiTheme="majorHAnsi" w:cstheme="minorHAnsi"/>
          <w:b/>
          <w:bCs/>
          <w:i/>
          <w:iCs/>
          <w:lang w:eastAsia="en-GB"/>
        </w:rPr>
        <w:t xml:space="preserve"> </w:t>
      </w:r>
      <w:proofErr w:type="spellStart"/>
      <w:r w:rsidRPr="00AD7B00">
        <w:rPr>
          <w:rFonts w:asciiTheme="majorHAnsi" w:hAnsiTheme="majorHAnsi" w:cstheme="minorHAnsi"/>
          <w:b/>
          <w:bCs/>
          <w:i/>
          <w:iCs/>
          <w:lang w:eastAsia="en-GB"/>
        </w:rPr>
        <w:t>Pitha</w:t>
      </w:r>
      <w:proofErr w:type="spellEnd"/>
      <w:r w:rsidRPr="00AD7B00">
        <w:rPr>
          <w:rFonts w:asciiTheme="majorHAnsi" w:hAnsiTheme="majorHAnsi" w:cstheme="minorHAnsi"/>
          <w:b/>
          <w:bCs/>
          <w:i/>
          <w:iCs/>
          <w:lang w:eastAsia="en-GB"/>
        </w:rPr>
        <w:t xml:space="preserve"> Guru </w:t>
      </w:r>
      <w:proofErr w:type="spellStart"/>
      <w:r w:rsidRPr="00AD7B00">
        <w:rPr>
          <w:rFonts w:asciiTheme="majorHAnsi" w:hAnsiTheme="majorHAnsi" w:cstheme="minorHAnsi"/>
          <w:b/>
          <w:bCs/>
          <w:i/>
          <w:iCs/>
          <w:lang w:eastAsia="en-GB"/>
        </w:rPr>
        <w:t>Deivam</w:t>
      </w:r>
      <w:proofErr w:type="spellEnd"/>
      <w:r w:rsidRPr="00AD7B00">
        <w:rPr>
          <w:rFonts w:asciiTheme="majorHAnsi" w:hAnsiTheme="majorHAnsi" w:cstheme="minorHAnsi"/>
          <w:b/>
          <w:bCs/>
          <w:i/>
          <w:iCs/>
          <w:lang w:eastAsia="en-GB"/>
        </w:rPr>
        <w:t>”</w:t>
      </w:r>
    </w:p>
    <w:p w14:paraId="741518D2" w14:textId="77777777" w:rsidR="00C3306D" w:rsidRPr="00AD7B00" w:rsidRDefault="00C3306D" w:rsidP="00820C19">
      <w:pPr>
        <w:spacing w:after="0"/>
        <w:jc w:val="center"/>
        <w:rPr>
          <w:rFonts w:asciiTheme="majorHAnsi" w:hAnsiTheme="majorHAnsi" w:cstheme="minorHAnsi"/>
          <w:b/>
          <w:bCs/>
          <w:i/>
          <w:iCs/>
          <w:lang w:eastAsia="en-GB"/>
        </w:rPr>
      </w:pPr>
    </w:p>
    <w:p w14:paraId="5FE6353A" w14:textId="5296A58D" w:rsidR="000C7EE9" w:rsidRPr="00AD7B00" w:rsidRDefault="00C3306D" w:rsidP="00820C19">
      <w:pPr>
        <w:spacing w:after="0"/>
        <w:jc w:val="center"/>
        <w:rPr>
          <w:rFonts w:asciiTheme="majorHAnsi" w:hAnsiTheme="majorHAnsi" w:cstheme="minorHAnsi"/>
          <w:i/>
          <w:iCs/>
          <w:lang w:eastAsia="en-GB"/>
        </w:rPr>
      </w:pPr>
      <w:r w:rsidRPr="00AD7B00">
        <w:rPr>
          <w:rFonts w:asciiTheme="majorHAnsi" w:hAnsiTheme="majorHAnsi" w:cstheme="minorHAnsi"/>
          <w:i/>
          <w:iCs/>
          <w:lang w:eastAsia="en-GB"/>
        </w:rPr>
        <w:t>“Mother Father Teacher God”</w:t>
      </w:r>
    </w:p>
    <w:p w14:paraId="3A5ED9AF" w14:textId="3B1F8900" w:rsidR="00714CDB" w:rsidRPr="00AD7B00" w:rsidRDefault="00714CDB" w:rsidP="00714CDB">
      <w:pPr>
        <w:spacing w:after="0"/>
        <w:rPr>
          <w:rFonts w:asciiTheme="majorHAnsi" w:hAnsiTheme="majorHAnsi" w:cstheme="minorHAnsi"/>
          <w:i/>
          <w:iCs/>
          <w:lang w:eastAsia="en-GB"/>
        </w:rPr>
      </w:pPr>
    </w:p>
    <w:p w14:paraId="43D79480" w14:textId="58B156A7" w:rsidR="00714CDB" w:rsidRPr="00AD7B00" w:rsidRDefault="00714CDB" w:rsidP="00714CDB">
      <w:pPr>
        <w:spacing w:after="0"/>
        <w:rPr>
          <w:rFonts w:asciiTheme="majorHAnsi" w:hAnsiTheme="majorHAnsi" w:cstheme="minorHAnsi"/>
          <w:i/>
          <w:iCs/>
          <w:lang w:eastAsia="en-GB"/>
        </w:rPr>
      </w:pPr>
    </w:p>
    <w:p w14:paraId="265631B1" w14:textId="3E1C9368" w:rsidR="00714CDB" w:rsidRPr="00AD7B00" w:rsidRDefault="00714CDB" w:rsidP="00714CDB">
      <w:pPr>
        <w:spacing w:after="0"/>
        <w:rPr>
          <w:rFonts w:asciiTheme="majorHAnsi" w:hAnsiTheme="majorHAnsi" w:cstheme="minorHAnsi"/>
          <w:i/>
          <w:iCs/>
          <w:lang w:eastAsia="en-GB"/>
        </w:rPr>
      </w:pPr>
    </w:p>
    <w:p w14:paraId="694FCAA1" w14:textId="438A9D9B" w:rsidR="00714CDB" w:rsidRPr="00AD7B00" w:rsidRDefault="00714CDB" w:rsidP="00714CDB">
      <w:pPr>
        <w:spacing w:after="0" w:line="480" w:lineRule="auto"/>
        <w:jc w:val="both"/>
        <w:rPr>
          <w:rFonts w:asciiTheme="majorHAnsi" w:hAnsiTheme="majorHAnsi" w:cstheme="minorHAnsi"/>
          <w:lang w:eastAsia="en-GB"/>
        </w:rPr>
      </w:pPr>
      <w:r w:rsidRPr="00AD7B00">
        <w:rPr>
          <w:rFonts w:asciiTheme="majorHAnsi" w:hAnsiTheme="majorHAnsi" w:cstheme="minorHAnsi"/>
          <w:lang w:eastAsia="en-GB"/>
        </w:rPr>
        <w:t>The phrase is in existence from the time of the Vedas and represents the hierarchy in which one should respect these entities.</w:t>
      </w:r>
      <w:r w:rsidR="00BC782A" w:rsidRPr="00AD7B00">
        <w:rPr>
          <w:rFonts w:asciiTheme="majorHAnsi" w:hAnsiTheme="majorHAnsi" w:cstheme="minorHAnsi"/>
          <w:lang w:eastAsia="en-GB"/>
        </w:rPr>
        <w:t xml:space="preserve"> </w:t>
      </w:r>
      <w:r w:rsidRPr="00AD7B00">
        <w:rPr>
          <w:rFonts w:asciiTheme="majorHAnsi" w:hAnsiTheme="majorHAnsi" w:cstheme="minorHAnsi"/>
          <w:lang w:eastAsia="en-GB"/>
        </w:rPr>
        <w:t>First comes the mother (</w:t>
      </w:r>
      <w:proofErr w:type="spellStart"/>
      <w:r w:rsidRPr="00AD7B00">
        <w:rPr>
          <w:rFonts w:asciiTheme="majorHAnsi" w:hAnsiTheme="majorHAnsi" w:cstheme="minorHAnsi"/>
          <w:lang w:eastAsia="en-GB"/>
        </w:rPr>
        <w:t>Matha</w:t>
      </w:r>
      <w:proofErr w:type="spellEnd"/>
      <w:r w:rsidRPr="00AD7B00">
        <w:rPr>
          <w:rFonts w:asciiTheme="majorHAnsi" w:hAnsiTheme="majorHAnsi" w:cstheme="minorHAnsi"/>
          <w:lang w:eastAsia="en-GB"/>
        </w:rPr>
        <w:t>) who gives birth to the child, thereby bringing us as a child into this world. Next comes the father (</w:t>
      </w:r>
      <w:proofErr w:type="spellStart"/>
      <w:r w:rsidRPr="00AD7B00">
        <w:rPr>
          <w:rFonts w:asciiTheme="majorHAnsi" w:hAnsiTheme="majorHAnsi" w:cstheme="minorHAnsi"/>
          <w:lang w:eastAsia="en-GB"/>
        </w:rPr>
        <w:t>Pitha</w:t>
      </w:r>
      <w:proofErr w:type="spellEnd"/>
      <w:r w:rsidRPr="00AD7B00">
        <w:rPr>
          <w:rFonts w:asciiTheme="majorHAnsi" w:hAnsiTheme="majorHAnsi" w:cstheme="minorHAnsi"/>
          <w:lang w:eastAsia="en-GB"/>
        </w:rPr>
        <w:t xml:space="preserve">), because it is the mother who knows the truth about the </w:t>
      </w:r>
      <w:r w:rsidR="00EE292B" w:rsidRPr="00AD7B00">
        <w:rPr>
          <w:rFonts w:asciiTheme="majorHAnsi" w:hAnsiTheme="majorHAnsi" w:cstheme="minorHAnsi"/>
          <w:lang w:eastAsia="en-GB"/>
        </w:rPr>
        <w:t>father,</w:t>
      </w:r>
      <w:r w:rsidRPr="00AD7B00">
        <w:rPr>
          <w:rFonts w:asciiTheme="majorHAnsi" w:hAnsiTheme="majorHAnsi" w:cstheme="minorHAnsi"/>
          <w:lang w:eastAsia="en-GB"/>
        </w:rPr>
        <w:t xml:space="preserve"> and she points us to the father. The mother and father then </w:t>
      </w:r>
      <w:r w:rsidR="00EE292B" w:rsidRPr="00AD7B00">
        <w:rPr>
          <w:rFonts w:asciiTheme="majorHAnsi" w:hAnsiTheme="majorHAnsi" w:cstheme="minorHAnsi"/>
          <w:lang w:eastAsia="en-GB"/>
        </w:rPr>
        <w:t>take</w:t>
      </w:r>
      <w:r w:rsidRPr="00AD7B00">
        <w:rPr>
          <w:rFonts w:asciiTheme="majorHAnsi" w:hAnsiTheme="majorHAnsi" w:cstheme="minorHAnsi"/>
          <w:lang w:eastAsia="en-GB"/>
        </w:rPr>
        <w:t xml:space="preserve"> us to the teacher (Guru), and it is the guru, through his or her teachings, points us to God (</w:t>
      </w:r>
      <w:proofErr w:type="spellStart"/>
      <w:r w:rsidRPr="00AD7B00">
        <w:rPr>
          <w:rFonts w:asciiTheme="majorHAnsi" w:hAnsiTheme="majorHAnsi" w:cstheme="minorHAnsi"/>
          <w:lang w:eastAsia="en-GB"/>
        </w:rPr>
        <w:t>Deivam</w:t>
      </w:r>
      <w:proofErr w:type="spellEnd"/>
      <w:r w:rsidRPr="00AD7B00">
        <w:rPr>
          <w:rFonts w:asciiTheme="majorHAnsi" w:hAnsiTheme="majorHAnsi" w:cstheme="minorHAnsi"/>
          <w:lang w:eastAsia="en-GB"/>
        </w:rPr>
        <w:t>). Here God represent</w:t>
      </w:r>
      <w:r w:rsidR="005B5764">
        <w:rPr>
          <w:rFonts w:asciiTheme="majorHAnsi" w:hAnsiTheme="majorHAnsi" w:cstheme="minorHAnsi"/>
          <w:lang w:eastAsia="en-GB"/>
        </w:rPr>
        <w:t>s</w:t>
      </w:r>
      <w:r w:rsidRPr="00AD7B00">
        <w:rPr>
          <w:rFonts w:asciiTheme="majorHAnsi" w:hAnsiTheme="majorHAnsi" w:cstheme="minorHAnsi"/>
          <w:lang w:eastAsia="en-GB"/>
        </w:rPr>
        <w:t xml:space="preserve"> the consciousness or self-awareness or our real self.</w:t>
      </w:r>
    </w:p>
    <w:p w14:paraId="6D866471" w14:textId="58A4ABD2" w:rsidR="00714CDB" w:rsidRPr="001D2AB7" w:rsidRDefault="00714CDB" w:rsidP="00714CDB">
      <w:pPr>
        <w:spacing w:after="0"/>
        <w:rPr>
          <w:rFonts w:asciiTheme="minorHAnsi" w:hAnsiTheme="minorHAnsi" w:cstheme="minorHAnsi"/>
          <w:i/>
          <w:iCs/>
          <w:lang w:eastAsia="en-GB"/>
        </w:rPr>
      </w:pPr>
    </w:p>
    <w:p w14:paraId="40608057" w14:textId="7C1220E2" w:rsidR="00714CDB" w:rsidRPr="001D2AB7" w:rsidRDefault="00714CDB" w:rsidP="00714CDB">
      <w:pPr>
        <w:spacing w:after="0"/>
        <w:rPr>
          <w:rFonts w:asciiTheme="minorHAnsi" w:hAnsiTheme="minorHAnsi" w:cstheme="minorHAnsi"/>
          <w:i/>
          <w:iCs/>
          <w:lang w:eastAsia="en-GB"/>
        </w:rPr>
      </w:pPr>
    </w:p>
    <w:p w14:paraId="5E846653" w14:textId="77777777" w:rsidR="00714CDB" w:rsidRPr="001D2AB7" w:rsidRDefault="00714CDB" w:rsidP="00714CDB">
      <w:pPr>
        <w:spacing w:after="0"/>
        <w:rPr>
          <w:rFonts w:asciiTheme="minorHAnsi" w:hAnsiTheme="minorHAnsi" w:cstheme="minorHAnsi"/>
          <w:i/>
          <w:iCs/>
          <w:lang w:eastAsia="en-GB"/>
        </w:rPr>
      </w:pPr>
    </w:p>
    <w:p w14:paraId="7430CF58" w14:textId="77777777" w:rsidR="000C7EE9" w:rsidRPr="001D2AB7" w:rsidRDefault="000C7EE9">
      <w:pPr>
        <w:spacing w:after="0"/>
        <w:rPr>
          <w:rFonts w:asciiTheme="minorHAnsi" w:hAnsiTheme="minorHAnsi" w:cstheme="minorHAnsi"/>
          <w:i/>
          <w:iCs/>
          <w:lang w:eastAsia="en-GB"/>
        </w:rPr>
      </w:pPr>
      <w:r w:rsidRPr="001D2AB7">
        <w:rPr>
          <w:rFonts w:asciiTheme="minorHAnsi" w:hAnsiTheme="minorHAnsi" w:cstheme="minorHAnsi"/>
          <w:i/>
          <w:iCs/>
          <w:lang w:eastAsia="en-GB"/>
        </w:rPr>
        <w:br w:type="page"/>
      </w:r>
    </w:p>
    <w:p w14:paraId="4E9D6F13" w14:textId="77777777" w:rsidR="00AF1A96" w:rsidRPr="00AD7B00" w:rsidRDefault="00AF1A96" w:rsidP="00AF1A96">
      <w:pPr>
        <w:pStyle w:val="Heading"/>
        <w:spacing w:line="480" w:lineRule="auto"/>
        <w:rPr>
          <w:rFonts w:cstheme="minorHAnsi"/>
          <w:sz w:val="24"/>
          <w:szCs w:val="24"/>
        </w:rPr>
      </w:pPr>
      <w:bookmarkStart w:id="2" w:name="_Toc1"/>
      <w:r w:rsidRPr="00AD7B00">
        <w:rPr>
          <w:rFonts w:cstheme="minorHAnsi"/>
          <w:sz w:val="24"/>
          <w:szCs w:val="24"/>
          <w:lang w:val="en-US"/>
        </w:rPr>
        <w:lastRenderedPageBreak/>
        <w:t>Acknowledgements</w:t>
      </w:r>
      <w:bookmarkEnd w:id="2"/>
    </w:p>
    <w:p w14:paraId="08BB1ABA" w14:textId="77777777" w:rsidR="00AF1A96" w:rsidRPr="00AD7B00" w:rsidRDefault="00AF1A96" w:rsidP="00AF1A96">
      <w:pPr>
        <w:pStyle w:val="BodyA"/>
        <w:spacing w:before="240" w:after="0" w:line="480" w:lineRule="auto"/>
        <w:jc w:val="both"/>
        <w:rPr>
          <w:rFonts w:cstheme="minorHAnsi"/>
        </w:rPr>
      </w:pPr>
      <w:r w:rsidRPr="00AD7B00">
        <w:rPr>
          <w:rFonts w:cstheme="minorHAnsi"/>
          <w:lang w:val="en-US"/>
        </w:rPr>
        <w:t>Firstly, I would like to acknowledge the good will of all my subjects in this study, without whom this study would not have happened. They devoted their valuable time and had to undergo skin biopsy and also spent long time in MRI machine. I am grateful for the financial support from Sheffield Teaching Hospitals NHS Trust, charitable fund, which funded the studies conducted during my MD.</w:t>
      </w:r>
    </w:p>
    <w:p w14:paraId="0CFCF77D" w14:textId="77777777" w:rsidR="00AF1A96" w:rsidRPr="00AD7B00" w:rsidRDefault="00AF1A96" w:rsidP="00AF1A96">
      <w:pPr>
        <w:pStyle w:val="BodyA"/>
        <w:spacing w:before="240" w:after="0" w:line="480" w:lineRule="auto"/>
        <w:jc w:val="both"/>
        <w:rPr>
          <w:rFonts w:cstheme="minorHAnsi"/>
        </w:rPr>
      </w:pPr>
      <w:r w:rsidRPr="00AD7B00">
        <w:rPr>
          <w:rFonts w:cstheme="minorHAnsi"/>
          <w:lang w:val="en-US"/>
        </w:rPr>
        <w:t xml:space="preserve">I am extremely grateful for the time spent and excellent supervision by Professor Solomon Tesfaye, Professor Iain D Wilkinson for his mentorship for MRI studies and Dr Dinesh </w:t>
      </w:r>
      <w:proofErr w:type="spellStart"/>
      <w:r w:rsidRPr="00AD7B00">
        <w:rPr>
          <w:rFonts w:cstheme="minorHAnsi"/>
          <w:lang w:val="en-US"/>
        </w:rPr>
        <w:t>Selvarajah</w:t>
      </w:r>
      <w:proofErr w:type="spellEnd"/>
      <w:r w:rsidRPr="00AD7B00">
        <w:rPr>
          <w:rFonts w:cstheme="minorHAnsi"/>
          <w:lang w:val="en-US"/>
        </w:rPr>
        <w:t xml:space="preserve"> for the overall supervision and guidance throughout the whole process. It was their team work, which helped me face challenges and come up with solutions throughout the process. I should also acknowledge the important contribution and support from Professor Praveen Annand for the analysis of our skin biopsy specimen results. I do appreciate the guidance and hard work of the magnetic resonance imaging radiographers at the Academic Unit of Radiology and Department of Human Metabolism for providing me laboratory space and guiding me through basic laboratory procedures. </w:t>
      </w:r>
    </w:p>
    <w:p w14:paraId="5FAF2670" w14:textId="77777777" w:rsidR="00AF1A96" w:rsidRPr="00AD7B00" w:rsidRDefault="00AF1A96" w:rsidP="00AF1A96">
      <w:pPr>
        <w:pStyle w:val="BodyA"/>
        <w:spacing w:before="240" w:after="0" w:line="480" w:lineRule="auto"/>
        <w:jc w:val="both"/>
        <w:rPr>
          <w:rFonts w:cstheme="minorHAnsi"/>
        </w:rPr>
      </w:pPr>
      <w:r w:rsidRPr="00AD7B00">
        <w:rPr>
          <w:rFonts w:cstheme="minorHAnsi"/>
          <w:lang w:val="en-US"/>
        </w:rPr>
        <w:t xml:space="preserve">I acknowledge the pain and hardship my parents have undergone to educate me and guide me with morals in life. I also take this opportunity to pay respect to all my teachers who shared their knowledge with me. Finally, I am indebted to my wife </w:t>
      </w:r>
      <w:proofErr w:type="spellStart"/>
      <w:r w:rsidRPr="00AD7B00">
        <w:rPr>
          <w:rFonts w:cstheme="minorHAnsi"/>
          <w:lang w:val="en-US"/>
        </w:rPr>
        <w:t>Divya</w:t>
      </w:r>
      <w:proofErr w:type="spellEnd"/>
      <w:r w:rsidRPr="00AD7B00">
        <w:rPr>
          <w:rFonts w:cstheme="minorHAnsi"/>
          <w:lang w:val="en-US"/>
        </w:rPr>
        <w:t xml:space="preserve"> and son Isaac who provided the moral support and strength throughout this study process.</w:t>
      </w:r>
    </w:p>
    <w:p w14:paraId="5D628116" w14:textId="77777777" w:rsidR="00AF1A96" w:rsidRPr="00AD7B00" w:rsidRDefault="00AF1A96" w:rsidP="00AF1A96">
      <w:pPr>
        <w:pStyle w:val="BodyA"/>
        <w:spacing w:before="240" w:after="0" w:line="480" w:lineRule="auto"/>
        <w:rPr>
          <w:rFonts w:eastAsia="Arial" w:cstheme="minorHAnsi"/>
        </w:rPr>
      </w:pPr>
    </w:p>
    <w:p w14:paraId="26FF0023" w14:textId="77777777" w:rsidR="00AF1A96" w:rsidRPr="00AD7B00" w:rsidRDefault="00AF1A96" w:rsidP="00AF1A96">
      <w:pPr>
        <w:pStyle w:val="BodyA"/>
        <w:spacing w:before="240" w:after="0" w:line="480" w:lineRule="auto"/>
        <w:rPr>
          <w:rFonts w:eastAsia="Arial" w:cstheme="minorHAnsi"/>
        </w:rPr>
      </w:pPr>
    </w:p>
    <w:p w14:paraId="1FB4FBB5" w14:textId="77777777" w:rsidR="00AF1A96" w:rsidRPr="00AD7B00" w:rsidRDefault="00AF1A96" w:rsidP="00AF1A96">
      <w:pPr>
        <w:pStyle w:val="BodyA"/>
        <w:spacing w:before="240" w:after="0" w:line="480" w:lineRule="auto"/>
        <w:rPr>
          <w:rFonts w:eastAsia="Arial" w:cstheme="minorHAnsi"/>
        </w:rPr>
      </w:pPr>
    </w:p>
    <w:p w14:paraId="7D29230B" w14:textId="77777777" w:rsidR="00AF1A96" w:rsidRPr="00AD7B00" w:rsidRDefault="00AF1A96" w:rsidP="00AF1A96">
      <w:pPr>
        <w:pStyle w:val="Heading"/>
        <w:spacing w:line="480" w:lineRule="auto"/>
        <w:rPr>
          <w:rFonts w:cstheme="minorHAnsi"/>
          <w:sz w:val="24"/>
          <w:szCs w:val="24"/>
        </w:rPr>
      </w:pPr>
      <w:bookmarkStart w:id="3" w:name="_Toc2"/>
      <w:r w:rsidRPr="005B5764">
        <w:rPr>
          <w:rFonts w:cstheme="minorHAnsi"/>
          <w:sz w:val="24"/>
          <w:szCs w:val="24"/>
        </w:rPr>
        <w:lastRenderedPageBreak/>
        <w:t>Abstract</w:t>
      </w:r>
      <w:bookmarkEnd w:id="3"/>
    </w:p>
    <w:p w14:paraId="2E326A76" w14:textId="77777777" w:rsidR="00AF1A96" w:rsidRPr="00AD7B00" w:rsidRDefault="00AF1A96" w:rsidP="00AF1A96">
      <w:pPr>
        <w:pStyle w:val="BodyA"/>
        <w:spacing w:before="240" w:after="0" w:line="480" w:lineRule="auto"/>
        <w:jc w:val="both"/>
        <w:rPr>
          <w:rFonts w:cstheme="minorHAnsi"/>
        </w:rPr>
      </w:pPr>
      <w:r w:rsidRPr="00AD7B00">
        <w:rPr>
          <w:rFonts w:cstheme="minorHAnsi"/>
          <w:lang w:val="en-US"/>
        </w:rPr>
        <w:t>Painful diabetic peripheral neuropathy (</w:t>
      </w:r>
      <w:proofErr w:type="spellStart"/>
      <w:r w:rsidRPr="00AD7B00">
        <w:rPr>
          <w:rFonts w:cstheme="minorHAnsi"/>
          <w:lang w:val="en-US"/>
        </w:rPr>
        <w:t>DPN</w:t>
      </w:r>
      <w:proofErr w:type="spellEnd"/>
      <w:r w:rsidRPr="00AD7B00">
        <w:rPr>
          <w:rFonts w:cstheme="minorHAnsi"/>
          <w:lang w:val="en-US"/>
        </w:rPr>
        <w:t xml:space="preserve">) is a disabling condition and its pathogenesis is not well understood.  This study aimed to improve our understanding of pain mechanisms and also </w:t>
      </w:r>
      <w:proofErr w:type="spellStart"/>
      <w:r w:rsidRPr="00AD7B00">
        <w:rPr>
          <w:rFonts w:cstheme="minorHAnsi"/>
          <w:lang w:val="en-US"/>
        </w:rPr>
        <w:t>analyse</w:t>
      </w:r>
      <w:proofErr w:type="spellEnd"/>
      <w:r w:rsidRPr="00AD7B00">
        <w:rPr>
          <w:rFonts w:cstheme="minorHAnsi"/>
          <w:lang w:val="en-US"/>
        </w:rPr>
        <w:t xml:space="preserve"> upcoming potential peripheral and central biomarkers of painful </w:t>
      </w:r>
      <w:proofErr w:type="spellStart"/>
      <w:r w:rsidRPr="00AD7B00">
        <w:rPr>
          <w:rFonts w:cstheme="minorHAnsi"/>
          <w:lang w:val="en-US"/>
        </w:rPr>
        <w:t>DPN</w:t>
      </w:r>
      <w:proofErr w:type="spellEnd"/>
      <w:r w:rsidRPr="00AD7B00">
        <w:rPr>
          <w:rFonts w:cstheme="minorHAnsi"/>
          <w:lang w:val="en-US"/>
        </w:rPr>
        <w:t>.</w:t>
      </w:r>
    </w:p>
    <w:p w14:paraId="5F2B084F" w14:textId="77777777" w:rsidR="00AF1A96" w:rsidRPr="00AD7B00" w:rsidRDefault="00AF1A96" w:rsidP="00AF1A96">
      <w:pPr>
        <w:pStyle w:val="BodyA"/>
        <w:spacing w:before="240" w:after="0" w:line="480" w:lineRule="auto"/>
        <w:jc w:val="both"/>
        <w:rPr>
          <w:rFonts w:cstheme="minorHAnsi"/>
        </w:rPr>
      </w:pPr>
      <w:r w:rsidRPr="00AD7B00">
        <w:rPr>
          <w:rFonts w:cstheme="minorHAnsi"/>
          <w:lang w:val="en-US"/>
        </w:rPr>
        <w:t xml:space="preserve">The role of vitamin D has been studied in painful </w:t>
      </w:r>
      <w:proofErr w:type="spellStart"/>
      <w:r w:rsidRPr="005B5764">
        <w:rPr>
          <w:rFonts w:cstheme="minorHAnsi"/>
        </w:rPr>
        <w:t>DPN</w:t>
      </w:r>
      <w:proofErr w:type="spellEnd"/>
      <w:r w:rsidRPr="00AD7B00">
        <w:rPr>
          <w:rFonts w:cstheme="minorHAnsi"/>
          <w:lang w:val="en-US"/>
        </w:rPr>
        <w:t>, although many of the previous studies did not assess major confounding factors including seasonal sunlight exposure and daily activity and lacked detailed assessment of peripheral neuropathy.  Work undertaken in this thesis addressed these limitations and found a significant reduction of 25(OH) vitamin D levels in a well-</w:t>
      </w:r>
      <w:proofErr w:type="spellStart"/>
      <w:r w:rsidRPr="00AD7B00">
        <w:rPr>
          <w:rFonts w:cstheme="minorHAnsi"/>
          <w:lang w:val="en-US"/>
        </w:rPr>
        <w:t>characterised</w:t>
      </w:r>
      <w:proofErr w:type="spellEnd"/>
      <w:r w:rsidRPr="00AD7B00">
        <w:rPr>
          <w:rFonts w:cstheme="minorHAnsi"/>
          <w:lang w:val="en-US"/>
        </w:rPr>
        <w:t xml:space="preserve"> group of subjects with painful </w:t>
      </w:r>
      <w:proofErr w:type="spellStart"/>
      <w:r w:rsidRPr="00AD7B00">
        <w:rPr>
          <w:rFonts w:cstheme="minorHAnsi"/>
          <w:lang w:val="en-US"/>
        </w:rPr>
        <w:t>DPN</w:t>
      </w:r>
      <w:proofErr w:type="spellEnd"/>
      <w:r w:rsidRPr="00AD7B00">
        <w:rPr>
          <w:rFonts w:cstheme="minorHAnsi"/>
          <w:lang w:val="en-US"/>
        </w:rPr>
        <w:t>.</w:t>
      </w:r>
    </w:p>
    <w:p w14:paraId="10EA9791" w14:textId="4C5CE3C5" w:rsidR="00AF1A96" w:rsidRPr="00AD7B00" w:rsidRDefault="00AF1A96" w:rsidP="00AF1A96">
      <w:pPr>
        <w:pStyle w:val="BodyA"/>
        <w:spacing w:before="240" w:after="0" w:line="480" w:lineRule="auto"/>
        <w:jc w:val="both"/>
        <w:rPr>
          <w:rFonts w:cstheme="minorHAnsi"/>
        </w:rPr>
      </w:pPr>
      <w:r w:rsidRPr="00AD7B00">
        <w:rPr>
          <w:rFonts w:cstheme="minorHAnsi"/>
          <w:lang w:val="en-US"/>
        </w:rPr>
        <w:t>A panel of skin nerve and vascular markers were</w:t>
      </w:r>
      <w:r w:rsidRPr="008676B2">
        <w:rPr>
          <w:rFonts w:cstheme="minorHAnsi"/>
        </w:rPr>
        <w:t xml:space="preserve"> asse</w:t>
      </w:r>
      <w:r w:rsidR="009B3C90" w:rsidRPr="008676B2">
        <w:rPr>
          <w:rFonts w:cstheme="minorHAnsi"/>
        </w:rPr>
        <w:t>ssed</w:t>
      </w:r>
      <w:r w:rsidRPr="00AD7B00">
        <w:rPr>
          <w:rFonts w:cstheme="minorHAnsi"/>
          <w:lang w:val="en-US"/>
        </w:rPr>
        <w:t xml:space="preserve"> to try and differentiate painful from painless</w:t>
      </w:r>
      <w:r w:rsidR="00735A66" w:rsidRPr="00AD7B00">
        <w:rPr>
          <w:rFonts w:cstheme="minorHAnsi"/>
          <w:lang w:val="en-US"/>
        </w:rPr>
        <w:t xml:space="preserve"> </w:t>
      </w:r>
      <w:proofErr w:type="spellStart"/>
      <w:r w:rsidRPr="008676B2">
        <w:rPr>
          <w:rFonts w:cstheme="minorHAnsi"/>
        </w:rPr>
        <w:t>DPN</w:t>
      </w:r>
      <w:proofErr w:type="spellEnd"/>
      <w:r w:rsidRPr="00AD7B00">
        <w:rPr>
          <w:rFonts w:cstheme="minorHAnsi"/>
          <w:lang w:val="en-US"/>
        </w:rPr>
        <w:t>, in patients with type 2 diabetes (T2DM). No differences were found in neural biomarkers including protein gene product 9.5 (PGP9.5), growth associated protein-43 (GAP43</w:t>
      </w:r>
      <w:r w:rsidR="00735A66" w:rsidRPr="00AD7B00">
        <w:rPr>
          <w:rFonts w:cstheme="minorHAnsi"/>
          <w:lang w:val="en-US"/>
        </w:rPr>
        <w:t>) or</w:t>
      </w:r>
      <w:r w:rsidRPr="00AD7B00">
        <w:rPr>
          <w:rFonts w:cstheme="minorHAnsi"/>
          <w:lang w:val="en-US"/>
        </w:rPr>
        <w:t xml:space="preserve"> calcitonin gene-related peptide (</w:t>
      </w:r>
      <w:proofErr w:type="spellStart"/>
      <w:r w:rsidRPr="00AD7B00">
        <w:rPr>
          <w:rFonts w:cstheme="minorHAnsi"/>
          <w:lang w:val="en-US"/>
        </w:rPr>
        <w:t>CGRP</w:t>
      </w:r>
      <w:proofErr w:type="spellEnd"/>
      <w:r w:rsidRPr="00AD7B00">
        <w:rPr>
          <w:rFonts w:cstheme="minorHAnsi"/>
          <w:lang w:val="en-US"/>
        </w:rPr>
        <w:t>) between painful and painless</w:t>
      </w:r>
      <w:r w:rsidR="00735A66" w:rsidRPr="00AD7B00">
        <w:rPr>
          <w:rFonts w:cstheme="minorHAnsi"/>
          <w:lang w:val="en-US"/>
        </w:rPr>
        <w:t xml:space="preserve"> </w:t>
      </w:r>
      <w:proofErr w:type="spellStart"/>
      <w:r w:rsidRPr="00AD7B00">
        <w:rPr>
          <w:rFonts w:cstheme="minorHAnsi"/>
          <w:lang w:val="en-US"/>
        </w:rPr>
        <w:t>DPN</w:t>
      </w:r>
      <w:proofErr w:type="spellEnd"/>
      <w:r w:rsidRPr="00AD7B00">
        <w:rPr>
          <w:rFonts w:cstheme="minorHAnsi"/>
          <w:lang w:val="en-US"/>
        </w:rPr>
        <w:t xml:space="preserve"> in our cohort with advanced neuropathy. However, there was increased microvascular staining with </w:t>
      </w:r>
      <w:r w:rsidRPr="00AD7B00">
        <w:rPr>
          <w:rFonts w:eastAsia="Calibri" w:cstheme="minorHAnsi"/>
          <w:lang w:val="da-DK"/>
        </w:rPr>
        <w:t>Von Willebrand Factor</w:t>
      </w:r>
      <w:r w:rsidRPr="00AD7B00">
        <w:rPr>
          <w:rFonts w:cstheme="minorHAnsi"/>
          <w:lang w:val="en-US"/>
        </w:rPr>
        <w:t xml:space="preserve"> (</w:t>
      </w:r>
      <w:proofErr w:type="spellStart"/>
      <w:r w:rsidRPr="00AD7B00">
        <w:rPr>
          <w:rFonts w:cstheme="minorHAnsi"/>
          <w:lang w:val="en-US"/>
        </w:rPr>
        <w:t>vWF</w:t>
      </w:r>
      <w:proofErr w:type="spellEnd"/>
      <w:r w:rsidRPr="00AD7B00">
        <w:rPr>
          <w:rFonts w:cstheme="minorHAnsi"/>
          <w:lang w:val="en-US"/>
        </w:rPr>
        <w:t>) in all diabetes groups compared to non-diabetic controls, particularly in painful</w:t>
      </w:r>
      <w:r w:rsidR="00735A66" w:rsidRPr="00AD7B00">
        <w:rPr>
          <w:rFonts w:cstheme="minorHAnsi"/>
          <w:lang w:val="en-US"/>
        </w:rPr>
        <w:t xml:space="preserve"> </w:t>
      </w:r>
      <w:proofErr w:type="spellStart"/>
      <w:r w:rsidRPr="00AD7B00">
        <w:rPr>
          <w:rFonts w:cstheme="minorHAnsi"/>
          <w:lang w:val="en-US"/>
        </w:rPr>
        <w:t>DPN</w:t>
      </w:r>
      <w:proofErr w:type="spellEnd"/>
      <w:r w:rsidRPr="00AD7B00">
        <w:rPr>
          <w:rFonts w:cstheme="minorHAnsi"/>
          <w:lang w:val="en-US"/>
        </w:rPr>
        <w:t>, which was increased compared with painless</w:t>
      </w:r>
      <w:r w:rsidR="00735A66" w:rsidRPr="00AD7B00">
        <w:rPr>
          <w:rFonts w:cstheme="minorHAnsi"/>
          <w:lang w:val="en-US"/>
        </w:rPr>
        <w:t xml:space="preserve"> </w:t>
      </w:r>
      <w:proofErr w:type="spellStart"/>
      <w:r w:rsidRPr="00AD7B00">
        <w:rPr>
          <w:rFonts w:cstheme="minorHAnsi"/>
          <w:lang w:val="en-US"/>
        </w:rPr>
        <w:t>DPN</w:t>
      </w:r>
      <w:proofErr w:type="spellEnd"/>
      <w:r w:rsidRPr="00AD7B00">
        <w:rPr>
          <w:rFonts w:cstheme="minorHAnsi"/>
          <w:lang w:val="en-US"/>
        </w:rPr>
        <w:t xml:space="preserve"> (p=0.0001).  The ratio of </w:t>
      </w:r>
      <w:proofErr w:type="spellStart"/>
      <w:r w:rsidRPr="00AD7B00">
        <w:rPr>
          <w:rFonts w:cstheme="minorHAnsi"/>
          <w:lang w:val="en-US"/>
        </w:rPr>
        <w:t>CGRP</w:t>
      </w:r>
      <w:proofErr w:type="spellEnd"/>
      <w:r w:rsidRPr="00AD7B00">
        <w:rPr>
          <w:rFonts w:cstheme="minorHAnsi"/>
          <w:lang w:val="en-US"/>
        </w:rPr>
        <w:t xml:space="preserve"> sub-epidermal nerve </w:t>
      </w:r>
      <w:proofErr w:type="spellStart"/>
      <w:r w:rsidRPr="00AD7B00">
        <w:rPr>
          <w:rFonts w:cstheme="minorHAnsi"/>
          <w:lang w:val="en-US"/>
        </w:rPr>
        <w:t>fibres</w:t>
      </w:r>
      <w:proofErr w:type="spellEnd"/>
      <w:r w:rsidRPr="00AD7B00">
        <w:rPr>
          <w:rFonts w:cstheme="minorHAnsi"/>
          <w:lang w:val="en-US"/>
        </w:rPr>
        <w:t xml:space="preserve"> to vasculature (</w:t>
      </w:r>
      <w:proofErr w:type="spellStart"/>
      <w:proofErr w:type="gramStart"/>
      <w:r w:rsidRPr="00AD7B00">
        <w:rPr>
          <w:rFonts w:cstheme="minorHAnsi"/>
          <w:lang w:val="en-US"/>
        </w:rPr>
        <w:t>CGRP:vWF</w:t>
      </w:r>
      <w:proofErr w:type="spellEnd"/>
      <w:proofErr w:type="gramEnd"/>
      <w:r w:rsidRPr="00AD7B00">
        <w:rPr>
          <w:rFonts w:cstheme="minorHAnsi"/>
          <w:lang w:val="en-US"/>
        </w:rPr>
        <w:t>) showed a significant decrease in painful</w:t>
      </w:r>
      <w:r w:rsidR="00735A66" w:rsidRPr="00AD7B00">
        <w:rPr>
          <w:rFonts w:cstheme="minorHAnsi"/>
          <w:lang w:val="en-US"/>
        </w:rPr>
        <w:t xml:space="preserve"> </w:t>
      </w:r>
      <w:proofErr w:type="spellStart"/>
      <w:r w:rsidRPr="00AD7B00">
        <w:rPr>
          <w:rFonts w:cstheme="minorHAnsi"/>
          <w:lang w:val="en-US"/>
        </w:rPr>
        <w:t>DPN</w:t>
      </w:r>
      <w:proofErr w:type="spellEnd"/>
      <w:r w:rsidRPr="00AD7B00">
        <w:rPr>
          <w:rFonts w:cstheme="minorHAnsi"/>
          <w:lang w:val="en-US"/>
        </w:rPr>
        <w:t xml:space="preserve"> vs. painless</w:t>
      </w:r>
      <w:r w:rsidR="00735A66" w:rsidRPr="00AD7B00">
        <w:rPr>
          <w:rFonts w:cstheme="minorHAnsi"/>
          <w:lang w:val="en-US"/>
        </w:rPr>
        <w:t xml:space="preserve"> </w:t>
      </w:r>
      <w:proofErr w:type="spellStart"/>
      <w:r w:rsidRPr="00AD7B00">
        <w:rPr>
          <w:rFonts w:cstheme="minorHAnsi"/>
          <w:lang w:val="en-US"/>
        </w:rPr>
        <w:t>DPN</w:t>
      </w:r>
      <w:proofErr w:type="spellEnd"/>
      <w:r w:rsidRPr="00AD7B00">
        <w:rPr>
          <w:rFonts w:cstheme="minorHAnsi"/>
          <w:lang w:val="en-US"/>
        </w:rPr>
        <w:t xml:space="preserve"> (p=0.014). This increased sub-epidermal microvasculature and its ratio to nociceptors may differentiate painful- from painless</w:t>
      </w:r>
      <w:r w:rsidR="00735A66" w:rsidRPr="00AD7B00">
        <w:rPr>
          <w:rFonts w:cstheme="minorHAnsi"/>
          <w:lang w:val="en-US"/>
        </w:rPr>
        <w:t xml:space="preserve"> </w:t>
      </w:r>
      <w:proofErr w:type="spellStart"/>
      <w:r w:rsidRPr="00AD7B00">
        <w:rPr>
          <w:rFonts w:cstheme="minorHAnsi"/>
          <w:lang w:val="en-US"/>
        </w:rPr>
        <w:t>DPN</w:t>
      </w:r>
      <w:proofErr w:type="spellEnd"/>
      <w:r w:rsidRPr="00AD7B00">
        <w:rPr>
          <w:rFonts w:cstheme="minorHAnsi"/>
          <w:lang w:val="en-US"/>
        </w:rPr>
        <w:t>.</w:t>
      </w:r>
    </w:p>
    <w:p w14:paraId="12C5597D" w14:textId="77777777" w:rsidR="00AF1A96" w:rsidRPr="00AD7B00" w:rsidRDefault="00AF1A96" w:rsidP="00AF1A96">
      <w:pPr>
        <w:pStyle w:val="BodyA"/>
        <w:spacing w:before="240" w:after="0" w:line="480" w:lineRule="auto"/>
        <w:jc w:val="both"/>
        <w:rPr>
          <w:rFonts w:cstheme="minorHAnsi"/>
        </w:rPr>
      </w:pPr>
      <w:r w:rsidRPr="00AD7B00">
        <w:rPr>
          <w:rFonts w:cstheme="minorHAnsi"/>
          <w:lang w:val="en-US"/>
        </w:rPr>
        <w:t>The status of the intracranial inhibitory neurotransmitter Gamma Amino Butyric Acid (GABA) and excitatory neurotransmitter Glutamate (</w:t>
      </w:r>
      <w:proofErr w:type="spellStart"/>
      <w:r w:rsidRPr="00AD7B00">
        <w:rPr>
          <w:rFonts w:cstheme="minorHAnsi"/>
          <w:lang w:val="en-US"/>
        </w:rPr>
        <w:t>Glx</w:t>
      </w:r>
      <w:proofErr w:type="spellEnd"/>
      <w:r w:rsidRPr="00AD7B00">
        <w:rPr>
          <w:rFonts w:cstheme="minorHAnsi"/>
          <w:lang w:val="en-US"/>
        </w:rPr>
        <w:t xml:space="preserve">) in the thalamus has been </w:t>
      </w:r>
      <w:r w:rsidRPr="00AD7B00">
        <w:rPr>
          <w:rFonts w:cstheme="minorHAnsi"/>
          <w:lang w:val="en-US"/>
        </w:rPr>
        <w:lastRenderedPageBreak/>
        <w:t xml:space="preserve">assessed using in-vivo Proton Magnetic Resonance (H-MR) spectroscopy. Lower relative levels of GABA were observed within the thalamus of patients with </w:t>
      </w:r>
      <w:proofErr w:type="spellStart"/>
      <w:r w:rsidRPr="00AD7B00">
        <w:rPr>
          <w:rFonts w:cstheme="minorHAnsi"/>
          <w:lang w:val="en-US"/>
        </w:rPr>
        <w:t>DPN</w:t>
      </w:r>
      <w:proofErr w:type="spellEnd"/>
      <w:r w:rsidRPr="00AD7B00">
        <w:rPr>
          <w:rFonts w:cstheme="minorHAnsi"/>
          <w:lang w:val="en-US"/>
        </w:rPr>
        <w:t>. A further understanding of the cerebral neuronal excitatory/inhibitory balance inferred from this H-MRS technique may help determine the mechanistic basis of central nervous system involvement in pain perception in</w:t>
      </w:r>
      <w:r w:rsidRPr="00AD7B00">
        <w:rPr>
          <w:rFonts w:cstheme="minorHAnsi"/>
        </w:rPr>
        <w:t xml:space="preserve"> </w:t>
      </w:r>
      <w:proofErr w:type="spellStart"/>
      <w:r w:rsidRPr="00AD7B00">
        <w:rPr>
          <w:rFonts w:cstheme="minorHAnsi"/>
        </w:rPr>
        <w:t>DPN</w:t>
      </w:r>
      <w:proofErr w:type="spellEnd"/>
      <w:r w:rsidRPr="00AD7B00">
        <w:rPr>
          <w:rFonts w:cstheme="minorHAnsi"/>
        </w:rPr>
        <w:t>.</w:t>
      </w:r>
    </w:p>
    <w:p w14:paraId="3806D2A6" w14:textId="44C9E0FD" w:rsidR="00AF1A96" w:rsidRPr="00AD7B00" w:rsidRDefault="00AF1A96" w:rsidP="00AF1A96">
      <w:pPr>
        <w:pStyle w:val="BodyA"/>
        <w:spacing w:after="0" w:line="480" w:lineRule="auto"/>
        <w:jc w:val="both"/>
        <w:rPr>
          <w:rFonts w:cstheme="minorHAnsi"/>
        </w:rPr>
      </w:pPr>
      <w:r w:rsidRPr="00AD7B00">
        <w:rPr>
          <w:rFonts w:cstheme="minorHAnsi"/>
          <w:lang w:val="en-US"/>
        </w:rPr>
        <w:t>The studies in this thesis were carefully designed and conducted with detailed clinical, neurophysiological and skin biopsy assessment of all participants, in order to carefully phenotype the subjects. The findings provide a better understanding of peripheral and central mechanisms associated with painful</w:t>
      </w:r>
      <w:r w:rsidR="00735A66" w:rsidRPr="00AD7B00">
        <w:rPr>
          <w:rFonts w:cstheme="minorHAnsi"/>
          <w:lang w:val="en-US"/>
        </w:rPr>
        <w:t xml:space="preserve"> </w:t>
      </w:r>
      <w:proofErr w:type="spellStart"/>
      <w:r w:rsidRPr="00AD7B00">
        <w:rPr>
          <w:rFonts w:cstheme="minorHAnsi"/>
          <w:lang w:val="en-US"/>
        </w:rPr>
        <w:t>DPN</w:t>
      </w:r>
      <w:proofErr w:type="spellEnd"/>
      <w:r w:rsidRPr="00AD7B00">
        <w:rPr>
          <w:rFonts w:cstheme="minorHAnsi"/>
          <w:lang w:val="en-US"/>
        </w:rPr>
        <w:t xml:space="preserve"> and also indicate a few reliable upcoming biomarkers. The studies provide further insight into pain mechanism in painful</w:t>
      </w:r>
      <w:r w:rsidR="00735A66" w:rsidRPr="00AD7B00">
        <w:rPr>
          <w:rFonts w:cstheme="minorHAnsi"/>
          <w:lang w:val="en-US"/>
        </w:rPr>
        <w:t xml:space="preserve"> </w:t>
      </w:r>
      <w:proofErr w:type="spellStart"/>
      <w:r w:rsidRPr="00AD7B00">
        <w:rPr>
          <w:rFonts w:cstheme="minorHAnsi"/>
          <w:lang w:val="en-US"/>
        </w:rPr>
        <w:t>DPN</w:t>
      </w:r>
      <w:proofErr w:type="spellEnd"/>
      <w:r w:rsidRPr="00AD7B00">
        <w:rPr>
          <w:rFonts w:cstheme="minorHAnsi"/>
          <w:lang w:val="en-US"/>
        </w:rPr>
        <w:t xml:space="preserve"> and pave the way for future studies that might ultimately lead to better treatment strategies. </w:t>
      </w:r>
      <w:r w:rsidRPr="00AD7B00">
        <w:rPr>
          <w:rFonts w:eastAsia="Arial Unicode MS" w:cstheme="minorHAnsi"/>
        </w:rPr>
        <w:br w:type="page"/>
      </w:r>
    </w:p>
    <w:p w14:paraId="78CBF3A8" w14:textId="77777777" w:rsidR="00AF1A96" w:rsidRPr="00AD7B00" w:rsidRDefault="00AF1A96" w:rsidP="00AF1A96">
      <w:pPr>
        <w:pStyle w:val="Heading"/>
        <w:rPr>
          <w:rFonts w:cstheme="minorHAnsi"/>
          <w:sz w:val="24"/>
          <w:szCs w:val="24"/>
        </w:rPr>
      </w:pPr>
      <w:bookmarkStart w:id="4" w:name="_Toc3"/>
      <w:r w:rsidRPr="00AD7B00">
        <w:rPr>
          <w:rFonts w:cstheme="minorHAnsi"/>
          <w:sz w:val="24"/>
          <w:szCs w:val="24"/>
          <w:lang w:val="en-US"/>
        </w:rPr>
        <w:lastRenderedPageBreak/>
        <w:t>Author’</w:t>
      </w:r>
      <w:r w:rsidRPr="00AD7B00">
        <w:rPr>
          <w:rFonts w:cstheme="minorHAnsi"/>
          <w:sz w:val="24"/>
          <w:szCs w:val="24"/>
        </w:rPr>
        <w:t>s Declaration</w:t>
      </w:r>
      <w:bookmarkEnd w:id="4"/>
    </w:p>
    <w:p w14:paraId="434F6D91" w14:textId="77777777" w:rsidR="00AF1A96" w:rsidRPr="00AD7B00" w:rsidRDefault="00AF1A96" w:rsidP="00AF1A96">
      <w:pPr>
        <w:pStyle w:val="BodyA"/>
        <w:spacing w:before="240" w:after="0" w:line="480" w:lineRule="auto"/>
        <w:jc w:val="both"/>
        <w:rPr>
          <w:rFonts w:cstheme="minorHAnsi"/>
        </w:rPr>
      </w:pPr>
      <w:r w:rsidRPr="00AD7B00">
        <w:rPr>
          <w:rFonts w:cstheme="minorHAnsi"/>
          <w:lang w:val="en-US"/>
        </w:rPr>
        <w:t>All participants of the study have given written, informed consent before inclusion in the study, which had prior Ethics Approval by the Sheffield Research Ethics Committee. My contributions in these studies were the following:</w:t>
      </w:r>
    </w:p>
    <w:p w14:paraId="592B1F21" w14:textId="77777777" w:rsidR="00AF1A96" w:rsidRPr="00AD7B00" w:rsidRDefault="00AF1A96" w:rsidP="00AF1A96">
      <w:pPr>
        <w:pStyle w:val="BodyA"/>
        <w:numPr>
          <w:ilvl w:val="0"/>
          <w:numId w:val="10"/>
        </w:numPr>
        <w:spacing w:before="240" w:after="0" w:line="480" w:lineRule="auto"/>
        <w:jc w:val="both"/>
        <w:rPr>
          <w:rFonts w:eastAsia="Arial" w:cstheme="minorHAnsi"/>
          <w:lang w:val="en-US"/>
        </w:rPr>
      </w:pPr>
      <w:r w:rsidRPr="00AD7B00">
        <w:rPr>
          <w:rFonts w:cstheme="minorHAnsi"/>
          <w:lang w:val="en-US"/>
        </w:rPr>
        <w:t>The primary role in creating the concept and design of each of the studies after literature review.</w:t>
      </w:r>
    </w:p>
    <w:p w14:paraId="66560B74" w14:textId="77777777" w:rsidR="00AF1A96" w:rsidRPr="00AD7B00" w:rsidRDefault="00AF1A96" w:rsidP="00AF1A96">
      <w:pPr>
        <w:pStyle w:val="BodyA"/>
        <w:numPr>
          <w:ilvl w:val="0"/>
          <w:numId w:val="10"/>
        </w:numPr>
        <w:spacing w:before="240" w:after="0" w:line="480" w:lineRule="auto"/>
        <w:jc w:val="both"/>
        <w:rPr>
          <w:rFonts w:eastAsia="Arial" w:cstheme="minorHAnsi"/>
          <w:lang w:val="en-US"/>
        </w:rPr>
      </w:pPr>
      <w:r w:rsidRPr="00AD7B00">
        <w:rPr>
          <w:rFonts w:cstheme="minorHAnsi"/>
          <w:lang w:val="en-US"/>
        </w:rPr>
        <w:t>Subject recruitment, consenting and baseline neuropathy assessment including various clinical and neurophysiological tests.</w:t>
      </w:r>
    </w:p>
    <w:p w14:paraId="0E025283" w14:textId="77777777" w:rsidR="00AF1A96" w:rsidRPr="00AD7B00" w:rsidRDefault="00AF1A96" w:rsidP="00AF1A96">
      <w:pPr>
        <w:pStyle w:val="BodyA"/>
        <w:numPr>
          <w:ilvl w:val="0"/>
          <w:numId w:val="10"/>
        </w:numPr>
        <w:spacing w:before="240" w:after="0" w:line="480" w:lineRule="auto"/>
        <w:jc w:val="both"/>
        <w:rPr>
          <w:rFonts w:eastAsia="Arial" w:cstheme="minorHAnsi"/>
          <w:lang w:val="en-US"/>
        </w:rPr>
      </w:pPr>
      <w:r w:rsidRPr="00AD7B00">
        <w:rPr>
          <w:rFonts w:cstheme="minorHAnsi"/>
          <w:lang w:val="en-US"/>
        </w:rPr>
        <w:t>Collecting blood samples for vitamin D and collecting data on sunlight exposure and daily activity.</w:t>
      </w:r>
    </w:p>
    <w:p w14:paraId="0A241840" w14:textId="096625E4" w:rsidR="00AF1A96" w:rsidRPr="00AD7B00" w:rsidRDefault="00AF1A96" w:rsidP="00AF1A96">
      <w:pPr>
        <w:pStyle w:val="BodyA"/>
        <w:numPr>
          <w:ilvl w:val="0"/>
          <w:numId w:val="10"/>
        </w:numPr>
        <w:spacing w:before="240" w:after="0" w:line="480" w:lineRule="auto"/>
        <w:jc w:val="both"/>
        <w:rPr>
          <w:rFonts w:eastAsia="Arial" w:cstheme="minorHAnsi"/>
          <w:lang w:val="en-US"/>
        </w:rPr>
      </w:pPr>
      <w:r w:rsidRPr="00AD7B00">
        <w:rPr>
          <w:rFonts w:cstheme="minorHAnsi"/>
          <w:lang w:val="en-US"/>
        </w:rPr>
        <w:t xml:space="preserve">Conducting skin biopsy, preparing fixative and fixing skin biopsy, cryoprotecting and freezing samples in -80 degree. Skin biopsy immunohistochemistry was done by our collaborators in the Department of Neurology, Imperial College London under supervision </w:t>
      </w:r>
      <w:r w:rsidR="009B3C90">
        <w:rPr>
          <w:rFonts w:cstheme="minorHAnsi"/>
          <w:lang w:val="en-US"/>
        </w:rPr>
        <w:t xml:space="preserve">of </w:t>
      </w:r>
      <w:r w:rsidRPr="00AD7B00">
        <w:rPr>
          <w:rFonts w:cstheme="minorHAnsi"/>
          <w:lang w:val="en-US"/>
        </w:rPr>
        <w:t xml:space="preserve">Professor Praveen Anand. </w:t>
      </w:r>
    </w:p>
    <w:p w14:paraId="25C30C9E" w14:textId="588B41D1" w:rsidR="00AF1A96" w:rsidRPr="00AD7B00" w:rsidRDefault="00AF1A96" w:rsidP="00AF1A96">
      <w:pPr>
        <w:pStyle w:val="BodyA"/>
        <w:numPr>
          <w:ilvl w:val="0"/>
          <w:numId w:val="10"/>
        </w:numPr>
        <w:spacing w:before="240" w:after="0" w:line="480" w:lineRule="auto"/>
        <w:jc w:val="both"/>
        <w:rPr>
          <w:rFonts w:eastAsia="Arial" w:cstheme="minorHAnsi"/>
          <w:lang w:val="en-US"/>
        </w:rPr>
      </w:pPr>
      <w:r w:rsidRPr="00AD7B00">
        <w:rPr>
          <w:rFonts w:cstheme="minorHAnsi"/>
          <w:lang w:val="en-US"/>
        </w:rPr>
        <w:t xml:space="preserve">Coordinating visits of subjects for H-MR spectroscopy and safe discharge after visit. Professor I D Wilkinson </w:t>
      </w:r>
      <w:r w:rsidR="009B3C90">
        <w:rPr>
          <w:rFonts w:cstheme="minorHAnsi"/>
          <w:lang w:val="en-US"/>
        </w:rPr>
        <w:t xml:space="preserve">had </w:t>
      </w:r>
      <w:r w:rsidRPr="00AD7B00">
        <w:rPr>
          <w:rFonts w:cstheme="minorHAnsi"/>
          <w:lang w:val="en-US"/>
        </w:rPr>
        <w:t>designed MR protocols. Imaging was performed by departmental radiographers and anatomical images were qualitatively assessed by a neuroradiologist.</w:t>
      </w:r>
    </w:p>
    <w:p w14:paraId="46C7DA2C" w14:textId="77777777" w:rsidR="00AF1A96" w:rsidRPr="00AD7B00" w:rsidRDefault="00AF1A96" w:rsidP="00AF1A96">
      <w:pPr>
        <w:pStyle w:val="BodyA"/>
        <w:numPr>
          <w:ilvl w:val="0"/>
          <w:numId w:val="10"/>
        </w:numPr>
        <w:spacing w:before="240" w:after="0" w:line="480" w:lineRule="auto"/>
        <w:jc w:val="both"/>
        <w:rPr>
          <w:rFonts w:eastAsia="Arial" w:cstheme="minorHAnsi"/>
          <w:lang w:val="en-US"/>
        </w:rPr>
      </w:pPr>
      <w:r w:rsidRPr="00AD7B00">
        <w:rPr>
          <w:rFonts w:cstheme="minorHAnsi"/>
          <w:lang w:val="en-US"/>
        </w:rPr>
        <w:t xml:space="preserve">Collation and statistical analysis of data from vitamin D, skin biopsy and H-MR spectroscopy study. </w:t>
      </w:r>
    </w:p>
    <w:p w14:paraId="642E9FD8" w14:textId="0CDF70F0" w:rsidR="0093781B" w:rsidRPr="009B3C90" w:rsidRDefault="00AF1A96" w:rsidP="00AF1A96">
      <w:pPr>
        <w:pStyle w:val="BodyA"/>
        <w:numPr>
          <w:ilvl w:val="0"/>
          <w:numId w:val="10"/>
        </w:numPr>
        <w:spacing w:before="240" w:after="0" w:line="480" w:lineRule="auto"/>
        <w:jc w:val="both"/>
        <w:rPr>
          <w:rFonts w:eastAsia="Arial" w:cstheme="minorHAnsi"/>
          <w:lang w:val="en-US"/>
        </w:rPr>
      </w:pPr>
      <w:r w:rsidRPr="00AD7B00">
        <w:rPr>
          <w:rFonts w:cstheme="minorHAnsi"/>
          <w:lang w:val="en-US"/>
        </w:rPr>
        <w:t>The writing of the thesis</w:t>
      </w:r>
    </w:p>
    <w:sdt>
      <w:sdtPr>
        <w:rPr>
          <w:rFonts w:ascii="Cambria" w:eastAsia="MS ??" w:hAnsi="Cambria" w:cstheme="minorHAnsi"/>
          <w:b w:val="0"/>
          <w:bCs w:val="0"/>
          <w:color w:val="auto"/>
          <w:sz w:val="24"/>
          <w:szCs w:val="24"/>
          <w:lang w:val="en-GB" w:eastAsia="ja-JP"/>
        </w:rPr>
        <w:id w:val="886533368"/>
        <w:docPartObj>
          <w:docPartGallery w:val="Table of Contents"/>
          <w:docPartUnique/>
        </w:docPartObj>
      </w:sdtPr>
      <w:sdtEndPr>
        <w:rPr>
          <w:noProof/>
        </w:rPr>
      </w:sdtEndPr>
      <w:sdtContent>
        <w:p w14:paraId="69D4AD33" w14:textId="77777777" w:rsidR="00417563" w:rsidRPr="009E7277" w:rsidRDefault="00320565" w:rsidP="009E7277">
          <w:pPr>
            <w:pStyle w:val="TOCHeading"/>
            <w:spacing w:line="480" w:lineRule="auto"/>
            <w:rPr>
              <w:rFonts w:ascii="Cambria" w:hAnsi="Cambria"/>
              <w:noProof/>
              <w:sz w:val="24"/>
              <w:szCs w:val="24"/>
            </w:rPr>
          </w:pPr>
          <w:r w:rsidRPr="009E7277">
            <w:rPr>
              <w:rStyle w:val="Heading1Char"/>
              <w:rFonts w:ascii="Cambria" w:hAnsi="Cambria" w:cstheme="minorHAnsi"/>
              <w:b/>
              <w:color w:val="000000" w:themeColor="text1"/>
              <w:sz w:val="24"/>
              <w:szCs w:val="24"/>
            </w:rPr>
            <w:t>Table of Content</w:t>
          </w:r>
          <w:r w:rsidR="0024518A" w:rsidRPr="009E7277">
            <w:rPr>
              <w:rStyle w:val="Heading1Char"/>
              <w:rFonts w:ascii="Cambria" w:hAnsi="Cambria" w:cstheme="minorHAnsi"/>
              <w:b/>
              <w:color w:val="000000" w:themeColor="text1"/>
              <w:sz w:val="24"/>
              <w:szCs w:val="24"/>
            </w:rPr>
            <w:t>s</w:t>
          </w:r>
          <w:r w:rsidRPr="009E7277">
            <w:rPr>
              <w:rStyle w:val="Heading1Char"/>
              <w:b/>
              <w:sz w:val="24"/>
              <w:szCs w:val="24"/>
            </w:rPr>
            <w:fldChar w:fldCharType="begin"/>
          </w:r>
          <w:r w:rsidRPr="009E7277">
            <w:rPr>
              <w:rStyle w:val="Heading1Char"/>
              <w:rFonts w:ascii="Cambria" w:hAnsi="Cambria" w:cstheme="minorHAnsi"/>
              <w:b/>
              <w:color w:val="000000" w:themeColor="text1"/>
              <w:sz w:val="24"/>
              <w:szCs w:val="24"/>
            </w:rPr>
            <w:instrText xml:space="preserve"> TOC \o "1-3" \h \z \u </w:instrText>
          </w:r>
          <w:r w:rsidRPr="009E7277">
            <w:rPr>
              <w:rStyle w:val="Heading1Char"/>
              <w:b/>
              <w:sz w:val="24"/>
              <w:szCs w:val="24"/>
            </w:rPr>
            <w:fldChar w:fldCharType="separate"/>
          </w:r>
        </w:p>
        <w:p w14:paraId="477B6488" w14:textId="24FACB58" w:rsidR="00417563" w:rsidRPr="009E7277" w:rsidRDefault="005F20A7" w:rsidP="009E7277">
          <w:pPr>
            <w:pStyle w:val="TOC1"/>
            <w:rPr>
              <w:rFonts w:eastAsiaTheme="minorEastAsia" w:cstheme="minorBidi"/>
              <w:noProof/>
              <w:lang w:eastAsia="en-US"/>
            </w:rPr>
          </w:pPr>
          <w:hyperlink w:anchor="_Toc6092993" w:history="1">
            <w:r w:rsidR="00417563" w:rsidRPr="009E7277">
              <w:rPr>
                <w:rStyle w:val="Hyperlink"/>
                <w:rFonts w:ascii="Cambria" w:hAnsi="Cambria"/>
                <w:noProof/>
                <w:lang w:val="fr-FR"/>
              </w:rPr>
              <w:t>1 Introduction</w:t>
            </w:r>
            <w:r w:rsidR="00417563" w:rsidRPr="009E7277">
              <w:rPr>
                <w:noProof/>
                <w:webHidden/>
              </w:rPr>
              <w:tab/>
            </w:r>
            <w:r w:rsidR="00417563" w:rsidRPr="009E7277">
              <w:rPr>
                <w:noProof/>
                <w:webHidden/>
              </w:rPr>
              <w:fldChar w:fldCharType="begin"/>
            </w:r>
            <w:r w:rsidR="00417563" w:rsidRPr="009E7277">
              <w:rPr>
                <w:noProof/>
                <w:webHidden/>
              </w:rPr>
              <w:instrText xml:space="preserve"> PAGEREF _Toc6092993 \h </w:instrText>
            </w:r>
            <w:r w:rsidR="00417563" w:rsidRPr="009E7277">
              <w:rPr>
                <w:noProof/>
                <w:webHidden/>
              </w:rPr>
            </w:r>
            <w:r w:rsidR="00417563" w:rsidRPr="009E7277">
              <w:rPr>
                <w:noProof/>
                <w:webHidden/>
              </w:rPr>
              <w:fldChar w:fldCharType="separate"/>
            </w:r>
            <w:r w:rsidR="00FD2D3D">
              <w:rPr>
                <w:noProof/>
                <w:webHidden/>
              </w:rPr>
              <w:t>18</w:t>
            </w:r>
            <w:r w:rsidR="00417563" w:rsidRPr="009E7277">
              <w:rPr>
                <w:noProof/>
                <w:webHidden/>
              </w:rPr>
              <w:fldChar w:fldCharType="end"/>
            </w:r>
          </w:hyperlink>
        </w:p>
        <w:p w14:paraId="63CC8D42" w14:textId="763B44D1" w:rsidR="00417563" w:rsidRPr="009E7277" w:rsidRDefault="005F20A7" w:rsidP="009E7277">
          <w:pPr>
            <w:pStyle w:val="TOC2"/>
            <w:rPr>
              <w:rFonts w:ascii="Cambria" w:eastAsiaTheme="minorEastAsia" w:hAnsi="Cambria" w:cstheme="minorBidi"/>
              <w:b w:val="0"/>
              <w:noProof/>
              <w:sz w:val="24"/>
              <w:szCs w:val="24"/>
              <w:lang w:eastAsia="en-US"/>
            </w:rPr>
          </w:pPr>
          <w:hyperlink w:anchor="_Toc6092994" w:history="1">
            <w:r w:rsidR="00417563" w:rsidRPr="009E7277">
              <w:rPr>
                <w:rStyle w:val="Hyperlink"/>
                <w:rFonts w:ascii="Cambria" w:eastAsia="Cambria" w:hAnsi="Cambria" w:cstheme="minorHAnsi"/>
                <w:noProof/>
                <w:sz w:val="24"/>
                <w:szCs w:val="24"/>
                <w:lang w:val="en-US"/>
              </w:rPr>
              <w:t>1.1 Diabetic Peripheral Neuropathy (DPN)</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_Toc6092994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18</w:t>
            </w:r>
            <w:r w:rsidR="00417563" w:rsidRPr="009E7277">
              <w:rPr>
                <w:rFonts w:ascii="Cambria" w:hAnsi="Cambria"/>
                <w:noProof/>
                <w:webHidden/>
                <w:sz w:val="24"/>
                <w:szCs w:val="24"/>
              </w:rPr>
              <w:fldChar w:fldCharType="end"/>
            </w:r>
          </w:hyperlink>
        </w:p>
        <w:p w14:paraId="39540906" w14:textId="5FAC7664"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2995" w:history="1">
            <w:r w:rsidR="00417563" w:rsidRPr="009E7277">
              <w:rPr>
                <w:rStyle w:val="Hyperlink"/>
                <w:rFonts w:ascii="Cambria" w:hAnsi="Cambria" w:cstheme="minorHAnsi"/>
                <w:noProof/>
                <w:sz w:val="24"/>
                <w:szCs w:val="24"/>
                <w:lang w:val="en-US"/>
              </w:rPr>
              <w:t>1.1.1 Epidemiology of Diabetic Peripheral Neuropathy</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_Toc6092995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19</w:t>
            </w:r>
            <w:r w:rsidR="00417563" w:rsidRPr="009E7277">
              <w:rPr>
                <w:rFonts w:ascii="Cambria" w:hAnsi="Cambria"/>
                <w:noProof/>
                <w:webHidden/>
                <w:sz w:val="24"/>
                <w:szCs w:val="24"/>
              </w:rPr>
              <w:fldChar w:fldCharType="end"/>
            </w:r>
          </w:hyperlink>
        </w:p>
        <w:p w14:paraId="67EB022B" w14:textId="11B144D7"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2996" w:history="1">
            <w:r w:rsidR="00417563" w:rsidRPr="009E7277">
              <w:rPr>
                <w:rStyle w:val="Hyperlink"/>
                <w:rFonts w:ascii="Cambria" w:hAnsi="Cambria" w:cstheme="minorHAnsi"/>
                <w:noProof/>
                <w:sz w:val="24"/>
                <w:szCs w:val="24"/>
                <w:lang w:val="en-US"/>
              </w:rPr>
              <w:t>1.1.2 Pathogenesis of Diabetic Peripheral Neuropathy</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_Toc6092996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19</w:t>
            </w:r>
            <w:r w:rsidR="00417563" w:rsidRPr="009E7277">
              <w:rPr>
                <w:rFonts w:ascii="Cambria" w:hAnsi="Cambria"/>
                <w:noProof/>
                <w:webHidden/>
                <w:sz w:val="24"/>
                <w:szCs w:val="24"/>
              </w:rPr>
              <w:fldChar w:fldCharType="end"/>
            </w:r>
          </w:hyperlink>
        </w:p>
        <w:p w14:paraId="257872C3" w14:textId="246E2C2A"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00" w:history="1">
            <w:r w:rsidR="00417563" w:rsidRPr="009E7277">
              <w:rPr>
                <w:rStyle w:val="Hyperlink"/>
                <w:rFonts w:ascii="Cambria" w:hAnsi="Cambria" w:cstheme="minorHAnsi"/>
                <w:noProof/>
                <w:sz w:val="24"/>
                <w:szCs w:val="24"/>
                <w:lang w:val="en-US"/>
              </w:rPr>
              <w:t>1.1.3 Classification of Diabetic Neuropathy</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_Toc6093000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21</w:t>
            </w:r>
            <w:r w:rsidR="00417563" w:rsidRPr="009E7277">
              <w:rPr>
                <w:rFonts w:ascii="Cambria" w:hAnsi="Cambria"/>
                <w:noProof/>
                <w:webHidden/>
                <w:sz w:val="24"/>
                <w:szCs w:val="24"/>
              </w:rPr>
              <w:fldChar w:fldCharType="end"/>
            </w:r>
          </w:hyperlink>
        </w:p>
        <w:p w14:paraId="18D75831" w14:textId="0C3D9C3E"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01" w:history="1">
            <w:r w:rsidR="00417563" w:rsidRPr="009E7277">
              <w:rPr>
                <w:rStyle w:val="Hyperlink"/>
                <w:rFonts w:ascii="Cambria" w:hAnsi="Cambria" w:cstheme="minorHAnsi"/>
                <w:noProof/>
                <w:sz w:val="24"/>
                <w:szCs w:val="24"/>
              </w:rPr>
              <w:t>1.1.4 Distal Symmetrical Sensorimotor Polyneuropathy</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_Toc6093001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23</w:t>
            </w:r>
            <w:r w:rsidR="00417563" w:rsidRPr="009E7277">
              <w:rPr>
                <w:rFonts w:ascii="Cambria" w:hAnsi="Cambria"/>
                <w:noProof/>
                <w:webHidden/>
                <w:sz w:val="24"/>
                <w:szCs w:val="24"/>
              </w:rPr>
              <w:fldChar w:fldCharType="end"/>
            </w:r>
          </w:hyperlink>
        </w:p>
        <w:p w14:paraId="185F0FDE" w14:textId="32665261" w:rsidR="00417563" w:rsidRPr="009E7277" w:rsidRDefault="005F20A7" w:rsidP="009E7277">
          <w:pPr>
            <w:pStyle w:val="TOC2"/>
            <w:rPr>
              <w:rFonts w:ascii="Cambria" w:eastAsiaTheme="minorEastAsia" w:hAnsi="Cambria" w:cstheme="minorBidi"/>
              <w:b w:val="0"/>
              <w:noProof/>
              <w:sz w:val="24"/>
              <w:szCs w:val="24"/>
              <w:lang w:eastAsia="en-US"/>
            </w:rPr>
          </w:pPr>
          <w:hyperlink w:anchor="_Toc6093002" w:history="1">
            <w:r w:rsidR="00417563" w:rsidRPr="009E7277">
              <w:rPr>
                <w:rStyle w:val="Hyperlink"/>
                <w:rFonts w:ascii="Cambria" w:eastAsia="Cambria" w:hAnsi="Cambria" w:cstheme="minorHAnsi"/>
                <w:noProof/>
                <w:sz w:val="24"/>
                <w:szCs w:val="24"/>
                <w:lang w:val="en-US"/>
              </w:rPr>
              <w:t>1.2 Painful Diabetic Peripheral Neuropathy (Painful DPN)</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_Toc6093002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25</w:t>
            </w:r>
            <w:r w:rsidR="00417563" w:rsidRPr="009E7277">
              <w:rPr>
                <w:rFonts w:ascii="Cambria" w:hAnsi="Cambria"/>
                <w:noProof/>
                <w:webHidden/>
                <w:sz w:val="24"/>
                <w:szCs w:val="24"/>
              </w:rPr>
              <w:fldChar w:fldCharType="end"/>
            </w:r>
          </w:hyperlink>
        </w:p>
        <w:p w14:paraId="11F076BE" w14:textId="4F16AFA1"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03" w:history="1">
            <w:r w:rsidR="00417563" w:rsidRPr="009E7277">
              <w:rPr>
                <w:rStyle w:val="Hyperlink"/>
                <w:rFonts w:ascii="Cambria" w:hAnsi="Cambria" w:cstheme="minorHAnsi"/>
                <w:noProof/>
                <w:sz w:val="24"/>
                <w:szCs w:val="24"/>
                <w:lang w:val="en-US"/>
              </w:rPr>
              <w:t>1.2.1 Epidemiology of Painful DPN</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_Toc6093003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26</w:t>
            </w:r>
            <w:r w:rsidR="00417563" w:rsidRPr="009E7277">
              <w:rPr>
                <w:rFonts w:ascii="Cambria" w:hAnsi="Cambria"/>
                <w:noProof/>
                <w:webHidden/>
                <w:sz w:val="24"/>
                <w:szCs w:val="24"/>
              </w:rPr>
              <w:fldChar w:fldCharType="end"/>
            </w:r>
          </w:hyperlink>
        </w:p>
        <w:p w14:paraId="51080840" w14:textId="5C02F411"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04" w:history="1">
            <w:r w:rsidR="00417563" w:rsidRPr="009E7277">
              <w:rPr>
                <w:rStyle w:val="Hyperlink"/>
                <w:rFonts w:ascii="Cambria" w:hAnsi="Cambria" w:cstheme="minorHAnsi"/>
                <w:noProof/>
                <w:sz w:val="24"/>
                <w:szCs w:val="24"/>
                <w:lang w:val="en-US"/>
              </w:rPr>
              <w:t>1.2.2 Pathogenesis of Painful DPN</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_Toc6093004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26</w:t>
            </w:r>
            <w:r w:rsidR="00417563" w:rsidRPr="009E7277">
              <w:rPr>
                <w:rFonts w:ascii="Cambria" w:hAnsi="Cambria"/>
                <w:noProof/>
                <w:webHidden/>
                <w:sz w:val="24"/>
                <w:szCs w:val="24"/>
              </w:rPr>
              <w:fldChar w:fldCharType="end"/>
            </w:r>
          </w:hyperlink>
        </w:p>
        <w:p w14:paraId="3C31660D" w14:textId="351BE0A3" w:rsidR="00417563" w:rsidRPr="009E7277" w:rsidRDefault="005F20A7" w:rsidP="009E7277">
          <w:pPr>
            <w:pStyle w:val="TOC2"/>
            <w:rPr>
              <w:rFonts w:ascii="Cambria" w:eastAsiaTheme="minorEastAsia" w:hAnsi="Cambria" w:cstheme="minorBidi"/>
              <w:b w:val="0"/>
              <w:noProof/>
              <w:sz w:val="24"/>
              <w:szCs w:val="24"/>
              <w:lang w:eastAsia="en-US"/>
            </w:rPr>
          </w:pPr>
          <w:hyperlink w:anchor="_Toc6093005" w:history="1">
            <w:r w:rsidR="00417563" w:rsidRPr="009E7277">
              <w:rPr>
                <w:rStyle w:val="Hyperlink"/>
                <w:rFonts w:ascii="Cambria" w:eastAsia="Cambria" w:hAnsi="Cambria" w:cstheme="minorHAnsi"/>
                <w:noProof/>
                <w:sz w:val="24"/>
                <w:szCs w:val="24"/>
              </w:rPr>
              <w:t xml:space="preserve">1.3 </w:t>
            </w:r>
            <w:r w:rsidR="00417563" w:rsidRPr="009E7277">
              <w:rPr>
                <w:rStyle w:val="Hyperlink"/>
                <w:rFonts w:ascii="Cambria" w:eastAsia="Cambria" w:hAnsi="Cambria" w:cstheme="minorHAnsi"/>
                <w:noProof/>
                <w:sz w:val="24"/>
                <w:szCs w:val="24"/>
                <w:lang w:val="en-US"/>
              </w:rPr>
              <w:t>Summary</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_Toc6093005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42</w:t>
            </w:r>
            <w:r w:rsidR="00417563" w:rsidRPr="009E7277">
              <w:rPr>
                <w:rFonts w:ascii="Cambria" w:hAnsi="Cambria"/>
                <w:noProof/>
                <w:webHidden/>
                <w:sz w:val="24"/>
                <w:szCs w:val="24"/>
              </w:rPr>
              <w:fldChar w:fldCharType="end"/>
            </w:r>
          </w:hyperlink>
        </w:p>
        <w:p w14:paraId="4E24E2A7" w14:textId="67A0132B" w:rsidR="00417563" w:rsidRPr="009E7277" w:rsidRDefault="005F20A7" w:rsidP="009E7277">
          <w:pPr>
            <w:pStyle w:val="TOC1"/>
            <w:rPr>
              <w:rFonts w:eastAsiaTheme="minorEastAsia" w:cstheme="minorBidi"/>
              <w:noProof/>
              <w:lang w:eastAsia="en-US"/>
            </w:rPr>
          </w:pPr>
          <w:hyperlink w:anchor="_Toc6093006" w:history="1">
            <w:r w:rsidR="00417563" w:rsidRPr="009E7277">
              <w:rPr>
                <w:rStyle w:val="Hyperlink"/>
                <w:rFonts w:ascii="Cambria" w:hAnsi="Cambria"/>
                <w:noProof/>
                <w:lang w:val="en-US"/>
              </w:rPr>
              <w:t>2 Aims and Hypothesis</w:t>
            </w:r>
            <w:r w:rsidR="00417563" w:rsidRPr="009E7277">
              <w:rPr>
                <w:noProof/>
                <w:webHidden/>
              </w:rPr>
              <w:tab/>
            </w:r>
            <w:r w:rsidR="00417563" w:rsidRPr="009E7277">
              <w:rPr>
                <w:noProof/>
                <w:webHidden/>
              </w:rPr>
              <w:fldChar w:fldCharType="begin"/>
            </w:r>
            <w:r w:rsidR="00417563" w:rsidRPr="009E7277">
              <w:rPr>
                <w:noProof/>
                <w:webHidden/>
              </w:rPr>
              <w:instrText xml:space="preserve"> PAGEREF _Toc6093006 \h </w:instrText>
            </w:r>
            <w:r w:rsidR="00417563" w:rsidRPr="009E7277">
              <w:rPr>
                <w:noProof/>
                <w:webHidden/>
              </w:rPr>
            </w:r>
            <w:r w:rsidR="00417563" w:rsidRPr="009E7277">
              <w:rPr>
                <w:noProof/>
                <w:webHidden/>
              </w:rPr>
              <w:fldChar w:fldCharType="separate"/>
            </w:r>
            <w:r w:rsidR="00FD2D3D">
              <w:rPr>
                <w:noProof/>
                <w:webHidden/>
              </w:rPr>
              <w:t>44</w:t>
            </w:r>
            <w:r w:rsidR="00417563" w:rsidRPr="009E7277">
              <w:rPr>
                <w:noProof/>
                <w:webHidden/>
              </w:rPr>
              <w:fldChar w:fldCharType="end"/>
            </w:r>
          </w:hyperlink>
        </w:p>
        <w:p w14:paraId="78180A04" w14:textId="0ACCB2EF" w:rsidR="00417563" w:rsidRPr="009E7277" w:rsidRDefault="005F20A7" w:rsidP="009E7277">
          <w:pPr>
            <w:pStyle w:val="TOC1"/>
            <w:rPr>
              <w:rFonts w:eastAsiaTheme="minorEastAsia" w:cstheme="minorBidi"/>
              <w:noProof/>
              <w:lang w:eastAsia="en-US"/>
            </w:rPr>
          </w:pPr>
          <w:hyperlink w:anchor="_Toc6093007" w:history="1">
            <w:r w:rsidR="00417563" w:rsidRPr="009E7277">
              <w:rPr>
                <w:rStyle w:val="Hyperlink"/>
                <w:rFonts w:ascii="Cambria" w:hAnsi="Cambria"/>
                <w:noProof/>
                <w:lang w:val="en-US"/>
              </w:rPr>
              <w:t>3 General Methods</w:t>
            </w:r>
            <w:r w:rsidR="00417563" w:rsidRPr="009E7277">
              <w:rPr>
                <w:noProof/>
                <w:webHidden/>
              </w:rPr>
              <w:tab/>
            </w:r>
            <w:r w:rsidR="00417563" w:rsidRPr="009E7277">
              <w:rPr>
                <w:noProof/>
                <w:webHidden/>
              </w:rPr>
              <w:fldChar w:fldCharType="begin"/>
            </w:r>
            <w:r w:rsidR="00417563" w:rsidRPr="009E7277">
              <w:rPr>
                <w:noProof/>
                <w:webHidden/>
              </w:rPr>
              <w:instrText xml:space="preserve"> PAGEREF _Toc6093007 \h </w:instrText>
            </w:r>
            <w:r w:rsidR="00417563" w:rsidRPr="009E7277">
              <w:rPr>
                <w:noProof/>
                <w:webHidden/>
              </w:rPr>
            </w:r>
            <w:r w:rsidR="00417563" w:rsidRPr="009E7277">
              <w:rPr>
                <w:noProof/>
                <w:webHidden/>
              </w:rPr>
              <w:fldChar w:fldCharType="separate"/>
            </w:r>
            <w:r w:rsidR="00FD2D3D">
              <w:rPr>
                <w:noProof/>
                <w:webHidden/>
              </w:rPr>
              <w:t>46</w:t>
            </w:r>
            <w:r w:rsidR="00417563" w:rsidRPr="009E7277">
              <w:rPr>
                <w:noProof/>
                <w:webHidden/>
              </w:rPr>
              <w:fldChar w:fldCharType="end"/>
            </w:r>
          </w:hyperlink>
        </w:p>
        <w:p w14:paraId="4D452421" w14:textId="16473617" w:rsidR="00417563" w:rsidRPr="009E7277" w:rsidRDefault="005F20A7" w:rsidP="009E7277">
          <w:pPr>
            <w:pStyle w:val="TOC2"/>
            <w:rPr>
              <w:rFonts w:ascii="Cambria" w:eastAsiaTheme="minorEastAsia" w:hAnsi="Cambria" w:cstheme="minorBidi"/>
              <w:b w:val="0"/>
              <w:noProof/>
              <w:sz w:val="24"/>
              <w:szCs w:val="24"/>
              <w:lang w:eastAsia="en-US"/>
            </w:rPr>
          </w:pPr>
          <w:hyperlink w:anchor="_Toc6093008" w:history="1">
            <w:r w:rsidR="00417563" w:rsidRPr="009E7277">
              <w:rPr>
                <w:rStyle w:val="Hyperlink"/>
                <w:rFonts w:ascii="Cambria" w:hAnsi="Cambria"/>
                <w:noProof/>
                <w:sz w:val="24"/>
                <w:szCs w:val="24"/>
                <w:lang w:val="en-US"/>
              </w:rPr>
              <w:t>3.1 Study design and participants</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_Toc6093008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46</w:t>
            </w:r>
            <w:r w:rsidR="00417563" w:rsidRPr="009E7277">
              <w:rPr>
                <w:rFonts w:ascii="Cambria" w:hAnsi="Cambria"/>
                <w:noProof/>
                <w:webHidden/>
                <w:sz w:val="24"/>
                <w:szCs w:val="24"/>
              </w:rPr>
              <w:fldChar w:fldCharType="end"/>
            </w:r>
          </w:hyperlink>
        </w:p>
        <w:p w14:paraId="7087D662" w14:textId="3354D143" w:rsidR="00417563" w:rsidRPr="009E7277" w:rsidRDefault="005F20A7" w:rsidP="009E7277">
          <w:pPr>
            <w:pStyle w:val="TOC2"/>
            <w:rPr>
              <w:rFonts w:ascii="Cambria" w:eastAsiaTheme="minorEastAsia" w:hAnsi="Cambria" w:cstheme="minorBidi"/>
              <w:b w:val="0"/>
              <w:noProof/>
              <w:sz w:val="24"/>
              <w:szCs w:val="24"/>
              <w:lang w:eastAsia="en-US"/>
            </w:rPr>
          </w:pPr>
          <w:hyperlink w:anchor="_Toc6093009" w:history="1">
            <w:r w:rsidR="00417563" w:rsidRPr="009E7277">
              <w:rPr>
                <w:rStyle w:val="Hyperlink"/>
                <w:rFonts w:ascii="Cambria" w:hAnsi="Cambria"/>
                <w:noProof/>
                <w:sz w:val="24"/>
                <w:szCs w:val="24"/>
                <w:lang w:val="en-US"/>
              </w:rPr>
              <w:t>3.2 Neuropathy assessment</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_Toc6093009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46</w:t>
            </w:r>
            <w:r w:rsidR="00417563" w:rsidRPr="009E7277">
              <w:rPr>
                <w:rFonts w:ascii="Cambria" w:hAnsi="Cambria"/>
                <w:noProof/>
                <w:webHidden/>
                <w:sz w:val="24"/>
                <w:szCs w:val="24"/>
              </w:rPr>
              <w:fldChar w:fldCharType="end"/>
            </w:r>
          </w:hyperlink>
        </w:p>
        <w:p w14:paraId="263869FC" w14:textId="33A8BD4E" w:rsidR="00417563" w:rsidRPr="009E7277" w:rsidRDefault="005F20A7" w:rsidP="009E7277">
          <w:pPr>
            <w:pStyle w:val="TOC2"/>
            <w:rPr>
              <w:rFonts w:ascii="Cambria" w:eastAsiaTheme="minorEastAsia" w:hAnsi="Cambria" w:cstheme="minorBidi"/>
              <w:b w:val="0"/>
              <w:noProof/>
              <w:sz w:val="24"/>
              <w:szCs w:val="24"/>
              <w:lang w:eastAsia="en-US"/>
            </w:rPr>
          </w:pPr>
          <w:hyperlink w:anchor="_Toc6093010" w:history="1">
            <w:r w:rsidR="00417563" w:rsidRPr="009E7277">
              <w:rPr>
                <w:rStyle w:val="Hyperlink"/>
                <w:rFonts w:ascii="Cambria" w:hAnsi="Cambria"/>
                <w:noProof/>
                <w:sz w:val="24"/>
                <w:szCs w:val="24"/>
                <w:lang w:val="en-US"/>
              </w:rPr>
              <w:t>3.3 Skin Biopsy Procedure</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_Toc6093010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47</w:t>
            </w:r>
            <w:r w:rsidR="00417563" w:rsidRPr="009E7277">
              <w:rPr>
                <w:rFonts w:ascii="Cambria" w:hAnsi="Cambria"/>
                <w:noProof/>
                <w:webHidden/>
                <w:sz w:val="24"/>
                <w:szCs w:val="24"/>
              </w:rPr>
              <w:fldChar w:fldCharType="end"/>
            </w:r>
          </w:hyperlink>
        </w:p>
        <w:p w14:paraId="5D46B01A" w14:textId="3D25FB07" w:rsidR="00417563" w:rsidRPr="009E7277" w:rsidRDefault="005F20A7" w:rsidP="009E7277">
          <w:pPr>
            <w:pStyle w:val="TOC2"/>
            <w:rPr>
              <w:rFonts w:ascii="Cambria" w:eastAsiaTheme="minorEastAsia" w:hAnsi="Cambria" w:cstheme="minorBidi"/>
              <w:b w:val="0"/>
              <w:noProof/>
              <w:sz w:val="24"/>
              <w:szCs w:val="24"/>
              <w:lang w:eastAsia="en-US"/>
            </w:rPr>
          </w:pPr>
          <w:hyperlink w:anchor="_Toc6093011" w:history="1">
            <w:r w:rsidR="00417563" w:rsidRPr="009E7277">
              <w:rPr>
                <w:rStyle w:val="Hyperlink"/>
                <w:rFonts w:ascii="Cambria" w:hAnsi="Cambria"/>
                <w:noProof/>
                <w:sz w:val="24"/>
                <w:szCs w:val="24"/>
                <w:lang w:val="en-US"/>
              </w:rPr>
              <w:t>3.4 Statistical Analysis</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_Toc6093011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49</w:t>
            </w:r>
            <w:r w:rsidR="00417563" w:rsidRPr="009E7277">
              <w:rPr>
                <w:rFonts w:ascii="Cambria" w:hAnsi="Cambria"/>
                <w:noProof/>
                <w:webHidden/>
                <w:sz w:val="24"/>
                <w:szCs w:val="24"/>
              </w:rPr>
              <w:fldChar w:fldCharType="end"/>
            </w:r>
          </w:hyperlink>
        </w:p>
        <w:p w14:paraId="7BDEC130" w14:textId="53448D10" w:rsidR="00417563" w:rsidRPr="009E7277" w:rsidRDefault="005F20A7" w:rsidP="009E7277">
          <w:pPr>
            <w:pStyle w:val="TOC1"/>
            <w:rPr>
              <w:rFonts w:eastAsiaTheme="minorEastAsia" w:cstheme="minorBidi"/>
              <w:noProof/>
              <w:lang w:eastAsia="en-US"/>
            </w:rPr>
          </w:pPr>
          <w:hyperlink w:anchor="_Toc6093012" w:history="1">
            <w:r w:rsidR="00417563" w:rsidRPr="009E7277">
              <w:rPr>
                <w:rStyle w:val="Hyperlink"/>
                <w:rFonts w:ascii="Cambria" w:hAnsi="Cambria"/>
                <w:noProof/>
                <w:lang w:val="en-US"/>
              </w:rPr>
              <w:t>4 Reduced Vitamin D Level in Painful Diabetic Peripheral Neuropathy</w:t>
            </w:r>
            <w:r w:rsidR="00417563" w:rsidRPr="009E7277">
              <w:rPr>
                <w:noProof/>
                <w:webHidden/>
              </w:rPr>
              <w:tab/>
            </w:r>
            <w:r w:rsidR="00417563" w:rsidRPr="009E7277">
              <w:rPr>
                <w:noProof/>
                <w:webHidden/>
              </w:rPr>
              <w:fldChar w:fldCharType="begin"/>
            </w:r>
            <w:r w:rsidR="00417563" w:rsidRPr="009E7277">
              <w:rPr>
                <w:noProof/>
                <w:webHidden/>
              </w:rPr>
              <w:instrText xml:space="preserve"> PAGEREF _Toc6093012 \h </w:instrText>
            </w:r>
            <w:r w:rsidR="00417563" w:rsidRPr="009E7277">
              <w:rPr>
                <w:noProof/>
                <w:webHidden/>
              </w:rPr>
            </w:r>
            <w:r w:rsidR="00417563" w:rsidRPr="009E7277">
              <w:rPr>
                <w:noProof/>
                <w:webHidden/>
              </w:rPr>
              <w:fldChar w:fldCharType="separate"/>
            </w:r>
            <w:r w:rsidR="00FD2D3D">
              <w:rPr>
                <w:noProof/>
                <w:webHidden/>
              </w:rPr>
              <w:t>50</w:t>
            </w:r>
            <w:r w:rsidR="00417563" w:rsidRPr="009E7277">
              <w:rPr>
                <w:noProof/>
                <w:webHidden/>
              </w:rPr>
              <w:fldChar w:fldCharType="end"/>
            </w:r>
          </w:hyperlink>
        </w:p>
        <w:p w14:paraId="2BA65649" w14:textId="651D5782" w:rsidR="00417563" w:rsidRPr="009E7277" w:rsidRDefault="005F20A7" w:rsidP="009E7277">
          <w:pPr>
            <w:pStyle w:val="TOC2"/>
            <w:rPr>
              <w:rFonts w:ascii="Cambria" w:eastAsiaTheme="minorEastAsia" w:hAnsi="Cambria" w:cstheme="minorBidi"/>
              <w:b w:val="0"/>
              <w:noProof/>
              <w:sz w:val="24"/>
              <w:szCs w:val="24"/>
              <w:lang w:eastAsia="en-US"/>
            </w:rPr>
          </w:pPr>
          <w:hyperlink w:anchor="_Toc6093013" w:history="1">
            <w:r w:rsidR="00417563" w:rsidRPr="009E7277">
              <w:rPr>
                <w:rStyle w:val="Hyperlink"/>
                <w:rFonts w:ascii="Cambria" w:hAnsi="Cambria"/>
                <w:noProof/>
                <w:sz w:val="24"/>
                <w:szCs w:val="24"/>
                <w:lang w:val="fr-FR"/>
              </w:rPr>
              <w:t>4.1 Introduction</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_Toc6093013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50</w:t>
            </w:r>
            <w:r w:rsidR="00417563" w:rsidRPr="009E7277">
              <w:rPr>
                <w:rFonts w:ascii="Cambria" w:hAnsi="Cambria"/>
                <w:noProof/>
                <w:webHidden/>
                <w:sz w:val="24"/>
                <w:szCs w:val="24"/>
              </w:rPr>
              <w:fldChar w:fldCharType="end"/>
            </w:r>
          </w:hyperlink>
        </w:p>
        <w:p w14:paraId="2748EE23" w14:textId="3AC735CB" w:rsidR="00417563" w:rsidRPr="009E7277" w:rsidRDefault="005F20A7" w:rsidP="009E7277">
          <w:pPr>
            <w:pStyle w:val="TOC2"/>
            <w:rPr>
              <w:rFonts w:ascii="Cambria" w:eastAsiaTheme="minorEastAsia" w:hAnsi="Cambria" w:cstheme="minorBidi"/>
              <w:b w:val="0"/>
              <w:noProof/>
              <w:sz w:val="24"/>
              <w:szCs w:val="24"/>
              <w:lang w:eastAsia="en-US"/>
            </w:rPr>
          </w:pPr>
          <w:hyperlink w:anchor="_Toc6093014" w:history="1">
            <w:r w:rsidR="00417563" w:rsidRPr="009E7277">
              <w:rPr>
                <w:rStyle w:val="Hyperlink"/>
                <w:rFonts w:ascii="Cambria" w:hAnsi="Cambria"/>
                <w:noProof/>
                <w:sz w:val="24"/>
                <w:szCs w:val="24"/>
                <w:lang w:val="en-US"/>
              </w:rPr>
              <w:t>4.2 Methods</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_Toc6093014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51</w:t>
            </w:r>
            <w:r w:rsidR="00417563" w:rsidRPr="009E7277">
              <w:rPr>
                <w:rFonts w:ascii="Cambria" w:hAnsi="Cambria"/>
                <w:noProof/>
                <w:webHidden/>
                <w:sz w:val="24"/>
                <w:szCs w:val="24"/>
              </w:rPr>
              <w:fldChar w:fldCharType="end"/>
            </w:r>
          </w:hyperlink>
        </w:p>
        <w:p w14:paraId="33E4705C" w14:textId="29AE79A6"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15" w:history="1">
            <w:r w:rsidR="00417563" w:rsidRPr="009E7277">
              <w:rPr>
                <w:rStyle w:val="Hyperlink"/>
                <w:rFonts w:ascii="Cambria" w:hAnsi="Cambria"/>
                <w:noProof/>
                <w:sz w:val="24"/>
                <w:szCs w:val="24"/>
                <w:lang w:val="en-US"/>
              </w:rPr>
              <w:t>4.2.1 Study Design and Participants</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_Toc6093015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51</w:t>
            </w:r>
            <w:r w:rsidR="00417563" w:rsidRPr="009E7277">
              <w:rPr>
                <w:rFonts w:ascii="Cambria" w:hAnsi="Cambria"/>
                <w:noProof/>
                <w:webHidden/>
                <w:sz w:val="24"/>
                <w:szCs w:val="24"/>
              </w:rPr>
              <w:fldChar w:fldCharType="end"/>
            </w:r>
          </w:hyperlink>
        </w:p>
        <w:p w14:paraId="5DB74360" w14:textId="5F2B4D57"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16" w:history="1">
            <w:r w:rsidR="00417563" w:rsidRPr="009E7277">
              <w:rPr>
                <w:rStyle w:val="Hyperlink"/>
                <w:rFonts w:ascii="Cambria" w:hAnsi="Cambria"/>
                <w:noProof/>
                <w:sz w:val="24"/>
                <w:szCs w:val="24"/>
                <w:lang w:val="en-US"/>
              </w:rPr>
              <w:t>4.2.2 Neuropathy Assessment</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_Toc6093016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51</w:t>
            </w:r>
            <w:r w:rsidR="00417563" w:rsidRPr="009E7277">
              <w:rPr>
                <w:rFonts w:ascii="Cambria" w:hAnsi="Cambria"/>
                <w:noProof/>
                <w:webHidden/>
                <w:sz w:val="24"/>
                <w:szCs w:val="24"/>
              </w:rPr>
              <w:fldChar w:fldCharType="end"/>
            </w:r>
          </w:hyperlink>
        </w:p>
        <w:p w14:paraId="5AA09E6D" w14:textId="7096C17F"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17" w:history="1">
            <w:r w:rsidR="00417563" w:rsidRPr="009E7277">
              <w:rPr>
                <w:rStyle w:val="Hyperlink"/>
                <w:rFonts w:ascii="Cambria" w:hAnsi="Cambria"/>
                <w:noProof/>
                <w:sz w:val="24"/>
                <w:szCs w:val="24"/>
                <w:lang w:val="en-US"/>
              </w:rPr>
              <w:t xml:space="preserve">4.2.3 Sunlight </w:t>
            </w:r>
            <w:r w:rsidR="00417563" w:rsidRPr="009E7277">
              <w:rPr>
                <w:rStyle w:val="Hyperlink"/>
                <w:rFonts w:ascii="Cambria" w:hAnsi="Cambria"/>
                <w:noProof/>
                <w:sz w:val="24"/>
                <w:szCs w:val="24"/>
              </w:rPr>
              <w:t>E</w:t>
            </w:r>
            <w:r w:rsidR="00417563" w:rsidRPr="009E7277">
              <w:rPr>
                <w:rStyle w:val="Hyperlink"/>
                <w:rFonts w:ascii="Cambria" w:hAnsi="Cambria"/>
                <w:noProof/>
                <w:sz w:val="24"/>
                <w:szCs w:val="24"/>
                <w:lang w:val="en-US"/>
              </w:rPr>
              <w:t xml:space="preserve">xposure and </w:t>
            </w:r>
            <w:r w:rsidR="00417563" w:rsidRPr="009E7277">
              <w:rPr>
                <w:rStyle w:val="Hyperlink"/>
                <w:rFonts w:ascii="Cambria" w:hAnsi="Cambria"/>
                <w:noProof/>
                <w:sz w:val="24"/>
                <w:szCs w:val="24"/>
              </w:rPr>
              <w:t>A</w:t>
            </w:r>
            <w:r w:rsidR="00417563" w:rsidRPr="009E7277">
              <w:rPr>
                <w:rStyle w:val="Hyperlink"/>
                <w:rFonts w:ascii="Cambria" w:hAnsi="Cambria"/>
                <w:noProof/>
                <w:sz w:val="24"/>
                <w:szCs w:val="24"/>
                <w:lang w:val="en-US"/>
              </w:rPr>
              <w:t>ctivity Measurement</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_Toc6093017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52</w:t>
            </w:r>
            <w:r w:rsidR="00417563" w:rsidRPr="009E7277">
              <w:rPr>
                <w:rFonts w:ascii="Cambria" w:hAnsi="Cambria"/>
                <w:noProof/>
                <w:webHidden/>
                <w:sz w:val="24"/>
                <w:szCs w:val="24"/>
              </w:rPr>
              <w:fldChar w:fldCharType="end"/>
            </w:r>
          </w:hyperlink>
        </w:p>
        <w:p w14:paraId="5EEAB2A8" w14:textId="6535357A"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18" w:history="1">
            <w:r w:rsidR="00417563" w:rsidRPr="009E7277">
              <w:rPr>
                <w:rStyle w:val="Hyperlink"/>
                <w:rFonts w:ascii="Cambria" w:hAnsi="Cambria"/>
                <w:noProof/>
                <w:sz w:val="24"/>
                <w:szCs w:val="24"/>
              </w:rPr>
              <w:t>4.2.4 Vitamin D Assay</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_Toc6093018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52</w:t>
            </w:r>
            <w:r w:rsidR="00417563" w:rsidRPr="009E7277">
              <w:rPr>
                <w:rFonts w:ascii="Cambria" w:hAnsi="Cambria"/>
                <w:noProof/>
                <w:webHidden/>
                <w:sz w:val="24"/>
                <w:szCs w:val="24"/>
              </w:rPr>
              <w:fldChar w:fldCharType="end"/>
            </w:r>
          </w:hyperlink>
        </w:p>
        <w:p w14:paraId="6CD4C8EB" w14:textId="603BB7B5"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19" w:history="1">
            <w:r w:rsidR="00417563" w:rsidRPr="009E7277">
              <w:rPr>
                <w:rStyle w:val="Hyperlink"/>
                <w:rFonts w:ascii="Cambria" w:hAnsi="Cambria"/>
                <w:noProof/>
                <w:sz w:val="24"/>
                <w:szCs w:val="24"/>
                <w:lang w:val="nl-NL"/>
              </w:rPr>
              <w:t>4.2.5 Skin Biopsy Procedure</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_Toc6093019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53</w:t>
            </w:r>
            <w:r w:rsidR="00417563" w:rsidRPr="009E7277">
              <w:rPr>
                <w:rFonts w:ascii="Cambria" w:hAnsi="Cambria"/>
                <w:noProof/>
                <w:webHidden/>
                <w:sz w:val="24"/>
                <w:szCs w:val="24"/>
              </w:rPr>
              <w:fldChar w:fldCharType="end"/>
            </w:r>
          </w:hyperlink>
        </w:p>
        <w:p w14:paraId="3A2CE32C" w14:textId="1A6825AC"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20" w:history="1">
            <w:r w:rsidR="00417563" w:rsidRPr="009E7277">
              <w:rPr>
                <w:rStyle w:val="Hyperlink"/>
                <w:rFonts w:ascii="Cambria" w:hAnsi="Cambria"/>
                <w:noProof/>
                <w:sz w:val="24"/>
                <w:szCs w:val="24"/>
                <w:lang w:val="en-US"/>
              </w:rPr>
              <w:t>4.2.6 Statistical Analysis</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_Toc6093020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53</w:t>
            </w:r>
            <w:r w:rsidR="00417563" w:rsidRPr="009E7277">
              <w:rPr>
                <w:rFonts w:ascii="Cambria" w:hAnsi="Cambria"/>
                <w:noProof/>
                <w:webHidden/>
                <w:sz w:val="24"/>
                <w:szCs w:val="24"/>
              </w:rPr>
              <w:fldChar w:fldCharType="end"/>
            </w:r>
          </w:hyperlink>
        </w:p>
        <w:p w14:paraId="6713D5F0" w14:textId="68E9E905" w:rsidR="00417563" w:rsidRPr="009E7277" w:rsidRDefault="005F20A7" w:rsidP="009E7277">
          <w:pPr>
            <w:pStyle w:val="TOC2"/>
            <w:rPr>
              <w:rFonts w:ascii="Cambria" w:eastAsiaTheme="minorEastAsia" w:hAnsi="Cambria" w:cstheme="minorBidi"/>
              <w:b w:val="0"/>
              <w:noProof/>
              <w:sz w:val="24"/>
              <w:szCs w:val="24"/>
              <w:lang w:eastAsia="en-US"/>
            </w:rPr>
          </w:pPr>
          <w:hyperlink w:anchor="_Toc6093021" w:history="1">
            <w:r w:rsidR="00417563" w:rsidRPr="009E7277">
              <w:rPr>
                <w:rStyle w:val="Hyperlink"/>
                <w:rFonts w:ascii="Cambria" w:hAnsi="Cambria"/>
                <w:noProof/>
                <w:sz w:val="24"/>
                <w:szCs w:val="24"/>
                <w:lang w:val="en-US"/>
              </w:rPr>
              <w:t>4.3 Results</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_Toc6093021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53</w:t>
            </w:r>
            <w:r w:rsidR="00417563" w:rsidRPr="009E7277">
              <w:rPr>
                <w:rFonts w:ascii="Cambria" w:hAnsi="Cambria"/>
                <w:noProof/>
                <w:webHidden/>
                <w:sz w:val="24"/>
                <w:szCs w:val="24"/>
              </w:rPr>
              <w:fldChar w:fldCharType="end"/>
            </w:r>
          </w:hyperlink>
        </w:p>
        <w:p w14:paraId="7F0358E9" w14:textId="5D5C6EFA" w:rsidR="00417563" w:rsidRPr="009E7277" w:rsidRDefault="005F20A7" w:rsidP="009E7277">
          <w:pPr>
            <w:pStyle w:val="TOC2"/>
            <w:rPr>
              <w:rFonts w:ascii="Cambria" w:eastAsiaTheme="minorEastAsia" w:hAnsi="Cambria" w:cstheme="minorBidi"/>
              <w:b w:val="0"/>
              <w:noProof/>
              <w:sz w:val="24"/>
              <w:szCs w:val="24"/>
              <w:lang w:eastAsia="en-US"/>
            </w:rPr>
          </w:pPr>
          <w:hyperlink w:anchor="_Toc6093022" w:history="1">
            <w:r w:rsidR="00417563" w:rsidRPr="009E7277">
              <w:rPr>
                <w:rStyle w:val="Hyperlink"/>
                <w:rFonts w:ascii="Cambria" w:hAnsi="Cambria"/>
                <w:noProof/>
                <w:sz w:val="24"/>
                <w:szCs w:val="24"/>
                <w:lang w:val="en-US"/>
              </w:rPr>
              <w:t>4.3 Discussion</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_Toc6093022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60</w:t>
            </w:r>
            <w:r w:rsidR="00417563" w:rsidRPr="009E7277">
              <w:rPr>
                <w:rFonts w:ascii="Cambria" w:hAnsi="Cambria"/>
                <w:noProof/>
                <w:webHidden/>
                <w:sz w:val="24"/>
                <w:szCs w:val="24"/>
              </w:rPr>
              <w:fldChar w:fldCharType="end"/>
            </w:r>
          </w:hyperlink>
        </w:p>
        <w:p w14:paraId="3E76E518" w14:textId="10C516B1" w:rsidR="00417563" w:rsidRPr="009E7277" w:rsidRDefault="005F20A7" w:rsidP="009E7277">
          <w:pPr>
            <w:pStyle w:val="TOC1"/>
            <w:jc w:val="both"/>
            <w:rPr>
              <w:rFonts w:eastAsiaTheme="minorEastAsia" w:cstheme="minorBidi"/>
              <w:noProof/>
              <w:lang w:eastAsia="en-US"/>
            </w:rPr>
          </w:pPr>
          <w:hyperlink w:anchor="_Toc6093023" w:history="1">
            <w:r w:rsidR="00417563" w:rsidRPr="009E7277">
              <w:rPr>
                <w:rStyle w:val="Hyperlink"/>
                <w:rFonts w:ascii="Cambria" w:hAnsi="Cambria"/>
                <w:noProof/>
                <w:lang w:val="en-US"/>
              </w:rPr>
              <w:t>5 Neural and Vascular Skin Biomarkers to Differentiate Painful from Painless Diabetic Neuropathy</w:t>
            </w:r>
            <w:r w:rsidR="00417563" w:rsidRPr="009E7277">
              <w:rPr>
                <w:noProof/>
                <w:webHidden/>
              </w:rPr>
              <w:tab/>
            </w:r>
            <w:r w:rsidR="00417563" w:rsidRPr="009E7277">
              <w:rPr>
                <w:noProof/>
                <w:webHidden/>
              </w:rPr>
              <w:fldChar w:fldCharType="begin"/>
            </w:r>
            <w:r w:rsidR="00417563" w:rsidRPr="009E7277">
              <w:rPr>
                <w:noProof/>
                <w:webHidden/>
              </w:rPr>
              <w:instrText xml:space="preserve"> PAGEREF _Toc6093023 \h </w:instrText>
            </w:r>
            <w:r w:rsidR="00417563" w:rsidRPr="009E7277">
              <w:rPr>
                <w:noProof/>
                <w:webHidden/>
              </w:rPr>
            </w:r>
            <w:r w:rsidR="00417563" w:rsidRPr="009E7277">
              <w:rPr>
                <w:noProof/>
                <w:webHidden/>
              </w:rPr>
              <w:fldChar w:fldCharType="separate"/>
            </w:r>
            <w:r w:rsidR="00FD2D3D">
              <w:rPr>
                <w:noProof/>
                <w:webHidden/>
              </w:rPr>
              <w:t>64</w:t>
            </w:r>
            <w:r w:rsidR="00417563" w:rsidRPr="009E7277">
              <w:rPr>
                <w:noProof/>
                <w:webHidden/>
              </w:rPr>
              <w:fldChar w:fldCharType="end"/>
            </w:r>
          </w:hyperlink>
        </w:p>
        <w:p w14:paraId="723FACB2" w14:textId="60D6DF39" w:rsidR="00417563" w:rsidRPr="009E7277" w:rsidRDefault="005F20A7" w:rsidP="009E7277">
          <w:pPr>
            <w:pStyle w:val="TOC2"/>
            <w:rPr>
              <w:rFonts w:ascii="Cambria" w:eastAsiaTheme="minorEastAsia" w:hAnsi="Cambria" w:cstheme="minorBidi"/>
              <w:b w:val="0"/>
              <w:noProof/>
              <w:sz w:val="24"/>
              <w:szCs w:val="24"/>
              <w:lang w:eastAsia="en-US"/>
            </w:rPr>
          </w:pPr>
          <w:hyperlink w:anchor="_Toc6093024" w:history="1">
            <w:r w:rsidR="00417563" w:rsidRPr="009E7277">
              <w:rPr>
                <w:rStyle w:val="Hyperlink"/>
                <w:rFonts w:ascii="Cambria" w:hAnsi="Cambria"/>
                <w:noProof/>
                <w:sz w:val="24"/>
                <w:szCs w:val="24"/>
                <w:lang w:val="fr-FR"/>
              </w:rPr>
              <w:t>5.1 Introduction</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_Toc6093024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64</w:t>
            </w:r>
            <w:r w:rsidR="00417563" w:rsidRPr="009E7277">
              <w:rPr>
                <w:rFonts w:ascii="Cambria" w:hAnsi="Cambria"/>
                <w:noProof/>
                <w:webHidden/>
                <w:sz w:val="24"/>
                <w:szCs w:val="24"/>
              </w:rPr>
              <w:fldChar w:fldCharType="end"/>
            </w:r>
          </w:hyperlink>
        </w:p>
        <w:p w14:paraId="0FD126D9" w14:textId="2C422A15" w:rsidR="00417563" w:rsidRPr="009E7277" w:rsidRDefault="005F20A7" w:rsidP="009E7277">
          <w:pPr>
            <w:pStyle w:val="TOC2"/>
            <w:rPr>
              <w:rFonts w:ascii="Cambria" w:eastAsiaTheme="minorEastAsia" w:hAnsi="Cambria" w:cstheme="minorBidi"/>
              <w:b w:val="0"/>
              <w:noProof/>
              <w:sz w:val="24"/>
              <w:szCs w:val="24"/>
              <w:lang w:eastAsia="en-US"/>
            </w:rPr>
          </w:pPr>
          <w:hyperlink w:anchor="_Toc6093025" w:history="1">
            <w:r w:rsidR="00417563" w:rsidRPr="009E7277">
              <w:rPr>
                <w:rStyle w:val="Hyperlink"/>
                <w:rFonts w:ascii="Cambria" w:hAnsi="Cambria"/>
                <w:noProof/>
                <w:sz w:val="24"/>
                <w:szCs w:val="24"/>
                <w:lang w:val="en-US"/>
              </w:rPr>
              <w:t>5.2 Methods</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_Toc6093025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65</w:t>
            </w:r>
            <w:r w:rsidR="00417563" w:rsidRPr="009E7277">
              <w:rPr>
                <w:rFonts w:ascii="Cambria" w:hAnsi="Cambria"/>
                <w:noProof/>
                <w:webHidden/>
                <w:sz w:val="24"/>
                <w:szCs w:val="24"/>
              </w:rPr>
              <w:fldChar w:fldCharType="end"/>
            </w:r>
          </w:hyperlink>
        </w:p>
        <w:p w14:paraId="65CC01CF" w14:textId="3DAF366C"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26" w:history="1">
            <w:r w:rsidR="00417563" w:rsidRPr="009E7277">
              <w:rPr>
                <w:rStyle w:val="Hyperlink"/>
                <w:rFonts w:ascii="Cambria" w:hAnsi="Cambria"/>
                <w:noProof/>
                <w:sz w:val="24"/>
                <w:szCs w:val="24"/>
                <w:lang w:val="en-US"/>
              </w:rPr>
              <w:t>5.2.1 Study Design and Participants</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_Toc6093026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65</w:t>
            </w:r>
            <w:r w:rsidR="00417563" w:rsidRPr="009E7277">
              <w:rPr>
                <w:rFonts w:ascii="Cambria" w:hAnsi="Cambria"/>
                <w:noProof/>
                <w:webHidden/>
                <w:sz w:val="24"/>
                <w:szCs w:val="24"/>
              </w:rPr>
              <w:fldChar w:fldCharType="end"/>
            </w:r>
          </w:hyperlink>
        </w:p>
        <w:p w14:paraId="5E6E5E21" w14:textId="57DFDB59"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27" w:history="1">
            <w:r w:rsidR="00417563" w:rsidRPr="009E7277">
              <w:rPr>
                <w:rStyle w:val="Hyperlink"/>
                <w:rFonts w:ascii="Cambria" w:hAnsi="Cambria"/>
                <w:noProof/>
                <w:sz w:val="24"/>
                <w:szCs w:val="24"/>
              </w:rPr>
              <w:t xml:space="preserve">5.2.2 </w:t>
            </w:r>
            <w:r w:rsidR="00417563" w:rsidRPr="009E7277">
              <w:rPr>
                <w:rStyle w:val="Hyperlink"/>
                <w:rFonts w:ascii="Cambria" w:hAnsi="Cambria"/>
                <w:noProof/>
                <w:sz w:val="24"/>
                <w:szCs w:val="24"/>
                <w:lang w:val="en-US"/>
              </w:rPr>
              <w:t>Neuropathy Assessment</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_Toc6093027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65</w:t>
            </w:r>
            <w:r w:rsidR="00417563" w:rsidRPr="009E7277">
              <w:rPr>
                <w:rFonts w:ascii="Cambria" w:hAnsi="Cambria"/>
                <w:noProof/>
                <w:webHidden/>
                <w:sz w:val="24"/>
                <w:szCs w:val="24"/>
              </w:rPr>
              <w:fldChar w:fldCharType="end"/>
            </w:r>
          </w:hyperlink>
        </w:p>
        <w:p w14:paraId="4B1E0276" w14:textId="7F766929"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28" w:history="1">
            <w:r w:rsidR="00417563" w:rsidRPr="009E7277">
              <w:rPr>
                <w:rStyle w:val="Hyperlink"/>
                <w:rFonts w:ascii="Cambria" w:hAnsi="Cambria"/>
                <w:noProof/>
                <w:sz w:val="24"/>
                <w:szCs w:val="24"/>
              </w:rPr>
              <w:t>5.2.3 Skin Biopsy</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_Toc6093028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66</w:t>
            </w:r>
            <w:r w:rsidR="00417563" w:rsidRPr="009E7277">
              <w:rPr>
                <w:rFonts w:ascii="Cambria" w:hAnsi="Cambria"/>
                <w:noProof/>
                <w:webHidden/>
                <w:sz w:val="24"/>
                <w:szCs w:val="24"/>
              </w:rPr>
              <w:fldChar w:fldCharType="end"/>
            </w:r>
          </w:hyperlink>
        </w:p>
        <w:p w14:paraId="595146FA" w14:textId="1F81CCF0"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29" w:history="1">
            <w:r w:rsidR="00417563" w:rsidRPr="009E7277">
              <w:rPr>
                <w:rStyle w:val="Hyperlink"/>
                <w:rFonts w:ascii="Cambria" w:hAnsi="Cambria"/>
                <w:noProof/>
                <w:sz w:val="24"/>
                <w:szCs w:val="24"/>
                <w:lang w:val="en-US"/>
              </w:rPr>
              <w:t>5.2.4 Immunohistochemistry</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_Toc6093029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66</w:t>
            </w:r>
            <w:r w:rsidR="00417563" w:rsidRPr="009E7277">
              <w:rPr>
                <w:rFonts w:ascii="Cambria" w:hAnsi="Cambria"/>
                <w:noProof/>
                <w:webHidden/>
                <w:sz w:val="24"/>
                <w:szCs w:val="24"/>
              </w:rPr>
              <w:fldChar w:fldCharType="end"/>
            </w:r>
          </w:hyperlink>
        </w:p>
        <w:p w14:paraId="1E1CC40E" w14:textId="7A7B2F15"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30" w:history="1">
            <w:r w:rsidR="00417563" w:rsidRPr="009E7277">
              <w:rPr>
                <w:rStyle w:val="Hyperlink"/>
                <w:rFonts w:ascii="Cambria" w:hAnsi="Cambria"/>
                <w:noProof/>
                <w:sz w:val="24"/>
                <w:szCs w:val="24"/>
                <w:lang w:val="en-US"/>
              </w:rPr>
              <w:t>5.2.5 Statistical Analysis</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_Toc6093030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67</w:t>
            </w:r>
            <w:r w:rsidR="00417563" w:rsidRPr="009E7277">
              <w:rPr>
                <w:rFonts w:ascii="Cambria" w:hAnsi="Cambria"/>
                <w:noProof/>
                <w:webHidden/>
                <w:sz w:val="24"/>
                <w:szCs w:val="24"/>
              </w:rPr>
              <w:fldChar w:fldCharType="end"/>
            </w:r>
          </w:hyperlink>
        </w:p>
        <w:p w14:paraId="509A21C1" w14:textId="7F77FD37" w:rsidR="00417563" w:rsidRPr="009E7277" w:rsidRDefault="005F20A7" w:rsidP="009E7277">
          <w:pPr>
            <w:pStyle w:val="TOC2"/>
            <w:rPr>
              <w:rFonts w:ascii="Cambria" w:eastAsiaTheme="minorEastAsia" w:hAnsi="Cambria" w:cstheme="minorBidi"/>
              <w:b w:val="0"/>
              <w:noProof/>
              <w:sz w:val="24"/>
              <w:szCs w:val="24"/>
              <w:lang w:eastAsia="en-US"/>
            </w:rPr>
          </w:pPr>
          <w:hyperlink w:anchor="_Toc6093031" w:history="1">
            <w:r w:rsidR="00417563" w:rsidRPr="009E7277">
              <w:rPr>
                <w:rStyle w:val="Hyperlink"/>
                <w:rFonts w:ascii="Cambria" w:hAnsi="Cambria"/>
                <w:noProof/>
                <w:sz w:val="24"/>
                <w:szCs w:val="24"/>
                <w:lang w:val="en-US"/>
              </w:rPr>
              <w:t>5.3 Results</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_Toc6093031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67</w:t>
            </w:r>
            <w:r w:rsidR="00417563" w:rsidRPr="009E7277">
              <w:rPr>
                <w:rFonts w:ascii="Cambria" w:hAnsi="Cambria"/>
                <w:noProof/>
                <w:webHidden/>
                <w:sz w:val="24"/>
                <w:szCs w:val="24"/>
              </w:rPr>
              <w:fldChar w:fldCharType="end"/>
            </w:r>
          </w:hyperlink>
        </w:p>
        <w:p w14:paraId="440DCCB1" w14:textId="03F30ACC"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32" w:history="1">
            <w:r w:rsidR="00417563" w:rsidRPr="009E7277">
              <w:rPr>
                <w:rStyle w:val="Hyperlink"/>
                <w:rFonts w:ascii="Cambria" w:hAnsi="Cambria"/>
                <w:noProof/>
                <w:sz w:val="24"/>
                <w:szCs w:val="24"/>
                <w:lang w:val="en-US"/>
              </w:rPr>
              <w:t>5.3.1 Intra-epidermal and Sub-epidermal Nerve Fibre Density</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_Toc6093032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70</w:t>
            </w:r>
            <w:r w:rsidR="00417563" w:rsidRPr="009E7277">
              <w:rPr>
                <w:rFonts w:ascii="Cambria" w:hAnsi="Cambria"/>
                <w:noProof/>
                <w:webHidden/>
                <w:sz w:val="24"/>
                <w:szCs w:val="24"/>
              </w:rPr>
              <w:fldChar w:fldCharType="end"/>
            </w:r>
          </w:hyperlink>
        </w:p>
        <w:p w14:paraId="60728B80" w14:textId="64E0D091"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33" w:history="1">
            <w:r w:rsidR="00417563" w:rsidRPr="009E7277">
              <w:rPr>
                <w:rStyle w:val="Hyperlink"/>
                <w:rFonts w:ascii="Cambria" w:hAnsi="Cambria"/>
                <w:noProof/>
                <w:sz w:val="24"/>
                <w:szCs w:val="24"/>
              </w:rPr>
              <w:t>5.3.2 Regenerating Nerve Fibres</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_Toc6093033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72</w:t>
            </w:r>
            <w:r w:rsidR="00417563" w:rsidRPr="009E7277">
              <w:rPr>
                <w:rFonts w:ascii="Cambria" w:hAnsi="Cambria"/>
                <w:noProof/>
                <w:webHidden/>
                <w:sz w:val="24"/>
                <w:szCs w:val="24"/>
              </w:rPr>
              <w:fldChar w:fldCharType="end"/>
            </w:r>
          </w:hyperlink>
        </w:p>
        <w:p w14:paraId="255E883D" w14:textId="79A9EBDE"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34" w:history="1">
            <w:r w:rsidR="00417563" w:rsidRPr="009E7277">
              <w:rPr>
                <w:rStyle w:val="Hyperlink"/>
                <w:rFonts w:ascii="Cambria" w:hAnsi="Cambria"/>
                <w:noProof/>
                <w:sz w:val="24"/>
                <w:szCs w:val="24"/>
                <w:lang w:val="en-US"/>
              </w:rPr>
              <w:t>5.3.3 Peptidergic Nerve Fibres</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_Toc6093034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74</w:t>
            </w:r>
            <w:r w:rsidR="00417563" w:rsidRPr="009E7277">
              <w:rPr>
                <w:rFonts w:ascii="Cambria" w:hAnsi="Cambria"/>
                <w:noProof/>
                <w:webHidden/>
                <w:sz w:val="24"/>
                <w:szCs w:val="24"/>
              </w:rPr>
              <w:fldChar w:fldCharType="end"/>
            </w:r>
          </w:hyperlink>
        </w:p>
        <w:p w14:paraId="369D64BA" w14:textId="26B4D741"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35" w:history="1">
            <w:r w:rsidR="00417563" w:rsidRPr="009E7277">
              <w:rPr>
                <w:rStyle w:val="Hyperlink"/>
                <w:rFonts w:ascii="Cambria" w:hAnsi="Cambria"/>
                <w:noProof/>
                <w:sz w:val="24"/>
                <w:szCs w:val="24"/>
                <w:lang w:val="pt-PT"/>
              </w:rPr>
              <w:t>5.3.4 Sub-epidermal Microvasculature</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_Toc6093035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76</w:t>
            </w:r>
            <w:r w:rsidR="00417563" w:rsidRPr="009E7277">
              <w:rPr>
                <w:rFonts w:ascii="Cambria" w:hAnsi="Cambria"/>
                <w:noProof/>
                <w:webHidden/>
                <w:sz w:val="24"/>
                <w:szCs w:val="24"/>
              </w:rPr>
              <w:fldChar w:fldCharType="end"/>
            </w:r>
          </w:hyperlink>
        </w:p>
        <w:p w14:paraId="4F2E01DF" w14:textId="16EBBD93" w:rsidR="00417563" w:rsidRPr="009E7277" w:rsidRDefault="005F20A7" w:rsidP="009E7277">
          <w:pPr>
            <w:pStyle w:val="TOC2"/>
            <w:rPr>
              <w:rFonts w:ascii="Cambria" w:eastAsiaTheme="minorEastAsia" w:hAnsi="Cambria" w:cstheme="minorBidi"/>
              <w:b w:val="0"/>
              <w:noProof/>
              <w:sz w:val="24"/>
              <w:szCs w:val="24"/>
              <w:lang w:eastAsia="en-US"/>
            </w:rPr>
          </w:pPr>
          <w:hyperlink w:anchor="_Toc6093036" w:history="1">
            <w:r w:rsidR="00417563" w:rsidRPr="009E7277">
              <w:rPr>
                <w:rStyle w:val="Hyperlink"/>
                <w:rFonts w:ascii="Cambria" w:hAnsi="Cambria"/>
                <w:noProof/>
                <w:sz w:val="24"/>
                <w:szCs w:val="24"/>
                <w:lang w:val="en-US"/>
              </w:rPr>
              <w:t>5.4 Discussion</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_Toc6093036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79</w:t>
            </w:r>
            <w:r w:rsidR="00417563" w:rsidRPr="009E7277">
              <w:rPr>
                <w:rFonts w:ascii="Cambria" w:hAnsi="Cambria"/>
                <w:noProof/>
                <w:webHidden/>
                <w:sz w:val="24"/>
                <w:szCs w:val="24"/>
              </w:rPr>
              <w:fldChar w:fldCharType="end"/>
            </w:r>
          </w:hyperlink>
        </w:p>
        <w:p w14:paraId="330A9ABC" w14:textId="2ABAFAE8" w:rsidR="00417563" w:rsidRPr="009E7277" w:rsidRDefault="005F20A7" w:rsidP="009E7277">
          <w:pPr>
            <w:pStyle w:val="TOC1"/>
            <w:jc w:val="both"/>
            <w:rPr>
              <w:rFonts w:eastAsiaTheme="minorEastAsia" w:cstheme="minorBidi"/>
              <w:noProof/>
              <w:lang w:eastAsia="en-US"/>
            </w:rPr>
          </w:pPr>
          <w:hyperlink w:anchor="_Toc6093037" w:history="1">
            <w:r w:rsidR="00417563" w:rsidRPr="009E7277">
              <w:rPr>
                <w:rStyle w:val="Hyperlink"/>
                <w:rFonts w:ascii="Cambria" w:hAnsi="Cambria"/>
                <w:noProof/>
                <w:lang w:val="en-US"/>
              </w:rPr>
              <w:t>6 Reduced Thalamic GABA in Patients with Painless Diabetic Peripheral Neuropathy: Relationship to Clinical, Neurophysiological and Skin Biopsy Measures</w:t>
            </w:r>
            <w:r w:rsidR="00417563" w:rsidRPr="009E7277">
              <w:rPr>
                <w:noProof/>
                <w:webHidden/>
              </w:rPr>
              <w:tab/>
            </w:r>
            <w:r w:rsidR="00417563" w:rsidRPr="009E7277">
              <w:rPr>
                <w:noProof/>
                <w:webHidden/>
              </w:rPr>
              <w:fldChar w:fldCharType="begin"/>
            </w:r>
            <w:r w:rsidR="00417563" w:rsidRPr="009E7277">
              <w:rPr>
                <w:noProof/>
                <w:webHidden/>
              </w:rPr>
              <w:instrText xml:space="preserve"> PAGEREF _Toc6093037 \h </w:instrText>
            </w:r>
            <w:r w:rsidR="00417563" w:rsidRPr="009E7277">
              <w:rPr>
                <w:noProof/>
                <w:webHidden/>
              </w:rPr>
            </w:r>
            <w:r w:rsidR="00417563" w:rsidRPr="009E7277">
              <w:rPr>
                <w:noProof/>
                <w:webHidden/>
              </w:rPr>
              <w:fldChar w:fldCharType="separate"/>
            </w:r>
            <w:r w:rsidR="00FD2D3D">
              <w:rPr>
                <w:noProof/>
                <w:webHidden/>
              </w:rPr>
              <w:t>84</w:t>
            </w:r>
            <w:r w:rsidR="00417563" w:rsidRPr="009E7277">
              <w:rPr>
                <w:noProof/>
                <w:webHidden/>
              </w:rPr>
              <w:fldChar w:fldCharType="end"/>
            </w:r>
          </w:hyperlink>
        </w:p>
        <w:p w14:paraId="38DEE627" w14:textId="28383DB2" w:rsidR="00417563" w:rsidRPr="009E7277" w:rsidRDefault="005F20A7" w:rsidP="009E7277">
          <w:pPr>
            <w:pStyle w:val="TOC2"/>
            <w:rPr>
              <w:rFonts w:ascii="Cambria" w:eastAsiaTheme="minorEastAsia" w:hAnsi="Cambria" w:cstheme="minorBidi"/>
              <w:b w:val="0"/>
              <w:noProof/>
              <w:sz w:val="24"/>
              <w:szCs w:val="24"/>
              <w:lang w:eastAsia="en-US"/>
            </w:rPr>
          </w:pPr>
          <w:hyperlink w:anchor="_Toc6093038" w:history="1">
            <w:r w:rsidR="00417563" w:rsidRPr="009E7277">
              <w:rPr>
                <w:rStyle w:val="Hyperlink"/>
                <w:rFonts w:ascii="Cambria" w:hAnsi="Cambria"/>
                <w:noProof/>
                <w:sz w:val="24"/>
                <w:szCs w:val="24"/>
                <w:lang w:val="fr-FR"/>
              </w:rPr>
              <w:t>6.1 Introduction</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_Toc6093038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84</w:t>
            </w:r>
            <w:r w:rsidR="00417563" w:rsidRPr="009E7277">
              <w:rPr>
                <w:rFonts w:ascii="Cambria" w:hAnsi="Cambria"/>
                <w:noProof/>
                <w:webHidden/>
                <w:sz w:val="24"/>
                <w:szCs w:val="24"/>
              </w:rPr>
              <w:fldChar w:fldCharType="end"/>
            </w:r>
          </w:hyperlink>
        </w:p>
        <w:p w14:paraId="5A30476C" w14:textId="71F58084" w:rsidR="00417563" w:rsidRPr="009E7277" w:rsidRDefault="005F20A7" w:rsidP="009E7277">
          <w:pPr>
            <w:pStyle w:val="TOC2"/>
            <w:rPr>
              <w:rFonts w:ascii="Cambria" w:eastAsiaTheme="minorEastAsia" w:hAnsi="Cambria" w:cstheme="minorBidi"/>
              <w:b w:val="0"/>
              <w:noProof/>
              <w:sz w:val="24"/>
              <w:szCs w:val="24"/>
              <w:lang w:eastAsia="en-US"/>
            </w:rPr>
          </w:pPr>
          <w:hyperlink w:anchor="_Toc6093039" w:history="1">
            <w:r w:rsidR="00417563" w:rsidRPr="009E7277">
              <w:rPr>
                <w:rStyle w:val="Hyperlink"/>
                <w:rFonts w:ascii="Cambria" w:hAnsi="Cambria"/>
                <w:noProof/>
                <w:sz w:val="24"/>
                <w:szCs w:val="24"/>
                <w:lang w:val="en-US"/>
              </w:rPr>
              <w:t>6.2 Methods</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_Toc6093039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85</w:t>
            </w:r>
            <w:r w:rsidR="00417563" w:rsidRPr="009E7277">
              <w:rPr>
                <w:rFonts w:ascii="Cambria" w:hAnsi="Cambria"/>
                <w:noProof/>
                <w:webHidden/>
                <w:sz w:val="24"/>
                <w:szCs w:val="24"/>
              </w:rPr>
              <w:fldChar w:fldCharType="end"/>
            </w:r>
          </w:hyperlink>
        </w:p>
        <w:p w14:paraId="0930F199" w14:textId="0BB68640"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40" w:history="1">
            <w:r w:rsidR="00417563" w:rsidRPr="009E7277">
              <w:rPr>
                <w:rStyle w:val="Hyperlink"/>
                <w:rFonts w:ascii="Cambria" w:hAnsi="Cambria"/>
                <w:noProof/>
                <w:sz w:val="24"/>
                <w:szCs w:val="24"/>
                <w:lang w:val="en-US"/>
              </w:rPr>
              <w:t>6.2.1 Subjects</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_Toc6093040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85</w:t>
            </w:r>
            <w:r w:rsidR="00417563" w:rsidRPr="009E7277">
              <w:rPr>
                <w:rFonts w:ascii="Cambria" w:hAnsi="Cambria"/>
                <w:noProof/>
                <w:webHidden/>
                <w:sz w:val="24"/>
                <w:szCs w:val="24"/>
              </w:rPr>
              <w:fldChar w:fldCharType="end"/>
            </w:r>
          </w:hyperlink>
        </w:p>
        <w:p w14:paraId="35B13B9F" w14:textId="2D2D583F"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41" w:history="1">
            <w:r w:rsidR="00417563" w:rsidRPr="009E7277">
              <w:rPr>
                <w:rStyle w:val="Hyperlink"/>
                <w:rFonts w:ascii="Cambria" w:hAnsi="Cambria"/>
                <w:noProof/>
                <w:sz w:val="24"/>
                <w:szCs w:val="24"/>
                <w:lang w:val="en-US"/>
              </w:rPr>
              <w:t>6.2.2 Neuropathy Assessment</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_Toc6093041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85</w:t>
            </w:r>
            <w:r w:rsidR="00417563" w:rsidRPr="009E7277">
              <w:rPr>
                <w:rFonts w:ascii="Cambria" w:hAnsi="Cambria"/>
                <w:noProof/>
                <w:webHidden/>
                <w:sz w:val="24"/>
                <w:szCs w:val="24"/>
              </w:rPr>
              <w:fldChar w:fldCharType="end"/>
            </w:r>
          </w:hyperlink>
        </w:p>
        <w:p w14:paraId="6B490FB6" w14:textId="58AACF74"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42" w:history="1">
            <w:r w:rsidR="00417563" w:rsidRPr="009E7277">
              <w:rPr>
                <w:rStyle w:val="Hyperlink"/>
                <w:rFonts w:ascii="Cambria" w:hAnsi="Cambria"/>
                <w:noProof/>
                <w:sz w:val="24"/>
                <w:szCs w:val="24"/>
                <w:lang w:val="en-US"/>
              </w:rPr>
              <w:t>6.2.3 Skin Biopsy Procedure</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_Toc6093042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86</w:t>
            </w:r>
            <w:r w:rsidR="00417563" w:rsidRPr="009E7277">
              <w:rPr>
                <w:rFonts w:ascii="Cambria" w:hAnsi="Cambria"/>
                <w:noProof/>
                <w:webHidden/>
                <w:sz w:val="24"/>
                <w:szCs w:val="24"/>
              </w:rPr>
              <w:fldChar w:fldCharType="end"/>
            </w:r>
          </w:hyperlink>
        </w:p>
        <w:p w14:paraId="6CECA7DC" w14:textId="1C412076"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43" w:history="1">
            <w:r w:rsidR="00417563" w:rsidRPr="009E7277">
              <w:rPr>
                <w:rStyle w:val="Hyperlink"/>
                <w:rFonts w:ascii="Cambria" w:hAnsi="Cambria"/>
                <w:noProof/>
                <w:sz w:val="24"/>
                <w:szCs w:val="24"/>
                <w:lang w:val="it-IT"/>
              </w:rPr>
              <w:t>6.2.4 MRS Protocol</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_Toc6093043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86</w:t>
            </w:r>
            <w:r w:rsidR="00417563" w:rsidRPr="009E7277">
              <w:rPr>
                <w:rFonts w:ascii="Cambria" w:hAnsi="Cambria"/>
                <w:noProof/>
                <w:webHidden/>
                <w:sz w:val="24"/>
                <w:szCs w:val="24"/>
              </w:rPr>
              <w:fldChar w:fldCharType="end"/>
            </w:r>
          </w:hyperlink>
        </w:p>
        <w:p w14:paraId="4DF08EBE" w14:textId="1D602566" w:rsidR="00417563" w:rsidRPr="009E7277" w:rsidRDefault="005F20A7" w:rsidP="009E7277">
          <w:pPr>
            <w:pStyle w:val="TOC3"/>
            <w:tabs>
              <w:tab w:val="right" w:leader="dot" w:pos="9010"/>
            </w:tabs>
            <w:spacing w:line="480" w:lineRule="auto"/>
            <w:rPr>
              <w:rFonts w:ascii="Cambria" w:eastAsiaTheme="minorEastAsia" w:hAnsi="Cambria" w:cstheme="minorBidi"/>
              <w:noProof/>
              <w:sz w:val="24"/>
              <w:szCs w:val="24"/>
              <w:lang w:eastAsia="en-US"/>
            </w:rPr>
          </w:pPr>
          <w:hyperlink w:anchor="_Toc6093044" w:history="1">
            <w:r w:rsidR="00417563" w:rsidRPr="009E7277">
              <w:rPr>
                <w:rStyle w:val="Hyperlink"/>
                <w:rFonts w:ascii="Cambria" w:hAnsi="Cambria"/>
                <w:noProof/>
                <w:sz w:val="24"/>
                <w:szCs w:val="24"/>
                <w:lang w:val="en-US"/>
              </w:rPr>
              <w:t>6.2.5 Statistical Analysis</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_Toc6093044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88</w:t>
            </w:r>
            <w:r w:rsidR="00417563" w:rsidRPr="009E7277">
              <w:rPr>
                <w:rFonts w:ascii="Cambria" w:hAnsi="Cambria"/>
                <w:noProof/>
                <w:webHidden/>
                <w:sz w:val="24"/>
                <w:szCs w:val="24"/>
              </w:rPr>
              <w:fldChar w:fldCharType="end"/>
            </w:r>
          </w:hyperlink>
        </w:p>
        <w:p w14:paraId="20A0F78D" w14:textId="4572EA32" w:rsidR="00417563" w:rsidRPr="009E7277" w:rsidRDefault="005F20A7" w:rsidP="009E7277">
          <w:pPr>
            <w:pStyle w:val="TOC2"/>
            <w:rPr>
              <w:rFonts w:ascii="Cambria" w:eastAsiaTheme="minorEastAsia" w:hAnsi="Cambria" w:cstheme="minorBidi"/>
              <w:b w:val="0"/>
              <w:noProof/>
              <w:sz w:val="24"/>
              <w:szCs w:val="24"/>
              <w:lang w:eastAsia="en-US"/>
            </w:rPr>
          </w:pPr>
          <w:hyperlink w:anchor="_Toc6093045" w:history="1">
            <w:r w:rsidR="00417563" w:rsidRPr="009E7277">
              <w:rPr>
                <w:rStyle w:val="Hyperlink"/>
                <w:rFonts w:ascii="Cambria" w:hAnsi="Cambria"/>
                <w:noProof/>
                <w:sz w:val="24"/>
                <w:szCs w:val="24"/>
                <w:lang w:val="en-US"/>
              </w:rPr>
              <w:t>6.3 Results</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_Toc6093045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88</w:t>
            </w:r>
            <w:r w:rsidR="00417563" w:rsidRPr="009E7277">
              <w:rPr>
                <w:rFonts w:ascii="Cambria" w:hAnsi="Cambria"/>
                <w:noProof/>
                <w:webHidden/>
                <w:sz w:val="24"/>
                <w:szCs w:val="24"/>
              </w:rPr>
              <w:fldChar w:fldCharType="end"/>
            </w:r>
          </w:hyperlink>
        </w:p>
        <w:p w14:paraId="5A459E9C" w14:textId="6996B461" w:rsidR="00417563" w:rsidRPr="009E7277" w:rsidRDefault="005F20A7" w:rsidP="009E7277">
          <w:pPr>
            <w:pStyle w:val="TOC2"/>
            <w:rPr>
              <w:rFonts w:ascii="Cambria" w:eastAsiaTheme="minorEastAsia" w:hAnsi="Cambria" w:cstheme="minorBidi"/>
              <w:b w:val="0"/>
              <w:noProof/>
              <w:sz w:val="24"/>
              <w:szCs w:val="24"/>
              <w:lang w:eastAsia="en-US"/>
            </w:rPr>
          </w:pPr>
          <w:hyperlink w:anchor="_Toc6093046" w:history="1">
            <w:r w:rsidR="00417563" w:rsidRPr="009E7277">
              <w:rPr>
                <w:rStyle w:val="Hyperlink"/>
                <w:rFonts w:ascii="Cambria" w:hAnsi="Cambria"/>
                <w:noProof/>
                <w:sz w:val="24"/>
                <w:szCs w:val="24"/>
                <w:lang w:val="en-US"/>
              </w:rPr>
              <w:t>6.4 Discussion</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_Toc6093046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94</w:t>
            </w:r>
            <w:r w:rsidR="00417563" w:rsidRPr="009E7277">
              <w:rPr>
                <w:rFonts w:ascii="Cambria" w:hAnsi="Cambria"/>
                <w:noProof/>
                <w:webHidden/>
                <w:sz w:val="24"/>
                <w:szCs w:val="24"/>
              </w:rPr>
              <w:fldChar w:fldCharType="end"/>
            </w:r>
          </w:hyperlink>
        </w:p>
        <w:p w14:paraId="3BE29DF7" w14:textId="404118DC" w:rsidR="00417563" w:rsidRPr="009E7277" w:rsidRDefault="005F20A7" w:rsidP="00A3323D">
          <w:pPr>
            <w:pStyle w:val="TOC1"/>
            <w:rPr>
              <w:rFonts w:eastAsiaTheme="minorEastAsia" w:cstheme="minorBidi"/>
              <w:noProof/>
              <w:lang w:eastAsia="en-US"/>
            </w:rPr>
          </w:pPr>
          <w:hyperlink w:anchor="_Toc6093047" w:history="1">
            <w:r w:rsidR="00417563" w:rsidRPr="009E7277">
              <w:rPr>
                <w:rStyle w:val="Hyperlink"/>
                <w:rFonts w:ascii="Cambria" w:hAnsi="Cambria"/>
                <w:noProof/>
                <w:lang w:val="it-IT"/>
              </w:rPr>
              <w:t>7 Conclusion</w:t>
            </w:r>
            <w:r w:rsidR="00417563" w:rsidRPr="009E7277">
              <w:rPr>
                <w:noProof/>
                <w:webHidden/>
              </w:rPr>
              <w:tab/>
            </w:r>
            <w:r w:rsidR="00417563" w:rsidRPr="009E7277">
              <w:rPr>
                <w:noProof/>
                <w:webHidden/>
              </w:rPr>
              <w:fldChar w:fldCharType="begin"/>
            </w:r>
            <w:r w:rsidR="00417563" w:rsidRPr="009E7277">
              <w:rPr>
                <w:noProof/>
                <w:webHidden/>
              </w:rPr>
              <w:instrText xml:space="preserve"> PAGEREF _Toc6093047 \h </w:instrText>
            </w:r>
            <w:r w:rsidR="00417563" w:rsidRPr="009E7277">
              <w:rPr>
                <w:noProof/>
                <w:webHidden/>
              </w:rPr>
            </w:r>
            <w:r w:rsidR="00417563" w:rsidRPr="009E7277">
              <w:rPr>
                <w:noProof/>
                <w:webHidden/>
              </w:rPr>
              <w:fldChar w:fldCharType="separate"/>
            </w:r>
            <w:r w:rsidR="00FD2D3D">
              <w:rPr>
                <w:noProof/>
                <w:webHidden/>
              </w:rPr>
              <w:t>9</w:t>
            </w:r>
            <w:r w:rsidR="00A3323D">
              <w:rPr>
                <w:noProof/>
                <w:webHidden/>
              </w:rPr>
              <w:t>9</w:t>
            </w:r>
            <w:r w:rsidR="00417563" w:rsidRPr="009E7277">
              <w:rPr>
                <w:noProof/>
                <w:webHidden/>
              </w:rPr>
              <w:fldChar w:fldCharType="end"/>
            </w:r>
          </w:hyperlink>
        </w:p>
        <w:p w14:paraId="7FD2D7A8" w14:textId="38E0E750" w:rsidR="00417563" w:rsidRPr="009E7277" w:rsidRDefault="005F20A7" w:rsidP="00D82AF8">
          <w:pPr>
            <w:pStyle w:val="TOC2"/>
            <w:rPr>
              <w:rFonts w:ascii="Cambria" w:eastAsiaTheme="minorEastAsia" w:hAnsi="Cambria" w:cstheme="minorBidi"/>
              <w:b w:val="0"/>
              <w:noProof/>
              <w:sz w:val="24"/>
              <w:szCs w:val="24"/>
              <w:lang w:eastAsia="en-US"/>
            </w:rPr>
          </w:pPr>
          <w:hyperlink w:anchor="_Toc6093048" w:history="1">
            <w:r w:rsidR="00417563" w:rsidRPr="009E7277">
              <w:rPr>
                <w:rStyle w:val="Hyperlink"/>
                <w:rFonts w:ascii="Cambria" w:hAnsi="Cambria"/>
                <w:noProof/>
                <w:sz w:val="24"/>
                <w:szCs w:val="24"/>
                <w:lang w:val="en-US"/>
              </w:rPr>
              <w:t>7.1 Limitations of the Study and Future studies</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_Toc6093048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10</w:t>
            </w:r>
            <w:r w:rsidR="00D82AF8">
              <w:rPr>
                <w:rFonts w:ascii="Cambria" w:hAnsi="Cambria"/>
                <w:noProof/>
                <w:webHidden/>
                <w:sz w:val="24"/>
                <w:szCs w:val="24"/>
              </w:rPr>
              <w:t>2</w:t>
            </w:r>
            <w:r w:rsidR="00417563" w:rsidRPr="009E7277">
              <w:rPr>
                <w:rFonts w:ascii="Cambria" w:hAnsi="Cambria"/>
                <w:noProof/>
                <w:webHidden/>
                <w:sz w:val="24"/>
                <w:szCs w:val="24"/>
              </w:rPr>
              <w:fldChar w:fldCharType="end"/>
            </w:r>
          </w:hyperlink>
        </w:p>
        <w:p w14:paraId="56A83A72" w14:textId="5A382964" w:rsidR="00417563" w:rsidRPr="009E7277" w:rsidRDefault="005F20A7" w:rsidP="00D82AF8">
          <w:pPr>
            <w:pStyle w:val="TOC2"/>
            <w:rPr>
              <w:rFonts w:ascii="Cambria" w:eastAsiaTheme="minorEastAsia" w:hAnsi="Cambria" w:cstheme="minorBidi"/>
              <w:b w:val="0"/>
              <w:noProof/>
              <w:sz w:val="24"/>
              <w:szCs w:val="24"/>
              <w:lang w:eastAsia="en-US"/>
            </w:rPr>
          </w:pPr>
          <w:hyperlink w:anchor="_Toc6093049" w:history="1">
            <w:r w:rsidR="00417563" w:rsidRPr="009E7277">
              <w:rPr>
                <w:rStyle w:val="Hyperlink"/>
                <w:rFonts w:ascii="Cambria" w:hAnsi="Cambria"/>
                <w:noProof/>
                <w:sz w:val="24"/>
                <w:szCs w:val="24"/>
                <w:lang w:val="en-US"/>
              </w:rPr>
              <w:t>7.2 Future Prospects</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_Toc6093049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10</w:t>
            </w:r>
            <w:r w:rsidR="00D82AF8">
              <w:rPr>
                <w:rFonts w:ascii="Cambria" w:hAnsi="Cambria"/>
                <w:noProof/>
                <w:webHidden/>
                <w:sz w:val="24"/>
                <w:szCs w:val="24"/>
              </w:rPr>
              <w:t>3</w:t>
            </w:r>
            <w:r w:rsidR="00417563" w:rsidRPr="009E7277">
              <w:rPr>
                <w:rFonts w:ascii="Cambria" w:hAnsi="Cambria"/>
                <w:noProof/>
                <w:webHidden/>
                <w:sz w:val="24"/>
                <w:szCs w:val="24"/>
              </w:rPr>
              <w:fldChar w:fldCharType="end"/>
            </w:r>
          </w:hyperlink>
        </w:p>
        <w:p w14:paraId="0ED70F58" w14:textId="4F49D080" w:rsidR="00417563" w:rsidRPr="009E7277" w:rsidRDefault="005F20A7" w:rsidP="009E7277">
          <w:pPr>
            <w:pStyle w:val="TOC1"/>
            <w:rPr>
              <w:rFonts w:eastAsiaTheme="minorEastAsia" w:cstheme="minorBidi"/>
              <w:noProof/>
              <w:lang w:eastAsia="en-US"/>
            </w:rPr>
          </w:pPr>
          <w:hyperlink w:anchor="_Toc6093050" w:history="1">
            <w:r w:rsidR="00417563" w:rsidRPr="009E7277">
              <w:rPr>
                <w:rStyle w:val="Hyperlink"/>
                <w:rFonts w:ascii="Cambria" w:hAnsi="Cambria" w:cs="Arial"/>
                <w:noProof/>
              </w:rPr>
              <w:t>8 Research Output</w:t>
            </w:r>
            <w:r w:rsidR="00417563" w:rsidRPr="009E7277">
              <w:rPr>
                <w:noProof/>
                <w:webHidden/>
              </w:rPr>
              <w:tab/>
            </w:r>
            <w:r w:rsidR="00417563" w:rsidRPr="009E7277">
              <w:rPr>
                <w:noProof/>
                <w:webHidden/>
              </w:rPr>
              <w:fldChar w:fldCharType="begin"/>
            </w:r>
            <w:r w:rsidR="00417563" w:rsidRPr="009E7277">
              <w:rPr>
                <w:noProof/>
                <w:webHidden/>
              </w:rPr>
              <w:instrText xml:space="preserve"> PAGEREF _Toc6093050 \h </w:instrText>
            </w:r>
            <w:r w:rsidR="00417563" w:rsidRPr="009E7277">
              <w:rPr>
                <w:noProof/>
                <w:webHidden/>
              </w:rPr>
            </w:r>
            <w:r w:rsidR="00417563" w:rsidRPr="009E7277">
              <w:rPr>
                <w:noProof/>
                <w:webHidden/>
              </w:rPr>
              <w:fldChar w:fldCharType="separate"/>
            </w:r>
            <w:r w:rsidR="00FD2D3D">
              <w:rPr>
                <w:noProof/>
                <w:webHidden/>
              </w:rPr>
              <w:t>105</w:t>
            </w:r>
            <w:r w:rsidR="00417563" w:rsidRPr="009E7277">
              <w:rPr>
                <w:noProof/>
                <w:webHidden/>
              </w:rPr>
              <w:fldChar w:fldCharType="end"/>
            </w:r>
          </w:hyperlink>
        </w:p>
        <w:p w14:paraId="6B7453F8" w14:textId="26CD0F24" w:rsidR="00417563" w:rsidRPr="009E7277" w:rsidRDefault="005F20A7" w:rsidP="009E7277">
          <w:pPr>
            <w:pStyle w:val="TOC2"/>
            <w:rPr>
              <w:rFonts w:ascii="Cambria" w:eastAsiaTheme="minorEastAsia" w:hAnsi="Cambria" w:cstheme="minorBidi"/>
              <w:b w:val="0"/>
              <w:noProof/>
              <w:sz w:val="24"/>
              <w:szCs w:val="24"/>
              <w:lang w:eastAsia="en-US"/>
            </w:rPr>
          </w:pPr>
          <w:hyperlink w:anchor="_Toc6093051" w:history="1">
            <w:r w:rsidR="00417563" w:rsidRPr="009E7277">
              <w:rPr>
                <w:rStyle w:val="Hyperlink"/>
                <w:rFonts w:ascii="Cambria" w:hAnsi="Cambria" w:cs="Arial"/>
                <w:noProof/>
                <w:sz w:val="24"/>
                <w:szCs w:val="24"/>
              </w:rPr>
              <w:t>8.1 Peer reviewed first author papers</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_Toc6093051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105</w:t>
            </w:r>
            <w:r w:rsidR="00417563" w:rsidRPr="009E7277">
              <w:rPr>
                <w:rFonts w:ascii="Cambria" w:hAnsi="Cambria"/>
                <w:noProof/>
                <w:webHidden/>
                <w:sz w:val="24"/>
                <w:szCs w:val="24"/>
              </w:rPr>
              <w:fldChar w:fldCharType="end"/>
            </w:r>
          </w:hyperlink>
        </w:p>
        <w:p w14:paraId="68C6495A" w14:textId="2F8333CA" w:rsidR="00417563" w:rsidRPr="009E7277" w:rsidRDefault="005F20A7" w:rsidP="009E7277">
          <w:pPr>
            <w:pStyle w:val="TOC2"/>
            <w:rPr>
              <w:rFonts w:ascii="Cambria" w:eastAsiaTheme="minorEastAsia" w:hAnsi="Cambria" w:cstheme="minorBidi"/>
              <w:b w:val="0"/>
              <w:noProof/>
              <w:sz w:val="24"/>
              <w:szCs w:val="24"/>
              <w:lang w:eastAsia="en-US"/>
            </w:rPr>
          </w:pPr>
          <w:hyperlink w:anchor="_Toc6093052" w:history="1">
            <w:r w:rsidR="00417563" w:rsidRPr="009E7277">
              <w:rPr>
                <w:rStyle w:val="Hyperlink"/>
                <w:rFonts w:ascii="Cambria" w:hAnsi="Cambria" w:cs="Arial"/>
                <w:noProof/>
                <w:sz w:val="24"/>
                <w:szCs w:val="24"/>
                <w:lang w:eastAsia="zh-CN"/>
              </w:rPr>
              <w:t>8.2 Peer reviewed first author paper submitted</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_Toc6093052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105</w:t>
            </w:r>
            <w:r w:rsidR="00417563" w:rsidRPr="009E7277">
              <w:rPr>
                <w:rFonts w:ascii="Cambria" w:hAnsi="Cambria"/>
                <w:noProof/>
                <w:webHidden/>
                <w:sz w:val="24"/>
                <w:szCs w:val="24"/>
              </w:rPr>
              <w:fldChar w:fldCharType="end"/>
            </w:r>
          </w:hyperlink>
        </w:p>
        <w:p w14:paraId="19F8F011" w14:textId="16433E8E" w:rsidR="00417563" w:rsidRPr="009E7277" w:rsidRDefault="005F20A7" w:rsidP="009E7277">
          <w:pPr>
            <w:pStyle w:val="TOC2"/>
            <w:rPr>
              <w:rFonts w:ascii="Cambria" w:eastAsiaTheme="minorEastAsia" w:hAnsi="Cambria" w:cstheme="minorBidi"/>
              <w:b w:val="0"/>
              <w:noProof/>
              <w:sz w:val="24"/>
              <w:szCs w:val="24"/>
              <w:lang w:eastAsia="en-US"/>
            </w:rPr>
          </w:pPr>
          <w:hyperlink w:anchor="_Toc6093053" w:history="1">
            <w:r w:rsidR="00417563" w:rsidRPr="009E7277">
              <w:rPr>
                <w:rStyle w:val="Hyperlink"/>
                <w:rFonts w:ascii="Cambria" w:eastAsia="Times New Roman" w:hAnsi="Cambria" w:cs="Arial"/>
                <w:noProof/>
                <w:sz w:val="24"/>
                <w:szCs w:val="24"/>
                <w:lang w:eastAsia="zh-CN"/>
              </w:rPr>
              <w:t>8.3</w:t>
            </w:r>
            <w:r w:rsidR="00417563" w:rsidRPr="009E7277">
              <w:rPr>
                <w:rStyle w:val="Hyperlink"/>
                <w:rFonts w:ascii="Cambria" w:hAnsi="Cambria" w:cs="Arial"/>
                <w:noProof/>
                <w:sz w:val="24"/>
                <w:szCs w:val="24"/>
              </w:rPr>
              <w:t xml:space="preserve"> Peer reviewed other papers published</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_Toc6093053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105</w:t>
            </w:r>
            <w:r w:rsidR="00417563" w:rsidRPr="009E7277">
              <w:rPr>
                <w:rFonts w:ascii="Cambria" w:hAnsi="Cambria"/>
                <w:noProof/>
                <w:webHidden/>
                <w:sz w:val="24"/>
                <w:szCs w:val="24"/>
              </w:rPr>
              <w:fldChar w:fldCharType="end"/>
            </w:r>
          </w:hyperlink>
        </w:p>
        <w:p w14:paraId="7E1E8501" w14:textId="0D7342F2" w:rsidR="00417563" w:rsidRPr="009E7277" w:rsidRDefault="005F20A7" w:rsidP="009E7277">
          <w:pPr>
            <w:pStyle w:val="TOC2"/>
            <w:rPr>
              <w:rFonts w:ascii="Cambria" w:eastAsiaTheme="minorEastAsia" w:hAnsi="Cambria" w:cstheme="minorBidi"/>
              <w:b w:val="0"/>
              <w:noProof/>
              <w:sz w:val="24"/>
              <w:szCs w:val="24"/>
              <w:lang w:eastAsia="en-US"/>
            </w:rPr>
          </w:pPr>
          <w:hyperlink w:anchor="_Toc6093054" w:history="1">
            <w:r w:rsidR="00417563" w:rsidRPr="009E7277">
              <w:rPr>
                <w:rStyle w:val="Hyperlink"/>
                <w:rFonts w:ascii="Cambria" w:hAnsi="Cambria" w:cs="Arial"/>
                <w:noProof/>
                <w:sz w:val="24"/>
                <w:szCs w:val="24"/>
              </w:rPr>
              <w:t>8.4 International and national oral presentations</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_Toc6093054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1</w:t>
            </w:r>
            <w:r w:rsidR="008F09AD">
              <w:rPr>
                <w:rFonts w:ascii="Cambria" w:hAnsi="Cambria"/>
                <w:noProof/>
                <w:webHidden/>
                <w:sz w:val="24"/>
                <w:szCs w:val="24"/>
              </w:rPr>
              <w:t>06</w:t>
            </w:r>
            <w:r w:rsidR="00417563" w:rsidRPr="009E7277">
              <w:rPr>
                <w:rFonts w:ascii="Cambria" w:hAnsi="Cambria"/>
                <w:noProof/>
                <w:webHidden/>
                <w:sz w:val="24"/>
                <w:szCs w:val="24"/>
              </w:rPr>
              <w:fldChar w:fldCharType="end"/>
            </w:r>
          </w:hyperlink>
        </w:p>
        <w:p w14:paraId="73E1667B" w14:textId="12AFDB36" w:rsidR="00417563" w:rsidRPr="009E7277" w:rsidRDefault="005F20A7" w:rsidP="009E7277">
          <w:pPr>
            <w:pStyle w:val="TOC2"/>
            <w:rPr>
              <w:rFonts w:ascii="Cambria" w:eastAsiaTheme="minorEastAsia" w:hAnsi="Cambria" w:cstheme="minorBidi"/>
              <w:b w:val="0"/>
              <w:noProof/>
              <w:sz w:val="24"/>
              <w:szCs w:val="24"/>
              <w:lang w:eastAsia="en-US"/>
            </w:rPr>
          </w:pPr>
          <w:hyperlink w:anchor="_Toc6093055" w:history="1">
            <w:r w:rsidR="00417563" w:rsidRPr="009E7277">
              <w:rPr>
                <w:rStyle w:val="Hyperlink"/>
                <w:rFonts w:ascii="Cambria" w:hAnsi="Cambria" w:cs="Arial"/>
                <w:noProof/>
                <w:sz w:val="24"/>
                <w:szCs w:val="24"/>
              </w:rPr>
              <w:t>8.5 Awards</w:t>
            </w:r>
            <w:r w:rsidR="00417563" w:rsidRPr="009E7277">
              <w:rPr>
                <w:rFonts w:ascii="Cambria" w:hAnsi="Cambria"/>
                <w:noProof/>
                <w:webHidden/>
                <w:sz w:val="24"/>
                <w:szCs w:val="24"/>
              </w:rPr>
              <w:tab/>
            </w:r>
            <w:r w:rsidR="00417563" w:rsidRPr="009E7277">
              <w:rPr>
                <w:rFonts w:ascii="Cambria" w:hAnsi="Cambria"/>
                <w:noProof/>
                <w:webHidden/>
                <w:sz w:val="24"/>
                <w:szCs w:val="24"/>
              </w:rPr>
              <w:fldChar w:fldCharType="begin"/>
            </w:r>
            <w:r w:rsidR="00417563" w:rsidRPr="009E7277">
              <w:rPr>
                <w:rFonts w:ascii="Cambria" w:hAnsi="Cambria"/>
                <w:noProof/>
                <w:webHidden/>
                <w:sz w:val="24"/>
                <w:szCs w:val="24"/>
              </w:rPr>
              <w:instrText xml:space="preserve"> PAGEREF _Toc6093055 \h </w:instrText>
            </w:r>
            <w:r w:rsidR="00417563" w:rsidRPr="009E7277">
              <w:rPr>
                <w:rFonts w:ascii="Cambria" w:hAnsi="Cambria"/>
                <w:noProof/>
                <w:webHidden/>
                <w:sz w:val="24"/>
                <w:szCs w:val="24"/>
              </w:rPr>
            </w:r>
            <w:r w:rsidR="00417563" w:rsidRPr="009E7277">
              <w:rPr>
                <w:rFonts w:ascii="Cambria" w:hAnsi="Cambria"/>
                <w:noProof/>
                <w:webHidden/>
                <w:sz w:val="24"/>
                <w:szCs w:val="24"/>
              </w:rPr>
              <w:fldChar w:fldCharType="separate"/>
            </w:r>
            <w:r w:rsidR="00FD2D3D">
              <w:rPr>
                <w:rFonts w:ascii="Cambria" w:hAnsi="Cambria"/>
                <w:noProof/>
                <w:webHidden/>
                <w:sz w:val="24"/>
                <w:szCs w:val="24"/>
              </w:rPr>
              <w:t>10</w:t>
            </w:r>
            <w:r w:rsidR="008F09AD">
              <w:rPr>
                <w:rFonts w:ascii="Cambria" w:hAnsi="Cambria"/>
                <w:noProof/>
                <w:webHidden/>
                <w:sz w:val="24"/>
                <w:szCs w:val="24"/>
              </w:rPr>
              <w:t>7</w:t>
            </w:r>
            <w:r w:rsidR="00417563" w:rsidRPr="009E7277">
              <w:rPr>
                <w:rFonts w:ascii="Cambria" w:hAnsi="Cambria"/>
                <w:noProof/>
                <w:webHidden/>
                <w:sz w:val="24"/>
                <w:szCs w:val="24"/>
              </w:rPr>
              <w:fldChar w:fldCharType="end"/>
            </w:r>
          </w:hyperlink>
        </w:p>
        <w:p w14:paraId="0AC536BD" w14:textId="4D31E5FA" w:rsidR="00320565" w:rsidRPr="009E7277" w:rsidRDefault="00320565" w:rsidP="009E7277">
          <w:pPr>
            <w:spacing w:line="480" w:lineRule="auto"/>
            <w:rPr>
              <w:rFonts w:cstheme="minorHAnsi"/>
            </w:rPr>
          </w:pPr>
          <w:r w:rsidRPr="009E7277">
            <w:rPr>
              <w:rFonts w:cstheme="minorHAnsi"/>
              <w:b/>
              <w:bCs/>
              <w:noProof/>
              <w:color w:val="000000" w:themeColor="text1"/>
            </w:rPr>
            <w:fldChar w:fldCharType="end"/>
          </w:r>
        </w:p>
      </w:sdtContent>
    </w:sdt>
    <w:p w14:paraId="547F8803" w14:textId="77777777" w:rsidR="0097718D" w:rsidRPr="00AD7B00" w:rsidRDefault="0097718D" w:rsidP="00D21776">
      <w:pPr>
        <w:spacing w:before="240" w:after="0" w:line="480" w:lineRule="auto"/>
        <w:jc w:val="both"/>
        <w:rPr>
          <w:rFonts w:eastAsia="Times New Roman" w:cstheme="minorHAnsi"/>
          <w:b/>
          <w:lang w:eastAsia="en-GB"/>
        </w:rPr>
      </w:pPr>
    </w:p>
    <w:p w14:paraId="56885B76" w14:textId="4829A4D2" w:rsidR="00850ED3" w:rsidRPr="00850ED3" w:rsidRDefault="00850ED3" w:rsidP="00850ED3">
      <w:pPr>
        <w:spacing w:after="0"/>
        <w:rPr>
          <w:rFonts w:eastAsia="SimSun" w:cstheme="minorHAnsi"/>
          <w:b/>
          <w:bCs/>
          <w:kern w:val="32"/>
          <w:lang w:eastAsia="en-GB"/>
        </w:rPr>
      </w:pPr>
      <w:bookmarkStart w:id="5" w:name="_Toc6092979"/>
      <w:r>
        <w:rPr>
          <w:rFonts w:cstheme="minorHAnsi"/>
          <w:lang w:eastAsia="en-GB"/>
        </w:rPr>
        <w:br w:type="page"/>
      </w:r>
    </w:p>
    <w:p w14:paraId="4031DB37" w14:textId="2C7E06BD" w:rsidR="00D21776" w:rsidRPr="00AD7B00" w:rsidRDefault="00D21776" w:rsidP="009668DF">
      <w:pPr>
        <w:pStyle w:val="Heading1"/>
        <w:spacing w:line="480" w:lineRule="auto"/>
        <w:rPr>
          <w:rFonts w:cstheme="minorHAnsi"/>
          <w:sz w:val="24"/>
          <w:szCs w:val="24"/>
          <w:lang w:eastAsia="en-GB"/>
        </w:rPr>
      </w:pPr>
      <w:r w:rsidRPr="00AD7B00">
        <w:rPr>
          <w:rFonts w:cstheme="minorHAnsi"/>
          <w:sz w:val="24"/>
          <w:szCs w:val="24"/>
          <w:lang w:eastAsia="en-GB"/>
        </w:rPr>
        <w:lastRenderedPageBreak/>
        <w:t>Index of Figures</w:t>
      </w:r>
      <w:bookmarkEnd w:id="5"/>
    </w:p>
    <w:p w14:paraId="0927878E" w14:textId="3BC7123F" w:rsidR="00D21776" w:rsidRPr="00AD7B00" w:rsidRDefault="00D21776" w:rsidP="009034A4">
      <w:pPr>
        <w:spacing w:before="240" w:after="0" w:line="480" w:lineRule="auto"/>
        <w:jc w:val="both"/>
        <w:rPr>
          <w:rFonts w:cstheme="minorHAnsi"/>
          <w:b/>
        </w:rPr>
      </w:pPr>
      <w:r w:rsidRPr="00AD7B00">
        <w:rPr>
          <w:rFonts w:cstheme="minorHAnsi"/>
          <w:b/>
        </w:rPr>
        <w:t xml:space="preserve">Figure 1.1 </w:t>
      </w:r>
      <w:r w:rsidRPr="00AD7B00">
        <w:rPr>
          <w:rFonts w:cstheme="minorHAnsi"/>
        </w:rPr>
        <w:t>Potential Mechanism of Hyperglycaemia-induced Mitochondrial Superoxide Overproduction</w:t>
      </w:r>
      <w:r w:rsidRPr="00AD7B00">
        <w:rPr>
          <w:rFonts w:cstheme="minorHAnsi"/>
          <w:b/>
        </w:rPr>
        <w:tab/>
      </w:r>
      <w:r w:rsidRPr="00AD7B00">
        <w:rPr>
          <w:rFonts w:cstheme="minorHAnsi"/>
          <w:b/>
        </w:rPr>
        <w:tab/>
      </w:r>
      <w:r w:rsidRPr="00AD7B00">
        <w:rPr>
          <w:rFonts w:cstheme="minorHAnsi"/>
          <w:b/>
        </w:rPr>
        <w:tab/>
      </w:r>
      <w:r w:rsidRPr="00AD7B00">
        <w:rPr>
          <w:rFonts w:cstheme="minorHAnsi"/>
          <w:b/>
        </w:rPr>
        <w:tab/>
      </w:r>
      <w:r w:rsidRPr="00AD7B00">
        <w:rPr>
          <w:rFonts w:cstheme="minorHAnsi"/>
          <w:b/>
        </w:rPr>
        <w:tab/>
      </w:r>
      <w:r w:rsidRPr="00AD7B00">
        <w:rPr>
          <w:rFonts w:cstheme="minorHAnsi"/>
          <w:b/>
        </w:rPr>
        <w:tab/>
      </w:r>
      <w:r w:rsidRPr="00AD7B00">
        <w:rPr>
          <w:rFonts w:cstheme="minorHAnsi"/>
          <w:b/>
        </w:rPr>
        <w:tab/>
      </w:r>
      <w:r w:rsidRPr="00AD7B00">
        <w:rPr>
          <w:rFonts w:cstheme="minorHAnsi"/>
          <w:b/>
        </w:rPr>
        <w:tab/>
      </w:r>
      <w:r w:rsidR="00735A66" w:rsidRPr="00AD7B00">
        <w:rPr>
          <w:rFonts w:cstheme="minorHAnsi"/>
          <w:b/>
        </w:rPr>
        <w:tab/>
      </w:r>
      <w:r w:rsidR="00735A66" w:rsidRPr="00AD7B00">
        <w:rPr>
          <w:rFonts w:cstheme="minorHAnsi"/>
          <w:b/>
        </w:rPr>
        <w:tab/>
      </w:r>
      <w:r w:rsidR="00763443">
        <w:rPr>
          <w:rFonts w:cstheme="minorHAnsi"/>
          <w:b/>
        </w:rPr>
        <w:t>20</w:t>
      </w:r>
    </w:p>
    <w:p w14:paraId="75CAC905" w14:textId="5425E4A7" w:rsidR="00CC5D93" w:rsidRPr="00AD7B00" w:rsidRDefault="00CC5D93" w:rsidP="009034A4">
      <w:pPr>
        <w:spacing w:before="240" w:after="0" w:line="480" w:lineRule="auto"/>
        <w:jc w:val="both"/>
        <w:rPr>
          <w:rFonts w:cstheme="minorHAnsi"/>
          <w:b/>
        </w:rPr>
      </w:pPr>
      <w:r w:rsidRPr="00AD7B00">
        <w:rPr>
          <w:rFonts w:cstheme="minorHAnsi"/>
          <w:b/>
        </w:rPr>
        <w:t xml:space="preserve">Figure 1.2 </w:t>
      </w:r>
      <w:r w:rsidRPr="00AD7B00">
        <w:rPr>
          <w:rFonts w:cstheme="minorHAnsi"/>
        </w:rPr>
        <w:t>Representation of the central spinal and peripheral changes that accompany neuropathy</w:t>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00735A66" w:rsidRPr="00AD7B00">
        <w:rPr>
          <w:rFonts w:cstheme="minorHAnsi"/>
        </w:rPr>
        <w:tab/>
      </w:r>
      <w:r w:rsidR="00735A66" w:rsidRPr="00AD7B00">
        <w:rPr>
          <w:rFonts w:cstheme="minorHAnsi"/>
        </w:rPr>
        <w:tab/>
      </w:r>
      <w:r w:rsidRPr="00AD7B00">
        <w:rPr>
          <w:rFonts w:cstheme="minorHAnsi"/>
          <w:b/>
        </w:rPr>
        <w:t>3</w:t>
      </w:r>
      <w:r w:rsidR="00763443">
        <w:rPr>
          <w:rFonts w:cstheme="minorHAnsi"/>
          <w:b/>
        </w:rPr>
        <w:t>8</w:t>
      </w:r>
    </w:p>
    <w:p w14:paraId="1E813ADF" w14:textId="7CF01153" w:rsidR="00CC5D93" w:rsidRPr="00AD7B00" w:rsidRDefault="00CC5D93" w:rsidP="009034A4">
      <w:pPr>
        <w:pStyle w:val="NoSpacing"/>
        <w:spacing w:line="480" w:lineRule="auto"/>
        <w:jc w:val="both"/>
        <w:rPr>
          <w:rFonts w:cstheme="minorHAnsi"/>
          <w:b/>
        </w:rPr>
      </w:pPr>
      <w:r w:rsidRPr="00AD7B00">
        <w:rPr>
          <w:rFonts w:cstheme="minorHAnsi"/>
          <w:b/>
        </w:rPr>
        <w:t xml:space="preserve">Figure 1.3 </w:t>
      </w:r>
      <w:r w:rsidRPr="00AD7B00">
        <w:rPr>
          <w:rFonts w:cstheme="minorHAnsi"/>
        </w:rPr>
        <w:t xml:space="preserve">Spinal </w:t>
      </w:r>
      <w:proofErr w:type="spellStart"/>
      <w:r w:rsidRPr="00AD7B00">
        <w:rPr>
          <w:rFonts w:cstheme="minorHAnsi"/>
        </w:rPr>
        <w:t>Neuroinhibition</w:t>
      </w:r>
      <w:proofErr w:type="spellEnd"/>
      <w:r w:rsidRPr="00AD7B00">
        <w:rPr>
          <w:rFonts w:cstheme="minorHAnsi"/>
        </w:rPr>
        <w:t xml:space="preserve"> adapted from </w:t>
      </w:r>
      <w:r w:rsidRPr="00AD7B00">
        <w:rPr>
          <w:rFonts w:cstheme="minorHAnsi"/>
        </w:rPr>
        <w:fldChar w:fldCharType="begin"/>
      </w:r>
      <w:r w:rsidRPr="00AD7B00">
        <w:rPr>
          <w:rFonts w:cstheme="minorHAnsi"/>
        </w:rPr>
        <w:instrText xml:space="preserve"> ADDIN EN.CITE &lt;EndNote&gt;&lt;Cite&gt;&lt;Author&gt;Taylor&lt;/Author&gt;&lt;Year&gt;2009&lt;/Year&gt;&lt;IDText&gt;Spinal inhibitory neurotransmission in neuropathic pain&lt;/IDText&gt;&lt;DisplayText&gt;(Taylor, 2009)&lt;/DisplayText&gt;&lt;record&gt;&lt;keywords&gt;&lt;keyword&gt;Neural Inhibition -- Physiology&lt;/keyword&gt;&lt;keyword&gt;Neuralgia -- Physiopathology&lt;/keyword&gt;&lt;keyword&gt;Spinal Cord -- Physiology&lt;/keyword&gt;&lt;keyword&gt;Synaptic Transmission -- Physiology&lt;/keyword&gt;&lt;/keywords&gt;&lt;isbn&gt;1534-3081&lt;/isbn&gt;&lt;titles&gt;&lt;title&gt;Spinal inhibitory neurotransmission in neuropathic pain&lt;/title&gt;&lt;secondary-title&gt;Current pain and headache reports&lt;/secondary-title&gt;&lt;/titles&gt;&lt;pages&gt;208&lt;/pages&gt;&lt;number&gt;3&lt;/number&gt;&lt;contributors&gt;&lt;authors&gt;&lt;author&gt;Taylor, Bradley K.&lt;/author&gt;&lt;/authors&gt;&lt;/contributors&gt;&lt;added-date format="utc"&gt;1386470278&lt;/added-date&gt;&lt;ref-type name="Journal Article"&gt;17&lt;/ref-type&gt;&lt;dates&gt;&lt;year&gt;2009&lt;/year&gt;&lt;/dates&gt;&lt;rec-number&gt;320&lt;/rec-number&gt;&lt;last-updated-date format="utc"&gt;1387847341&lt;/last-updated-date&gt;&lt;volume&gt;13&lt;/volume&gt;&lt;/record&gt;&lt;/Cite&gt;&lt;/EndNote&gt;</w:instrText>
      </w:r>
      <w:r w:rsidRPr="00AD7B00">
        <w:rPr>
          <w:rFonts w:cstheme="minorHAnsi"/>
        </w:rPr>
        <w:fldChar w:fldCharType="separate"/>
      </w:r>
      <w:r w:rsidRPr="00AD7B00">
        <w:rPr>
          <w:rFonts w:cstheme="minorHAnsi"/>
          <w:noProof/>
        </w:rPr>
        <w:t>(Taylor, 2009)</w:t>
      </w:r>
      <w:r w:rsidRPr="00AD7B00">
        <w:rPr>
          <w:rFonts w:cstheme="minorHAnsi"/>
        </w:rPr>
        <w:fldChar w:fldCharType="end"/>
      </w:r>
      <w:r w:rsidRPr="00AD7B00">
        <w:rPr>
          <w:rFonts w:cstheme="minorHAnsi"/>
        </w:rPr>
        <w:t xml:space="preserve"> - Proposed sequence of events leading to: early spinal nociceptive transmission and pain and either normal resolution of pain following compensatory up regulation of inhibitory system (lower left box) or pathological development of neuropathic pain when compensatory mechanisms fail (lower right box)</w:t>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00735A66" w:rsidRPr="00AD7B00">
        <w:rPr>
          <w:rFonts w:cstheme="minorHAnsi"/>
        </w:rPr>
        <w:tab/>
      </w:r>
      <w:r w:rsidR="00735A66" w:rsidRPr="00AD7B00">
        <w:rPr>
          <w:rFonts w:cstheme="minorHAnsi"/>
        </w:rPr>
        <w:tab/>
      </w:r>
      <w:r w:rsidR="00763443">
        <w:rPr>
          <w:rFonts w:cstheme="minorHAnsi"/>
          <w:b/>
        </w:rPr>
        <w:t>40</w:t>
      </w:r>
    </w:p>
    <w:p w14:paraId="3724A554" w14:textId="3E027DCE" w:rsidR="00FA3F82" w:rsidRPr="00AD7B00" w:rsidRDefault="00FA3F82" w:rsidP="009034A4">
      <w:pPr>
        <w:tabs>
          <w:tab w:val="left" w:pos="8647"/>
        </w:tabs>
        <w:spacing w:before="240" w:after="0" w:line="480" w:lineRule="auto"/>
        <w:jc w:val="both"/>
        <w:rPr>
          <w:rFonts w:eastAsia="Times New Roman" w:cstheme="minorHAnsi"/>
          <w:b/>
          <w:lang w:eastAsia="en-GB"/>
        </w:rPr>
      </w:pPr>
      <w:r w:rsidRPr="00AD7B00">
        <w:rPr>
          <w:rFonts w:eastAsia="Times New Roman" w:cstheme="minorHAnsi"/>
          <w:b/>
          <w:lang w:eastAsia="en-GB"/>
        </w:rPr>
        <w:t xml:space="preserve">Figure 4.1 </w:t>
      </w:r>
      <w:r w:rsidRPr="00AD7B00">
        <w:rPr>
          <w:rFonts w:eastAsia="Times New Roman" w:cstheme="minorHAnsi"/>
          <w:lang w:eastAsia="en-GB"/>
        </w:rPr>
        <w:t xml:space="preserve">Mean 25(OH)D (nmol/l) levels of groups with 95% confidence interval, showing significant reduction in 25(OH)D in the Painful </w:t>
      </w:r>
      <w:proofErr w:type="spellStart"/>
      <w:r w:rsidRPr="00AD7B00">
        <w:rPr>
          <w:rFonts w:eastAsia="Times New Roman" w:cstheme="minorHAnsi"/>
          <w:lang w:eastAsia="en-GB"/>
        </w:rPr>
        <w:t>DPN</w:t>
      </w:r>
      <w:proofErr w:type="spellEnd"/>
      <w:r w:rsidRPr="00AD7B00">
        <w:rPr>
          <w:rFonts w:eastAsia="Times New Roman" w:cstheme="minorHAnsi"/>
          <w:lang w:eastAsia="en-GB"/>
        </w:rPr>
        <w:t xml:space="preserve"> group. ANOVA, p&lt;0.001</w:t>
      </w:r>
      <w:r w:rsidR="003F4013" w:rsidRPr="00AD7B00">
        <w:rPr>
          <w:rFonts w:eastAsia="Times New Roman" w:cstheme="minorHAnsi"/>
          <w:lang w:eastAsia="en-GB"/>
        </w:rPr>
        <w:tab/>
      </w:r>
      <w:r w:rsidRPr="00AD7B00">
        <w:rPr>
          <w:rFonts w:eastAsia="Times New Roman" w:cstheme="minorHAnsi"/>
          <w:b/>
          <w:lang w:eastAsia="en-GB"/>
        </w:rPr>
        <w:t>5</w:t>
      </w:r>
      <w:r w:rsidR="00763443">
        <w:rPr>
          <w:rFonts w:eastAsia="Times New Roman" w:cstheme="minorHAnsi"/>
          <w:b/>
          <w:lang w:eastAsia="en-GB"/>
        </w:rPr>
        <w:t>6</w:t>
      </w:r>
    </w:p>
    <w:p w14:paraId="4AF7F222" w14:textId="418FD045" w:rsidR="004223BA" w:rsidRPr="00AD7B00" w:rsidRDefault="004223BA" w:rsidP="009034A4">
      <w:pPr>
        <w:tabs>
          <w:tab w:val="left" w:pos="8647"/>
        </w:tabs>
        <w:spacing w:before="240" w:after="0" w:line="480" w:lineRule="auto"/>
        <w:jc w:val="both"/>
        <w:rPr>
          <w:rFonts w:eastAsia="Times New Roman" w:cstheme="minorHAnsi"/>
          <w:b/>
          <w:lang w:eastAsia="en-GB"/>
        </w:rPr>
      </w:pPr>
      <w:r w:rsidRPr="00AD7B00">
        <w:rPr>
          <w:rFonts w:eastAsia="Times New Roman" w:cstheme="minorHAnsi"/>
          <w:b/>
          <w:lang w:eastAsia="en-GB"/>
        </w:rPr>
        <w:t>Figure 4.2</w:t>
      </w:r>
      <w:r w:rsidRPr="00AD7B00">
        <w:rPr>
          <w:rFonts w:eastAsia="Times New Roman" w:cstheme="minorHAnsi"/>
          <w:lang w:eastAsia="en-GB"/>
        </w:rPr>
        <w:t xml:space="preserve"> Nonparametric Correlation between pain score DN4 and vitamin D [25(OH)D] levels (nmol/l) showing significant negative correlation</w:t>
      </w:r>
      <w:r w:rsidRPr="00AD7B00">
        <w:rPr>
          <w:rFonts w:eastAsia="Times New Roman" w:cstheme="minorHAnsi"/>
          <w:lang w:eastAsia="en-GB"/>
        </w:rPr>
        <w:tab/>
      </w:r>
      <w:r w:rsidRPr="00AD7B00">
        <w:rPr>
          <w:rFonts w:eastAsia="Times New Roman" w:cstheme="minorHAnsi"/>
          <w:b/>
          <w:lang w:eastAsia="en-GB"/>
        </w:rPr>
        <w:t>5</w:t>
      </w:r>
      <w:r w:rsidR="00763443">
        <w:rPr>
          <w:rFonts w:eastAsia="Times New Roman" w:cstheme="minorHAnsi"/>
          <w:b/>
          <w:lang w:eastAsia="en-GB"/>
        </w:rPr>
        <w:t>8</w:t>
      </w:r>
    </w:p>
    <w:p w14:paraId="1B819842" w14:textId="796AA0CE" w:rsidR="00A93E59" w:rsidRPr="00AD7B00" w:rsidRDefault="00A93E59" w:rsidP="00A93E59">
      <w:pPr>
        <w:spacing w:before="240" w:line="480" w:lineRule="auto"/>
        <w:rPr>
          <w:rFonts w:cstheme="minorHAnsi"/>
          <w:b/>
        </w:rPr>
      </w:pPr>
      <w:r w:rsidRPr="00AD7B00">
        <w:rPr>
          <w:rFonts w:cstheme="minorHAnsi"/>
          <w:b/>
        </w:rPr>
        <w:t>Figure 4.3</w:t>
      </w:r>
      <w:r w:rsidRPr="00AD7B00">
        <w:rPr>
          <w:rFonts w:cstheme="minorHAnsi"/>
        </w:rPr>
        <w:t xml:space="preserve"> Skin biopsy showing </w:t>
      </w:r>
      <w:proofErr w:type="spellStart"/>
      <w:r w:rsidRPr="00AD7B00">
        <w:rPr>
          <w:rFonts w:cstheme="minorHAnsi"/>
        </w:rPr>
        <w:t>IENFD</w:t>
      </w:r>
      <w:proofErr w:type="spellEnd"/>
      <w:r w:rsidRPr="00AD7B00">
        <w:rPr>
          <w:rFonts w:cstheme="minorHAnsi"/>
        </w:rPr>
        <w:t xml:space="preserve"> AND </w:t>
      </w:r>
      <w:proofErr w:type="spellStart"/>
      <w:r w:rsidRPr="00AD7B00">
        <w:rPr>
          <w:rFonts w:cstheme="minorHAnsi"/>
        </w:rPr>
        <w:t>SENFD</w:t>
      </w:r>
      <w:proofErr w:type="spellEnd"/>
      <w:r w:rsidRPr="00AD7B00">
        <w:rPr>
          <w:rFonts w:cstheme="minorHAnsi"/>
        </w:rPr>
        <w:t xml:space="preserve"> among four groups (A; </w:t>
      </w:r>
      <w:proofErr w:type="spellStart"/>
      <w:r w:rsidRPr="00AD7B00">
        <w:rPr>
          <w:rFonts w:cstheme="minorHAnsi"/>
        </w:rPr>
        <w:t>HV</w:t>
      </w:r>
      <w:proofErr w:type="spellEnd"/>
      <w:r w:rsidRPr="00AD7B00">
        <w:rPr>
          <w:rFonts w:cstheme="minorHAnsi"/>
        </w:rPr>
        <w:t xml:space="preserve">, B; painful </w:t>
      </w:r>
      <w:proofErr w:type="spellStart"/>
      <w:r w:rsidRPr="00AD7B00">
        <w:rPr>
          <w:rFonts w:cstheme="minorHAnsi"/>
        </w:rPr>
        <w:t>DPN</w:t>
      </w:r>
      <w:proofErr w:type="spellEnd"/>
      <w:r w:rsidRPr="00AD7B00">
        <w:rPr>
          <w:rFonts w:cstheme="minorHAnsi"/>
        </w:rPr>
        <w:t xml:space="preserve">, C; painless </w:t>
      </w:r>
      <w:proofErr w:type="spellStart"/>
      <w:r w:rsidRPr="00AD7B00">
        <w:rPr>
          <w:rFonts w:cstheme="minorHAnsi"/>
        </w:rPr>
        <w:t>DPN</w:t>
      </w:r>
      <w:proofErr w:type="spellEnd"/>
      <w:r w:rsidRPr="00AD7B00">
        <w:rPr>
          <w:rFonts w:cstheme="minorHAnsi"/>
        </w:rPr>
        <w:t xml:space="preserve">, D; no </w:t>
      </w:r>
      <w:proofErr w:type="spellStart"/>
      <w:r w:rsidRPr="00AD7B00">
        <w:rPr>
          <w:rFonts w:cstheme="minorHAnsi"/>
        </w:rPr>
        <w:t>DPN</w:t>
      </w:r>
      <w:proofErr w:type="spellEnd"/>
      <w:r w:rsidRPr="00AD7B00">
        <w:rPr>
          <w:rFonts w:cstheme="minorHAnsi"/>
        </w:rPr>
        <w:t>)</w:t>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00735A66" w:rsidRPr="00AD7B00">
        <w:rPr>
          <w:rFonts w:cstheme="minorHAnsi"/>
        </w:rPr>
        <w:tab/>
      </w:r>
      <w:r w:rsidRPr="00AD7B00">
        <w:rPr>
          <w:rFonts w:cstheme="minorHAnsi"/>
          <w:b/>
        </w:rPr>
        <w:t>5</w:t>
      </w:r>
      <w:r w:rsidR="00CE494E">
        <w:rPr>
          <w:rFonts w:cstheme="minorHAnsi"/>
          <w:b/>
        </w:rPr>
        <w:t>9</w:t>
      </w:r>
    </w:p>
    <w:p w14:paraId="22653E88" w14:textId="77ADAAEE" w:rsidR="009034A4" w:rsidRPr="00AD7B00" w:rsidRDefault="009034A4" w:rsidP="009034A4">
      <w:pPr>
        <w:spacing w:line="480" w:lineRule="auto"/>
        <w:jc w:val="both"/>
        <w:rPr>
          <w:rFonts w:eastAsia="SimSun" w:cstheme="minorHAnsi"/>
          <w:b/>
          <w:bCs/>
          <w:lang w:eastAsia="en-GB"/>
        </w:rPr>
      </w:pPr>
      <w:r w:rsidRPr="00AD7B00">
        <w:rPr>
          <w:rFonts w:eastAsia="SimSun" w:cstheme="minorHAnsi"/>
          <w:b/>
          <w:bCs/>
          <w:lang w:eastAsia="en-GB"/>
        </w:rPr>
        <w:t>Fig. 5.1 (a)</w:t>
      </w:r>
      <w:r w:rsidRPr="00AD7B00">
        <w:rPr>
          <w:rFonts w:eastAsia="SimSun" w:cstheme="minorHAnsi"/>
          <w:bCs/>
          <w:lang w:eastAsia="en-GB"/>
        </w:rPr>
        <w:t xml:space="preserve"> PGP9.5 immunoreactivity in calf skin from healthy volunteers, </w:t>
      </w:r>
      <w:proofErr w:type="spellStart"/>
      <w:r w:rsidRPr="00AD7B00">
        <w:rPr>
          <w:rFonts w:eastAsia="SimSun" w:cstheme="minorHAnsi"/>
          <w:bCs/>
          <w:lang w:eastAsia="en-GB"/>
        </w:rPr>
        <w:t>HV</w:t>
      </w:r>
      <w:proofErr w:type="spellEnd"/>
      <w:r w:rsidRPr="00AD7B00">
        <w:rPr>
          <w:rFonts w:eastAsia="SimSun" w:cstheme="minorHAnsi"/>
          <w:bCs/>
          <w:lang w:eastAsia="en-GB"/>
        </w:rPr>
        <w:t xml:space="preserve"> (b), painful diabetic peripheral neuropathy,</w:t>
      </w:r>
      <w:r w:rsidRPr="00AD7B00">
        <w:rPr>
          <w:rFonts w:eastAsia="Times New Roman" w:cstheme="minorHAnsi"/>
          <w:lang w:eastAsia="en-GB"/>
        </w:rPr>
        <w:t xml:space="preserve"> </w:t>
      </w:r>
      <w:r w:rsidRPr="00AD7B00">
        <w:rPr>
          <w:rFonts w:eastAsia="SimSun" w:cstheme="minorHAnsi"/>
          <w:bCs/>
          <w:lang w:eastAsia="en-GB"/>
        </w:rPr>
        <w:t xml:space="preserve">painful </w:t>
      </w:r>
      <w:proofErr w:type="spellStart"/>
      <w:r w:rsidRPr="00AD7B00">
        <w:rPr>
          <w:rFonts w:eastAsia="SimSun" w:cstheme="minorHAnsi"/>
          <w:bCs/>
          <w:lang w:eastAsia="en-GB"/>
        </w:rPr>
        <w:t>DPN</w:t>
      </w:r>
      <w:proofErr w:type="spellEnd"/>
      <w:r w:rsidRPr="00AD7B00">
        <w:rPr>
          <w:rFonts w:eastAsia="SimSun" w:cstheme="minorHAnsi"/>
          <w:bCs/>
          <w:lang w:eastAsia="en-GB"/>
        </w:rPr>
        <w:t xml:space="preserve"> (c) painless diabetic peripheral neuropathy,</w:t>
      </w:r>
      <w:r w:rsidRPr="00AD7B00">
        <w:rPr>
          <w:rFonts w:eastAsia="Times New Roman" w:cstheme="minorHAnsi"/>
          <w:lang w:eastAsia="en-GB"/>
        </w:rPr>
        <w:t xml:space="preserve"> </w:t>
      </w:r>
      <w:r w:rsidRPr="00AD7B00">
        <w:rPr>
          <w:rFonts w:eastAsia="SimSun" w:cstheme="minorHAnsi"/>
          <w:bCs/>
          <w:lang w:eastAsia="en-GB"/>
        </w:rPr>
        <w:t xml:space="preserve">painless </w:t>
      </w:r>
      <w:proofErr w:type="spellStart"/>
      <w:r w:rsidRPr="00AD7B00">
        <w:rPr>
          <w:rFonts w:eastAsia="SimSun" w:cstheme="minorHAnsi"/>
          <w:bCs/>
          <w:lang w:eastAsia="en-GB"/>
        </w:rPr>
        <w:t>DPN</w:t>
      </w:r>
      <w:proofErr w:type="spellEnd"/>
      <w:r w:rsidRPr="00AD7B00">
        <w:rPr>
          <w:rFonts w:eastAsia="SimSun" w:cstheme="minorHAnsi"/>
          <w:bCs/>
          <w:lang w:eastAsia="en-GB"/>
        </w:rPr>
        <w:t>, and (d) diabetic patients without neuropathy,</w:t>
      </w:r>
      <w:r w:rsidRPr="00AD7B00">
        <w:rPr>
          <w:rFonts w:eastAsia="Times New Roman" w:cstheme="minorHAnsi"/>
          <w:lang w:eastAsia="en-GB"/>
        </w:rPr>
        <w:t xml:space="preserve"> </w:t>
      </w:r>
      <w:r w:rsidRPr="00AD7B00">
        <w:rPr>
          <w:rFonts w:eastAsia="SimSun" w:cstheme="minorHAnsi"/>
          <w:bCs/>
          <w:lang w:eastAsia="en-GB"/>
        </w:rPr>
        <w:t xml:space="preserve">No </w:t>
      </w:r>
      <w:proofErr w:type="spellStart"/>
      <w:r w:rsidRPr="00AD7B00">
        <w:rPr>
          <w:rFonts w:eastAsia="SimSun" w:cstheme="minorHAnsi"/>
          <w:bCs/>
          <w:lang w:eastAsia="en-GB"/>
        </w:rPr>
        <w:t>DPN</w:t>
      </w:r>
      <w:proofErr w:type="spellEnd"/>
      <w:r w:rsidRPr="00AD7B00">
        <w:rPr>
          <w:rFonts w:eastAsia="SimSun" w:cstheme="minorHAnsi"/>
          <w:bCs/>
          <w:lang w:eastAsia="en-GB"/>
        </w:rPr>
        <w:t xml:space="preserve"> (e) Mean ± SEM of the PGP9.5 intra epithelial fibres (fibres/mm), (f) Image analysis of PGP9.5 sub epithelial </w:t>
      </w:r>
      <w:r w:rsidRPr="00AD7B00">
        <w:rPr>
          <w:rFonts w:eastAsia="SimSun" w:cstheme="minorHAnsi"/>
          <w:bCs/>
          <w:lang w:eastAsia="en-GB"/>
        </w:rPr>
        <w:lastRenderedPageBreak/>
        <w:t>counts (% immunoreactivity) in the same groups (</w:t>
      </w:r>
      <w:proofErr w:type="spellStart"/>
      <w:r w:rsidRPr="00AD7B00">
        <w:rPr>
          <w:rFonts w:eastAsia="SimSun" w:cstheme="minorHAnsi"/>
          <w:bCs/>
          <w:lang w:eastAsia="en-GB"/>
        </w:rPr>
        <w:t>HV</w:t>
      </w:r>
      <w:proofErr w:type="spellEnd"/>
      <w:r w:rsidRPr="00AD7B00">
        <w:rPr>
          <w:rFonts w:eastAsia="SimSun" w:cstheme="minorHAnsi"/>
          <w:bCs/>
          <w:lang w:eastAsia="en-GB"/>
        </w:rPr>
        <w:t xml:space="preserve">: n=19, painful </w:t>
      </w:r>
      <w:proofErr w:type="spellStart"/>
      <w:r w:rsidRPr="00AD7B00">
        <w:rPr>
          <w:rFonts w:eastAsia="SimSun" w:cstheme="minorHAnsi"/>
          <w:bCs/>
          <w:lang w:eastAsia="en-GB"/>
        </w:rPr>
        <w:t>DPN</w:t>
      </w:r>
      <w:proofErr w:type="spellEnd"/>
      <w:r w:rsidRPr="00AD7B00">
        <w:rPr>
          <w:rFonts w:eastAsia="SimSun" w:cstheme="minorHAnsi"/>
          <w:bCs/>
          <w:lang w:eastAsia="en-GB"/>
        </w:rPr>
        <w:t xml:space="preserve">: n=23, painless </w:t>
      </w:r>
      <w:proofErr w:type="spellStart"/>
      <w:r w:rsidRPr="00AD7B00">
        <w:rPr>
          <w:rFonts w:eastAsia="SimSun" w:cstheme="minorHAnsi"/>
          <w:bCs/>
          <w:lang w:eastAsia="en-GB"/>
        </w:rPr>
        <w:t>DPN</w:t>
      </w:r>
      <w:proofErr w:type="spellEnd"/>
      <w:r w:rsidRPr="00AD7B00">
        <w:rPr>
          <w:rFonts w:eastAsia="SimSun" w:cstheme="minorHAnsi"/>
          <w:bCs/>
          <w:lang w:eastAsia="en-GB"/>
        </w:rPr>
        <w:t xml:space="preserve">: n=19, No </w:t>
      </w:r>
      <w:proofErr w:type="spellStart"/>
      <w:r w:rsidRPr="00AD7B00">
        <w:rPr>
          <w:rFonts w:eastAsia="SimSun" w:cstheme="minorHAnsi"/>
          <w:bCs/>
          <w:lang w:eastAsia="en-GB"/>
        </w:rPr>
        <w:t>DPN</w:t>
      </w:r>
      <w:proofErr w:type="spellEnd"/>
      <w:r w:rsidRPr="00AD7B00">
        <w:rPr>
          <w:rFonts w:eastAsia="SimSun" w:cstheme="minorHAnsi"/>
          <w:bCs/>
          <w:lang w:eastAsia="en-GB"/>
        </w:rPr>
        <w:t>: n=18)</w:t>
      </w:r>
      <w:r w:rsidRPr="00AD7B00">
        <w:rPr>
          <w:rFonts w:eastAsia="SimSun" w:cstheme="minorHAnsi"/>
          <w:bCs/>
          <w:lang w:eastAsia="en-GB"/>
        </w:rPr>
        <w:tab/>
      </w:r>
      <w:r w:rsidRPr="00AD7B00">
        <w:rPr>
          <w:rFonts w:eastAsia="SimSun" w:cstheme="minorHAnsi"/>
          <w:bCs/>
          <w:lang w:eastAsia="en-GB"/>
        </w:rPr>
        <w:tab/>
      </w:r>
      <w:r w:rsidRPr="00AD7B00">
        <w:rPr>
          <w:rFonts w:eastAsia="SimSun" w:cstheme="minorHAnsi"/>
          <w:bCs/>
          <w:lang w:eastAsia="en-GB"/>
        </w:rPr>
        <w:tab/>
      </w:r>
      <w:r w:rsidRPr="00AD7B00">
        <w:rPr>
          <w:rFonts w:eastAsia="SimSun" w:cstheme="minorHAnsi"/>
          <w:bCs/>
          <w:lang w:eastAsia="en-GB"/>
        </w:rPr>
        <w:tab/>
      </w:r>
      <w:r w:rsidR="00735A66" w:rsidRPr="00AD7B00">
        <w:rPr>
          <w:rFonts w:eastAsia="SimSun" w:cstheme="minorHAnsi"/>
          <w:bCs/>
          <w:lang w:eastAsia="en-GB"/>
        </w:rPr>
        <w:tab/>
      </w:r>
      <w:r w:rsidR="00735A66" w:rsidRPr="00AD7B00">
        <w:rPr>
          <w:rFonts w:eastAsia="SimSun" w:cstheme="minorHAnsi"/>
          <w:bCs/>
          <w:lang w:eastAsia="en-GB"/>
        </w:rPr>
        <w:tab/>
      </w:r>
      <w:r w:rsidR="00735A66" w:rsidRPr="00AD7B00">
        <w:rPr>
          <w:rFonts w:eastAsia="SimSun" w:cstheme="minorHAnsi"/>
          <w:bCs/>
          <w:lang w:eastAsia="en-GB"/>
        </w:rPr>
        <w:tab/>
      </w:r>
      <w:r w:rsidR="00735A66" w:rsidRPr="00AD7B00">
        <w:rPr>
          <w:rFonts w:eastAsia="SimSun" w:cstheme="minorHAnsi"/>
          <w:bCs/>
          <w:lang w:eastAsia="en-GB"/>
        </w:rPr>
        <w:tab/>
      </w:r>
      <w:r w:rsidR="00735A66" w:rsidRPr="00AD7B00">
        <w:rPr>
          <w:rFonts w:eastAsia="SimSun" w:cstheme="minorHAnsi"/>
          <w:bCs/>
          <w:lang w:eastAsia="en-GB"/>
        </w:rPr>
        <w:tab/>
      </w:r>
      <w:r w:rsidR="00CE494E">
        <w:rPr>
          <w:rFonts w:eastAsia="SimSun" w:cstheme="minorHAnsi"/>
          <w:b/>
          <w:bCs/>
          <w:lang w:eastAsia="en-GB"/>
        </w:rPr>
        <w:t>71</w:t>
      </w:r>
    </w:p>
    <w:p w14:paraId="211CBBC7" w14:textId="1E7D05F6" w:rsidR="009034A4" w:rsidRPr="00AD7B00" w:rsidRDefault="009034A4" w:rsidP="009034A4">
      <w:pPr>
        <w:spacing w:line="480" w:lineRule="auto"/>
        <w:jc w:val="both"/>
        <w:rPr>
          <w:rFonts w:eastAsia="Times New Roman" w:cstheme="minorHAnsi"/>
          <w:lang w:eastAsia="en-GB"/>
        </w:rPr>
      </w:pPr>
      <w:r w:rsidRPr="00AD7B00">
        <w:rPr>
          <w:rFonts w:eastAsia="SimSun" w:cstheme="minorHAnsi"/>
          <w:b/>
          <w:bCs/>
          <w:lang w:eastAsia="en-GB"/>
        </w:rPr>
        <w:t>Fig 5.2</w:t>
      </w:r>
      <w:r w:rsidRPr="00AD7B00">
        <w:rPr>
          <w:rFonts w:eastAsia="SimSun" w:cstheme="minorHAnsi"/>
          <w:bCs/>
          <w:lang w:eastAsia="en-GB"/>
        </w:rPr>
        <w:t xml:space="preserve"> (a) GAP-43 immunoreactivity in calf skin from healthy volunteers, </w:t>
      </w:r>
      <w:proofErr w:type="spellStart"/>
      <w:r w:rsidRPr="00AD7B00">
        <w:rPr>
          <w:rFonts w:eastAsia="SimSun" w:cstheme="minorHAnsi"/>
          <w:bCs/>
          <w:lang w:eastAsia="en-GB"/>
        </w:rPr>
        <w:t>HV</w:t>
      </w:r>
      <w:proofErr w:type="spellEnd"/>
      <w:r w:rsidRPr="00AD7B00">
        <w:rPr>
          <w:rFonts w:eastAsia="SimSun" w:cstheme="minorHAnsi"/>
          <w:bCs/>
          <w:lang w:eastAsia="en-GB"/>
        </w:rPr>
        <w:t xml:space="preserve"> (b), painful diabetic peripheral neuropathy, painful </w:t>
      </w:r>
      <w:proofErr w:type="spellStart"/>
      <w:r w:rsidRPr="00AD7B00">
        <w:rPr>
          <w:rFonts w:eastAsia="SimSun" w:cstheme="minorHAnsi"/>
          <w:bCs/>
          <w:lang w:eastAsia="en-GB"/>
        </w:rPr>
        <w:t>DPN</w:t>
      </w:r>
      <w:proofErr w:type="spellEnd"/>
      <w:r w:rsidRPr="00AD7B00">
        <w:rPr>
          <w:rFonts w:eastAsia="SimSun" w:cstheme="minorHAnsi"/>
          <w:bCs/>
          <w:lang w:eastAsia="en-GB"/>
        </w:rPr>
        <w:t xml:space="preserve"> (c) painless diabetic neuropathy, painless </w:t>
      </w:r>
      <w:proofErr w:type="spellStart"/>
      <w:r w:rsidRPr="00AD7B00">
        <w:rPr>
          <w:rFonts w:eastAsia="SimSun" w:cstheme="minorHAnsi"/>
          <w:bCs/>
          <w:lang w:eastAsia="en-GB"/>
        </w:rPr>
        <w:t>DPN</w:t>
      </w:r>
      <w:proofErr w:type="spellEnd"/>
      <w:r w:rsidRPr="00AD7B00">
        <w:rPr>
          <w:rFonts w:eastAsia="SimSun" w:cstheme="minorHAnsi"/>
          <w:bCs/>
          <w:lang w:eastAsia="en-GB"/>
        </w:rPr>
        <w:t xml:space="preserve">, and (d) diabetic patients without peripheral diabetic neuropathy, No </w:t>
      </w:r>
      <w:proofErr w:type="spellStart"/>
      <w:r w:rsidRPr="00AD7B00">
        <w:rPr>
          <w:rFonts w:eastAsia="SimSun" w:cstheme="minorHAnsi"/>
          <w:bCs/>
          <w:lang w:eastAsia="en-GB"/>
        </w:rPr>
        <w:t>DPN</w:t>
      </w:r>
      <w:proofErr w:type="spellEnd"/>
      <w:r w:rsidRPr="00AD7B00">
        <w:rPr>
          <w:rFonts w:eastAsia="SimSun" w:cstheme="minorHAnsi"/>
          <w:bCs/>
          <w:lang w:eastAsia="en-GB"/>
        </w:rPr>
        <w:t xml:space="preserve"> (e) Mean ± SEM of the GAP-43 intra epithelial fibres (fibres/mm), (f) Image analysis of GAP-43 sub epithelial counts (% immunoreactivity) in the same groups (</w:t>
      </w:r>
      <w:proofErr w:type="spellStart"/>
      <w:r w:rsidRPr="00AD7B00">
        <w:rPr>
          <w:rFonts w:eastAsia="SimSun" w:cstheme="minorHAnsi"/>
          <w:bCs/>
          <w:lang w:eastAsia="en-GB"/>
        </w:rPr>
        <w:t>HV</w:t>
      </w:r>
      <w:proofErr w:type="spellEnd"/>
      <w:r w:rsidRPr="00AD7B00">
        <w:rPr>
          <w:rFonts w:eastAsia="SimSun" w:cstheme="minorHAnsi"/>
          <w:bCs/>
          <w:lang w:eastAsia="en-GB"/>
        </w:rPr>
        <w:t xml:space="preserve">: n=19, painful </w:t>
      </w:r>
      <w:proofErr w:type="spellStart"/>
      <w:r w:rsidRPr="00AD7B00">
        <w:rPr>
          <w:rFonts w:eastAsia="SimSun" w:cstheme="minorHAnsi"/>
          <w:bCs/>
          <w:lang w:eastAsia="en-GB"/>
        </w:rPr>
        <w:t>DPN</w:t>
      </w:r>
      <w:proofErr w:type="spellEnd"/>
      <w:r w:rsidRPr="00AD7B00">
        <w:rPr>
          <w:rFonts w:eastAsia="SimSun" w:cstheme="minorHAnsi"/>
          <w:bCs/>
          <w:lang w:eastAsia="en-GB"/>
        </w:rPr>
        <w:t xml:space="preserve">: n=23, painless </w:t>
      </w:r>
      <w:proofErr w:type="spellStart"/>
      <w:r w:rsidRPr="00AD7B00">
        <w:rPr>
          <w:rFonts w:eastAsia="SimSun" w:cstheme="minorHAnsi"/>
          <w:bCs/>
          <w:lang w:eastAsia="en-GB"/>
        </w:rPr>
        <w:t>DPN</w:t>
      </w:r>
      <w:proofErr w:type="spellEnd"/>
      <w:r w:rsidRPr="00AD7B00">
        <w:rPr>
          <w:rFonts w:eastAsia="SimSun" w:cstheme="minorHAnsi"/>
          <w:bCs/>
          <w:lang w:eastAsia="en-GB"/>
        </w:rPr>
        <w:t xml:space="preserve">: n=19, No </w:t>
      </w:r>
      <w:proofErr w:type="spellStart"/>
      <w:r w:rsidRPr="00AD7B00">
        <w:rPr>
          <w:rFonts w:eastAsia="SimSun" w:cstheme="minorHAnsi"/>
          <w:bCs/>
          <w:lang w:eastAsia="en-GB"/>
        </w:rPr>
        <w:t>DPN</w:t>
      </w:r>
      <w:proofErr w:type="spellEnd"/>
      <w:r w:rsidRPr="00AD7B00">
        <w:rPr>
          <w:rFonts w:eastAsia="SimSun" w:cstheme="minorHAnsi"/>
          <w:bCs/>
          <w:lang w:eastAsia="en-GB"/>
        </w:rPr>
        <w:t>: n=18)</w:t>
      </w:r>
      <w:r w:rsidRPr="00AD7B00">
        <w:rPr>
          <w:rFonts w:eastAsia="SimSun" w:cstheme="minorHAnsi"/>
          <w:bCs/>
          <w:lang w:eastAsia="en-GB"/>
        </w:rPr>
        <w:tab/>
      </w:r>
      <w:r w:rsidRPr="00AD7B00">
        <w:rPr>
          <w:rFonts w:eastAsia="SimSun" w:cstheme="minorHAnsi"/>
          <w:bCs/>
          <w:lang w:eastAsia="en-GB"/>
        </w:rPr>
        <w:tab/>
      </w:r>
      <w:r w:rsidR="00735A66" w:rsidRPr="00AD7B00">
        <w:rPr>
          <w:rFonts w:eastAsia="SimSun" w:cstheme="minorHAnsi"/>
          <w:bCs/>
          <w:lang w:eastAsia="en-GB"/>
        </w:rPr>
        <w:tab/>
      </w:r>
      <w:r w:rsidR="00735A66" w:rsidRPr="00AD7B00">
        <w:rPr>
          <w:rFonts w:eastAsia="SimSun" w:cstheme="minorHAnsi"/>
          <w:bCs/>
          <w:lang w:eastAsia="en-GB"/>
        </w:rPr>
        <w:tab/>
      </w:r>
      <w:r w:rsidR="00735A66" w:rsidRPr="00AD7B00">
        <w:rPr>
          <w:rFonts w:eastAsia="SimSun" w:cstheme="minorHAnsi"/>
          <w:bCs/>
          <w:lang w:eastAsia="en-GB"/>
        </w:rPr>
        <w:tab/>
      </w:r>
      <w:r w:rsidR="00735A66" w:rsidRPr="00AD7B00">
        <w:rPr>
          <w:rFonts w:eastAsia="SimSun" w:cstheme="minorHAnsi"/>
          <w:bCs/>
          <w:lang w:eastAsia="en-GB"/>
        </w:rPr>
        <w:tab/>
      </w:r>
      <w:r w:rsidR="00735A66" w:rsidRPr="00AD7B00">
        <w:rPr>
          <w:rFonts w:eastAsia="SimSun" w:cstheme="minorHAnsi"/>
          <w:bCs/>
          <w:lang w:eastAsia="en-GB"/>
        </w:rPr>
        <w:tab/>
      </w:r>
      <w:r w:rsidRPr="00AD7B00">
        <w:rPr>
          <w:rFonts w:eastAsia="SimSun" w:cstheme="minorHAnsi"/>
          <w:b/>
          <w:bCs/>
          <w:lang w:eastAsia="en-GB"/>
        </w:rPr>
        <w:t>7</w:t>
      </w:r>
      <w:r w:rsidR="00CE494E">
        <w:rPr>
          <w:rFonts w:eastAsia="SimSun" w:cstheme="minorHAnsi"/>
          <w:b/>
          <w:bCs/>
          <w:lang w:eastAsia="en-GB"/>
        </w:rPr>
        <w:t>3</w:t>
      </w:r>
    </w:p>
    <w:p w14:paraId="665C88FF" w14:textId="4E7091D5" w:rsidR="009034A4" w:rsidRPr="00AD7B00" w:rsidRDefault="009034A4" w:rsidP="009034A4">
      <w:pPr>
        <w:spacing w:line="480" w:lineRule="auto"/>
        <w:jc w:val="both"/>
        <w:rPr>
          <w:rFonts w:eastAsia="SimSun" w:cstheme="minorHAnsi"/>
          <w:b/>
          <w:bCs/>
          <w:lang w:eastAsia="en-GB"/>
        </w:rPr>
      </w:pPr>
      <w:r w:rsidRPr="00AD7B00">
        <w:rPr>
          <w:rFonts w:eastAsia="SimSun" w:cstheme="minorHAnsi"/>
          <w:b/>
          <w:bCs/>
          <w:lang w:eastAsia="en-GB"/>
        </w:rPr>
        <w:t>Fig 5.3</w:t>
      </w:r>
      <w:r w:rsidRPr="00AD7B00">
        <w:rPr>
          <w:rFonts w:eastAsia="SimSun" w:cstheme="minorHAnsi"/>
          <w:bCs/>
          <w:lang w:eastAsia="en-GB"/>
        </w:rPr>
        <w:t xml:space="preserve"> (a) </w:t>
      </w:r>
      <w:proofErr w:type="spellStart"/>
      <w:r w:rsidRPr="00AD7B00">
        <w:rPr>
          <w:rFonts w:eastAsia="SimSun" w:cstheme="minorHAnsi"/>
          <w:bCs/>
          <w:lang w:eastAsia="en-GB"/>
        </w:rPr>
        <w:t>CGRP</w:t>
      </w:r>
      <w:proofErr w:type="spellEnd"/>
      <w:r w:rsidRPr="00AD7B00">
        <w:rPr>
          <w:rFonts w:eastAsia="SimSun" w:cstheme="minorHAnsi"/>
          <w:bCs/>
          <w:lang w:eastAsia="en-GB"/>
        </w:rPr>
        <w:t xml:space="preserve"> immunoreactivity in calf skin from healthy volunteers, </w:t>
      </w:r>
      <w:proofErr w:type="spellStart"/>
      <w:r w:rsidRPr="00AD7B00">
        <w:rPr>
          <w:rFonts w:eastAsia="SimSun" w:cstheme="minorHAnsi"/>
          <w:bCs/>
          <w:lang w:eastAsia="en-GB"/>
        </w:rPr>
        <w:t>HV</w:t>
      </w:r>
      <w:proofErr w:type="spellEnd"/>
      <w:r w:rsidRPr="00AD7B00">
        <w:rPr>
          <w:rFonts w:eastAsia="SimSun" w:cstheme="minorHAnsi"/>
          <w:bCs/>
          <w:lang w:eastAsia="en-GB"/>
        </w:rPr>
        <w:t xml:space="preserve"> (b), painful diabetic peripheral neuropathy, painful </w:t>
      </w:r>
      <w:proofErr w:type="spellStart"/>
      <w:r w:rsidRPr="00AD7B00">
        <w:rPr>
          <w:rFonts w:eastAsia="SimSun" w:cstheme="minorHAnsi"/>
          <w:bCs/>
          <w:lang w:eastAsia="en-GB"/>
        </w:rPr>
        <w:t>DPN</w:t>
      </w:r>
      <w:proofErr w:type="spellEnd"/>
      <w:r w:rsidRPr="00AD7B00">
        <w:rPr>
          <w:rFonts w:eastAsia="SimSun" w:cstheme="minorHAnsi"/>
          <w:bCs/>
          <w:lang w:eastAsia="en-GB"/>
        </w:rPr>
        <w:t xml:space="preserve"> (c) painless diabetic neuropathy, painless </w:t>
      </w:r>
      <w:proofErr w:type="spellStart"/>
      <w:r w:rsidRPr="00AD7B00">
        <w:rPr>
          <w:rFonts w:eastAsia="SimSun" w:cstheme="minorHAnsi"/>
          <w:bCs/>
          <w:lang w:eastAsia="en-GB"/>
        </w:rPr>
        <w:t>DPN</w:t>
      </w:r>
      <w:proofErr w:type="spellEnd"/>
      <w:r w:rsidRPr="00AD7B00">
        <w:rPr>
          <w:rFonts w:eastAsia="SimSun" w:cstheme="minorHAnsi"/>
          <w:bCs/>
          <w:lang w:eastAsia="en-GB"/>
        </w:rPr>
        <w:t xml:space="preserve">, and (d) diabetic patients without peripheral diabetic neuropathy, No </w:t>
      </w:r>
      <w:proofErr w:type="spellStart"/>
      <w:r w:rsidRPr="00AD7B00">
        <w:rPr>
          <w:rFonts w:eastAsia="SimSun" w:cstheme="minorHAnsi"/>
          <w:bCs/>
          <w:lang w:eastAsia="en-GB"/>
        </w:rPr>
        <w:t>DPN</w:t>
      </w:r>
      <w:proofErr w:type="spellEnd"/>
      <w:r w:rsidRPr="00AD7B00">
        <w:rPr>
          <w:rFonts w:eastAsia="SimSun" w:cstheme="minorHAnsi"/>
          <w:bCs/>
          <w:lang w:eastAsia="en-GB"/>
        </w:rPr>
        <w:t xml:space="preserve">. (f) Image analysis of </w:t>
      </w:r>
      <w:proofErr w:type="spellStart"/>
      <w:r w:rsidRPr="00AD7B00">
        <w:rPr>
          <w:rFonts w:eastAsia="SimSun" w:cstheme="minorHAnsi"/>
          <w:bCs/>
          <w:lang w:eastAsia="en-GB"/>
        </w:rPr>
        <w:t>CGRP</w:t>
      </w:r>
      <w:proofErr w:type="spellEnd"/>
      <w:r w:rsidRPr="00AD7B00">
        <w:rPr>
          <w:rFonts w:eastAsia="SimSun" w:cstheme="minorHAnsi"/>
          <w:bCs/>
          <w:lang w:eastAsia="en-GB"/>
        </w:rPr>
        <w:t xml:space="preserve"> sub epithelial counts (% immunoreactivity) in the same groups (</w:t>
      </w:r>
      <w:proofErr w:type="spellStart"/>
      <w:r w:rsidRPr="00AD7B00">
        <w:rPr>
          <w:rFonts w:eastAsia="SimSun" w:cstheme="minorHAnsi"/>
          <w:bCs/>
          <w:lang w:eastAsia="en-GB"/>
        </w:rPr>
        <w:t>HV</w:t>
      </w:r>
      <w:proofErr w:type="spellEnd"/>
      <w:r w:rsidRPr="00AD7B00">
        <w:rPr>
          <w:rFonts w:eastAsia="SimSun" w:cstheme="minorHAnsi"/>
          <w:bCs/>
          <w:lang w:eastAsia="en-GB"/>
        </w:rPr>
        <w:t xml:space="preserve">: n=19, painful </w:t>
      </w:r>
      <w:proofErr w:type="spellStart"/>
      <w:r w:rsidRPr="00AD7B00">
        <w:rPr>
          <w:rFonts w:eastAsia="SimSun" w:cstheme="minorHAnsi"/>
          <w:bCs/>
          <w:lang w:eastAsia="en-GB"/>
        </w:rPr>
        <w:t>DPN</w:t>
      </w:r>
      <w:proofErr w:type="spellEnd"/>
      <w:r w:rsidRPr="00AD7B00">
        <w:rPr>
          <w:rFonts w:eastAsia="SimSun" w:cstheme="minorHAnsi"/>
          <w:bCs/>
          <w:lang w:eastAsia="en-GB"/>
        </w:rPr>
        <w:t xml:space="preserve">: n=23, painless </w:t>
      </w:r>
      <w:proofErr w:type="spellStart"/>
      <w:r w:rsidRPr="00AD7B00">
        <w:rPr>
          <w:rFonts w:eastAsia="SimSun" w:cstheme="minorHAnsi"/>
          <w:bCs/>
          <w:lang w:eastAsia="en-GB"/>
        </w:rPr>
        <w:t>DPN</w:t>
      </w:r>
      <w:proofErr w:type="spellEnd"/>
      <w:r w:rsidRPr="00AD7B00">
        <w:rPr>
          <w:rFonts w:eastAsia="SimSun" w:cstheme="minorHAnsi"/>
          <w:bCs/>
          <w:lang w:eastAsia="en-GB"/>
        </w:rPr>
        <w:t xml:space="preserve">: n=19, No </w:t>
      </w:r>
      <w:proofErr w:type="spellStart"/>
      <w:r w:rsidRPr="00AD7B00">
        <w:rPr>
          <w:rFonts w:eastAsia="SimSun" w:cstheme="minorHAnsi"/>
          <w:bCs/>
          <w:lang w:eastAsia="en-GB"/>
        </w:rPr>
        <w:t>DPN</w:t>
      </w:r>
      <w:proofErr w:type="spellEnd"/>
      <w:r w:rsidRPr="00AD7B00">
        <w:rPr>
          <w:rFonts w:eastAsia="SimSun" w:cstheme="minorHAnsi"/>
          <w:bCs/>
          <w:lang w:eastAsia="en-GB"/>
        </w:rPr>
        <w:t>: n=18).  Intra-epithelial fibres were absent or sparse in all groups</w:t>
      </w:r>
      <w:r w:rsidRPr="00AD7B00">
        <w:rPr>
          <w:rFonts w:eastAsia="SimSun" w:cstheme="minorHAnsi"/>
          <w:bCs/>
          <w:lang w:eastAsia="en-GB"/>
        </w:rPr>
        <w:tab/>
      </w:r>
      <w:r w:rsidRPr="00AD7B00">
        <w:rPr>
          <w:rFonts w:eastAsia="SimSun" w:cstheme="minorHAnsi"/>
          <w:bCs/>
          <w:lang w:eastAsia="en-GB"/>
        </w:rPr>
        <w:tab/>
      </w:r>
      <w:r w:rsidRPr="00AD7B00">
        <w:rPr>
          <w:rFonts w:eastAsia="SimSun" w:cstheme="minorHAnsi"/>
          <w:bCs/>
          <w:lang w:eastAsia="en-GB"/>
        </w:rPr>
        <w:tab/>
      </w:r>
      <w:r w:rsidRPr="00AD7B00">
        <w:rPr>
          <w:rFonts w:eastAsia="SimSun" w:cstheme="minorHAnsi"/>
          <w:bCs/>
          <w:lang w:eastAsia="en-GB"/>
        </w:rPr>
        <w:tab/>
      </w:r>
      <w:r w:rsidRPr="00AD7B00">
        <w:rPr>
          <w:rFonts w:eastAsia="SimSun" w:cstheme="minorHAnsi"/>
          <w:bCs/>
          <w:lang w:eastAsia="en-GB"/>
        </w:rPr>
        <w:tab/>
      </w:r>
      <w:r w:rsidR="00735A66" w:rsidRPr="00AD7B00">
        <w:rPr>
          <w:rFonts w:eastAsia="SimSun" w:cstheme="minorHAnsi"/>
          <w:bCs/>
          <w:lang w:eastAsia="en-GB"/>
        </w:rPr>
        <w:tab/>
      </w:r>
      <w:r w:rsidR="00735A66" w:rsidRPr="00AD7B00">
        <w:rPr>
          <w:rFonts w:eastAsia="SimSun" w:cstheme="minorHAnsi"/>
          <w:bCs/>
          <w:lang w:eastAsia="en-GB"/>
        </w:rPr>
        <w:tab/>
      </w:r>
      <w:r w:rsidR="00735A66" w:rsidRPr="00AD7B00">
        <w:rPr>
          <w:rFonts w:eastAsia="SimSun" w:cstheme="minorHAnsi"/>
          <w:bCs/>
          <w:lang w:eastAsia="en-GB"/>
        </w:rPr>
        <w:tab/>
      </w:r>
      <w:r w:rsidRPr="00AD7B00">
        <w:rPr>
          <w:rFonts w:eastAsia="SimSun" w:cstheme="minorHAnsi"/>
          <w:b/>
          <w:bCs/>
          <w:lang w:eastAsia="en-GB"/>
        </w:rPr>
        <w:t>7</w:t>
      </w:r>
      <w:r w:rsidR="00CE494E">
        <w:rPr>
          <w:rFonts w:eastAsia="SimSun" w:cstheme="minorHAnsi"/>
          <w:b/>
          <w:bCs/>
          <w:lang w:eastAsia="en-GB"/>
        </w:rPr>
        <w:t>5</w:t>
      </w:r>
    </w:p>
    <w:p w14:paraId="07009853" w14:textId="4F5FCD87" w:rsidR="009034A4" w:rsidRPr="00417563" w:rsidRDefault="009034A4" w:rsidP="00417563">
      <w:pPr>
        <w:spacing w:line="480" w:lineRule="auto"/>
        <w:jc w:val="both"/>
        <w:rPr>
          <w:rFonts w:eastAsia="SimSun" w:cstheme="minorHAnsi"/>
          <w:bCs/>
          <w:lang w:eastAsia="en-GB"/>
        </w:rPr>
      </w:pPr>
      <w:r w:rsidRPr="00AD7B00">
        <w:rPr>
          <w:rFonts w:eastAsia="SimSun" w:cstheme="minorHAnsi"/>
          <w:b/>
          <w:bCs/>
          <w:lang w:eastAsia="en-GB"/>
        </w:rPr>
        <w:t xml:space="preserve">Fig 5.4 </w:t>
      </w:r>
      <w:r w:rsidRPr="00AD7B00">
        <w:rPr>
          <w:rFonts w:eastAsia="SimSun" w:cstheme="minorHAnsi"/>
          <w:bCs/>
          <w:lang w:eastAsia="en-GB"/>
        </w:rPr>
        <w:t xml:space="preserve">(a) </w:t>
      </w:r>
      <w:proofErr w:type="spellStart"/>
      <w:r w:rsidRPr="00AD7B00">
        <w:rPr>
          <w:rFonts w:eastAsia="SimSun" w:cstheme="minorHAnsi"/>
          <w:bCs/>
          <w:lang w:eastAsia="en-GB"/>
        </w:rPr>
        <w:t>vWF</w:t>
      </w:r>
      <w:proofErr w:type="spellEnd"/>
      <w:r w:rsidRPr="00AD7B00">
        <w:rPr>
          <w:rFonts w:eastAsia="SimSun" w:cstheme="minorHAnsi"/>
          <w:bCs/>
          <w:lang w:eastAsia="en-GB"/>
        </w:rPr>
        <w:t xml:space="preserve"> immunoreactivity in calf skin from healthy volunteers, </w:t>
      </w:r>
      <w:proofErr w:type="spellStart"/>
      <w:r w:rsidRPr="00AD7B00">
        <w:rPr>
          <w:rFonts w:eastAsia="SimSun" w:cstheme="minorHAnsi"/>
          <w:bCs/>
          <w:lang w:eastAsia="en-GB"/>
        </w:rPr>
        <w:t>HV</w:t>
      </w:r>
      <w:proofErr w:type="spellEnd"/>
      <w:r w:rsidRPr="00AD7B00">
        <w:rPr>
          <w:rFonts w:eastAsia="SimSun" w:cstheme="minorHAnsi"/>
          <w:bCs/>
          <w:lang w:eastAsia="en-GB"/>
        </w:rPr>
        <w:t xml:space="preserve"> (b), painful diabetic peripheral neuropathy, painful </w:t>
      </w:r>
      <w:proofErr w:type="spellStart"/>
      <w:r w:rsidRPr="00AD7B00">
        <w:rPr>
          <w:rFonts w:eastAsia="SimSun" w:cstheme="minorHAnsi"/>
          <w:bCs/>
          <w:lang w:eastAsia="en-GB"/>
        </w:rPr>
        <w:t>DPN</w:t>
      </w:r>
      <w:proofErr w:type="spellEnd"/>
      <w:r w:rsidRPr="00AD7B00">
        <w:rPr>
          <w:rFonts w:eastAsia="SimSun" w:cstheme="minorHAnsi"/>
          <w:bCs/>
          <w:lang w:eastAsia="en-GB"/>
        </w:rPr>
        <w:t xml:space="preserve"> (c) painless diabetic neuropathy, painless </w:t>
      </w:r>
      <w:proofErr w:type="spellStart"/>
      <w:r w:rsidRPr="00AD7B00">
        <w:rPr>
          <w:rFonts w:eastAsia="SimSun" w:cstheme="minorHAnsi"/>
          <w:bCs/>
          <w:lang w:eastAsia="en-GB"/>
        </w:rPr>
        <w:t>DPN</w:t>
      </w:r>
      <w:proofErr w:type="spellEnd"/>
      <w:r w:rsidRPr="00AD7B00">
        <w:rPr>
          <w:rFonts w:eastAsia="SimSun" w:cstheme="minorHAnsi"/>
          <w:bCs/>
          <w:lang w:eastAsia="en-GB"/>
        </w:rPr>
        <w:t xml:space="preserve">, and (d) diabetic patients without peripheral diabetic neuropathy, No </w:t>
      </w:r>
      <w:proofErr w:type="spellStart"/>
      <w:r w:rsidRPr="00AD7B00">
        <w:rPr>
          <w:rFonts w:eastAsia="SimSun" w:cstheme="minorHAnsi"/>
          <w:bCs/>
          <w:lang w:eastAsia="en-GB"/>
        </w:rPr>
        <w:t>DPN</w:t>
      </w:r>
      <w:proofErr w:type="spellEnd"/>
      <w:r w:rsidRPr="00AD7B00">
        <w:rPr>
          <w:rFonts w:eastAsia="SimSun" w:cstheme="minorHAnsi"/>
          <w:bCs/>
          <w:lang w:eastAsia="en-GB"/>
        </w:rPr>
        <w:t xml:space="preserve">. (e), image analysis of </w:t>
      </w:r>
      <w:proofErr w:type="spellStart"/>
      <w:r w:rsidRPr="00AD7B00">
        <w:rPr>
          <w:rFonts w:eastAsia="SimSun" w:cstheme="minorHAnsi"/>
          <w:bCs/>
          <w:lang w:eastAsia="en-GB"/>
        </w:rPr>
        <w:t>vWF</w:t>
      </w:r>
      <w:proofErr w:type="spellEnd"/>
      <w:r w:rsidRPr="00AD7B00">
        <w:rPr>
          <w:rFonts w:eastAsia="SimSun" w:cstheme="minorHAnsi"/>
          <w:bCs/>
          <w:lang w:eastAsia="en-GB"/>
        </w:rPr>
        <w:t xml:space="preserve"> sub epithelial endothelial staining (% immunoreactivity) in the same groups. (</w:t>
      </w:r>
      <w:proofErr w:type="spellStart"/>
      <w:r w:rsidRPr="00AD7B00">
        <w:rPr>
          <w:rFonts w:eastAsia="SimSun" w:cstheme="minorHAnsi"/>
          <w:bCs/>
          <w:lang w:eastAsia="en-GB"/>
        </w:rPr>
        <w:t>HV</w:t>
      </w:r>
      <w:proofErr w:type="spellEnd"/>
      <w:r w:rsidRPr="00AD7B00">
        <w:rPr>
          <w:rFonts w:eastAsia="SimSun" w:cstheme="minorHAnsi"/>
          <w:bCs/>
          <w:lang w:eastAsia="en-GB"/>
        </w:rPr>
        <w:t xml:space="preserve">: n=12, painful </w:t>
      </w:r>
      <w:proofErr w:type="spellStart"/>
      <w:r w:rsidRPr="00AD7B00">
        <w:rPr>
          <w:rFonts w:eastAsia="SimSun" w:cstheme="minorHAnsi"/>
          <w:bCs/>
          <w:lang w:eastAsia="en-GB"/>
        </w:rPr>
        <w:t>DPN</w:t>
      </w:r>
      <w:proofErr w:type="spellEnd"/>
      <w:r w:rsidRPr="00AD7B00">
        <w:rPr>
          <w:rFonts w:eastAsia="SimSun" w:cstheme="minorHAnsi"/>
          <w:bCs/>
          <w:lang w:eastAsia="en-GB"/>
        </w:rPr>
        <w:t xml:space="preserve">: n=15, painless </w:t>
      </w:r>
      <w:proofErr w:type="spellStart"/>
      <w:r w:rsidRPr="00AD7B00">
        <w:rPr>
          <w:rFonts w:eastAsia="SimSun" w:cstheme="minorHAnsi"/>
          <w:bCs/>
          <w:lang w:eastAsia="en-GB"/>
        </w:rPr>
        <w:t>DPN</w:t>
      </w:r>
      <w:proofErr w:type="spellEnd"/>
      <w:r w:rsidRPr="00AD7B00">
        <w:rPr>
          <w:rFonts w:eastAsia="SimSun" w:cstheme="minorHAnsi"/>
          <w:bCs/>
          <w:lang w:eastAsia="en-GB"/>
        </w:rPr>
        <w:t xml:space="preserve">: n=18, No </w:t>
      </w:r>
      <w:proofErr w:type="spellStart"/>
      <w:r w:rsidRPr="00AD7B00">
        <w:rPr>
          <w:rFonts w:eastAsia="SimSun" w:cstheme="minorHAnsi"/>
          <w:bCs/>
          <w:lang w:eastAsia="en-GB"/>
        </w:rPr>
        <w:t>DPN</w:t>
      </w:r>
      <w:proofErr w:type="spellEnd"/>
      <w:r w:rsidRPr="00AD7B00">
        <w:rPr>
          <w:rFonts w:eastAsia="SimSun" w:cstheme="minorHAnsi"/>
          <w:bCs/>
          <w:lang w:eastAsia="en-GB"/>
        </w:rPr>
        <w:t xml:space="preserve">: n=13) </w:t>
      </w:r>
      <w:r w:rsidR="00417563">
        <w:rPr>
          <w:rFonts w:eastAsia="SimSun" w:cstheme="minorHAnsi"/>
          <w:bCs/>
          <w:lang w:eastAsia="en-GB"/>
        </w:rPr>
        <w:t xml:space="preserve">       </w:t>
      </w:r>
      <w:r w:rsidRPr="00AD7B00">
        <w:rPr>
          <w:rFonts w:eastAsia="SimSun" w:cstheme="minorHAnsi"/>
          <w:b/>
          <w:bCs/>
          <w:lang w:eastAsia="en-GB"/>
        </w:rPr>
        <w:t>7</w:t>
      </w:r>
      <w:r w:rsidR="00CE494E">
        <w:rPr>
          <w:rFonts w:eastAsia="SimSun" w:cstheme="minorHAnsi"/>
          <w:b/>
          <w:bCs/>
          <w:lang w:eastAsia="en-GB"/>
        </w:rPr>
        <w:t>6</w:t>
      </w:r>
    </w:p>
    <w:p w14:paraId="3CE05B07" w14:textId="6084F435" w:rsidR="009034A4" w:rsidRPr="00AD7B00" w:rsidRDefault="009034A4" w:rsidP="002B6645">
      <w:pPr>
        <w:tabs>
          <w:tab w:val="left" w:pos="8505"/>
        </w:tabs>
        <w:spacing w:after="160" w:line="480" w:lineRule="auto"/>
        <w:jc w:val="both"/>
        <w:rPr>
          <w:rFonts w:cstheme="minorHAnsi"/>
          <w:b/>
          <w:bCs/>
        </w:rPr>
      </w:pPr>
      <w:r w:rsidRPr="00AD7B00">
        <w:rPr>
          <w:rFonts w:cstheme="minorHAnsi"/>
          <w:b/>
        </w:rPr>
        <w:t xml:space="preserve">Fig 5.5 </w:t>
      </w:r>
      <w:r w:rsidRPr="00AD7B00">
        <w:rPr>
          <w:rFonts w:cstheme="minorHAnsi"/>
        </w:rPr>
        <w:t xml:space="preserve">(a), bar charts showing </w:t>
      </w:r>
      <w:r w:rsidRPr="00AD7B00">
        <w:rPr>
          <w:rFonts w:cstheme="minorHAnsi"/>
          <w:bCs/>
        </w:rPr>
        <w:t xml:space="preserve">image analysis (mean ± SEM) of PGP9.5 SEF: </w:t>
      </w:r>
      <w:proofErr w:type="spellStart"/>
      <w:r w:rsidRPr="00AD7B00">
        <w:rPr>
          <w:rFonts w:cstheme="minorHAnsi"/>
          <w:bCs/>
        </w:rPr>
        <w:t>vWF</w:t>
      </w:r>
      <w:proofErr w:type="spellEnd"/>
      <w:r w:rsidRPr="00AD7B00">
        <w:rPr>
          <w:rFonts w:cstheme="minorHAnsi"/>
          <w:bCs/>
        </w:rPr>
        <w:t xml:space="preserve"> (b), GAP43 </w:t>
      </w:r>
      <w:proofErr w:type="spellStart"/>
      <w:r w:rsidRPr="00AD7B00">
        <w:rPr>
          <w:rFonts w:cstheme="minorHAnsi"/>
          <w:bCs/>
        </w:rPr>
        <w:t>IEF</w:t>
      </w:r>
      <w:proofErr w:type="spellEnd"/>
      <w:r w:rsidRPr="00AD7B00">
        <w:rPr>
          <w:rFonts w:cstheme="minorHAnsi"/>
          <w:bCs/>
        </w:rPr>
        <w:t xml:space="preserve">: </w:t>
      </w:r>
      <w:proofErr w:type="spellStart"/>
      <w:r w:rsidRPr="00AD7B00">
        <w:rPr>
          <w:rFonts w:cstheme="minorHAnsi"/>
          <w:bCs/>
        </w:rPr>
        <w:t>vWF</w:t>
      </w:r>
      <w:proofErr w:type="spellEnd"/>
      <w:r w:rsidRPr="00AD7B00">
        <w:rPr>
          <w:rFonts w:cstheme="minorHAnsi"/>
          <w:bCs/>
        </w:rPr>
        <w:t xml:space="preserve"> and (c) </w:t>
      </w:r>
      <w:proofErr w:type="spellStart"/>
      <w:r w:rsidRPr="00AD7B00">
        <w:rPr>
          <w:rFonts w:cstheme="minorHAnsi"/>
          <w:bCs/>
        </w:rPr>
        <w:t>CGRP</w:t>
      </w:r>
      <w:proofErr w:type="spellEnd"/>
      <w:r w:rsidRPr="00AD7B00">
        <w:rPr>
          <w:rFonts w:cstheme="minorHAnsi"/>
          <w:bCs/>
        </w:rPr>
        <w:t xml:space="preserve"> SEF: </w:t>
      </w:r>
      <w:proofErr w:type="spellStart"/>
      <w:r w:rsidRPr="00AD7B00">
        <w:rPr>
          <w:rFonts w:cstheme="minorHAnsi"/>
          <w:bCs/>
        </w:rPr>
        <w:t>vWF</w:t>
      </w:r>
      <w:proofErr w:type="spellEnd"/>
      <w:r w:rsidRPr="00AD7B00">
        <w:rPr>
          <w:rFonts w:cstheme="minorHAnsi"/>
          <w:bCs/>
        </w:rPr>
        <w:t xml:space="preserve"> ratios (Control: n=12, P: n=15, NP: n=18, </w:t>
      </w:r>
      <w:proofErr w:type="spellStart"/>
      <w:r w:rsidRPr="00AD7B00">
        <w:rPr>
          <w:rFonts w:cstheme="minorHAnsi"/>
          <w:bCs/>
        </w:rPr>
        <w:t>NDN</w:t>
      </w:r>
      <w:proofErr w:type="spellEnd"/>
      <w:r w:rsidRPr="00AD7B00">
        <w:rPr>
          <w:rFonts w:cstheme="minorHAnsi"/>
          <w:bCs/>
        </w:rPr>
        <w:t xml:space="preserve">: n=13) </w:t>
      </w:r>
      <w:r w:rsidRPr="00AD7B00">
        <w:rPr>
          <w:rFonts w:cstheme="minorHAnsi"/>
          <w:bCs/>
        </w:rPr>
        <w:tab/>
      </w:r>
      <w:r w:rsidRPr="00AD7B00">
        <w:rPr>
          <w:rFonts w:cstheme="minorHAnsi"/>
          <w:bCs/>
        </w:rPr>
        <w:tab/>
      </w:r>
      <w:r w:rsidR="002B6645" w:rsidRPr="00AD7B00">
        <w:rPr>
          <w:rFonts w:cstheme="minorHAnsi"/>
          <w:b/>
          <w:bCs/>
        </w:rPr>
        <w:t>7</w:t>
      </w:r>
      <w:r w:rsidR="00CE494E">
        <w:rPr>
          <w:rFonts w:cstheme="minorHAnsi"/>
          <w:b/>
          <w:bCs/>
        </w:rPr>
        <w:t>8</w:t>
      </w:r>
    </w:p>
    <w:p w14:paraId="06110233" w14:textId="09806142" w:rsidR="009034A4" w:rsidRPr="00AD7B00" w:rsidRDefault="009034A4" w:rsidP="00A93E59">
      <w:pPr>
        <w:spacing w:after="160" w:line="480" w:lineRule="auto"/>
        <w:jc w:val="both"/>
        <w:rPr>
          <w:rFonts w:cstheme="minorHAnsi"/>
          <w:b/>
          <w:bCs/>
        </w:rPr>
      </w:pPr>
      <w:r w:rsidRPr="00AD7B00">
        <w:rPr>
          <w:rFonts w:cstheme="minorHAnsi"/>
          <w:b/>
          <w:bCs/>
        </w:rPr>
        <w:lastRenderedPageBreak/>
        <w:t xml:space="preserve">Fig 5.6 </w:t>
      </w:r>
      <w:r w:rsidRPr="00AD7B00">
        <w:rPr>
          <w:rFonts w:cstheme="minorHAnsi"/>
          <w:bCs/>
        </w:rPr>
        <w:t xml:space="preserve">(a), bar charts showing image analysis (mean ± SEM) of the painful diabetic peripheral neuropathy (painful </w:t>
      </w:r>
      <w:proofErr w:type="spellStart"/>
      <w:r w:rsidRPr="00AD7B00">
        <w:rPr>
          <w:rFonts w:cstheme="minorHAnsi"/>
          <w:bCs/>
        </w:rPr>
        <w:t>DPN</w:t>
      </w:r>
      <w:proofErr w:type="spellEnd"/>
      <w:r w:rsidRPr="00AD7B00">
        <w:rPr>
          <w:rFonts w:cstheme="minorHAnsi"/>
          <w:bCs/>
        </w:rPr>
        <w:t xml:space="preserve">) and painless diabetic neuropathy (painless </w:t>
      </w:r>
      <w:proofErr w:type="spellStart"/>
      <w:r w:rsidRPr="00AD7B00">
        <w:rPr>
          <w:rFonts w:cstheme="minorHAnsi"/>
          <w:bCs/>
        </w:rPr>
        <w:t>DPN</w:t>
      </w:r>
      <w:proofErr w:type="spellEnd"/>
      <w:r w:rsidRPr="00AD7B00">
        <w:rPr>
          <w:rFonts w:cstheme="minorHAnsi"/>
          <w:bCs/>
        </w:rPr>
        <w:t xml:space="preserve">) for the various nerve markers PGP9.5 SEF: </w:t>
      </w:r>
      <w:proofErr w:type="spellStart"/>
      <w:r w:rsidRPr="00AD7B00">
        <w:rPr>
          <w:rFonts w:cstheme="minorHAnsi"/>
          <w:bCs/>
        </w:rPr>
        <w:t>vWF</w:t>
      </w:r>
      <w:proofErr w:type="spellEnd"/>
      <w:r w:rsidRPr="00AD7B00">
        <w:rPr>
          <w:rFonts w:cstheme="minorHAnsi"/>
          <w:bCs/>
        </w:rPr>
        <w:t xml:space="preserve">, GAP43 </w:t>
      </w:r>
      <w:proofErr w:type="spellStart"/>
      <w:r w:rsidRPr="00AD7B00">
        <w:rPr>
          <w:rFonts w:cstheme="minorHAnsi"/>
          <w:bCs/>
        </w:rPr>
        <w:t>IEF</w:t>
      </w:r>
      <w:proofErr w:type="spellEnd"/>
      <w:r w:rsidRPr="00AD7B00">
        <w:rPr>
          <w:rFonts w:cstheme="minorHAnsi"/>
          <w:bCs/>
        </w:rPr>
        <w:t xml:space="preserve">: </w:t>
      </w:r>
      <w:proofErr w:type="spellStart"/>
      <w:r w:rsidRPr="00AD7B00">
        <w:rPr>
          <w:rFonts w:cstheme="minorHAnsi"/>
          <w:bCs/>
        </w:rPr>
        <w:t>vWF</w:t>
      </w:r>
      <w:proofErr w:type="spellEnd"/>
      <w:r w:rsidRPr="00AD7B00">
        <w:rPr>
          <w:rFonts w:cstheme="minorHAnsi"/>
          <w:bCs/>
        </w:rPr>
        <w:t xml:space="preserve"> and </w:t>
      </w:r>
      <w:proofErr w:type="spellStart"/>
      <w:r w:rsidRPr="00AD7B00">
        <w:rPr>
          <w:rFonts w:cstheme="minorHAnsi"/>
          <w:bCs/>
        </w:rPr>
        <w:t>CGRP</w:t>
      </w:r>
      <w:proofErr w:type="spellEnd"/>
      <w:r w:rsidRPr="00AD7B00">
        <w:rPr>
          <w:rFonts w:cstheme="minorHAnsi"/>
          <w:bCs/>
        </w:rPr>
        <w:t xml:space="preserve"> SEF: </w:t>
      </w:r>
      <w:proofErr w:type="spellStart"/>
      <w:r w:rsidRPr="00AD7B00">
        <w:rPr>
          <w:rFonts w:cstheme="minorHAnsi"/>
          <w:bCs/>
        </w:rPr>
        <w:t>vWF</w:t>
      </w:r>
      <w:proofErr w:type="spellEnd"/>
      <w:r w:rsidRPr="00AD7B00">
        <w:rPr>
          <w:rFonts w:cstheme="minorHAnsi"/>
          <w:bCs/>
        </w:rPr>
        <w:t xml:space="preserve"> ratios (Control: n=12, P: n=15, NP: n=18, </w:t>
      </w:r>
      <w:proofErr w:type="spellStart"/>
      <w:r w:rsidRPr="00AD7B00">
        <w:rPr>
          <w:rFonts w:cstheme="minorHAnsi"/>
          <w:bCs/>
        </w:rPr>
        <w:t>NDN</w:t>
      </w:r>
      <w:proofErr w:type="spellEnd"/>
      <w:r w:rsidRPr="00AD7B00">
        <w:rPr>
          <w:rFonts w:cstheme="minorHAnsi"/>
          <w:bCs/>
        </w:rPr>
        <w:t>: n=13)</w:t>
      </w:r>
      <w:r w:rsidR="00A93E59" w:rsidRPr="00AD7B00">
        <w:rPr>
          <w:rFonts w:cstheme="minorHAnsi"/>
          <w:bCs/>
        </w:rPr>
        <w:tab/>
      </w:r>
      <w:r w:rsidR="00A93E59" w:rsidRPr="00AD7B00">
        <w:rPr>
          <w:rFonts w:cstheme="minorHAnsi"/>
          <w:bCs/>
        </w:rPr>
        <w:tab/>
      </w:r>
      <w:r w:rsidR="00A93E59" w:rsidRPr="00AD7B00">
        <w:rPr>
          <w:rFonts w:cstheme="minorHAnsi"/>
          <w:bCs/>
        </w:rPr>
        <w:tab/>
      </w:r>
      <w:r w:rsidR="00A93E59" w:rsidRPr="00AD7B00">
        <w:rPr>
          <w:rFonts w:cstheme="minorHAnsi"/>
          <w:bCs/>
        </w:rPr>
        <w:tab/>
      </w:r>
      <w:r w:rsidR="00735A66" w:rsidRPr="00AD7B00">
        <w:rPr>
          <w:rFonts w:cstheme="minorHAnsi"/>
          <w:bCs/>
        </w:rPr>
        <w:tab/>
      </w:r>
      <w:r w:rsidR="00A93E59" w:rsidRPr="00AD7B00">
        <w:rPr>
          <w:rFonts w:cstheme="minorHAnsi"/>
          <w:b/>
          <w:bCs/>
        </w:rPr>
        <w:t>7</w:t>
      </w:r>
      <w:r w:rsidR="00CE494E">
        <w:rPr>
          <w:rFonts w:cstheme="minorHAnsi"/>
          <w:b/>
          <w:bCs/>
        </w:rPr>
        <w:t>9</w:t>
      </w:r>
    </w:p>
    <w:p w14:paraId="5C284C98" w14:textId="535B4A82" w:rsidR="00A93E59" w:rsidRPr="00AD7B00" w:rsidRDefault="00A93E59" w:rsidP="00A93E59">
      <w:pPr>
        <w:spacing w:line="480" w:lineRule="auto"/>
        <w:rPr>
          <w:rFonts w:cstheme="minorHAnsi"/>
          <w:b/>
        </w:rPr>
      </w:pPr>
      <w:r w:rsidRPr="00AD7B00">
        <w:rPr>
          <w:rFonts w:eastAsiaTheme="minorHAnsi" w:cstheme="minorHAnsi"/>
          <w:b/>
          <w:bCs/>
          <w:lang w:eastAsia="en-US"/>
        </w:rPr>
        <w:t>Figure 6.1</w:t>
      </w:r>
      <w:r w:rsidRPr="00AD7B00">
        <w:rPr>
          <w:rFonts w:eastAsiaTheme="minorHAnsi" w:cstheme="minorHAnsi"/>
          <w:bCs/>
          <w:lang w:eastAsia="en-US"/>
        </w:rPr>
        <w:t xml:space="preserve"> Region of Interest for MRS spectroscopy</w:t>
      </w:r>
      <w:r w:rsidRPr="00AD7B00">
        <w:rPr>
          <w:rFonts w:eastAsiaTheme="minorHAnsi" w:cstheme="minorHAnsi"/>
          <w:bCs/>
          <w:lang w:eastAsia="en-US"/>
        </w:rPr>
        <w:tab/>
      </w:r>
      <w:r w:rsidRPr="00AD7B00">
        <w:rPr>
          <w:rFonts w:eastAsiaTheme="minorHAnsi" w:cstheme="minorHAnsi"/>
          <w:bCs/>
          <w:lang w:eastAsia="en-US"/>
        </w:rPr>
        <w:tab/>
      </w:r>
      <w:r w:rsidRPr="00AD7B00">
        <w:rPr>
          <w:rFonts w:eastAsiaTheme="minorHAnsi" w:cstheme="minorHAnsi"/>
          <w:bCs/>
          <w:lang w:eastAsia="en-US"/>
        </w:rPr>
        <w:tab/>
      </w:r>
      <w:r w:rsidRPr="00AD7B00">
        <w:rPr>
          <w:rFonts w:eastAsiaTheme="minorHAnsi" w:cstheme="minorHAnsi"/>
          <w:bCs/>
          <w:lang w:eastAsia="en-US"/>
        </w:rPr>
        <w:tab/>
      </w:r>
      <w:r w:rsidRPr="00AD7B00">
        <w:rPr>
          <w:rFonts w:eastAsiaTheme="minorHAnsi" w:cstheme="minorHAnsi"/>
          <w:bCs/>
          <w:lang w:eastAsia="en-US"/>
        </w:rPr>
        <w:tab/>
      </w:r>
      <w:r w:rsidRPr="00AD7B00">
        <w:rPr>
          <w:rFonts w:eastAsiaTheme="minorHAnsi" w:cstheme="minorHAnsi"/>
          <w:b/>
          <w:bCs/>
          <w:lang w:eastAsia="en-US"/>
        </w:rPr>
        <w:t>8</w:t>
      </w:r>
      <w:r w:rsidR="00CE494E">
        <w:rPr>
          <w:rFonts w:eastAsiaTheme="minorHAnsi" w:cstheme="minorHAnsi"/>
          <w:b/>
          <w:bCs/>
          <w:lang w:eastAsia="en-US"/>
        </w:rPr>
        <w:t>7</w:t>
      </w:r>
    </w:p>
    <w:p w14:paraId="110F4108" w14:textId="7F10E545" w:rsidR="00A93E59" w:rsidRPr="00AD7B00" w:rsidRDefault="00A93E59" w:rsidP="00A93E59">
      <w:pPr>
        <w:spacing w:line="480" w:lineRule="auto"/>
        <w:jc w:val="both"/>
        <w:rPr>
          <w:rFonts w:eastAsiaTheme="minorHAnsi" w:cstheme="minorHAnsi"/>
          <w:b/>
          <w:lang w:eastAsia="en-US"/>
        </w:rPr>
      </w:pPr>
      <w:r w:rsidRPr="00AD7B00">
        <w:rPr>
          <w:rFonts w:eastAsiaTheme="minorHAnsi" w:cstheme="minorHAnsi"/>
          <w:b/>
          <w:bCs/>
          <w:lang w:eastAsia="en-US"/>
        </w:rPr>
        <w:t>Figure 6.2</w:t>
      </w:r>
      <w:r w:rsidRPr="00AD7B00">
        <w:rPr>
          <w:rFonts w:eastAsiaTheme="minorHAnsi" w:cstheme="minorHAnsi"/>
          <w:bCs/>
          <w:lang w:eastAsia="en-US"/>
        </w:rPr>
        <w:t xml:space="preserve"> Mean Thalamic GABA/H20 Between </w:t>
      </w:r>
      <w:proofErr w:type="spellStart"/>
      <w:r w:rsidRPr="00AD7B00">
        <w:rPr>
          <w:rFonts w:eastAsiaTheme="minorHAnsi" w:cstheme="minorHAnsi"/>
          <w:bCs/>
          <w:lang w:eastAsia="en-US"/>
        </w:rPr>
        <w:t>DPN</w:t>
      </w:r>
      <w:proofErr w:type="spellEnd"/>
      <w:r w:rsidRPr="00AD7B00">
        <w:rPr>
          <w:rFonts w:eastAsiaTheme="minorHAnsi" w:cstheme="minorHAnsi"/>
          <w:bCs/>
          <w:lang w:eastAsia="en-US"/>
        </w:rPr>
        <w:t xml:space="preserve"> (painful and painless </w:t>
      </w:r>
      <w:proofErr w:type="spellStart"/>
      <w:r w:rsidRPr="00AD7B00">
        <w:rPr>
          <w:rFonts w:eastAsiaTheme="minorHAnsi" w:cstheme="minorHAnsi"/>
          <w:bCs/>
          <w:lang w:eastAsia="en-US"/>
        </w:rPr>
        <w:t>DPN</w:t>
      </w:r>
      <w:proofErr w:type="spellEnd"/>
      <w:r w:rsidRPr="00AD7B00">
        <w:rPr>
          <w:rFonts w:eastAsiaTheme="minorHAnsi" w:cstheme="minorHAnsi"/>
          <w:bCs/>
          <w:lang w:eastAsia="en-US"/>
        </w:rPr>
        <w:t xml:space="preserve">) and No </w:t>
      </w:r>
      <w:proofErr w:type="spellStart"/>
      <w:r w:rsidRPr="00AD7B00">
        <w:rPr>
          <w:rFonts w:eastAsiaTheme="minorHAnsi" w:cstheme="minorHAnsi"/>
          <w:bCs/>
          <w:lang w:eastAsia="en-US"/>
        </w:rPr>
        <w:t>DPN</w:t>
      </w:r>
      <w:proofErr w:type="spellEnd"/>
      <w:r w:rsidRPr="00AD7B00">
        <w:rPr>
          <w:rFonts w:eastAsiaTheme="minorHAnsi" w:cstheme="minorHAnsi"/>
          <w:bCs/>
          <w:lang w:eastAsia="en-US"/>
        </w:rPr>
        <w:t xml:space="preserve"> (</w:t>
      </w:r>
      <w:proofErr w:type="spellStart"/>
      <w:r w:rsidRPr="00AD7B00">
        <w:rPr>
          <w:rFonts w:eastAsiaTheme="minorHAnsi" w:cstheme="minorHAnsi"/>
          <w:bCs/>
          <w:lang w:eastAsia="en-US"/>
        </w:rPr>
        <w:t>HV</w:t>
      </w:r>
      <w:proofErr w:type="spellEnd"/>
      <w:r w:rsidRPr="00AD7B00">
        <w:rPr>
          <w:rFonts w:eastAsiaTheme="minorHAnsi" w:cstheme="minorHAnsi"/>
          <w:bCs/>
          <w:lang w:eastAsia="en-US"/>
        </w:rPr>
        <w:t xml:space="preserve"> and T2DM No </w:t>
      </w:r>
      <w:proofErr w:type="spellStart"/>
      <w:r w:rsidRPr="00AD7B00">
        <w:rPr>
          <w:rFonts w:eastAsiaTheme="minorHAnsi" w:cstheme="minorHAnsi"/>
          <w:bCs/>
          <w:lang w:eastAsia="en-US"/>
        </w:rPr>
        <w:t>DPN</w:t>
      </w:r>
      <w:proofErr w:type="spellEnd"/>
      <w:r w:rsidRPr="00AD7B00">
        <w:rPr>
          <w:rFonts w:eastAsiaTheme="minorHAnsi" w:cstheme="minorHAnsi"/>
          <w:bCs/>
          <w:lang w:eastAsia="en-US"/>
        </w:rPr>
        <w:t>) Groups</w:t>
      </w:r>
      <w:r w:rsidRPr="00AD7B00">
        <w:rPr>
          <w:rFonts w:eastAsiaTheme="minorHAnsi" w:cstheme="minorHAnsi"/>
          <w:bCs/>
          <w:lang w:eastAsia="en-US"/>
        </w:rPr>
        <w:tab/>
      </w:r>
      <w:r w:rsidRPr="00AD7B00">
        <w:rPr>
          <w:rFonts w:eastAsiaTheme="minorHAnsi" w:cstheme="minorHAnsi"/>
          <w:bCs/>
          <w:lang w:eastAsia="en-US"/>
        </w:rPr>
        <w:tab/>
      </w:r>
      <w:r w:rsidRPr="00AD7B00">
        <w:rPr>
          <w:rFonts w:eastAsiaTheme="minorHAnsi" w:cstheme="minorHAnsi"/>
          <w:bCs/>
          <w:lang w:eastAsia="en-US"/>
        </w:rPr>
        <w:tab/>
      </w:r>
      <w:r w:rsidRPr="00AD7B00">
        <w:rPr>
          <w:rFonts w:eastAsiaTheme="minorHAnsi" w:cstheme="minorHAnsi"/>
          <w:bCs/>
          <w:lang w:eastAsia="en-US"/>
        </w:rPr>
        <w:tab/>
      </w:r>
      <w:r w:rsidRPr="00AD7B00">
        <w:rPr>
          <w:rFonts w:eastAsiaTheme="minorHAnsi" w:cstheme="minorHAnsi"/>
          <w:bCs/>
          <w:lang w:eastAsia="en-US"/>
        </w:rPr>
        <w:tab/>
      </w:r>
      <w:r w:rsidRPr="00AD7B00">
        <w:rPr>
          <w:rFonts w:eastAsiaTheme="minorHAnsi" w:cstheme="minorHAnsi"/>
          <w:bCs/>
          <w:lang w:eastAsia="en-US"/>
        </w:rPr>
        <w:tab/>
      </w:r>
      <w:r w:rsidR="00735A66" w:rsidRPr="00AD7B00">
        <w:rPr>
          <w:rFonts w:eastAsiaTheme="minorHAnsi" w:cstheme="minorHAnsi"/>
          <w:bCs/>
          <w:lang w:eastAsia="en-US"/>
        </w:rPr>
        <w:tab/>
      </w:r>
      <w:r w:rsidR="00CE494E">
        <w:rPr>
          <w:rFonts w:eastAsiaTheme="minorHAnsi" w:cstheme="minorHAnsi"/>
          <w:b/>
          <w:bCs/>
          <w:lang w:eastAsia="en-US"/>
        </w:rPr>
        <w:t>91</w:t>
      </w:r>
    </w:p>
    <w:p w14:paraId="113E9345" w14:textId="4E393842" w:rsidR="00A93E59" w:rsidRPr="00AD7B00" w:rsidRDefault="00A93E59" w:rsidP="00A93E59">
      <w:pPr>
        <w:spacing w:line="480" w:lineRule="auto"/>
        <w:rPr>
          <w:rFonts w:eastAsiaTheme="minorHAnsi" w:cstheme="minorHAnsi"/>
          <w:b/>
          <w:lang w:eastAsia="en-US"/>
        </w:rPr>
      </w:pPr>
      <w:r w:rsidRPr="00AD7B00">
        <w:rPr>
          <w:rFonts w:eastAsiaTheme="minorHAnsi" w:cstheme="minorHAnsi"/>
          <w:b/>
          <w:lang w:eastAsia="en-US"/>
        </w:rPr>
        <w:t>Figure 6.3</w:t>
      </w:r>
      <w:r w:rsidRPr="00AD7B00">
        <w:rPr>
          <w:rFonts w:eastAsiaTheme="minorHAnsi" w:cstheme="minorHAnsi"/>
          <w:lang w:eastAsia="en-US"/>
        </w:rPr>
        <w:t xml:space="preserve"> </w:t>
      </w:r>
      <w:r w:rsidRPr="00AD7B00">
        <w:rPr>
          <w:rFonts w:eastAsiaTheme="minorHAnsi" w:cstheme="minorHAnsi"/>
          <w:bCs/>
          <w:lang w:eastAsia="en-US"/>
        </w:rPr>
        <w:t>Mean Thalamic GABA/H20 Between All Four Groups</w:t>
      </w:r>
      <w:r w:rsidRPr="00AD7B00">
        <w:rPr>
          <w:rFonts w:eastAsiaTheme="minorHAnsi" w:cstheme="minorHAnsi"/>
          <w:bCs/>
          <w:lang w:eastAsia="en-US"/>
        </w:rPr>
        <w:tab/>
      </w:r>
      <w:r w:rsidRPr="00AD7B00">
        <w:rPr>
          <w:rFonts w:eastAsiaTheme="minorHAnsi" w:cstheme="minorHAnsi"/>
          <w:bCs/>
          <w:lang w:eastAsia="en-US"/>
        </w:rPr>
        <w:tab/>
      </w:r>
      <w:r w:rsidRPr="00AD7B00">
        <w:rPr>
          <w:rFonts w:eastAsiaTheme="minorHAnsi" w:cstheme="minorHAnsi"/>
          <w:bCs/>
          <w:lang w:eastAsia="en-US"/>
        </w:rPr>
        <w:tab/>
      </w:r>
      <w:r w:rsidR="00A95992">
        <w:rPr>
          <w:rFonts w:eastAsiaTheme="minorHAnsi" w:cstheme="minorHAnsi"/>
          <w:b/>
          <w:bCs/>
          <w:lang w:eastAsia="en-US"/>
        </w:rPr>
        <w:t>92</w:t>
      </w:r>
    </w:p>
    <w:p w14:paraId="28A47CDC" w14:textId="42BF103D" w:rsidR="00A93E59" w:rsidRPr="00AD7B00" w:rsidRDefault="00A93E59" w:rsidP="00A93E59">
      <w:pPr>
        <w:spacing w:line="480" w:lineRule="auto"/>
        <w:jc w:val="both"/>
        <w:rPr>
          <w:rFonts w:eastAsiaTheme="minorHAnsi" w:cstheme="minorHAnsi"/>
          <w:b/>
          <w:lang w:eastAsia="en-US"/>
        </w:rPr>
      </w:pPr>
      <w:r w:rsidRPr="00AD7B00">
        <w:rPr>
          <w:rFonts w:eastAsiaTheme="minorHAnsi" w:cstheme="minorHAnsi"/>
          <w:b/>
          <w:bCs/>
          <w:lang w:eastAsia="en-US"/>
        </w:rPr>
        <w:t>Figure 6.4</w:t>
      </w:r>
      <w:r w:rsidRPr="00AD7B00">
        <w:rPr>
          <w:rFonts w:eastAsiaTheme="minorHAnsi" w:cstheme="minorHAnsi"/>
          <w:bCs/>
          <w:lang w:eastAsia="en-US"/>
        </w:rPr>
        <w:t xml:space="preserve"> Spearman’s Correlation between GABA/H2O and Neuropathy Composite Score NISLL+7 </w:t>
      </w:r>
      <w:r w:rsidRPr="00AD7B00">
        <w:rPr>
          <w:rFonts w:eastAsiaTheme="minorHAnsi" w:cstheme="minorHAnsi"/>
          <w:bCs/>
          <w:lang w:eastAsia="en-US"/>
        </w:rPr>
        <w:tab/>
      </w:r>
      <w:r w:rsidRPr="00AD7B00">
        <w:rPr>
          <w:rFonts w:eastAsiaTheme="minorHAnsi" w:cstheme="minorHAnsi"/>
          <w:bCs/>
          <w:lang w:eastAsia="en-US"/>
        </w:rPr>
        <w:tab/>
      </w:r>
      <w:r w:rsidRPr="00AD7B00">
        <w:rPr>
          <w:rFonts w:eastAsiaTheme="minorHAnsi" w:cstheme="minorHAnsi"/>
          <w:bCs/>
          <w:lang w:eastAsia="en-US"/>
        </w:rPr>
        <w:tab/>
      </w:r>
      <w:r w:rsidRPr="00AD7B00">
        <w:rPr>
          <w:rFonts w:eastAsiaTheme="minorHAnsi" w:cstheme="minorHAnsi"/>
          <w:bCs/>
          <w:lang w:eastAsia="en-US"/>
        </w:rPr>
        <w:tab/>
      </w:r>
      <w:r w:rsidRPr="00AD7B00">
        <w:rPr>
          <w:rFonts w:eastAsiaTheme="minorHAnsi" w:cstheme="minorHAnsi"/>
          <w:bCs/>
          <w:lang w:eastAsia="en-US"/>
        </w:rPr>
        <w:tab/>
      </w:r>
      <w:r w:rsidRPr="00AD7B00">
        <w:rPr>
          <w:rFonts w:eastAsiaTheme="minorHAnsi" w:cstheme="minorHAnsi"/>
          <w:bCs/>
          <w:lang w:eastAsia="en-US"/>
        </w:rPr>
        <w:tab/>
      </w:r>
      <w:r w:rsidRPr="00AD7B00">
        <w:rPr>
          <w:rFonts w:eastAsiaTheme="minorHAnsi" w:cstheme="minorHAnsi"/>
          <w:bCs/>
          <w:lang w:eastAsia="en-US"/>
        </w:rPr>
        <w:tab/>
      </w:r>
      <w:r w:rsidRPr="00AD7B00">
        <w:rPr>
          <w:rFonts w:eastAsiaTheme="minorHAnsi" w:cstheme="minorHAnsi"/>
          <w:bCs/>
          <w:lang w:eastAsia="en-US"/>
        </w:rPr>
        <w:tab/>
      </w:r>
      <w:r w:rsidRPr="00AD7B00">
        <w:rPr>
          <w:rFonts w:eastAsiaTheme="minorHAnsi" w:cstheme="minorHAnsi"/>
          <w:bCs/>
          <w:lang w:eastAsia="en-US"/>
        </w:rPr>
        <w:tab/>
      </w:r>
      <w:r w:rsidRPr="00AD7B00">
        <w:rPr>
          <w:rFonts w:eastAsiaTheme="minorHAnsi" w:cstheme="minorHAnsi"/>
          <w:bCs/>
          <w:lang w:eastAsia="en-US"/>
        </w:rPr>
        <w:tab/>
      </w:r>
      <w:r w:rsidRPr="00AD7B00">
        <w:rPr>
          <w:rFonts w:eastAsiaTheme="minorHAnsi" w:cstheme="minorHAnsi"/>
          <w:b/>
          <w:bCs/>
          <w:lang w:eastAsia="en-US"/>
        </w:rPr>
        <w:t>9</w:t>
      </w:r>
      <w:r w:rsidR="00A95992">
        <w:rPr>
          <w:rFonts w:eastAsiaTheme="minorHAnsi" w:cstheme="minorHAnsi"/>
          <w:b/>
          <w:bCs/>
          <w:lang w:eastAsia="en-US"/>
        </w:rPr>
        <w:t>3</w:t>
      </w:r>
    </w:p>
    <w:p w14:paraId="4956BFA4" w14:textId="1A97BE70" w:rsidR="00A93E59" w:rsidRPr="00AD7B00" w:rsidRDefault="00A93E59" w:rsidP="00A93E59">
      <w:pPr>
        <w:pStyle w:val="NoSpacing"/>
        <w:spacing w:line="480" w:lineRule="auto"/>
        <w:jc w:val="both"/>
        <w:rPr>
          <w:rFonts w:cstheme="minorHAnsi"/>
          <w:b/>
        </w:rPr>
      </w:pPr>
      <w:r w:rsidRPr="00AD7B00">
        <w:rPr>
          <w:rFonts w:cstheme="minorHAnsi"/>
          <w:b/>
        </w:rPr>
        <w:t>Figure 6.5</w:t>
      </w:r>
      <w:r w:rsidRPr="00AD7B00">
        <w:rPr>
          <w:rFonts w:cstheme="minorHAnsi"/>
        </w:rPr>
        <w:t xml:space="preserve"> Spinal </w:t>
      </w:r>
      <w:proofErr w:type="spellStart"/>
      <w:r w:rsidRPr="00AD7B00">
        <w:rPr>
          <w:rFonts w:cstheme="minorHAnsi"/>
        </w:rPr>
        <w:t>Neuroinhibition</w:t>
      </w:r>
      <w:proofErr w:type="spellEnd"/>
      <w:r w:rsidRPr="00AD7B00">
        <w:rPr>
          <w:rFonts w:cstheme="minorHAnsi"/>
        </w:rPr>
        <w:t xml:space="preserve"> adapted from </w:t>
      </w:r>
      <w:r w:rsidRPr="00AD7B00">
        <w:rPr>
          <w:rFonts w:cstheme="minorHAnsi"/>
        </w:rPr>
        <w:fldChar w:fldCharType="begin"/>
      </w:r>
      <w:r w:rsidRPr="00AD7B00">
        <w:rPr>
          <w:rFonts w:cstheme="minorHAnsi"/>
        </w:rPr>
        <w:instrText xml:space="preserve"> ADDIN EN.CITE &lt;EndNote&gt;&lt;Cite&gt;&lt;Author&gt;Taylor&lt;/Author&gt;&lt;Year&gt;2009&lt;/Year&gt;&lt;IDText&gt;Spinal inhibitory neurotransmission in neuropathic pain&lt;/IDText&gt;&lt;DisplayText&gt;(Taylor, 2009)&lt;/DisplayText&gt;&lt;record&gt;&lt;keywords&gt;&lt;keyword&gt;Neural Inhibition -- Physiology&lt;/keyword&gt;&lt;keyword&gt;Neuralgia -- Physiopathology&lt;/keyword&gt;&lt;keyword&gt;Spinal Cord -- Physiology&lt;/keyword&gt;&lt;keyword&gt;Synaptic Transmission -- Physiology&lt;/keyword&gt;&lt;/keywords&gt;&lt;isbn&gt;1534-3081&lt;/isbn&gt;&lt;titles&gt;&lt;title&gt;Spinal inhibitory neurotransmission in neuropathic pain&lt;/title&gt;&lt;secondary-title&gt;Current pain and headache reports&lt;/secondary-title&gt;&lt;/titles&gt;&lt;pages&gt;208&lt;/pages&gt;&lt;number&gt;3&lt;/number&gt;&lt;contributors&gt;&lt;authors&gt;&lt;author&gt;Taylor, Bradley K.&lt;/author&gt;&lt;/authors&gt;&lt;/contributors&gt;&lt;added-date format="utc"&gt;1386470278&lt;/added-date&gt;&lt;ref-type name="Journal Article"&gt;17&lt;/ref-type&gt;&lt;dates&gt;&lt;year&gt;2009&lt;/year&gt;&lt;/dates&gt;&lt;rec-number&gt;320&lt;/rec-number&gt;&lt;last-updated-date format="utc"&gt;1387847341&lt;/last-updated-date&gt;&lt;volume&gt;13&lt;/volume&gt;&lt;/record&gt;&lt;/Cite&gt;&lt;/EndNote&gt;</w:instrText>
      </w:r>
      <w:r w:rsidRPr="00AD7B00">
        <w:rPr>
          <w:rFonts w:cstheme="minorHAnsi"/>
        </w:rPr>
        <w:fldChar w:fldCharType="separate"/>
      </w:r>
      <w:r w:rsidRPr="00AD7B00">
        <w:rPr>
          <w:rFonts w:cstheme="minorHAnsi"/>
          <w:noProof/>
        </w:rPr>
        <w:t>(Taylor, 2009)</w:t>
      </w:r>
      <w:r w:rsidRPr="00AD7B00">
        <w:rPr>
          <w:rFonts w:cstheme="minorHAnsi"/>
        </w:rPr>
        <w:fldChar w:fldCharType="end"/>
      </w:r>
      <w:r w:rsidRPr="00AD7B00">
        <w:rPr>
          <w:rFonts w:cstheme="minorHAnsi"/>
        </w:rPr>
        <w:t xml:space="preserve"> - Proposed sequence of events leading to: early spinal nociceptive transmission and either normal resolution of pain following compensatory up regulation of inhibitory system (lower left box) or pathological development of neuropathic pain when compensatory mechanisms fail (lower right box)</w:t>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b/>
        </w:rPr>
        <w:t>9</w:t>
      </w:r>
      <w:r w:rsidR="00A95992">
        <w:rPr>
          <w:rFonts w:cstheme="minorHAnsi"/>
          <w:b/>
        </w:rPr>
        <w:t>6</w:t>
      </w:r>
    </w:p>
    <w:p w14:paraId="38FBD729" w14:textId="2601B1B7" w:rsidR="00D21776" w:rsidRPr="00AD7B00" w:rsidRDefault="00D21776" w:rsidP="009034A4">
      <w:pPr>
        <w:spacing w:before="240" w:after="0" w:line="480" w:lineRule="auto"/>
        <w:jc w:val="both"/>
        <w:rPr>
          <w:rFonts w:eastAsia="Times New Roman" w:cstheme="minorHAnsi"/>
          <w:b/>
          <w:lang w:eastAsia="en-GB"/>
        </w:rPr>
      </w:pPr>
      <w:r w:rsidRPr="00AD7B00">
        <w:rPr>
          <w:rFonts w:eastAsia="Times New Roman" w:cstheme="minorHAnsi"/>
          <w:b/>
          <w:lang w:eastAsia="en-GB"/>
        </w:rPr>
        <w:t>Index of Tables</w:t>
      </w:r>
    </w:p>
    <w:p w14:paraId="706F6B98" w14:textId="392C5077" w:rsidR="006C7A6D" w:rsidRPr="00AD7B00" w:rsidRDefault="00D21776" w:rsidP="009034A4">
      <w:pPr>
        <w:spacing w:before="240" w:after="0" w:line="480" w:lineRule="auto"/>
        <w:jc w:val="both"/>
        <w:rPr>
          <w:rFonts w:cstheme="minorHAnsi"/>
          <w:b/>
        </w:rPr>
      </w:pPr>
      <w:r w:rsidRPr="00AD7B00">
        <w:rPr>
          <w:rFonts w:cstheme="minorHAnsi"/>
          <w:b/>
        </w:rPr>
        <w:t xml:space="preserve">Table 1.1 </w:t>
      </w:r>
      <w:r w:rsidRPr="00AD7B00">
        <w:rPr>
          <w:rFonts w:cstheme="minorHAnsi"/>
        </w:rPr>
        <w:t>Odds Ratios for Associations between Key Risk Factors and the Incidence of Diabetic Neuropathy</w:t>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t xml:space="preserve">        </w:t>
      </w:r>
      <w:r w:rsidR="00735A66" w:rsidRPr="00AD7B00">
        <w:rPr>
          <w:rFonts w:cstheme="minorHAnsi"/>
        </w:rPr>
        <w:tab/>
      </w:r>
      <w:r w:rsidR="00417563">
        <w:rPr>
          <w:rFonts w:cstheme="minorHAnsi"/>
        </w:rPr>
        <w:t xml:space="preserve">              </w:t>
      </w:r>
      <w:r w:rsidR="00155999">
        <w:rPr>
          <w:rFonts w:cstheme="minorHAnsi"/>
          <w:b/>
        </w:rPr>
        <w:t>21</w:t>
      </w:r>
    </w:p>
    <w:p w14:paraId="2A0B841C" w14:textId="3A6CDAAD" w:rsidR="00D21776" w:rsidRPr="00AD7B00" w:rsidRDefault="006C7A6D" w:rsidP="009034A4">
      <w:pPr>
        <w:spacing w:before="240" w:after="0" w:line="480" w:lineRule="auto"/>
        <w:jc w:val="both"/>
        <w:rPr>
          <w:rFonts w:cstheme="minorHAnsi"/>
          <w:b/>
        </w:rPr>
      </w:pPr>
      <w:r w:rsidRPr="00AD7B00">
        <w:rPr>
          <w:rFonts w:cstheme="minorHAnsi"/>
          <w:b/>
        </w:rPr>
        <w:t xml:space="preserve">Table 1.2 </w:t>
      </w:r>
      <w:r w:rsidRPr="00AD7B00">
        <w:rPr>
          <w:rFonts w:cstheme="minorHAnsi"/>
        </w:rPr>
        <w:t>Classification of Diabetic Neuropathies according to the ADA Position Statement</w:t>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r>
      <w:r w:rsidRPr="00AD7B00">
        <w:rPr>
          <w:rFonts w:cstheme="minorHAnsi"/>
        </w:rPr>
        <w:tab/>
        <w:t xml:space="preserve">         </w:t>
      </w:r>
      <w:r w:rsidR="00735A66" w:rsidRPr="00AD7B00">
        <w:rPr>
          <w:rFonts w:cstheme="minorHAnsi"/>
        </w:rPr>
        <w:tab/>
      </w:r>
      <w:r w:rsidR="00155999">
        <w:rPr>
          <w:rFonts w:cstheme="minorHAnsi"/>
          <w:b/>
        </w:rPr>
        <w:t>22</w:t>
      </w:r>
    </w:p>
    <w:p w14:paraId="56B96A95" w14:textId="1AC85819" w:rsidR="006C7A6D" w:rsidRPr="005B5764" w:rsidRDefault="006C7A6D" w:rsidP="009034A4">
      <w:pPr>
        <w:tabs>
          <w:tab w:val="left" w:pos="8647"/>
        </w:tabs>
        <w:spacing w:before="240" w:after="0" w:line="480" w:lineRule="auto"/>
        <w:jc w:val="both"/>
        <w:rPr>
          <w:rFonts w:eastAsia="Times New Roman" w:cstheme="minorHAnsi"/>
          <w:b/>
          <w:lang w:val="pt-PT" w:eastAsia="en-GB"/>
        </w:rPr>
      </w:pPr>
      <w:proofErr w:type="spellStart"/>
      <w:r w:rsidRPr="005B5764">
        <w:rPr>
          <w:rFonts w:eastAsia="Times New Roman" w:cstheme="minorHAnsi"/>
          <w:b/>
          <w:lang w:val="pt-PT" w:eastAsia="en-GB"/>
        </w:rPr>
        <w:t>Table</w:t>
      </w:r>
      <w:proofErr w:type="spellEnd"/>
      <w:r w:rsidRPr="005B5764">
        <w:rPr>
          <w:rFonts w:eastAsia="Times New Roman" w:cstheme="minorHAnsi"/>
          <w:b/>
          <w:lang w:val="pt-PT" w:eastAsia="en-GB"/>
        </w:rPr>
        <w:t xml:space="preserve"> 1.3 </w:t>
      </w:r>
      <w:proofErr w:type="spellStart"/>
      <w:r w:rsidRPr="005B5764">
        <w:rPr>
          <w:rFonts w:eastAsia="Times New Roman" w:cstheme="minorHAnsi"/>
          <w:lang w:val="pt-PT" w:eastAsia="en-GB"/>
        </w:rPr>
        <w:t>Neurodiabetes</w:t>
      </w:r>
      <w:proofErr w:type="spellEnd"/>
      <w:r w:rsidRPr="005B5764">
        <w:rPr>
          <w:rFonts w:eastAsia="Times New Roman" w:cstheme="minorHAnsi"/>
          <w:lang w:val="pt-PT" w:eastAsia="en-GB"/>
        </w:rPr>
        <w:t xml:space="preserve"> </w:t>
      </w:r>
      <w:proofErr w:type="spellStart"/>
      <w:r w:rsidRPr="005B5764">
        <w:rPr>
          <w:rFonts w:eastAsia="Times New Roman" w:cstheme="minorHAnsi"/>
          <w:lang w:val="pt-PT" w:eastAsia="en-GB"/>
        </w:rPr>
        <w:t>Consensus</w:t>
      </w:r>
      <w:proofErr w:type="spellEnd"/>
      <w:r w:rsidRPr="005B5764">
        <w:rPr>
          <w:rFonts w:eastAsia="Times New Roman" w:cstheme="minorHAnsi"/>
          <w:lang w:val="pt-PT" w:eastAsia="en-GB"/>
        </w:rPr>
        <w:t xml:space="preserve"> minimal </w:t>
      </w:r>
      <w:proofErr w:type="spellStart"/>
      <w:r w:rsidRPr="005B5764">
        <w:rPr>
          <w:rFonts w:eastAsia="Times New Roman" w:cstheme="minorHAnsi"/>
          <w:lang w:val="pt-PT" w:eastAsia="en-GB"/>
        </w:rPr>
        <w:t>criteria</w:t>
      </w:r>
      <w:proofErr w:type="spellEnd"/>
      <w:r w:rsidRPr="005B5764">
        <w:rPr>
          <w:rFonts w:eastAsia="Times New Roman" w:cstheme="minorHAnsi"/>
          <w:lang w:val="pt-PT" w:eastAsia="en-GB"/>
        </w:rPr>
        <w:t xml:space="preserve"> for </w:t>
      </w:r>
      <w:proofErr w:type="spellStart"/>
      <w:r w:rsidRPr="005B5764">
        <w:rPr>
          <w:rFonts w:eastAsia="Times New Roman" w:cstheme="minorHAnsi"/>
          <w:lang w:val="pt-PT" w:eastAsia="en-GB"/>
        </w:rPr>
        <w:t>defining</w:t>
      </w:r>
      <w:proofErr w:type="spellEnd"/>
      <w:r w:rsidRPr="005B5764">
        <w:rPr>
          <w:rFonts w:eastAsia="Times New Roman" w:cstheme="minorHAnsi"/>
          <w:lang w:val="pt-PT" w:eastAsia="en-GB"/>
        </w:rPr>
        <w:t xml:space="preserve"> </w:t>
      </w:r>
      <w:proofErr w:type="spellStart"/>
      <w:r w:rsidRPr="005B5764">
        <w:rPr>
          <w:rFonts w:eastAsia="Times New Roman" w:cstheme="minorHAnsi"/>
          <w:lang w:val="pt-PT" w:eastAsia="en-GB"/>
        </w:rPr>
        <w:t>DPN</w:t>
      </w:r>
      <w:proofErr w:type="spellEnd"/>
      <w:r w:rsidRPr="005B5764">
        <w:rPr>
          <w:rFonts w:eastAsia="Times New Roman" w:cstheme="minorHAnsi"/>
          <w:lang w:val="pt-PT" w:eastAsia="en-GB"/>
        </w:rPr>
        <w:t xml:space="preserve"> </w:t>
      </w:r>
      <w:r w:rsidRPr="005B5764">
        <w:rPr>
          <w:rFonts w:eastAsia="Times New Roman" w:cstheme="minorHAnsi"/>
          <w:lang w:val="pt-PT" w:eastAsia="en-GB"/>
        </w:rPr>
        <w:tab/>
      </w:r>
      <w:r w:rsidRPr="005B5764">
        <w:rPr>
          <w:rFonts w:eastAsia="Times New Roman" w:cstheme="minorHAnsi"/>
          <w:b/>
          <w:lang w:val="pt-PT" w:eastAsia="en-GB"/>
        </w:rPr>
        <w:t>2</w:t>
      </w:r>
      <w:r w:rsidR="00155999" w:rsidRPr="005B5764">
        <w:rPr>
          <w:rFonts w:eastAsia="Times New Roman" w:cstheme="minorHAnsi"/>
          <w:b/>
          <w:lang w:val="pt-PT" w:eastAsia="en-GB"/>
        </w:rPr>
        <w:t>3</w:t>
      </w:r>
    </w:p>
    <w:p w14:paraId="1F6F2FB3" w14:textId="796F4011" w:rsidR="006C7A6D" w:rsidRPr="00AD7B00" w:rsidRDefault="006C7A6D" w:rsidP="009034A4">
      <w:pPr>
        <w:tabs>
          <w:tab w:val="left" w:pos="8647"/>
        </w:tabs>
        <w:spacing w:before="240" w:after="0" w:line="480" w:lineRule="auto"/>
        <w:jc w:val="both"/>
        <w:rPr>
          <w:rFonts w:eastAsia="Times New Roman" w:cstheme="minorHAnsi"/>
          <w:b/>
          <w:lang w:eastAsia="en-GB"/>
        </w:rPr>
      </w:pPr>
      <w:r w:rsidRPr="00AD7B00">
        <w:rPr>
          <w:rFonts w:eastAsia="Times New Roman" w:cstheme="minorHAnsi"/>
          <w:b/>
          <w:lang w:eastAsia="en-GB"/>
        </w:rPr>
        <w:lastRenderedPageBreak/>
        <w:t xml:space="preserve">Table 1.4 </w:t>
      </w:r>
      <w:r w:rsidRPr="00AD7B00">
        <w:rPr>
          <w:rFonts w:eastAsia="Times New Roman" w:cstheme="minorHAnsi"/>
          <w:lang w:eastAsia="en-GB"/>
        </w:rPr>
        <w:t>Criteria for Diagnosing Neuropathic Pain</w:t>
      </w:r>
      <w:r w:rsidRPr="00AD7B00">
        <w:rPr>
          <w:rFonts w:eastAsia="Times New Roman" w:cstheme="minorHAnsi"/>
          <w:lang w:eastAsia="en-GB"/>
        </w:rPr>
        <w:tab/>
      </w:r>
      <w:r w:rsidR="00CC5D93" w:rsidRPr="00AD7B00">
        <w:rPr>
          <w:rFonts w:eastAsia="Times New Roman" w:cstheme="minorHAnsi"/>
          <w:b/>
          <w:lang w:eastAsia="en-GB"/>
        </w:rPr>
        <w:t>2</w:t>
      </w:r>
      <w:r w:rsidR="00155999">
        <w:rPr>
          <w:rFonts w:eastAsia="Times New Roman" w:cstheme="minorHAnsi"/>
          <w:b/>
          <w:lang w:eastAsia="en-GB"/>
        </w:rPr>
        <w:t>5</w:t>
      </w:r>
    </w:p>
    <w:p w14:paraId="4F2CA503" w14:textId="7767CAE6" w:rsidR="00CC5D93" w:rsidRPr="00AD7B00" w:rsidRDefault="00CC5D93" w:rsidP="009034A4">
      <w:pPr>
        <w:tabs>
          <w:tab w:val="left" w:pos="8647"/>
        </w:tabs>
        <w:spacing w:before="240" w:after="0" w:line="480" w:lineRule="auto"/>
        <w:jc w:val="both"/>
        <w:rPr>
          <w:rFonts w:eastAsia="Times New Roman" w:cstheme="minorHAnsi"/>
          <w:b/>
          <w:lang w:eastAsia="en-GB"/>
        </w:rPr>
      </w:pPr>
      <w:r w:rsidRPr="00AD7B00">
        <w:rPr>
          <w:rFonts w:eastAsia="Times New Roman" w:cstheme="minorHAnsi"/>
          <w:b/>
          <w:lang w:eastAsia="en-GB"/>
        </w:rPr>
        <w:t xml:space="preserve">Table 1.5 </w:t>
      </w:r>
      <w:r w:rsidRPr="00AD7B00">
        <w:rPr>
          <w:rFonts w:eastAsia="Times New Roman" w:cstheme="minorHAnsi"/>
          <w:lang w:eastAsia="en-GB"/>
        </w:rPr>
        <w:t>Mechanism of Neuropathic Pain</w:t>
      </w:r>
      <w:r w:rsidRPr="00AD7B00">
        <w:rPr>
          <w:rFonts w:eastAsia="Times New Roman" w:cstheme="minorHAnsi"/>
          <w:lang w:eastAsia="en-GB"/>
        </w:rPr>
        <w:tab/>
      </w:r>
      <w:r w:rsidRPr="00AD7B00">
        <w:rPr>
          <w:rFonts w:eastAsia="Times New Roman" w:cstheme="minorHAnsi"/>
          <w:b/>
          <w:lang w:eastAsia="en-GB"/>
        </w:rPr>
        <w:t>2</w:t>
      </w:r>
      <w:r w:rsidR="00155999">
        <w:rPr>
          <w:rFonts w:eastAsia="Times New Roman" w:cstheme="minorHAnsi"/>
          <w:b/>
          <w:lang w:eastAsia="en-GB"/>
        </w:rPr>
        <w:t>6</w:t>
      </w:r>
    </w:p>
    <w:p w14:paraId="2C46B06F" w14:textId="1C0B2C29" w:rsidR="00FA3F82" w:rsidRPr="00AD7B00" w:rsidRDefault="00FA3F82" w:rsidP="009034A4">
      <w:pPr>
        <w:tabs>
          <w:tab w:val="left" w:pos="8647"/>
        </w:tabs>
        <w:spacing w:before="240" w:after="0" w:line="480" w:lineRule="auto"/>
        <w:jc w:val="both"/>
        <w:rPr>
          <w:rFonts w:eastAsia="Times New Roman" w:cstheme="minorHAnsi"/>
          <w:b/>
          <w:lang w:eastAsia="en-GB"/>
        </w:rPr>
      </w:pPr>
      <w:r w:rsidRPr="00AD7B00">
        <w:rPr>
          <w:rFonts w:eastAsia="Times New Roman" w:cstheme="minorHAnsi"/>
          <w:b/>
          <w:lang w:eastAsia="en-GB"/>
        </w:rPr>
        <w:t xml:space="preserve">Table 4.1 </w:t>
      </w:r>
      <w:r w:rsidRPr="00AD7B00">
        <w:rPr>
          <w:rFonts w:eastAsia="Times New Roman" w:cstheme="minorHAnsi"/>
          <w:lang w:eastAsia="en-GB"/>
        </w:rPr>
        <w:t>Demographic characteristics, sunlight exposure and activity scores of subjects (mean/SD)</w:t>
      </w:r>
      <w:r w:rsidRPr="00AD7B00">
        <w:rPr>
          <w:rFonts w:eastAsia="Times New Roman" w:cstheme="minorHAnsi"/>
          <w:lang w:eastAsia="en-GB"/>
        </w:rPr>
        <w:tab/>
      </w:r>
      <w:r w:rsidRPr="00AD7B00">
        <w:rPr>
          <w:rFonts w:eastAsia="Times New Roman" w:cstheme="minorHAnsi"/>
          <w:b/>
          <w:lang w:eastAsia="en-GB"/>
        </w:rPr>
        <w:t>5</w:t>
      </w:r>
      <w:r w:rsidR="00155999">
        <w:rPr>
          <w:rFonts w:eastAsia="Times New Roman" w:cstheme="minorHAnsi"/>
          <w:b/>
          <w:lang w:eastAsia="en-GB"/>
        </w:rPr>
        <w:t>4</w:t>
      </w:r>
    </w:p>
    <w:p w14:paraId="1C120B60" w14:textId="59BFFE95" w:rsidR="00FA3F82" w:rsidRPr="00AD7B00" w:rsidRDefault="00FA3F82" w:rsidP="009034A4">
      <w:pPr>
        <w:tabs>
          <w:tab w:val="left" w:pos="8647"/>
        </w:tabs>
        <w:spacing w:before="240" w:after="0" w:line="480" w:lineRule="auto"/>
        <w:jc w:val="both"/>
        <w:rPr>
          <w:rFonts w:eastAsia="Times New Roman" w:cstheme="minorHAnsi"/>
          <w:b/>
          <w:lang w:eastAsia="en-GB"/>
        </w:rPr>
      </w:pPr>
      <w:r w:rsidRPr="00AD7B00">
        <w:rPr>
          <w:rFonts w:eastAsia="Times New Roman" w:cstheme="minorHAnsi"/>
          <w:b/>
          <w:lang w:eastAsia="en-GB"/>
        </w:rPr>
        <w:t xml:space="preserve">Table 4.2 </w:t>
      </w:r>
      <w:r w:rsidRPr="00AD7B00">
        <w:rPr>
          <w:rFonts w:eastAsia="Times New Roman" w:cstheme="minorHAnsi"/>
          <w:lang w:eastAsia="en-GB"/>
        </w:rPr>
        <w:t>Neuropathy parameters of study subjects [</w:t>
      </w:r>
      <w:proofErr w:type="gramStart"/>
      <w:r w:rsidRPr="00AD7B00">
        <w:rPr>
          <w:rFonts w:eastAsia="Times New Roman" w:cstheme="minorHAnsi"/>
          <w:lang w:eastAsia="en-GB"/>
        </w:rPr>
        <w:t>mean(</w:t>
      </w:r>
      <w:proofErr w:type="gramEnd"/>
      <w:r w:rsidRPr="00AD7B00">
        <w:rPr>
          <w:rFonts w:eastAsia="Times New Roman" w:cstheme="minorHAnsi"/>
          <w:lang w:eastAsia="en-GB"/>
        </w:rPr>
        <w:t>SD)]</w:t>
      </w:r>
      <w:r w:rsidRPr="00AD7B00">
        <w:rPr>
          <w:rFonts w:eastAsia="Times New Roman" w:cstheme="minorHAnsi"/>
          <w:lang w:eastAsia="en-GB"/>
        </w:rPr>
        <w:tab/>
      </w:r>
      <w:r w:rsidRPr="00AD7B00">
        <w:rPr>
          <w:rFonts w:eastAsia="Times New Roman" w:cstheme="minorHAnsi"/>
          <w:b/>
          <w:lang w:eastAsia="en-GB"/>
        </w:rPr>
        <w:t>5</w:t>
      </w:r>
      <w:r w:rsidR="00155999">
        <w:rPr>
          <w:rFonts w:eastAsia="Times New Roman" w:cstheme="minorHAnsi"/>
          <w:b/>
          <w:lang w:eastAsia="en-GB"/>
        </w:rPr>
        <w:t>5</w:t>
      </w:r>
    </w:p>
    <w:p w14:paraId="3C423A20" w14:textId="68A97A3A" w:rsidR="00FA3F82" w:rsidRPr="00AD7B00" w:rsidRDefault="00FA3F82" w:rsidP="009034A4">
      <w:pPr>
        <w:tabs>
          <w:tab w:val="left" w:pos="8647"/>
        </w:tabs>
        <w:spacing w:before="240" w:after="0" w:line="480" w:lineRule="auto"/>
        <w:jc w:val="both"/>
        <w:rPr>
          <w:rFonts w:eastAsia="Times New Roman" w:cstheme="minorHAnsi"/>
          <w:b/>
          <w:lang w:eastAsia="en-GB"/>
        </w:rPr>
      </w:pPr>
      <w:r w:rsidRPr="00AD7B00">
        <w:rPr>
          <w:rFonts w:eastAsia="Times New Roman" w:cstheme="minorHAnsi"/>
          <w:b/>
          <w:lang w:eastAsia="en-GB"/>
        </w:rPr>
        <w:t xml:space="preserve">Table 4.3 </w:t>
      </w:r>
      <w:r w:rsidRPr="00AD7B00">
        <w:rPr>
          <w:rFonts w:eastAsia="Times New Roman" w:cstheme="minorHAnsi"/>
          <w:lang w:eastAsia="en-GB"/>
        </w:rPr>
        <w:t xml:space="preserve">Logistic regression predicting likelihood of painful </w:t>
      </w:r>
      <w:proofErr w:type="spellStart"/>
      <w:r w:rsidRPr="00AD7B00">
        <w:rPr>
          <w:rFonts w:eastAsia="Times New Roman" w:cstheme="minorHAnsi"/>
          <w:lang w:eastAsia="en-GB"/>
        </w:rPr>
        <w:t>DPN</w:t>
      </w:r>
      <w:proofErr w:type="spellEnd"/>
      <w:r w:rsidRPr="00AD7B00">
        <w:rPr>
          <w:rFonts w:eastAsia="Times New Roman" w:cstheme="minorHAnsi"/>
          <w:lang w:eastAsia="en-GB"/>
        </w:rPr>
        <w:tab/>
      </w:r>
      <w:r w:rsidRPr="00AD7B00">
        <w:rPr>
          <w:rFonts w:eastAsia="Times New Roman" w:cstheme="minorHAnsi"/>
          <w:b/>
          <w:lang w:eastAsia="en-GB"/>
        </w:rPr>
        <w:t>5</w:t>
      </w:r>
      <w:r w:rsidR="00155999">
        <w:rPr>
          <w:rFonts w:eastAsia="Times New Roman" w:cstheme="minorHAnsi"/>
          <w:b/>
          <w:lang w:eastAsia="en-GB"/>
        </w:rPr>
        <w:t>7</w:t>
      </w:r>
    </w:p>
    <w:p w14:paraId="66B9235E" w14:textId="7BCBECD3" w:rsidR="009034A4" w:rsidRPr="00AD7B00" w:rsidRDefault="00D83910" w:rsidP="009034A4">
      <w:pPr>
        <w:tabs>
          <w:tab w:val="left" w:pos="8647"/>
        </w:tabs>
        <w:spacing w:before="240" w:after="0" w:line="480" w:lineRule="auto"/>
        <w:jc w:val="both"/>
        <w:rPr>
          <w:rFonts w:eastAsia="Times New Roman" w:cstheme="minorHAnsi"/>
          <w:lang w:eastAsia="en-GB"/>
        </w:rPr>
      </w:pPr>
      <w:r w:rsidRPr="00AD7B00">
        <w:rPr>
          <w:rFonts w:eastAsia="Times New Roman" w:cstheme="minorHAnsi"/>
          <w:b/>
          <w:lang w:eastAsia="en-GB"/>
        </w:rPr>
        <w:t xml:space="preserve">Table 5.1 </w:t>
      </w:r>
      <w:r w:rsidRPr="00AD7B00">
        <w:rPr>
          <w:rFonts w:eastAsia="Times New Roman" w:cstheme="minorHAnsi"/>
          <w:lang w:eastAsia="en-GB"/>
        </w:rPr>
        <w:t>Demographic characteristics (mean/SD for normally distributed variables and median/interquartile range for nonparametric variables) of study subjects</w:t>
      </w:r>
      <w:r w:rsidRPr="00AD7B00">
        <w:rPr>
          <w:rFonts w:eastAsia="Times New Roman" w:cstheme="minorHAnsi"/>
          <w:lang w:eastAsia="en-GB"/>
        </w:rPr>
        <w:tab/>
      </w:r>
      <w:r w:rsidRPr="00AD7B00">
        <w:rPr>
          <w:rFonts w:eastAsia="Times New Roman" w:cstheme="minorHAnsi"/>
          <w:b/>
          <w:lang w:eastAsia="en-GB"/>
        </w:rPr>
        <w:t>6</w:t>
      </w:r>
      <w:r w:rsidR="00155999">
        <w:rPr>
          <w:rFonts w:eastAsia="Times New Roman" w:cstheme="minorHAnsi"/>
          <w:b/>
          <w:lang w:eastAsia="en-GB"/>
        </w:rPr>
        <w:t>8</w:t>
      </w:r>
    </w:p>
    <w:p w14:paraId="6F20E45F" w14:textId="6BBCB17F" w:rsidR="009034A4" w:rsidRPr="00AD7B00" w:rsidRDefault="009034A4" w:rsidP="009034A4">
      <w:pPr>
        <w:tabs>
          <w:tab w:val="left" w:pos="8647"/>
        </w:tabs>
        <w:spacing w:before="240" w:after="0" w:line="480" w:lineRule="auto"/>
        <w:jc w:val="both"/>
        <w:rPr>
          <w:rFonts w:cstheme="minorHAnsi"/>
          <w:b/>
          <w:color w:val="000000"/>
        </w:rPr>
      </w:pPr>
      <w:r w:rsidRPr="00AD7B00">
        <w:rPr>
          <w:rFonts w:cstheme="minorHAnsi"/>
          <w:b/>
          <w:color w:val="000000"/>
        </w:rPr>
        <w:t xml:space="preserve">Table 5.2 </w:t>
      </w:r>
      <w:r w:rsidRPr="00AD7B00">
        <w:rPr>
          <w:rFonts w:cstheme="minorHAnsi"/>
          <w:color w:val="000000"/>
        </w:rPr>
        <w:t>Neuropathy parameters of study subjects [</w:t>
      </w:r>
      <w:proofErr w:type="gramStart"/>
      <w:r w:rsidRPr="00AD7B00">
        <w:rPr>
          <w:rFonts w:cstheme="minorHAnsi"/>
          <w:color w:val="000000"/>
        </w:rPr>
        <w:t>mean(</w:t>
      </w:r>
      <w:proofErr w:type="gramEnd"/>
      <w:r w:rsidRPr="00AD7B00">
        <w:rPr>
          <w:rFonts w:cstheme="minorHAnsi"/>
          <w:color w:val="000000"/>
        </w:rPr>
        <w:t>SD)]</w:t>
      </w:r>
      <w:r w:rsidRPr="00AD7B00">
        <w:rPr>
          <w:rFonts w:cstheme="minorHAnsi"/>
          <w:color w:val="000000"/>
        </w:rPr>
        <w:tab/>
      </w:r>
      <w:r w:rsidRPr="00AD7B00">
        <w:rPr>
          <w:rFonts w:cstheme="minorHAnsi"/>
          <w:b/>
          <w:color w:val="000000"/>
        </w:rPr>
        <w:t>6</w:t>
      </w:r>
      <w:r w:rsidR="00155999">
        <w:rPr>
          <w:rFonts w:cstheme="minorHAnsi"/>
          <w:b/>
          <w:color w:val="000000"/>
        </w:rPr>
        <w:t>9</w:t>
      </w:r>
    </w:p>
    <w:p w14:paraId="48C9677F" w14:textId="29623791" w:rsidR="00A93E59" w:rsidRPr="00AD7B00" w:rsidRDefault="00A93E59" w:rsidP="009034A4">
      <w:pPr>
        <w:tabs>
          <w:tab w:val="left" w:pos="8647"/>
        </w:tabs>
        <w:spacing w:before="240" w:after="0" w:line="480" w:lineRule="auto"/>
        <w:jc w:val="both"/>
        <w:rPr>
          <w:rFonts w:cstheme="minorHAnsi"/>
          <w:b/>
        </w:rPr>
      </w:pPr>
      <w:r w:rsidRPr="00AD7B00">
        <w:rPr>
          <w:rFonts w:cstheme="minorHAnsi"/>
          <w:b/>
        </w:rPr>
        <w:t xml:space="preserve">Table 6.1 </w:t>
      </w:r>
      <w:r w:rsidRPr="00AD7B00">
        <w:rPr>
          <w:rFonts w:cstheme="minorHAnsi"/>
        </w:rPr>
        <w:t>Demographic and baseline study characteristics of the subjects (mean/SD)</w:t>
      </w:r>
      <w:r w:rsidRPr="00AD7B00">
        <w:rPr>
          <w:rFonts w:cstheme="minorHAnsi"/>
        </w:rPr>
        <w:tab/>
      </w:r>
      <w:r w:rsidRPr="00AD7B00">
        <w:rPr>
          <w:rFonts w:cstheme="minorHAnsi"/>
          <w:b/>
        </w:rPr>
        <w:t>8</w:t>
      </w:r>
      <w:r w:rsidR="00155999">
        <w:rPr>
          <w:rFonts w:cstheme="minorHAnsi"/>
          <w:b/>
        </w:rPr>
        <w:t>9</w:t>
      </w:r>
    </w:p>
    <w:p w14:paraId="19E0946A" w14:textId="6039B549" w:rsidR="00A93E59" w:rsidRPr="00AD7B00" w:rsidRDefault="00A93E59" w:rsidP="009034A4">
      <w:pPr>
        <w:tabs>
          <w:tab w:val="left" w:pos="8647"/>
        </w:tabs>
        <w:spacing w:before="240" w:after="0" w:line="480" w:lineRule="auto"/>
        <w:jc w:val="both"/>
        <w:rPr>
          <w:rFonts w:asciiTheme="minorHAnsi" w:hAnsiTheme="minorHAnsi" w:cstheme="minorHAnsi"/>
          <w:b/>
        </w:rPr>
      </w:pPr>
      <w:r w:rsidRPr="00AD7B00">
        <w:rPr>
          <w:rFonts w:cstheme="minorHAnsi"/>
          <w:b/>
        </w:rPr>
        <w:t xml:space="preserve">Table 6.2 </w:t>
      </w:r>
      <w:r w:rsidRPr="00AD7B00">
        <w:rPr>
          <w:rFonts w:cstheme="minorHAnsi"/>
        </w:rPr>
        <w:t xml:space="preserve">Neuropathy parameters of study subjects together with GABA and </w:t>
      </w:r>
      <w:proofErr w:type="spellStart"/>
      <w:r w:rsidRPr="00AD7B00">
        <w:rPr>
          <w:rFonts w:cstheme="minorHAnsi"/>
        </w:rPr>
        <w:t>Glx</w:t>
      </w:r>
      <w:proofErr w:type="spellEnd"/>
      <w:r w:rsidRPr="00AD7B00">
        <w:rPr>
          <w:rFonts w:cstheme="minorHAnsi"/>
        </w:rPr>
        <w:t xml:space="preserve"> results [mean (SD)]</w:t>
      </w:r>
      <w:r w:rsidRPr="00AD7B00">
        <w:rPr>
          <w:rFonts w:asciiTheme="minorHAnsi" w:hAnsiTheme="minorHAnsi" w:cstheme="minorHAnsi"/>
        </w:rPr>
        <w:tab/>
      </w:r>
      <w:r w:rsidR="00155999">
        <w:rPr>
          <w:rFonts w:asciiTheme="minorHAnsi" w:hAnsiTheme="minorHAnsi" w:cstheme="minorHAnsi"/>
          <w:b/>
        </w:rPr>
        <w:t>90</w:t>
      </w:r>
    </w:p>
    <w:p w14:paraId="5748C994" w14:textId="416F1041" w:rsidR="00A93E59" w:rsidRPr="00AD7B00" w:rsidRDefault="00A93E59" w:rsidP="009034A4">
      <w:pPr>
        <w:tabs>
          <w:tab w:val="left" w:pos="8647"/>
        </w:tabs>
        <w:spacing w:before="240" w:after="0" w:line="480" w:lineRule="auto"/>
        <w:jc w:val="both"/>
        <w:rPr>
          <w:rFonts w:asciiTheme="minorHAnsi" w:hAnsiTheme="minorHAnsi" w:cstheme="minorHAnsi"/>
          <w:color w:val="000000"/>
        </w:rPr>
      </w:pPr>
      <w:r w:rsidRPr="00AD7B00">
        <w:rPr>
          <w:rFonts w:asciiTheme="minorHAnsi" w:hAnsiTheme="minorHAnsi" w:cstheme="minorHAnsi"/>
          <w:b/>
        </w:rPr>
        <w:tab/>
      </w:r>
    </w:p>
    <w:p w14:paraId="4563DCE7" w14:textId="77777777" w:rsidR="009034A4" w:rsidRPr="00AD7B00" w:rsidRDefault="009034A4" w:rsidP="009034A4">
      <w:pPr>
        <w:tabs>
          <w:tab w:val="left" w:pos="8647"/>
        </w:tabs>
        <w:spacing w:before="240" w:after="0" w:line="480" w:lineRule="auto"/>
        <w:jc w:val="both"/>
        <w:rPr>
          <w:rFonts w:asciiTheme="minorHAnsi" w:eastAsia="Times New Roman" w:hAnsiTheme="minorHAnsi" w:cstheme="minorHAnsi"/>
          <w:lang w:eastAsia="en-GB"/>
        </w:rPr>
      </w:pPr>
    </w:p>
    <w:p w14:paraId="7ADE5DC7" w14:textId="77777777" w:rsidR="000E3756" w:rsidRPr="00AD7B00" w:rsidRDefault="000E3756" w:rsidP="00735A66">
      <w:pPr>
        <w:spacing w:after="0"/>
        <w:rPr>
          <w:rFonts w:asciiTheme="minorHAnsi" w:eastAsia="Times New Roman" w:hAnsiTheme="minorHAnsi" w:cstheme="minorHAnsi"/>
          <w:lang w:eastAsia="en-GB"/>
        </w:rPr>
      </w:pPr>
      <w:bookmarkStart w:id="6" w:name="_Toc5212527"/>
    </w:p>
    <w:p w14:paraId="5B0609B6" w14:textId="77777777" w:rsidR="000E3756" w:rsidRPr="00AD7B00" w:rsidRDefault="000E3756" w:rsidP="00735A66">
      <w:pPr>
        <w:spacing w:after="0"/>
        <w:rPr>
          <w:rFonts w:asciiTheme="minorHAnsi" w:eastAsia="Times New Roman" w:hAnsiTheme="minorHAnsi" w:cstheme="minorHAnsi"/>
          <w:lang w:eastAsia="en-GB"/>
        </w:rPr>
      </w:pPr>
    </w:p>
    <w:p w14:paraId="15024BAA" w14:textId="45BA2314" w:rsidR="00EE6467" w:rsidRDefault="00EE6467">
      <w:pPr>
        <w:spacing w:after="0"/>
        <w:rPr>
          <w:rFonts w:asciiTheme="minorHAnsi" w:eastAsia="Times New Roman" w:hAnsiTheme="minorHAnsi" w:cstheme="minorHAnsi"/>
          <w:lang w:eastAsia="en-GB"/>
        </w:rPr>
      </w:pPr>
      <w:r>
        <w:rPr>
          <w:rFonts w:asciiTheme="minorHAnsi" w:eastAsia="Times New Roman" w:hAnsiTheme="minorHAnsi" w:cstheme="minorHAnsi"/>
          <w:lang w:eastAsia="en-GB"/>
        </w:rPr>
        <w:br w:type="page"/>
      </w:r>
    </w:p>
    <w:p w14:paraId="05A2FB31" w14:textId="105BC0A0" w:rsidR="005C3E9D" w:rsidRPr="00AD7B00" w:rsidRDefault="005C3E9D" w:rsidP="000E3756">
      <w:pPr>
        <w:pStyle w:val="Heading1"/>
        <w:rPr>
          <w:rFonts w:eastAsia="Times New Roman" w:cstheme="minorHAnsi"/>
          <w:sz w:val="24"/>
          <w:szCs w:val="24"/>
          <w:lang w:eastAsia="en-GB"/>
        </w:rPr>
      </w:pPr>
      <w:bookmarkStart w:id="7" w:name="_Toc6092980"/>
      <w:r w:rsidRPr="00AD7B00">
        <w:rPr>
          <w:rFonts w:cstheme="minorHAnsi"/>
          <w:sz w:val="24"/>
          <w:szCs w:val="24"/>
        </w:rPr>
        <w:lastRenderedPageBreak/>
        <w:t>A</w:t>
      </w:r>
      <w:r w:rsidR="00F035AD" w:rsidRPr="00AD7B00">
        <w:rPr>
          <w:rFonts w:cstheme="minorHAnsi"/>
          <w:sz w:val="24"/>
          <w:szCs w:val="24"/>
        </w:rPr>
        <w:t>bbreviations</w:t>
      </w:r>
      <w:bookmarkEnd w:id="6"/>
      <w:bookmarkEnd w:id="7"/>
    </w:p>
    <w:p w14:paraId="588B3C39" w14:textId="18C5068B" w:rsidR="005C3E9D" w:rsidRPr="00AD7B00" w:rsidRDefault="008E3F0E" w:rsidP="00700119">
      <w:pPr>
        <w:spacing w:after="0" w:line="360" w:lineRule="auto"/>
        <w:ind w:right="-624"/>
        <w:jc w:val="both"/>
        <w:outlineLvl w:val="0"/>
        <w:rPr>
          <w:rFonts w:cstheme="minorHAnsi"/>
        </w:rPr>
      </w:pPr>
      <w:r w:rsidRPr="00AD7B00">
        <w:rPr>
          <w:rFonts w:cstheme="minorHAnsi"/>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9"/>
        <w:gridCol w:w="7255"/>
      </w:tblGrid>
      <w:tr w:rsidR="00DC1E40" w:rsidRPr="00AD7B00" w14:paraId="300BF196" w14:textId="77777777" w:rsidTr="002A2620">
        <w:tc>
          <w:tcPr>
            <w:tcW w:w="1529" w:type="dxa"/>
            <w:vAlign w:val="center"/>
          </w:tcPr>
          <w:p w14:paraId="27659686" w14:textId="1B313622" w:rsidR="00700119" w:rsidRPr="00AD7B00" w:rsidRDefault="00700119" w:rsidP="00C315D6">
            <w:pPr>
              <w:spacing w:after="0" w:line="360" w:lineRule="auto"/>
              <w:outlineLvl w:val="0"/>
              <w:rPr>
                <w:rFonts w:cstheme="minorHAnsi"/>
                <w:b/>
                <w:bCs/>
              </w:rPr>
            </w:pPr>
            <w:bookmarkStart w:id="8" w:name="_Toc5212528"/>
            <w:bookmarkStart w:id="9" w:name="_Toc6092981"/>
            <w:r w:rsidRPr="00AD7B00">
              <w:rPr>
                <w:rFonts w:cstheme="minorHAnsi"/>
                <w:b/>
                <w:bCs/>
              </w:rPr>
              <w:t>5HT</w:t>
            </w:r>
            <w:bookmarkEnd w:id="8"/>
            <w:bookmarkEnd w:id="9"/>
          </w:p>
        </w:tc>
        <w:tc>
          <w:tcPr>
            <w:tcW w:w="7255" w:type="dxa"/>
            <w:vAlign w:val="center"/>
          </w:tcPr>
          <w:p w14:paraId="7F4C6001" w14:textId="20EB3D3B" w:rsidR="00700119" w:rsidRPr="00AD7B00" w:rsidRDefault="00700119" w:rsidP="00C315D6">
            <w:pPr>
              <w:spacing w:after="0" w:line="360" w:lineRule="auto"/>
              <w:outlineLvl w:val="0"/>
              <w:rPr>
                <w:rFonts w:cstheme="minorHAnsi"/>
              </w:rPr>
            </w:pPr>
            <w:bookmarkStart w:id="10" w:name="_Toc5212529"/>
            <w:bookmarkStart w:id="11" w:name="_Toc6092982"/>
            <w:r w:rsidRPr="00AD7B00">
              <w:rPr>
                <w:rFonts w:cstheme="minorHAnsi"/>
              </w:rPr>
              <w:t>5 Hydroxytryptophan</w:t>
            </w:r>
            <w:bookmarkEnd w:id="10"/>
            <w:bookmarkEnd w:id="11"/>
          </w:p>
        </w:tc>
      </w:tr>
      <w:tr w:rsidR="00EA6C42" w:rsidRPr="00AD7B00" w14:paraId="37A40D9C" w14:textId="77777777" w:rsidTr="002A2620">
        <w:tc>
          <w:tcPr>
            <w:tcW w:w="1529" w:type="dxa"/>
            <w:vAlign w:val="center"/>
          </w:tcPr>
          <w:p w14:paraId="354B7BE1" w14:textId="06D99739" w:rsidR="00EA6C42" w:rsidRPr="00AD7B00" w:rsidRDefault="00EA6C42" w:rsidP="00C315D6">
            <w:pPr>
              <w:spacing w:after="0" w:line="360" w:lineRule="auto"/>
              <w:outlineLvl w:val="0"/>
              <w:rPr>
                <w:rFonts w:cstheme="minorHAnsi"/>
                <w:b/>
                <w:bCs/>
              </w:rPr>
            </w:pPr>
            <w:bookmarkStart w:id="12" w:name="_Toc5212530"/>
            <w:bookmarkStart w:id="13" w:name="_Toc6092983"/>
            <w:r w:rsidRPr="00AD7B00">
              <w:rPr>
                <w:rFonts w:cstheme="minorHAnsi"/>
                <w:b/>
                <w:bCs/>
              </w:rPr>
              <w:t>25(OH)D</w:t>
            </w:r>
            <w:bookmarkEnd w:id="12"/>
            <w:bookmarkEnd w:id="13"/>
          </w:p>
        </w:tc>
        <w:tc>
          <w:tcPr>
            <w:tcW w:w="7255" w:type="dxa"/>
            <w:vAlign w:val="center"/>
          </w:tcPr>
          <w:p w14:paraId="2BDC25D4" w14:textId="648B2458" w:rsidR="00EA6C42" w:rsidRPr="00AD7B00" w:rsidRDefault="00EA6C42" w:rsidP="00C315D6">
            <w:pPr>
              <w:spacing w:after="0" w:line="360" w:lineRule="auto"/>
              <w:outlineLvl w:val="0"/>
              <w:rPr>
                <w:rFonts w:cstheme="minorHAnsi"/>
              </w:rPr>
            </w:pPr>
            <w:bookmarkStart w:id="14" w:name="_Toc5212531"/>
            <w:bookmarkStart w:id="15" w:name="_Toc6092984"/>
            <w:r w:rsidRPr="00AD7B00">
              <w:rPr>
                <w:rFonts w:cstheme="minorHAnsi"/>
              </w:rPr>
              <w:t>25 Hydroxy Vitamin D</w:t>
            </w:r>
            <w:bookmarkEnd w:id="14"/>
            <w:bookmarkEnd w:id="15"/>
          </w:p>
        </w:tc>
      </w:tr>
      <w:tr w:rsidR="00DC1E40" w:rsidRPr="00AD7B00" w14:paraId="4D675010" w14:textId="71C6208C" w:rsidTr="002A2620">
        <w:tc>
          <w:tcPr>
            <w:tcW w:w="1529" w:type="dxa"/>
            <w:vAlign w:val="center"/>
          </w:tcPr>
          <w:p w14:paraId="41F77599" w14:textId="400DC1BF" w:rsidR="001E5460" w:rsidRPr="00AD7B00" w:rsidRDefault="001E5460" w:rsidP="00C315D6">
            <w:pPr>
              <w:spacing w:after="0" w:line="360" w:lineRule="auto"/>
              <w:outlineLvl w:val="0"/>
              <w:rPr>
                <w:rFonts w:cstheme="minorHAnsi"/>
                <w:b/>
                <w:bCs/>
              </w:rPr>
            </w:pPr>
            <w:bookmarkStart w:id="16" w:name="_Toc5212532"/>
            <w:bookmarkStart w:id="17" w:name="_Toc6092985"/>
            <w:proofErr w:type="spellStart"/>
            <w:r w:rsidRPr="00AD7B00">
              <w:rPr>
                <w:rFonts w:cstheme="minorHAnsi"/>
                <w:b/>
                <w:bCs/>
              </w:rPr>
              <w:t>AAEM</w:t>
            </w:r>
            <w:bookmarkEnd w:id="16"/>
            <w:bookmarkEnd w:id="17"/>
            <w:proofErr w:type="spellEnd"/>
          </w:p>
        </w:tc>
        <w:tc>
          <w:tcPr>
            <w:tcW w:w="7255" w:type="dxa"/>
            <w:vAlign w:val="center"/>
          </w:tcPr>
          <w:p w14:paraId="58DB8D6C" w14:textId="73EF57F2" w:rsidR="001E5460" w:rsidRPr="00AD7B00" w:rsidRDefault="001E5460" w:rsidP="00C315D6">
            <w:pPr>
              <w:spacing w:after="0" w:line="360" w:lineRule="auto"/>
              <w:outlineLvl w:val="0"/>
              <w:rPr>
                <w:rFonts w:cstheme="minorHAnsi"/>
              </w:rPr>
            </w:pPr>
            <w:bookmarkStart w:id="18" w:name="_Toc5212533"/>
            <w:bookmarkStart w:id="19" w:name="_Toc6092986"/>
            <w:r w:rsidRPr="00AD7B00">
              <w:rPr>
                <w:rFonts w:cstheme="minorHAnsi"/>
              </w:rPr>
              <w:t>American Association of Electrodiagnostic Medicine</w:t>
            </w:r>
            <w:bookmarkEnd w:id="18"/>
            <w:bookmarkEnd w:id="19"/>
          </w:p>
        </w:tc>
      </w:tr>
      <w:tr w:rsidR="002017C7" w:rsidRPr="00AD7B00" w14:paraId="09846FE2" w14:textId="77777777" w:rsidTr="002A2620">
        <w:tc>
          <w:tcPr>
            <w:tcW w:w="1529" w:type="dxa"/>
            <w:vAlign w:val="center"/>
          </w:tcPr>
          <w:p w14:paraId="1CC70314" w14:textId="66C2E0CC" w:rsidR="002017C7" w:rsidRPr="00AD7B00" w:rsidRDefault="002017C7" w:rsidP="00C315D6">
            <w:pPr>
              <w:spacing w:after="0" w:line="360" w:lineRule="auto"/>
              <w:outlineLvl w:val="0"/>
              <w:rPr>
                <w:rFonts w:cstheme="minorHAnsi"/>
                <w:b/>
                <w:bCs/>
              </w:rPr>
            </w:pPr>
            <w:bookmarkStart w:id="20" w:name="_Toc5212534"/>
            <w:bookmarkStart w:id="21" w:name="_Toc6092987"/>
            <w:r w:rsidRPr="00AD7B00">
              <w:rPr>
                <w:rFonts w:eastAsiaTheme="minorHAnsi" w:cstheme="minorHAnsi"/>
                <w:b/>
                <w:lang w:eastAsia="en-US"/>
              </w:rPr>
              <w:t>ACC</w:t>
            </w:r>
            <w:bookmarkEnd w:id="20"/>
            <w:bookmarkEnd w:id="21"/>
          </w:p>
        </w:tc>
        <w:tc>
          <w:tcPr>
            <w:tcW w:w="7255" w:type="dxa"/>
            <w:vAlign w:val="center"/>
          </w:tcPr>
          <w:p w14:paraId="19CDDC2D" w14:textId="26795540" w:rsidR="002017C7" w:rsidRPr="00AD7B00" w:rsidRDefault="002017C7" w:rsidP="00C315D6">
            <w:pPr>
              <w:spacing w:after="0" w:line="360" w:lineRule="auto"/>
              <w:outlineLvl w:val="0"/>
              <w:rPr>
                <w:rFonts w:cstheme="minorHAnsi"/>
              </w:rPr>
            </w:pPr>
            <w:bookmarkStart w:id="22" w:name="_Toc5212535"/>
            <w:bookmarkStart w:id="23" w:name="_Toc6092988"/>
            <w:r w:rsidRPr="00AD7B00">
              <w:rPr>
                <w:rFonts w:eastAsiaTheme="minorHAnsi" w:cstheme="minorHAnsi"/>
                <w:lang w:eastAsia="en-US"/>
              </w:rPr>
              <w:t>Anterior Cingulate Cortex</w:t>
            </w:r>
            <w:bookmarkEnd w:id="22"/>
            <w:bookmarkEnd w:id="23"/>
            <w:r w:rsidRPr="00AD7B00">
              <w:rPr>
                <w:rFonts w:eastAsiaTheme="minorHAnsi" w:cstheme="minorHAnsi"/>
                <w:lang w:eastAsia="en-US"/>
              </w:rPr>
              <w:t xml:space="preserve"> </w:t>
            </w:r>
          </w:p>
        </w:tc>
      </w:tr>
      <w:tr w:rsidR="006D75C7" w:rsidRPr="00AD7B00" w14:paraId="0E61C8A3" w14:textId="77777777" w:rsidTr="002A2620">
        <w:tc>
          <w:tcPr>
            <w:tcW w:w="1529" w:type="dxa"/>
            <w:vAlign w:val="center"/>
          </w:tcPr>
          <w:p w14:paraId="3243C7D3" w14:textId="408C61BB" w:rsidR="006D75C7" w:rsidRPr="00AD7B00" w:rsidRDefault="006D75C7" w:rsidP="00C315D6">
            <w:pPr>
              <w:spacing w:after="0" w:line="360" w:lineRule="auto"/>
              <w:outlineLvl w:val="0"/>
              <w:rPr>
                <w:rFonts w:cstheme="minorHAnsi"/>
                <w:b/>
                <w:bCs/>
              </w:rPr>
            </w:pPr>
            <w:bookmarkStart w:id="24" w:name="_Toc5212536"/>
            <w:bookmarkStart w:id="25" w:name="_Toc6092989"/>
            <w:proofErr w:type="spellStart"/>
            <w:r w:rsidRPr="00AD7B00">
              <w:rPr>
                <w:rFonts w:cstheme="minorHAnsi"/>
                <w:b/>
                <w:bCs/>
              </w:rPr>
              <w:t>ACR</w:t>
            </w:r>
            <w:bookmarkEnd w:id="24"/>
            <w:bookmarkEnd w:id="25"/>
            <w:proofErr w:type="spellEnd"/>
          </w:p>
        </w:tc>
        <w:tc>
          <w:tcPr>
            <w:tcW w:w="7255" w:type="dxa"/>
            <w:vAlign w:val="center"/>
          </w:tcPr>
          <w:p w14:paraId="6D55C48A" w14:textId="10E9645B" w:rsidR="006D75C7" w:rsidRPr="00AD7B00" w:rsidRDefault="006D75C7" w:rsidP="00C315D6">
            <w:pPr>
              <w:spacing w:after="0" w:line="360" w:lineRule="auto"/>
              <w:outlineLvl w:val="0"/>
              <w:rPr>
                <w:rFonts w:cstheme="minorHAnsi"/>
              </w:rPr>
            </w:pPr>
            <w:bookmarkStart w:id="26" w:name="_Toc5212537"/>
            <w:bookmarkStart w:id="27" w:name="_Toc6092990"/>
            <w:r w:rsidRPr="00AD7B00">
              <w:rPr>
                <w:rFonts w:cstheme="minorHAnsi"/>
              </w:rPr>
              <w:t>Albumin Creatinine Ratio</w:t>
            </w:r>
            <w:bookmarkEnd w:id="26"/>
            <w:bookmarkEnd w:id="27"/>
          </w:p>
        </w:tc>
      </w:tr>
      <w:tr w:rsidR="00DC1E40" w:rsidRPr="00AD7B00" w14:paraId="71065684" w14:textId="2A9BE25F" w:rsidTr="002A2620">
        <w:tc>
          <w:tcPr>
            <w:tcW w:w="1529" w:type="dxa"/>
            <w:vAlign w:val="center"/>
          </w:tcPr>
          <w:p w14:paraId="0F775BB8" w14:textId="08A639C5" w:rsidR="001E5460" w:rsidRPr="00AD7B00" w:rsidRDefault="001E5460" w:rsidP="00C315D6">
            <w:pPr>
              <w:spacing w:after="0" w:line="360" w:lineRule="auto"/>
              <w:outlineLvl w:val="0"/>
              <w:rPr>
                <w:rFonts w:cstheme="minorHAnsi"/>
                <w:b/>
                <w:bCs/>
              </w:rPr>
            </w:pPr>
            <w:bookmarkStart w:id="28" w:name="_Toc5212538"/>
            <w:bookmarkStart w:id="29" w:name="_Toc6092991"/>
            <w:r w:rsidRPr="00AD7B00">
              <w:rPr>
                <w:rFonts w:cstheme="minorHAnsi"/>
                <w:b/>
                <w:bCs/>
              </w:rPr>
              <w:t>AGE</w:t>
            </w:r>
            <w:bookmarkEnd w:id="28"/>
            <w:bookmarkEnd w:id="29"/>
          </w:p>
        </w:tc>
        <w:tc>
          <w:tcPr>
            <w:tcW w:w="7255" w:type="dxa"/>
            <w:vAlign w:val="center"/>
          </w:tcPr>
          <w:p w14:paraId="39481EBE" w14:textId="163BA143" w:rsidR="001E5460" w:rsidRPr="00AD7B00" w:rsidRDefault="001E5460" w:rsidP="00C315D6">
            <w:pPr>
              <w:spacing w:after="0" w:line="360" w:lineRule="auto"/>
              <w:outlineLvl w:val="0"/>
              <w:rPr>
                <w:rFonts w:cstheme="minorHAnsi"/>
              </w:rPr>
            </w:pPr>
            <w:bookmarkStart w:id="30" w:name="_Toc5212539"/>
            <w:bookmarkStart w:id="31" w:name="_Toc6092992"/>
            <w:r w:rsidRPr="00AD7B00">
              <w:rPr>
                <w:rFonts w:cstheme="minorHAnsi"/>
              </w:rPr>
              <w:t>Advanced Glycation End Products</w:t>
            </w:r>
            <w:bookmarkEnd w:id="30"/>
            <w:bookmarkEnd w:id="31"/>
          </w:p>
        </w:tc>
      </w:tr>
      <w:tr w:rsidR="00DC1E40" w:rsidRPr="00AD7B00" w14:paraId="675FB2A8" w14:textId="5775B008" w:rsidTr="002A2620">
        <w:tc>
          <w:tcPr>
            <w:tcW w:w="1529" w:type="dxa"/>
            <w:vAlign w:val="center"/>
          </w:tcPr>
          <w:p w14:paraId="1B31FA65" w14:textId="48F06470" w:rsidR="001E5460" w:rsidRPr="00AD7B00" w:rsidRDefault="001E5460" w:rsidP="00C315D6">
            <w:pPr>
              <w:spacing w:after="0" w:line="360" w:lineRule="auto"/>
              <w:rPr>
                <w:rFonts w:cstheme="minorHAnsi"/>
                <w:b/>
                <w:bCs/>
              </w:rPr>
            </w:pPr>
            <w:r w:rsidRPr="00AD7B00">
              <w:rPr>
                <w:rFonts w:cstheme="minorHAnsi"/>
                <w:b/>
                <w:bCs/>
              </w:rPr>
              <w:t>ARI</w:t>
            </w:r>
          </w:p>
        </w:tc>
        <w:tc>
          <w:tcPr>
            <w:tcW w:w="7255" w:type="dxa"/>
            <w:vAlign w:val="center"/>
          </w:tcPr>
          <w:p w14:paraId="58EF079C" w14:textId="760F6DB3" w:rsidR="001E5460" w:rsidRPr="00AD7B00" w:rsidRDefault="001E5460" w:rsidP="00C315D6">
            <w:pPr>
              <w:spacing w:after="0" w:line="360" w:lineRule="auto"/>
              <w:rPr>
                <w:rFonts w:cstheme="minorHAnsi"/>
              </w:rPr>
            </w:pPr>
            <w:r w:rsidRPr="00AD7B00">
              <w:rPr>
                <w:rFonts w:cstheme="minorHAnsi"/>
              </w:rPr>
              <w:t>Aldose Reductase Inhibitor</w:t>
            </w:r>
          </w:p>
        </w:tc>
      </w:tr>
      <w:tr w:rsidR="00DC1E40" w:rsidRPr="00AD7B00" w14:paraId="3CAE3E54" w14:textId="71E5711C" w:rsidTr="002A2620">
        <w:tc>
          <w:tcPr>
            <w:tcW w:w="1529" w:type="dxa"/>
            <w:vAlign w:val="center"/>
          </w:tcPr>
          <w:p w14:paraId="5D55B930" w14:textId="580EBAC1" w:rsidR="001E5460" w:rsidRPr="00AD7B00" w:rsidRDefault="001E5460" w:rsidP="00C315D6">
            <w:pPr>
              <w:spacing w:after="0" w:line="360" w:lineRule="auto"/>
              <w:rPr>
                <w:rFonts w:cstheme="minorHAnsi"/>
                <w:b/>
                <w:bCs/>
              </w:rPr>
            </w:pPr>
            <w:proofErr w:type="spellStart"/>
            <w:r w:rsidRPr="00AD7B00">
              <w:rPr>
                <w:rFonts w:cstheme="minorHAnsi"/>
                <w:b/>
                <w:bCs/>
              </w:rPr>
              <w:t>BPNS</w:t>
            </w:r>
            <w:proofErr w:type="spellEnd"/>
          </w:p>
        </w:tc>
        <w:tc>
          <w:tcPr>
            <w:tcW w:w="7255" w:type="dxa"/>
            <w:vAlign w:val="center"/>
          </w:tcPr>
          <w:p w14:paraId="0A312767" w14:textId="4438F4A8" w:rsidR="001E5460" w:rsidRPr="00AD7B00" w:rsidRDefault="001E5460" w:rsidP="00C315D6">
            <w:pPr>
              <w:spacing w:after="0" w:line="360" w:lineRule="auto"/>
              <w:rPr>
                <w:rFonts w:cstheme="minorHAnsi"/>
              </w:rPr>
            </w:pPr>
            <w:r w:rsidRPr="00AD7B00">
              <w:rPr>
                <w:rFonts w:cstheme="minorHAnsi"/>
              </w:rPr>
              <w:t>Brief Peripheral Neuropathy Screen</w:t>
            </w:r>
          </w:p>
        </w:tc>
      </w:tr>
      <w:tr w:rsidR="00DC1E40" w:rsidRPr="00AD7B00" w14:paraId="44EBAE76" w14:textId="32CDAB32" w:rsidTr="002A2620">
        <w:tc>
          <w:tcPr>
            <w:tcW w:w="1529" w:type="dxa"/>
            <w:vAlign w:val="center"/>
          </w:tcPr>
          <w:p w14:paraId="0399F8D5" w14:textId="104D643F" w:rsidR="001E5460" w:rsidRPr="00AD7B00" w:rsidRDefault="001E5460" w:rsidP="00C315D6">
            <w:pPr>
              <w:spacing w:after="0" w:line="360" w:lineRule="auto"/>
              <w:rPr>
                <w:rFonts w:cstheme="minorHAnsi"/>
                <w:b/>
                <w:bCs/>
              </w:rPr>
            </w:pPr>
            <w:proofErr w:type="spellStart"/>
            <w:r w:rsidRPr="00AD7B00">
              <w:rPr>
                <w:rFonts w:cstheme="minorHAnsi"/>
                <w:b/>
                <w:bCs/>
              </w:rPr>
              <w:t>BDI</w:t>
            </w:r>
            <w:proofErr w:type="spellEnd"/>
          </w:p>
        </w:tc>
        <w:tc>
          <w:tcPr>
            <w:tcW w:w="7255" w:type="dxa"/>
            <w:vAlign w:val="center"/>
          </w:tcPr>
          <w:p w14:paraId="172D6253" w14:textId="6698D5C2" w:rsidR="001E5460" w:rsidRPr="00AD7B00" w:rsidRDefault="001E5460" w:rsidP="00C315D6">
            <w:pPr>
              <w:spacing w:after="0" w:line="360" w:lineRule="auto"/>
              <w:rPr>
                <w:rFonts w:cstheme="minorHAnsi"/>
              </w:rPr>
            </w:pPr>
            <w:r w:rsidRPr="00AD7B00">
              <w:rPr>
                <w:rFonts w:cstheme="minorHAnsi"/>
              </w:rPr>
              <w:t>Beck Depression Inventory</w:t>
            </w:r>
          </w:p>
        </w:tc>
      </w:tr>
      <w:tr w:rsidR="00DC1E40" w:rsidRPr="00AD7B00" w14:paraId="6E7D7A11" w14:textId="70BBF4C0" w:rsidTr="002A2620">
        <w:tc>
          <w:tcPr>
            <w:tcW w:w="1529" w:type="dxa"/>
            <w:vAlign w:val="center"/>
          </w:tcPr>
          <w:p w14:paraId="2090CFB8" w14:textId="35220AF1" w:rsidR="001E5460" w:rsidRPr="00AD7B00" w:rsidRDefault="001E5460" w:rsidP="00C315D6">
            <w:pPr>
              <w:spacing w:after="0" w:line="360" w:lineRule="auto"/>
              <w:rPr>
                <w:rFonts w:cstheme="minorHAnsi"/>
                <w:b/>
                <w:bCs/>
              </w:rPr>
            </w:pPr>
            <w:r w:rsidRPr="00AD7B00">
              <w:rPr>
                <w:rFonts w:cstheme="minorHAnsi"/>
                <w:b/>
                <w:bCs/>
              </w:rPr>
              <w:t>BDNF</w:t>
            </w:r>
          </w:p>
        </w:tc>
        <w:tc>
          <w:tcPr>
            <w:tcW w:w="7255" w:type="dxa"/>
            <w:vAlign w:val="center"/>
          </w:tcPr>
          <w:p w14:paraId="75A96454" w14:textId="1DF0ACCE" w:rsidR="001E5460" w:rsidRPr="00AD7B00" w:rsidRDefault="001E5460" w:rsidP="00C315D6">
            <w:pPr>
              <w:spacing w:after="0" w:line="360" w:lineRule="auto"/>
              <w:rPr>
                <w:rFonts w:cstheme="minorHAnsi"/>
              </w:rPr>
            </w:pPr>
            <w:r w:rsidRPr="00AD7B00">
              <w:rPr>
                <w:rFonts w:cstheme="minorHAnsi"/>
              </w:rPr>
              <w:t>Brain Derived Neurotrophic Factor</w:t>
            </w:r>
          </w:p>
        </w:tc>
      </w:tr>
      <w:tr w:rsidR="00A44937" w:rsidRPr="00AD7B00" w14:paraId="53255F69" w14:textId="77777777" w:rsidTr="002A2620">
        <w:tc>
          <w:tcPr>
            <w:tcW w:w="1529" w:type="dxa"/>
            <w:vAlign w:val="center"/>
          </w:tcPr>
          <w:p w14:paraId="68DDE76E" w14:textId="770ED750" w:rsidR="00A44937" w:rsidRPr="00AD7B00" w:rsidRDefault="00A44937" w:rsidP="00C315D6">
            <w:pPr>
              <w:spacing w:after="0" w:line="360" w:lineRule="auto"/>
              <w:rPr>
                <w:rFonts w:cstheme="minorHAnsi"/>
                <w:b/>
                <w:bCs/>
              </w:rPr>
            </w:pPr>
            <w:r w:rsidRPr="00AD7B00">
              <w:rPr>
                <w:rFonts w:eastAsiaTheme="minorHAnsi" w:cstheme="minorHAnsi"/>
                <w:b/>
              </w:rPr>
              <w:t>BMI,</w:t>
            </w:r>
          </w:p>
        </w:tc>
        <w:tc>
          <w:tcPr>
            <w:tcW w:w="7255" w:type="dxa"/>
            <w:vAlign w:val="center"/>
          </w:tcPr>
          <w:p w14:paraId="24044705" w14:textId="7FBFAAF8" w:rsidR="00A44937" w:rsidRPr="00AD7B00" w:rsidRDefault="00A44937" w:rsidP="00C315D6">
            <w:pPr>
              <w:spacing w:after="0" w:line="360" w:lineRule="auto"/>
              <w:rPr>
                <w:rFonts w:cstheme="minorHAnsi"/>
              </w:rPr>
            </w:pPr>
            <w:r w:rsidRPr="00AD7B00">
              <w:rPr>
                <w:rFonts w:eastAsiaTheme="minorHAnsi" w:cstheme="minorHAnsi"/>
              </w:rPr>
              <w:t>body mass index</w:t>
            </w:r>
          </w:p>
        </w:tc>
      </w:tr>
      <w:tr w:rsidR="00DC1E40" w:rsidRPr="00AD7B00" w14:paraId="25D87B2A" w14:textId="765AFF5E" w:rsidTr="002A2620">
        <w:tc>
          <w:tcPr>
            <w:tcW w:w="1529" w:type="dxa"/>
            <w:vAlign w:val="center"/>
          </w:tcPr>
          <w:p w14:paraId="5EC0CF2B" w14:textId="1CED6F7F" w:rsidR="001E5460" w:rsidRPr="00AD7B00" w:rsidRDefault="001E5460" w:rsidP="00C315D6">
            <w:pPr>
              <w:spacing w:after="0" w:line="360" w:lineRule="auto"/>
              <w:rPr>
                <w:rFonts w:cstheme="minorHAnsi"/>
                <w:b/>
                <w:bCs/>
              </w:rPr>
            </w:pPr>
            <w:r w:rsidRPr="00AD7B00">
              <w:rPr>
                <w:rFonts w:cstheme="minorHAnsi"/>
                <w:b/>
                <w:bCs/>
              </w:rPr>
              <w:t>BPI</w:t>
            </w:r>
          </w:p>
        </w:tc>
        <w:tc>
          <w:tcPr>
            <w:tcW w:w="7255" w:type="dxa"/>
            <w:vAlign w:val="center"/>
          </w:tcPr>
          <w:p w14:paraId="1C039ED4" w14:textId="3EF6CB99" w:rsidR="001E5460" w:rsidRPr="00AD7B00" w:rsidRDefault="001E5460" w:rsidP="00C315D6">
            <w:pPr>
              <w:spacing w:after="0" w:line="360" w:lineRule="auto"/>
              <w:rPr>
                <w:rFonts w:cstheme="minorHAnsi"/>
              </w:rPr>
            </w:pPr>
            <w:r w:rsidRPr="00AD7B00">
              <w:rPr>
                <w:rFonts w:cstheme="minorHAnsi"/>
              </w:rPr>
              <w:t>Brief Pain Inventory</w:t>
            </w:r>
          </w:p>
        </w:tc>
      </w:tr>
      <w:tr w:rsidR="006F0CEF" w:rsidRPr="00AD7B00" w14:paraId="6FCA9629" w14:textId="77777777" w:rsidTr="002A2620">
        <w:tc>
          <w:tcPr>
            <w:tcW w:w="1529" w:type="dxa"/>
            <w:vAlign w:val="center"/>
          </w:tcPr>
          <w:p w14:paraId="3E7AEC4C" w14:textId="49C6CB96" w:rsidR="006F0CEF" w:rsidRPr="00AD7B00" w:rsidRDefault="006F0CEF" w:rsidP="00C315D6">
            <w:pPr>
              <w:spacing w:after="0" w:line="360" w:lineRule="auto"/>
              <w:rPr>
                <w:rFonts w:cstheme="minorHAnsi"/>
                <w:b/>
                <w:bCs/>
              </w:rPr>
            </w:pPr>
            <w:proofErr w:type="spellStart"/>
            <w:r w:rsidRPr="00AD7B00">
              <w:rPr>
                <w:rFonts w:cstheme="minorHAnsi"/>
                <w:b/>
                <w:color w:val="000000" w:themeColor="text1"/>
              </w:rPr>
              <w:t>CAFT</w:t>
            </w:r>
            <w:proofErr w:type="spellEnd"/>
          </w:p>
        </w:tc>
        <w:tc>
          <w:tcPr>
            <w:tcW w:w="7255" w:type="dxa"/>
            <w:vAlign w:val="center"/>
          </w:tcPr>
          <w:p w14:paraId="0CC80092" w14:textId="15A9EFB7" w:rsidR="006F0CEF" w:rsidRPr="00AD7B00" w:rsidRDefault="006F0CEF" w:rsidP="00C315D6">
            <w:pPr>
              <w:spacing w:after="0" w:line="360" w:lineRule="auto"/>
              <w:rPr>
                <w:rFonts w:cstheme="minorHAnsi"/>
              </w:rPr>
            </w:pPr>
            <w:r w:rsidRPr="00AD7B00">
              <w:rPr>
                <w:rFonts w:cstheme="minorHAnsi"/>
                <w:color w:val="000000" w:themeColor="text1"/>
              </w:rPr>
              <w:t>Cardiac Autonomic Function Test</w:t>
            </w:r>
          </w:p>
        </w:tc>
      </w:tr>
      <w:tr w:rsidR="00DC1E40" w:rsidRPr="00AD7B00" w14:paraId="161CC256" w14:textId="41AFB51A" w:rsidTr="002A2620">
        <w:tc>
          <w:tcPr>
            <w:tcW w:w="1529" w:type="dxa"/>
            <w:vAlign w:val="center"/>
          </w:tcPr>
          <w:p w14:paraId="7CF9CC3A" w14:textId="4800E9ED" w:rsidR="001E5460" w:rsidRPr="00AD7B00" w:rsidRDefault="001E5460" w:rsidP="00C315D6">
            <w:pPr>
              <w:spacing w:after="0" w:line="360" w:lineRule="auto"/>
              <w:rPr>
                <w:rFonts w:cstheme="minorHAnsi"/>
                <w:b/>
                <w:bCs/>
              </w:rPr>
            </w:pPr>
            <w:proofErr w:type="spellStart"/>
            <w:r w:rsidRPr="00AD7B00">
              <w:rPr>
                <w:rFonts w:cstheme="minorHAnsi"/>
                <w:b/>
                <w:bCs/>
              </w:rPr>
              <w:t>CCM</w:t>
            </w:r>
            <w:proofErr w:type="spellEnd"/>
          </w:p>
        </w:tc>
        <w:tc>
          <w:tcPr>
            <w:tcW w:w="7255" w:type="dxa"/>
            <w:vAlign w:val="center"/>
          </w:tcPr>
          <w:p w14:paraId="0CC36B3C" w14:textId="730954A3" w:rsidR="001E5460" w:rsidRPr="00AD7B00" w:rsidRDefault="001E5460" w:rsidP="00C315D6">
            <w:pPr>
              <w:spacing w:after="0" w:line="360" w:lineRule="auto"/>
              <w:rPr>
                <w:rFonts w:cstheme="minorHAnsi"/>
              </w:rPr>
            </w:pPr>
            <w:r w:rsidRPr="00AD7B00">
              <w:rPr>
                <w:rFonts w:cstheme="minorHAnsi"/>
              </w:rPr>
              <w:t>Confocal Corneal Microscopy</w:t>
            </w:r>
          </w:p>
        </w:tc>
      </w:tr>
      <w:tr w:rsidR="0042107D" w:rsidRPr="00AD7B00" w14:paraId="327B8374" w14:textId="77777777" w:rsidTr="002A2620">
        <w:tc>
          <w:tcPr>
            <w:tcW w:w="1529" w:type="dxa"/>
            <w:vAlign w:val="center"/>
          </w:tcPr>
          <w:p w14:paraId="41A652AB" w14:textId="3B5297EA" w:rsidR="0042107D" w:rsidRPr="00AD7B00" w:rsidRDefault="0042107D" w:rsidP="00C315D6">
            <w:pPr>
              <w:spacing w:after="0" w:line="360" w:lineRule="auto"/>
              <w:rPr>
                <w:rFonts w:cstheme="minorHAnsi"/>
                <w:b/>
                <w:bCs/>
              </w:rPr>
            </w:pPr>
            <w:r w:rsidRPr="00AD7B00">
              <w:rPr>
                <w:rFonts w:cstheme="minorHAnsi"/>
                <w:b/>
                <w:bCs/>
              </w:rPr>
              <w:t>CDT</w:t>
            </w:r>
          </w:p>
        </w:tc>
        <w:tc>
          <w:tcPr>
            <w:tcW w:w="7255" w:type="dxa"/>
            <w:vAlign w:val="center"/>
          </w:tcPr>
          <w:p w14:paraId="24BE4576" w14:textId="554DAFC6" w:rsidR="0042107D" w:rsidRPr="00AD7B00" w:rsidRDefault="0042107D" w:rsidP="00C315D6">
            <w:pPr>
              <w:spacing w:after="0" w:line="360" w:lineRule="auto"/>
              <w:rPr>
                <w:rFonts w:cstheme="minorHAnsi"/>
              </w:rPr>
            </w:pPr>
            <w:r w:rsidRPr="00AD7B00">
              <w:rPr>
                <w:rFonts w:cstheme="minorHAnsi"/>
              </w:rPr>
              <w:t>Cold Detection Threshold</w:t>
            </w:r>
          </w:p>
        </w:tc>
      </w:tr>
      <w:tr w:rsidR="00DC1E40" w:rsidRPr="00AD7B00" w14:paraId="1712E2AC" w14:textId="6B3CDDBF" w:rsidTr="002A2620">
        <w:tc>
          <w:tcPr>
            <w:tcW w:w="1529" w:type="dxa"/>
            <w:vAlign w:val="center"/>
          </w:tcPr>
          <w:p w14:paraId="68581B0E" w14:textId="5526AA16" w:rsidR="001E5460" w:rsidRPr="00AD7B00" w:rsidRDefault="001E5460" w:rsidP="00C315D6">
            <w:pPr>
              <w:spacing w:after="0" w:line="360" w:lineRule="auto"/>
              <w:rPr>
                <w:rFonts w:cstheme="minorHAnsi"/>
                <w:b/>
                <w:bCs/>
              </w:rPr>
            </w:pPr>
            <w:proofErr w:type="spellStart"/>
            <w:r w:rsidRPr="00AD7B00">
              <w:rPr>
                <w:rFonts w:cstheme="minorHAnsi"/>
                <w:b/>
                <w:bCs/>
              </w:rPr>
              <w:t>CGRP</w:t>
            </w:r>
            <w:proofErr w:type="spellEnd"/>
          </w:p>
        </w:tc>
        <w:tc>
          <w:tcPr>
            <w:tcW w:w="7255" w:type="dxa"/>
            <w:vAlign w:val="center"/>
          </w:tcPr>
          <w:p w14:paraId="1913D017" w14:textId="34AFBE5C" w:rsidR="001E5460" w:rsidRPr="00AD7B00" w:rsidRDefault="001E5460" w:rsidP="00C315D6">
            <w:pPr>
              <w:spacing w:after="0" w:line="360" w:lineRule="auto"/>
              <w:rPr>
                <w:rFonts w:cstheme="minorHAnsi"/>
              </w:rPr>
            </w:pPr>
            <w:r w:rsidRPr="00AD7B00">
              <w:rPr>
                <w:rFonts w:cstheme="minorHAnsi"/>
              </w:rPr>
              <w:t>Calcitonin Gene Related Peptide</w:t>
            </w:r>
          </w:p>
        </w:tc>
      </w:tr>
      <w:tr w:rsidR="00CE22BE" w:rsidRPr="00AD7B00" w14:paraId="234C3843" w14:textId="77777777" w:rsidTr="002A2620">
        <w:tc>
          <w:tcPr>
            <w:tcW w:w="1529" w:type="dxa"/>
            <w:vAlign w:val="center"/>
          </w:tcPr>
          <w:p w14:paraId="2D8CBE11" w14:textId="4832B2D1" w:rsidR="00CE22BE" w:rsidRPr="00AD7B00" w:rsidRDefault="00CE22BE" w:rsidP="00C315D6">
            <w:pPr>
              <w:spacing w:after="0" w:line="360" w:lineRule="auto"/>
              <w:rPr>
                <w:rFonts w:cstheme="minorHAnsi"/>
                <w:b/>
                <w:bCs/>
              </w:rPr>
            </w:pPr>
            <w:r w:rsidRPr="00AD7B00">
              <w:rPr>
                <w:rFonts w:eastAsiaTheme="minorHAnsi" w:cstheme="minorHAnsi"/>
                <w:b/>
                <w:lang w:eastAsia="en-US"/>
              </w:rPr>
              <w:t>CHESS</w:t>
            </w:r>
          </w:p>
        </w:tc>
        <w:tc>
          <w:tcPr>
            <w:tcW w:w="7255" w:type="dxa"/>
            <w:vAlign w:val="center"/>
          </w:tcPr>
          <w:p w14:paraId="0B645637" w14:textId="061A4DF6" w:rsidR="00CE22BE" w:rsidRPr="00AD7B00" w:rsidRDefault="00CE22BE" w:rsidP="00C315D6">
            <w:pPr>
              <w:spacing w:after="0" w:line="360" w:lineRule="auto"/>
              <w:rPr>
                <w:rFonts w:cstheme="minorHAnsi"/>
              </w:rPr>
            </w:pPr>
            <w:r w:rsidRPr="00AD7B00">
              <w:rPr>
                <w:rFonts w:eastAsiaTheme="minorHAnsi" w:cstheme="minorHAnsi"/>
                <w:lang w:eastAsia="en-US"/>
              </w:rPr>
              <w:t xml:space="preserve">Chemical Shift Selective </w:t>
            </w:r>
          </w:p>
        </w:tc>
      </w:tr>
      <w:tr w:rsidR="00DC1E40" w:rsidRPr="00AD7B00" w14:paraId="5BC08B2D" w14:textId="12B6AF97" w:rsidTr="002A2620">
        <w:tc>
          <w:tcPr>
            <w:tcW w:w="1529" w:type="dxa"/>
            <w:vAlign w:val="center"/>
          </w:tcPr>
          <w:p w14:paraId="4A8E9A41" w14:textId="7AE0D479" w:rsidR="001E5460" w:rsidRPr="00AD7B00" w:rsidRDefault="001E5460" w:rsidP="00C315D6">
            <w:pPr>
              <w:spacing w:after="0" w:line="360" w:lineRule="auto"/>
              <w:rPr>
                <w:rFonts w:cstheme="minorHAnsi"/>
                <w:b/>
                <w:bCs/>
              </w:rPr>
            </w:pPr>
            <w:r w:rsidRPr="00AD7B00">
              <w:rPr>
                <w:rFonts w:cstheme="minorHAnsi"/>
                <w:b/>
                <w:bCs/>
              </w:rPr>
              <w:t>CML</w:t>
            </w:r>
          </w:p>
        </w:tc>
        <w:tc>
          <w:tcPr>
            <w:tcW w:w="7255" w:type="dxa"/>
            <w:vAlign w:val="center"/>
          </w:tcPr>
          <w:p w14:paraId="057AFE0A" w14:textId="302E4A30" w:rsidR="001E5460" w:rsidRPr="00AD7B00" w:rsidRDefault="001E5460" w:rsidP="00C315D6">
            <w:pPr>
              <w:spacing w:after="0" w:line="360" w:lineRule="auto"/>
              <w:rPr>
                <w:rFonts w:cstheme="minorHAnsi"/>
              </w:rPr>
            </w:pPr>
            <w:r w:rsidRPr="00AD7B00">
              <w:rPr>
                <w:rFonts w:cstheme="minorHAnsi"/>
              </w:rPr>
              <w:t>Carboxymethyl Lysine</w:t>
            </w:r>
          </w:p>
        </w:tc>
      </w:tr>
      <w:tr w:rsidR="00DC1E40" w:rsidRPr="00AD7B00" w14:paraId="3F5AA070" w14:textId="1E9277D8" w:rsidTr="002A2620">
        <w:tc>
          <w:tcPr>
            <w:tcW w:w="1529" w:type="dxa"/>
            <w:vAlign w:val="center"/>
          </w:tcPr>
          <w:p w14:paraId="04A815D8" w14:textId="7B66930A" w:rsidR="001E5460" w:rsidRPr="00AD7B00" w:rsidRDefault="001E5460" w:rsidP="00C315D6">
            <w:pPr>
              <w:spacing w:after="0" w:line="360" w:lineRule="auto"/>
              <w:rPr>
                <w:rFonts w:cstheme="minorHAnsi"/>
                <w:b/>
                <w:bCs/>
              </w:rPr>
            </w:pPr>
            <w:proofErr w:type="spellStart"/>
            <w:r w:rsidRPr="00AD7B00">
              <w:rPr>
                <w:rFonts w:cstheme="minorHAnsi"/>
                <w:b/>
                <w:bCs/>
              </w:rPr>
              <w:t>CNBD</w:t>
            </w:r>
            <w:proofErr w:type="spellEnd"/>
          </w:p>
        </w:tc>
        <w:tc>
          <w:tcPr>
            <w:tcW w:w="7255" w:type="dxa"/>
            <w:vAlign w:val="center"/>
          </w:tcPr>
          <w:p w14:paraId="740C606C" w14:textId="072040E7" w:rsidR="001E5460" w:rsidRPr="00AD7B00" w:rsidRDefault="001E5460" w:rsidP="00C315D6">
            <w:pPr>
              <w:spacing w:after="0" w:line="360" w:lineRule="auto"/>
              <w:rPr>
                <w:rFonts w:cstheme="minorHAnsi"/>
              </w:rPr>
            </w:pPr>
            <w:r w:rsidRPr="00AD7B00">
              <w:rPr>
                <w:rFonts w:cstheme="minorHAnsi"/>
              </w:rPr>
              <w:t>Corneal Nerve Branch Density</w:t>
            </w:r>
          </w:p>
        </w:tc>
      </w:tr>
      <w:tr w:rsidR="00DC1E40" w:rsidRPr="00AD7B00" w14:paraId="60C58BE3" w14:textId="185AD97C" w:rsidTr="002A2620">
        <w:tc>
          <w:tcPr>
            <w:tcW w:w="1529" w:type="dxa"/>
            <w:vAlign w:val="center"/>
          </w:tcPr>
          <w:p w14:paraId="12C9BF88" w14:textId="30E43267" w:rsidR="001E5460" w:rsidRPr="00AD7B00" w:rsidRDefault="001E5460" w:rsidP="00C315D6">
            <w:pPr>
              <w:spacing w:after="0" w:line="360" w:lineRule="auto"/>
              <w:rPr>
                <w:rFonts w:cstheme="minorHAnsi"/>
                <w:b/>
                <w:bCs/>
              </w:rPr>
            </w:pPr>
            <w:proofErr w:type="spellStart"/>
            <w:r w:rsidRPr="00AD7B00">
              <w:rPr>
                <w:rFonts w:cstheme="minorHAnsi"/>
                <w:b/>
                <w:bCs/>
              </w:rPr>
              <w:t>CNFD</w:t>
            </w:r>
            <w:proofErr w:type="spellEnd"/>
          </w:p>
        </w:tc>
        <w:tc>
          <w:tcPr>
            <w:tcW w:w="7255" w:type="dxa"/>
            <w:vAlign w:val="center"/>
          </w:tcPr>
          <w:p w14:paraId="70561F3E" w14:textId="0F0E411A" w:rsidR="001E5460" w:rsidRPr="00AD7B00" w:rsidRDefault="001E5460" w:rsidP="00C315D6">
            <w:pPr>
              <w:spacing w:after="0" w:line="360" w:lineRule="auto"/>
              <w:rPr>
                <w:rFonts w:cstheme="minorHAnsi"/>
              </w:rPr>
            </w:pPr>
            <w:r w:rsidRPr="00AD7B00">
              <w:rPr>
                <w:rFonts w:cstheme="minorHAnsi"/>
              </w:rPr>
              <w:t>Corneal Nerve Fibre Density</w:t>
            </w:r>
          </w:p>
        </w:tc>
      </w:tr>
      <w:tr w:rsidR="00DC1E40" w:rsidRPr="00AD7B00" w14:paraId="796FF81F" w14:textId="44919667" w:rsidTr="002A2620">
        <w:tc>
          <w:tcPr>
            <w:tcW w:w="1529" w:type="dxa"/>
            <w:vAlign w:val="center"/>
          </w:tcPr>
          <w:p w14:paraId="1594683F" w14:textId="551059E4" w:rsidR="001E5460" w:rsidRPr="00AD7B00" w:rsidRDefault="001E5460" w:rsidP="00C315D6">
            <w:pPr>
              <w:spacing w:after="0" w:line="360" w:lineRule="auto"/>
              <w:rPr>
                <w:rFonts w:cstheme="minorHAnsi"/>
                <w:b/>
                <w:bCs/>
              </w:rPr>
            </w:pPr>
            <w:proofErr w:type="spellStart"/>
            <w:r w:rsidRPr="00AD7B00">
              <w:rPr>
                <w:rFonts w:cstheme="minorHAnsi"/>
                <w:b/>
                <w:bCs/>
              </w:rPr>
              <w:t>CNFL</w:t>
            </w:r>
            <w:proofErr w:type="spellEnd"/>
          </w:p>
        </w:tc>
        <w:tc>
          <w:tcPr>
            <w:tcW w:w="7255" w:type="dxa"/>
            <w:vAlign w:val="center"/>
          </w:tcPr>
          <w:p w14:paraId="2043B6B3" w14:textId="11D5E073" w:rsidR="001E5460" w:rsidRPr="00AD7B00" w:rsidRDefault="001E5460" w:rsidP="00C315D6">
            <w:pPr>
              <w:spacing w:after="0" w:line="360" w:lineRule="auto"/>
              <w:rPr>
                <w:rFonts w:cstheme="minorHAnsi"/>
              </w:rPr>
            </w:pPr>
            <w:r w:rsidRPr="00AD7B00">
              <w:rPr>
                <w:rFonts w:cstheme="minorHAnsi"/>
              </w:rPr>
              <w:t>Corneal Nerve Fibre Length</w:t>
            </w:r>
          </w:p>
        </w:tc>
      </w:tr>
      <w:tr w:rsidR="0090515A" w:rsidRPr="00AD7B00" w14:paraId="33510AD2" w14:textId="77777777" w:rsidTr="002A2620">
        <w:tc>
          <w:tcPr>
            <w:tcW w:w="1529" w:type="dxa"/>
            <w:vAlign w:val="center"/>
          </w:tcPr>
          <w:p w14:paraId="07E9E86A" w14:textId="4CAD1EC8" w:rsidR="0090515A" w:rsidRPr="00AD7B00" w:rsidRDefault="0090515A" w:rsidP="00C315D6">
            <w:pPr>
              <w:spacing w:after="0" w:line="360" w:lineRule="auto"/>
              <w:rPr>
                <w:rFonts w:cstheme="minorHAnsi"/>
                <w:b/>
                <w:bCs/>
              </w:rPr>
            </w:pPr>
            <w:proofErr w:type="spellStart"/>
            <w:r w:rsidRPr="00AD7B00">
              <w:rPr>
                <w:rFonts w:cstheme="minorHAnsi"/>
                <w:b/>
                <w:bCs/>
              </w:rPr>
              <w:t>CPN</w:t>
            </w:r>
            <w:proofErr w:type="spellEnd"/>
          </w:p>
        </w:tc>
        <w:tc>
          <w:tcPr>
            <w:tcW w:w="7255" w:type="dxa"/>
            <w:vAlign w:val="center"/>
          </w:tcPr>
          <w:p w14:paraId="3385E939" w14:textId="389B798B" w:rsidR="0090515A" w:rsidRPr="00AD7B00" w:rsidRDefault="0090515A" w:rsidP="00C315D6">
            <w:pPr>
              <w:spacing w:after="0" w:line="360" w:lineRule="auto"/>
              <w:rPr>
                <w:rFonts w:cstheme="minorHAnsi"/>
              </w:rPr>
            </w:pPr>
            <w:r w:rsidRPr="00AD7B00">
              <w:rPr>
                <w:rFonts w:eastAsiaTheme="minorHAnsi" w:cstheme="minorHAnsi"/>
              </w:rPr>
              <w:t>Common Peroneal Nerve</w:t>
            </w:r>
          </w:p>
        </w:tc>
      </w:tr>
      <w:tr w:rsidR="00EA2BF3" w:rsidRPr="00AD7B00" w14:paraId="2A22853B" w14:textId="77777777" w:rsidTr="002A2620">
        <w:tc>
          <w:tcPr>
            <w:tcW w:w="1529" w:type="dxa"/>
            <w:vAlign w:val="center"/>
          </w:tcPr>
          <w:p w14:paraId="182889A6" w14:textId="18F78C01" w:rsidR="00EA2BF3" w:rsidRPr="00AD7B00" w:rsidRDefault="00EA2BF3" w:rsidP="00C315D6">
            <w:pPr>
              <w:spacing w:after="0" w:line="360" w:lineRule="auto"/>
              <w:rPr>
                <w:rFonts w:cstheme="minorHAnsi"/>
                <w:b/>
                <w:bCs/>
              </w:rPr>
            </w:pPr>
            <w:r w:rsidRPr="00AD7B00">
              <w:rPr>
                <w:rFonts w:cstheme="minorHAnsi"/>
                <w:b/>
                <w:bCs/>
              </w:rPr>
              <w:t>CPT</w:t>
            </w:r>
          </w:p>
        </w:tc>
        <w:tc>
          <w:tcPr>
            <w:tcW w:w="7255" w:type="dxa"/>
            <w:vAlign w:val="center"/>
          </w:tcPr>
          <w:p w14:paraId="663569A3" w14:textId="46DF6B50" w:rsidR="00EA2BF3" w:rsidRPr="00AD7B00" w:rsidRDefault="00EA2BF3" w:rsidP="00C315D6">
            <w:pPr>
              <w:spacing w:after="0" w:line="360" w:lineRule="auto"/>
              <w:rPr>
                <w:rFonts w:cstheme="minorHAnsi"/>
              </w:rPr>
            </w:pPr>
            <w:r w:rsidRPr="00AD7B00">
              <w:rPr>
                <w:rFonts w:cstheme="minorHAnsi"/>
              </w:rPr>
              <w:t>Cold Pain Threshold</w:t>
            </w:r>
          </w:p>
        </w:tc>
      </w:tr>
      <w:tr w:rsidR="00DC1E40" w:rsidRPr="00AD7B00" w14:paraId="1BC7BBCE" w14:textId="535428D7" w:rsidTr="002A2620">
        <w:tc>
          <w:tcPr>
            <w:tcW w:w="1529" w:type="dxa"/>
            <w:vAlign w:val="center"/>
          </w:tcPr>
          <w:p w14:paraId="578EC927" w14:textId="25BF3F96" w:rsidR="001E5460" w:rsidRPr="00AD7B00" w:rsidRDefault="001E5460" w:rsidP="00C315D6">
            <w:pPr>
              <w:spacing w:after="0" w:line="360" w:lineRule="auto"/>
              <w:rPr>
                <w:rFonts w:cstheme="minorHAnsi"/>
                <w:b/>
                <w:bCs/>
              </w:rPr>
            </w:pPr>
            <w:r w:rsidRPr="00AD7B00">
              <w:rPr>
                <w:rFonts w:cstheme="minorHAnsi"/>
                <w:b/>
                <w:bCs/>
              </w:rPr>
              <w:t>DAG</w:t>
            </w:r>
          </w:p>
        </w:tc>
        <w:tc>
          <w:tcPr>
            <w:tcW w:w="7255" w:type="dxa"/>
            <w:vAlign w:val="center"/>
          </w:tcPr>
          <w:p w14:paraId="5EAFAFAC" w14:textId="4134E844" w:rsidR="001E5460" w:rsidRPr="00AD7B00" w:rsidRDefault="001E5460" w:rsidP="00C315D6">
            <w:pPr>
              <w:spacing w:after="0" w:line="360" w:lineRule="auto"/>
              <w:rPr>
                <w:rFonts w:cstheme="minorHAnsi"/>
              </w:rPr>
            </w:pPr>
            <w:r w:rsidRPr="00AD7B00">
              <w:rPr>
                <w:rFonts w:cstheme="minorHAnsi"/>
              </w:rPr>
              <w:t>Diacylglycerol</w:t>
            </w:r>
          </w:p>
        </w:tc>
      </w:tr>
      <w:tr w:rsidR="00DC1E40" w:rsidRPr="00AD7B00" w14:paraId="3DD83072" w14:textId="47405FF1" w:rsidTr="002A2620">
        <w:tc>
          <w:tcPr>
            <w:tcW w:w="1529" w:type="dxa"/>
            <w:vAlign w:val="center"/>
          </w:tcPr>
          <w:p w14:paraId="587C911F" w14:textId="77C2268B" w:rsidR="001E5460" w:rsidRPr="00AD7B00" w:rsidRDefault="001E5460" w:rsidP="00C315D6">
            <w:pPr>
              <w:spacing w:after="0" w:line="360" w:lineRule="auto"/>
              <w:rPr>
                <w:rFonts w:cstheme="minorHAnsi"/>
                <w:b/>
                <w:bCs/>
              </w:rPr>
            </w:pPr>
            <w:proofErr w:type="spellStart"/>
            <w:r w:rsidRPr="00AD7B00">
              <w:rPr>
                <w:rFonts w:cstheme="minorHAnsi"/>
                <w:b/>
                <w:bCs/>
              </w:rPr>
              <w:t>DAPOS</w:t>
            </w:r>
            <w:proofErr w:type="spellEnd"/>
          </w:p>
        </w:tc>
        <w:tc>
          <w:tcPr>
            <w:tcW w:w="7255" w:type="dxa"/>
            <w:vAlign w:val="center"/>
          </w:tcPr>
          <w:p w14:paraId="0BAD7EE4" w14:textId="4FF15120" w:rsidR="001E5460" w:rsidRPr="00AD7B00" w:rsidRDefault="001E5460" w:rsidP="00C315D6">
            <w:pPr>
              <w:spacing w:after="0" w:line="360" w:lineRule="auto"/>
              <w:rPr>
                <w:rFonts w:cstheme="minorHAnsi"/>
              </w:rPr>
            </w:pPr>
            <w:r w:rsidRPr="00AD7B00">
              <w:rPr>
                <w:rFonts w:cstheme="minorHAnsi"/>
              </w:rPr>
              <w:t>Depression Anxiety Positive Outlook Scale</w:t>
            </w:r>
          </w:p>
        </w:tc>
      </w:tr>
      <w:tr w:rsidR="00DC1E40" w:rsidRPr="00AD7B00" w14:paraId="62785CF2" w14:textId="3C531EDC" w:rsidTr="002A2620">
        <w:tc>
          <w:tcPr>
            <w:tcW w:w="1529" w:type="dxa"/>
            <w:vAlign w:val="center"/>
          </w:tcPr>
          <w:p w14:paraId="29C76B9E" w14:textId="52106C73" w:rsidR="001E5460" w:rsidRPr="00AD7B00" w:rsidRDefault="001E5460" w:rsidP="00C315D6">
            <w:pPr>
              <w:spacing w:after="0" w:line="360" w:lineRule="auto"/>
              <w:rPr>
                <w:rFonts w:cstheme="minorHAnsi"/>
                <w:b/>
                <w:bCs/>
              </w:rPr>
            </w:pPr>
            <w:proofErr w:type="spellStart"/>
            <w:r w:rsidRPr="00AD7B00">
              <w:rPr>
                <w:rFonts w:cstheme="minorHAnsi"/>
                <w:b/>
                <w:bCs/>
              </w:rPr>
              <w:t>DFNS</w:t>
            </w:r>
            <w:proofErr w:type="spellEnd"/>
          </w:p>
        </w:tc>
        <w:tc>
          <w:tcPr>
            <w:tcW w:w="7255" w:type="dxa"/>
            <w:vAlign w:val="center"/>
          </w:tcPr>
          <w:p w14:paraId="5BD3AF38" w14:textId="46B064A9" w:rsidR="001E5460" w:rsidRPr="00AD7B00" w:rsidRDefault="001E5460" w:rsidP="00C315D6">
            <w:pPr>
              <w:spacing w:after="0" w:line="360" w:lineRule="auto"/>
              <w:rPr>
                <w:rFonts w:cstheme="minorHAnsi"/>
              </w:rPr>
            </w:pPr>
            <w:r w:rsidRPr="00AD7B00">
              <w:rPr>
                <w:rFonts w:cstheme="minorHAnsi"/>
              </w:rPr>
              <w:t xml:space="preserve">German Research Network </w:t>
            </w:r>
            <w:r w:rsidR="00B22906" w:rsidRPr="00AD7B00">
              <w:rPr>
                <w:rFonts w:cstheme="minorHAnsi"/>
              </w:rPr>
              <w:t>on</w:t>
            </w:r>
            <w:r w:rsidRPr="00AD7B00">
              <w:rPr>
                <w:rFonts w:cstheme="minorHAnsi"/>
              </w:rPr>
              <w:t xml:space="preserve"> Neuropathic Pain</w:t>
            </w:r>
          </w:p>
        </w:tc>
      </w:tr>
      <w:tr w:rsidR="009C5DE3" w:rsidRPr="00AD7B00" w14:paraId="4403149C" w14:textId="77777777" w:rsidTr="002A2620">
        <w:tc>
          <w:tcPr>
            <w:tcW w:w="1529" w:type="dxa"/>
            <w:vAlign w:val="center"/>
          </w:tcPr>
          <w:p w14:paraId="29D3B3A7" w14:textId="6F22C41F" w:rsidR="009C5DE3" w:rsidRPr="00AD7B00" w:rsidRDefault="009C5DE3" w:rsidP="00C315D6">
            <w:pPr>
              <w:spacing w:after="0" w:line="360" w:lineRule="auto"/>
              <w:rPr>
                <w:rFonts w:cstheme="minorHAnsi"/>
                <w:b/>
                <w:bCs/>
                <w:lang w:val="fr-FR"/>
              </w:rPr>
            </w:pPr>
            <w:proofErr w:type="spellStart"/>
            <w:r w:rsidRPr="00AD7B00">
              <w:rPr>
                <w:rFonts w:cstheme="minorHAnsi"/>
                <w:b/>
                <w:bCs/>
                <w:lang w:val="fr-FR"/>
              </w:rPr>
              <w:t>DH</w:t>
            </w:r>
            <w:proofErr w:type="spellEnd"/>
          </w:p>
        </w:tc>
        <w:tc>
          <w:tcPr>
            <w:tcW w:w="7255" w:type="dxa"/>
            <w:vAlign w:val="center"/>
          </w:tcPr>
          <w:p w14:paraId="399FD6E0" w14:textId="4440BE33" w:rsidR="009C5DE3" w:rsidRPr="00AD7B00" w:rsidRDefault="009C5DE3" w:rsidP="00C315D6">
            <w:pPr>
              <w:spacing w:after="0" w:line="360" w:lineRule="auto"/>
              <w:rPr>
                <w:rFonts w:cstheme="minorHAnsi"/>
                <w:lang w:val="fr-FR"/>
              </w:rPr>
            </w:pPr>
            <w:r w:rsidRPr="00AD7B00">
              <w:rPr>
                <w:rFonts w:cstheme="minorHAnsi"/>
                <w:lang w:val="fr-FR"/>
              </w:rPr>
              <w:t>Dorsal Horn</w:t>
            </w:r>
          </w:p>
        </w:tc>
      </w:tr>
      <w:tr w:rsidR="00DC1E40" w:rsidRPr="00AD7B00" w14:paraId="183F9154" w14:textId="44F39BD7" w:rsidTr="002A2620">
        <w:tc>
          <w:tcPr>
            <w:tcW w:w="1529" w:type="dxa"/>
            <w:vAlign w:val="center"/>
          </w:tcPr>
          <w:p w14:paraId="3E9293DE" w14:textId="785A836E" w:rsidR="001E5460" w:rsidRPr="00AD7B00" w:rsidRDefault="001E5460" w:rsidP="00C315D6">
            <w:pPr>
              <w:spacing w:after="0" w:line="360" w:lineRule="auto"/>
              <w:rPr>
                <w:rFonts w:cstheme="minorHAnsi"/>
                <w:b/>
                <w:bCs/>
                <w:lang w:val="fr-FR"/>
              </w:rPr>
            </w:pPr>
            <w:proofErr w:type="spellStart"/>
            <w:r w:rsidRPr="00AD7B00">
              <w:rPr>
                <w:rFonts w:cstheme="minorHAnsi"/>
                <w:b/>
                <w:bCs/>
                <w:lang w:val="fr-FR"/>
              </w:rPr>
              <w:t>DHAP</w:t>
            </w:r>
            <w:proofErr w:type="spellEnd"/>
          </w:p>
        </w:tc>
        <w:tc>
          <w:tcPr>
            <w:tcW w:w="7255" w:type="dxa"/>
            <w:vAlign w:val="center"/>
          </w:tcPr>
          <w:p w14:paraId="50AE54F5" w14:textId="36FF39D5" w:rsidR="001E5460" w:rsidRPr="00AD7B00" w:rsidRDefault="001E5460" w:rsidP="00C315D6">
            <w:pPr>
              <w:spacing w:after="0" w:line="360" w:lineRule="auto"/>
              <w:rPr>
                <w:rFonts w:cstheme="minorHAnsi"/>
                <w:lang w:val="fr-FR"/>
              </w:rPr>
            </w:pPr>
            <w:proofErr w:type="spellStart"/>
            <w:r w:rsidRPr="00AD7B00">
              <w:rPr>
                <w:rFonts w:cstheme="minorHAnsi"/>
                <w:lang w:val="fr-FR"/>
              </w:rPr>
              <w:t>Dihydroxyacetone</w:t>
            </w:r>
            <w:proofErr w:type="spellEnd"/>
            <w:r w:rsidRPr="00AD7B00">
              <w:rPr>
                <w:rFonts w:cstheme="minorHAnsi"/>
                <w:lang w:val="fr-FR"/>
              </w:rPr>
              <w:t xml:space="preserve"> Phosphate</w:t>
            </w:r>
          </w:p>
        </w:tc>
      </w:tr>
      <w:tr w:rsidR="00DC1E40" w:rsidRPr="00AD7B00" w14:paraId="5DF9FFBE" w14:textId="7D578146" w:rsidTr="002A2620">
        <w:tc>
          <w:tcPr>
            <w:tcW w:w="1529" w:type="dxa"/>
            <w:vAlign w:val="center"/>
          </w:tcPr>
          <w:p w14:paraId="59B709A6" w14:textId="4B45A71C" w:rsidR="001E5460" w:rsidRPr="00AD7B00" w:rsidRDefault="001E5460" w:rsidP="00C315D6">
            <w:pPr>
              <w:spacing w:after="0" w:line="360" w:lineRule="auto"/>
              <w:rPr>
                <w:rFonts w:cstheme="minorHAnsi"/>
                <w:b/>
                <w:bCs/>
                <w:lang w:val="fr-FR"/>
              </w:rPr>
            </w:pPr>
            <w:r w:rsidRPr="00AD7B00">
              <w:rPr>
                <w:rFonts w:cstheme="minorHAnsi"/>
                <w:b/>
                <w:bCs/>
                <w:lang w:val="fr-FR"/>
              </w:rPr>
              <w:t>DN4</w:t>
            </w:r>
          </w:p>
        </w:tc>
        <w:tc>
          <w:tcPr>
            <w:tcW w:w="7255" w:type="dxa"/>
            <w:vAlign w:val="center"/>
          </w:tcPr>
          <w:p w14:paraId="21074641" w14:textId="24F44D49" w:rsidR="001E5460" w:rsidRPr="00AD7B00" w:rsidRDefault="001E5460" w:rsidP="00C315D6">
            <w:pPr>
              <w:spacing w:after="0" w:line="360" w:lineRule="auto"/>
              <w:rPr>
                <w:rFonts w:cstheme="minorHAnsi"/>
                <w:lang w:val="fr-FR"/>
              </w:rPr>
            </w:pPr>
            <w:r w:rsidRPr="00AD7B00">
              <w:rPr>
                <w:rFonts w:cstheme="minorHAnsi"/>
                <w:lang w:val="fr-FR"/>
              </w:rPr>
              <w:t>Douleur Neuropathique 4 Questions</w:t>
            </w:r>
          </w:p>
        </w:tc>
      </w:tr>
      <w:tr w:rsidR="00DC1E40" w:rsidRPr="00305990" w14:paraId="384A810D" w14:textId="0F9B322E" w:rsidTr="002A2620">
        <w:tc>
          <w:tcPr>
            <w:tcW w:w="1529" w:type="dxa"/>
            <w:vAlign w:val="center"/>
          </w:tcPr>
          <w:p w14:paraId="5AD4FF14" w14:textId="661E2942" w:rsidR="001E5460" w:rsidRPr="00AD7B00" w:rsidRDefault="001E5460" w:rsidP="00C315D6">
            <w:pPr>
              <w:spacing w:after="0" w:line="360" w:lineRule="auto"/>
              <w:rPr>
                <w:rFonts w:cstheme="minorHAnsi"/>
                <w:b/>
                <w:bCs/>
                <w:lang w:val="pt-PT"/>
              </w:rPr>
            </w:pPr>
            <w:proofErr w:type="spellStart"/>
            <w:r w:rsidRPr="00AD7B00">
              <w:rPr>
                <w:rFonts w:cstheme="minorHAnsi"/>
                <w:b/>
                <w:bCs/>
                <w:lang w:val="pt-PT"/>
              </w:rPr>
              <w:t>DPN</w:t>
            </w:r>
            <w:proofErr w:type="spellEnd"/>
          </w:p>
        </w:tc>
        <w:tc>
          <w:tcPr>
            <w:tcW w:w="7255" w:type="dxa"/>
            <w:vAlign w:val="center"/>
          </w:tcPr>
          <w:p w14:paraId="4FE0C735" w14:textId="27FB133F" w:rsidR="001E5460" w:rsidRPr="00AD7B00" w:rsidRDefault="001E5460" w:rsidP="00C315D6">
            <w:pPr>
              <w:spacing w:after="0" w:line="360" w:lineRule="auto"/>
              <w:rPr>
                <w:rFonts w:cstheme="minorHAnsi"/>
                <w:lang w:val="pt-PT"/>
              </w:rPr>
            </w:pPr>
            <w:r w:rsidRPr="00AD7B00">
              <w:rPr>
                <w:rFonts w:cstheme="minorHAnsi"/>
                <w:lang w:val="pt-PT"/>
              </w:rPr>
              <w:t xml:space="preserve">Distal </w:t>
            </w:r>
            <w:proofErr w:type="spellStart"/>
            <w:r w:rsidRPr="00AD7B00">
              <w:rPr>
                <w:rFonts w:cstheme="minorHAnsi"/>
                <w:lang w:val="pt-PT"/>
              </w:rPr>
              <w:t>Symmetrical</w:t>
            </w:r>
            <w:proofErr w:type="spellEnd"/>
            <w:r w:rsidRPr="00AD7B00">
              <w:rPr>
                <w:rFonts w:cstheme="minorHAnsi"/>
                <w:lang w:val="pt-PT"/>
              </w:rPr>
              <w:t xml:space="preserve"> </w:t>
            </w:r>
            <w:proofErr w:type="spellStart"/>
            <w:r w:rsidRPr="00AD7B00">
              <w:rPr>
                <w:rFonts w:cstheme="minorHAnsi"/>
                <w:lang w:val="pt-PT"/>
              </w:rPr>
              <w:t>Diabetic</w:t>
            </w:r>
            <w:proofErr w:type="spellEnd"/>
            <w:r w:rsidRPr="00AD7B00">
              <w:rPr>
                <w:rFonts w:cstheme="minorHAnsi"/>
                <w:lang w:val="pt-PT"/>
              </w:rPr>
              <w:t xml:space="preserve"> </w:t>
            </w:r>
            <w:proofErr w:type="spellStart"/>
            <w:r w:rsidRPr="00AD7B00">
              <w:rPr>
                <w:rFonts w:cstheme="minorHAnsi"/>
                <w:lang w:val="pt-PT"/>
              </w:rPr>
              <w:t>Sensorymotor</w:t>
            </w:r>
            <w:proofErr w:type="spellEnd"/>
            <w:r w:rsidRPr="00AD7B00">
              <w:rPr>
                <w:rFonts w:cstheme="minorHAnsi"/>
                <w:lang w:val="pt-PT"/>
              </w:rPr>
              <w:t xml:space="preserve"> </w:t>
            </w:r>
            <w:proofErr w:type="spellStart"/>
            <w:r w:rsidRPr="00AD7B00">
              <w:rPr>
                <w:rFonts w:cstheme="minorHAnsi"/>
                <w:lang w:val="pt-PT"/>
              </w:rPr>
              <w:t>Polyneuropathy</w:t>
            </w:r>
            <w:proofErr w:type="spellEnd"/>
          </w:p>
        </w:tc>
      </w:tr>
      <w:tr w:rsidR="00F40479" w:rsidRPr="000D4C75" w14:paraId="7DEC884A" w14:textId="77777777" w:rsidTr="002A2620">
        <w:tc>
          <w:tcPr>
            <w:tcW w:w="1529" w:type="dxa"/>
            <w:vAlign w:val="center"/>
          </w:tcPr>
          <w:p w14:paraId="3E41D216" w14:textId="192E645F" w:rsidR="00F40479" w:rsidRPr="00AD7B00" w:rsidRDefault="00F40479" w:rsidP="00C315D6">
            <w:pPr>
              <w:spacing w:after="0" w:line="360" w:lineRule="auto"/>
              <w:rPr>
                <w:rFonts w:cstheme="minorHAnsi"/>
                <w:b/>
                <w:bCs/>
                <w:lang w:val="pt-PT"/>
              </w:rPr>
            </w:pPr>
            <w:proofErr w:type="spellStart"/>
            <w:r>
              <w:rPr>
                <w:rFonts w:cstheme="minorHAnsi"/>
                <w:b/>
                <w:bCs/>
                <w:lang w:val="pt-PT"/>
              </w:rPr>
              <w:t>DRG</w:t>
            </w:r>
            <w:proofErr w:type="spellEnd"/>
          </w:p>
        </w:tc>
        <w:tc>
          <w:tcPr>
            <w:tcW w:w="7255" w:type="dxa"/>
            <w:vAlign w:val="center"/>
          </w:tcPr>
          <w:p w14:paraId="7E257453" w14:textId="370431B6" w:rsidR="00F40479" w:rsidRPr="00AD7B00" w:rsidRDefault="00F40479" w:rsidP="00C315D6">
            <w:pPr>
              <w:spacing w:after="0" w:line="360" w:lineRule="auto"/>
              <w:rPr>
                <w:rFonts w:cstheme="minorHAnsi"/>
                <w:lang w:val="pt-PT"/>
              </w:rPr>
            </w:pPr>
            <w:r>
              <w:rPr>
                <w:rFonts w:cstheme="minorHAnsi"/>
                <w:lang w:val="pt-PT"/>
              </w:rPr>
              <w:t xml:space="preserve">Dorsal </w:t>
            </w:r>
            <w:proofErr w:type="spellStart"/>
            <w:r>
              <w:rPr>
                <w:rFonts w:cstheme="minorHAnsi"/>
                <w:lang w:val="pt-PT"/>
              </w:rPr>
              <w:t>Root</w:t>
            </w:r>
            <w:proofErr w:type="spellEnd"/>
            <w:r>
              <w:rPr>
                <w:rFonts w:cstheme="minorHAnsi"/>
                <w:lang w:val="pt-PT"/>
              </w:rPr>
              <w:t xml:space="preserve"> </w:t>
            </w:r>
            <w:proofErr w:type="spellStart"/>
            <w:r>
              <w:rPr>
                <w:rFonts w:cstheme="minorHAnsi"/>
                <w:lang w:val="pt-PT"/>
              </w:rPr>
              <w:t>Ganglion</w:t>
            </w:r>
            <w:proofErr w:type="spellEnd"/>
          </w:p>
        </w:tc>
      </w:tr>
      <w:tr w:rsidR="003A1B44" w:rsidRPr="00AD7B00" w14:paraId="39B1FABA" w14:textId="77777777" w:rsidTr="002A2620">
        <w:tc>
          <w:tcPr>
            <w:tcW w:w="1529" w:type="dxa"/>
            <w:vAlign w:val="center"/>
          </w:tcPr>
          <w:p w14:paraId="60122878" w14:textId="4C1FBD04" w:rsidR="003A1B44" w:rsidRPr="00AD7B00" w:rsidRDefault="003A1B44" w:rsidP="00C315D6">
            <w:pPr>
              <w:spacing w:after="0" w:line="360" w:lineRule="auto"/>
              <w:rPr>
                <w:rFonts w:cstheme="minorHAnsi"/>
                <w:b/>
                <w:bCs/>
                <w:lang w:val="pt-PT"/>
              </w:rPr>
            </w:pPr>
            <w:proofErr w:type="spellStart"/>
            <w:r w:rsidRPr="00AD7B00">
              <w:rPr>
                <w:rFonts w:cstheme="minorHAnsi"/>
                <w:b/>
                <w:color w:val="000000" w:themeColor="text1"/>
              </w:rPr>
              <w:lastRenderedPageBreak/>
              <w:t>EFNS</w:t>
            </w:r>
            <w:proofErr w:type="spellEnd"/>
          </w:p>
        </w:tc>
        <w:tc>
          <w:tcPr>
            <w:tcW w:w="7255" w:type="dxa"/>
            <w:vAlign w:val="center"/>
          </w:tcPr>
          <w:p w14:paraId="33A7714A" w14:textId="0881AAE9" w:rsidR="003A1B44" w:rsidRPr="00AD7B00" w:rsidRDefault="003A1B44" w:rsidP="00C315D6">
            <w:pPr>
              <w:spacing w:after="0" w:line="360" w:lineRule="auto"/>
              <w:rPr>
                <w:rFonts w:cstheme="minorHAnsi"/>
              </w:rPr>
            </w:pPr>
            <w:r w:rsidRPr="00AD7B00">
              <w:rPr>
                <w:rFonts w:cstheme="minorHAnsi"/>
                <w:color w:val="000000" w:themeColor="text1"/>
              </w:rPr>
              <w:t xml:space="preserve">European Federation of Neurological Societies </w:t>
            </w:r>
          </w:p>
        </w:tc>
      </w:tr>
      <w:tr w:rsidR="00904CD6" w:rsidRPr="00AD7B00" w14:paraId="17017671" w14:textId="77777777" w:rsidTr="002A2620">
        <w:tc>
          <w:tcPr>
            <w:tcW w:w="1529" w:type="dxa"/>
            <w:vAlign w:val="center"/>
          </w:tcPr>
          <w:p w14:paraId="04000180" w14:textId="6796FFF4" w:rsidR="00904CD6" w:rsidRPr="00AD7B00" w:rsidRDefault="00904CD6" w:rsidP="00C315D6">
            <w:pPr>
              <w:spacing w:after="0" w:line="360" w:lineRule="auto"/>
              <w:rPr>
                <w:rFonts w:cstheme="minorHAnsi"/>
                <w:b/>
                <w:bCs/>
                <w:lang w:val="pt-PT"/>
              </w:rPr>
            </w:pPr>
            <w:proofErr w:type="spellStart"/>
            <w:r w:rsidRPr="00AD7B00">
              <w:rPr>
                <w:rFonts w:cstheme="minorHAnsi"/>
                <w:b/>
                <w:bCs/>
                <w:lang w:val="pt-PT"/>
              </w:rPr>
              <w:t>eNOS</w:t>
            </w:r>
            <w:proofErr w:type="spellEnd"/>
          </w:p>
        </w:tc>
        <w:tc>
          <w:tcPr>
            <w:tcW w:w="7255" w:type="dxa"/>
            <w:vAlign w:val="center"/>
          </w:tcPr>
          <w:p w14:paraId="0F464CEA" w14:textId="1B7B1BCB" w:rsidR="00904CD6" w:rsidRPr="00AD7B00" w:rsidRDefault="00904CD6" w:rsidP="00904CD6">
            <w:pPr>
              <w:spacing w:after="0" w:line="360" w:lineRule="auto"/>
              <w:rPr>
                <w:rFonts w:cstheme="minorHAnsi"/>
                <w:lang w:val="pt-PT"/>
              </w:rPr>
            </w:pPr>
            <w:proofErr w:type="spellStart"/>
            <w:r w:rsidRPr="00AD7B00">
              <w:rPr>
                <w:rFonts w:cstheme="minorHAnsi"/>
                <w:lang w:val="pt-PT"/>
              </w:rPr>
              <w:t>Endothelial</w:t>
            </w:r>
            <w:proofErr w:type="spellEnd"/>
            <w:r w:rsidRPr="00AD7B00">
              <w:rPr>
                <w:rFonts w:cstheme="minorHAnsi"/>
                <w:lang w:val="pt-PT"/>
              </w:rPr>
              <w:t xml:space="preserve"> </w:t>
            </w:r>
            <w:proofErr w:type="spellStart"/>
            <w:r w:rsidRPr="00AD7B00">
              <w:rPr>
                <w:rFonts w:cstheme="minorHAnsi"/>
                <w:lang w:val="pt-PT"/>
              </w:rPr>
              <w:t>Nitric</w:t>
            </w:r>
            <w:proofErr w:type="spellEnd"/>
            <w:r w:rsidRPr="00AD7B00">
              <w:rPr>
                <w:rFonts w:cstheme="minorHAnsi"/>
                <w:lang w:val="pt-PT"/>
              </w:rPr>
              <w:t xml:space="preserve"> Oxide </w:t>
            </w:r>
            <w:proofErr w:type="spellStart"/>
            <w:r w:rsidRPr="00AD7B00">
              <w:rPr>
                <w:rFonts w:cstheme="minorHAnsi"/>
                <w:lang w:val="pt-PT"/>
              </w:rPr>
              <w:t>Synthase</w:t>
            </w:r>
            <w:proofErr w:type="spellEnd"/>
            <w:r w:rsidRPr="00AD7B00">
              <w:rPr>
                <w:rFonts w:cstheme="minorHAnsi"/>
                <w:lang w:val="pt-PT"/>
              </w:rPr>
              <w:t xml:space="preserve"> </w:t>
            </w:r>
          </w:p>
        </w:tc>
      </w:tr>
      <w:tr w:rsidR="00DC1E40" w:rsidRPr="00AD7B00" w14:paraId="133C39DC" w14:textId="253D1D85" w:rsidTr="002A2620">
        <w:tc>
          <w:tcPr>
            <w:tcW w:w="1529" w:type="dxa"/>
            <w:vAlign w:val="center"/>
          </w:tcPr>
          <w:p w14:paraId="1D45A0F3" w14:textId="0ED137A1" w:rsidR="001E5460" w:rsidRPr="00AD7B00" w:rsidRDefault="001E5460" w:rsidP="00C315D6">
            <w:pPr>
              <w:spacing w:after="0" w:line="360" w:lineRule="auto"/>
              <w:rPr>
                <w:rFonts w:cstheme="minorHAnsi"/>
                <w:b/>
                <w:bCs/>
                <w:lang w:val="pt-PT"/>
              </w:rPr>
            </w:pPr>
            <w:r w:rsidRPr="00AD7B00">
              <w:rPr>
                <w:rFonts w:cstheme="minorHAnsi"/>
                <w:b/>
                <w:bCs/>
                <w:lang w:val="pt-PT"/>
              </w:rPr>
              <w:t>ET1</w:t>
            </w:r>
          </w:p>
        </w:tc>
        <w:tc>
          <w:tcPr>
            <w:tcW w:w="7255" w:type="dxa"/>
            <w:vAlign w:val="center"/>
          </w:tcPr>
          <w:p w14:paraId="34A23296" w14:textId="613A2603" w:rsidR="001E5460" w:rsidRPr="00AD7B00" w:rsidRDefault="001E5460" w:rsidP="00C315D6">
            <w:pPr>
              <w:spacing w:after="0" w:line="360" w:lineRule="auto"/>
              <w:rPr>
                <w:rFonts w:cstheme="minorHAnsi"/>
                <w:lang w:val="pt-PT"/>
              </w:rPr>
            </w:pPr>
            <w:r w:rsidRPr="00AD7B00">
              <w:rPr>
                <w:rFonts w:cstheme="minorHAnsi"/>
                <w:lang w:val="pt-PT"/>
              </w:rPr>
              <w:t>Endothelin-1</w:t>
            </w:r>
          </w:p>
        </w:tc>
      </w:tr>
      <w:tr w:rsidR="00DC1E40" w:rsidRPr="00AD7B00" w14:paraId="5B6A0418" w14:textId="1B836FEA" w:rsidTr="002A2620">
        <w:tc>
          <w:tcPr>
            <w:tcW w:w="1529" w:type="dxa"/>
            <w:vAlign w:val="center"/>
          </w:tcPr>
          <w:p w14:paraId="08846D84" w14:textId="44F3D60F" w:rsidR="001E5460" w:rsidRPr="00AD7B00" w:rsidRDefault="001E5460" w:rsidP="00C315D6">
            <w:pPr>
              <w:spacing w:after="0" w:line="360" w:lineRule="auto"/>
              <w:rPr>
                <w:rFonts w:cstheme="minorHAnsi"/>
                <w:b/>
                <w:bCs/>
              </w:rPr>
            </w:pPr>
            <w:proofErr w:type="spellStart"/>
            <w:r w:rsidRPr="00AD7B00">
              <w:rPr>
                <w:rFonts w:cstheme="minorHAnsi"/>
                <w:b/>
                <w:bCs/>
              </w:rPr>
              <w:t>ERK</w:t>
            </w:r>
            <w:proofErr w:type="spellEnd"/>
          </w:p>
        </w:tc>
        <w:tc>
          <w:tcPr>
            <w:tcW w:w="7255" w:type="dxa"/>
            <w:vAlign w:val="center"/>
          </w:tcPr>
          <w:p w14:paraId="1C692041" w14:textId="7CE3A9BE" w:rsidR="001E5460" w:rsidRPr="00AD7B00" w:rsidRDefault="001E5460" w:rsidP="00C315D6">
            <w:pPr>
              <w:spacing w:after="0" w:line="360" w:lineRule="auto"/>
              <w:rPr>
                <w:rFonts w:cstheme="minorHAnsi"/>
              </w:rPr>
            </w:pPr>
            <w:r w:rsidRPr="00AD7B00">
              <w:rPr>
                <w:rFonts w:cstheme="minorHAnsi"/>
              </w:rPr>
              <w:t>Extracellular Signal Regulated Kinase</w:t>
            </w:r>
          </w:p>
        </w:tc>
      </w:tr>
      <w:tr w:rsidR="00CD21F9" w:rsidRPr="00AD7B00" w14:paraId="09969135" w14:textId="77777777" w:rsidTr="002A2620">
        <w:tc>
          <w:tcPr>
            <w:tcW w:w="1529" w:type="dxa"/>
            <w:vAlign w:val="center"/>
          </w:tcPr>
          <w:p w14:paraId="61F11175" w14:textId="0F8340CD" w:rsidR="00CD21F9" w:rsidRPr="00AD7B00" w:rsidRDefault="00CD21F9" w:rsidP="00C315D6">
            <w:pPr>
              <w:spacing w:after="0" w:line="360" w:lineRule="auto"/>
              <w:rPr>
                <w:rFonts w:cstheme="minorHAnsi"/>
                <w:b/>
                <w:bCs/>
                <w:lang w:val="pt-PT"/>
              </w:rPr>
            </w:pPr>
            <w:proofErr w:type="spellStart"/>
            <w:r w:rsidRPr="00AD7B00">
              <w:rPr>
                <w:rFonts w:cstheme="minorHAnsi"/>
                <w:b/>
                <w:bCs/>
                <w:lang w:val="pt-PT"/>
              </w:rPr>
              <w:t>ESC</w:t>
            </w:r>
            <w:proofErr w:type="spellEnd"/>
          </w:p>
        </w:tc>
        <w:tc>
          <w:tcPr>
            <w:tcW w:w="7255" w:type="dxa"/>
            <w:vAlign w:val="center"/>
          </w:tcPr>
          <w:p w14:paraId="7837A3DF" w14:textId="37009AE4" w:rsidR="00CD21F9" w:rsidRPr="00AD7B00" w:rsidRDefault="00CD21F9" w:rsidP="00C315D6">
            <w:pPr>
              <w:spacing w:after="0" w:line="360" w:lineRule="auto"/>
              <w:rPr>
                <w:rFonts w:cstheme="minorHAnsi"/>
                <w:lang w:val="pt-PT"/>
              </w:rPr>
            </w:pPr>
            <w:proofErr w:type="spellStart"/>
            <w:r w:rsidRPr="00AD7B00">
              <w:rPr>
                <w:rFonts w:cstheme="minorHAnsi"/>
                <w:lang w:val="pt-PT"/>
              </w:rPr>
              <w:t>Electrochemical</w:t>
            </w:r>
            <w:proofErr w:type="spellEnd"/>
            <w:r w:rsidRPr="00AD7B00">
              <w:rPr>
                <w:rFonts w:cstheme="minorHAnsi"/>
                <w:lang w:val="pt-PT"/>
              </w:rPr>
              <w:t xml:space="preserve"> Skin </w:t>
            </w:r>
            <w:proofErr w:type="spellStart"/>
            <w:r w:rsidRPr="00AD7B00">
              <w:rPr>
                <w:rFonts w:cstheme="minorHAnsi"/>
                <w:lang w:val="pt-PT"/>
              </w:rPr>
              <w:t>Conductance</w:t>
            </w:r>
            <w:proofErr w:type="spellEnd"/>
          </w:p>
        </w:tc>
      </w:tr>
      <w:tr w:rsidR="00DC1E40" w:rsidRPr="00AD7B00" w14:paraId="694FA113" w14:textId="0DD73393" w:rsidTr="002A2620">
        <w:tc>
          <w:tcPr>
            <w:tcW w:w="1529" w:type="dxa"/>
            <w:vAlign w:val="center"/>
          </w:tcPr>
          <w:p w14:paraId="0D2BEDD4" w14:textId="7D93C132" w:rsidR="001E5460" w:rsidRPr="00AD7B00" w:rsidRDefault="001E5460" w:rsidP="00C315D6">
            <w:pPr>
              <w:spacing w:after="0" w:line="360" w:lineRule="auto"/>
              <w:rPr>
                <w:rFonts w:cstheme="minorHAnsi"/>
                <w:b/>
                <w:bCs/>
                <w:lang w:val="pt-PT"/>
              </w:rPr>
            </w:pPr>
            <w:r w:rsidRPr="00AD7B00">
              <w:rPr>
                <w:rFonts w:cstheme="minorHAnsi"/>
                <w:b/>
                <w:bCs/>
                <w:lang w:val="pt-PT"/>
              </w:rPr>
              <w:t>GABA</w:t>
            </w:r>
          </w:p>
        </w:tc>
        <w:tc>
          <w:tcPr>
            <w:tcW w:w="7255" w:type="dxa"/>
            <w:vAlign w:val="center"/>
          </w:tcPr>
          <w:p w14:paraId="13E23A50" w14:textId="43372FC3" w:rsidR="001E5460" w:rsidRPr="00AD7B00" w:rsidRDefault="002017C7" w:rsidP="00C315D6">
            <w:pPr>
              <w:spacing w:after="0" w:line="360" w:lineRule="auto"/>
              <w:rPr>
                <w:rFonts w:cstheme="minorHAnsi"/>
                <w:lang w:val="pt-PT"/>
              </w:rPr>
            </w:pPr>
            <w:r w:rsidRPr="00AD7B00">
              <w:rPr>
                <w:rFonts w:eastAsiaTheme="minorHAnsi" w:cstheme="minorHAnsi"/>
                <w:lang w:eastAsia="en-US"/>
              </w:rPr>
              <w:t xml:space="preserve">Gamma Amino Butyric Acid </w:t>
            </w:r>
          </w:p>
        </w:tc>
      </w:tr>
      <w:tr w:rsidR="00DC1E40" w:rsidRPr="00AD7B00" w14:paraId="5FEFD80F" w14:textId="1EB3F277" w:rsidTr="002A2620">
        <w:tc>
          <w:tcPr>
            <w:tcW w:w="1529" w:type="dxa"/>
            <w:vAlign w:val="center"/>
          </w:tcPr>
          <w:p w14:paraId="2EE3458C" w14:textId="761C20EE" w:rsidR="001E5460" w:rsidRPr="00AD7B00" w:rsidRDefault="001E5460" w:rsidP="00C315D6">
            <w:pPr>
              <w:spacing w:after="0" w:line="360" w:lineRule="auto"/>
              <w:rPr>
                <w:rFonts w:cstheme="minorHAnsi"/>
                <w:b/>
                <w:bCs/>
                <w:lang w:val="pt-PT"/>
              </w:rPr>
            </w:pPr>
            <w:proofErr w:type="spellStart"/>
            <w:r w:rsidRPr="00AD7B00">
              <w:rPr>
                <w:rFonts w:cstheme="minorHAnsi"/>
                <w:b/>
                <w:bCs/>
                <w:lang w:val="pt-PT"/>
              </w:rPr>
              <w:t>GADPH</w:t>
            </w:r>
            <w:proofErr w:type="spellEnd"/>
          </w:p>
        </w:tc>
        <w:tc>
          <w:tcPr>
            <w:tcW w:w="7255" w:type="dxa"/>
            <w:vAlign w:val="center"/>
          </w:tcPr>
          <w:p w14:paraId="7869892E" w14:textId="3222A4E1" w:rsidR="001E5460" w:rsidRPr="00AD7B00" w:rsidRDefault="001E5460" w:rsidP="00C315D6">
            <w:pPr>
              <w:spacing w:after="0" w:line="360" w:lineRule="auto"/>
              <w:rPr>
                <w:rFonts w:cstheme="minorHAnsi"/>
                <w:lang w:val="pt-PT"/>
              </w:rPr>
            </w:pPr>
            <w:r w:rsidRPr="00AD7B00">
              <w:rPr>
                <w:rFonts w:cstheme="minorHAnsi"/>
                <w:lang w:val="pt-PT"/>
              </w:rPr>
              <w:t xml:space="preserve">Glyceraldehyde-3-Phosphate </w:t>
            </w:r>
            <w:proofErr w:type="spellStart"/>
            <w:r w:rsidRPr="00AD7B00">
              <w:rPr>
                <w:rFonts w:cstheme="minorHAnsi"/>
                <w:lang w:val="pt-PT"/>
              </w:rPr>
              <w:t>Dehydrogenase</w:t>
            </w:r>
            <w:proofErr w:type="spellEnd"/>
          </w:p>
        </w:tc>
      </w:tr>
      <w:tr w:rsidR="00DC1E40" w:rsidRPr="00AD7B00" w14:paraId="3F42C551" w14:textId="28610715" w:rsidTr="002A2620">
        <w:tc>
          <w:tcPr>
            <w:tcW w:w="1529" w:type="dxa"/>
            <w:vAlign w:val="center"/>
          </w:tcPr>
          <w:p w14:paraId="0F40AD3D" w14:textId="13226804" w:rsidR="001E5460" w:rsidRPr="00AD7B00" w:rsidRDefault="001E5460" w:rsidP="00C315D6">
            <w:pPr>
              <w:spacing w:after="0" w:line="360" w:lineRule="auto"/>
              <w:rPr>
                <w:rFonts w:cstheme="minorHAnsi"/>
                <w:b/>
                <w:bCs/>
                <w:lang w:val="pt-PT"/>
              </w:rPr>
            </w:pPr>
            <w:r w:rsidRPr="00AD7B00">
              <w:rPr>
                <w:rFonts w:cstheme="minorHAnsi"/>
                <w:b/>
                <w:bCs/>
                <w:lang w:val="pt-PT"/>
              </w:rPr>
              <w:t>GAP43</w:t>
            </w:r>
          </w:p>
        </w:tc>
        <w:tc>
          <w:tcPr>
            <w:tcW w:w="7255" w:type="dxa"/>
            <w:vAlign w:val="center"/>
          </w:tcPr>
          <w:p w14:paraId="2D5981C7" w14:textId="5716720E" w:rsidR="001E5460" w:rsidRPr="00AD7B00" w:rsidRDefault="001E5460" w:rsidP="00C315D6">
            <w:pPr>
              <w:spacing w:after="0" w:line="360" w:lineRule="auto"/>
              <w:rPr>
                <w:rFonts w:cstheme="minorHAnsi"/>
                <w:lang w:val="pt-PT"/>
              </w:rPr>
            </w:pPr>
            <w:proofErr w:type="spellStart"/>
            <w:r w:rsidRPr="00AD7B00">
              <w:rPr>
                <w:rFonts w:cstheme="minorHAnsi"/>
                <w:lang w:val="pt-PT"/>
              </w:rPr>
              <w:t>Growth-Associated</w:t>
            </w:r>
            <w:proofErr w:type="spellEnd"/>
            <w:r w:rsidRPr="00AD7B00">
              <w:rPr>
                <w:rFonts w:cstheme="minorHAnsi"/>
                <w:lang w:val="pt-PT"/>
              </w:rPr>
              <w:t xml:space="preserve"> </w:t>
            </w:r>
            <w:proofErr w:type="spellStart"/>
            <w:r w:rsidRPr="00AD7B00">
              <w:rPr>
                <w:rFonts w:cstheme="minorHAnsi"/>
                <w:lang w:val="pt-PT"/>
              </w:rPr>
              <w:t>Protein</w:t>
            </w:r>
            <w:proofErr w:type="spellEnd"/>
            <w:r w:rsidRPr="00AD7B00">
              <w:rPr>
                <w:rFonts w:cstheme="minorHAnsi"/>
                <w:lang w:val="pt-PT"/>
              </w:rPr>
              <w:t xml:space="preserve"> 43</w:t>
            </w:r>
          </w:p>
        </w:tc>
      </w:tr>
      <w:tr w:rsidR="00D368DF" w:rsidRPr="00AD7B00" w14:paraId="285630B2" w14:textId="77777777" w:rsidTr="002A2620">
        <w:tc>
          <w:tcPr>
            <w:tcW w:w="1529" w:type="dxa"/>
            <w:vAlign w:val="center"/>
          </w:tcPr>
          <w:p w14:paraId="3F1FFF6A" w14:textId="28F5AC45" w:rsidR="00D368DF" w:rsidRPr="00AD7B00" w:rsidRDefault="00D368DF" w:rsidP="00C315D6">
            <w:pPr>
              <w:spacing w:after="0" w:line="360" w:lineRule="auto"/>
              <w:rPr>
                <w:rFonts w:cstheme="minorHAnsi"/>
                <w:b/>
                <w:bCs/>
                <w:lang w:val="pt-PT"/>
              </w:rPr>
            </w:pPr>
            <w:proofErr w:type="spellStart"/>
            <w:r w:rsidRPr="00AD7B00">
              <w:rPr>
                <w:rFonts w:cstheme="minorHAnsi"/>
                <w:b/>
                <w:bCs/>
                <w:lang w:val="pt-PT"/>
              </w:rPr>
              <w:t>GFR</w:t>
            </w:r>
            <w:proofErr w:type="spellEnd"/>
          </w:p>
        </w:tc>
        <w:tc>
          <w:tcPr>
            <w:tcW w:w="7255" w:type="dxa"/>
            <w:vAlign w:val="center"/>
          </w:tcPr>
          <w:p w14:paraId="49965C0D" w14:textId="43126930" w:rsidR="00D368DF" w:rsidRPr="00AD7B00" w:rsidRDefault="00D368DF" w:rsidP="00C315D6">
            <w:pPr>
              <w:spacing w:after="0" w:line="360" w:lineRule="auto"/>
              <w:rPr>
                <w:rFonts w:cstheme="minorHAnsi"/>
                <w:lang w:val="pt-PT"/>
              </w:rPr>
            </w:pPr>
            <w:r w:rsidRPr="00AD7B00">
              <w:rPr>
                <w:rFonts w:cstheme="minorHAnsi"/>
                <w:lang w:val="pt-PT"/>
              </w:rPr>
              <w:t xml:space="preserve">Glomerular </w:t>
            </w:r>
            <w:proofErr w:type="spellStart"/>
            <w:r w:rsidRPr="00AD7B00">
              <w:rPr>
                <w:rFonts w:cstheme="minorHAnsi"/>
                <w:lang w:val="pt-PT"/>
              </w:rPr>
              <w:t>Filteration</w:t>
            </w:r>
            <w:proofErr w:type="spellEnd"/>
            <w:r w:rsidRPr="00AD7B00">
              <w:rPr>
                <w:rFonts w:cstheme="minorHAnsi"/>
                <w:lang w:val="pt-PT"/>
              </w:rPr>
              <w:t xml:space="preserve"> Rate</w:t>
            </w:r>
          </w:p>
        </w:tc>
      </w:tr>
      <w:tr w:rsidR="00DC1E40" w:rsidRPr="00AD7B00" w14:paraId="1A20BDAE" w14:textId="062CDAB2" w:rsidTr="002A2620">
        <w:tc>
          <w:tcPr>
            <w:tcW w:w="1529" w:type="dxa"/>
            <w:vAlign w:val="center"/>
          </w:tcPr>
          <w:p w14:paraId="7F988B30" w14:textId="4C1CACD7" w:rsidR="001E5460" w:rsidRPr="00AD7B00" w:rsidRDefault="001E5460" w:rsidP="00C315D6">
            <w:pPr>
              <w:spacing w:after="0" w:line="360" w:lineRule="auto"/>
              <w:rPr>
                <w:rFonts w:cstheme="minorHAnsi"/>
                <w:b/>
                <w:bCs/>
                <w:lang w:val="pt-PT"/>
              </w:rPr>
            </w:pPr>
            <w:proofErr w:type="spellStart"/>
            <w:r w:rsidRPr="00AD7B00">
              <w:rPr>
                <w:rFonts w:cstheme="minorHAnsi"/>
                <w:b/>
                <w:bCs/>
                <w:lang w:val="pt-PT"/>
              </w:rPr>
              <w:t>GLC-NAc</w:t>
            </w:r>
            <w:proofErr w:type="spellEnd"/>
          </w:p>
        </w:tc>
        <w:tc>
          <w:tcPr>
            <w:tcW w:w="7255" w:type="dxa"/>
            <w:vAlign w:val="center"/>
          </w:tcPr>
          <w:p w14:paraId="01CE8CC0" w14:textId="3079CF91" w:rsidR="001E5460" w:rsidRPr="00AD7B00" w:rsidRDefault="001E5460" w:rsidP="00C315D6">
            <w:pPr>
              <w:spacing w:after="0" w:line="360" w:lineRule="auto"/>
              <w:rPr>
                <w:rFonts w:cstheme="minorHAnsi"/>
                <w:lang w:val="pt-PT"/>
              </w:rPr>
            </w:pPr>
            <w:r w:rsidRPr="00AD7B00">
              <w:rPr>
                <w:rFonts w:cstheme="minorHAnsi"/>
                <w:lang w:val="pt-PT"/>
              </w:rPr>
              <w:t>N-</w:t>
            </w:r>
            <w:proofErr w:type="spellStart"/>
            <w:r w:rsidRPr="00AD7B00">
              <w:rPr>
                <w:rFonts w:cstheme="minorHAnsi"/>
                <w:lang w:val="pt-PT"/>
              </w:rPr>
              <w:t>acetylglucosamine</w:t>
            </w:r>
            <w:proofErr w:type="spellEnd"/>
          </w:p>
        </w:tc>
      </w:tr>
      <w:tr w:rsidR="00E738E0" w:rsidRPr="00AD7B00" w14:paraId="49FC3434" w14:textId="77777777" w:rsidTr="002A2620">
        <w:tc>
          <w:tcPr>
            <w:tcW w:w="1529" w:type="dxa"/>
            <w:vAlign w:val="center"/>
          </w:tcPr>
          <w:p w14:paraId="1A87AFC4" w14:textId="17F0066D" w:rsidR="00E738E0" w:rsidRPr="00AD7B00" w:rsidRDefault="00E738E0" w:rsidP="00C315D6">
            <w:pPr>
              <w:spacing w:after="0" w:line="360" w:lineRule="auto"/>
              <w:rPr>
                <w:rFonts w:cstheme="minorHAnsi"/>
                <w:b/>
                <w:bCs/>
                <w:lang w:val="pt-PT"/>
              </w:rPr>
            </w:pPr>
            <w:proofErr w:type="spellStart"/>
            <w:r>
              <w:rPr>
                <w:rFonts w:cstheme="minorHAnsi"/>
                <w:b/>
                <w:bCs/>
                <w:lang w:val="pt-PT"/>
              </w:rPr>
              <w:t>Glx</w:t>
            </w:r>
            <w:proofErr w:type="spellEnd"/>
          </w:p>
        </w:tc>
        <w:tc>
          <w:tcPr>
            <w:tcW w:w="7255" w:type="dxa"/>
            <w:vAlign w:val="center"/>
          </w:tcPr>
          <w:p w14:paraId="626EA6A7" w14:textId="0FBFCF19" w:rsidR="00E738E0" w:rsidRPr="00AD7B00" w:rsidRDefault="00E738E0" w:rsidP="00C315D6">
            <w:pPr>
              <w:spacing w:after="0" w:line="360" w:lineRule="auto"/>
              <w:rPr>
                <w:rFonts w:cstheme="minorHAnsi"/>
                <w:lang w:val="pt-PT"/>
              </w:rPr>
            </w:pPr>
            <w:proofErr w:type="spellStart"/>
            <w:r>
              <w:rPr>
                <w:rFonts w:cstheme="minorHAnsi"/>
                <w:lang w:val="pt-PT"/>
              </w:rPr>
              <w:t>Glutamate</w:t>
            </w:r>
            <w:proofErr w:type="spellEnd"/>
          </w:p>
        </w:tc>
      </w:tr>
      <w:tr w:rsidR="00B94ECF" w:rsidRPr="00AD7B00" w14:paraId="14C46BC3" w14:textId="77777777" w:rsidTr="002A2620">
        <w:tc>
          <w:tcPr>
            <w:tcW w:w="1529" w:type="dxa"/>
            <w:vAlign w:val="center"/>
          </w:tcPr>
          <w:p w14:paraId="08BDDD95" w14:textId="55591A62" w:rsidR="00B94ECF" w:rsidRPr="00AD7B00" w:rsidRDefault="00B94ECF" w:rsidP="00C315D6">
            <w:pPr>
              <w:spacing w:after="0" w:line="360" w:lineRule="auto"/>
              <w:rPr>
                <w:rFonts w:cstheme="minorHAnsi"/>
                <w:b/>
                <w:bCs/>
              </w:rPr>
            </w:pPr>
            <w:r w:rsidRPr="00AD7B00">
              <w:rPr>
                <w:rFonts w:cstheme="minorHAnsi"/>
                <w:b/>
              </w:rPr>
              <w:t>H-MRS</w:t>
            </w:r>
          </w:p>
        </w:tc>
        <w:tc>
          <w:tcPr>
            <w:tcW w:w="7255" w:type="dxa"/>
            <w:vAlign w:val="center"/>
          </w:tcPr>
          <w:p w14:paraId="76EA4776" w14:textId="5B29EC46" w:rsidR="00B94ECF" w:rsidRPr="00AD7B00" w:rsidRDefault="00B94ECF" w:rsidP="00C315D6">
            <w:pPr>
              <w:spacing w:after="0" w:line="360" w:lineRule="auto"/>
              <w:rPr>
                <w:rFonts w:cstheme="minorHAnsi"/>
              </w:rPr>
            </w:pPr>
            <w:r w:rsidRPr="00AD7B00">
              <w:rPr>
                <w:rFonts w:cstheme="minorHAnsi"/>
              </w:rPr>
              <w:t xml:space="preserve">Proton MR Spectroscopy </w:t>
            </w:r>
          </w:p>
        </w:tc>
      </w:tr>
      <w:tr w:rsidR="00DC1E40" w:rsidRPr="00AD7B00" w14:paraId="6E232A7C" w14:textId="7A19417D" w:rsidTr="002A2620">
        <w:tc>
          <w:tcPr>
            <w:tcW w:w="1529" w:type="dxa"/>
            <w:vAlign w:val="center"/>
          </w:tcPr>
          <w:p w14:paraId="75197ED2" w14:textId="484E5B53" w:rsidR="001E5460" w:rsidRPr="00AD7B00" w:rsidRDefault="001E5460" w:rsidP="00C315D6">
            <w:pPr>
              <w:spacing w:after="0" w:line="360" w:lineRule="auto"/>
              <w:rPr>
                <w:rFonts w:cstheme="minorHAnsi"/>
                <w:b/>
                <w:bCs/>
              </w:rPr>
            </w:pPr>
            <w:proofErr w:type="spellStart"/>
            <w:r w:rsidRPr="00AD7B00">
              <w:rPr>
                <w:rFonts w:cstheme="minorHAnsi"/>
                <w:b/>
                <w:bCs/>
              </w:rPr>
              <w:t>HADS</w:t>
            </w:r>
            <w:proofErr w:type="spellEnd"/>
          </w:p>
        </w:tc>
        <w:tc>
          <w:tcPr>
            <w:tcW w:w="7255" w:type="dxa"/>
            <w:vAlign w:val="center"/>
          </w:tcPr>
          <w:p w14:paraId="35F246DB" w14:textId="61139BD6" w:rsidR="001E5460" w:rsidRPr="00AD7B00" w:rsidRDefault="001E5460" w:rsidP="00C315D6">
            <w:pPr>
              <w:spacing w:after="0" w:line="360" w:lineRule="auto"/>
              <w:rPr>
                <w:rFonts w:cstheme="minorHAnsi"/>
              </w:rPr>
            </w:pPr>
            <w:r w:rsidRPr="00AD7B00">
              <w:rPr>
                <w:rFonts w:cstheme="minorHAnsi"/>
              </w:rPr>
              <w:t>Hospital Anxiety and Depression Scale</w:t>
            </w:r>
          </w:p>
        </w:tc>
      </w:tr>
      <w:tr w:rsidR="00E9033F" w:rsidRPr="00AD7B00" w14:paraId="1A1F1854" w14:textId="77777777" w:rsidTr="002A2620">
        <w:tc>
          <w:tcPr>
            <w:tcW w:w="1529" w:type="dxa"/>
            <w:vAlign w:val="center"/>
          </w:tcPr>
          <w:p w14:paraId="67BD8FE6" w14:textId="53C100F1" w:rsidR="00E9033F" w:rsidRPr="00AD7B00" w:rsidRDefault="00E9033F" w:rsidP="00C315D6">
            <w:pPr>
              <w:spacing w:after="0" w:line="360" w:lineRule="auto"/>
              <w:rPr>
                <w:rFonts w:cstheme="minorHAnsi"/>
                <w:b/>
                <w:color w:val="000000" w:themeColor="text1"/>
              </w:rPr>
            </w:pPr>
            <w:r w:rsidRPr="00AD7B00">
              <w:rPr>
                <w:rFonts w:cstheme="minorHAnsi"/>
                <w:b/>
                <w:color w:val="000000" w:themeColor="text1"/>
              </w:rPr>
              <w:t>HPT</w:t>
            </w:r>
          </w:p>
        </w:tc>
        <w:tc>
          <w:tcPr>
            <w:tcW w:w="7255" w:type="dxa"/>
            <w:vAlign w:val="center"/>
          </w:tcPr>
          <w:p w14:paraId="6E464DAF" w14:textId="69470407" w:rsidR="00E9033F" w:rsidRPr="00AD7B00" w:rsidRDefault="00E9033F" w:rsidP="00C315D6">
            <w:pPr>
              <w:spacing w:after="0" w:line="360" w:lineRule="auto"/>
              <w:rPr>
                <w:rFonts w:cstheme="minorHAnsi"/>
                <w:color w:val="000000" w:themeColor="text1"/>
              </w:rPr>
            </w:pPr>
            <w:r w:rsidRPr="00AD7B00">
              <w:rPr>
                <w:rFonts w:eastAsiaTheme="minorHAnsi" w:cstheme="minorHAnsi"/>
              </w:rPr>
              <w:t>Heat Pain Threshold</w:t>
            </w:r>
          </w:p>
        </w:tc>
      </w:tr>
      <w:tr w:rsidR="008E2BF6" w:rsidRPr="00AD7B00" w14:paraId="3EEAF636" w14:textId="77777777" w:rsidTr="002A2620">
        <w:tc>
          <w:tcPr>
            <w:tcW w:w="1529" w:type="dxa"/>
            <w:vAlign w:val="center"/>
          </w:tcPr>
          <w:p w14:paraId="73F03D6F" w14:textId="2B380882" w:rsidR="008E2BF6" w:rsidRPr="00AD7B00" w:rsidRDefault="008E2BF6" w:rsidP="00C315D6">
            <w:pPr>
              <w:spacing w:after="0" w:line="360" w:lineRule="auto"/>
              <w:rPr>
                <w:rFonts w:cstheme="minorHAnsi"/>
                <w:b/>
                <w:bCs/>
              </w:rPr>
            </w:pPr>
            <w:proofErr w:type="spellStart"/>
            <w:r w:rsidRPr="00AD7B00">
              <w:rPr>
                <w:rFonts w:cstheme="minorHAnsi"/>
                <w:b/>
                <w:color w:val="000000" w:themeColor="text1"/>
              </w:rPr>
              <w:t>HRV</w:t>
            </w:r>
            <w:proofErr w:type="spellEnd"/>
          </w:p>
        </w:tc>
        <w:tc>
          <w:tcPr>
            <w:tcW w:w="7255" w:type="dxa"/>
            <w:vAlign w:val="center"/>
          </w:tcPr>
          <w:p w14:paraId="6271B2F3" w14:textId="26DE5F23" w:rsidR="008E2BF6" w:rsidRPr="00AD7B00" w:rsidRDefault="008E2BF6" w:rsidP="00C315D6">
            <w:pPr>
              <w:spacing w:after="0" w:line="360" w:lineRule="auto"/>
              <w:rPr>
                <w:rFonts w:cstheme="minorHAnsi"/>
              </w:rPr>
            </w:pPr>
            <w:r w:rsidRPr="00AD7B00">
              <w:rPr>
                <w:rFonts w:cstheme="minorHAnsi"/>
                <w:color w:val="000000" w:themeColor="text1"/>
              </w:rPr>
              <w:t xml:space="preserve">Heart rate variability </w:t>
            </w:r>
          </w:p>
        </w:tc>
      </w:tr>
      <w:tr w:rsidR="00E015CA" w:rsidRPr="00AD7B00" w14:paraId="35487198" w14:textId="77777777" w:rsidTr="002A2620">
        <w:tc>
          <w:tcPr>
            <w:tcW w:w="1529" w:type="dxa"/>
            <w:vAlign w:val="center"/>
          </w:tcPr>
          <w:p w14:paraId="608A28E8" w14:textId="324BE85A" w:rsidR="00E015CA" w:rsidRPr="00AD7B00" w:rsidRDefault="00E015CA" w:rsidP="00C315D6">
            <w:pPr>
              <w:spacing w:after="0" w:line="360" w:lineRule="auto"/>
              <w:rPr>
                <w:rFonts w:cstheme="minorHAnsi"/>
                <w:b/>
                <w:bCs/>
              </w:rPr>
            </w:pPr>
            <w:proofErr w:type="spellStart"/>
            <w:r w:rsidRPr="00AD7B00">
              <w:rPr>
                <w:rFonts w:cstheme="minorHAnsi"/>
                <w:b/>
              </w:rPr>
              <w:t>HV</w:t>
            </w:r>
            <w:proofErr w:type="spellEnd"/>
          </w:p>
        </w:tc>
        <w:tc>
          <w:tcPr>
            <w:tcW w:w="7255" w:type="dxa"/>
            <w:vAlign w:val="center"/>
          </w:tcPr>
          <w:p w14:paraId="2F5043DE" w14:textId="0E8980B9" w:rsidR="00E015CA" w:rsidRPr="00AD7B00" w:rsidRDefault="00E015CA" w:rsidP="00C315D6">
            <w:pPr>
              <w:spacing w:after="0" w:line="360" w:lineRule="auto"/>
              <w:rPr>
                <w:rFonts w:cstheme="minorHAnsi"/>
              </w:rPr>
            </w:pPr>
            <w:r w:rsidRPr="00AD7B00">
              <w:rPr>
                <w:rFonts w:cstheme="minorHAnsi"/>
              </w:rPr>
              <w:t>Healthy Volunteer</w:t>
            </w:r>
          </w:p>
        </w:tc>
      </w:tr>
      <w:tr w:rsidR="00DC1E40" w:rsidRPr="00AD7B00" w14:paraId="67353312" w14:textId="60C7C294" w:rsidTr="002A2620">
        <w:tc>
          <w:tcPr>
            <w:tcW w:w="1529" w:type="dxa"/>
            <w:vAlign w:val="center"/>
          </w:tcPr>
          <w:p w14:paraId="5621BBF9" w14:textId="12A3726E" w:rsidR="001E5460" w:rsidRPr="00AD7B00" w:rsidRDefault="001E5460" w:rsidP="00C315D6">
            <w:pPr>
              <w:spacing w:after="0" w:line="360" w:lineRule="auto"/>
              <w:rPr>
                <w:rFonts w:cstheme="minorHAnsi"/>
                <w:b/>
                <w:bCs/>
              </w:rPr>
            </w:pPr>
            <w:proofErr w:type="spellStart"/>
            <w:r w:rsidRPr="00AD7B00">
              <w:rPr>
                <w:rFonts w:cstheme="minorHAnsi"/>
                <w:b/>
                <w:bCs/>
              </w:rPr>
              <w:t>IASP</w:t>
            </w:r>
            <w:proofErr w:type="spellEnd"/>
          </w:p>
        </w:tc>
        <w:tc>
          <w:tcPr>
            <w:tcW w:w="7255" w:type="dxa"/>
            <w:vAlign w:val="center"/>
          </w:tcPr>
          <w:p w14:paraId="6A8099BB" w14:textId="4FC9FAB3" w:rsidR="001E5460" w:rsidRPr="00AD7B00" w:rsidRDefault="001E5460" w:rsidP="00C315D6">
            <w:pPr>
              <w:spacing w:after="0" w:line="360" w:lineRule="auto"/>
              <w:rPr>
                <w:rFonts w:cstheme="minorHAnsi"/>
              </w:rPr>
            </w:pPr>
            <w:r w:rsidRPr="00AD7B00">
              <w:rPr>
                <w:rFonts w:cstheme="minorHAnsi"/>
              </w:rPr>
              <w:t>International Association for The Study of Pain</w:t>
            </w:r>
          </w:p>
        </w:tc>
      </w:tr>
      <w:tr w:rsidR="00DC1E40" w:rsidRPr="00AD7B00" w14:paraId="1C84CFF0" w14:textId="53ADE848" w:rsidTr="002A2620">
        <w:tc>
          <w:tcPr>
            <w:tcW w:w="1529" w:type="dxa"/>
            <w:vAlign w:val="center"/>
          </w:tcPr>
          <w:p w14:paraId="7EF51DCA" w14:textId="4431A0E4" w:rsidR="001E5460" w:rsidRPr="00AD7B00" w:rsidRDefault="001E5460" w:rsidP="00C315D6">
            <w:pPr>
              <w:spacing w:after="0" w:line="360" w:lineRule="auto"/>
              <w:rPr>
                <w:rFonts w:cstheme="minorHAnsi"/>
                <w:b/>
                <w:bCs/>
              </w:rPr>
            </w:pPr>
            <w:proofErr w:type="spellStart"/>
            <w:r w:rsidRPr="00AD7B00">
              <w:rPr>
                <w:rFonts w:cstheme="minorHAnsi"/>
                <w:b/>
                <w:bCs/>
              </w:rPr>
              <w:t>IMMPACT</w:t>
            </w:r>
            <w:proofErr w:type="spellEnd"/>
          </w:p>
        </w:tc>
        <w:tc>
          <w:tcPr>
            <w:tcW w:w="7255" w:type="dxa"/>
            <w:vAlign w:val="center"/>
          </w:tcPr>
          <w:p w14:paraId="51B4F68F" w14:textId="5E3F79D4" w:rsidR="001E5460" w:rsidRPr="00AD7B00" w:rsidRDefault="001E5460" w:rsidP="00C315D6">
            <w:pPr>
              <w:spacing w:after="0" w:line="360" w:lineRule="auto"/>
              <w:rPr>
                <w:rFonts w:cstheme="minorHAnsi"/>
              </w:rPr>
            </w:pPr>
            <w:r w:rsidRPr="00AD7B00">
              <w:rPr>
                <w:rFonts w:cstheme="minorHAnsi"/>
              </w:rPr>
              <w:t>Methods, Measurement, And Pain Assessment in Clinical Trials</w:t>
            </w:r>
          </w:p>
        </w:tc>
      </w:tr>
      <w:tr w:rsidR="00DC1E40" w:rsidRPr="00AD7B00" w14:paraId="177FD08D" w14:textId="7ACABA92" w:rsidTr="002A2620">
        <w:tc>
          <w:tcPr>
            <w:tcW w:w="1529" w:type="dxa"/>
            <w:vAlign w:val="center"/>
          </w:tcPr>
          <w:p w14:paraId="2E29DFEA" w14:textId="2929EDFC" w:rsidR="00E97EB8" w:rsidRPr="00AD7B00" w:rsidRDefault="00E97EB8" w:rsidP="00C315D6">
            <w:pPr>
              <w:spacing w:after="0" w:line="360" w:lineRule="auto"/>
              <w:rPr>
                <w:rFonts w:cstheme="minorHAnsi"/>
                <w:b/>
                <w:bCs/>
                <w:lang w:val="it-IT"/>
              </w:rPr>
            </w:pPr>
            <w:r w:rsidRPr="00AD7B00">
              <w:rPr>
                <w:rFonts w:cstheme="minorHAnsi"/>
                <w:b/>
                <w:bCs/>
                <w:lang w:val="it-IT"/>
              </w:rPr>
              <w:t>ISI</w:t>
            </w:r>
          </w:p>
        </w:tc>
        <w:tc>
          <w:tcPr>
            <w:tcW w:w="7255" w:type="dxa"/>
            <w:vAlign w:val="center"/>
          </w:tcPr>
          <w:p w14:paraId="4E647184" w14:textId="2EB3053E" w:rsidR="002A24E6" w:rsidRPr="00AD7B00" w:rsidRDefault="00E97EB8" w:rsidP="002A24E6">
            <w:pPr>
              <w:spacing w:after="0" w:line="360" w:lineRule="auto"/>
              <w:rPr>
                <w:rFonts w:cstheme="minorHAnsi"/>
                <w:lang w:val="it-IT"/>
              </w:rPr>
            </w:pPr>
            <w:proofErr w:type="spellStart"/>
            <w:r w:rsidRPr="00AD7B00">
              <w:rPr>
                <w:rFonts w:cstheme="minorHAnsi"/>
                <w:lang w:val="it-IT"/>
              </w:rPr>
              <w:t>Insomnia</w:t>
            </w:r>
            <w:proofErr w:type="spellEnd"/>
            <w:r w:rsidRPr="00AD7B00">
              <w:rPr>
                <w:rFonts w:cstheme="minorHAnsi"/>
                <w:lang w:val="it-IT"/>
              </w:rPr>
              <w:t xml:space="preserve"> </w:t>
            </w:r>
            <w:proofErr w:type="spellStart"/>
            <w:r w:rsidRPr="00AD7B00">
              <w:rPr>
                <w:rFonts w:cstheme="minorHAnsi"/>
                <w:lang w:val="it-IT"/>
              </w:rPr>
              <w:t>Severity</w:t>
            </w:r>
            <w:proofErr w:type="spellEnd"/>
            <w:r w:rsidRPr="00AD7B00">
              <w:rPr>
                <w:rFonts w:cstheme="minorHAnsi"/>
                <w:lang w:val="it-IT"/>
              </w:rPr>
              <w:t xml:space="preserve"> Index</w:t>
            </w:r>
          </w:p>
        </w:tc>
      </w:tr>
      <w:tr w:rsidR="00DC1E40" w:rsidRPr="00AD7B00" w14:paraId="003AC602" w14:textId="44A109EA" w:rsidTr="002A2620">
        <w:tc>
          <w:tcPr>
            <w:tcW w:w="1529" w:type="dxa"/>
            <w:vAlign w:val="center"/>
          </w:tcPr>
          <w:p w14:paraId="1D708213" w14:textId="18712995" w:rsidR="00E97EB8" w:rsidRPr="00AD7B00" w:rsidRDefault="009070C7" w:rsidP="00C315D6">
            <w:pPr>
              <w:spacing w:after="0" w:line="360" w:lineRule="auto"/>
              <w:rPr>
                <w:rFonts w:cstheme="minorHAnsi"/>
                <w:b/>
                <w:bCs/>
                <w:lang w:val="it-IT"/>
              </w:rPr>
            </w:pPr>
            <w:proofErr w:type="spellStart"/>
            <w:r>
              <w:rPr>
                <w:rFonts w:cstheme="minorHAnsi"/>
                <w:b/>
                <w:bCs/>
                <w:lang w:val="it-IT"/>
              </w:rPr>
              <w:t>IENF</w:t>
            </w:r>
            <w:proofErr w:type="spellEnd"/>
          </w:p>
        </w:tc>
        <w:tc>
          <w:tcPr>
            <w:tcW w:w="7255" w:type="dxa"/>
            <w:vAlign w:val="center"/>
          </w:tcPr>
          <w:p w14:paraId="71062042" w14:textId="1685FC9B" w:rsidR="00E97EB8" w:rsidRPr="00AD7B00" w:rsidRDefault="00E97EB8" w:rsidP="00C315D6">
            <w:pPr>
              <w:spacing w:after="0" w:line="360" w:lineRule="auto"/>
              <w:rPr>
                <w:rFonts w:cstheme="minorHAnsi"/>
                <w:lang w:val="it-IT"/>
              </w:rPr>
            </w:pPr>
            <w:r w:rsidRPr="00AD7B00">
              <w:rPr>
                <w:rFonts w:cstheme="minorHAnsi"/>
                <w:lang w:val="it-IT"/>
              </w:rPr>
              <w:t>Int</w:t>
            </w:r>
            <w:r w:rsidR="009070C7">
              <w:rPr>
                <w:rFonts w:cstheme="minorHAnsi"/>
                <w:lang w:val="it-IT"/>
              </w:rPr>
              <w:t xml:space="preserve">ra </w:t>
            </w:r>
            <w:proofErr w:type="spellStart"/>
            <w:r w:rsidR="009070C7">
              <w:rPr>
                <w:rFonts w:cstheme="minorHAnsi"/>
                <w:lang w:val="it-IT"/>
              </w:rPr>
              <w:t>Epidermal</w:t>
            </w:r>
            <w:proofErr w:type="spellEnd"/>
            <w:r w:rsidR="009070C7">
              <w:rPr>
                <w:rFonts w:cstheme="minorHAnsi"/>
                <w:lang w:val="it-IT"/>
              </w:rPr>
              <w:t xml:space="preserve"> </w:t>
            </w:r>
            <w:proofErr w:type="spellStart"/>
            <w:r w:rsidR="009070C7">
              <w:rPr>
                <w:rFonts w:cstheme="minorHAnsi"/>
                <w:lang w:val="it-IT"/>
              </w:rPr>
              <w:t>Nerve</w:t>
            </w:r>
            <w:proofErr w:type="spellEnd"/>
            <w:r w:rsidR="009070C7">
              <w:rPr>
                <w:rFonts w:cstheme="minorHAnsi"/>
                <w:lang w:val="it-IT"/>
              </w:rPr>
              <w:t xml:space="preserve"> Fibre </w:t>
            </w:r>
          </w:p>
        </w:tc>
      </w:tr>
      <w:tr w:rsidR="00094B45" w:rsidRPr="00AD7B00" w14:paraId="391426E3" w14:textId="77777777" w:rsidTr="002A2620">
        <w:tc>
          <w:tcPr>
            <w:tcW w:w="1529" w:type="dxa"/>
            <w:vAlign w:val="center"/>
          </w:tcPr>
          <w:p w14:paraId="2983010F" w14:textId="09769855" w:rsidR="00094B45" w:rsidRDefault="00094B45" w:rsidP="00C315D6">
            <w:pPr>
              <w:spacing w:after="0" w:line="360" w:lineRule="auto"/>
              <w:rPr>
                <w:rFonts w:cstheme="minorHAnsi"/>
                <w:b/>
                <w:bCs/>
                <w:lang w:val="it-IT"/>
              </w:rPr>
            </w:pPr>
            <w:proofErr w:type="spellStart"/>
            <w:r>
              <w:rPr>
                <w:rFonts w:cstheme="minorHAnsi"/>
                <w:b/>
                <w:bCs/>
                <w:lang w:val="it-IT"/>
              </w:rPr>
              <w:t>IENFD</w:t>
            </w:r>
            <w:proofErr w:type="spellEnd"/>
          </w:p>
        </w:tc>
        <w:tc>
          <w:tcPr>
            <w:tcW w:w="7255" w:type="dxa"/>
            <w:vAlign w:val="center"/>
          </w:tcPr>
          <w:p w14:paraId="21CC638F" w14:textId="5F7BABAC" w:rsidR="00094B45" w:rsidRPr="00AD7B00" w:rsidRDefault="00094B45" w:rsidP="00C315D6">
            <w:pPr>
              <w:spacing w:after="0" w:line="360" w:lineRule="auto"/>
              <w:rPr>
                <w:rFonts w:cstheme="minorHAnsi"/>
                <w:lang w:val="it-IT"/>
              </w:rPr>
            </w:pPr>
            <w:r w:rsidRPr="00094B45">
              <w:rPr>
                <w:rFonts w:cstheme="minorHAnsi"/>
                <w:lang w:val="it-IT"/>
              </w:rPr>
              <w:t xml:space="preserve">Intra </w:t>
            </w:r>
            <w:proofErr w:type="spellStart"/>
            <w:r w:rsidRPr="00094B45">
              <w:rPr>
                <w:rFonts w:cstheme="minorHAnsi"/>
                <w:lang w:val="it-IT"/>
              </w:rPr>
              <w:t>Epidermal</w:t>
            </w:r>
            <w:proofErr w:type="spellEnd"/>
            <w:r w:rsidRPr="00094B45">
              <w:rPr>
                <w:rFonts w:cstheme="minorHAnsi"/>
                <w:lang w:val="it-IT"/>
              </w:rPr>
              <w:t xml:space="preserve"> </w:t>
            </w:r>
            <w:proofErr w:type="spellStart"/>
            <w:r w:rsidRPr="00094B45">
              <w:rPr>
                <w:rFonts w:cstheme="minorHAnsi"/>
                <w:lang w:val="it-IT"/>
              </w:rPr>
              <w:t>Nerve</w:t>
            </w:r>
            <w:proofErr w:type="spellEnd"/>
            <w:r w:rsidRPr="00094B45">
              <w:rPr>
                <w:rFonts w:cstheme="minorHAnsi"/>
                <w:lang w:val="it-IT"/>
              </w:rPr>
              <w:t xml:space="preserve"> Fibre</w:t>
            </w:r>
            <w:r>
              <w:rPr>
                <w:rFonts w:cstheme="minorHAnsi"/>
                <w:lang w:val="it-IT"/>
              </w:rPr>
              <w:t xml:space="preserve"> </w:t>
            </w:r>
            <w:proofErr w:type="spellStart"/>
            <w:r>
              <w:rPr>
                <w:rFonts w:cstheme="minorHAnsi"/>
                <w:lang w:val="it-IT"/>
              </w:rPr>
              <w:t>Density</w:t>
            </w:r>
            <w:proofErr w:type="spellEnd"/>
          </w:p>
        </w:tc>
      </w:tr>
      <w:tr w:rsidR="00DC1E40" w:rsidRPr="00AD7B00" w14:paraId="2FD169CD" w14:textId="7B9343C1" w:rsidTr="002A2620">
        <w:tc>
          <w:tcPr>
            <w:tcW w:w="1529" w:type="dxa"/>
            <w:vAlign w:val="center"/>
          </w:tcPr>
          <w:p w14:paraId="3D7E42B2" w14:textId="53CD088F" w:rsidR="00E97EB8" w:rsidRPr="00AD7B00" w:rsidRDefault="00E97EB8" w:rsidP="00C315D6">
            <w:pPr>
              <w:spacing w:after="0" w:line="360" w:lineRule="auto"/>
              <w:rPr>
                <w:rFonts w:cstheme="minorHAnsi"/>
                <w:b/>
                <w:bCs/>
              </w:rPr>
            </w:pPr>
            <w:proofErr w:type="spellStart"/>
            <w:r w:rsidRPr="00AD7B00">
              <w:rPr>
                <w:rFonts w:cstheme="minorHAnsi"/>
                <w:b/>
                <w:bCs/>
              </w:rPr>
              <w:t>IGT</w:t>
            </w:r>
            <w:proofErr w:type="spellEnd"/>
          </w:p>
        </w:tc>
        <w:tc>
          <w:tcPr>
            <w:tcW w:w="7255" w:type="dxa"/>
            <w:vAlign w:val="center"/>
          </w:tcPr>
          <w:p w14:paraId="5B9B4F14" w14:textId="2AE950C9" w:rsidR="00E97EB8" w:rsidRPr="00AD7B00" w:rsidRDefault="00E97EB8" w:rsidP="00C315D6">
            <w:pPr>
              <w:spacing w:after="0" w:line="360" w:lineRule="auto"/>
              <w:rPr>
                <w:rFonts w:cstheme="minorHAnsi"/>
              </w:rPr>
            </w:pPr>
            <w:r w:rsidRPr="00AD7B00">
              <w:rPr>
                <w:rFonts w:cstheme="minorHAnsi"/>
              </w:rPr>
              <w:t>Impaired Glucose Tolerance</w:t>
            </w:r>
          </w:p>
        </w:tc>
      </w:tr>
      <w:tr w:rsidR="00DC1E40" w:rsidRPr="00AD7B00" w14:paraId="6D195A49" w14:textId="40CA14A2" w:rsidTr="002A2620">
        <w:tc>
          <w:tcPr>
            <w:tcW w:w="1529" w:type="dxa"/>
            <w:vAlign w:val="center"/>
          </w:tcPr>
          <w:p w14:paraId="0FD4ADB9" w14:textId="339DECD2" w:rsidR="00E97EB8" w:rsidRPr="00AD7B00" w:rsidRDefault="00E97EB8" w:rsidP="00C315D6">
            <w:pPr>
              <w:spacing w:after="0" w:line="360" w:lineRule="auto"/>
              <w:rPr>
                <w:rFonts w:cstheme="minorHAnsi"/>
                <w:b/>
                <w:bCs/>
              </w:rPr>
            </w:pPr>
            <w:r w:rsidRPr="00AD7B00">
              <w:rPr>
                <w:rFonts w:cstheme="minorHAnsi"/>
                <w:b/>
                <w:bCs/>
              </w:rPr>
              <w:t>LA</w:t>
            </w:r>
          </w:p>
        </w:tc>
        <w:tc>
          <w:tcPr>
            <w:tcW w:w="7255" w:type="dxa"/>
            <w:vAlign w:val="center"/>
          </w:tcPr>
          <w:p w14:paraId="23865FF9" w14:textId="2E1D42F1" w:rsidR="00E97EB8" w:rsidRPr="00AD7B00" w:rsidRDefault="00E97EB8" w:rsidP="00C315D6">
            <w:pPr>
              <w:spacing w:after="0" w:line="360" w:lineRule="auto"/>
              <w:rPr>
                <w:rFonts w:cstheme="minorHAnsi"/>
              </w:rPr>
            </w:pPr>
            <w:r w:rsidRPr="00AD7B00">
              <w:rPr>
                <w:rFonts w:cstheme="minorHAnsi"/>
              </w:rPr>
              <w:t>Lipoic Acid</w:t>
            </w:r>
          </w:p>
        </w:tc>
      </w:tr>
      <w:tr w:rsidR="00D368DF" w:rsidRPr="00AD7B00" w14:paraId="576914D4" w14:textId="77777777" w:rsidTr="002A2620">
        <w:tc>
          <w:tcPr>
            <w:tcW w:w="1529" w:type="dxa"/>
            <w:vAlign w:val="center"/>
          </w:tcPr>
          <w:p w14:paraId="1DEA115B" w14:textId="496761FC" w:rsidR="00D368DF" w:rsidRPr="00AD7B00" w:rsidRDefault="00D368DF" w:rsidP="00C315D6">
            <w:pPr>
              <w:spacing w:after="0" w:line="360" w:lineRule="auto"/>
              <w:rPr>
                <w:rFonts w:cstheme="minorHAnsi"/>
                <w:b/>
                <w:bCs/>
              </w:rPr>
            </w:pPr>
            <w:r w:rsidRPr="00AD7B00">
              <w:rPr>
                <w:rFonts w:cstheme="minorHAnsi"/>
                <w:b/>
                <w:bCs/>
              </w:rPr>
              <w:t>MAP</w:t>
            </w:r>
          </w:p>
        </w:tc>
        <w:tc>
          <w:tcPr>
            <w:tcW w:w="7255" w:type="dxa"/>
            <w:vAlign w:val="center"/>
          </w:tcPr>
          <w:p w14:paraId="37A887A8" w14:textId="3827B150" w:rsidR="00D368DF" w:rsidRPr="00AD7B00" w:rsidRDefault="00D368DF" w:rsidP="00C315D6">
            <w:pPr>
              <w:spacing w:after="0" w:line="360" w:lineRule="auto"/>
              <w:rPr>
                <w:rFonts w:cstheme="minorHAnsi"/>
              </w:rPr>
            </w:pPr>
            <w:r w:rsidRPr="00AD7B00">
              <w:rPr>
                <w:rFonts w:cstheme="minorHAnsi"/>
              </w:rPr>
              <w:t>Mean Arterial Pressure</w:t>
            </w:r>
          </w:p>
        </w:tc>
      </w:tr>
      <w:tr w:rsidR="00DB0B8C" w:rsidRPr="00AD7B00" w14:paraId="7D5F531B" w14:textId="77777777" w:rsidTr="002A2620">
        <w:tc>
          <w:tcPr>
            <w:tcW w:w="1529" w:type="dxa"/>
            <w:vAlign w:val="center"/>
          </w:tcPr>
          <w:p w14:paraId="7AEF0EBA" w14:textId="7AE2BFEB" w:rsidR="00DB0B8C" w:rsidRPr="00AD7B00" w:rsidRDefault="00DB0B8C" w:rsidP="00C315D6">
            <w:pPr>
              <w:spacing w:after="0" w:line="360" w:lineRule="auto"/>
              <w:rPr>
                <w:rFonts w:cstheme="minorHAnsi"/>
                <w:b/>
                <w:bCs/>
              </w:rPr>
            </w:pPr>
            <w:r w:rsidRPr="00AD7B00">
              <w:rPr>
                <w:rFonts w:eastAsiaTheme="minorHAnsi" w:cstheme="minorHAnsi"/>
                <w:b/>
                <w:lang w:val="en" w:eastAsia="en-US"/>
              </w:rPr>
              <w:t>MEGA-PRESS</w:t>
            </w:r>
          </w:p>
        </w:tc>
        <w:tc>
          <w:tcPr>
            <w:tcW w:w="7255" w:type="dxa"/>
            <w:vAlign w:val="center"/>
          </w:tcPr>
          <w:p w14:paraId="4014E9EF" w14:textId="53EB56D2" w:rsidR="00DB0B8C" w:rsidRPr="00AD7B00" w:rsidRDefault="00DB0B8C" w:rsidP="00C315D6">
            <w:pPr>
              <w:spacing w:after="0" w:line="360" w:lineRule="auto"/>
              <w:rPr>
                <w:rFonts w:cstheme="minorHAnsi"/>
              </w:rPr>
            </w:pPr>
            <w:proofErr w:type="spellStart"/>
            <w:r w:rsidRPr="00AD7B00">
              <w:rPr>
                <w:rFonts w:cstheme="minorHAnsi"/>
                <w:color w:val="000000"/>
                <w:shd w:val="clear" w:color="auto" w:fill="FFFFFF"/>
              </w:rPr>
              <w:t>MEscher</w:t>
            </w:r>
            <w:proofErr w:type="spellEnd"/>
            <w:r w:rsidRPr="00AD7B00">
              <w:rPr>
                <w:rFonts w:cstheme="minorHAnsi"/>
                <w:color w:val="000000"/>
                <w:shd w:val="clear" w:color="auto" w:fill="FFFFFF"/>
              </w:rPr>
              <w:t>–</w:t>
            </w:r>
            <w:proofErr w:type="spellStart"/>
            <w:r w:rsidRPr="00AD7B00">
              <w:rPr>
                <w:rFonts w:cstheme="minorHAnsi"/>
                <w:color w:val="000000"/>
                <w:shd w:val="clear" w:color="auto" w:fill="FFFFFF"/>
              </w:rPr>
              <w:t>GArwood</w:t>
            </w:r>
            <w:proofErr w:type="spellEnd"/>
            <w:r w:rsidRPr="00AD7B00">
              <w:rPr>
                <w:rFonts w:cstheme="minorHAnsi"/>
                <w:color w:val="000000"/>
                <w:shd w:val="clear" w:color="auto" w:fill="FFFFFF"/>
              </w:rPr>
              <w:t xml:space="preserve">‐Point </w:t>
            </w:r>
            <w:proofErr w:type="spellStart"/>
            <w:r w:rsidRPr="00AD7B00">
              <w:rPr>
                <w:rFonts w:cstheme="minorHAnsi"/>
                <w:color w:val="000000"/>
                <w:shd w:val="clear" w:color="auto" w:fill="FFFFFF"/>
              </w:rPr>
              <w:t>RESolved</w:t>
            </w:r>
            <w:proofErr w:type="spellEnd"/>
            <w:r w:rsidRPr="00AD7B00">
              <w:rPr>
                <w:rFonts w:cstheme="minorHAnsi"/>
                <w:color w:val="000000"/>
                <w:shd w:val="clear" w:color="auto" w:fill="FFFFFF"/>
              </w:rPr>
              <w:t xml:space="preserve"> Spectroscopy</w:t>
            </w:r>
            <w:r w:rsidRPr="00AD7B00">
              <w:rPr>
                <w:rFonts w:cstheme="minorHAnsi"/>
                <w:lang w:eastAsia="en-US"/>
              </w:rPr>
              <w:t xml:space="preserve"> </w:t>
            </w:r>
          </w:p>
        </w:tc>
      </w:tr>
      <w:tr w:rsidR="00DC1E40" w:rsidRPr="00AD7B00" w14:paraId="0553364A" w14:textId="58F9535B" w:rsidTr="002A2620">
        <w:tc>
          <w:tcPr>
            <w:tcW w:w="1529" w:type="dxa"/>
            <w:vAlign w:val="center"/>
          </w:tcPr>
          <w:p w14:paraId="00A998B0" w14:textId="311F7B7F" w:rsidR="00E97EB8" w:rsidRPr="00AD7B00" w:rsidRDefault="00E97EB8" w:rsidP="00C315D6">
            <w:pPr>
              <w:spacing w:after="0" w:line="360" w:lineRule="auto"/>
              <w:rPr>
                <w:rFonts w:cstheme="minorHAnsi"/>
                <w:b/>
                <w:bCs/>
              </w:rPr>
            </w:pPr>
            <w:r w:rsidRPr="00AD7B00">
              <w:rPr>
                <w:rFonts w:cstheme="minorHAnsi"/>
                <w:b/>
                <w:bCs/>
              </w:rPr>
              <w:t>MDL</w:t>
            </w:r>
          </w:p>
        </w:tc>
        <w:tc>
          <w:tcPr>
            <w:tcW w:w="7255" w:type="dxa"/>
            <w:vAlign w:val="center"/>
          </w:tcPr>
          <w:p w14:paraId="6FFFB820" w14:textId="7B8825CF" w:rsidR="00E97EB8" w:rsidRPr="00AD7B00" w:rsidRDefault="00E97EB8" w:rsidP="00C315D6">
            <w:pPr>
              <w:spacing w:after="0" w:line="360" w:lineRule="auto"/>
              <w:rPr>
                <w:rFonts w:cstheme="minorHAnsi"/>
              </w:rPr>
            </w:pPr>
            <w:r w:rsidRPr="00AD7B00">
              <w:rPr>
                <w:rFonts w:cstheme="minorHAnsi"/>
              </w:rPr>
              <w:t>Mean Dendritic Length</w:t>
            </w:r>
          </w:p>
        </w:tc>
      </w:tr>
      <w:tr w:rsidR="00DC1E40" w:rsidRPr="00AD7B00" w14:paraId="5F6D6B6E" w14:textId="5800FBEB" w:rsidTr="002A2620">
        <w:tc>
          <w:tcPr>
            <w:tcW w:w="1529" w:type="dxa"/>
            <w:vAlign w:val="center"/>
          </w:tcPr>
          <w:p w14:paraId="645657A6" w14:textId="15375A28" w:rsidR="00E97EB8" w:rsidRPr="00AD7B00" w:rsidRDefault="00E97EB8" w:rsidP="00C315D6">
            <w:pPr>
              <w:spacing w:after="0" w:line="360" w:lineRule="auto"/>
              <w:rPr>
                <w:rFonts w:cstheme="minorHAnsi"/>
                <w:b/>
                <w:bCs/>
              </w:rPr>
            </w:pPr>
            <w:proofErr w:type="spellStart"/>
            <w:r w:rsidRPr="00AD7B00">
              <w:rPr>
                <w:rFonts w:cstheme="minorHAnsi"/>
                <w:b/>
                <w:bCs/>
              </w:rPr>
              <w:t>MDNS</w:t>
            </w:r>
            <w:proofErr w:type="spellEnd"/>
          </w:p>
        </w:tc>
        <w:tc>
          <w:tcPr>
            <w:tcW w:w="7255" w:type="dxa"/>
            <w:vAlign w:val="center"/>
          </w:tcPr>
          <w:p w14:paraId="38CD52CB" w14:textId="731C06A2" w:rsidR="00E97EB8" w:rsidRPr="00AD7B00" w:rsidRDefault="00E97EB8" w:rsidP="00C315D6">
            <w:pPr>
              <w:spacing w:after="0" w:line="360" w:lineRule="auto"/>
              <w:rPr>
                <w:rFonts w:cstheme="minorHAnsi"/>
              </w:rPr>
            </w:pPr>
            <w:r w:rsidRPr="00AD7B00">
              <w:rPr>
                <w:rFonts w:cstheme="minorHAnsi"/>
              </w:rPr>
              <w:t>Michigan Diabetic Neuropathy Score</w:t>
            </w:r>
          </w:p>
        </w:tc>
      </w:tr>
      <w:tr w:rsidR="00DC1E40" w:rsidRPr="00AD7B00" w14:paraId="5A1445BD" w14:textId="1D72C31F" w:rsidTr="002A2620">
        <w:tc>
          <w:tcPr>
            <w:tcW w:w="1529" w:type="dxa"/>
            <w:vAlign w:val="center"/>
          </w:tcPr>
          <w:p w14:paraId="03BF39AD" w14:textId="54F6D7F0" w:rsidR="00E97EB8" w:rsidRPr="00AD7B00" w:rsidRDefault="00E97EB8" w:rsidP="00C315D6">
            <w:pPr>
              <w:spacing w:after="0" w:line="360" w:lineRule="auto"/>
              <w:rPr>
                <w:rFonts w:cstheme="minorHAnsi"/>
                <w:b/>
                <w:bCs/>
              </w:rPr>
            </w:pPr>
            <w:proofErr w:type="spellStart"/>
            <w:r w:rsidRPr="00AD7B00">
              <w:rPr>
                <w:rFonts w:cstheme="minorHAnsi"/>
                <w:b/>
                <w:bCs/>
              </w:rPr>
              <w:t>MMPs</w:t>
            </w:r>
            <w:proofErr w:type="spellEnd"/>
          </w:p>
        </w:tc>
        <w:tc>
          <w:tcPr>
            <w:tcW w:w="7255" w:type="dxa"/>
            <w:vAlign w:val="center"/>
          </w:tcPr>
          <w:p w14:paraId="56B44F6E" w14:textId="12DD75A4" w:rsidR="00E97EB8" w:rsidRPr="00AD7B00" w:rsidRDefault="00E97EB8" w:rsidP="00C315D6">
            <w:pPr>
              <w:spacing w:after="0" w:line="360" w:lineRule="auto"/>
              <w:rPr>
                <w:rFonts w:cstheme="minorHAnsi"/>
              </w:rPr>
            </w:pPr>
            <w:r w:rsidRPr="00AD7B00">
              <w:rPr>
                <w:rFonts w:cstheme="minorHAnsi"/>
              </w:rPr>
              <w:t>Matrix Metalloproteinases</w:t>
            </w:r>
          </w:p>
        </w:tc>
      </w:tr>
      <w:tr w:rsidR="00DC1E40" w:rsidRPr="00AD7B00" w14:paraId="4180C8C9" w14:textId="044D34C9" w:rsidTr="002A2620">
        <w:tc>
          <w:tcPr>
            <w:tcW w:w="1529" w:type="dxa"/>
            <w:vAlign w:val="center"/>
          </w:tcPr>
          <w:p w14:paraId="56C43DB9" w14:textId="43AB639D" w:rsidR="00E97EB8" w:rsidRPr="00AD7B00" w:rsidRDefault="00E97EB8" w:rsidP="00C315D6">
            <w:pPr>
              <w:spacing w:after="0" w:line="360" w:lineRule="auto"/>
              <w:rPr>
                <w:rFonts w:cstheme="minorHAnsi"/>
                <w:b/>
                <w:bCs/>
              </w:rPr>
            </w:pPr>
            <w:proofErr w:type="spellStart"/>
            <w:r w:rsidRPr="00AD7B00">
              <w:rPr>
                <w:rFonts w:cstheme="minorHAnsi"/>
                <w:b/>
                <w:bCs/>
              </w:rPr>
              <w:t>MNCV</w:t>
            </w:r>
            <w:proofErr w:type="spellEnd"/>
          </w:p>
        </w:tc>
        <w:tc>
          <w:tcPr>
            <w:tcW w:w="7255" w:type="dxa"/>
            <w:vAlign w:val="center"/>
          </w:tcPr>
          <w:p w14:paraId="20EEADA8" w14:textId="75F49956" w:rsidR="00E97EB8" w:rsidRPr="00AD7B00" w:rsidRDefault="00E97EB8" w:rsidP="00C315D6">
            <w:pPr>
              <w:spacing w:after="0" w:line="360" w:lineRule="auto"/>
              <w:rPr>
                <w:rFonts w:cstheme="minorHAnsi"/>
              </w:rPr>
            </w:pPr>
            <w:r w:rsidRPr="00AD7B00">
              <w:rPr>
                <w:rFonts w:cstheme="minorHAnsi"/>
              </w:rPr>
              <w:t>Motor Nerve Conduction Velocity</w:t>
            </w:r>
          </w:p>
        </w:tc>
      </w:tr>
      <w:tr w:rsidR="00DC1E40" w:rsidRPr="00AD7B00" w14:paraId="12735FB6" w14:textId="0B9D559B" w:rsidTr="002A2620">
        <w:tc>
          <w:tcPr>
            <w:tcW w:w="1529" w:type="dxa"/>
            <w:vAlign w:val="center"/>
          </w:tcPr>
          <w:p w14:paraId="04A3940D" w14:textId="77CF1FCC" w:rsidR="00E97EB8" w:rsidRPr="00AD7B00" w:rsidRDefault="00E97EB8" w:rsidP="00C315D6">
            <w:pPr>
              <w:spacing w:after="0" w:line="360" w:lineRule="auto"/>
              <w:rPr>
                <w:rFonts w:cstheme="minorHAnsi"/>
                <w:b/>
                <w:bCs/>
              </w:rPr>
            </w:pPr>
            <w:proofErr w:type="spellStart"/>
            <w:r w:rsidRPr="00AD7B00">
              <w:rPr>
                <w:rFonts w:cstheme="minorHAnsi"/>
                <w:b/>
                <w:bCs/>
              </w:rPr>
              <w:t>MNSI</w:t>
            </w:r>
            <w:proofErr w:type="spellEnd"/>
          </w:p>
        </w:tc>
        <w:tc>
          <w:tcPr>
            <w:tcW w:w="7255" w:type="dxa"/>
            <w:vAlign w:val="center"/>
          </w:tcPr>
          <w:p w14:paraId="2DE9C93E" w14:textId="003B238A" w:rsidR="00E97EB8" w:rsidRPr="00AD7B00" w:rsidRDefault="00E97EB8" w:rsidP="00C315D6">
            <w:pPr>
              <w:spacing w:after="0" w:line="360" w:lineRule="auto"/>
              <w:rPr>
                <w:rFonts w:cstheme="minorHAnsi"/>
              </w:rPr>
            </w:pPr>
            <w:r w:rsidRPr="00AD7B00">
              <w:rPr>
                <w:rFonts w:cstheme="minorHAnsi"/>
              </w:rPr>
              <w:t>Michigan Neuropathy Screening Instrument</w:t>
            </w:r>
          </w:p>
        </w:tc>
      </w:tr>
      <w:tr w:rsidR="00DC1E40" w:rsidRPr="00AD7B00" w14:paraId="7465AD39" w14:textId="07FC476E" w:rsidTr="002A2620">
        <w:tc>
          <w:tcPr>
            <w:tcW w:w="1529" w:type="dxa"/>
            <w:vAlign w:val="center"/>
          </w:tcPr>
          <w:p w14:paraId="6F2B8A4D" w14:textId="7F302572" w:rsidR="00E97EB8" w:rsidRPr="00AD7B00" w:rsidRDefault="00E97EB8" w:rsidP="00C315D6">
            <w:pPr>
              <w:spacing w:after="0" w:line="360" w:lineRule="auto"/>
              <w:rPr>
                <w:rFonts w:cstheme="minorHAnsi"/>
                <w:b/>
                <w:bCs/>
              </w:rPr>
            </w:pPr>
            <w:proofErr w:type="spellStart"/>
            <w:r w:rsidRPr="00AD7B00">
              <w:rPr>
                <w:rFonts w:cstheme="minorHAnsi"/>
                <w:b/>
                <w:bCs/>
              </w:rPr>
              <w:t>MOR</w:t>
            </w:r>
            <w:proofErr w:type="spellEnd"/>
          </w:p>
        </w:tc>
        <w:tc>
          <w:tcPr>
            <w:tcW w:w="7255" w:type="dxa"/>
            <w:vAlign w:val="center"/>
          </w:tcPr>
          <w:p w14:paraId="744D0393" w14:textId="5EA87227" w:rsidR="00E97EB8" w:rsidRPr="00AD7B00" w:rsidRDefault="00E97EB8" w:rsidP="00C315D6">
            <w:pPr>
              <w:spacing w:after="0" w:line="360" w:lineRule="auto"/>
              <w:rPr>
                <w:rFonts w:cstheme="minorHAnsi"/>
              </w:rPr>
            </w:pPr>
            <w:r w:rsidRPr="00AD7B00">
              <w:rPr>
                <w:rFonts w:cstheme="minorHAnsi"/>
              </w:rPr>
              <w:t xml:space="preserve">Mu </w:t>
            </w:r>
            <w:proofErr w:type="spellStart"/>
            <w:r w:rsidRPr="00AD7B00">
              <w:rPr>
                <w:rFonts w:cstheme="minorHAnsi"/>
              </w:rPr>
              <w:t>Opiod</w:t>
            </w:r>
            <w:proofErr w:type="spellEnd"/>
            <w:r w:rsidRPr="00AD7B00">
              <w:rPr>
                <w:rFonts w:cstheme="minorHAnsi"/>
              </w:rPr>
              <w:t xml:space="preserve"> Receptor</w:t>
            </w:r>
          </w:p>
        </w:tc>
      </w:tr>
      <w:tr w:rsidR="00DC1E40" w:rsidRPr="00AD7B00" w14:paraId="28359F9F" w14:textId="39A496DF" w:rsidTr="002A2620">
        <w:tc>
          <w:tcPr>
            <w:tcW w:w="1529" w:type="dxa"/>
            <w:vAlign w:val="center"/>
          </w:tcPr>
          <w:p w14:paraId="7BB34A48" w14:textId="5C6B3BFC" w:rsidR="00E97EB8" w:rsidRPr="00AD7B00" w:rsidRDefault="00E97EB8" w:rsidP="00C315D6">
            <w:pPr>
              <w:spacing w:after="0" w:line="360" w:lineRule="auto"/>
              <w:rPr>
                <w:rFonts w:cstheme="minorHAnsi"/>
                <w:b/>
                <w:bCs/>
              </w:rPr>
            </w:pPr>
            <w:r w:rsidRPr="00AD7B00">
              <w:rPr>
                <w:rFonts w:cstheme="minorHAnsi"/>
                <w:b/>
                <w:bCs/>
              </w:rPr>
              <w:t>MOS</w:t>
            </w:r>
          </w:p>
        </w:tc>
        <w:tc>
          <w:tcPr>
            <w:tcW w:w="7255" w:type="dxa"/>
            <w:vAlign w:val="center"/>
          </w:tcPr>
          <w:p w14:paraId="7A3CC52C" w14:textId="11B80A2E" w:rsidR="00E97EB8" w:rsidRPr="00AD7B00" w:rsidRDefault="00E97EB8" w:rsidP="00C315D6">
            <w:pPr>
              <w:spacing w:after="0" w:line="360" w:lineRule="auto"/>
              <w:rPr>
                <w:rFonts w:cstheme="minorHAnsi"/>
              </w:rPr>
            </w:pPr>
            <w:r w:rsidRPr="00AD7B00">
              <w:rPr>
                <w:rFonts w:cstheme="minorHAnsi"/>
              </w:rPr>
              <w:t>Medical Outcome Study</w:t>
            </w:r>
          </w:p>
        </w:tc>
      </w:tr>
      <w:tr w:rsidR="000D11F0" w:rsidRPr="00AD7B00" w14:paraId="5F1D4901" w14:textId="77777777" w:rsidTr="002A2620">
        <w:tc>
          <w:tcPr>
            <w:tcW w:w="1529" w:type="dxa"/>
            <w:vAlign w:val="center"/>
          </w:tcPr>
          <w:p w14:paraId="09EFE9A9" w14:textId="0186873B" w:rsidR="000D11F0" w:rsidRPr="00AD7B00" w:rsidRDefault="000D11F0" w:rsidP="00C315D6">
            <w:pPr>
              <w:spacing w:after="0" w:line="360" w:lineRule="auto"/>
              <w:rPr>
                <w:rFonts w:cstheme="minorHAnsi"/>
                <w:b/>
                <w:bCs/>
                <w:lang w:val="it-IT"/>
              </w:rPr>
            </w:pPr>
            <w:proofErr w:type="spellStart"/>
            <w:r w:rsidRPr="00AD7B00">
              <w:rPr>
                <w:rFonts w:cstheme="minorHAnsi"/>
                <w:b/>
                <w:bCs/>
                <w:lang w:val="it-IT"/>
              </w:rPr>
              <w:lastRenderedPageBreak/>
              <w:t>NAA</w:t>
            </w:r>
            <w:proofErr w:type="spellEnd"/>
          </w:p>
        </w:tc>
        <w:tc>
          <w:tcPr>
            <w:tcW w:w="7255" w:type="dxa"/>
            <w:vAlign w:val="center"/>
          </w:tcPr>
          <w:p w14:paraId="53E3A427" w14:textId="3C07D767" w:rsidR="000D11F0" w:rsidRPr="00AD7B00" w:rsidRDefault="000D11F0" w:rsidP="00C315D6">
            <w:pPr>
              <w:spacing w:after="0" w:line="360" w:lineRule="auto"/>
              <w:rPr>
                <w:rFonts w:cstheme="minorHAnsi"/>
                <w:lang w:val="it-IT"/>
              </w:rPr>
            </w:pPr>
            <w:r w:rsidRPr="00AD7B00">
              <w:rPr>
                <w:rFonts w:cstheme="minorHAnsi"/>
                <w:lang w:val="it-IT"/>
              </w:rPr>
              <w:t>N-</w:t>
            </w:r>
            <w:proofErr w:type="spellStart"/>
            <w:r w:rsidRPr="00AD7B00">
              <w:rPr>
                <w:rFonts w:cstheme="minorHAnsi"/>
                <w:lang w:val="it-IT"/>
              </w:rPr>
              <w:t>acetylaspartate</w:t>
            </w:r>
            <w:proofErr w:type="spellEnd"/>
          </w:p>
        </w:tc>
      </w:tr>
      <w:tr w:rsidR="00DC1E40" w:rsidRPr="00AD7B00" w14:paraId="321D5B91" w14:textId="7A52BA16" w:rsidTr="002A2620">
        <w:tc>
          <w:tcPr>
            <w:tcW w:w="1529" w:type="dxa"/>
            <w:vAlign w:val="center"/>
          </w:tcPr>
          <w:p w14:paraId="2C396D28" w14:textId="67D80FD0" w:rsidR="00E97EB8" w:rsidRPr="00AD7B00" w:rsidRDefault="00E97EB8" w:rsidP="00C315D6">
            <w:pPr>
              <w:spacing w:after="0" w:line="360" w:lineRule="auto"/>
              <w:rPr>
                <w:rFonts w:cstheme="minorHAnsi"/>
                <w:b/>
                <w:bCs/>
                <w:lang w:val="it-IT"/>
              </w:rPr>
            </w:pPr>
            <w:r w:rsidRPr="00AD7B00">
              <w:rPr>
                <w:rFonts w:cstheme="minorHAnsi"/>
                <w:b/>
                <w:bCs/>
                <w:lang w:val="it-IT"/>
              </w:rPr>
              <w:t>NA</w:t>
            </w:r>
          </w:p>
        </w:tc>
        <w:tc>
          <w:tcPr>
            <w:tcW w:w="7255" w:type="dxa"/>
            <w:vAlign w:val="center"/>
          </w:tcPr>
          <w:p w14:paraId="52B9D191" w14:textId="0163AC5D" w:rsidR="00E97EB8" w:rsidRPr="00AD7B00" w:rsidRDefault="00E97EB8" w:rsidP="00C315D6">
            <w:pPr>
              <w:spacing w:after="0" w:line="360" w:lineRule="auto"/>
              <w:rPr>
                <w:rFonts w:cstheme="minorHAnsi"/>
                <w:lang w:val="it-IT"/>
              </w:rPr>
            </w:pPr>
            <w:r w:rsidRPr="00AD7B00">
              <w:rPr>
                <w:rFonts w:cstheme="minorHAnsi"/>
                <w:lang w:val="it-IT"/>
              </w:rPr>
              <w:t>Noradrenaline</w:t>
            </w:r>
          </w:p>
        </w:tc>
      </w:tr>
      <w:tr w:rsidR="00DC1E40" w:rsidRPr="00AD7B00" w14:paraId="027C5549" w14:textId="1DF72126" w:rsidTr="002A2620">
        <w:tc>
          <w:tcPr>
            <w:tcW w:w="1529" w:type="dxa"/>
            <w:vAlign w:val="center"/>
          </w:tcPr>
          <w:p w14:paraId="2B4EA0D2" w14:textId="38CC5169" w:rsidR="00E97EB8" w:rsidRPr="00AD7B00" w:rsidRDefault="00E97EB8" w:rsidP="00C315D6">
            <w:pPr>
              <w:spacing w:after="0" w:line="360" w:lineRule="auto"/>
              <w:rPr>
                <w:rFonts w:cstheme="minorHAnsi"/>
                <w:b/>
                <w:bCs/>
                <w:lang w:val="it-IT"/>
              </w:rPr>
            </w:pPr>
            <w:r w:rsidRPr="00AD7B00">
              <w:rPr>
                <w:rFonts w:cstheme="minorHAnsi"/>
                <w:b/>
                <w:bCs/>
                <w:lang w:val="it-IT"/>
              </w:rPr>
              <w:t>NAD</w:t>
            </w:r>
          </w:p>
        </w:tc>
        <w:tc>
          <w:tcPr>
            <w:tcW w:w="7255" w:type="dxa"/>
            <w:vAlign w:val="center"/>
          </w:tcPr>
          <w:p w14:paraId="2CBF7098" w14:textId="7FF6C40E" w:rsidR="00E97EB8" w:rsidRPr="00AD7B00" w:rsidRDefault="00E97EB8" w:rsidP="00C315D6">
            <w:pPr>
              <w:spacing w:after="0" w:line="360" w:lineRule="auto"/>
              <w:rPr>
                <w:rFonts w:cstheme="minorHAnsi"/>
                <w:lang w:val="it-IT"/>
              </w:rPr>
            </w:pPr>
            <w:proofErr w:type="spellStart"/>
            <w:r w:rsidRPr="00AD7B00">
              <w:rPr>
                <w:rFonts w:cstheme="minorHAnsi"/>
                <w:lang w:val="it-IT"/>
              </w:rPr>
              <w:t>Nicotinamide</w:t>
            </w:r>
            <w:proofErr w:type="spellEnd"/>
            <w:r w:rsidRPr="00AD7B00">
              <w:rPr>
                <w:rFonts w:cstheme="minorHAnsi"/>
                <w:lang w:val="it-IT"/>
              </w:rPr>
              <w:t xml:space="preserve"> Adenine </w:t>
            </w:r>
            <w:proofErr w:type="spellStart"/>
            <w:r w:rsidRPr="00AD7B00">
              <w:rPr>
                <w:rFonts w:cstheme="minorHAnsi"/>
                <w:lang w:val="it-IT"/>
              </w:rPr>
              <w:t>Dinucleotide</w:t>
            </w:r>
            <w:proofErr w:type="spellEnd"/>
          </w:p>
        </w:tc>
      </w:tr>
      <w:tr w:rsidR="00DC1E40" w:rsidRPr="00AD7B00" w14:paraId="1D8645E2" w14:textId="123D0E93" w:rsidTr="002A2620">
        <w:tc>
          <w:tcPr>
            <w:tcW w:w="1529" w:type="dxa"/>
            <w:vAlign w:val="center"/>
          </w:tcPr>
          <w:p w14:paraId="76E07F73" w14:textId="3D8598F9" w:rsidR="00E97EB8" w:rsidRPr="00AD7B00" w:rsidRDefault="00E97EB8" w:rsidP="00C315D6">
            <w:pPr>
              <w:spacing w:after="0" w:line="360" w:lineRule="auto"/>
              <w:rPr>
                <w:rFonts w:cstheme="minorHAnsi"/>
                <w:b/>
                <w:bCs/>
              </w:rPr>
            </w:pPr>
            <w:proofErr w:type="spellStart"/>
            <w:r w:rsidRPr="00AD7B00">
              <w:rPr>
                <w:rFonts w:cstheme="minorHAnsi"/>
                <w:b/>
                <w:bCs/>
              </w:rPr>
              <w:t>NCD</w:t>
            </w:r>
            <w:proofErr w:type="spellEnd"/>
          </w:p>
        </w:tc>
        <w:tc>
          <w:tcPr>
            <w:tcW w:w="7255" w:type="dxa"/>
            <w:vAlign w:val="center"/>
          </w:tcPr>
          <w:p w14:paraId="4B64C843" w14:textId="2F6E8233" w:rsidR="00E97EB8" w:rsidRPr="00AD7B00" w:rsidRDefault="00E97EB8" w:rsidP="00C315D6">
            <w:pPr>
              <w:spacing w:after="0" w:line="360" w:lineRule="auto"/>
              <w:rPr>
                <w:rFonts w:cstheme="minorHAnsi"/>
              </w:rPr>
            </w:pPr>
            <w:proofErr w:type="gramStart"/>
            <w:r w:rsidRPr="00AD7B00">
              <w:rPr>
                <w:rFonts w:cstheme="minorHAnsi"/>
              </w:rPr>
              <w:t>Non Communicable</w:t>
            </w:r>
            <w:proofErr w:type="gramEnd"/>
            <w:r w:rsidRPr="00AD7B00">
              <w:rPr>
                <w:rFonts w:cstheme="minorHAnsi"/>
              </w:rPr>
              <w:t xml:space="preserve"> Disease</w:t>
            </w:r>
          </w:p>
        </w:tc>
      </w:tr>
      <w:tr w:rsidR="0018520A" w:rsidRPr="00AD7B00" w14:paraId="0324C4C3" w14:textId="77777777" w:rsidTr="002A2620">
        <w:tc>
          <w:tcPr>
            <w:tcW w:w="1529" w:type="dxa"/>
            <w:vAlign w:val="center"/>
          </w:tcPr>
          <w:p w14:paraId="17E19B90" w14:textId="6C896141" w:rsidR="0018520A" w:rsidRPr="00AD7B00" w:rsidRDefault="0018520A" w:rsidP="00C315D6">
            <w:pPr>
              <w:spacing w:after="0" w:line="360" w:lineRule="auto"/>
              <w:rPr>
                <w:rFonts w:cstheme="minorHAnsi"/>
                <w:b/>
                <w:bCs/>
              </w:rPr>
            </w:pPr>
            <w:proofErr w:type="spellStart"/>
            <w:r w:rsidRPr="00AD7B00">
              <w:rPr>
                <w:rFonts w:cstheme="minorHAnsi"/>
                <w:b/>
                <w:color w:val="000000" w:themeColor="text1"/>
              </w:rPr>
              <w:t>NCS</w:t>
            </w:r>
            <w:proofErr w:type="spellEnd"/>
          </w:p>
        </w:tc>
        <w:tc>
          <w:tcPr>
            <w:tcW w:w="7255" w:type="dxa"/>
            <w:vAlign w:val="center"/>
          </w:tcPr>
          <w:p w14:paraId="4519A03B" w14:textId="6BCAAC6A" w:rsidR="0018520A" w:rsidRPr="00AD7B00" w:rsidRDefault="0018520A" w:rsidP="00C315D6">
            <w:pPr>
              <w:spacing w:after="0" w:line="360" w:lineRule="auto"/>
              <w:rPr>
                <w:rFonts w:cstheme="minorHAnsi"/>
              </w:rPr>
            </w:pPr>
            <w:r w:rsidRPr="00AD7B00">
              <w:rPr>
                <w:rFonts w:cstheme="minorHAnsi"/>
                <w:color w:val="000000" w:themeColor="text1"/>
              </w:rPr>
              <w:t xml:space="preserve">Nerve Conduction Studies </w:t>
            </w:r>
          </w:p>
        </w:tc>
      </w:tr>
      <w:tr w:rsidR="00DC1E40" w:rsidRPr="00AD7B00" w14:paraId="320A35BF" w14:textId="5966367F" w:rsidTr="002A2620">
        <w:tc>
          <w:tcPr>
            <w:tcW w:w="1529" w:type="dxa"/>
            <w:vAlign w:val="center"/>
          </w:tcPr>
          <w:p w14:paraId="4333B742" w14:textId="4CD7A815" w:rsidR="00E97EB8" w:rsidRPr="00AD7B00" w:rsidRDefault="00E97EB8" w:rsidP="00C315D6">
            <w:pPr>
              <w:spacing w:after="0" w:line="360" w:lineRule="auto"/>
              <w:rPr>
                <w:rFonts w:cstheme="minorHAnsi"/>
                <w:b/>
                <w:bCs/>
              </w:rPr>
            </w:pPr>
            <w:proofErr w:type="spellStart"/>
            <w:r w:rsidRPr="00AD7B00">
              <w:rPr>
                <w:rFonts w:cstheme="minorHAnsi"/>
                <w:b/>
                <w:bCs/>
              </w:rPr>
              <w:t>NDS</w:t>
            </w:r>
            <w:proofErr w:type="spellEnd"/>
          </w:p>
        </w:tc>
        <w:tc>
          <w:tcPr>
            <w:tcW w:w="7255" w:type="dxa"/>
            <w:vAlign w:val="center"/>
          </w:tcPr>
          <w:p w14:paraId="41458F09" w14:textId="795BABB8" w:rsidR="00E97EB8" w:rsidRPr="00AD7B00" w:rsidRDefault="00E97EB8" w:rsidP="00C315D6">
            <w:pPr>
              <w:spacing w:after="0" w:line="360" w:lineRule="auto"/>
              <w:rPr>
                <w:rFonts w:cstheme="minorHAnsi"/>
              </w:rPr>
            </w:pPr>
            <w:r w:rsidRPr="00AD7B00">
              <w:rPr>
                <w:rFonts w:cstheme="minorHAnsi"/>
              </w:rPr>
              <w:t>Neuropathic Disability Score</w:t>
            </w:r>
          </w:p>
        </w:tc>
      </w:tr>
      <w:tr w:rsidR="00DC1E40" w:rsidRPr="00AD7B00" w14:paraId="7B758073" w14:textId="02FA3B6A" w:rsidTr="002A2620">
        <w:tc>
          <w:tcPr>
            <w:tcW w:w="1529" w:type="dxa"/>
            <w:vAlign w:val="center"/>
          </w:tcPr>
          <w:p w14:paraId="4CBCA0E6" w14:textId="53AAD877" w:rsidR="00E97EB8" w:rsidRPr="00AD7B00" w:rsidRDefault="00E97EB8" w:rsidP="00C315D6">
            <w:pPr>
              <w:spacing w:after="0" w:line="360" w:lineRule="auto"/>
              <w:rPr>
                <w:rFonts w:cstheme="minorHAnsi"/>
                <w:b/>
                <w:bCs/>
              </w:rPr>
            </w:pPr>
            <w:proofErr w:type="spellStart"/>
            <w:r w:rsidRPr="00AD7B00">
              <w:rPr>
                <w:rFonts w:cstheme="minorHAnsi"/>
                <w:b/>
                <w:bCs/>
              </w:rPr>
              <w:t>NeuPSIG</w:t>
            </w:r>
            <w:proofErr w:type="spellEnd"/>
          </w:p>
        </w:tc>
        <w:tc>
          <w:tcPr>
            <w:tcW w:w="7255" w:type="dxa"/>
            <w:vAlign w:val="center"/>
          </w:tcPr>
          <w:p w14:paraId="54C5FC4A" w14:textId="554D5D3A" w:rsidR="00E97EB8" w:rsidRPr="00AD7B00" w:rsidRDefault="00E97EB8" w:rsidP="00C315D6">
            <w:pPr>
              <w:spacing w:after="0" w:line="360" w:lineRule="auto"/>
              <w:rPr>
                <w:rFonts w:cstheme="minorHAnsi"/>
              </w:rPr>
            </w:pPr>
            <w:r w:rsidRPr="00AD7B00">
              <w:rPr>
                <w:rFonts w:cstheme="minorHAnsi"/>
              </w:rPr>
              <w:t xml:space="preserve">Special Interest Group </w:t>
            </w:r>
            <w:r w:rsidR="0018520A" w:rsidRPr="00AD7B00">
              <w:rPr>
                <w:rFonts w:cstheme="minorHAnsi"/>
              </w:rPr>
              <w:t>on</w:t>
            </w:r>
            <w:r w:rsidRPr="00AD7B00">
              <w:rPr>
                <w:rFonts w:cstheme="minorHAnsi"/>
              </w:rPr>
              <w:t xml:space="preserve"> Neuropathic Pain</w:t>
            </w:r>
          </w:p>
        </w:tc>
      </w:tr>
      <w:tr w:rsidR="00DC1E40" w:rsidRPr="00AD7B00" w14:paraId="22664A46" w14:textId="63411DBE" w:rsidTr="002A2620">
        <w:tc>
          <w:tcPr>
            <w:tcW w:w="1529" w:type="dxa"/>
            <w:vAlign w:val="center"/>
          </w:tcPr>
          <w:p w14:paraId="65CDC75E" w14:textId="17F3F30E" w:rsidR="00E97EB8" w:rsidRPr="00AD7B00" w:rsidRDefault="00E97EB8" w:rsidP="00C315D6">
            <w:pPr>
              <w:spacing w:after="0" w:line="360" w:lineRule="auto"/>
              <w:rPr>
                <w:rFonts w:cstheme="minorHAnsi"/>
                <w:b/>
                <w:bCs/>
              </w:rPr>
            </w:pPr>
            <w:proofErr w:type="spellStart"/>
            <w:r w:rsidRPr="00AD7B00">
              <w:rPr>
                <w:rFonts w:cstheme="minorHAnsi"/>
                <w:b/>
                <w:bCs/>
              </w:rPr>
              <w:t>NISLL</w:t>
            </w:r>
            <w:proofErr w:type="spellEnd"/>
          </w:p>
        </w:tc>
        <w:tc>
          <w:tcPr>
            <w:tcW w:w="7255" w:type="dxa"/>
            <w:vAlign w:val="center"/>
          </w:tcPr>
          <w:p w14:paraId="541EEA19" w14:textId="4B0268C3" w:rsidR="00E97EB8" w:rsidRPr="00AD7B00" w:rsidRDefault="00E97EB8" w:rsidP="00C315D6">
            <w:pPr>
              <w:spacing w:after="0" w:line="360" w:lineRule="auto"/>
              <w:rPr>
                <w:rFonts w:cstheme="minorHAnsi"/>
              </w:rPr>
            </w:pPr>
            <w:r w:rsidRPr="00AD7B00">
              <w:rPr>
                <w:rFonts w:cstheme="minorHAnsi"/>
              </w:rPr>
              <w:t>Neuropathy Impairment Score of Lower Limb</w:t>
            </w:r>
          </w:p>
        </w:tc>
      </w:tr>
      <w:tr w:rsidR="00DC1E40" w:rsidRPr="00AD7B00" w14:paraId="25850837" w14:textId="1BFC5B46" w:rsidTr="002A2620">
        <w:tc>
          <w:tcPr>
            <w:tcW w:w="1529" w:type="dxa"/>
            <w:vAlign w:val="center"/>
          </w:tcPr>
          <w:p w14:paraId="493C3333" w14:textId="601975AA" w:rsidR="00E97EB8" w:rsidRPr="00AD7B00" w:rsidRDefault="00E97EB8" w:rsidP="00C315D6">
            <w:pPr>
              <w:spacing w:after="0" w:line="360" w:lineRule="auto"/>
              <w:rPr>
                <w:rFonts w:cstheme="minorHAnsi"/>
                <w:b/>
                <w:bCs/>
              </w:rPr>
            </w:pPr>
            <w:r w:rsidRPr="00AD7B00">
              <w:rPr>
                <w:rFonts w:cstheme="minorHAnsi"/>
                <w:b/>
                <w:bCs/>
              </w:rPr>
              <w:t>NK</w:t>
            </w:r>
          </w:p>
        </w:tc>
        <w:tc>
          <w:tcPr>
            <w:tcW w:w="7255" w:type="dxa"/>
            <w:vAlign w:val="center"/>
          </w:tcPr>
          <w:p w14:paraId="3B465F00" w14:textId="74F11758" w:rsidR="00E97EB8" w:rsidRPr="00AD7B00" w:rsidRDefault="00E97EB8" w:rsidP="00C315D6">
            <w:pPr>
              <w:spacing w:after="0" w:line="360" w:lineRule="auto"/>
              <w:rPr>
                <w:rFonts w:cstheme="minorHAnsi"/>
              </w:rPr>
            </w:pPr>
            <w:r w:rsidRPr="00AD7B00">
              <w:rPr>
                <w:rFonts w:cstheme="minorHAnsi"/>
              </w:rPr>
              <w:t>Neurokinin</w:t>
            </w:r>
          </w:p>
        </w:tc>
      </w:tr>
      <w:tr w:rsidR="00DC1E40" w:rsidRPr="00AD7B00" w14:paraId="35D1E186" w14:textId="3C21234E" w:rsidTr="002A2620">
        <w:tc>
          <w:tcPr>
            <w:tcW w:w="1529" w:type="dxa"/>
            <w:vAlign w:val="center"/>
          </w:tcPr>
          <w:p w14:paraId="7B98F3E7" w14:textId="5A5B3A07" w:rsidR="00E97EB8" w:rsidRPr="00AD7B00" w:rsidRDefault="00E97EB8" w:rsidP="00C315D6">
            <w:pPr>
              <w:spacing w:after="0" w:line="360" w:lineRule="auto"/>
              <w:rPr>
                <w:rFonts w:cstheme="minorHAnsi"/>
                <w:b/>
                <w:bCs/>
              </w:rPr>
            </w:pPr>
            <w:r w:rsidRPr="00AD7B00">
              <w:rPr>
                <w:rFonts w:cstheme="minorHAnsi"/>
                <w:b/>
                <w:bCs/>
              </w:rPr>
              <w:t>NMDA</w:t>
            </w:r>
          </w:p>
        </w:tc>
        <w:tc>
          <w:tcPr>
            <w:tcW w:w="7255" w:type="dxa"/>
            <w:vAlign w:val="center"/>
          </w:tcPr>
          <w:p w14:paraId="5E5432B6" w14:textId="18539A82" w:rsidR="00E97EB8" w:rsidRPr="00AD7B00" w:rsidRDefault="00E97EB8" w:rsidP="00C315D6">
            <w:pPr>
              <w:spacing w:after="0" w:line="360" w:lineRule="auto"/>
              <w:rPr>
                <w:rFonts w:cstheme="minorHAnsi"/>
              </w:rPr>
            </w:pPr>
            <w:r w:rsidRPr="00AD7B00">
              <w:rPr>
                <w:rFonts w:cstheme="minorHAnsi"/>
              </w:rPr>
              <w:t>N-Methyl-D-Aspartate</w:t>
            </w:r>
          </w:p>
        </w:tc>
      </w:tr>
      <w:tr w:rsidR="00DC1E40" w:rsidRPr="00AD7B00" w14:paraId="6DB95A54" w14:textId="63DD9685" w:rsidTr="002A2620">
        <w:tc>
          <w:tcPr>
            <w:tcW w:w="1529" w:type="dxa"/>
            <w:vAlign w:val="center"/>
          </w:tcPr>
          <w:p w14:paraId="4FC5AE37" w14:textId="180161CC" w:rsidR="00E97EB8" w:rsidRPr="00AD7B00" w:rsidRDefault="00E97EB8" w:rsidP="00C315D6">
            <w:pPr>
              <w:spacing w:after="0" w:line="360" w:lineRule="auto"/>
              <w:rPr>
                <w:rFonts w:cstheme="minorHAnsi"/>
                <w:b/>
                <w:bCs/>
              </w:rPr>
            </w:pPr>
            <w:r w:rsidRPr="00AD7B00">
              <w:rPr>
                <w:rFonts w:cstheme="minorHAnsi"/>
                <w:b/>
                <w:bCs/>
              </w:rPr>
              <w:t>NPS</w:t>
            </w:r>
          </w:p>
        </w:tc>
        <w:tc>
          <w:tcPr>
            <w:tcW w:w="7255" w:type="dxa"/>
            <w:vAlign w:val="center"/>
          </w:tcPr>
          <w:p w14:paraId="46E45A63" w14:textId="622747FB" w:rsidR="00E97EB8" w:rsidRPr="00AD7B00" w:rsidRDefault="00E97EB8" w:rsidP="00C315D6">
            <w:pPr>
              <w:spacing w:after="0" w:line="360" w:lineRule="auto"/>
              <w:rPr>
                <w:rFonts w:cstheme="minorHAnsi"/>
              </w:rPr>
            </w:pPr>
            <w:r w:rsidRPr="00AD7B00">
              <w:rPr>
                <w:rFonts w:cstheme="minorHAnsi"/>
              </w:rPr>
              <w:t>Neuropathic Pain Score</w:t>
            </w:r>
          </w:p>
        </w:tc>
      </w:tr>
      <w:tr w:rsidR="00DC1E40" w:rsidRPr="00AD7B00" w14:paraId="6463C492" w14:textId="4C5CB40A" w:rsidTr="002A2620">
        <w:tc>
          <w:tcPr>
            <w:tcW w:w="1529" w:type="dxa"/>
            <w:vAlign w:val="center"/>
          </w:tcPr>
          <w:p w14:paraId="7ACB4D5C" w14:textId="2B0B06ED" w:rsidR="00E97EB8" w:rsidRPr="00AD7B00" w:rsidRDefault="00E97EB8" w:rsidP="00C315D6">
            <w:pPr>
              <w:spacing w:after="0" w:line="360" w:lineRule="auto"/>
              <w:rPr>
                <w:rFonts w:cstheme="minorHAnsi"/>
                <w:b/>
                <w:bCs/>
              </w:rPr>
            </w:pPr>
            <w:proofErr w:type="spellStart"/>
            <w:r w:rsidRPr="00AD7B00">
              <w:rPr>
                <w:rFonts w:cstheme="minorHAnsi"/>
                <w:b/>
                <w:bCs/>
              </w:rPr>
              <w:t>NPSI</w:t>
            </w:r>
            <w:proofErr w:type="spellEnd"/>
          </w:p>
        </w:tc>
        <w:tc>
          <w:tcPr>
            <w:tcW w:w="7255" w:type="dxa"/>
            <w:vAlign w:val="center"/>
          </w:tcPr>
          <w:p w14:paraId="1B73C2B8" w14:textId="3D1007E1" w:rsidR="00E97EB8" w:rsidRPr="00AD7B00" w:rsidRDefault="00E97EB8" w:rsidP="00C315D6">
            <w:pPr>
              <w:spacing w:after="0" w:line="360" w:lineRule="auto"/>
              <w:rPr>
                <w:rFonts w:cstheme="minorHAnsi"/>
              </w:rPr>
            </w:pPr>
            <w:r w:rsidRPr="00AD7B00">
              <w:rPr>
                <w:rFonts w:cstheme="minorHAnsi"/>
              </w:rPr>
              <w:t>Neuropathic Pain Symptom Inventory</w:t>
            </w:r>
          </w:p>
        </w:tc>
      </w:tr>
      <w:tr w:rsidR="00DC1E40" w:rsidRPr="00AD7B00" w14:paraId="57621D87" w14:textId="625A05F7" w:rsidTr="002A2620">
        <w:tc>
          <w:tcPr>
            <w:tcW w:w="1529" w:type="dxa"/>
            <w:vAlign w:val="center"/>
          </w:tcPr>
          <w:p w14:paraId="62790282" w14:textId="309D1763" w:rsidR="00E97EB8" w:rsidRPr="00AD7B00" w:rsidRDefault="00E97EB8" w:rsidP="00C315D6">
            <w:pPr>
              <w:spacing w:after="0" w:line="360" w:lineRule="auto"/>
              <w:rPr>
                <w:rFonts w:cstheme="minorHAnsi"/>
                <w:b/>
                <w:bCs/>
              </w:rPr>
            </w:pPr>
            <w:proofErr w:type="spellStart"/>
            <w:r w:rsidRPr="00AD7B00">
              <w:rPr>
                <w:rFonts w:cstheme="minorHAnsi"/>
                <w:b/>
                <w:bCs/>
              </w:rPr>
              <w:t>NRI</w:t>
            </w:r>
            <w:proofErr w:type="spellEnd"/>
          </w:p>
        </w:tc>
        <w:tc>
          <w:tcPr>
            <w:tcW w:w="7255" w:type="dxa"/>
            <w:vAlign w:val="center"/>
          </w:tcPr>
          <w:p w14:paraId="32A3D010" w14:textId="4E586810" w:rsidR="00E97EB8" w:rsidRPr="00AD7B00" w:rsidRDefault="00E97EB8" w:rsidP="00C315D6">
            <w:pPr>
              <w:spacing w:after="0" w:line="360" w:lineRule="auto"/>
              <w:rPr>
                <w:rFonts w:cstheme="minorHAnsi"/>
              </w:rPr>
            </w:pPr>
            <w:r w:rsidRPr="00AD7B00">
              <w:rPr>
                <w:rFonts w:cstheme="minorHAnsi"/>
              </w:rPr>
              <w:t>Noradrenaline Reuptake Inhibitor</w:t>
            </w:r>
          </w:p>
        </w:tc>
      </w:tr>
      <w:tr w:rsidR="00EA0DCE" w:rsidRPr="00AD7B00" w14:paraId="23503BDE" w14:textId="77777777" w:rsidTr="002A2620">
        <w:tc>
          <w:tcPr>
            <w:tcW w:w="1529" w:type="dxa"/>
            <w:vAlign w:val="center"/>
          </w:tcPr>
          <w:p w14:paraId="236A10A8" w14:textId="599102D0" w:rsidR="00EA0DCE" w:rsidRPr="00AD7B00" w:rsidRDefault="00EA0DCE" w:rsidP="00C315D6">
            <w:pPr>
              <w:spacing w:after="0" w:line="360" w:lineRule="auto"/>
              <w:rPr>
                <w:rFonts w:cstheme="minorHAnsi"/>
                <w:b/>
                <w:bCs/>
              </w:rPr>
            </w:pPr>
            <w:r w:rsidRPr="00AD7B00">
              <w:rPr>
                <w:rFonts w:cstheme="minorHAnsi"/>
                <w:b/>
                <w:color w:val="000000"/>
              </w:rPr>
              <w:t>NRS</w:t>
            </w:r>
          </w:p>
        </w:tc>
        <w:tc>
          <w:tcPr>
            <w:tcW w:w="7255" w:type="dxa"/>
            <w:vAlign w:val="center"/>
          </w:tcPr>
          <w:p w14:paraId="370DB11B" w14:textId="495C71BC" w:rsidR="00EA0DCE" w:rsidRPr="00AD7B00" w:rsidRDefault="00EA0DCE" w:rsidP="00C315D6">
            <w:pPr>
              <w:spacing w:after="0" w:line="360" w:lineRule="auto"/>
              <w:rPr>
                <w:rFonts w:cstheme="minorHAnsi"/>
              </w:rPr>
            </w:pPr>
            <w:r w:rsidRPr="00AD7B00">
              <w:rPr>
                <w:rFonts w:cstheme="minorHAnsi"/>
                <w:color w:val="000000"/>
              </w:rPr>
              <w:t xml:space="preserve">Numeric Rating Scale </w:t>
            </w:r>
          </w:p>
        </w:tc>
      </w:tr>
      <w:tr w:rsidR="00DC1E40" w:rsidRPr="00AD7B00" w14:paraId="0CB6C31F" w14:textId="2ACC4E9D" w:rsidTr="002A2620">
        <w:tc>
          <w:tcPr>
            <w:tcW w:w="1529" w:type="dxa"/>
            <w:vAlign w:val="center"/>
          </w:tcPr>
          <w:p w14:paraId="6A1397E3" w14:textId="49A291E2" w:rsidR="00E97EB8" w:rsidRPr="00AD7B00" w:rsidRDefault="00E97EB8" w:rsidP="00C315D6">
            <w:pPr>
              <w:spacing w:after="0" w:line="360" w:lineRule="auto"/>
              <w:rPr>
                <w:rFonts w:cstheme="minorHAnsi"/>
                <w:b/>
                <w:bCs/>
              </w:rPr>
            </w:pPr>
            <w:r w:rsidRPr="00AD7B00">
              <w:rPr>
                <w:rFonts w:cstheme="minorHAnsi"/>
                <w:b/>
                <w:bCs/>
              </w:rPr>
              <w:t>NS</w:t>
            </w:r>
          </w:p>
        </w:tc>
        <w:tc>
          <w:tcPr>
            <w:tcW w:w="7255" w:type="dxa"/>
            <w:vAlign w:val="center"/>
          </w:tcPr>
          <w:p w14:paraId="7AF09C59" w14:textId="3CCE1904" w:rsidR="00E97EB8" w:rsidRPr="00AD7B00" w:rsidRDefault="00E97EB8" w:rsidP="00C315D6">
            <w:pPr>
              <w:spacing w:after="0" w:line="360" w:lineRule="auto"/>
              <w:rPr>
                <w:rFonts w:cstheme="minorHAnsi"/>
              </w:rPr>
            </w:pPr>
            <w:r w:rsidRPr="00AD7B00">
              <w:rPr>
                <w:rFonts w:cstheme="minorHAnsi"/>
              </w:rPr>
              <w:t>Nociceptive Specific</w:t>
            </w:r>
          </w:p>
        </w:tc>
      </w:tr>
      <w:tr w:rsidR="00DC1E40" w:rsidRPr="00AD7B00" w14:paraId="6D54D0CA" w14:textId="7DBF61DC" w:rsidTr="002A2620">
        <w:tc>
          <w:tcPr>
            <w:tcW w:w="1529" w:type="dxa"/>
            <w:vAlign w:val="center"/>
          </w:tcPr>
          <w:p w14:paraId="5A684611" w14:textId="1E185FDD" w:rsidR="00E97EB8" w:rsidRPr="00AD7B00" w:rsidRDefault="00E97EB8" w:rsidP="00C315D6">
            <w:pPr>
              <w:spacing w:after="0" w:line="360" w:lineRule="auto"/>
              <w:rPr>
                <w:rFonts w:cstheme="minorHAnsi"/>
                <w:b/>
                <w:bCs/>
              </w:rPr>
            </w:pPr>
            <w:proofErr w:type="spellStart"/>
            <w:r w:rsidRPr="00AD7B00">
              <w:rPr>
                <w:rFonts w:cstheme="minorHAnsi"/>
                <w:b/>
                <w:bCs/>
              </w:rPr>
              <w:t>NSS</w:t>
            </w:r>
            <w:proofErr w:type="spellEnd"/>
          </w:p>
        </w:tc>
        <w:tc>
          <w:tcPr>
            <w:tcW w:w="7255" w:type="dxa"/>
            <w:vAlign w:val="center"/>
          </w:tcPr>
          <w:p w14:paraId="321A28E9" w14:textId="57060C72" w:rsidR="00E97EB8" w:rsidRPr="00AD7B00" w:rsidRDefault="00E97EB8" w:rsidP="00C315D6">
            <w:pPr>
              <w:spacing w:after="0" w:line="360" w:lineRule="auto"/>
              <w:rPr>
                <w:rFonts w:cstheme="minorHAnsi"/>
              </w:rPr>
            </w:pPr>
            <w:r w:rsidRPr="00AD7B00">
              <w:rPr>
                <w:rFonts w:cstheme="minorHAnsi"/>
              </w:rPr>
              <w:t>Neuropathy Symptom Score</w:t>
            </w:r>
          </w:p>
        </w:tc>
      </w:tr>
      <w:tr w:rsidR="00DC1E40" w:rsidRPr="00AD7B00" w14:paraId="0B1E2ECB" w14:textId="5FB08D36" w:rsidTr="002A2620">
        <w:tc>
          <w:tcPr>
            <w:tcW w:w="1529" w:type="dxa"/>
            <w:vAlign w:val="center"/>
          </w:tcPr>
          <w:p w14:paraId="69DAD4AF" w14:textId="0D4E9D34" w:rsidR="00E97EB8" w:rsidRPr="00AD7B00" w:rsidRDefault="00E97EB8" w:rsidP="00C315D6">
            <w:pPr>
              <w:spacing w:after="0" w:line="360" w:lineRule="auto"/>
              <w:rPr>
                <w:rFonts w:cstheme="minorHAnsi"/>
                <w:b/>
                <w:bCs/>
              </w:rPr>
            </w:pPr>
            <w:proofErr w:type="spellStart"/>
            <w:r w:rsidRPr="00AD7B00">
              <w:rPr>
                <w:rFonts w:cstheme="minorHAnsi"/>
                <w:b/>
                <w:bCs/>
              </w:rPr>
              <w:t>NTSS</w:t>
            </w:r>
            <w:proofErr w:type="spellEnd"/>
          </w:p>
        </w:tc>
        <w:tc>
          <w:tcPr>
            <w:tcW w:w="7255" w:type="dxa"/>
            <w:vAlign w:val="center"/>
          </w:tcPr>
          <w:p w14:paraId="132644FC" w14:textId="25000864" w:rsidR="00E97EB8" w:rsidRPr="00AD7B00" w:rsidRDefault="00E97EB8" w:rsidP="00C315D6">
            <w:pPr>
              <w:spacing w:after="0" w:line="360" w:lineRule="auto"/>
              <w:rPr>
                <w:rFonts w:cstheme="minorHAnsi"/>
              </w:rPr>
            </w:pPr>
            <w:r w:rsidRPr="00AD7B00">
              <w:rPr>
                <w:rFonts w:cstheme="minorHAnsi"/>
              </w:rPr>
              <w:t>Neurological Total Symptom Score</w:t>
            </w:r>
          </w:p>
        </w:tc>
      </w:tr>
      <w:tr w:rsidR="00DC1E40" w:rsidRPr="00AD7B00" w14:paraId="37A53EFD" w14:textId="2684FDCF" w:rsidTr="002A2620">
        <w:tc>
          <w:tcPr>
            <w:tcW w:w="1529" w:type="dxa"/>
            <w:vAlign w:val="center"/>
          </w:tcPr>
          <w:p w14:paraId="1FF5E6D5" w14:textId="164206B7" w:rsidR="00E97EB8" w:rsidRPr="00AD7B00" w:rsidRDefault="00E97EB8" w:rsidP="00C315D6">
            <w:pPr>
              <w:spacing w:after="0" w:line="360" w:lineRule="auto"/>
              <w:rPr>
                <w:rFonts w:cstheme="minorHAnsi"/>
                <w:b/>
                <w:bCs/>
              </w:rPr>
            </w:pPr>
            <w:proofErr w:type="spellStart"/>
            <w:r w:rsidRPr="00AD7B00">
              <w:rPr>
                <w:rFonts w:cstheme="minorHAnsi"/>
                <w:b/>
                <w:bCs/>
              </w:rPr>
              <w:t>ONLS</w:t>
            </w:r>
            <w:proofErr w:type="spellEnd"/>
          </w:p>
        </w:tc>
        <w:tc>
          <w:tcPr>
            <w:tcW w:w="7255" w:type="dxa"/>
            <w:vAlign w:val="center"/>
          </w:tcPr>
          <w:p w14:paraId="5709C7F6" w14:textId="3BA3CED1" w:rsidR="00E97EB8" w:rsidRPr="00AD7B00" w:rsidRDefault="00E97EB8" w:rsidP="00C315D6">
            <w:pPr>
              <w:spacing w:after="0" w:line="360" w:lineRule="auto"/>
              <w:rPr>
                <w:rFonts w:cstheme="minorHAnsi"/>
              </w:rPr>
            </w:pPr>
            <w:r w:rsidRPr="00AD7B00">
              <w:rPr>
                <w:rFonts w:cstheme="minorHAnsi"/>
              </w:rPr>
              <w:t>Overall Neuropathy Limitations Scale</w:t>
            </w:r>
          </w:p>
        </w:tc>
      </w:tr>
      <w:tr w:rsidR="00DC1E40" w:rsidRPr="00AD7B00" w14:paraId="75978D5C" w14:textId="66B96C37" w:rsidTr="002A2620">
        <w:tc>
          <w:tcPr>
            <w:tcW w:w="1529" w:type="dxa"/>
            <w:vAlign w:val="center"/>
          </w:tcPr>
          <w:p w14:paraId="596E3FEF" w14:textId="116C57B2" w:rsidR="00E97EB8" w:rsidRPr="00AD7B00" w:rsidRDefault="00E97EB8" w:rsidP="00C315D6">
            <w:pPr>
              <w:spacing w:after="0" w:line="360" w:lineRule="auto"/>
              <w:rPr>
                <w:rFonts w:cstheme="minorHAnsi"/>
                <w:b/>
                <w:bCs/>
              </w:rPr>
            </w:pPr>
            <w:r w:rsidRPr="00AD7B00">
              <w:rPr>
                <w:rFonts w:cstheme="minorHAnsi"/>
                <w:b/>
                <w:bCs/>
              </w:rPr>
              <w:t>PARP</w:t>
            </w:r>
          </w:p>
        </w:tc>
        <w:tc>
          <w:tcPr>
            <w:tcW w:w="7255" w:type="dxa"/>
            <w:vAlign w:val="center"/>
          </w:tcPr>
          <w:p w14:paraId="7279662D" w14:textId="0D4E5700" w:rsidR="00E97EB8" w:rsidRPr="00AD7B00" w:rsidRDefault="00E97EB8" w:rsidP="00C315D6">
            <w:pPr>
              <w:spacing w:after="0" w:line="360" w:lineRule="auto"/>
              <w:rPr>
                <w:rFonts w:cstheme="minorHAnsi"/>
              </w:rPr>
            </w:pPr>
            <w:r w:rsidRPr="00AD7B00">
              <w:rPr>
                <w:rFonts w:cstheme="minorHAnsi"/>
              </w:rPr>
              <w:t>Poly (ADP-Ribose) Polymerase</w:t>
            </w:r>
          </w:p>
        </w:tc>
      </w:tr>
      <w:tr w:rsidR="00DC1E40" w:rsidRPr="00AD7B00" w14:paraId="5825A1F0" w14:textId="2FDEEEA1" w:rsidTr="002A2620">
        <w:tc>
          <w:tcPr>
            <w:tcW w:w="1529" w:type="dxa"/>
            <w:vAlign w:val="center"/>
          </w:tcPr>
          <w:p w14:paraId="521704F2" w14:textId="029DB1CE" w:rsidR="00E97EB8" w:rsidRPr="00AD7B00" w:rsidRDefault="00E97EB8" w:rsidP="00C315D6">
            <w:pPr>
              <w:spacing w:after="0" w:line="360" w:lineRule="auto"/>
              <w:rPr>
                <w:rFonts w:cstheme="minorHAnsi"/>
                <w:b/>
                <w:bCs/>
              </w:rPr>
            </w:pPr>
            <w:r w:rsidRPr="00AD7B00">
              <w:rPr>
                <w:rFonts w:cstheme="minorHAnsi"/>
                <w:b/>
                <w:bCs/>
              </w:rPr>
              <w:t>PAI-1</w:t>
            </w:r>
          </w:p>
        </w:tc>
        <w:tc>
          <w:tcPr>
            <w:tcW w:w="7255" w:type="dxa"/>
            <w:vAlign w:val="center"/>
          </w:tcPr>
          <w:p w14:paraId="16755E6C" w14:textId="1BE38623" w:rsidR="00E97EB8" w:rsidRPr="00AD7B00" w:rsidRDefault="00E97EB8" w:rsidP="00C315D6">
            <w:pPr>
              <w:spacing w:after="0" w:line="360" w:lineRule="auto"/>
              <w:rPr>
                <w:rFonts w:cstheme="minorHAnsi"/>
              </w:rPr>
            </w:pPr>
            <w:r w:rsidRPr="00AD7B00">
              <w:rPr>
                <w:rFonts w:cstheme="minorHAnsi"/>
              </w:rPr>
              <w:t>Plasminogen Activator Inhibitor-1</w:t>
            </w:r>
          </w:p>
        </w:tc>
      </w:tr>
      <w:tr w:rsidR="00DC1E40" w:rsidRPr="00AD7B00" w14:paraId="5757D2CB" w14:textId="67D919AA" w:rsidTr="002A2620">
        <w:tc>
          <w:tcPr>
            <w:tcW w:w="1529" w:type="dxa"/>
            <w:vAlign w:val="center"/>
          </w:tcPr>
          <w:p w14:paraId="36C24EDA" w14:textId="1A52C938" w:rsidR="00E97EB8" w:rsidRPr="00AD7B00" w:rsidRDefault="00E97EB8" w:rsidP="00C315D6">
            <w:pPr>
              <w:spacing w:after="0" w:line="360" w:lineRule="auto"/>
              <w:rPr>
                <w:rFonts w:cstheme="minorHAnsi"/>
                <w:b/>
                <w:bCs/>
              </w:rPr>
            </w:pPr>
            <w:r w:rsidRPr="00AD7B00">
              <w:rPr>
                <w:rFonts w:cstheme="minorHAnsi"/>
                <w:b/>
                <w:bCs/>
              </w:rPr>
              <w:t>PASS 20</w:t>
            </w:r>
          </w:p>
        </w:tc>
        <w:tc>
          <w:tcPr>
            <w:tcW w:w="7255" w:type="dxa"/>
            <w:vAlign w:val="center"/>
          </w:tcPr>
          <w:p w14:paraId="0EBA6E72" w14:textId="7F69D664" w:rsidR="00E97EB8" w:rsidRPr="00AD7B00" w:rsidRDefault="00E97EB8" w:rsidP="00C315D6">
            <w:pPr>
              <w:spacing w:after="0" w:line="360" w:lineRule="auto"/>
              <w:rPr>
                <w:rFonts w:cstheme="minorHAnsi"/>
              </w:rPr>
            </w:pPr>
            <w:r w:rsidRPr="00AD7B00">
              <w:rPr>
                <w:rFonts w:cstheme="minorHAnsi"/>
              </w:rPr>
              <w:t>Short-Form Pain Anxiety Symptoms Scale</w:t>
            </w:r>
          </w:p>
        </w:tc>
      </w:tr>
      <w:tr w:rsidR="00DC1E40" w:rsidRPr="00AD7B00" w14:paraId="7CFAABF7" w14:textId="241A7046" w:rsidTr="002A2620">
        <w:tc>
          <w:tcPr>
            <w:tcW w:w="1529" w:type="dxa"/>
            <w:vAlign w:val="center"/>
          </w:tcPr>
          <w:p w14:paraId="5F3E882A" w14:textId="279214A5" w:rsidR="00E97EB8" w:rsidRPr="00AD7B00" w:rsidRDefault="00E97EB8" w:rsidP="00C315D6">
            <w:pPr>
              <w:spacing w:after="0" w:line="360" w:lineRule="auto"/>
              <w:rPr>
                <w:rFonts w:cstheme="minorHAnsi"/>
                <w:b/>
                <w:bCs/>
                <w:lang w:val="fr-FR"/>
              </w:rPr>
            </w:pPr>
            <w:proofErr w:type="spellStart"/>
            <w:r w:rsidRPr="00AD7B00">
              <w:rPr>
                <w:rFonts w:cstheme="minorHAnsi"/>
                <w:b/>
                <w:bCs/>
                <w:lang w:val="fr-FR"/>
              </w:rPr>
              <w:t>PCS</w:t>
            </w:r>
            <w:proofErr w:type="spellEnd"/>
          </w:p>
        </w:tc>
        <w:tc>
          <w:tcPr>
            <w:tcW w:w="7255" w:type="dxa"/>
            <w:vAlign w:val="center"/>
          </w:tcPr>
          <w:p w14:paraId="2551E255" w14:textId="06849699" w:rsidR="00E97EB8" w:rsidRPr="00AD7B00" w:rsidRDefault="00E97EB8" w:rsidP="00C315D6">
            <w:pPr>
              <w:spacing w:after="0" w:line="360" w:lineRule="auto"/>
              <w:rPr>
                <w:rFonts w:cstheme="minorHAnsi"/>
                <w:lang w:val="fr-FR"/>
              </w:rPr>
            </w:pPr>
            <w:r w:rsidRPr="00AD7B00">
              <w:rPr>
                <w:rFonts w:cstheme="minorHAnsi"/>
                <w:lang w:val="fr-FR"/>
              </w:rPr>
              <w:t xml:space="preserve">Pain </w:t>
            </w:r>
            <w:proofErr w:type="spellStart"/>
            <w:r w:rsidRPr="00AD7B00">
              <w:rPr>
                <w:rFonts w:cstheme="minorHAnsi"/>
                <w:lang w:val="fr-FR"/>
              </w:rPr>
              <w:t>Catastrophising</w:t>
            </w:r>
            <w:proofErr w:type="spellEnd"/>
            <w:r w:rsidRPr="00AD7B00">
              <w:rPr>
                <w:rFonts w:cstheme="minorHAnsi"/>
                <w:lang w:val="fr-FR"/>
              </w:rPr>
              <w:t xml:space="preserve"> </w:t>
            </w:r>
            <w:proofErr w:type="spellStart"/>
            <w:r w:rsidRPr="00AD7B00">
              <w:rPr>
                <w:rFonts w:cstheme="minorHAnsi"/>
                <w:lang w:val="fr-FR"/>
              </w:rPr>
              <w:t>Scale</w:t>
            </w:r>
            <w:proofErr w:type="spellEnd"/>
          </w:p>
        </w:tc>
      </w:tr>
      <w:tr w:rsidR="00DC1E40" w:rsidRPr="00AD7B00" w14:paraId="2CB2359B" w14:textId="1DB39466" w:rsidTr="002A2620">
        <w:tc>
          <w:tcPr>
            <w:tcW w:w="1529" w:type="dxa"/>
            <w:vAlign w:val="center"/>
          </w:tcPr>
          <w:p w14:paraId="37A41479" w14:textId="7BF9AF66" w:rsidR="00E97EB8" w:rsidRPr="00AD7B00" w:rsidRDefault="00E97EB8" w:rsidP="00C315D6">
            <w:pPr>
              <w:spacing w:after="0" w:line="360" w:lineRule="auto"/>
              <w:rPr>
                <w:rFonts w:cstheme="minorHAnsi"/>
                <w:b/>
                <w:bCs/>
                <w:lang w:val="fr-FR"/>
              </w:rPr>
            </w:pPr>
            <w:r w:rsidRPr="00AD7B00">
              <w:rPr>
                <w:rFonts w:cstheme="minorHAnsi"/>
                <w:b/>
                <w:bCs/>
                <w:lang w:val="fr-FR"/>
              </w:rPr>
              <w:t>PD-Q</w:t>
            </w:r>
          </w:p>
        </w:tc>
        <w:tc>
          <w:tcPr>
            <w:tcW w:w="7255" w:type="dxa"/>
            <w:vAlign w:val="center"/>
          </w:tcPr>
          <w:p w14:paraId="0D50D537" w14:textId="19520E42" w:rsidR="00E97EB8" w:rsidRPr="00AD7B00" w:rsidRDefault="00E97EB8" w:rsidP="00C315D6">
            <w:pPr>
              <w:spacing w:after="0" w:line="360" w:lineRule="auto"/>
              <w:rPr>
                <w:rFonts w:cstheme="minorHAnsi"/>
                <w:lang w:val="fr-FR"/>
              </w:rPr>
            </w:pPr>
            <w:proofErr w:type="spellStart"/>
            <w:r w:rsidRPr="00AD7B00">
              <w:rPr>
                <w:rFonts w:cstheme="minorHAnsi"/>
                <w:lang w:val="fr-FR"/>
              </w:rPr>
              <w:t>Paindetect</w:t>
            </w:r>
            <w:proofErr w:type="spellEnd"/>
            <w:r w:rsidRPr="00AD7B00">
              <w:rPr>
                <w:rFonts w:cstheme="minorHAnsi"/>
                <w:lang w:val="fr-FR"/>
              </w:rPr>
              <w:t xml:space="preserve"> Questionnaire</w:t>
            </w:r>
          </w:p>
        </w:tc>
      </w:tr>
      <w:tr w:rsidR="00B0462C" w:rsidRPr="00AD7B00" w14:paraId="3191D0E0" w14:textId="77777777" w:rsidTr="002A2620">
        <w:tc>
          <w:tcPr>
            <w:tcW w:w="1529" w:type="dxa"/>
            <w:vAlign w:val="center"/>
          </w:tcPr>
          <w:p w14:paraId="7E0A7953" w14:textId="62B7B96C" w:rsidR="00B0462C" w:rsidRPr="00AD7B00" w:rsidRDefault="00B0462C" w:rsidP="00C315D6">
            <w:pPr>
              <w:spacing w:after="0" w:line="360" w:lineRule="auto"/>
              <w:rPr>
                <w:rFonts w:cstheme="minorHAnsi"/>
                <w:b/>
                <w:bCs/>
                <w:lang w:val="fr-FR"/>
              </w:rPr>
            </w:pPr>
            <w:proofErr w:type="spellStart"/>
            <w:r w:rsidRPr="00AD7B00">
              <w:rPr>
                <w:rFonts w:cstheme="minorHAnsi"/>
                <w:b/>
                <w:bCs/>
                <w:lang w:val="fr-FR"/>
              </w:rPr>
              <w:t>PFC</w:t>
            </w:r>
            <w:proofErr w:type="spellEnd"/>
          </w:p>
        </w:tc>
        <w:tc>
          <w:tcPr>
            <w:tcW w:w="7255" w:type="dxa"/>
            <w:vAlign w:val="center"/>
          </w:tcPr>
          <w:p w14:paraId="72DD5EFC" w14:textId="5ED58126" w:rsidR="00B0462C" w:rsidRPr="00AD7B00" w:rsidRDefault="00B0462C" w:rsidP="00B0462C">
            <w:pPr>
              <w:spacing w:after="0" w:line="360" w:lineRule="auto"/>
              <w:rPr>
                <w:rFonts w:cstheme="minorHAnsi"/>
                <w:bCs/>
              </w:rPr>
            </w:pPr>
            <w:r w:rsidRPr="00AD7B00">
              <w:rPr>
                <w:rFonts w:cstheme="minorHAnsi"/>
                <w:bCs/>
              </w:rPr>
              <w:t>Prefrontal Cortex</w:t>
            </w:r>
          </w:p>
        </w:tc>
      </w:tr>
      <w:tr w:rsidR="006F462E" w:rsidRPr="00AD7B00" w14:paraId="66A3B45D" w14:textId="77777777" w:rsidTr="002A2620">
        <w:tc>
          <w:tcPr>
            <w:tcW w:w="1529" w:type="dxa"/>
            <w:vAlign w:val="center"/>
          </w:tcPr>
          <w:p w14:paraId="3E025D37" w14:textId="457AE0C2" w:rsidR="006F462E" w:rsidRPr="00AD7B00" w:rsidRDefault="006F462E" w:rsidP="00C315D6">
            <w:pPr>
              <w:spacing w:after="0" w:line="360" w:lineRule="auto"/>
              <w:rPr>
                <w:rFonts w:cstheme="minorHAnsi"/>
                <w:b/>
                <w:bCs/>
                <w:lang w:val="fr-FR"/>
              </w:rPr>
            </w:pPr>
            <w:proofErr w:type="spellStart"/>
            <w:r w:rsidRPr="00AD7B00">
              <w:rPr>
                <w:rFonts w:cstheme="minorHAnsi"/>
                <w:b/>
                <w:bCs/>
                <w:lang w:val="fr-FR"/>
              </w:rPr>
              <w:t>PGP</w:t>
            </w:r>
            <w:proofErr w:type="spellEnd"/>
          </w:p>
        </w:tc>
        <w:tc>
          <w:tcPr>
            <w:tcW w:w="7255" w:type="dxa"/>
            <w:vAlign w:val="center"/>
          </w:tcPr>
          <w:p w14:paraId="7BBEED54" w14:textId="63B6CDE1" w:rsidR="006F462E" w:rsidRPr="00AD7B00" w:rsidRDefault="006F462E" w:rsidP="00C315D6">
            <w:pPr>
              <w:spacing w:after="0" w:line="360" w:lineRule="auto"/>
              <w:rPr>
                <w:rFonts w:cstheme="minorHAnsi"/>
                <w:lang w:val="fr-FR"/>
              </w:rPr>
            </w:pPr>
            <w:r w:rsidRPr="00AD7B00">
              <w:rPr>
                <w:rFonts w:cstheme="minorHAnsi"/>
                <w:bCs/>
              </w:rPr>
              <w:t xml:space="preserve">Protein Gene Product </w:t>
            </w:r>
          </w:p>
        </w:tc>
      </w:tr>
      <w:tr w:rsidR="00FF74F7" w:rsidRPr="00AD7B00" w14:paraId="26FB5C3F" w14:textId="77777777" w:rsidTr="002A2620">
        <w:tc>
          <w:tcPr>
            <w:tcW w:w="1529" w:type="dxa"/>
            <w:vAlign w:val="center"/>
          </w:tcPr>
          <w:p w14:paraId="21634A47" w14:textId="2807C9FF" w:rsidR="00FF74F7" w:rsidRPr="00AD7B00" w:rsidRDefault="00FF74F7" w:rsidP="00C315D6">
            <w:pPr>
              <w:spacing w:after="0" w:line="360" w:lineRule="auto"/>
              <w:rPr>
                <w:rFonts w:cstheme="minorHAnsi"/>
                <w:b/>
                <w:bCs/>
                <w:lang w:val="fr-FR"/>
              </w:rPr>
            </w:pPr>
            <w:proofErr w:type="spellStart"/>
            <w:r w:rsidRPr="00AD7B00">
              <w:rPr>
                <w:rFonts w:cstheme="minorHAnsi"/>
                <w:b/>
              </w:rPr>
              <w:t>PHN</w:t>
            </w:r>
            <w:proofErr w:type="spellEnd"/>
          </w:p>
        </w:tc>
        <w:tc>
          <w:tcPr>
            <w:tcW w:w="7255" w:type="dxa"/>
            <w:vAlign w:val="center"/>
          </w:tcPr>
          <w:p w14:paraId="79254CAC" w14:textId="4DDCFFE6" w:rsidR="00FF74F7" w:rsidRPr="00AD7B00" w:rsidRDefault="00FF74F7" w:rsidP="00C315D6">
            <w:pPr>
              <w:spacing w:after="0" w:line="360" w:lineRule="auto"/>
              <w:rPr>
                <w:rFonts w:cstheme="minorHAnsi"/>
                <w:lang w:val="fr-FR"/>
              </w:rPr>
            </w:pPr>
            <w:r w:rsidRPr="00AD7B00">
              <w:rPr>
                <w:rFonts w:cstheme="minorHAnsi"/>
              </w:rPr>
              <w:t xml:space="preserve">Post-herpetic Neuralgia </w:t>
            </w:r>
          </w:p>
        </w:tc>
      </w:tr>
      <w:tr w:rsidR="00DC1E40" w:rsidRPr="00AD7B00" w14:paraId="06ADFEEB" w14:textId="10310081" w:rsidTr="002A2620">
        <w:tc>
          <w:tcPr>
            <w:tcW w:w="1529" w:type="dxa"/>
            <w:vAlign w:val="center"/>
          </w:tcPr>
          <w:p w14:paraId="4BBF585F" w14:textId="0D16F1F4" w:rsidR="00E97EB8" w:rsidRPr="00AD7B00" w:rsidRDefault="00E97EB8" w:rsidP="00C315D6">
            <w:pPr>
              <w:spacing w:after="0" w:line="360" w:lineRule="auto"/>
              <w:rPr>
                <w:rFonts w:cstheme="minorHAnsi"/>
                <w:b/>
                <w:bCs/>
                <w:lang w:val="fr-FR"/>
              </w:rPr>
            </w:pPr>
            <w:r w:rsidRPr="00AD7B00">
              <w:rPr>
                <w:rFonts w:cstheme="minorHAnsi"/>
                <w:b/>
                <w:bCs/>
                <w:lang w:val="fr-FR"/>
              </w:rPr>
              <w:t>PI3K</w:t>
            </w:r>
          </w:p>
        </w:tc>
        <w:tc>
          <w:tcPr>
            <w:tcW w:w="7255" w:type="dxa"/>
            <w:vAlign w:val="center"/>
          </w:tcPr>
          <w:p w14:paraId="42ED1FDE" w14:textId="77AB98EF" w:rsidR="00E97EB8" w:rsidRPr="00AD7B00" w:rsidRDefault="00E97EB8" w:rsidP="00C315D6">
            <w:pPr>
              <w:spacing w:after="0" w:line="360" w:lineRule="auto"/>
              <w:rPr>
                <w:rFonts w:cstheme="minorHAnsi"/>
                <w:lang w:val="fr-FR"/>
              </w:rPr>
            </w:pPr>
            <w:proofErr w:type="spellStart"/>
            <w:r w:rsidRPr="00AD7B00">
              <w:rPr>
                <w:rFonts w:cstheme="minorHAnsi"/>
                <w:lang w:val="fr-FR"/>
              </w:rPr>
              <w:t>Phosphatidyl</w:t>
            </w:r>
            <w:proofErr w:type="spellEnd"/>
            <w:r w:rsidRPr="00AD7B00">
              <w:rPr>
                <w:rFonts w:cstheme="minorHAnsi"/>
                <w:lang w:val="fr-FR"/>
              </w:rPr>
              <w:t xml:space="preserve"> Inositide-3 Kinase</w:t>
            </w:r>
          </w:p>
        </w:tc>
      </w:tr>
      <w:tr w:rsidR="00DC1E40" w:rsidRPr="00AD7B00" w14:paraId="4F930E10" w14:textId="57412DD3" w:rsidTr="002A2620">
        <w:tc>
          <w:tcPr>
            <w:tcW w:w="1529" w:type="dxa"/>
            <w:vAlign w:val="center"/>
          </w:tcPr>
          <w:p w14:paraId="5C193F02" w14:textId="63C2042C" w:rsidR="00DC1E40" w:rsidRPr="00AD7B00" w:rsidRDefault="00DC1E40" w:rsidP="00C315D6">
            <w:pPr>
              <w:spacing w:after="0" w:line="360" w:lineRule="auto"/>
              <w:rPr>
                <w:rFonts w:cstheme="minorHAnsi"/>
                <w:b/>
                <w:bCs/>
                <w:lang w:val="fr-FR"/>
              </w:rPr>
            </w:pPr>
            <w:proofErr w:type="spellStart"/>
            <w:r w:rsidRPr="00AD7B00">
              <w:rPr>
                <w:rFonts w:cstheme="minorHAnsi"/>
                <w:b/>
                <w:bCs/>
                <w:lang w:val="fr-FR"/>
              </w:rPr>
              <w:t>PKC</w:t>
            </w:r>
            <w:proofErr w:type="spellEnd"/>
          </w:p>
        </w:tc>
        <w:tc>
          <w:tcPr>
            <w:tcW w:w="7255" w:type="dxa"/>
            <w:vAlign w:val="center"/>
          </w:tcPr>
          <w:p w14:paraId="7A87DB14" w14:textId="6B31777E" w:rsidR="00DC1E40" w:rsidRPr="00AD7B00" w:rsidRDefault="00DC1E40" w:rsidP="00C315D6">
            <w:pPr>
              <w:spacing w:after="0" w:line="360" w:lineRule="auto"/>
              <w:rPr>
                <w:rFonts w:cstheme="minorHAnsi"/>
                <w:lang w:val="fr-FR"/>
              </w:rPr>
            </w:pPr>
            <w:proofErr w:type="spellStart"/>
            <w:r w:rsidRPr="00AD7B00">
              <w:rPr>
                <w:rFonts w:cstheme="minorHAnsi"/>
                <w:lang w:val="fr-FR"/>
              </w:rPr>
              <w:t>Protein</w:t>
            </w:r>
            <w:proofErr w:type="spellEnd"/>
            <w:r w:rsidRPr="00AD7B00">
              <w:rPr>
                <w:rFonts w:cstheme="minorHAnsi"/>
                <w:lang w:val="fr-FR"/>
              </w:rPr>
              <w:t xml:space="preserve"> Kinase C</w:t>
            </w:r>
          </w:p>
        </w:tc>
      </w:tr>
      <w:tr w:rsidR="00EA2BF3" w:rsidRPr="00AD7B00" w14:paraId="3080D639" w14:textId="77777777" w:rsidTr="002A2620">
        <w:tc>
          <w:tcPr>
            <w:tcW w:w="1529" w:type="dxa"/>
            <w:vAlign w:val="center"/>
          </w:tcPr>
          <w:p w14:paraId="0C7ADB15" w14:textId="00326F49" w:rsidR="00EA2BF3" w:rsidRPr="00AD7B00" w:rsidRDefault="00EA2BF3" w:rsidP="00C315D6">
            <w:pPr>
              <w:spacing w:after="0" w:line="360" w:lineRule="auto"/>
              <w:rPr>
                <w:rFonts w:cstheme="minorHAnsi"/>
                <w:b/>
                <w:bCs/>
                <w:lang w:val="fr-FR"/>
              </w:rPr>
            </w:pPr>
            <w:proofErr w:type="spellStart"/>
            <w:r w:rsidRPr="00AD7B00">
              <w:rPr>
                <w:rFonts w:cstheme="minorHAnsi"/>
                <w:b/>
                <w:bCs/>
                <w:lang w:val="fr-FR"/>
              </w:rPr>
              <w:t>PPT</w:t>
            </w:r>
            <w:proofErr w:type="spellEnd"/>
          </w:p>
        </w:tc>
        <w:tc>
          <w:tcPr>
            <w:tcW w:w="7255" w:type="dxa"/>
            <w:vAlign w:val="center"/>
          </w:tcPr>
          <w:p w14:paraId="603370F2" w14:textId="1E956E2B" w:rsidR="00EA2BF3" w:rsidRPr="00AD7B00" w:rsidRDefault="00EA2BF3" w:rsidP="00C315D6">
            <w:pPr>
              <w:spacing w:after="0" w:line="360" w:lineRule="auto"/>
              <w:rPr>
                <w:rFonts w:cstheme="minorHAnsi"/>
                <w:lang w:val="fr-FR"/>
              </w:rPr>
            </w:pPr>
            <w:r w:rsidRPr="00AD7B00">
              <w:rPr>
                <w:rFonts w:cstheme="minorHAnsi"/>
                <w:lang w:val="fr-FR"/>
              </w:rPr>
              <w:t xml:space="preserve">Pressure Pain </w:t>
            </w:r>
            <w:proofErr w:type="spellStart"/>
            <w:r w:rsidRPr="00AD7B00">
              <w:rPr>
                <w:rFonts w:cstheme="minorHAnsi"/>
                <w:lang w:val="fr-FR"/>
              </w:rPr>
              <w:t>Threshold</w:t>
            </w:r>
            <w:proofErr w:type="spellEnd"/>
          </w:p>
        </w:tc>
      </w:tr>
      <w:tr w:rsidR="00DC1E40" w:rsidRPr="00AD7B00" w14:paraId="19BEDBE8" w14:textId="537BAAB4" w:rsidTr="002A2620">
        <w:tc>
          <w:tcPr>
            <w:tcW w:w="1529" w:type="dxa"/>
            <w:vAlign w:val="center"/>
          </w:tcPr>
          <w:p w14:paraId="4FD0D66C" w14:textId="23BD4447" w:rsidR="00DC1E40" w:rsidRPr="00AD7B00" w:rsidRDefault="00DC1E40" w:rsidP="00C315D6">
            <w:pPr>
              <w:spacing w:after="0" w:line="360" w:lineRule="auto"/>
              <w:rPr>
                <w:rFonts w:cstheme="minorHAnsi"/>
                <w:b/>
                <w:bCs/>
                <w:lang w:val="fr-FR"/>
              </w:rPr>
            </w:pPr>
            <w:proofErr w:type="spellStart"/>
            <w:r w:rsidRPr="00AD7B00">
              <w:rPr>
                <w:rFonts w:cstheme="minorHAnsi"/>
                <w:b/>
                <w:bCs/>
                <w:lang w:val="fr-FR"/>
              </w:rPr>
              <w:t>QAFT</w:t>
            </w:r>
            <w:proofErr w:type="spellEnd"/>
          </w:p>
        </w:tc>
        <w:tc>
          <w:tcPr>
            <w:tcW w:w="7255" w:type="dxa"/>
            <w:vAlign w:val="center"/>
          </w:tcPr>
          <w:p w14:paraId="4A5090F5" w14:textId="644770BF" w:rsidR="00DC1E40" w:rsidRPr="00AD7B00" w:rsidRDefault="00DC1E40" w:rsidP="00C315D6">
            <w:pPr>
              <w:spacing w:after="0" w:line="360" w:lineRule="auto"/>
              <w:rPr>
                <w:rFonts w:cstheme="minorHAnsi"/>
                <w:lang w:val="fr-FR"/>
              </w:rPr>
            </w:pPr>
            <w:r w:rsidRPr="00AD7B00">
              <w:rPr>
                <w:rFonts w:cstheme="minorHAnsi"/>
                <w:lang w:val="fr-FR"/>
              </w:rPr>
              <w:t xml:space="preserve">Quantitative </w:t>
            </w:r>
            <w:proofErr w:type="spellStart"/>
            <w:r w:rsidRPr="00AD7B00">
              <w:rPr>
                <w:rFonts w:cstheme="minorHAnsi"/>
                <w:lang w:val="fr-FR"/>
              </w:rPr>
              <w:t>Autonomic</w:t>
            </w:r>
            <w:proofErr w:type="spellEnd"/>
            <w:r w:rsidRPr="00AD7B00">
              <w:rPr>
                <w:rFonts w:cstheme="minorHAnsi"/>
                <w:lang w:val="fr-FR"/>
              </w:rPr>
              <w:t xml:space="preserve"> </w:t>
            </w:r>
            <w:proofErr w:type="spellStart"/>
            <w:r w:rsidRPr="00AD7B00">
              <w:rPr>
                <w:rFonts w:cstheme="minorHAnsi"/>
                <w:lang w:val="fr-FR"/>
              </w:rPr>
              <w:t>Function</w:t>
            </w:r>
            <w:proofErr w:type="spellEnd"/>
            <w:r w:rsidRPr="00AD7B00">
              <w:rPr>
                <w:rFonts w:cstheme="minorHAnsi"/>
                <w:lang w:val="fr-FR"/>
              </w:rPr>
              <w:t xml:space="preserve"> </w:t>
            </w:r>
            <w:proofErr w:type="spellStart"/>
            <w:r w:rsidRPr="00AD7B00">
              <w:rPr>
                <w:rFonts w:cstheme="minorHAnsi"/>
                <w:lang w:val="fr-FR"/>
              </w:rPr>
              <w:t>Testing</w:t>
            </w:r>
            <w:proofErr w:type="spellEnd"/>
          </w:p>
        </w:tc>
      </w:tr>
      <w:tr w:rsidR="00042DC8" w:rsidRPr="00AD7B00" w14:paraId="1B151347" w14:textId="77777777" w:rsidTr="002A2620">
        <w:tc>
          <w:tcPr>
            <w:tcW w:w="1529" w:type="dxa"/>
            <w:vAlign w:val="center"/>
          </w:tcPr>
          <w:p w14:paraId="77A4DE14" w14:textId="3CDC88DA" w:rsidR="00042DC8" w:rsidRPr="00AD7B00" w:rsidRDefault="00042DC8" w:rsidP="00C315D6">
            <w:pPr>
              <w:spacing w:after="0" w:line="360" w:lineRule="auto"/>
              <w:rPr>
                <w:rFonts w:cstheme="minorHAnsi"/>
                <w:b/>
                <w:bCs/>
              </w:rPr>
            </w:pPr>
            <w:r w:rsidRPr="00AD7B00">
              <w:rPr>
                <w:rFonts w:cstheme="minorHAnsi"/>
                <w:b/>
                <w:bCs/>
              </w:rPr>
              <w:t>QOL</w:t>
            </w:r>
          </w:p>
        </w:tc>
        <w:tc>
          <w:tcPr>
            <w:tcW w:w="7255" w:type="dxa"/>
            <w:vAlign w:val="center"/>
          </w:tcPr>
          <w:p w14:paraId="0AE8ABD7" w14:textId="03CAB1BB" w:rsidR="00042DC8" w:rsidRPr="00AD7B00" w:rsidRDefault="00042DC8" w:rsidP="00C315D6">
            <w:pPr>
              <w:spacing w:after="0" w:line="360" w:lineRule="auto"/>
              <w:rPr>
                <w:rFonts w:cstheme="minorHAnsi"/>
              </w:rPr>
            </w:pPr>
            <w:r w:rsidRPr="00AD7B00">
              <w:rPr>
                <w:rFonts w:cstheme="minorHAnsi"/>
              </w:rPr>
              <w:t>Quality of Life</w:t>
            </w:r>
          </w:p>
        </w:tc>
      </w:tr>
      <w:tr w:rsidR="0018520A" w:rsidRPr="00AD7B00" w14:paraId="69E6E4E9" w14:textId="77777777" w:rsidTr="002A2620">
        <w:tc>
          <w:tcPr>
            <w:tcW w:w="1529" w:type="dxa"/>
            <w:vAlign w:val="center"/>
          </w:tcPr>
          <w:p w14:paraId="5283F172" w14:textId="017B719B" w:rsidR="0018520A" w:rsidRPr="00AD7B00" w:rsidRDefault="0018520A" w:rsidP="00C315D6">
            <w:pPr>
              <w:spacing w:after="0" w:line="360" w:lineRule="auto"/>
              <w:rPr>
                <w:rFonts w:cstheme="minorHAnsi"/>
                <w:b/>
                <w:bCs/>
              </w:rPr>
            </w:pPr>
            <w:proofErr w:type="spellStart"/>
            <w:r w:rsidRPr="00AD7B00">
              <w:rPr>
                <w:rFonts w:cstheme="minorHAnsi"/>
                <w:b/>
                <w:bCs/>
              </w:rPr>
              <w:t>QST</w:t>
            </w:r>
            <w:proofErr w:type="spellEnd"/>
          </w:p>
        </w:tc>
        <w:tc>
          <w:tcPr>
            <w:tcW w:w="7255" w:type="dxa"/>
            <w:vAlign w:val="center"/>
          </w:tcPr>
          <w:p w14:paraId="2AD28938" w14:textId="25A7EE7C" w:rsidR="0018520A" w:rsidRPr="00AD7B00" w:rsidRDefault="0018520A" w:rsidP="00C315D6">
            <w:pPr>
              <w:spacing w:after="0" w:line="360" w:lineRule="auto"/>
              <w:rPr>
                <w:rFonts w:cstheme="minorHAnsi"/>
              </w:rPr>
            </w:pPr>
            <w:r w:rsidRPr="00AD7B00">
              <w:rPr>
                <w:rFonts w:cstheme="minorHAnsi"/>
              </w:rPr>
              <w:t>Quantitative Sensory Testing</w:t>
            </w:r>
          </w:p>
        </w:tc>
      </w:tr>
      <w:tr w:rsidR="00DC1E40" w:rsidRPr="00AD7B00" w14:paraId="0C3BDF66" w14:textId="7F2A6ADF" w:rsidTr="002A2620">
        <w:tc>
          <w:tcPr>
            <w:tcW w:w="1529" w:type="dxa"/>
            <w:vAlign w:val="center"/>
          </w:tcPr>
          <w:p w14:paraId="4A07119F" w14:textId="626C5A1C" w:rsidR="00DC1E40" w:rsidRPr="00AD7B00" w:rsidRDefault="00DC1E40" w:rsidP="00C315D6">
            <w:pPr>
              <w:spacing w:after="0" w:line="360" w:lineRule="auto"/>
              <w:rPr>
                <w:rFonts w:cstheme="minorHAnsi"/>
                <w:b/>
                <w:bCs/>
              </w:rPr>
            </w:pPr>
            <w:proofErr w:type="spellStart"/>
            <w:r w:rsidRPr="00AD7B00">
              <w:rPr>
                <w:rFonts w:cstheme="minorHAnsi"/>
                <w:b/>
                <w:bCs/>
              </w:rPr>
              <w:t>rCBV</w:t>
            </w:r>
            <w:proofErr w:type="spellEnd"/>
          </w:p>
        </w:tc>
        <w:tc>
          <w:tcPr>
            <w:tcW w:w="7255" w:type="dxa"/>
            <w:vAlign w:val="center"/>
          </w:tcPr>
          <w:p w14:paraId="1952F742" w14:textId="276ED84A" w:rsidR="00DC1E40" w:rsidRPr="00AD7B00" w:rsidRDefault="00DC1E40" w:rsidP="00C315D6">
            <w:pPr>
              <w:spacing w:after="0" w:line="360" w:lineRule="auto"/>
              <w:rPr>
                <w:rFonts w:cstheme="minorHAnsi"/>
              </w:rPr>
            </w:pPr>
            <w:r w:rsidRPr="00AD7B00">
              <w:rPr>
                <w:rFonts w:cstheme="minorHAnsi"/>
              </w:rPr>
              <w:t>Relative Cerebral Blood Volume</w:t>
            </w:r>
          </w:p>
        </w:tc>
      </w:tr>
      <w:tr w:rsidR="00DC1E40" w:rsidRPr="00AD7B00" w14:paraId="4DB75ACA" w14:textId="6045D209" w:rsidTr="002A2620">
        <w:tc>
          <w:tcPr>
            <w:tcW w:w="1529" w:type="dxa"/>
            <w:vAlign w:val="center"/>
          </w:tcPr>
          <w:p w14:paraId="6FF60F56" w14:textId="06A89A76" w:rsidR="00DC1E40" w:rsidRPr="00AD7B00" w:rsidRDefault="00DC1E40" w:rsidP="00C315D6">
            <w:pPr>
              <w:spacing w:after="0" w:line="360" w:lineRule="auto"/>
              <w:rPr>
                <w:rFonts w:cstheme="minorHAnsi"/>
                <w:b/>
                <w:bCs/>
              </w:rPr>
            </w:pPr>
            <w:proofErr w:type="spellStart"/>
            <w:r w:rsidRPr="00AD7B00">
              <w:rPr>
                <w:rFonts w:cstheme="minorHAnsi"/>
                <w:b/>
                <w:bCs/>
              </w:rPr>
              <w:lastRenderedPageBreak/>
              <w:t>rCBF</w:t>
            </w:r>
            <w:proofErr w:type="spellEnd"/>
          </w:p>
        </w:tc>
        <w:tc>
          <w:tcPr>
            <w:tcW w:w="7255" w:type="dxa"/>
            <w:vAlign w:val="center"/>
          </w:tcPr>
          <w:p w14:paraId="71978EA4" w14:textId="7CE56034" w:rsidR="00DC1E40" w:rsidRPr="00AD7B00" w:rsidRDefault="00DC1E40" w:rsidP="00C315D6">
            <w:pPr>
              <w:spacing w:after="0" w:line="360" w:lineRule="auto"/>
              <w:rPr>
                <w:rFonts w:cstheme="minorHAnsi"/>
              </w:rPr>
            </w:pPr>
            <w:r w:rsidRPr="00AD7B00">
              <w:rPr>
                <w:rFonts w:cstheme="minorHAnsi"/>
              </w:rPr>
              <w:t>Relative Cerebral Blood Flow</w:t>
            </w:r>
          </w:p>
        </w:tc>
      </w:tr>
      <w:tr w:rsidR="00DC1E40" w:rsidRPr="00AD7B00" w14:paraId="6A9E73E9" w14:textId="0698118F" w:rsidTr="002A2620">
        <w:tc>
          <w:tcPr>
            <w:tcW w:w="1529" w:type="dxa"/>
            <w:vAlign w:val="center"/>
          </w:tcPr>
          <w:p w14:paraId="0E22DDAA" w14:textId="58EBCDD1" w:rsidR="00DC1E40" w:rsidRPr="00AD7B00" w:rsidRDefault="00DC1E40" w:rsidP="00C315D6">
            <w:pPr>
              <w:spacing w:after="0" w:line="360" w:lineRule="auto"/>
              <w:rPr>
                <w:rFonts w:cstheme="minorHAnsi"/>
                <w:b/>
                <w:bCs/>
              </w:rPr>
            </w:pPr>
            <w:proofErr w:type="spellStart"/>
            <w:r w:rsidRPr="00AD7B00">
              <w:rPr>
                <w:rFonts w:cstheme="minorHAnsi"/>
                <w:b/>
                <w:bCs/>
              </w:rPr>
              <w:t>RDNS</w:t>
            </w:r>
            <w:proofErr w:type="spellEnd"/>
          </w:p>
        </w:tc>
        <w:tc>
          <w:tcPr>
            <w:tcW w:w="7255" w:type="dxa"/>
            <w:vAlign w:val="center"/>
          </w:tcPr>
          <w:p w14:paraId="12E65087" w14:textId="05A9AA02" w:rsidR="00DC1E40" w:rsidRPr="00AD7B00" w:rsidRDefault="00DC1E40" w:rsidP="00C315D6">
            <w:pPr>
              <w:spacing w:after="0" w:line="360" w:lineRule="auto"/>
              <w:rPr>
                <w:rFonts w:cstheme="minorHAnsi"/>
              </w:rPr>
            </w:pPr>
            <w:r w:rsidRPr="00AD7B00">
              <w:rPr>
                <w:rFonts w:cstheme="minorHAnsi"/>
              </w:rPr>
              <w:t>Rochester Diabetic Neuropathy Study</w:t>
            </w:r>
          </w:p>
        </w:tc>
      </w:tr>
      <w:tr w:rsidR="00DC1E40" w:rsidRPr="00AD7B00" w14:paraId="11C6DB60" w14:textId="0B95C5BC" w:rsidTr="002A2620">
        <w:tc>
          <w:tcPr>
            <w:tcW w:w="1529" w:type="dxa"/>
            <w:vAlign w:val="center"/>
          </w:tcPr>
          <w:p w14:paraId="5BD1917A" w14:textId="6094F101" w:rsidR="00DC1E40" w:rsidRPr="00AD7B00" w:rsidRDefault="00DC1E40" w:rsidP="00C315D6">
            <w:pPr>
              <w:spacing w:after="0" w:line="360" w:lineRule="auto"/>
              <w:rPr>
                <w:rFonts w:cstheme="minorHAnsi"/>
                <w:b/>
                <w:bCs/>
              </w:rPr>
            </w:pPr>
            <w:proofErr w:type="spellStart"/>
            <w:r w:rsidRPr="00AD7B00">
              <w:rPr>
                <w:rFonts w:cstheme="minorHAnsi"/>
                <w:b/>
                <w:bCs/>
              </w:rPr>
              <w:t>RBX</w:t>
            </w:r>
            <w:proofErr w:type="spellEnd"/>
          </w:p>
        </w:tc>
        <w:tc>
          <w:tcPr>
            <w:tcW w:w="7255" w:type="dxa"/>
            <w:vAlign w:val="center"/>
          </w:tcPr>
          <w:p w14:paraId="0BCF62B1" w14:textId="78794D3C" w:rsidR="00DC1E40" w:rsidRPr="00AD7B00" w:rsidRDefault="00DC1E40" w:rsidP="00C315D6">
            <w:pPr>
              <w:spacing w:after="0" w:line="360" w:lineRule="auto"/>
              <w:rPr>
                <w:rFonts w:cstheme="minorHAnsi"/>
              </w:rPr>
            </w:pPr>
            <w:proofErr w:type="spellStart"/>
            <w:r w:rsidRPr="00AD7B00">
              <w:rPr>
                <w:rFonts w:cstheme="minorHAnsi"/>
              </w:rPr>
              <w:t>Ruboxistaurin</w:t>
            </w:r>
            <w:proofErr w:type="spellEnd"/>
          </w:p>
        </w:tc>
      </w:tr>
      <w:tr w:rsidR="00DC1E40" w:rsidRPr="00AD7B00" w14:paraId="254AE53F" w14:textId="1366DA91" w:rsidTr="002A2620">
        <w:tc>
          <w:tcPr>
            <w:tcW w:w="1529" w:type="dxa"/>
            <w:vAlign w:val="center"/>
          </w:tcPr>
          <w:p w14:paraId="14DAB47D" w14:textId="729C7A53" w:rsidR="00DC1E40" w:rsidRPr="00AD7B00" w:rsidRDefault="00DC1E40" w:rsidP="00C315D6">
            <w:pPr>
              <w:spacing w:after="0" w:line="360" w:lineRule="auto"/>
              <w:rPr>
                <w:rFonts w:cstheme="minorHAnsi"/>
                <w:b/>
                <w:bCs/>
                <w:lang w:val="es-ES_tradnl"/>
              </w:rPr>
            </w:pPr>
            <w:r w:rsidRPr="00AD7B00">
              <w:rPr>
                <w:rFonts w:cstheme="minorHAnsi"/>
                <w:b/>
                <w:bCs/>
                <w:lang w:val="es-ES_tradnl"/>
              </w:rPr>
              <w:t>ROS</w:t>
            </w:r>
          </w:p>
        </w:tc>
        <w:tc>
          <w:tcPr>
            <w:tcW w:w="7255" w:type="dxa"/>
            <w:vAlign w:val="center"/>
          </w:tcPr>
          <w:p w14:paraId="6BDBB128" w14:textId="6CF79F05" w:rsidR="00DC1E40" w:rsidRPr="00AD7B00" w:rsidRDefault="00DC1E40" w:rsidP="00C315D6">
            <w:pPr>
              <w:spacing w:after="0" w:line="360" w:lineRule="auto"/>
              <w:rPr>
                <w:rFonts w:cstheme="minorHAnsi"/>
                <w:lang w:val="es-ES_tradnl"/>
              </w:rPr>
            </w:pPr>
            <w:r w:rsidRPr="00AD7B00">
              <w:rPr>
                <w:rFonts w:cstheme="minorHAnsi"/>
                <w:lang w:val="es-ES_tradnl"/>
              </w:rPr>
              <w:t xml:space="preserve">Reactive </w:t>
            </w:r>
            <w:proofErr w:type="spellStart"/>
            <w:r w:rsidRPr="00AD7B00">
              <w:rPr>
                <w:rFonts w:cstheme="minorHAnsi"/>
                <w:lang w:val="es-ES_tradnl"/>
              </w:rPr>
              <w:t>Oxygen</w:t>
            </w:r>
            <w:proofErr w:type="spellEnd"/>
            <w:r w:rsidRPr="00AD7B00">
              <w:rPr>
                <w:rFonts w:cstheme="minorHAnsi"/>
                <w:lang w:val="es-ES_tradnl"/>
              </w:rPr>
              <w:t xml:space="preserve"> </w:t>
            </w:r>
            <w:proofErr w:type="spellStart"/>
            <w:r w:rsidRPr="00AD7B00">
              <w:rPr>
                <w:rFonts w:cstheme="minorHAnsi"/>
                <w:lang w:val="es-ES_tradnl"/>
              </w:rPr>
              <w:t>Species</w:t>
            </w:r>
            <w:proofErr w:type="spellEnd"/>
          </w:p>
        </w:tc>
      </w:tr>
      <w:tr w:rsidR="00DC1E40" w:rsidRPr="00AD7B00" w14:paraId="2B060F52" w14:textId="1F5CC39E" w:rsidTr="002A2620">
        <w:tc>
          <w:tcPr>
            <w:tcW w:w="1529" w:type="dxa"/>
            <w:vAlign w:val="center"/>
          </w:tcPr>
          <w:p w14:paraId="45496074" w14:textId="0E885047" w:rsidR="00DC1E40" w:rsidRPr="00AD7B00" w:rsidRDefault="00DC1E40" w:rsidP="00C315D6">
            <w:pPr>
              <w:spacing w:after="0" w:line="360" w:lineRule="auto"/>
              <w:rPr>
                <w:rFonts w:cstheme="minorHAnsi"/>
                <w:b/>
                <w:bCs/>
                <w:lang w:val="es-ES_tradnl"/>
              </w:rPr>
            </w:pPr>
            <w:proofErr w:type="spellStart"/>
            <w:r w:rsidRPr="00AD7B00">
              <w:rPr>
                <w:rFonts w:cstheme="minorHAnsi"/>
                <w:b/>
                <w:bCs/>
                <w:lang w:val="es-ES_tradnl"/>
              </w:rPr>
              <w:t>RVM</w:t>
            </w:r>
            <w:proofErr w:type="spellEnd"/>
          </w:p>
        </w:tc>
        <w:tc>
          <w:tcPr>
            <w:tcW w:w="7255" w:type="dxa"/>
            <w:vAlign w:val="center"/>
          </w:tcPr>
          <w:p w14:paraId="44C9565F" w14:textId="1165EED6" w:rsidR="00DC1E40" w:rsidRPr="00AD7B00" w:rsidRDefault="00DC1E40" w:rsidP="00C315D6">
            <w:pPr>
              <w:spacing w:after="0" w:line="360" w:lineRule="auto"/>
              <w:rPr>
                <w:rFonts w:cstheme="minorHAnsi"/>
                <w:lang w:val="es-ES_tradnl"/>
              </w:rPr>
            </w:pPr>
            <w:r w:rsidRPr="00AD7B00">
              <w:rPr>
                <w:rFonts w:cstheme="minorHAnsi"/>
                <w:lang w:val="es-ES_tradnl"/>
              </w:rPr>
              <w:t xml:space="preserve">Rostral Ventral </w:t>
            </w:r>
            <w:proofErr w:type="spellStart"/>
            <w:r w:rsidRPr="00AD7B00">
              <w:rPr>
                <w:rFonts w:cstheme="minorHAnsi"/>
                <w:lang w:val="es-ES_tradnl"/>
              </w:rPr>
              <w:t>Medulla</w:t>
            </w:r>
            <w:proofErr w:type="spellEnd"/>
          </w:p>
        </w:tc>
      </w:tr>
      <w:tr w:rsidR="000716DB" w:rsidRPr="00AD7B00" w14:paraId="54063074" w14:textId="77777777" w:rsidTr="002A2620">
        <w:tc>
          <w:tcPr>
            <w:tcW w:w="1529" w:type="dxa"/>
            <w:vAlign w:val="center"/>
          </w:tcPr>
          <w:p w14:paraId="254A1CB7" w14:textId="7C53051F" w:rsidR="000716DB" w:rsidRPr="00AD7B00" w:rsidRDefault="000716DB" w:rsidP="00C315D6">
            <w:pPr>
              <w:spacing w:after="0" w:line="360" w:lineRule="auto"/>
              <w:rPr>
                <w:rFonts w:cstheme="minorHAnsi"/>
                <w:b/>
                <w:bCs/>
                <w:lang w:val="es-ES_tradnl"/>
              </w:rPr>
            </w:pPr>
            <w:r w:rsidRPr="00AD7B00">
              <w:rPr>
                <w:rFonts w:eastAsiaTheme="minorHAnsi" w:cstheme="minorHAnsi"/>
                <w:b/>
                <w:lang w:eastAsia="en-US"/>
              </w:rPr>
              <w:t>SCI</w:t>
            </w:r>
          </w:p>
        </w:tc>
        <w:tc>
          <w:tcPr>
            <w:tcW w:w="7255" w:type="dxa"/>
            <w:vAlign w:val="center"/>
          </w:tcPr>
          <w:p w14:paraId="273C6BF4" w14:textId="64FB9999" w:rsidR="000716DB" w:rsidRPr="00AD7B00" w:rsidRDefault="000716DB" w:rsidP="00C315D6">
            <w:pPr>
              <w:spacing w:after="0" w:line="360" w:lineRule="auto"/>
              <w:rPr>
                <w:rFonts w:cstheme="minorHAnsi"/>
                <w:lang w:val="es-ES_tradnl"/>
              </w:rPr>
            </w:pPr>
            <w:r w:rsidRPr="00AD7B00">
              <w:rPr>
                <w:rFonts w:eastAsiaTheme="minorHAnsi" w:cstheme="minorHAnsi"/>
                <w:lang w:eastAsia="en-US"/>
              </w:rPr>
              <w:t xml:space="preserve">Spinal </w:t>
            </w:r>
            <w:r w:rsidR="006479A4" w:rsidRPr="00AD7B00">
              <w:rPr>
                <w:rFonts w:eastAsiaTheme="minorHAnsi" w:cstheme="minorHAnsi"/>
                <w:lang w:eastAsia="en-US"/>
              </w:rPr>
              <w:t>C</w:t>
            </w:r>
            <w:r w:rsidRPr="00AD7B00">
              <w:rPr>
                <w:rFonts w:eastAsiaTheme="minorHAnsi" w:cstheme="minorHAnsi"/>
                <w:lang w:eastAsia="en-US"/>
              </w:rPr>
              <w:t xml:space="preserve">ord </w:t>
            </w:r>
            <w:r w:rsidR="006479A4" w:rsidRPr="00AD7B00">
              <w:rPr>
                <w:rFonts w:eastAsiaTheme="minorHAnsi" w:cstheme="minorHAnsi"/>
                <w:lang w:eastAsia="en-US"/>
              </w:rPr>
              <w:t>I</w:t>
            </w:r>
            <w:r w:rsidRPr="00AD7B00">
              <w:rPr>
                <w:rFonts w:eastAsiaTheme="minorHAnsi" w:cstheme="minorHAnsi"/>
                <w:lang w:eastAsia="en-US"/>
              </w:rPr>
              <w:t xml:space="preserve">njury </w:t>
            </w:r>
          </w:p>
        </w:tc>
      </w:tr>
      <w:tr w:rsidR="00DC1E40" w:rsidRPr="00AD7B00" w14:paraId="1B11EC6E" w14:textId="618849F7" w:rsidTr="002A2620">
        <w:tc>
          <w:tcPr>
            <w:tcW w:w="1529" w:type="dxa"/>
            <w:vAlign w:val="center"/>
          </w:tcPr>
          <w:p w14:paraId="228673B7" w14:textId="2C4F5C4B" w:rsidR="00DC1E40" w:rsidRPr="00AD7B00" w:rsidRDefault="00DC1E40" w:rsidP="00C315D6">
            <w:pPr>
              <w:spacing w:after="0" w:line="360" w:lineRule="auto"/>
              <w:rPr>
                <w:rFonts w:cstheme="minorHAnsi"/>
                <w:b/>
                <w:bCs/>
                <w:lang w:val="es-ES_tradnl"/>
              </w:rPr>
            </w:pPr>
            <w:proofErr w:type="spellStart"/>
            <w:r w:rsidRPr="00AD7B00">
              <w:rPr>
                <w:rFonts w:cstheme="minorHAnsi"/>
                <w:b/>
                <w:bCs/>
                <w:lang w:val="es-ES_tradnl"/>
              </w:rPr>
              <w:t>SDH</w:t>
            </w:r>
            <w:proofErr w:type="spellEnd"/>
          </w:p>
        </w:tc>
        <w:tc>
          <w:tcPr>
            <w:tcW w:w="7255" w:type="dxa"/>
            <w:vAlign w:val="center"/>
          </w:tcPr>
          <w:p w14:paraId="448A7F0B" w14:textId="4C88847C" w:rsidR="00DC1E40" w:rsidRPr="00AD7B00" w:rsidRDefault="00DC1E40" w:rsidP="00C315D6">
            <w:pPr>
              <w:spacing w:after="0" w:line="360" w:lineRule="auto"/>
              <w:rPr>
                <w:rFonts w:cstheme="minorHAnsi"/>
                <w:lang w:val="es-ES_tradnl"/>
              </w:rPr>
            </w:pPr>
            <w:r w:rsidRPr="00AD7B00">
              <w:rPr>
                <w:rFonts w:cstheme="minorHAnsi"/>
                <w:lang w:val="es-ES_tradnl"/>
              </w:rPr>
              <w:t xml:space="preserve">Sorbitol </w:t>
            </w:r>
            <w:proofErr w:type="spellStart"/>
            <w:r w:rsidRPr="00AD7B00">
              <w:rPr>
                <w:rFonts w:cstheme="minorHAnsi"/>
                <w:lang w:val="es-ES_tradnl"/>
              </w:rPr>
              <w:t>Dehydrogenase</w:t>
            </w:r>
            <w:proofErr w:type="spellEnd"/>
          </w:p>
        </w:tc>
      </w:tr>
      <w:tr w:rsidR="00E738E0" w:rsidRPr="00AD7B00" w14:paraId="0DF56817" w14:textId="77777777" w:rsidTr="002A2620">
        <w:tc>
          <w:tcPr>
            <w:tcW w:w="1529" w:type="dxa"/>
            <w:vAlign w:val="center"/>
          </w:tcPr>
          <w:p w14:paraId="540A75E8" w14:textId="7AF4D7D4" w:rsidR="00E738E0" w:rsidRPr="00AD7B00" w:rsidRDefault="00E738E0" w:rsidP="00C315D6">
            <w:pPr>
              <w:spacing w:after="0" w:line="360" w:lineRule="auto"/>
              <w:rPr>
                <w:rFonts w:cstheme="minorHAnsi"/>
                <w:b/>
                <w:bCs/>
                <w:lang w:val="es-ES_tradnl"/>
              </w:rPr>
            </w:pPr>
            <w:proofErr w:type="spellStart"/>
            <w:r>
              <w:rPr>
                <w:rFonts w:cstheme="minorHAnsi"/>
                <w:b/>
                <w:bCs/>
                <w:lang w:val="es-ES_tradnl"/>
              </w:rPr>
              <w:t>SENF</w:t>
            </w:r>
            <w:proofErr w:type="spellEnd"/>
          </w:p>
        </w:tc>
        <w:tc>
          <w:tcPr>
            <w:tcW w:w="7255" w:type="dxa"/>
            <w:vAlign w:val="center"/>
          </w:tcPr>
          <w:p w14:paraId="305A2976" w14:textId="3BD7A3D5" w:rsidR="00E738E0" w:rsidRPr="00AD7B00" w:rsidRDefault="00E738E0" w:rsidP="00C315D6">
            <w:pPr>
              <w:spacing w:after="0" w:line="360" w:lineRule="auto"/>
              <w:rPr>
                <w:rFonts w:cstheme="minorHAnsi"/>
                <w:lang w:val="es-ES_tradnl"/>
              </w:rPr>
            </w:pPr>
            <w:r>
              <w:rPr>
                <w:rFonts w:cstheme="minorHAnsi"/>
                <w:lang w:val="es-ES_tradnl"/>
              </w:rPr>
              <w:t xml:space="preserve">Sub </w:t>
            </w:r>
            <w:proofErr w:type="spellStart"/>
            <w:r>
              <w:rPr>
                <w:rFonts w:cstheme="minorHAnsi"/>
                <w:lang w:val="es-ES_tradnl"/>
              </w:rPr>
              <w:t>Epidermal</w:t>
            </w:r>
            <w:proofErr w:type="spellEnd"/>
            <w:r>
              <w:rPr>
                <w:rFonts w:cstheme="minorHAnsi"/>
                <w:lang w:val="es-ES_tradnl"/>
              </w:rPr>
              <w:t xml:space="preserve"> </w:t>
            </w:r>
            <w:proofErr w:type="spellStart"/>
            <w:r>
              <w:rPr>
                <w:rFonts w:cstheme="minorHAnsi"/>
                <w:lang w:val="es-ES_tradnl"/>
              </w:rPr>
              <w:t>Nerve</w:t>
            </w:r>
            <w:proofErr w:type="spellEnd"/>
            <w:r>
              <w:rPr>
                <w:rFonts w:cstheme="minorHAnsi"/>
                <w:lang w:val="es-ES_tradnl"/>
              </w:rPr>
              <w:t xml:space="preserve"> </w:t>
            </w:r>
            <w:proofErr w:type="spellStart"/>
            <w:r>
              <w:rPr>
                <w:rFonts w:cstheme="minorHAnsi"/>
                <w:lang w:val="es-ES_tradnl"/>
              </w:rPr>
              <w:t>Fibre</w:t>
            </w:r>
            <w:proofErr w:type="spellEnd"/>
          </w:p>
        </w:tc>
      </w:tr>
      <w:tr w:rsidR="00E738E0" w:rsidRPr="00AD7B00" w14:paraId="785A22F2" w14:textId="77777777" w:rsidTr="002A2620">
        <w:tc>
          <w:tcPr>
            <w:tcW w:w="1529" w:type="dxa"/>
            <w:vAlign w:val="center"/>
          </w:tcPr>
          <w:p w14:paraId="4F5D5F59" w14:textId="7D333717" w:rsidR="00E738E0" w:rsidRDefault="00E738E0" w:rsidP="00C315D6">
            <w:pPr>
              <w:spacing w:after="0" w:line="360" w:lineRule="auto"/>
              <w:rPr>
                <w:rFonts w:cstheme="minorHAnsi"/>
                <w:b/>
                <w:bCs/>
                <w:lang w:val="es-ES_tradnl"/>
              </w:rPr>
            </w:pPr>
            <w:proofErr w:type="spellStart"/>
            <w:r>
              <w:rPr>
                <w:rFonts w:cstheme="minorHAnsi"/>
                <w:b/>
                <w:bCs/>
                <w:lang w:val="es-ES_tradnl"/>
              </w:rPr>
              <w:t>SENFD</w:t>
            </w:r>
            <w:proofErr w:type="spellEnd"/>
          </w:p>
        </w:tc>
        <w:tc>
          <w:tcPr>
            <w:tcW w:w="7255" w:type="dxa"/>
            <w:vAlign w:val="center"/>
          </w:tcPr>
          <w:p w14:paraId="4C1FBB1D" w14:textId="5FC941CF" w:rsidR="00E738E0" w:rsidRDefault="00E738E0" w:rsidP="00C315D6">
            <w:pPr>
              <w:spacing w:after="0" w:line="360" w:lineRule="auto"/>
              <w:rPr>
                <w:rFonts w:cstheme="minorHAnsi"/>
                <w:lang w:val="es-ES_tradnl"/>
              </w:rPr>
            </w:pPr>
            <w:r>
              <w:rPr>
                <w:rFonts w:cstheme="minorHAnsi"/>
                <w:lang w:val="es-ES_tradnl"/>
              </w:rPr>
              <w:t xml:space="preserve">Sub </w:t>
            </w:r>
            <w:proofErr w:type="spellStart"/>
            <w:r>
              <w:rPr>
                <w:rFonts w:cstheme="minorHAnsi"/>
                <w:lang w:val="es-ES_tradnl"/>
              </w:rPr>
              <w:t>Epidermal</w:t>
            </w:r>
            <w:proofErr w:type="spellEnd"/>
            <w:r>
              <w:rPr>
                <w:rFonts w:cstheme="minorHAnsi"/>
                <w:lang w:val="es-ES_tradnl"/>
              </w:rPr>
              <w:t xml:space="preserve"> </w:t>
            </w:r>
            <w:proofErr w:type="spellStart"/>
            <w:r>
              <w:rPr>
                <w:rFonts w:cstheme="minorHAnsi"/>
                <w:lang w:val="es-ES_tradnl"/>
              </w:rPr>
              <w:t>Nerve</w:t>
            </w:r>
            <w:proofErr w:type="spellEnd"/>
            <w:r>
              <w:rPr>
                <w:rFonts w:cstheme="minorHAnsi"/>
                <w:lang w:val="es-ES_tradnl"/>
              </w:rPr>
              <w:t xml:space="preserve"> </w:t>
            </w:r>
            <w:proofErr w:type="spellStart"/>
            <w:r>
              <w:rPr>
                <w:rFonts w:cstheme="minorHAnsi"/>
                <w:lang w:val="es-ES_tradnl"/>
              </w:rPr>
              <w:t>Fibre</w:t>
            </w:r>
            <w:proofErr w:type="spellEnd"/>
            <w:r>
              <w:rPr>
                <w:rFonts w:cstheme="minorHAnsi"/>
                <w:lang w:val="es-ES_tradnl"/>
              </w:rPr>
              <w:t xml:space="preserve"> </w:t>
            </w:r>
            <w:proofErr w:type="spellStart"/>
            <w:r>
              <w:rPr>
                <w:rFonts w:cstheme="minorHAnsi"/>
                <w:lang w:val="es-ES_tradnl"/>
              </w:rPr>
              <w:t>Density</w:t>
            </w:r>
            <w:proofErr w:type="spellEnd"/>
          </w:p>
        </w:tc>
      </w:tr>
      <w:tr w:rsidR="00042DC8" w:rsidRPr="00AD7B00" w14:paraId="41B6D743" w14:textId="77777777" w:rsidTr="002A2620">
        <w:tc>
          <w:tcPr>
            <w:tcW w:w="1529" w:type="dxa"/>
            <w:vAlign w:val="center"/>
          </w:tcPr>
          <w:p w14:paraId="696AC05C" w14:textId="6F6DCCCE" w:rsidR="00042DC8" w:rsidRPr="00AD7B00" w:rsidRDefault="00042DC8" w:rsidP="00C315D6">
            <w:pPr>
              <w:spacing w:after="0" w:line="360" w:lineRule="auto"/>
              <w:rPr>
                <w:rFonts w:cstheme="minorHAnsi"/>
                <w:b/>
                <w:bCs/>
              </w:rPr>
            </w:pPr>
            <w:r w:rsidRPr="00AD7B00">
              <w:rPr>
                <w:rFonts w:cstheme="minorHAnsi"/>
                <w:b/>
                <w:bCs/>
              </w:rPr>
              <w:t>SF36</w:t>
            </w:r>
          </w:p>
        </w:tc>
        <w:tc>
          <w:tcPr>
            <w:tcW w:w="7255" w:type="dxa"/>
            <w:vAlign w:val="center"/>
          </w:tcPr>
          <w:p w14:paraId="3F6285E1" w14:textId="255F59EF" w:rsidR="00042DC8" w:rsidRPr="00AD7B00" w:rsidRDefault="00042DC8" w:rsidP="00C315D6">
            <w:pPr>
              <w:spacing w:after="0" w:line="360" w:lineRule="auto"/>
              <w:rPr>
                <w:rFonts w:cstheme="minorHAnsi"/>
              </w:rPr>
            </w:pPr>
            <w:r w:rsidRPr="00AD7B00">
              <w:rPr>
                <w:rFonts w:cstheme="minorHAnsi"/>
              </w:rPr>
              <w:t>Short Form Survey</w:t>
            </w:r>
          </w:p>
        </w:tc>
      </w:tr>
      <w:tr w:rsidR="00DC1E40" w:rsidRPr="00AD7B00" w14:paraId="5A44F641" w14:textId="405FF2FD" w:rsidTr="002A2620">
        <w:tc>
          <w:tcPr>
            <w:tcW w:w="1529" w:type="dxa"/>
            <w:vAlign w:val="center"/>
          </w:tcPr>
          <w:p w14:paraId="19A7ED3D" w14:textId="6080140E" w:rsidR="00DC1E40" w:rsidRPr="00AD7B00" w:rsidRDefault="00DC1E40" w:rsidP="00C315D6">
            <w:pPr>
              <w:spacing w:after="0" w:line="360" w:lineRule="auto"/>
              <w:rPr>
                <w:rFonts w:cstheme="minorHAnsi"/>
                <w:b/>
                <w:bCs/>
              </w:rPr>
            </w:pPr>
            <w:proofErr w:type="spellStart"/>
            <w:r w:rsidRPr="00AD7B00">
              <w:rPr>
                <w:rFonts w:cstheme="minorHAnsi"/>
                <w:b/>
                <w:bCs/>
              </w:rPr>
              <w:t>SFN</w:t>
            </w:r>
            <w:proofErr w:type="spellEnd"/>
          </w:p>
        </w:tc>
        <w:tc>
          <w:tcPr>
            <w:tcW w:w="7255" w:type="dxa"/>
            <w:vAlign w:val="center"/>
          </w:tcPr>
          <w:p w14:paraId="3BF99E17" w14:textId="21F21E45" w:rsidR="00DC1E40" w:rsidRPr="00AD7B00" w:rsidRDefault="00DC1E40" w:rsidP="00C315D6">
            <w:pPr>
              <w:spacing w:after="0" w:line="360" w:lineRule="auto"/>
              <w:rPr>
                <w:rFonts w:cstheme="minorHAnsi"/>
              </w:rPr>
            </w:pPr>
            <w:r w:rsidRPr="00AD7B00">
              <w:rPr>
                <w:rFonts w:cstheme="minorHAnsi"/>
              </w:rPr>
              <w:t>Small Fibre Neuropathy</w:t>
            </w:r>
          </w:p>
        </w:tc>
      </w:tr>
      <w:tr w:rsidR="00DC1E40" w:rsidRPr="00AD7B00" w14:paraId="22DBD9A8" w14:textId="54C7F453" w:rsidTr="002A2620">
        <w:tc>
          <w:tcPr>
            <w:tcW w:w="1529" w:type="dxa"/>
            <w:vAlign w:val="center"/>
          </w:tcPr>
          <w:p w14:paraId="22A80530" w14:textId="6C318A35" w:rsidR="00DC1E40" w:rsidRPr="00AD7B00" w:rsidRDefault="00DC1E40" w:rsidP="00C315D6">
            <w:pPr>
              <w:spacing w:after="0" w:line="360" w:lineRule="auto"/>
              <w:rPr>
                <w:rFonts w:cstheme="minorHAnsi"/>
                <w:b/>
                <w:bCs/>
              </w:rPr>
            </w:pPr>
            <w:r w:rsidRPr="00AD7B00">
              <w:rPr>
                <w:rFonts w:cstheme="minorHAnsi"/>
                <w:b/>
                <w:bCs/>
              </w:rPr>
              <w:t>SNAP</w:t>
            </w:r>
          </w:p>
        </w:tc>
        <w:tc>
          <w:tcPr>
            <w:tcW w:w="7255" w:type="dxa"/>
            <w:vAlign w:val="center"/>
          </w:tcPr>
          <w:p w14:paraId="15F4FFE7" w14:textId="0FFCB17C" w:rsidR="00DC1E40" w:rsidRPr="00AD7B00" w:rsidRDefault="00DC1E40" w:rsidP="00C315D6">
            <w:pPr>
              <w:spacing w:after="0" w:line="360" w:lineRule="auto"/>
              <w:rPr>
                <w:rFonts w:cstheme="minorHAnsi"/>
              </w:rPr>
            </w:pPr>
            <w:r w:rsidRPr="00AD7B00">
              <w:rPr>
                <w:rFonts w:cstheme="minorHAnsi"/>
              </w:rPr>
              <w:t>Sensory Nerve Action Potential</w:t>
            </w:r>
          </w:p>
        </w:tc>
      </w:tr>
      <w:tr w:rsidR="00DC1E40" w:rsidRPr="00AD7B00" w14:paraId="2E6D7173" w14:textId="5FD608C2" w:rsidTr="002A2620">
        <w:tc>
          <w:tcPr>
            <w:tcW w:w="1529" w:type="dxa"/>
            <w:vAlign w:val="center"/>
          </w:tcPr>
          <w:p w14:paraId="6739C5FD" w14:textId="2E33D5D8" w:rsidR="00DC1E40" w:rsidRPr="00AD7B00" w:rsidRDefault="00DC1E40" w:rsidP="00C315D6">
            <w:pPr>
              <w:spacing w:after="0" w:line="360" w:lineRule="auto"/>
              <w:rPr>
                <w:rFonts w:cstheme="minorHAnsi"/>
                <w:b/>
                <w:bCs/>
              </w:rPr>
            </w:pPr>
            <w:r w:rsidRPr="00AD7B00">
              <w:rPr>
                <w:rFonts w:cstheme="minorHAnsi"/>
                <w:b/>
                <w:bCs/>
              </w:rPr>
              <w:t>SP</w:t>
            </w:r>
          </w:p>
        </w:tc>
        <w:tc>
          <w:tcPr>
            <w:tcW w:w="7255" w:type="dxa"/>
            <w:vAlign w:val="center"/>
          </w:tcPr>
          <w:p w14:paraId="311AE9BF" w14:textId="243C090C" w:rsidR="00DC1E40" w:rsidRPr="00AD7B00" w:rsidRDefault="00DC1E40" w:rsidP="00C315D6">
            <w:pPr>
              <w:spacing w:after="0" w:line="360" w:lineRule="auto"/>
              <w:rPr>
                <w:rFonts w:cstheme="minorHAnsi"/>
              </w:rPr>
            </w:pPr>
            <w:r w:rsidRPr="00AD7B00">
              <w:rPr>
                <w:rFonts w:cstheme="minorHAnsi"/>
              </w:rPr>
              <w:t>Substance P</w:t>
            </w:r>
          </w:p>
        </w:tc>
      </w:tr>
      <w:tr w:rsidR="00DC1E40" w:rsidRPr="00AD7B00" w14:paraId="77D643BF" w14:textId="0ABD4FA6" w:rsidTr="002A2620">
        <w:tc>
          <w:tcPr>
            <w:tcW w:w="1529" w:type="dxa"/>
            <w:vAlign w:val="center"/>
          </w:tcPr>
          <w:p w14:paraId="37A609E4" w14:textId="0AE38D54" w:rsidR="00DC1E40" w:rsidRPr="00AD7B00" w:rsidRDefault="00DC1E40" w:rsidP="00C315D6">
            <w:pPr>
              <w:spacing w:after="0" w:line="360" w:lineRule="auto"/>
              <w:rPr>
                <w:rFonts w:cstheme="minorHAnsi"/>
                <w:b/>
                <w:bCs/>
              </w:rPr>
            </w:pPr>
            <w:r w:rsidRPr="00AD7B00">
              <w:rPr>
                <w:rFonts w:cstheme="minorHAnsi"/>
                <w:b/>
                <w:bCs/>
              </w:rPr>
              <w:t>SOD</w:t>
            </w:r>
          </w:p>
        </w:tc>
        <w:tc>
          <w:tcPr>
            <w:tcW w:w="7255" w:type="dxa"/>
            <w:vAlign w:val="center"/>
          </w:tcPr>
          <w:p w14:paraId="1BA54D14" w14:textId="72F70E11" w:rsidR="00DC1E40" w:rsidRPr="00AD7B00" w:rsidRDefault="00DC1E40" w:rsidP="00C315D6">
            <w:pPr>
              <w:spacing w:after="0" w:line="360" w:lineRule="auto"/>
              <w:rPr>
                <w:rFonts w:cstheme="minorHAnsi"/>
              </w:rPr>
            </w:pPr>
            <w:r w:rsidRPr="00AD7B00">
              <w:rPr>
                <w:rFonts w:cstheme="minorHAnsi"/>
              </w:rPr>
              <w:t xml:space="preserve">Superoxide </w:t>
            </w:r>
            <w:proofErr w:type="spellStart"/>
            <w:r w:rsidRPr="00AD7B00">
              <w:rPr>
                <w:rFonts w:cstheme="minorHAnsi"/>
              </w:rPr>
              <w:t>Dismutases</w:t>
            </w:r>
            <w:proofErr w:type="spellEnd"/>
          </w:p>
        </w:tc>
      </w:tr>
      <w:tr w:rsidR="0018520A" w:rsidRPr="00AD7B00" w14:paraId="5160EC6D" w14:textId="77777777" w:rsidTr="002A2620">
        <w:tc>
          <w:tcPr>
            <w:tcW w:w="1529" w:type="dxa"/>
            <w:vAlign w:val="center"/>
          </w:tcPr>
          <w:p w14:paraId="44BFDD2B" w14:textId="7253FBDC" w:rsidR="0018520A" w:rsidRPr="00AD7B00" w:rsidRDefault="0018520A" w:rsidP="00C315D6">
            <w:pPr>
              <w:spacing w:after="0" w:line="360" w:lineRule="auto"/>
              <w:rPr>
                <w:rFonts w:cstheme="minorHAnsi"/>
                <w:b/>
                <w:bCs/>
              </w:rPr>
            </w:pPr>
            <w:r w:rsidRPr="00AD7B00">
              <w:rPr>
                <w:rFonts w:cstheme="minorHAnsi"/>
                <w:b/>
                <w:color w:val="000000" w:themeColor="text1"/>
              </w:rPr>
              <w:t>T2DM</w:t>
            </w:r>
          </w:p>
        </w:tc>
        <w:tc>
          <w:tcPr>
            <w:tcW w:w="7255" w:type="dxa"/>
            <w:vAlign w:val="center"/>
          </w:tcPr>
          <w:p w14:paraId="0F948FE5" w14:textId="61A2A1CE" w:rsidR="0018520A" w:rsidRPr="00AD7B00" w:rsidRDefault="0018520A" w:rsidP="00C315D6">
            <w:pPr>
              <w:spacing w:after="0" w:line="360" w:lineRule="auto"/>
              <w:rPr>
                <w:rFonts w:cstheme="minorHAnsi"/>
              </w:rPr>
            </w:pPr>
            <w:r w:rsidRPr="00AD7B00">
              <w:rPr>
                <w:rFonts w:cstheme="minorHAnsi"/>
                <w:color w:val="000000" w:themeColor="text1"/>
              </w:rPr>
              <w:t>Type 2 Diabetes Mellitus</w:t>
            </w:r>
          </w:p>
        </w:tc>
      </w:tr>
      <w:tr w:rsidR="00DC1E40" w:rsidRPr="00AD7B00" w14:paraId="6751F5D9" w14:textId="5D6FD643" w:rsidTr="002A2620">
        <w:tc>
          <w:tcPr>
            <w:tcW w:w="1529" w:type="dxa"/>
            <w:vAlign w:val="center"/>
          </w:tcPr>
          <w:p w14:paraId="71F1E102" w14:textId="750AD803" w:rsidR="00DC1E40" w:rsidRPr="00AD7B00" w:rsidRDefault="00DC1E40" w:rsidP="00C315D6">
            <w:pPr>
              <w:spacing w:after="0" w:line="360" w:lineRule="auto"/>
              <w:rPr>
                <w:rFonts w:cstheme="minorHAnsi"/>
                <w:b/>
                <w:bCs/>
              </w:rPr>
            </w:pPr>
            <w:proofErr w:type="spellStart"/>
            <w:r w:rsidRPr="00AD7B00">
              <w:rPr>
                <w:rFonts w:cstheme="minorHAnsi"/>
                <w:b/>
                <w:bCs/>
              </w:rPr>
              <w:t>TCSS</w:t>
            </w:r>
            <w:proofErr w:type="spellEnd"/>
          </w:p>
        </w:tc>
        <w:tc>
          <w:tcPr>
            <w:tcW w:w="7255" w:type="dxa"/>
            <w:vAlign w:val="center"/>
          </w:tcPr>
          <w:p w14:paraId="267BB417" w14:textId="0A0175A4" w:rsidR="00DC1E40" w:rsidRPr="00AD7B00" w:rsidRDefault="00DC1E40" w:rsidP="00C315D6">
            <w:pPr>
              <w:spacing w:after="0" w:line="360" w:lineRule="auto"/>
              <w:rPr>
                <w:rFonts w:cstheme="minorHAnsi"/>
              </w:rPr>
            </w:pPr>
            <w:r w:rsidRPr="00AD7B00">
              <w:rPr>
                <w:rFonts w:cstheme="minorHAnsi"/>
              </w:rPr>
              <w:t>Toronto Clinical Scoring System</w:t>
            </w:r>
          </w:p>
        </w:tc>
      </w:tr>
      <w:tr w:rsidR="00DC1E40" w:rsidRPr="00AD7B00" w14:paraId="237113EB" w14:textId="423FDE3A" w:rsidTr="002A2620">
        <w:tc>
          <w:tcPr>
            <w:tcW w:w="1529" w:type="dxa"/>
            <w:vAlign w:val="center"/>
          </w:tcPr>
          <w:p w14:paraId="4E5163DE" w14:textId="3A77D842" w:rsidR="00DC1E40" w:rsidRPr="00AD7B00" w:rsidRDefault="00DC1E40" w:rsidP="00C315D6">
            <w:pPr>
              <w:spacing w:after="0" w:line="360" w:lineRule="auto"/>
              <w:rPr>
                <w:rFonts w:cstheme="minorHAnsi"/>
                <w:b/>
                <w:bCs/>
              </w:rPr>
            </w:pPr>
            <w:proofErr w:type="spellStart"/>
            <w:r w:rsidRPr="00AD7B00">
              <w:rPr>
                <w:rFonts w:cstheme="minorHAnsi"/>
                <w:b/>
                <w:bCs/>
              </w:rPr>
              <w:t>TGF</w:t>
            </w:r>
            <w:proofErr w:type="spellEnd"/>
          </w:p>
        </w:tc>
        <w:tc>
          <w:tcPr>
            <w:tcW w:w="7255" w:type="dxa"/>
            <w:vAlign w:val="center"/>
          </w:tcPr>
          <w:p w14:paraId="273D2825" w14:textId="5F542763" w:rsidR="00DC1E40" w:rsidRPr="00AD7B00" w:rsidRDefault="00DC1E40" w:rsidP="00C315D6">
            <w:pPr>
              <w:spacing w:after="0" w:line="360" w:lineRule="auto"/>
              <w:rPr>
                <w:rFonts w:cstheme="minorHAnsi"/>
              </w:rPr>
            </w:pPr>
            <w:r w:rsidRPr="00AD7B00">
              <w:rPr>
                <w:rFonts w:cstheme="minorHAnsi"/>
              </w:rPr>
              <w:t>Transforming Growth Factor</w:t>
            </w:r>
          </w:p>
        </w:tc>
      </w:tr>
      <w:tr w:rsidR="00DC1E40" w:rsidRPr="00AD7B00" w14:paraId="13F80551" w14:textId="65238FA2" w:rsidTr="002A2620">
        <w:tc>
          <w:tcPr>
            <w:tcW w:w="1529" w:type="dxa"/>
            <w:vAlign w:val="center"/>
          </w:tcPr>
          <w:p w14:paraId="4415D0CC" w14:textId="12ABA51D" w:rsidR="00DC1E40" w:rsidRPr="00AD7B00" w:rsidRDefault="00DC1E40" w:rsidP="00C315D6">
            <w:pPr>
              <w:spacing w:after="0" w:line="360" w:lineRule="auto"/>
              <w:rPr>
                <w:rFonts w:cstheme="minorHAnsi"/>
                <w:b/>
                <w:bCs/>
              </w:rPr>
            </w:pPr>
            <w:proofErr w:type="spellStart"/>
            <w:r w:rsidRPr="00AD7B00">
              <w:rPr>
                <w:rFonts w:cstheme="minorHAnsi"/>
                <w:b/>
                <w:bCs/>
              </w:rPr>
              <w:t>TRK</w:t>
            </w:r>
            <w:proofErr w:type="spellEnd"/>
          </w:p>
        </w:tc>
        <w:tc>
          <w:tcPr>
            <w:tcW w:w="7255" w:type="dxa"/>
            <w:vAlign w:val="center"/>
          </w:tcPr>
          <w:p w14:paraId="204A1EA2" w14:textId="57D1475D" w:rsidR="00DC1E40" w:rsidRPr="00AD7B00" w:rsidRDefault="00DC1E40" w:rsidP="00C315D6">
            <w:pPr>
              <w:spacing w:after="0" w:line="360" w:lineRule="auto"/>
              <w:rPr>
                <w:rFonts w:cstheme="minorHAnsi"/>
              </w:rPr>
            </w:pPr>
            <w:proofErr w:type="spellStart"/>
            <w:r w:rsidRPr="00AD7B00">
              <w:rPr>
                <w:rFonts w:cstheme="minorHAnsi"/>
              </w:rPr>
              <w:t>Tropomyosine</w:t>
            </w:r>
            <w:proofErr w:type="spellEnd"/>
            <w:r w:rsidRPr="00AD7B00">
              <w:rPr>
                <w:rFonts w:cstheme="minorHAnsi"/>
              </w:rPr>
              <w:t xml:space="preserve"> Receptor Kinase</w:t>
            </w:r>
          </w:p>
        </w:tc>
      </w:tr>
      <w:tr w:rsidR="00DC1E40" w:rsidRPr="00AD7B00" w14:paraId="2A3A7A00" w14:textId="5F8F6C4A" w:rsidTr="002A2620">
        <w:tc>
          <w:tcPr>
            <w:tcW w:w="1529" w:type="dxa"/>
            <w:vAlign w:val="center"/>
          </w:tcPr>
          <w:p w14:paraId="2CF0BAC9" w14:textId="647ACF50" w:rsidR="00DC1E40" w:rsidRPr="00AD7B00" w:rsidRDefault="00DC1E40" w:rsidP="00C315D6">
            <w:pPr>
              <w:spacing w:after="0" w:line="360" w:lineRule="auto"/>
              <w:rPr>
                <w:rFonts w:cstheme="minorHAnsi"/>
                <w:b/>
                <w:bCs/>
              </w:rPr>
            </w:pPr>
            <w:r w:rsidRPr="00AD7B00">
              <w:rPr>
                <w:rFonts w:cstheme="minorHAnsi"/>
                <w:b/>
                <w:bCs/>
              </w:rPr>
              <w:t>TRPV1</w:t>
            </w:r>
          </w:p>
        </w:tc>
        <w:tc>
          <w:tcPr>
            <w:tcW w:w="7255" w:type="dxa"/>
            <w:vAlign w:val="center"/>
          </w:tcPr>
          <w:p w14:paraId="1C3A38DD" w14:textId="76598CC8" w:rsidR="00DC1E40" w:rsidRPr="00AD7B00" w:rsidRDefault="00DC1E40" w:rsidP="00C315D6">
            <w:pPr>
              <w:spacing w:after="0" w:line="360" w:lineRule="auto"/>
              <w:rPr>
                <w:rFonts w:cstheme="minorHAnsi"/>
              </w:rPr>
            </w:pPr>
            <w:r w:rsidRPr="00AD7B00">
              <w:rPr>
                <w:rFonts w:cstheme="minorHAnsi"/>
              </w:rPr>
              <w:t>Transient Receptor Potential Cation Channel Vanilloid Type</w:t>
            </w:r>
          </w:p>
        </w:tc>
      </w:tr>
      <w:tr w:rsidR="0042107D" w:rsidRPr="00AD7B00" w14:paraId="18274DCA" w14:textId="77777777" w:rsidTr="002A2620">
        <w:tc>
          <w:tcPr>
            <w:tcW w:w="1529" w:type="dxa"/>
            <w:vAlign w:val="center"/>
          </w:tcPr>
          <w:p w14:paraId="06AB4E27" w14:textId="4112166D" w:rsidR="0042107D" w:rsidRPr="00AD7B00" w:rsidRDefault="0042107D" w:rsidP="00C315D6">
            <w:pPr>
              <w:spacing w:after="0" w:line="360" w:lineRule="auto"/>
              <w:rPr>
                <w:rFonts w:cstheme="minorHAnsi"/>
                <w:b/>
                <w:bCs/>
              </w:rPr>
            </w:pPr>
            <w:proofErr w:type="spellStart"/>
            <w:r w:rsidRPr="00AD7B00">
              <w:rPr>
                <w:rFonts w:cstheme="minorHAnsi"/>
                <w:b/>
                <w:bCs/>
              </w:rPr>
              <w:t>TSL</w:t>
            </w:r>
            <w:proofErr w:type="spellEnd"/>
          </w:p>
        </w:tc>
        <w:tc>
          <w:tcPr>
            <w:tcW w:w="7255" w:type="dxa"/>
            <w:vAlign w:val="center"/>
          </w:tcPr>
          <w:p w14:paraId="74E1DEA5" w14:textId="63887D9C" w:rsidR="0042107D" w:rsidRPr="00AD7B00" w:rsidRDefault="0042107D" w:rsidP="00C315D6">
            <w:pPr>
              <w:spacing w:after="0" w:line="360" w:lineRule="auto"/>
              <w:rPr>
                <w:rFonts w:cstheme="minorHAnsi"/>
              </w:rPr>
            </w:pPr>
            <w:r w:rsidRPr="00AD7B00">
              <w:rPr>
                <w:rFonts w:cstheme="minorHAnsi"/>
              </w:rPr>
              <w:t>Thermal Sensory Limen</w:t>
            </w:r>
          </w:p>
        </w:tc>
      </w:tr>
      <w:tr w:rsidR="00DC1E40" w:rsidRPr="00AD7B00" w14:paraId="3090EE36" w14:textId="438E9FB8" w:rsidTr="002A2620">
        <w:tc>
          <w:tcPr>
            <w:tcW w:w="1529" w:type="dxa"/>
            <w:vAlign w:val="center"/>
          </w:tcPr>
          <w:p w14:paraId="206728B2" w14:textId="0E2B4E72" w:rsidR="00DC1E40" w:rsidRPr="00AD7B00" w:rsidRDefault="00DC1E40" w:rsidP="00C315D6">
            <w:pPr>
              <w:spacing w:after="0" w:line="360" w:lineRule="auto"/>
              <w:rPr>
                <w:rFonts w:cstheme="minorHAnsi"/>
                <w:b/>
                <w:bCs/>
              </w:rPr>
            </w:pPr>
            <w:proofErr w:type="spellStart"/>
            <w:r w:rsidRPr="00AD7B00">
              <w:rPr>
                <w:rFonts w:cstheme="minorHAnsi"/>
                <w:b/>
                <w:bCs/>
              </w:rPr>
              <w:t>TTXr</w:t>
            </w:r>
            <w:proofErr w:type="spellEnd"/>
          </w:p>
        </w:tc>
        <w:tc>
          <w:tcPr>
            <w:tcW w:w="7255" w:type="dxa"/>
            <w:vAlign w:val="center"/>
          </w:tcPr>
          <w:p w14:paraId="51921D66" w14:textId="4C45005A" w:rsidR="00DC1E40" w:rsidRPr="00AD7B00" w:rsidRDefault="00DC1E40" w:rsidP="00C315D6">
            <w:pPr>
              <w:spacing w:after="0" w:line="360" w:lineRule="auto"/>
              <w:rPr>
                <w:rFonts w:cstheme="minorHAnsi"/>
              </w:rPr>
            </w:pPr>
            <w:r w:rsidRPr="00AD7B00">
              <w:rPr>
                <w:rFonts w:cstheme="minorHAnsi"/>
              </w:rPr>
              <w:t>Tetrodotoxin-Resistant</w:t>
            </w:r>
          </w:p>
        </w:tc>
      </w:tr>
      <w:tr w:rsidR="00DC1E40" w:rsidRPr="00AD7B00" w14:paraId="3E20E649" w14:textId="404AC917" w:rsidTr="002A2620">
        <w:tc>
          <w:tcPr>
            <w:tcW w:w="1529" w:type="dxa"/>
            <w:vAlign w:val="center"/>
          </w:tcPr>
          <w:p w14:paraId="430F5446" w14:textId="51C7E65A" w:rsidR="00DC1E40" w:rsidRPr="00AD7B00" w:rsidRDefault="00DC1E40" w:rsidP="00C315D6">
            <w:pPr>
              <w:spacing w:after="0" w:line="360" w:lineRule="auto"/>
              <w:rPr>
                <w:rFonts w:cstheme="minorHAnsi"/>
                <w:b/>
                <w:bCs/>
              </w:rPr>
            </w:pPr>
            <w:proofErr w:type="spellStart"/>
            <w:r w:rsidRPr="00AD7B00">
              <w:rPr>
                <w:rFonts w:cstheme="minorHAnsi"/>
                <w:b/>
                <w:bCs/>
              </w:rPr>
              <w:t>UDP</w:t>
            </w:r>
            <w:proofErr w:type="spellEnd"/>
          </w:p>
        </w:tc>
        <w:tc>
          <w:tcPr>
            <w:tcW w:w="7255" w:type="dxa"/>
            <w:vAlign w:val="center"/>
          </w:tcPr>
          <w:p w14:paraId="101156AB" w14:textId="13662C8D" w:rsidR="00DC1E40" w:rsidRPr="00AD7B00" w:rsidRDefault="00DC1E40" w:rsidP="00C315D6">
            <w:pPr>
              <w:spacing w:after="0" w:line="360" w:lineRule="auto"/>
              <w:rPr>
                <w:rFonts w:cstheme="minorHAnsi"/>
              </w:rPr>
            </w:pPr>
            <w:r w:rsidRPr="00AD7B00">
              <w:rPr>
                <w:rFonts w:cstheme="minorHAnsi"/>
              </w:rPr>
              <w:t>Uridine Diphosphate</w:t>
            </w:r>
          </w:p>
        </w:tc>
      </w:tr>
      <w:tr w:rsidR="00DC1E40" w:rsidRPr="00AD7B00" w14:paraId="236C74FB" w14:textId="3AB5DF42" w:rsidTr="002A2620">
        <w:tc>
          <w:tcPr>
            <w:tcW w:w="1529" w:type="dxa"/>
            <w:vAlign w:val="center"/>
          </w:tcPr>
          <w:p w14:paraId="0F2F44BB" w14:textId="77419A37" w:rsidR="00DC1E40" w:rsidRPr="00AD7B00" w:rsidRDefault="00DC1E40" w:rsidP="00C315D6">
            <w:pPr>
              <w:spacing w:after="0" w:line="360" w:lineRule="auto"/>
              <w:rPr>
                <w:rFonts w:cstheme="minorHAnsi"/>
                <w:b/>
                <w:bCs/>
              </w:rPr>
            </w:pPr>
            <w:proofErr w:type="spellStart"/>
            <w:r w:rsidRPr="00AD7B00">
              <w:rPr>
                <w:rFonts w:cstheme="minorHAnsi"/>
                <w:b/>
                <w:bCs/>
              </w:rPr>
              <w:t>UENS</w:t>
            </w:r>
            <w:proofErr w:type="spellEnd"/>
          </w:p>
        </w:tc>
        <w:tc>
          <w:tcPr>
            <w:tcW w:w="7255" w:type="dxa"/>
            <w:vAlign w:val="center"/>
          </w:tcPr>
          <w:p w14:paraId="6E42BB1E" w14:textId="11A16237" w:rsidR="00DC1E40" w:rsidRPr="00AD7B00" w:rsidRDefault="00DC1E40" w:rsidP="00C315D6">
            <w:pPr>
              <w:spacing w:after="0" w:line="360" w:lineRule="auto"/>
              <w:rPr>
                <w:rFonts w:cstheme="minorHAnsi"/>
              </w:rPr>
            </w:pPr>
            <w:r w:rsidRPr="00AD7B00">
              <w:rPr>
                <w:rFonts w:cstheme="minorHAnsi"/>
              </w:rPr>
              <w:t>Utah Early Neuropathy Scale</w:t>
            </w:r>
          </w:p>
        </w:tc>
      </w:tr>
      <w:tr w:rsidR="00DC1E40" w:rsidRPr="00AD7B00" w14:paraId="62DBC045" w14:textId="652D4F53" w:rsidTr="002A2620">
        <w:tc>
          <w:tcPr>
            <w:tcW w:w="1529" w:type="dxa"/>
            <w:vAlign w:val="center"/>
          </w:tcPr>
          <w:p w14:paraId="12D079C2" w14:textId="7486C5A6" w:rsidR="00DC1E40" w:rsidRPr="00AD7B00" w:rsidRDefault="00DC1E40" w:rsidP="00C315D6">
            <w:pPr>
              <w:spacing w:after="0" w:line="360" w:lineRule="auto"/>
              <w:rPr>
                <w:rFonts w:cstheme="minorHAnsi"/>
                <w:b/>
                <w:bCs/>
              </w:rPr>
            </w:pPr>
            <w:r w:rsidRPr="00AD7B00">
              <w:rPr>
                <w:rFonts w:cstheme="minorHAnsi"/>
                <w:b/>
                <w:bCs/>
              </w:rPr>
              <w:t>VACS</w:t>
            </w:r>
          </w:p>
        </w:tc>
        <w:tc>
          <w:tcPr>
            <w:tcW w:w="7255" w:type="dxa"/>
            <w:vAlign w:val="center"/>
          </w:tcPr>
          <w:p w14:paraId="1648FF04" w14:textId="17D9D08A" w:rsidR="00DC1E40" w:rsidRPr="00AD7B00" w:rsidRDefault="00DC1E40" w:rsidP="00C315D6">
            <w:pPr>
              <w:spacing w:after="0" w:line="360" w:lineRule="auto"/>
              <w:rPr>
                <w:rFonts w:cstheme="minorHAnsi"/>
              </w:rPr>
            </w:pPr>
            <w:r w:rsidRPr="00AD7B00">
              <w:rPr>
                <w:rFonts w:cstheme="minorHAnsi"/>
              </w:rPr>
              <w:t xml:space="preserve">VA Cooperative Study </w:t>
            </w:r>
            <w:r w:rsidR="00732ADA" w:rsidRPr="00AD7B00">
              <w:rPr>
                <w:rFonts w:cstheme="minorHAnsi"/>
              </w:rPr>
              <w:t>on</w:t>
            </w:r>
            <w:r w:rsidRPr="00AD7B00">
              <w:rPr>
                <w:rFonts w:cstheme="minorHAnsi"/>
              </w:rPr>
              <w:t xml:space="preserve"> Type 2 Diabetes Mellitus</w:t>
            </w:r>
          </w:p>
        </w:tc>
      </w:tr>
      <w:tr w:rsidR="00DC1E40" w:rsidRPr="00AD7B00" w14:paraId="02F3D8B1" w14:textId="7DE71302" w:rsidTr="002A2620">
        <w:tc>
          <w:tcPr>
            <w:tcW w:w="1529" w:type="dxa"/>
            <w:vAlign w:val="center"/>
          </w:tcPr>
          <w:p w14:paraId="236C0B22" w14:textId="7EABE997" w:rsidR="00DC1E40" w:rsidRPr="00AD7B00" w:rsidRDefault="00DC1E40" w:rsidP="00C315D6">
            <w:pPr>
              <w:spacing w:after="0" w:line="360" w:lineRule="auto"/>
              <w:rPr>
                <w:rFonts w:cstheme="minorHAnsi"/>
                <w:b/>
                <w:bCs/>
              </w:rPr>
            </w:pPr>
            <w:r w:rsidRPr="00AD7B00">
              <w:rPr>
                <w:rFonts w:cstheme="minorHAnsi"/>
                <w:b/>
                <w:bCs/>
              </w:rPr>
              <w:t>VDT</w:t>
            </w:r>
          </w:p>
        </w:tc>
        <w:tc>
          <w:tcPr>
            <w:tcW w:w="7255" w:type="dxa"/>
            <w:vAlign w:val="center"/>
          </w:tcPr>
          <w:p w14:paraId="24D12E3C" w14:textId="09B1A24C" w:rsidR="00DC1E40" w:rsidRPr="00AD7B00" w:rsidRDefault="00DC1E40" w:rsidP="00C315D6">
            <w:pPr>
              <w:spacing w:after="0" w:line="360" w:lineRule="auto"/>
              <w:rPr>
                <w:rFonts w:cstheme="minorHAnsi"/>
              </w:rPr>
            </w:pPr>
            <w:r w:rsidRPr="00AD7B00">
              <w:rPr>
                <w:rFonts w:cstheme="minorHAnsi"/>
              </w:rPr>
              <w:t>Vibration Detection Threshold</w:t>
            </w:r>
          </w:p>
        </w:tc>
      </w:tr>
      <w:tr w:rsidR="00DC1E40" w:rsidRPr="00AD7B00" w14:paraId="4D0BD71A" w14:textId="09D0E8C8" w:rsidTr="002A2620">
        <w:tc>
          <w:tcPr>
            <w:tcW w:w="1529" w:type="dxa"/>
            <w:vAlign w:val="center"/>
          </w:tcPr>
          <w:p w14:paraId="5FCCC0C3" w14:textId="66C078A0" w:rsidR="00DC1E40" w:rsidRPr="00AD7B00" w:rsidRDefault="00DC1E40" w:rsidP="00C315D6">
            <w:pPr>
              <w:spacing w:after="0" w:line="360" w:lineRule="auto"/>
              <w:rPr>
                <w:rFonts w:cstheme="minorHAnsi"/>
                <w:b/>
                <w:bCs/>
              </w:rPr>
            </w:pPr>
            <w:r w:rsidRPr="00AD7B00">
              <w:rPr>
                <w:rFonts w:cstheme="minorHAnsi"/>
                <w:b/>
                <w:bCs/>
              </w:rPr>
              <w:t>VEGF</w:t>
            </w:r>
          </w:p>
        </w:tc>
        <w:tc>
          <w:tcPr>
            <w:tcW w:w="7255" w:type="dxa"/>
            <w:vAlign w:val="center"/>
          </w:tcPr>
          <w:p w14:paraId="2E7EFE8C" w14:textId="05389533" w:rsidR="00DC1E40" w:rsidRPr="00AD7B00" w:rsidRDefault="00DC1E40" w:rsidP="00C315D6">
            <w:pPr>
              <w:spacing w:after="0" w:line="360" w:lineRule="auto"/>
              <w:rPr>
                <w:rFonts w:cstheme="minorHAnsi"/>
              </w:rPr>
            </w:pPr>
            <w:r w:rsidRPr="00AD7B00">
              <w:rPr>
                <w:rFonts w:cstheme="minorHAnsi"/>
              </w:rPr>
              <w:t>Vascular Endothelial Growth Factor</w:t>
            </w:r>
          </w:p>
        </w:tc>
      </w:tr>
      <w:tr w:rsidR="00E86B6F" w:rsidRPr="00AD7B00" w14:paraId="2442BCFB" w14:textId="77777777" w:rsidTr="002A2620">
        <w:tc>
          <w:tcPr>
            <w:tcW w:w="1529" w:type="dxa"/>
            <w:vAlign w:val="center"/>
          </w:tcPr>
          <w:p w14:paraId="12F284F1" w14:textId="33FA0355" w:rsidR="00E86B6F" w:rsidRPr="00AD7B00" w:rsidRDefault="00E86B6F" w:rsidP="00C315D6">
            <w:pPr>
              <w:spacing w:after="0" w:line="360" w:lineRule="auto"/>
              <w:rPr>
                <w:rFonts w:cstheme="minorHAnsi"/>
                <w:b/>
                <w:bCs/>
              </w:rPr>
            </w:pPr>
            <w:proofErr w:type="spellStart"/>
            <w:r w:rsidRPr="00AD7B00">
              <w:rPr>
                <w:rFonts w:cstheme="minorHAnsi"/>
                <w:b/>
                <w:bCs/>
              </w:rPr>
              <w:t>vWF</w:t>
            </w:r>
            <w:proofErr w:type="spellEnd"/>
          </w:p>
        </w:tc>
        <w:tc>
          <w:tcPr>
            <w:tcW w:w="7255" w:type="dxa"/>
            <w:vAlign w:val="center"/>
          </w:tcPr>
          <w:p w14:paraId="7CE2CF97" w14:textId="59567981" w:rsidR="00E86B6F" w:rsidRPr="00AD7B00" w:rsidRDefault="00E86B6F" w:rsidP="00C315D6">
            <w:pPr>
              <w:spacing w:after="0" w:line="360" w:lineRule="auto"/>
              <w:rPr>
                <w:rFonts w:cstheme="minorHAnsi"/>
              </w:rPr>
            </w:pPr>
            <w:r w:rsidRPr="00AD7B00">
              <w:rPr>
                <w:rFonts w:cstheme="minorHAnsi"/>
              </w:rPr>
              <w:t>Von Willebrand Factor</w:t>
            </w:r>
          </w:p>
        </w:tc>
      </w:tr>
      <w:tr w:rsidR="00DC1E40" w:rsidRPr="00AD7B00" w14:paraId="12264D57" w14:textId="0321EE61" w:rsidTr="002A2620">
        <w:tc>
          <w:tcPr>
            <w:tcW w:w="1529" w:type="dxa"/>
            <w:vAlign w:val="center"/>
          </w:tcPr>
          <w:p w14:paraId="5A47DE41" w14:textId="49D934FB" w:rsidR="00DC1E40" w:rsidRPr="00AD7B00" w:rsidRDefault="00DC1E40" w:rsidP="00C315D6">
            <w:pPr>
              <w:spacing w:after="0" w:line="360" w:lineRule="auto"/>
              <w:rPr>
                <w:rFonts w:cstheme="minorHAnsi"/>
                <w:b/>
                <w:bCs/>
                <w:lang w:eastAsia="en-GB"/>
              </w:rPr>
            </w:pPr>
            <w:proofErr w:type="spellStart"/>
            <w:r w:rsidRPr="00AD7B00">
              <w:rPr>
                <w:rFonts w:cstheme="minorHAnsi"/>
                <w:b/>
                <w:bCs/>
              </w:rPr>
              <w:t>WDR</w:t>
            </w:r>
            <w:proofErr w:type="spellEnd"/>
          </w:p>
        </w:tc>
        <w:tc>
          <w:tcPr>
            <w:tcW w:w="7255" w:type="dxa"/>
            <w:vAlign w:val="center"/>
          </w:tcPr>
          <w:p w14:paraId="47C2C17A" w14:textId="23C14DFA" w:rsidR="00DC1E40" w:rsidRPr="00AD7B00" w:rsidRDefault="00DC1E40" w:rsidP="00C315D6">
            <w:pPr>
              <w:spacing w:after="0" w:line="360" w:lineRule="auto"/>
              <w:rPr>
                <w:rFonts w:cstheme="minorHAnsi"/>
                <w:b/>
                <w:bCs/>
                <w:lang w:eastAsia="en-GB"/>
              </w:rPr>
            </w:pPr>
            <w:r w:rsidRPr="00AD7B00">
              <w:rPr>
                <w:rFonts w:cstheme="minorHAnsi"/>
              </w:rPr>
              <w:t>Wide Dynamic Range</w:t>
            </w:r>
          </w:p>
        </w:tc>
      </w:tr>
      <w:tr w:rsidR="0042107D" w:rsidRPr="00AD7B00" w14:paraId="1C31D6BF" w14:textId="77777777" w:rsidTr="002A2620">
        <w:tc>
          <w:tcPr>
            <w:tcW w:w="1529" w:type="dxa"/>
            <w:vAlign w:val="center"/>
          </w:tcPr>
          <w:p w14:paraId="63D7EBE4" w14:textId="5DE0AD70" w:rsidR="0042107D" w:rsidRPr="00AD7B00" w:rsidRDefault="0042107D" w:rsidP="00C315D6">
            <w:pPr>
              <w:spacing w:after="0" w:line="360" w:lineRule="auto"/>
              <w:rPr>
                <w:rFonts w:cstheme="minorHAnsi"/>
                <w:b/>
                <w:bCs/>
              </w:rPr>
            </w:pPr>
            <w:proofErr w:type="spellStart"/>
            <w:r w:rsidRPr="00AD7B00">
              <w:rPr>
                <w:rFonts w:cstheme="minorHAnsi"/>
                <w:b/>
                <w:bCs/>
              </w:rPr>
              <w:t>WDT</w:t>
            </w:r>
            <w:proofErr w:type="spellEnd"/>
          </w:p>
        </w:tc>
        <w:tc>
          <w:tcPr>
            <w:tcW w:w="7255" w:type="dxa"/>
            <w:vAlign w:val="center"/>
          </w:tcPr>
          <w:p w14:paraId="6D8180A9" w14:textId="2E5F0CFF" w:rsidR="0042107D" w:rsidRPr="00AD7B00" w:rsidRDefault="0042107D" w:rsidP="00C315D6">
            <w:pPr>
              <w:spacing w:after="0" w:line="360" w:lineRule="auto"/>
              <w:rPr>
                <w:rFonts w:cstheme="minorHAnsi"/>
              </w:rPr>
            </w:pPr>
            <w:r w:rsidRPr="00AD7B00">
              <w:rPr>
                <w:rFonts w:cstheme="minorHAnsi"/>
              </w:rPr>
              <w:t>Warm Detection Threshold</w:t>
            </w:r>
          </w:p>
        </w:tc>
      </w:tr>
    </w:tbl>
    <w:p w14:paraId="35449C65" w14:textId="77777777" w:rsidR="00357775" w:rsidRPr="00AD7B00" w:rsidRDefault="00357775" w:rsidP="00F83EAD">
      <w:pPr>
        <w:pStyle w:val="Heading2"/>
        <w:rPr>
          <w:rFonts w:cstheme="minorHAnsi"/>
          <w:i w:val="0"/>
          <w:iCs w:val="0"/>
          <w:sz w:val="24"/>
          <w:szCs w:val="24"/>
          <w:lang w:eastAsia="en-GB"/>
        </w:rPr>
      </w:pPr>
    </w:p>
    <w:p w14:paraId="1EA8E9A7" w14:textId="62C53D64" w:rsidR="00876259" w:rsidRPr="008D5DFA" w:rsidRDefault="008D5DFA" w:rsidP="008D5DFA">
      <w:pPr>
        <w:pStyle w:val="Heading1"/>
        <w:spacing w:line="480" w:lineRule="auto"/>
        <w:rPr>
          <w:rFonts w:cstheme="minorHAnsi"/>
          <w:sz w:val="24"/>
          <w:szCs w:val="24"/>
          <w:lang w:eastAsia="en-GB"/>
        </w:rPr>
      </w:pPr>
      <w:r>
        <w:rPr>
          <w:rFonts w:cstheme="minorHAnsi"/>
          <w:i/>
          <w:iCs/>
          <w:lang w:eastAsia="en-GB"/>
        </w:rPr>
        <w:br w:type="page"/>
      </w:r>
      <w:bookmarkStart w:id="32" w:name="_Toc6092993"/>
      <w:bookmarkStart w:id="33" w:name="_Toc6"/>
      <w:r w:rsidR="00AF1A96" w:rsidRPr="008D5DFA">
        <w:rPr>
          <w:sz w:val="24"/>
          <w:szCs w:val="24"/>
          <w:lang w:val="fr-FR"/>
        </w:rPr>
        <w:lastRenderedPageBreak/>
        <w:t>1 Introduction</w:t>
      </w:r>
      <w:bookmarkEnd w:id="32"/>
      <w:r w:rsidR="00AF1A96" w:rsidRPr="008D5DFA">
        <w:rPr>
          <w:sz w:val="24"/>
          <w:szCs w:val="24"/>
          <w:lang w:val="fr-FR"/>
        </w:rPr>
        <w:tab/>
      </w:r>
      <w:bookmarkStart w:id="34" w:name="_Toc7"/>
      <w:bookmarkEnd w:id="33"/>
    </w:p>
    <w:p w14:paraId="0E98AA26" w14:textId="5F7B779F" w:rsidR="00AF1A96" w:rsidRPr="00876259" w:rsidRDefault="00AF1A96" w:rsidP="003A523F">
      <w:pPr>
        <w:spacing w:line="480" w:lineRule="auto"/>
        <w:jc w:val="both"/>
        <w:rPr>
          <w:i/>
          <w:iCs/>
          <w:caps/>
        </w:rPr>
      </w:pPr>
      <w:r w:rsidRPr="00876259">
        <w:t>According to World Health Organisation globally 422 million people</w:t>
      </w:r>
      <w:r w:rsidRPr="00AD7B00">
        <w:rPr>
          <w:lang w:val="en-US"/>
        </w:rPr>
        <w:t xml:space="preserve"> currently suffer from diabetes and this number is growing at an alarming rate. The number of patients with diabetes has risen from 108 million in 1980 to 422 million in 2014. The global prevalence of diabetes among adults over 18 years of age has risen from 4.7% in 1980 to 8.5% in 2014 </w:t>
      </w:r>
      <w:r w:rsidRPr="00AD7B00">
        <w:rPr>
          <w:lang w:val="en-US"/>
        </w:rPr>
        <w:fldChar w:fldCharType="begin"/>
      </w:r>
      <w:r w:rsidRPr="00AD7B00">
        <w:rPr>
          <w:lang w:val="en-US"/>
        </w:rPr>
        <w:instrText xml:space="preserve"> ADDIN EN.CITE &lt;EndNote&gt;&lt;Cite  &gt;&lt;Author&gt;Mathers&lt;/Author&gt;&lt;Year&gt;2006&lt;/Year&gt;&lt;RecNum&gt;547&lt;/RecNum&gt;&lt;DisplayText&gt;(Mathers and Loncar, 2006)&lt;/DisplayText&gt;&lt;record&gt;&lt;dates&gt;&lt;pub-dates&gt;&lt;date&gt;Nov&lt;/date&gt;&lt;/pub-dates&gt;&lt;year&gt;2006&lt;/year&gt;&lt;/dates&gt;&lt;keywords&gt;&lt;keyword&gt;Acquired Immunodeficiency Syndrome&lt;/keyword&gt;&lt;keyword&gt;Adolescent&lt;/keyword&gt;&lt;keyword&gt;Adult&lt;/keyword&gt;&lt;keyword&gt;Aged&lt;/keyword&gt;&lt;keyword&gt;Cause of Death&lt;/keyword&gt;&lt;keyword&gt;Child&lt;/keyword&gt;&lt;keyword&gt;Child, Preschool&lt;/keyword&gt;&lt;keyword&gt;Developing Countries&lt;/keyword&gt;&lt;keyword&gt;Epidemiology&lt;/keyword&gt;&lt;keyword&gt;Global Health&lt;/keyword&gt;&lt;keyword&gt;HIV Infections&lt;/keyword&gt;&lt;keyword&gt;Humans&lt;/keyword&gt;&lt;keyword&gt;Infant&lt;/keyword&gt;&lt;keyword&gt;Infant, Newborn&lt;/keyword&gt;&lt;keyword&gt;Middle Aged&lt;/keyword&gt;&lt;keyword&gt;Mortality&lt;/keyword&gt;&lt;keyword&gt;Smoking&lt;/keyword&gt;&lt;/keywords&gt;&lt;urls&gt;&lt;related-urls&gt;&lt;url&gt;https://www.ncbi.nlm.nih.gov/pubmed/17132052&lt;/url&gt;&lt;/related-urls&gt;&lt;/urls&gt;&lt;isbn&gt;1549-1676&lt;/isbn&gt;&lt;custom2&gt;PMC1664601&lt;/custom2&gt;&lt;titles&gt;&lt;title&gt;Projections of global mortality and burden of disease from 2002 to 2030&lt;/title&gt;&lt;secondary-title&gt;PLoS Med&lt;/secondary-title&gt;&lt;/titles&gt;&lt;pages&gt;e442&lt;/pages&gt;&lt;number&gt;11&lt;/number&gt;&lt;contributors&gt;&lt;authors&gt;&lt;author&gt;Mathers, C. D.&lt;/author&gt;&lt;author&gt;Loncar, D.&lt;/author&gt;&lt;/authors&gt;&lt;/contributors&gt;&lt;language&gt;eng&lt;/language&gt;&lt;added-date format="utc"&gt;1530810613&lt;/added-date&gt;&lt;ref-type name="Journal Article"&gt;17&lt;/ref-type&gt;&lt;rec-number&gt;547&lt;/rec-number&gt;&lt;last-updated-date format="utc"&gt;1530810613&lt;/last-updated-date&gt;&lt;accession-num&gt;17132052&lt;/accession-num&gt;&lt;electronic-resource-num&gt;10.1371/journal.pmed.0030442&lt;/electronic-resource-num&gt;&lt;volume&gt;3&lt;/volume&gt;&lt;/record&gt;&lt;/Cite&gt;&lt;/EndNote&gt;</w:instrText>
      </w:r>
      <w:r w:rsidRPr="00AD7B00">
        <w:rPr>
          <w:lang w:val="en-US"/>
        </w:rPr>
        <w:fldChar w:fldCharType="separate"/>
      </w:r>
      <w:r w:rsidRPr="00AD7B00">
        <w:rPr>
          <w:lang w:val="en-US"/>
        </w:rPr>
        <w:t>(Mathers and Loncar, 2006)</w:t>
      </w:r>
      <w:r w:rsidRPr="00AD7B00">
        <w:rPr>
          <w:lang w:val="en-US"/>
        </w:rPr>
        <w:fldChar w:fldCharType="end"/>
      </w:r>
      <w:r w:rsidRPr="00AD7B00">
        <w:rPr>
          <w:lang w:val="en-US"/>
        </w:rPr>
        <w:t xml:space="preserve">. Worryingly this number is predicted to double by the year 2030, rising population growth, aging, </w:t>
      </w:r>
      <w:proofErr w:type="spellStart"/>
      <w:r w:rsidRPr="00AD7B00">
        <w:rPr>
          <w:lang w:val="en-US"/>
        </w:rPr>
        <w:t>urbanisation</w:t>
      </w:r>
      <w:proofErr w:type="spellEnd"/>
      <w:r w:rsidRPr="00AD7B00">
        <w:rPr>
          <w:lang w:val="en-US"/>
        </w:rPr>
        <w:t xml:space="preserve"> and increased prevalence of obesity and physical inactivity being the major contributing factors. This will have immense effect on health and social care provision. Patients with diabetes require at least two to three times the health-care resources required for people without diabetes; and diabetes care may account for up to 15% of national health care budgets </w:t>
      </w:r>
      <w:r w:rsidRPr="00AD7B00">
        <w:fldChar w:fldCharType="begin"/>
      </w:r>
      <w:r w:rsidRPr="00AD7B00">
        <w:instrText xml:space="preserve"> ADDIN EN.CITE &lt;EndNote&gt;&lt;Cite  &gt;&lt;Author&gt;Zhang&lt;/Author&gt;&lt;Year&gt;2010&lt;/Year&gt;&lt;RecNum&gt;242&lt;/RecNum&gt;&lt;DisplayText&gt;(Zhang et al., 2010)&lt;/DisplayText&gt;&lt;record&gt;&lt;keywords/&gt;&lt;isbn&gt;0168-8227&lt;/isbn&gt;&lt;titles&gt;&lt;title&gt;Global healthcare expenditure on diabetes for 2010 and 2030&lt;/title&gt;&lt;secondary-title&gt;Diabetes Research and Clinical Practice&lt;/secondary-title&gt;&lt;/titles&gt;&lt;pages&gt;293-301&lt;/pages&gt;&lt;number&gt;3&lt;/number&gt;&lt;contributors&gt;&lt;authors&gt;&lt;author&gt;Zhang, Ping&lt;/author&gt;&lt;author&gt;Zhang, Xinzhi&lt;/author&gt;&lt;author&gt;Brown, Jonathan&lt;/author&gt;&lt;author&gt;Vistisen, Dorte&lt;/author&gt;&lt;author&gt;Sicree, Richard&lt;/author&gt;&lt;author&gt;Shaw, Jonathan&lt;/author&gt;&lt;author&gt;Nichols, Gregory&lt;/author&gt;&lt;/authors&gt;&lt;/contributors&gt;&lt;added-date format="utc"&gt;1386071606&lt;/added-date&gt;&lt;ref-type name="Journal Article"&gt;17&lt;/ref-type&gt;&lt;dates&gt;&lt;year&gt;2010&lt;/year&gt;&lt;/dates&gt;&lt;rec-number&gt;242&lt;/rec-number&gt;&lt;last-updated-date format="utc"&gt;1386071606&lt;/last-updated-date&gt;&lt;electronic-resource-num&gt;10.1016/j.diabres.2010.01.026&lt;/electronic-resource-num&gt;&lt;volume&gt;87&lt;/volume&gt;&lt;/record&gt;&lt;/Cite&gt;&lt;/EndNote&gt;</w:instrText>
      </w:r>
      <w:r w:rsidRPr="00AD7B00">
        <w:fldChar w:fldCharType="separate"/>
      </w:r>
      <w:r w:rsidRPr="00AD7B00">
        <w:t>(Zhang et al., 2010)</w:t>
      </w:r>
      <w:r w:rsidRPr="00AD7B00">
        <w:fldChar w:fldCharType="end"/>
      </w:r>
      <w:r w:rsidRPr="00AD7B00">
        <w:rPr>
          <w:lang w:val="en-US"/>
        </w:rPr>
        <w:t>. With increasing prevalence of diabetes, there is increasing incidence of both micro and macro vascular complications.  This chapter focuses on an introduction to diabetic peripheral neuropathy (</w:t>
      </w:r>
      <w:proofErr w:type="spellStart"/>
      <w:r w:rsidRPr="00AD7B00">
        <w:rPr>
          <w:lang w:val="en-US"/>
        </w:rPr>
        <w:t>DPN</w:t>
      </w:r>
      <w:proofErr w:type="spellEnd"/>
      <w:r w:rsidRPr="00AD7B00">
        <w:rPr>
          <w:lang w:val="en-US"/>
        </w:rPr>
        <w:t xml:space="preserve">) and particularly painful </w:t>
      </w:r>
      <w:proofErr w:type="spellStart"/>
      <w:r w:rsidRPr="00AD7B00">
        <w:rPr>
          <w:lang w:val="en-US"/>
        </w:rPr>
        <w:t>DPN</w:t>
      </w:r>
      <w:proofErr w:type="spellEnd"/>
      <w:r w:rsidRPr="00AD7B00">
        <w:rPr>
          <w:lang w:val="en-US"/>
        </w:rPr>
        <w:t>, which are very common microvascular complications in patients with diabetes.</w:t>
      </w:r>
      <w:bookmarkEnd w:id="34"/>
    </w:p>
    <w:p w14:paraId="11C43F5F" w14:textId="77777777" w:rsidR="00AF1A96" w:rsidRPr="00AD7B00" w:rsidRDefault="00AF1A96" w:rsidP="00AF1A96">
      <w:pPr>
        <w:pStyle w:val="Heading2"/>
        <w:spacing w:line="480" w:lineRule="auto"/>
        <w:rPr>
          <w:rFonts w:cstheme="minorHAnsi"/>
          <w:i w:val="0"/>
          <w:iCs w:val="0"/>
          <w:sz w:val="24"/>
          <w:szCs w:val="24"/>
        </w:rPr>
      </w:pPr>
      <w:bookmarkStart w:id="35" w:name="_Toc8"/>
      <w:bookmarkStart w:id="36" w:name="_Toc6092994"/>
      <w:r w:rsidRPr="00AD7B00">
        <w:rPr>
          <w:rFonts w:eastAsia="Cambria" w:cstheme="minorHAnsi"/>
          <w:i w:val="0"/>
          <w:iCs w:val="0"/>
          <w:sz w:val="24"/>
          <w:szCs w:val="24"/>
          <w:lang w:val="en-US"/>
        </w:rPr>
        <w:t>1.1 Diabetic Peripheral Neuropathy (</w:t>
      </w:r>
      <w:proofErr w:type="spellStart"/>
      <w:r w:rsidRPr="00AD7B00">
        <w:rPr>
          <w:rFonts w:eastAsia="Cambria" w:cstheme="minorHAnsi"/>
          <w:i w:val="0"/>
          <w:iCs w:val="0"/>
          <w:sz w:val="24"/>
          <w:szCs w:val="24"/>
          <w:lang w:val="en-US"/>
        </w:rPr>
        <w:t>DPN</w:t>
      </w:r>
      <w:proofErr w:type="spellEnd"/>
      <w:r w:rsidRPr="00AD7B00">
        <w:rPr>
          <w:rFonts w:eastAsia="Cambria" w:cstheme="minorHAnsi"/>
          <w:i w:val="0"/>
          <w:iCs w:val="0"/>
          <w:sz w:val="24"/>
          <w:szCs w:val="24"/>
          <w:lang w:val="en-US"/>
        </w:rPr>
        <w:t>)</w:t>
      </w:r>
      <w:bookmarkEnd w:id="35"/>
      <w:bookmarkEnd w:id="36"/>
    </w:p>
    <w:p w14:paraId="30BFED40" w14:textId="04D6435C" w:rsidR="00AF1A96" w:rsidRPr="00AD7B00" w:rsidRDefault="00AF1A96" w:rsidP="00AF1A96">
      <w:pPr>
        <w:pStyle w:val="Style1"/>
        <w:spacing w:before="240"/>
        <w:rPr>
          <w:rFonts w:ascii="Cambria" w:eastAsia="Arial" w:hAnsi="Cambria" w:cstheme="minorHAnsi"/>
          <w:sz w:val="24"/>
          <w:szCs w:val="24"/>
        </w:rPr>
      </w:pPr>
      <w:r w:rsidRPr="00AD7B00">
        <w:rPr>
          <w:rFonts w:ascii="Cambria" w:hAnsi="Cambria" w:cstheme="minorHAnsi"/>
          <w:sz w:val="24"/>
          <w:szCs w:val="24"/>
        </w:rPr>
        <w:t xml:space="preserve">The most common disease affecting the human nervous system is diabetes.  Neuropathies are also the most common long-term microvascular complication of diabetes </w:t>
      </w:r>
      <w:r w:rsidRPr="00AD7B00">
        <w:rPr>
          <w:rFonts w:ascii="Cambria" w:eastAsia="Arial" w:hAnsi="Cambria" w:cstheme="minorHAnsi"/>
          <w:sz w:val="24"/>
          <w:szCs w:val="24"/>
        </w:rPr>
        <w:fldChar w:fldCharType="begin"/>
      </w:r>
      <w:r w:rsidRPr="00AD7B00">
        <w:rPr>
          <w:rFonts w:ascii="Cambria" w:eastAsia="Arial" w:hAnsi="Cambria" w:cstheme="minorHAnsi"/>
          <w:sz w:val="24"/>
          <w:szCs w:val="24"/>
        </w:rPr>
        <w:instrText xml:space="preserve"> ADDIN EN.CITE &lt;EndNote&gt;&lt;Cite  &gt;&lt;Author&gt;Tesfaye&lt;/Author&gt;&lt;Year&gt;2013&lt;/Year&gt;&lt;RecNum&gt;471&lt;/RecNum&gt;&lt;DisplayText&gt;(Tesfaye et al., 2013)&lt;/DisplayText&gt;&lt;record&gt;&lt;isbn&gt;0149-5992&lt;/isbn&gt;&lt;titles&gt;&lt;title&gt;Mechanisms and management of diabetic painful distal symmetrical polyneuropathy&lt;/title&gt;&lt;secondary-title&gt;Diabetes care&lt;/secondary-title&gt;&lt;/titles&gt;&lt;pages&gt;2456&lt;/pages&gt;&lt;number&gt;9&lt;/number&gt;&lt;contributors&gt;&lt;authors&gt;&lt;author&gt;Tesfaye, Solomon&lt;/author&gt;&lt;author&gt;Boulton, Andrew J. M.&lt;/author&gt;&lt;author&gt;Dickenson, Anthony H.&lt;/author&gt;&lt;/authors&gt;&lt;/contributors&gt;&lt;added-date format="utc"&gt;1508448834&lt;/added-date&gt;&lt;ref-type name="Journal Article"&gt;17&lt;/ref-type&gt;&lt;dates&gt;&lt;year&gt;2013&lt;/year&gt;&lt;/dates&gt;&lt;rec-number&gt;471&lt;/rec-number&gt;&lt;last-updated-date format="utc"&gt;1508448834&lt;/last-updated-date&gt;&lt;electronic-resource-num&gt;10.2337/dc12-1964&lt;/electronic-resource-num&gt;&lt;volume&gt;36&lt;/volume&gt;&lt;/record&gt;&lt;/Cite&gt;&lt;/EndNote&gt;</w:instrText>
      </w:r>
      <w:r w:rsidRPr="00AD7B00">
        <w:rPr>
          <w:rFonts w:ascii="Cambria" w:eastAsia="Arial" w:hAnsi="Cambria" w:cstheme="minorHAnsi"/>
          <w:sz w:val="24"/>
          <w:szCs w:val="24"/>
        </w:rPr>
        <w:fldChar w:fldCharType="separate"/>
      </w:r>
      <w:r w:rsidRPr="00AD7B00">
        <w:rPr>
          <w:rFonts w:ascii="Cambria" w:hAnsi="Cambria" w:cstheme="minorHAnsi"/>
          <w:sz w:val="24"/>
          <w:szCs w:val="24"/>
        </w:rPr>
        <w:t>(Tesfaye et al., 2013)</w:t>
      </w:r>
      <w:r w:rsidRPr="00AD7B00">
        <w:rPr>
          <w:rFonts w:ascii="Cambria" w:eastAsia="Arial" w:hAnsi="Cambria" w:cstheme="minorHAnsi"/>
          <w:sz w:val="24"/>
          <w:szCs w:val="24"/>
        </w:rPr>
        <w:fldChar w:fldCharType="end"/>
      </w:r>
      <w:r w:rsidRPr="00AD7B00">
        <w:rPr>
          <w:rFonts w:ascii="Cambria" w:hAnsi="Cambria" w:cstheme="minorHAnsi"/>
          <w:sz w:val="24"/>
          <w:szCs w:val="24"/>
        </w:rPr>
        <w:t xml:space="preserve">. There is increasing evidence that measures of neuropathy, such as electrophysiology and quantitative sensory tests, are predictors of not only clinical end-points, including foot ulceration, but also of mortality </w:t>
      </w:r>
      <w:r w:rsidRPr="00AD7B00">
        <w:rPr>
          <w:rFonts w:ascii="Cambria" w:eastAsia="Arial" w:hAnsi="Cambria" w:cstheme="minorHAnsi"/>
          <w:sz w:val="24"/>
          <w:szCs w:val="24"/>
        </w:rPr>
        <w:fldChar w:fldCharType="begin"/>
      </w:r>
      <w:r w:rsidRPr="00AD7B00">
        <w:rPr>
          <w:rFonts w:ascii="Cambria" w:eastAsia="Arial" w:hAnsi="Cambria" w:cstheme="minorHAnsi"/>
          <w:sz w:val="24"/>
          <w:szCs w:val="24"/>
        </w:rPr>
        <w:instrText xml:space="preserve"> ADDIN EN.CITE &lt;EndNote&gt;&lt;Cite  &gt;&lt;Author&gt;Boulton&lt;/Author&gt;&lt;Year&gt;2004&lt;/Year&gt;&lt;RecNum&gt;243&lt;/RecNum&gt;&lt;DisplayText&gt;(Boulton et al., 2004, Carrington et al., 2002)&lt;/DisplayText&gt;&lt;record&gt;&lt;keywords&gt;&lt;keyword&gt;Diabetic Neuropathies -- Classification&lt;/keyword&gt;&lt;/keywords&gt;&lt;isbn&gt;0149-5992&lt;/isbn&gt;&lt;titles&gt;&lt;title&gt;Diabetic somatic neuropathies&lt;/title&gt;&lt;secondary-title&gt;Diabetes care&lt;/secondary-title&gt;&lt;/titles&gt;&lt;pages&gt;1458&lt;/pages&gt;&lt;number&gt;6&lt;/number&gt;&lt;contributors&gt;&lt;authors&gt;&lt;author&gt;Boulton, Andrew J. M.&lt;/author&gt;&lt;author&gt;Malik, Rayaz A.&lt;/author&gt;&lt;author&gt;Arezzo, Joseph C.&lt;/author&gt;&lt;author&gt;Sosenko, Jay M.&lt;/author&gt;&lt;/authors&gt;&lt;/contributors&gt;&lt;added-date format="utc"&gt;1386075850&lt;/added-date&gt;&lt;ref-type name="Journal Article"&gt;17&lt;/ref-type&gt;&lt;dates&gt;&lt;year&gt;2004&lt;/year&gt;&lt;/dates&gt;&lt;rec-number&gt;243&lt;/rec-number&gt;&lt;last-updated-date format="utc"&gt;1386076366&lt;/last-updated-date&gt;&lt;volume&gt;27&lt;/volume&gt;&lt;/record&gt;&lt;/Cite&gt;&lt;Cite  &gt;&lt;Author&gt;Carrington&lt;/Author&gt;&lt;Year&gt;2002&lt;/Year&gt;&lt;RecNum&gt;244&lt;/RecNum&gt;&lt;record&gt;&lt;keywords&gt;&lt;keyword&gt;Neural Conduction&lt;/keyword&gt;&lt;keyword&gt;Diabetes Mellitus -- Physiopathology&lt;/keyword&gt;&lt;keyword&gt;Diabetic Foot -- Epidemiology&lt;/keyword&gt;&lt;keyword&gt;Motor Neurons -- Physiology&lt;/keyword&gt;&lt;/keywords&gt;&lt;isbn&gt;0149-5992&lt;/isbn&gt;&lt;titles&gt;&lt;title&gt;Can motor nerve conduction velocity predict foot problems in diabetic subjects over a 6- year outcome period?&lt;/title&gt;&lt;secondary-title&gt;Diabetes care&lt;/secondary-title&gt;&lt;/titles&gt;&lt;pages&gt;2010&lt;/pages&gt;&lt;number&gt;11&lt;/number&gt;&lt;contributors&gt;&lt;authors&gt;&lt;author&gt;Carrington, Anne L.&lt;/author&gt;&lt;author&gt;Shaw, Jonathan E.&lt;/author&gt;&lt;author&gt;Van Schie, Carine H. M.&lt;/author&gt;&lt;author&gt;Abbott, Caroline A.&lt;/author&gt;&lt;author&gt;Vileikyte, Loretta&lt;/author&gt;&lt;author&gt;Boulton, Andrew J. M.&lt;/author&gt;&lt;/authors&gt;&lt;/contributors&gt;&lt;added-date format="utc"&gt;1386076427&lt;/added-date&gt;&lt;ref-type name="Journal Article"&gt;17&lt;/ref-type&gt;&lt;dates&gt;&lt;year&gt;2002&lt;/year&gt;&lt;/dates&gt;&lt;rec-number&gt;244&lt;/rec-number&gt;&lt;last-updated-date format="utc"&gt;1387847341&lt;/last-updated-date&gt;&lt;volume&gt;25&lt;/volume&gt;&lt;/record&gt;&lt;/Cite&gt;&lt;/EndNote&gt;</w:instrText>
      </w:r>
      <w:r w:rsidRPr="00AD7B00">
        <w:rPr>
          <w:rFonts w:ascii="Cambria" w:eastAsia="Arial" w:hAnsi="Cambria" w:cstheme="minorHAnsi"/>
          <w:sz w:val="24"/>
          <w:szCs w:val="24"/>
        </w:rPr>
        <w:fldChar w:fldCharType="separate"/>
      </w:r>
      <w:r w:rsidRPr="00AD7B00">
        <w:rPr>
          <w:rFonts w:ascii="Cambria" w:hAnsi="Cambria" w:cstheme="minorHAnsi"/>
          <w:sz w:val="24"/>
          <w:szCs w:val="24"/>
        </w:rPr>
        <w:t>(Boulton et al., 2004, Carrington et al., 2002)</w:t>
      </w:r>
      <w:r w:rsidRPr="00AD7B00">
        <w:rPr>
          <w:rFonts w:ascii="Cambria" w:eastAsia="Arial" w:hAnsi="Cambria" w:cstheme="minorHAnsi"/>
          <w:sz w:val="24"/>
          <w:szCs w:val="24"/>
        </w:rPr>
        <w:fldChar w:fldCharType="end"/>
      </w:r>
      <w:r w:rsidRPr="00AD7B00">
        <w:rPr>
          <w:rFonts w:ascii="Cambria" w:hAnsi="Cambria" w:cstheme="minorHAnsi"/>
          <w:sz w:val="24"/>
          <w:szCs w:val="24"/>
        </w:rPr>
        <w:t>.</w:t>
      </w:r>
    </w:p>
    <w:p w14:paraId="4DFD8841" w14:textId="2E5EE457" w:rsidR="00AF1A96" w:rsidRPr="00AD7B00" w:rsidRDefault="00AF1A96" w:rsidP="00AF1A96">
      <w:pPr>
        <w:pStyle w:val="Heading3"/>
        <w:spacing w:line="480" w:lineRule="auto"/>
        <w:rPr>
          <w:rFonts w:cstheme="minorHAnsi"/>
          <w:sz w:val="24"/>
          <w:szCs w:val="24"/>
        </w:rPr>
      </w:pPr>
      <w:bookmarkStart w:id="37" w:name="_Toc9"/>
      <w:bookmarkStart w:id="38" w:name="_Toc6092995"/>
      <w:r w:rsidRPr="00AD7B00">
        <w:rPr>
          <w:rFonts w:cstheme="minorHAnsi"/>
          <w:sz w:val="24"/>
          <w:szCs w:val="24"/>
          <w:lang w:val="en-US"/>
        </w:rPr>
        <w:lastRenderedPageBreak/>
        <w:t>1.1.1 Epidemiology of Diabetic Peripheral Neuropathy</w:t>
      </w:r>
      <w:bookmarkEnd w:id="37"/>
      <w:bookmarkEnd w:id="38"/>
    </w:p>
    <w:p w14:paraId="1260F933" w14:textId="4E09AB45" w:rsidR="00AF1A96" w:rsidRPr="005B5764" w:rsidRDefault="00AF1A96" w:rsidP="00AF1A96">
      <w:pPr>
        <w:pStyle w:val="BodyA"/>
        <w:spacing w:line="480" w:lineRule="auto"/>
        <w:jc w:val="both"/>
        <w:rPr>
          <w:rFonts w:cstheme="minorHAnsi"/>
          <w:lang w:val="nl-NL"/>
        </w:rPr>
      </w:pPr>
      <w:r w:rsidRPr="00AD7B00">
        <w:rPr>
          <w:rFonts w:cstheme="minorHAnsi"/>
          <w:lang w:val="en-US"/>
        </w:rPr>
        <w:t>The epidemiologi</w:t>
      </w:r>
      <w:r w:rsidR="00EA554D">
        <w:rPr>
          <w:rFonts w:cstheme="minorHAnsi"/>
          <w:lang w:val="en-US"/>
        </w:rPr>
        <w:t xml:space="preserve">cal data on prevalence of </w:t>
      </w:r>
      <w:proofErr w:type="spellStart"/>
      <w:r w:rsidR="00EA554D">
        <w:rPr>
          <w:rFonts w:cstheme="minorHAnsi"/>
          <w:lang w:val="en-US"/>
        </w:rPr>
        <w:t>DPN</w:t>
      </w:r>
      <w:proofErr w:type="spellEnd"/>
      <w:r w:rsidR="00EA554D">
        <w:rPr>
          <w:rFonts w:cstheme="minorHAnsi"/>
          <w:lang w:val="en-US"/>
        </w:rPr>
        <w:t xml:space="preserve"> are</w:t>
      </w:r>
      <w:r w:rsidRPr="00AD7B00">
        <w:rPr>
          <w:rFonts w:cstheme="minorHAnsi"/>
          <w:lang w:val="en-US"/>
        </w:rPr>
        <w:t xml:space="preserve"> confounded by the diagnostic criteria used to define the condition. But in general, prevalence of up to 50% in older type 2 diabetes is well </w:t>
      </w:r>
      <w:proofErr w:type="spellStart"/>
      <w:r w:rsidRPr="00AD7B00">
        <w:rPr>
          <w:rFonts w:cstheme="minorHAnsi"/>
          <w:lang w:val="en-US"/>
        </w:rPr>
        <w:t>recognised</w:t>
      </w:r>
      <w:proofErr w:type="spellEnd"/>
      <w:r w:rsidRPr="00AD7B00">
        <w:rPr>
          <w:rFonts w:cstheme="minorHAnsi"/>
          <w:lang w:val="en-US"/>
        </w:rPr>
        <w:t xml:space="preserve"> </w:t>
      </w:r>
      <w:r w:rsidRPr="00AD7B00">
        <w:rPr>
          <w:rFonts w:cstheme="minorHAnsi"/>
          <w:lang w:val="en-US"/>
        </w:rPr>
        <w:fldChar w:fldCharType="begin"/>
      </w:r>
      <w:r w:rsidRPr="00AD7B00">
        <w:rPr>
          <w:rFonts w:cstheme="minorHAnsi"/>
          <w:lang w:val="en-US"/>
        </w:rPr>
        <w:instrText xml:space="preserve"> ADDIN EN.CITE &lt;EndNote&gt;&lt;Cite  &gt;&lt;Author&gt;Boulton&lt;/Author&gt;&lt;Year&gt;2004&lt;/Year&gt;&lt;RecNum&gt;243&lt;/RecNum&gt;&lt;DisplayText&gt;(Boulton et al., 2004, Young et al., 1993, Dyck et al., 1993)&lt;/DisplayText&gt;&lt;record&gt;&lt;keywords/&gt;&lt;isbn&gt;0149-5992&lt;/isbn&gt;&lt;titles&gt;&lt;title&gt;Diabetic somatic neuropathies&lt;/title&gt;&lt;secondary-title&gt;Diabetes care&lt;/secondary-title&gt;&lt;/titles&gt;&lt;pages&gt;1458&lt;/pages&gt;&lt;number&gt;6&lt;/number&gt;&lt;contributors&gt;&lt;authors&gt;&lt;author&gt;Boulton, Andrew J. M.&lt;/author&gt;&lt;author&gt;Malik, Rayaz A.&lt;/author&gt;&lt;author&gt;Arezzo, Joseph C.&lt;/author&gt;&lt;author&gt;Sosenko, Jay M.&lt;/author&gt;&lt;/authors&gt;&lt;/contributors&gt;&lt;added-date format="utc"&gt;1386075850&lt;/added-date&gt;&lt;ref-type name="Journal Article"&gt;17&lt;/ref-type&gt;&lt;dates&gt;&lt;year&gt;2004&lt;/year&gt;&lt;/dates&gt;&lt;rec-number&gt;243&lt;/rec-number&gt;&lt;last-updated-date format="utc"&gt;1386076366&lt;/last-updated-date&gt;&lt;volume&gt;27&lt;/volume&gt;&lt;/record&gt;&lt;/Cite&gt;&lt;Cite  &gt;&lt;Author&gt;Young&lt;/Author&gt;&lt;Year&gt;1993&lt;/Year&gt;&lt;RecNum&gt;206&lt;/RecNum&gt;&lt;record&gt;&lt;keywords/&gt;&lt;isbn&gt;0012-186X&lt;/isbn&gt;&lt;titles&gt;&lt;title&gt;A multicentre study of the prevalence of diabetic peripheral neuropathy in the United Kingdom hospital clinic population&lt;/title&gt;&lt;secondary-title&gt;Diabetologia&lt;/secondary-title&gt;&lt;/titles&gt;&lt;pages&gt;150&lt;/pages&gt;&lt;number&gt;2&lt;/number&gt;&lt;contributors&gt;&lt;authors&gt;&lt;author&gt;Young, M. J.&lt;/author&gt;&lt;author&gt;Boulton, A. J.&lt;/author&gt;&lt;author&gt;Macleod, A. F.&lt;/author&gt;&lt;author&gt;Williams, D. R.&lt;/author&gt;&lt;author&gt;Sonksen, P. H.&lt;/author&gt;&lt;author&gt;MacLeod, A. F.&lt;/author&gt;&lt;/authors&gt;&lt;/contributors&gt;&lt;added-date format="utc"&gt;1384378679&lt;/added-date&gt;&lt;ref-type name="Journal Article"&gt;17&lt;/ref-type&gt;&lt;dates&gt;&lt;year&gt;1993&lt;/year&gt;&lt;/dates&gt;&lt;rec-number&gt;206&lt;/rec-number&gt;&lt;last-updated-date format="utc"&gt;1385461036&lt;/last-updated-date&gt;&lt;volume&gt;36&lt;/volume&gt;&lt;/record&gt;&lt;/Cite&gt;&lt;Cite  &gt;&lt;Author&gt;Dyck&lt;/Author&gt;&lt;Year&gt;1993&lt;/Year&gt;&lt;RecNum&gt;63&lt;/RecNum&gt;&lt;record&gt;&lt;keywords/&gt;&lt;isbn&gt;0028-3878&lt;/isbn&gt;&lt;titles&gt;&lt;title&gt;The prevalence by staged severity of various types of diabetic neuropathy, retinopathy, and nephropathy in a population- based cohort: the Rochester Diabetic Neuropathy Study&lt;/title&gt;&lt;secondary-title&gt;Neurology&lt;/secondary-title&gt;&lt;/titles&gt;&lt;pages&gt;817&lt;/pages&gt;&lt;number&gt;4&lt;/number&gt;&lt;contributors&gt;&lt;authors&gt;&lt;author&gt;Dyck, P. J.&lt;/author&gt;&lt;author&gt;Kratz, K. M.&lt;/author&gt;&lt;author&gt;Karnes, J. L.&lt;/author&gt;&lt;author&gt;Litchy, W. J.&lt;/author&gt;&lt;author&gt;Klein, R.&lt;/author&gt;&lt;author&gt;Pach, J. M.&lt;/author&gt;&lt;author&gt;Wilson, D. M.&lt;/author&gt;&lt;author&gt;brien, P. C.&lt;/author&gt;&lt;author&gt;Melton, L. J.&lt;/author&gt;&lt;author&gt;Service, F. J.&lt;/author&gt;&lt;author&gt;Brien, P. C.&lt;/author&gt;&lt;/authors&gt;&lt;/contributors&gt;&lt;added-date format="utc"&gt;1383237138&lt;/added-date&gt;&lt;ref-type name="Journal Article"&gt;17&lt;/ref-type&gt;&lt;dates&gt;&lt;year&gt;1993&lt;/year&gt;&lt;/dates&gt;&lt;rec-number&gt;63&lt;/rec-number&gt;&lt;last-updated-date format="utc"&gt;1383237440&lt;/last-updated-date&gt;&lt;volume&gt;43&lt;/volume&gt;&lt;/record&gt;&lt;/Cite&gt;&lt;/EndNote&gt;</w:instrText>
      </w:r>
      <w:r w:rsidRPr="00AD7B00">
        <w:rPr>
          <w:rFonts w:cstheme="minorHAnsi"/>
          <w:lang w:val="en-US"/>
        </w:rPr>
        <w:fldChar w:fldCharType="separate"/>
      </w:r>
      <w:r w:rsidRPr="00AD7B00">
        <w:rPr>
          <w:rFonts w:cstheme="minorHAnsi"/>
          <w:lang w:val="en-US"/>
        </w:rPr>
        <w:t>(Boulton et al., 2004, Young et al., 1993, Dyck et al., 1993)</w:t>
      </w:r>
      <w:r w:rsidRPr="00AD7B00">
        <w:rPr>
          <w:rFonts w:cstheme="minorHAnsi"/>
          <w:lang w:val="en-US"/>
        </w:rPr>
        <w:fldChar w:fldCharType="end"/>
      </w:r>
      <w:r w:rsidRPr="00AD7B00">
        <w:rPr>
          <w:rFonts w:cstheme="minorHAnsi"/>
          <w:lang w:val="en-US"/>
        </w:rPr>
        <w:t xml:space="preserve">. The </w:t>
      </w:r>
      <w:proofErr w:type="spellStart"/>
      <w:r w:rsidRPr="00AD7B00">
        <w:rPr>
          <w:rFonts w:cstheme="minorHAnsi"/>
          <w:lang w:val="en-US"/>
        </w:rPr>
        <w:t>EURODIAB</w:t>
      </w:r>
      <w:proofErr w:type="spellEnd"/>
      <w:r w:rsidRPr="00AD7B00">
        <w:rPr>
          <w:rFonts w:cstheme="minorHAnsi"/>
          <w:lang w:val="en-US"/>
        </w:rPr>
        <w:t xml:space="preserve"> complications study, conducted in 16 European countries found a prevalence of 28% </w:t>
      </w:r>
      <w:r w:rsidRPr="00AD7B00">
        <w:rPr>
          <w:rFonts w:cstheme="minorHAnsi"/>
          <w:lang w:val="en-US"/>
        </w:rPr>
        <w:fldChar w:fldCharType="begin"/>
      </w:r>
      <w:r w:rsidRPr="00AD7B00">
        <w:rPr>
          <w:rFonts w:cstheme="minorHAnsi"/>
          <w:lang w:val="en-US"/>
        </w:rPr>
        <w:instrText xml:space="preserve"> ADDIN EN.CITE &lt;EndNote&gt;&lt;Cite  &gt;&lt;Author&gt;Tesfaye&lt;/Author&gt;&lt;Year&gt;1996&lt;/Year&gt;&lt;RecNum&gt;245&lt;/RecNum&gt;&lt;DisplayText&gt;(Tesfaye et al., 1996b)&lt;/DisplayText&gt;&lt;record&gt;&lt;keywords&gt;&lt;keyword&gt;Diabetes Mellitus, Type 1 -- Complications&lt;/keyword&gt;&lt;keyword&gt;Diabetic Neuropathies -- Epidemiology&lt;/keyword&gt;&lt;keyword&gt;Peripheral Nervous System Diseases -- Epidemiology&lt;/keyword&gt;&lt;/keywords&gt;&lt;isbn&gt;0012-186X&lt;/isbn&gt;&lt;titles&gt;&lt;title&gt;Prevalence of diabetic peripheral neuropathy and its relation to glycaemic control and potential risk factors: the EURODIAB IDDM Complications Study&lt;/title&gt;&lt;secondary-title&gt;Diabetologia&lt;/secondary-title&gt;&lt;/titles&gt;&lt;pages&gt;1377&lt;/pages&gt;&lt;number&gt;11&lt;/number&gt;&lt;contributors&gt;&lt;authors&gt;&lt;author&gt;Tesfaye, S.&lt;/author&gt;&lt;author&gt;Stevens, L. K.&lt;/author&gt;&lt;author&gt;Stephenson, J. M.&lt;/author&gt;&lt;author&gt;Fuller, J. H.&lt;/author&gt;&lt;author&gt;Plater, M.&lt;/author&gt;&lt;author&gt;Ionescu-tirgoviste, C.&lt;/author&gt;&lt;author&gt;Nuber, A.&lt;/author&gt;&lt;author&gt;Pozza, G.&lt;/author&gt;&lt;author&gt;Ward, J. D.&lt;/author&gt;&lt;author&gt;Ionescu-Tirgoviste, C.&lt;/author&gt;&lt;/authors&gt;&lt;/contributors&gt;&lt;added-date format="utc"&gt;1386077809&lt;/added-date&gt;&lt;ref-type name="Journal Article"&gt;17&lt;/ref-type&gt;&lt;dates&gt;&lt;year&gt;1996&lt;/year&gt;&lt;/dates&gt;&lt;rec-number&gt;245&lt;/rec-number&gt;&lt;last-updated-date format="utc"&gt;1387847341&lt;/last-updated-date&gt;&lt;volume&gt;39&lt;/volume&gt;&lt;/record&gt;&lt;/Cite&gt;&lt;/EndNote&gt;</w:instrText>
      </w:r>
      <w:r w:rsidRPr="00AD7B00">
        <w:rPr>
          <w:rFonts w:cstheme="minorHAnsi"/>
          <w:lang w:val="en-US"/>
        </w:rPr>
        <w:fldChar w:fldCharType="separate"/>
      </w:r>
      <w:r w:rsidRPr="00AD7B00">
        <w:rPr>
          <w:rFonts w:cstheme="minorHAnsi"/>
          <w:lang w:val="en-US"/>
        </w:rPr>
        <w:t>(Tesfaye et al., 1996b)</w:t>
      </w:r>
      <w:r w:rsidRPr="00AD7B00">
        <w:rPr>
          <w:rFonts w:cstheme="minorHAnsi"/>
          <w:lang w:val="en-US"/>
        </w:rPr>
        <w:fldChar w:fldCharType="end"/>
      </w:r>
      <w:r w:rsidRPr="00AD7B00">
        <w:rPr>
          <w:rFonts w:cstheme="minorHAnsi"/>
          <w:lang w:val="en-US"/>
        </w:rPr>
        <w:t xml:space="preserve">. </w:t>
      </w:r>
      <w:proofErr w:type="spellStart"/>
      <w:r w:rsidRPr="00AD7B00">
        <w:rPr>
          <w:rFonts w:cstheme="minorHAnsi"/>
          <w:lang w:val="en-US"/>
        </w:rPr>
        <w:t>DPN</w:t>
      </w:r>
      <w:proofErr w:type="spellEnd"/>
      <w:r w:rsidRPr="00AD7B00">
        <w:rPr>
          <w:rFonts w:cstheme="minorHAnsi"/>
          <w:lang w:val="en-US"/>
        </w:rPr>
        <w:t xml:space="preserve"> also acts as surrogate marker of other microvascular complications and even mortality. Motor nerve conduction velocity (</w:t>
      </w:r>
      <w:proofErr w:type="spellStart"/>
      <w:r w:rsidRPr="00AD7B00">
        <w:rPr>
          <w:rFonts w:cstheme="minorHAnsi"/>
          <w:lang w:val="en-US"/>
        </w:rPr>
        <w:t>MNCV</w:t>
      </w:r>
      <w:proofErr w:type="spellEnd"/>
      <w:r w:rsidRPr="00AD7B00">
        <w:rPr>
          <w:rFonts w:cstheme="minorHAnsi"/>
          <w:lang w:val="en-US"/>
        </w:rPr>
        <w:t xml:space="preserve">), a marker of neuropathy can predict foot ulceration and death in diabetes </w:t>
      </w:r>
      <w:r w:rsidRPr="00AD7B00">
        <w:rPr>
          <w:rFonts w:cstheme="minorHAnsi"/>
          <w:lang w:val="en-US"/>
        </w:rPr>
        <w:fldChar w:fldCharType="begin"/>
      </w:r>
      <w:r w:rsidRPr="00AD7B00">
        <w:rPr>
          <w:rFonts w:cstheme="minorHAnsi"/>
          <w:lang w:val="en-US"/>
        </w:rPr>
        <w:instrText xml:space="preserve"> ADDIN EN.CITE &lt;EndNote&gt;&lt;Cite  &gt;&lt;Author&gt;Carrington&lt;/Author&gt;&lt;Year&gt;2002&lt;/Year&gt;&lt;RecNum&gt;50&lt;/RecNum&gt;&lt;DisplayText&gt;(Carrington et al., 2002)&lt;/DisplayText&gt;&lt;record&gt;&lt;keywords/&gt;&lt;isbn&gt;0149-5992&lt;/isbn&gt;&lt;titles&gt;&lt;title&gt;Can motor nerve conduction velocity predict foot problems in diabetic subjects over a 6- year outcome period?&lt;/title&gt;&lt;secondary-title&gt;Diabetes care&lt;/secondary-title&gt;&lt;/titles&gt;&lt;pages&gt;2010&lt;/pages&gt;&lt;number&gt;11&lt;/number&gt;&lt;contributors&gt;&lt;authors&gt;&lt;author&gt;Carrington, Anne L.&lt;/author&gt;&lt;author&gt;Shaw, Jonathan E.&lt;/author&gt;&lt;author&gt;Van Schie, Carine H. M.&lt;/author&gt;&lt;author&gt;Abbott, Caroline A.&lt;/author&gt;&lt;author&gt;Vileikyte, Loretta&lt;/author&gt;&lt;author&gt;Boulton, Andrew J. M.&lt;/author&gt;&lt;/authors&gt;&lt;/contributors&gt;&lt;added-date format="utc"&gt;1382888161&lt;/added-date&gt;&lt;ref-type name="Journal Article"&gt;17&lt;/ref-type&gt;&lt;dates&gt;&lt;year&gt;2002&lt;/year&gt;&lt;/dates&gt;&lt;rec-number&gt;50&lt;/rec-number&gt;&lt;last-updated-date format="utc"&gt;1382888197&lt;/last-updated-date&gt;&lt;volume&gt;25&lt;/volume&gt;&lt;/record&gt;&lt;/Cite&gt;&lt;/EndNote&gt;</w:instrText>
      </w:r>
      <w:r w:rsidRPr="00AD7B00">
        <w:rPr>
          <w:rFonts w:cstheme="minorHAnsi"/>
          <w:lang w:val="en-US"/>
        </w:rPr>
        <w:fldChar w:fldCharType="separate"/>
      </w:r>
      <w:r w:rsidRPr="00AD7B00">
        <w:rPr>
          <w:rFonts w:cstheme="minorHAnsi"/>
          <w:lang w:val="en-US"/>
        </w:rPr>
        <w:t>(Carrington et al., 2002)</w:t>
      </w:r>
      <w:r w:rsidRPr="00AD7B00">
        <w:rPr>
          <w:rFonts w:cstheme="minorHAnsi"/>
          <w:lang w:val="en-US"/>
        </w:rPr>
        <w:fldChar w:fldCharType="end"/>
      </w:r>
      <w:r w:rsidRPr="00AD7B00">
        <w:rPr>
          <w:rFonts w:cstheme="minorHAnsi"/>
          <w:lang w:val="en-US"/>
        </w:rPr>
        <w:t xml:space="preserve">. In fact, the presence of </w:t>
      </w:r>
      <w:proofErr w:type="spellStart"/>
      <w:r w:rsidRPr="00AD7B00">
        <w:rPr>
          <w:rFonts w:cstheme="minorHAnsi"/>
          <w:lang w:val="en-US"/>
        </w:rPr>
        <w:t>DPN</w:t>
      </w:r>
      <w:proofErr w:type="spellEnd"/>
      <w:r w:rsidRPr="00AD7B00">
        <w:rPr>
          <w:rFonts w:cstheme="minorHAnsi"/>
          <w:lang w:val="en-US"/>
        </w:rPr>
        <w:t xml:space="preserve"> increases the risk of amputation 1.7 fold, 12 fold if there is foot deformity and 36 fold if there is a history of previous foot ulceration </w:t>
      </w:r>
      <w:r w:rsidRPr="00AD7B00">
        <w:rPr>
          <w:rFonts w:cstheme="minorHAnsi"/>
          <w:lang w:val="en-US"/>
        </w:rPr>
        <w:fldChar w:fldCharType="begin"/>
      </w:r>
      <w:r w:rsidRPr="00AD7B00">
        <w:rPr>
          <w:rFonts w:cstheme="minorHAnsi"/>
          <w:lang w:val="en-US"/>
        </w:rPr>
        <w:instrText xml:space="preserve"> ADDIN EN.CITE &lt;EndNote&gt;&lt;Cite  &gt;&lt;Author&gt;Armstrong&lt;/Author&gt;&lt;Year&gt;1998&lt;/Year&gt;&lt;RecNum&gt;249&lt;/RecNum&gt;&lt;DisplayText&gt;(Armstrong et al., 1998)&lt;/DisplayText&gt;&lt;record&gt;&lt;keywords&gt;&lt;keyword&gt;Diabetic Foot -- Classification&lt;/keyword&gt;&lt;/keywords&gt;&lt;isbn&gt;0149-5992&lt;/isbn&gt;&lt;titles&gt;&lt;title&gt;Validation of a diabetic wound classification system. The contribution of depth, infection, and ischemia to risk of amputation&lt;/title&gt;&lt;secondary-title&gt;Diabetes care&lt;/secondary-title&gt;&lt;/titles&gt;&lt;pages&gt;855&lt;/pages&gt;&lt;number&gt;5&lt;/number&gt;&lt;contributors&gt;&lt;authors&gt;&lt;author&gt;Armstrong, D. G.&lt;/author&gt;&lt;author&gt;Lavery, L. A.&lt;/author&gt;&lt;author&gt;Harkless, L. B.&lt;/author&gt;&lt;/authors&gt;&lt;/contributors&gt;&lt;added-date format="utc"&gt;1386079725&lt;/added-date&gt;&lt;ref-type name="Journal Article"&gt;17&lt;/ref-type&gt;&lt;dates&gt;&lt;year&gt;1998&lt;/year&gt;&lt;/dates&gt;&lt;rec-number&gt;249&lt;/rec-number&gt;&lt;last-updated-date format="utc"&gt;1387847341&lt;/last-updated-date&gt;&lt;volume&gt;21&lt;/volume&gt;&lt;/record&gt;&lt;/Cite&gt;&lt;/EndNote&gt;</w:instrText>
      </w:r>
      <w:r w:rsidRPr="00AD7B00">
        <w:rPr>
          <w:rFonts w:cstheme="minorHAnsi"/>
          <w:lang w:val="en-US"/>
        </w:rPr>
        <w:fldChar w:fldCharType="separate"/>
      </w:r>
      <w:r w:rsidRPr="00AD7B00">
        <w:rPr>
          <w:rFonts w:cstheme="minorHAnsi"/>
          <w:lang w:val="en-US"/>
        </w:rPr>
        <w:t>(Armstrong et al., 1998)</w:t>
      </w:r>
      <w:r w:rsidRPr="00AD7B00">
        <w:rPr>
          <w:rFonts w:cstheme="minorHAnsi"/>
          <w:lang w:val="en-US"/>
        </w:rPr>
        <w:fldChar w:fldCharType="end"/>
      </w:r>
      <w:r w:rsidRPr="00AD7B00">
        <w:rPr>
          <w:rFonts w:cstheme="minorHAnsi"/>
          <w:lang w:val="en-US"/>
        </w:rPr>
        <w:t xml:space="preserve">.  Similar mortality data are produced from various other studies, suggesting somatic neuropathy is an independent predictor of diabetes related mortality in type 2 diabetic patients </w:t>
      </w:r>
      <w:r w:rsidRPr="00AD7B00">
        <w:rPr>
          <w:rFonts w:cstheme="minorHAnsi"/>
          <w:lang w:val="en-US"/>
        </w:rPr>
        <w:fldChar w:fldCharType="begin"/>
      </w:r>
      <w:r w:rsidRPr="00AD7B00">
        <w:rPr>
          <w:rFonts w:cstheme="minorHAnsi"/>
          <w:lang w:val="en-US"/>
        </w:rPr>
        <w:instrText xml:space="preserve"> ADDIN EN.CITE &lt;EndNote&gt;&lt;Cite  &gt;&lt;Author&gt;Hsu&lt;/Author&gt;&lt;Year&gt;2012&lt;/Year&gt;&lt;RecNum&gt;45&lt;/RecNum&gt;&lt;DisplayText&gt;(Hsu et al., 2012, Moulik et al., 2003)&lt;/DisplayText&gt;&lt;record&gt;&lt;keywords/&gt;&lt;isbn&gt;1351-5101&lt;/isbn&gt;&lt;titles&gt;&lt;title&gt;Somatic neuropathy is an independent predictor of all- and diabetes- related mortality in type 2 diabetic patients: a population- based 5- year follow- up study (KCIS No. 29)&lt;/title&gt;&lt;secondary-title&gt;European journal of neurology : the official journal of the European Federation of Neurological Societies&lt;/secondary-title&gt;&lt;/titles&gt;&lt;pages&gt;1192&lt;/pages&gt;&lt;number&gt;</w:instrText>
      </w:r>
      <w:r w:rsidRPr="00305990">
        <w:rPr>
          <w:rFonts w:cstheme="minorHAnsi"/>
        </w:rPr>
        <w:instrText>9&lt;/number&gt;&lt;contributors&gt;&lt;authors&gt;&lt;author&gt;Hsu, W. c&lt;/author&gt;&lt;author&gt;Chiu, S. Y. h&lt;/author&gt;&lt;author&gt;Yen, A. M. f&lt;/author&gt;&lt;author&gt;Chen, L. s&lt;/author&gt;&lt;author&gt;Fann, C. y&lt;/author&gt;&lt;author&gt;Liao, C. s&lt;/author&gt;&lt;author&gt;Chen, H. h&lt;/author&gt;&lt;author&gt;Hsu, W. C.&lt;/author&gt;&lt;author&gt;Chiu, S. Y. H.&lt;/author&gt;&lt;author&gt;Yen, A. M. F.&lt;/author&gt;&lt;author&gt;Chen, L. S.&lt;/author&gt;&lt;author&gt;Fann, C. Y.&lt;/author&gt;&lt;author&gt;Liao, C. S.&lt;/author&gt;&lt;author&gt;Chen, H. H.&lt;/author&gt;&lt;/authors&gt;&lt;/contributors&gt;&lt;added-date format="utc"&gt;1382787941&lt;/added-date&gt;&lt;ref-type name="Journal Article"&gt;17&lt;/ref-type&gt;&lt;dates&gt;&lt;year&gt;2012&lt;/year&gt;&lt;/dates&gt;&lt;rec-number&gt;45&lt;/rec-number&gt;&lt;last-updated-date format="utc"&gt;1382789537&lt;/last-updated-date&gt;&lt;electronic-resource-num&gt;10.1111/j.1468-1331.2011.03659.x&lt;/electronic-resource-num&gt;&lt;v</w:instrText>
      </w:r>
      <w:r w:rsidRPr="005B5764">
        <w:rPr>
          <w:rFonts w:cstheme="minorHAnsi"/>
          <w:lang w:val="nl-NL"/>
        </w:rPr>
        <w:instrText>olume&gt;19&lt;/volume&gt;&lt;/record&gt;&lt;/Cite&gt;&lt;Cite  &gt;&lt;Author&gt;Moulik&lt;/Author&gt;&lt;Year&gt;2003&lt;/Year&gt;&lt;RecNum&gt;248&lt;/RecNum&gt;&lt;record&gt;&lt;keywords/&gt;&lt;isbn&gt;0149-5992&lt;/isbn&gt;&lt;titles&gt;&lt;title&gt;Amputation and mortality in new- onset diabetic foot ulcers stratified by etiology&lt;/title&gt;&lt;secondary-title&gt;Diabetes care&lt;/secondary-title&gt;&lt;/titles&gt;&lt;pages&gt;491&lt;/pages&gt;&lt;number&gt;2&lt;/number&gt;&lt;contributors&gt;&lt;authors&gt;&lt;author&gt;Moulik, Probal K.&lt;/author&gt;&lt;author&gt;Mtonga, Robert&lt;/author&gt;&lt;author&gt;Gill, Geoffrey V.&lt;/author&gt;&lt;/authors&gt;&lt;/contributors&gt;&lt;added-date format="utc"&gt;1386079218&lt;/added-date&gt;&lt;ref-type name="Journal Article"&gt;17&lt;/ref-type&gt;&lt;dates&gt;&lt;year&gt;2003&lt;/year&gt;&lt;/dates&gt;&lt;rec-number&gt;248&lt;/rec-number&gt;&lt;last-updated-date format="utc"&gt;1386079218&lt;/last-updated-date&gt;&lt;volume&gt;26&lt;/volume&gt;&lt;/record&gt;&lt;/Cite&gt;&lt;/EndNote&gt;</w:instrText>
      </w:r>
      <w:r w:rsidRPr="00AD7B00">
        <w:rPr>
          <w:rFonts w:cstheme="minorHAnsi"/>
          <w:lang w:val="en-US"/>
        </w:rPr>
        <w:fldChar w:fldCharType="separate"/>
      </w:r>
      <w:r w:rsidRPr="005B5764">
        <w:rPr>
          <w:rFonts w:cstheme="minorHAnsi"/>
          <w:lang w:val="nl-NL"/>
        </w:rPr>
        <w:t>(Hsu et al., 2012, Moulik et al., 2003)</w:t>
      </w:r>
      <w:r w:rsidRPr="00AD7B00">
        <w:rPr>
          <w:rFonts w:cstheme="minorHAnsi"/>
          <w:lang w:val="en-US"/>
        </w:rPr>
        <w:fldChar w:fldCharType="end"/>
      </w:r>
      <w:r w:rsidRPr="005B5764">
        <w:rPr>
          <w:rFonts w:cstheme="minorHAnsi"/>
          <w:lang w:val="nl-NL"/>
        </w:rPr>
        <w:t xml:space="preserve">. </w:t>
      </w:r>
    </w:p>
    <w:p w14:paraId="2D44D193" w14:textId="77777777" w:rsidR="00AF1A96" w:rsidRPr="00305990" w:rsidRDefault="00AF1A96" w:rsidP="00AF1A96">
      <w:pPr>
        <w:pStyle w:val="Heading3"/>
        <w:spacing w:line="480" w:lineRule="auto"/>
        <w:rPr>
          <w:rFonts w:cstheme="minorHAnsi"/>
          <w:sz w:val="24"/>
          <w:szCs w:val="24"/>
        </w:rPr>
      </w:pPr>
      <w:bookmarkStart w:id="39" w:name="_Toc10"/>
      <w:bookmarkStart w:id="40" w:name="_Toc6092996"/>
      <w:r w:rsidRPr="00305990">
        <w:rPr>
          <w:rFonts w:cstheme="minorHAnsi"/>
          <w:sz w:val="24"/>
          <w:szCs w:val="24"/>
        </w:rPr>
        <w:t>1.1.2 Pathogenesis of Diabetic Peripheral Neuropathy</w:t>
      </w:r>
      <w:bookmarkEnd w:id="39"/>
      <w:bookmarkEnd w:id="40"/>
    </w:p>
    <w:p w14:paraId="6BB97AFD" w14:textId="0C3692DE" w:rsidR="00AF1A96" w:rsidRPr="0044068A" w:rsidRDefault="00AF1A96" w:rsidP="0044068A">
      <w:pPr>
        <w:pStyle w:val="BodyA"/>
        <w:spacing w:line="480" w:lineRule="auto"/>
        <w:jc w:val="both"/>
        <w:rPr>
          <w:rFonts w:cstheme="minorHAnsi"/>
        </w:rPr>
      </w:pPr>
      <w:r w:rsidRPr="00AD7B00">
        <w:rPr>
          <w:rFonts w:cstheme="minorHAnsi"/>
          <w:lang w:val="en-US"/>
        </w:rPr>
        <w:t xml:space="preserve">As early as 1890, Charcot identified that vascular factors could be of significance in the development of neurological complications in diabetes. Currently, a cascade of complex vascular and metabolic processes has been postulated to be involved in the pathogenesis of </w:t>
      </w:r>
      <w:proofErr w:type="spellStart"/>
      <w:r w:rsidRPr="00AD7B00">
        <w:rPr>
          <w:rFonts w:cstheme="minorHAnsi"/>
          <w:lang w:val="en-US"/>
        </w:rPr>
        <w:t>DPN</w:t>
      </w:r>
      <w:proofErr w:type="spellEnd"/>
      <w:r w:rsidRPr="00AD7B00">
        <w:rPr>
          <w:rFonts w:cstheme="minorHAnsi"/>
          <w:lang w:val="en-US"/>
        </w:rPr>
        <w:t xml:space="preserve">.  These include: </w:t>
      </w:r>
      <w:proofErr w:type="spellStart"/>
      <w:r w:rsidRPr="00AD7B00">
        <w:rPr>
          <w:rFonts w:cstheme="minorHAnsi"/>
          <w:lang w:val="en-US"/>
        </w:rPr>
        <w:t>hyperglycaemia</w:t>
      </w:r>
      <w:proofErr w:type="spellEnd"/>
      <w:r w:rsidRPr="00AD7B00">
        <w:rPr>
          <w:rFonts w:cstheme="minorHAnsi"/>
          <w:lang w:val="en-US"/>
        </w:rPr>
        <w:t xml:space="preserve"> </w:t>
      </w:r>
      <w:r w:rsidRPr="00AD7B00">
        <w:rPr>
          <w:rFonts w:cstheme="minorHAnsi"/>
          <w:lang w:val="en-US"/>
        </w:rPr>
        <w:fldChar w:fldCharType="begin"/>
      </w:r>
      <w:r w:rsidRPr="00AD7B00">
        <w:rPr>
          <w:rFonts w:cstheme="minorHAnsi"/>
          <w:lang w:val="en-US"/>
        </w:rPr>
        <w:instrText xml:space="preserve"> ADDIN EN.CITE &lt;EndNote&gt;&lt;Cite  &gt;&lt;Author&gt;Dyck&lt;/Author&gt;&lt;Year&gt;1999&lt;/Year&gt;&lt;RecNum&gt;252&lt;/RecNum&gt;&lt;DisplayText&gt;(Dyck et al., 1999, Navarro et al., 1997)&lt;/DisplayText&gt;&lt;record&gt;&lt;keywords/&gt;&lt;isbn&gt;0149-5992&lt;/isbn&gt;&lt;titles&gt;&lt;title&gt;Risk factors for severity of diabetic polyneuropathy: intensive longitudinal assessment of the Rochester Diabetic Neuropathy Study cohort&lt;/title&gt;&lt;secondary-title&gt;Diabetes care&lt;/secondary-title&gt;&lt;/titles&gt;&lt;pages&gt;1479&lt;/pages&gt;&lt;number&gt;9&lt;/number&gt;&lt;contributors&gt;&lt;authors&gt;&lt;author&gt;Dyck, P. J.&lt;/author&gt;&lt;author&gt;Davies, J. L.&lt;/author&gt;&lt;author&gt;Wilson, D. M.&lt;/author&gt;&lt;author&gt;Service, F. J.&lt;/author&gt;&lt;author&gt;Melton, L. J.&lt;/author&gt;&lt;author&gt;brien, P. C.&lt;/author&gt;&lt;author&gt;Brien, P. C.&lt;/author&gt;&lt;/authors&gt;&lt;/contributors&gt;&lt;added-date format="utc"&gt;1386091447&lt;/added-date&gt;&lt;ref-type name="Journal Article"&gt;17&lt;/ref-type&gt;&lt;dates&gt;&lt;year&gt;1999&lt;/year&gt;&lt;/dates&gt;&lt;rec-number&gt;252&lt;/rec-number&gt;&lt;last-updated-date format="utc"&gt;1386091447&lt;/last-updated-date&gt;&lt;volume&gt;22&lt;/volume&gt;&lt;/record&gt;&lt;/Cite&gt;&lt;Cite  &gt;&lt;Author&gt;Navarro&lt;/Author&gt;&lt;Year&gt;1997&lt;/Year&gt;&lt;RecNum&gt;257&lt;/RecNum&gt;&lt;record&gt;&lt;keywords&gt;&lt;keyword&gt;Pancreas Transplantation&lt;/keyword&gt;&lt;keyword&gt;Diabetes Mellitus, Type 1 -- Surgery&lt;/keyword&gt;&lt;keyword&gt;Diabetic Neuropathies -- Physiopathology&lt;/keyword&gt;&lt;/keywords&gt;&lt;isbn&gt;0364-5134&lt;/isbn&gt;&lt;titles&gt;&lt;title&gt;Long- term effects of pancreatic transplantation on diabetic neuropathy&lt;/title&gt;&lt;secondary-title&gt;Annals of neurology&lt;/secondary-title&gt;&lt;/titles&gt;&lt;pages&gt;727&lt;/pages&gt;&lt;number&gt;5&lt;/number&gt;&lt;contributors&gt;&lt;authors&gt;&lt;author&gt;Navarro, X.&lt;/author&gt;&lt;author&gt;Sutherland, D. E.&lt;/author&gt;&lt;author&gt;Kennedy, W. R.&lt;/author&gt;&lt;/authors&gt;&lt;/contributors&gt;&lt;added-date format="utc"&gt;1386092355&lt;/added-date&gt;&lt;ref-type name="Journal Article"&gt;17&lt;/ref-type&gt;&lt;dates&gt;&lt;year&gt;1997&lt;/year&gt;&lt;/dates&gt;&lt;rec-number&gt;257&lt;/rec-number&gt;&lt;last-updated-date format="utc"&gt;1387847341&lt;/last-updated-date&gt;&lt;volume&gt;42&lt;/volume&gt;&lt;/record&gt;&lt;/Cite&gt;&lt;/EndNote&gt;</w:instrText>
      </w:r>
      <w:r w:rsidRPr="00AD7B00">
        <w:rPr>
          <w:rFonts w:cstheme="minorHAnsi"/>
          <w:lang w:val="en-US"/>
        </w:rPr>
        <w:fldChar w:fldCharType="separate"/>
      </w:r>
      <w:r w:rsidRPr="00AD7B00">
        <w:rPr>
          <w:rFonts w:cstheme="minorHAnsi"/>
          <w:lang w:val="en-US"/>
        </w:rPr>
        <w:t>(Dyck et al., 1999, Navarro et al., 1997)</w:t>
      </w:r>
      <w:r w:rsidRPr="00AD7B00">
        <w:rPr>
          <w:rFonts w:cstheme="minorHAnsi"/>
          <w:lang w:val="en-US"/>
        </w:rPr>
        <w:fldChar w:fldCharType="end"/>
      </w:r>
      <w:r w:rsidRPr="00AD7B00">
        <w:rPr>
          <w:rFonts w:cstheme="minorHAnsi"/>
          <w:lang w:val="en-US"/>
        </w:rPr>
        <w:t xml:space="preserve">, polyol pathway hyperactivity </w:t>
      </w:r>
      <w:r w:rsidRPr="00AD7B00">
        <w:rPr>
          <w:rFonts w:cstheme="minorHAnsi"/>
          <w:lang w:val="en-US"/>
        </w:rPr>
        <w:fldChar w:fldCharType="begin"/>
      </w:r>
      <w:r w:rsidRPr="00AD7B00">
        <w:rPr>
          <w:rFonts w:cstheme="minorHAnsi"/>
          <w:lang w:val="en-US"/>
        </w:rPr>
        <w:instrText xml:space="preserve"> ADDIN EN.CITE &lt;EndNote&gt;&lt;Cite  &gt;&lt;Author&gt;Oates&lt;/Author&gt;&lt;Year&gt;2002&lt;/Year&gt;&lt;RecNum&gt;260&lt;/RecNum&gt;&lt;DisplayText&gt;(Oates, 2002, Hotta et al., 2001)&lt;/DisplayText&gt;&lt;record&gt;&lt;keywords/&gt;&lt;isbn&gt;0074-7742&lt;/isbn&gt;&lt;titles&gt;&lt;title&gt;Polyol pathway and diabetic peripheral neuropathy&lt;/title&gt;&lt;secondary-title&gt;International review of neurobiology&lt;/secondary-title&gt;&lt;/titles&gt;&lt;pages&gt;325&lt;/pages&gt;&lt;contributors&gt;&lt;authors&gt;&lt;author&gt;Oates, Peter J.&lt;/author&gt;&lt;/authors&gt;&lt;/contributors&gt;&lt;added-date format="utc"&gt;1386115097&lt;/added-date&gt;&lt;ref-type name="Journal Article"&gt;17&lt;/ref-type&gt;&lt;dates&gt;&lt;year&gt;2002&lt;/year&gt;&lt;/dates&gt;&lt;rec-number&gt;260&lt;/rec-number&gt;&lt;last-updated-date format="utc"&gt;1386115097&lt;/last-updated-date&gt;&lt;volume&gt;50&lt;/volume&gt;&lt;/record&gt;&lt;/Cite&gt;&lt;Cite  &gt;&lt;Author&gt;Hotta&lt;/Author&gt;&lt;Year&gt;2001&lt;/Year&gt;&lt;RecNum&gt;261&lt;/RecNum&gt;&lt;record&gt;&lt;keywords/&gt;&lt;isbn&gt;0149-5992&lt;/isbn&gt;&lt;titles&gt;&lt;title&gt;Clinical efficacy of fidarestat, a novel aldose reductase inhibitor, for diabetic peripheral neuropathy: a 52- week multicenter placebo- controlled double- blind parallel group study&lt;/title&gt;&lt;secondary-title&gt;Diabetes care&lt;/secondary-title&gt;&lt;/titles&gt;&lt;pages&gt;1776&lt;/pages&gt;&lt;number&gt;10&lt;/number&gt;&lt;contributors&gt;&lt;authors&gt;&lt;author&gt;Hotta, N.&lt;/author&gt;&lt;author&gt;Toyota, T.&lt;/author&gt;&lt;author&gt;Matsuoka, K.&lt;/author&gt;&lt;author&gt;Shigeta, Y.&lt;/author&gt;&lt;author&gt;Kikkawa, R.&lt;/author&gt;&lt;author&gt;Kaneko, T.&lt;/author&gt;&lt;author&gt;Takahashi, A.&lt;/author&gt;&lt;author&gt;Sugimura, K.&lt;/author&gt;&lt;author&gt;Koike, Y.&lt;/author&gt;&lt;author&gt;Ishii, J.&lt;/author&gt;&lt;author&gt;Sakamoto, N.&lt;/author&gt;&lt;/authors&gt;&lt;/contributors&gt;&lt;added-date format="utc"&gt;1386115417&lt;/added-date&gt;&lt;ref-type name="Journal Article"&gt;17&lt;/ref-type&gt;&lt;dates&gt;&lt;year&gt;2001&lt;/year&gt;&lt;/dates&gt;&lt;rec-number&gt;261&lt;/rec-number&gt;&lt;last-updated-date format="utc"&gt;1386115417&lt;/last-updated-date&gt;&lt;volume&gt;24&lt;/volume&gt;&lt;/record&gt;&lt;/Cite&gt;&lt;/EndNote&gt;</w:instrText>
      </w:r>
      <w:r w:rsidRPr="00AD7B00">
        <w:rPr>
          <w:rFonts w:cstheme="minorHAnsi"/>
          <w:lang w:val="en-US"/>
        </w:rPr>
        <w:fldChar w:fldCharType="separate"/>
      </w:r>
      <w:r w:rsidRPr="00AD7B00">
        <w:rPr>
          <w:rFonts w:cstheme="minorHAnsi"/>
          <w:lang w:val="en-US"/>
        </w:rPr>
        <w:t>(Oates, 2002, Hotta et al., 2001)</w:t>
      </w:r>
      <w:r w:rsidRPr="00AD7B00">
        <w:rPr>
          <w:rFonts w:cstheme="minorHAnsi"/>
          <w:lang w:val="en-US"/>
        </w:rPr>
        <w:fldChar w:fldCharType="end"/>
      </w:r>
      <w:r w:rsidRPr="00AD7B00">
        <w:rPr>
          <w:rFonts w:cstheme="minorHAnsi"/>
          <w:lang w:val="da-DK"/>
        </w:rPr>
        <w:t xml:space="preserve">, </w:t>
      </w:r>
      <w:r w:rsidRPr="00AD7B00">
        <w:rPr>
          <w:rFonts w:cstheme="minorHAnsi"/>
          <w:lang w:val="en-US"/>
        </w:rPr>
        <w:t>m</w:t>
      </w:r>
      <w:proofErr w:type="spellStart"/>
      <w:r w:rsidRPr="00AD7B00">
        <w:rPr>
          <w:rFonts w:cstheme="minorHAnsi"/>
          <w:lang w:val="da-DK"/>
        </w:rPr>
        <w:t>yoinositol</w:t>
      </w:r>
      <w:proofErr w:type="spellEnd"/>
      <w:r w:rsidRPr="00AD7B00">
        <w:rPr>
          <w:rFonts w:cstheme="minorHAnsi"/>
          <w:lang w:val="da-DK"/>
        </w:rPr>
        <w:t xml:space="preserve"> </w:t>
      </w:r>
      <w:r w:rsidRPr="00AD7B00">
        <w:rPr>
          <w:rFonts w:cstheme="minorHAnsi"/>
          <w:lang w:val="en-US"/>
        </w:rPr>
        <w:t xml:space="preserve">depletion </w:t>
      </w:r>
      <w:r w:rsidRPr="00AD7B00">
        <w:rPr>
          <w:rFonts w:cstheme="minorHAnsi"/>
          <w:lang w:val="en-US"/>
        </w:rPr>
        <w:fldChar w:fldCharType="begin"/>
      </w:r>
      <w:r w:rsidRPr="00AD7B00">
        <w:rPr>
          <w:rFonts w:cstheme="minorHAnsi"/>
          <w:lang w:val="en-US"/>
        </w:rPr>
        <w:instrText xml:space="preserve"> ADDIN EN.CITE &lt;EndNote&gt;&lt;Cite  &gt;&lt;Author&gt;Sundkvist&lt;/Author&gt;&lt;Year&gt;2000&lt;/Year&gt;&lt;DisplayText&gt;(Sundkvist et al., 2000)&lt;/DisplayText&gt;&lt;record&gt;&lt;keywords/&gt;&lt;isbn&gt;0742-3071&lt;/isbn&gt;&lt;titles&gt;&lt;title&gt;Sorbitol and myo- inositol levels and morphology of sural nerve in relation to peripheral nerve function and clinical neuropathy in men with diabetic, impaired, and normal glucose tolerance&lt;/title&gt;&lt;secondary-title&gt;Diabetic medicine : a journal of the British Diabetic Association&lt;/secondary-title&gt;&lt;/titles&gt;&lt;pages&gt;259&lt;/pages&gt;&lt;number&gt;4&lt;/number&gt;&lt;contributors&gt;&lt;authors&gt;&lt;author&gt;Sundkvist, G.&lt;/author&gt;&lt;author&gt;Dahlin, L. B.&lt;/author&gt;&lt;author&gt;Nilsson, H.&lt;/author&gt;&lt;author&gt;Eriksson, K. F.&lt;/author&gt;&lt;author&gt;Lindgärde, F.&lt;/author&gt;&lt;author&gt;Rosén, I.&lt;/author&gt;&lt;author&gt;Lattimer, S. A.&lt;/author&gt;&lt;author&gt;Sima, A. A.&lt;/author&gt;&lt;author&gt;Sullivan, K.&lt;/author&gt;&lt;author&gt;Greene, D. A.&lt;/author&gt;&lt;/authors&gt;&lt;/contributors&gt;&lt;added-date format="utc"&gt;1386091980&lt;/added-date&gt;&lt;ref-type name="Journal Article"&gt;17&lt;/ref-type&gt;&lt;dates&gt;&lt;year&gt;2000&lt;/year&gt;&lt;/dates&gt;&lt;rec-number&gt;254&lt;/rec-number&gt;&lt;last-updated-date format="utc"&gt;1386091980&lt;/last-updated-date&gt;&lt;volume&gt;17&lt;/volume&gt;&lt;/record&gt;&lt;/Cite&gt;&lt;/EndNote&gt;</w:instrText>
      </w:r>
      <w:r w:rsidRPr="00AD7B00">
        <w:rPr>
          <w:rFonts w:cstheme="minorHAnsi"/>
          <w:lang w:val="en-US"/>
        </w:rPr>
        <w:fldChar w:fldCharType="separate"/>
      </w:r>
      <w:r w:rsidRPr="00AD7B00">
        <w:rPr>
          <w:rFonts w:cstheme="minorHAnsi"/>
          <w:lang w:val="en-US"/>
        </w:rPr>
        <w:t>(Sundkvist et al., 2000)</w:t>
      </w:r>
      <w:r w:rsidRPr="00AD7B00">
        <w:rPr>
          <w:rFonts w:cstheme="minorHAnsi"/>
          <w:lang w:val="en-US"/>
        </w:rPr>
        <w:fldChar w:fldCharType="end"/>
      </w:r>
      <w:r w:rsidRPr="00AD7B00">
        <w:rPr>
          <w:rFonts w:cstheme="minorHAnsi"/>
          <w:lang w:val="da-DK"/>
        </w:rPr>
        <w:t xml:space="preserve">, Advanced </w:t>
      </w:r>
      <w:proofErr w:type="spellStart"/>
      <w:r w:rsidRPr="00AD7B00">
        <w:rPr>
          <w:rFonts w:cstheme="minorHAnsi"/>
          <w:lang w:val="da-DK"/>
        </w:rPr>
        <w:t>Glycation</w:t>
      </w:r>
      <w:proofErr w:type="spellEnd"/>
      <w:r w:rsidRPr="00AD7B00">
        <w:rPr>
          <w:rFonts w:cstheme="minorHAnsi"/>
          <w:lang w:val="da-DK"/>
        </w:rPr>
        <w:t xml:space="preserve"> End products</w:t>
      </w:r>
      <w:r w:rsidRPr="00AD7B00">
        <w:rPr>
          <w:rFonts w:cstheme="minorHAnsi"/>
          <w:lang w:val="en-US"/>
        </w:rPr>
        <w:t xml:space="preserve"> formation</w:t>
      </w:r>
      <w:r w:rsidRPr="00AD7B00">
        <w:rPr>
          <w:rFonts w:cstheme="minorHAnsi"/>
          <w:lang w:val="da-DK"/>
        </w:rPr>
        <w:t xml:space="preserve"> (AGE) </w:t>
      </w:r>
      <w:r w:rsidRPr="00AD7B00">
        <w:rPr>
          <w:rFonts w:cstheme="minorHAnsi"/>
          <w:lang w:val="da-DK"/>
        </w:rPr>
        <w:fldChar w:fldCharType="begin"/>
      </w:r>
      <w:r w:rsidRPr="00AD7B00">
        <w:rPr>
          <w:rFonts w:cstheme="minorHAnsi"/>
          <w:lang w:val="da-DK"/>
        </w:rPr>
        <w:instrText xml:space="preserve"> ADDIN EN.CITE &lt;EndNote&gt;&lt;Cite  &gt;&lt;Author&gt;Stitt&lt;/Author&gt;&lt;Year&gt;1997&lt;/Year&gt;&lt;RecNum&gt;263&lt;/RecNum&gt;&lt;DisplayText&gt;(Stitt et al., 1997)&lt;/DisplayText&gt;&lt;record&gt;&lt;keywords&gt;&lt;keyword&gt;Diabetes Mellitus, Experimental -- Metabolism&lt;/keyword&gt;&lt;keyword&gt;Glycosylation End Products, Advanced -- Metabolism&lt;/keyword&gt;&lt;keyword&gt;Receptors, Immunologic -- Pharmacology&lt;/keyword&gt;&lt;keyword&gt;Retinal Vessels -- Metabolism&lt;/keyword&gt;&lt;keyword&gt;Serum Albumin, Bovine -- Metabolism&lt;/keyword&gt;&lt;keyword&gt;Serum Albumin, Bovine -- Pharmacology&lt;/keyword&gt;&lt;/keywords&gt;&lt;isbn&gt;0002-9440&lt;/isbn&gt;&lt;titles&gt;&lt;title&gt;Advanced glycation end products ( AGEs) co- localize with AGE receptors in the retinal vasculature of diabetic and of AGE- infused rats&lt;/title&gt;&lt;secondary-title&gt;The American journal of pathology&lt;/secondary-title&gt;&lt;/titles&gt;&lt;pages&gt;523&lt;/pages&gt;&lt;number&gt;2&lt;/number&gt;&lt;contributors&gt;&lt;authors&gt;&lt;author&gt;Stitt, A. W.&lt;/author&gt;&lt;author&gt;Li, Y. M.&lt;/author&gt;&lt;author&gt;Gardiner, T. A.&lt;/author&gt;&lt;author&gt;Bucala, R.&lt;/author&gt;&lt;author&gt;Archer, D. B.&lt;/author&gt;&lt;author&gt;Vlassara, H.&lt;/author&gt;&lt;/authors&gt;&lt;/contributors&gt;&lt;added-date format="utc"&gt;1386186283&lt;/added-date&gt;&lt;ref-type name="Journal Article"&gt;17&lt;/ref-type&gt;&lt;dates&gt;&lt;year&gt;1997&lt;/year&gt;&lt;/dates&gt;&lt;rec-number&gt;263&lt;/rec-number&gt;&lt;last-updated-date format="utc"&gt;1387847341&lt;/last-updated-date&gt;&lt;volume&gt;150&lt;/volume&gt;&lt;/record&gt;&lt;/Cite&gt;&lt;/EndNote&gt;</w:instrText>
      </w:r>
      <w:r w:rsidRPr="00AD7B00">
        <w:rPr>
          <w:rFonts w:cstheme="minorHAnsi"/>
          <w:lang w:val="da-DK"/>
        </w:rPr>
        <w:fldChar w:fldCharType="separate"/>
      </w:r>
      <w:r w:rsidRPr="00AD7B00">
        <w:rPr>
          <w:rFonts w:cstheme="minorHAnsi"/>
          <w:lang w:val="da-DK"/>
        </w:rPr>
        <w:t>(Stitt et al., 1997)</w:t>
      </w:r>
      <w:r w:rsidRPr="00AD7B00">
        <w:rPr>
          <w:rFonts w:cstheme="minorHAnsi"/>
          <w:lang w:val="da-DK"/>
        </w:rPr>
        <w:fldChar w:fldCharType="end"/>
      </w:r>
      <w:r w:rsidRPr="00AD7B00">
        <w:rPr>
          <w:rFonts w:cstheme="minorHAnsi"/>
          <w:lang w:val="da-DK"/>
        </w:rPr>
        <w:t xml:space="preserve"> </w:t>
      </w:r>
      <w:r w:rsidRPr="00AD7B00">
        <w:rPr>
          <w:rFonts w:cstheme="minorHAnsi"/>
          <w:lang w:val="fr-FR"/>
        </w:rPr>
        <w:fldChar w:fldCharType="begin"/>
      </w:r>
      <w:r w:rsidRPr="00AD7B00">
        <w:rPr>
          <w:rFonts w:cstheme="minorHAnsi"/>
          <w:lang w:val="fr-FR"/>
        </w:rPr>
        <w:instrText xml:space="preserve"> ADDIN EN.CITE &lt;EndNote&gt;&lt;Cite  &gt;&lt;Author&gt;Horie&lt;/Author&gt;&lt;Year&gt;1997&lt;/Year&gt;&lt;RecNum&gt;264&lt;/RecNum&gt;&lt;DisplayText&gt;(Horie et al., 1997)&lt;/DisplayText&gt;&lt;record&gt;&lt;keywords/&gt;&lt;isbn&gt;0021-9738&lt;/isbn&gt;&lt;titles&gt;&lt;title&gt;Immunohistochemical colocalization of glycoxidation products and lipid peroxidation products in diabetic renal glomerular lesions. Implication for glycoxidative stress in the pathogenesis of diabetic nephropathy&lt;/title&gt;&lt;secondary-title&gt;The Journal of clinical investigation&lt;/secondary-title&gt;&lt;/titles&gt;&lt;pages&gt;2995&lt;/pages&gt;&lt;number&gt;12&lt;/number&gt;&lt;contributors&gt;&lt;authors&gt;&lt;author&gt;Horie, K.&lt;/author&gt;&lt;author&gt;Miyata, T.&lt;/author&gt;&lt;author&gt;Maeda, K.&lt;/author&gt;&lt;author&gt;Miyata, S.&lt;/author&gt;&lt;author&gt;Sugiyama, S.&lt;/author&gt;&lt;author&gt;Sakai, H.&lt;/author&gt;&lt;author&gt;Van Ypersole De Strihou, C.&lt;/author&gt;&lt;author&gt;Monnier, V. M.&lt;/author&gt;&lt;author&gt;Witztum, J. L.&lt;/author&gt;&lt;author&gt;Kurokawa, K.&lt;/author&gt;&lt;author&gt;van Ypersole de Strihou, C.&lt;/author&gt;&lt;/authors&gt;&lt;/contributors&gt;&lt;added-date format="utc"&gt;1386186336&lt;/added-date&gt;&lt;ref-type name="Journal Article"&gt;17&lt;/ref-type&gt;&lt;dates&gt;&lt;year&gt;1997&lt;/year&gt;&lt;/dates&gt;&lt;rec-number&gt;264&lt;/rec-number&gt;&lt;last-updated-date format="utc"&gt;1386186336&lt;/last-updated-date&gt;&lt;volume&gt;100&lt;/volume&gt;&lt;/record&gt;&lt;/Cite&gt;&lt;/EndNote&gt;</w:instrText>
      </w:r>
      <w:r w:rsidRPr="00AD7B00">
        <w:rPr>
          <w:rFonts w:cstheme="minorHAnsi"/>
          <w:lang w:val="fr-FR"/>
        </w:rPr>
        <w:fldChar w:fldCharType="separate"/>
      </w:r>
      <w:r w:rsidRPr="00AD7B00">
        <w:rPr>
          <w:rFonts w:cstheme="minorHAnsi"/>
          <w:lang w:val="fr-FR"/>
        </w:rPr>
        <w:t>(Horie et al., 1997)</w:t>
      </w:r>
      <w:r w:rsidRPr="00AD7B00">
        <w:rPr>
          <w:rFonts w:cstheme="minorHAnsi"/>
          <w:lang w:val="fr-FR"/>
        </w:rPr>
        <w:fldChar w:fldCharType="end"/>
      </w:r>
      <w:r w:rsidRPr="00AD7B00">
        <w:rPr>
          <w:rFonts w:cstheme="minorHAnsi"/>
          <w:lang w:val="da-DK"/>
        </w:rPr>
        <w:t xml:space="preserve"> </w:t>
      </w:r>
      <w:r w:rsidRPr="00AD7B00">
        <w:rPr>
          <w:rFonts w:cstheme="minorHAnsi"/>
          <w:lang w:val="de-DE"/>
        </w:rPr>
        <w:fldChar w:fldCharType="begin"/>
      </w:r>
      <w:r w:rsidRPr="00AD7B00">
        <w:rPr>
          <w:rFonts w:cstheme="minorHAnsi"/>
          <w:lang w:val="de-DE"/>
        </w:rPr>
        <w:instrText xml:space="preserve"> ADDIN EN.CITE &lt;EndNote&gt;&lt;Cite  &gt;&lt;Author&gt;Bierhaus&lt;/Author&gt;&lt;Year&gt;2012&lt;/Year&gt;&lt;DisplayText&gt;(Bierhaus et al., 2012)&lt;/DisplayText&gt;&lt;record&gt;&lt;isbn&gt;1078-8956&lt;/isbn&gt;&lt;titles&gt;&lt;title&gt;Methylglyoxal modification of Nav1.8 facilitates nociceptive neuron firing and causes hyperalgesia in diabetic neuropathy&lt;/title&gt;&lt;secondary-title&gt;Nature Medicine&lt;/secondary-title&gt;&lt;/tit</w:instrText>
      </w:r>
      <w:r w:rsidRPr="005B5764">
        <w:rPr>
          <w:rFonts w:cstheme="minorHAnsi"/>
          <w:lang w:val="fr-FR"/>
        </w:rPr>
        <w:instrText>les&gt;&lt;pages&gt;1445-1445&lt;/pages&gt;&lt;number&gt;9&lt;/number&gt;&lt;contributors&gt;&lt;authors&gt;&lt;author&gt;Bierhaus, Angelika&lt;/author&gt;&lt;author&gt;Fleming, Thomas&lt;/author&gt;&lt;author&gt;Stoyanov, Stoyan&lt;/author&gt;&lt;author&gt;Leffler, Andreas&lt;/author&gt;&lt;author&gt;Babes, Alexandru&lt;/author&gt;&lt;author&gt;Neacsu, Cristian&lt;/author&gt;&lt;author&gt;Sauer, Susanne K.&lt;/author&gt;&lt;author&gt;Eberhardt, Mirjam&lt;/author&gt;&lt;author&gt;Schnölzer, Martina&lt;/author&gt;&lt;author&gt;Lasischka, Felix&lt;/author&gt;&lt;author&gt;Neuhuber, Winfried L.&lt;/author&gt;&lt;author&gt;Kichko, Tatjana I.&lt;/author&gt;&lt;author&gt;Konrade, Ilze&lt;/author&gt;&lt;author&gt;Elvert, Ralf&lt;/author&gt;&lt;author&gt;Mier, Walter&lt;/author&gt;&lt;author&gt;Pirags, Valdis&lt;/author&gt;&lt;author&gt;Lukic, Ivan K.&lt;/author&gt;&lt;author&gt;Morcos, Michael&lt;/author&gt;&lt;author&gt;Dehmer, Thomas&lt;/author&gt;&lt;author&gt;Rabbani, Naila&lt;/author&gt;&lt;author&gt;Thornalley, Paul J.&lt;/author&gt;&lt;author&gt;Edelstein, Diane&lt;/author&gt;&lt;author&gt;Nau, Carla&lt;/author&gt;&lt;author&gt;Forbes, Josephine&lt;/author&gt;&lt;author&gt;Humpert, Per M.&lt;/author&gt;&lt;author&gt;Schwaninger, Markus&lt;/author&gt;&lt;author&gt;Ziegler, Dan&lt;/author&gt;&lt;author&gt;Stern, David M.&lt;/author&gt;&lt;author&gt;Cooper, Mark E.&lt;/author&gt;&lt;author&gt;Haberkorn, Uwe&lt;/author&gt;&lt;author&gt;Brownlee, Michael&lt;/author&gt;&lt;author&gt;Reeh, Peter W.&lt;/author&gt;&lt;author&gt;Nawroth, Peter P.&lt;/author&gt;&lt;/authors&gt;&lt;/contributors&gt;&lt;added-date format="utc"&gt;1383766651&lt;/added-date&gt;&lt;ref-type name="Journal Article"&gt;17&lt;/ref-type&gt;&lt;dates&gt;&lt;year&gt;2012&lt;/year&gt;&lt;/dates&gt;&lt;rec-number&gt;168&lt;/rec-number&gt;&lt;last-updated-date format="utc"&gt;1383766685&lt;/last-updated-date&gt;&lt;electronic-resource-num&gt;10.1038/nm0912-1445c&lt;/electronic-resource-num&gt;&lt;volume&gt;18&lt;/volume&gt;&lt;/record&gt;&lt;/Cite&gt;&lt;/EndNote&gt;</w:instrText>
      </w:r>
      <w:r w:rsidRPr="00AD7B00">
        <w:rPr>
          <w:rFonts w:cstheme="minorHAnsi"/>
          <w:lang w:val="de-DE"/>
        </w:rPr>
        <w:fldChar w:fldCharType="separate"/>
      </w:r>
      <w:r w:rsidRPr="005B5764">
        <w:rPr>
          <w:rFonts w:cstheme="minorHAnsi"/>
          <w:lang w:val="fr-FR"/>
        </w:rPr>
        <w:t>(Bierhaus et al., 2012)</w:t>
      </w:r>
      <w:r w:rsidRPr="00AD7B00">
        <w:rPr>
          <w:rFonts w:cstheme="minorHAnsi"/>
          <w:lang w:val="de-DE"/>
        </w:rPr>
        <w:fldChar w:fldCharType="end"/>
      </w:r>
      <w:r w:rsidRPr="00AD7B00">
        <w:rPr>
          <w:rFonts w:cstheme="minorHAnsi"/>
          <w:lang w:val="da-DK"/>
        </w:rPr>
        <w:t xml:space="preserve"> </w:t>
      </w:r>
      <w:r w:rsidRPr="00AD7B00">
        <w:rPr>
          <w:rFonts w:cstheme="minorHAnsi"/>
          <w:lang w:val="da-DK"/>
        </w:rPr>
        <w:fldChar w:fldCharType="begin"/>
      </w:r>
      <w:r w:rsidRPr="00AD7B00">
        <w:rPr>
          <w:rFonts w:cstheme="minorHAnsi"/>
          <w:lang w:val="da-DK"/>
        </w:rPr>
        <w:instrText xml:space="preserve"> ADDIN EN.CITE &lt;EndNote&gt;&lt;Cite  &gt;&lt;Author&gt;Chilelli&lt;/Author&gt;&lt;Year&gt;2013&lt;/Year&gt;&lt;DisplayText&gt;(Chilelli et al., 2013)&lt;/DisplayText&gt;&lt;record&gt;&lt;keywords/&gt;&lt;isbn&gt;0939-4753&lt;/isbn&gt;&lt;titles&gt;&lt;title&gt;AGEs, rather than hyperglycemia, are responsible for  microvascular complications in diabetes: A &amp;amp;#034; glycoxidation- centric&amp;amp;#034; point of view&lt;/title&gt;&lt;secondary-title&gt;Nutrition, Metabolism and Cardiovascular Diseases&lt;/secondary-title&gt;&lt;/titles&gt;&lt;contributors&gt;&lt;authors&gt;&lt;author&gt;Chilelli, N. C.&lt;/author&gt;&lt;author&gt;Burlina, S.&lt;/author&gt;&lt;author&gt;Lapolla, A.&lt;/author&gt;&lt;/authors&gt;&lt;/contributors&gt;&lt;added-date format="utc"&gt;1386200261&lt;/added-date&gt;&lt;ref-type name="Journal Article"&gt;17&lt;/ref-type&gt;&lt;dates&gt;&lt;year&gt;2013&lt;/year&gt;&lt;/dates&gt;&lt;rec-number&gt;282&lt;/rec-number&gt;&lt;last-updated-date format="utc"&gt;1386200261&lt;/last-updated-date&gt;&lt;electronic-resource-num&gt;10.1016/j.numecd.2013.04.004&lt;/electronic-resource-num&gt;&lt;/record&gt;&lt;/Cite&gt;&lt;/EndNote&gt;</w:instrText>
      </w:r>
      <w:r w:rsidRPr="00AD7B00">
        <w:rPr>
          <w:rFonts w:cstheme="minorHAnsi"/>
          <w:lang w:val="da-DK"/>
        </w:rPr>
        <w:fldChar w:fldCharType="separate"/>
      </w:r>
      <w:r w:rsidRPr="00AD7B00">
        <w:rPr>
          <w:rFonts w:cstheme="minorHAnsi"/>
          <w:lang w:val="da-DK"/>
        </w:rPr>
        <w:t>(Chilelli et al., 2013)</w:t>
      </w:r>
      <w:r w:rsidRPr="00AD7B00">
        <w:rPr>
          <w:rFonts w:cstheme="minorHAnsi"/>
          <w:lang w:val="da-DK"/>
        </w:rPr>
        <w:fldChar w:fldCharType="end"/>
      </w:r>
      <w:r w:rsidRPr="00AD7B00">
        <w:rPr>
          <w:rFonts w:cstheme="minorHAnsi"/>
          <w:lang w:val="da-DK"/>
        </w:rPr>
        <w:t xml:space="preserve"> </w:t>
      </w:r>
      <w:r w:rsidRPr="00AD7B00">
        <w:rPr>
          <w:rFonts w:cstheme="minorHAnsi"/>
          <w:lang w:val="fr-FR"/>
        </w:rPr>
        <w:fldChar w:fldCharType="begin"/>
      </w:r>
      <w:r w:rsidRPr="00AD7B00">
        <w:rPr>
          <w:rFonts w:cstheme="minorHAnsi"/>
          <w:lang w:val="fr-FR"/>
        </w:rPr>
        <w:instrText xml:space="preserve"> ADDIN EN.CITE &lt;EndNote&gt;&lt;Cite  &gt;&lt;Author&gt;Vouillarmet&lt;/Author&gt;&lt;Year&gt;2013&lt;/Year&gt;&lt;RecNum&gt;283&lt;/RecNum&gt;&lt;DisplayText&gt;(Vouillarmet et al., 2013)&lt;/DisplayText&gt;&lt;record&gt;&lt;isbn&gt;1520-9156&lt;/isbn&gt;&lt;titles&gt;&lt;title&gt;Advanced glycation end products assessed by skin autofluorescence: a new marker of diabetic foot ulceration&lt;/title&gt;&lt;secondary-title&gt;Diabetes technology &amp;amp;amp; therapeutics&lt;/secondary-title&gt;&lt;/titles&gt;&lt;pages&gt;601&lt;/pages&gt;&lt;number&gt;7&lt;/number&gt;&lt;contributors&gt;&lt;authors&gt;&lt;author&gt;Vouillarmet, Julien&lt;/author&gt;&lt;author&gt;Maucort-boulch, Delphine&lt;/author&gt;&lt;author&gt;Michon, Paul&lt;/author&gt;&lt;author&gt;Thivolet, Charles&lt;/author&gt;&lt;author&gt;Maucort-Boulch, Delphine&lt;/author&gt;&lt;/authors&gt;&lt;/contributors&gt;&lt;added-date format="utc"&gt;1386200295&lt;/added-date&gt;&lt;ref-type name="Journal Article"&gt;17&lt;/ref-type&gt;&lt;dates&gt;&lt;year&gt;2013&lt;/year&gt;&lt;/dates&gt;&lt;rec-number&gt;283&lt;/rec-number&gt;&lt;last-updated-date format="utc"&gt;1386200295&lt;/last-updated-date&gt;&lt;electronic-resource-num&gt;10.1089/dia.2013.0009&lt;/electronic-resource-num&gt;&lt;volume&gt;15&lt;/volume&gt;&lt;/record&gt;&lt;/Cite&gt;&lt;/EndNote&gt;</w:instrText>
      </w:r>
      <w:r w:rsidRPr="00AD7B00">
        <w:rPr>
          <w:rFonts w:cstheme="minorHAnsi"/>
          <w:lang w:val="fr-FR"/>
        </w:rPr>
        <w:fldChar w:fldCharType="separate"/>
      </w:r>
      <w:r w:rsidRPr="00AD7B00">
        <w:rPr>
          <w:rFonts w:cstheme="minorHAnsi"/>
          <w:lang w:val="fr-FR"/>
        </w:rPr>
        <w:t>(Vouillarmet et al., 2013)</w:t>
      </w:r>
      <w:r w:rsidRPr="00AD7B00">
        <w:rPr>
          <w:rFonts w:cstheme="minorHAnsi"/>
          <w:lang w:val="fr-FR"/>
        </w:rPr>
        <w:fldChar w:fldCharType="end"/>
      </w:r>
      <w:r w:rsidRPr="00AD7B00">
        <w:rPr>
          <w:rFonts w:cstheme="minorHAnsi"/>
          <w:lang w:val="da-DK"/>
        </w:rPr>
        <w:t xml:space="preserve">, </w:t>
      </w:r>
      <w:r w:rsidRPr="005B5764">
        <w:rPr>
          <w:rFonts w:cstheme="minorHAnsi"/>
          <w:lang w:val="fr-FR"/>
        </w:rPr>
        <w:t>o</w:t>
      </w:r>
      <w:proofErr w:type="spellStart"/>
      <w:r w:rsidRPr="00AD7B00">
        <w:rPr>
          <w:rFonts w:cstheme="minorHAnsi"/>
          <w:lang w:val="da-DK"/>
        </w:rPr>
        <w:t>xidative</w:t>
      </w:r>
      <w:proofErr w:type="spellEnd"/>
      <w:r w:rsidRPr="00AD7B00">
        <w:rPr>
          <w:rFonts w:cstheme="minorHAnsi"/>
          <w:lang w:val="da-DK"/>
        </w:rPr>
        <w:t xml:space="preserve"> stress </w:t>
      </w:r>
      <w:r w:rsidRPr="00AD7B00">
        <w:rPr>
          <w:rFonts w:cstheme="minorHAnsi"/>
          <w:lang w:val="nl-NL"/>
        </w:rPr>
        <w:fldChar w:fldCharType="begin"/>
      </w:r>
      <w:r w:rsidRPr="005B5764">
        <w:rPr>
          <w:rFonts w:cstheme="minorHAnsi"/>
          <w:lang w:val="fr-FR"/>
        </w:rPr>
        <w:instrText xml:space="preserve"> ADDIN EN.CITE &lt;EndNote&gt;&lt;Cite  &gt;&lt;Author&gt;Nishikawa&lt;/Author&gt;&lt;Year&gt;2000&lt;/Year&gt;&lt;RecNum&gt;267&lt;/RecNum&gt;&lt;DisplayText&gt;(Nishikawa et al., 2000, McIlduff and Rutkove, 2011, Mijnhout et al., 2012, Ibrahimpasic, 2013)&lt;/DisplayText&gt;&lt;record&gt;&lt;keywords/&gt;&lt;isbn&gt;0028-0836&lt;/isbn&gt;&lt;titles&gt;&lt;title&gt;Normalizing mitochondrial superoxide production blocks three pathways of hyperglycaemic damage&lt;/title&gt;&lt;secondary-title&gt;Nature&lt;/secondary-title&gt;&lt;/titles&gt;&lt;pages&gt;787&lt;/pages&gt;&lt;number&gt;6779&lt;/number&gt;&lt;contributors&gt;&lt;authors&gt;&lt;author&gt;Nishikawa, T.&lt;/author&gt;&lt;author&gt;Edelstein, D.&lt;/author&gt;&lt;author&gt;Du, X. L.&lt;/author&gt;&lt;author&gt;Yamagishi, S.&lt;/author&gt;&lt;author&gt;Matsumura, T.&lt;/author&gt;&lt;author&gt;Kaneda, Y.&lt;/author&gt;&lt;author&gt;Yorek, M. A.&lt;/author&gt;&lt;author&gt;Beebe, D.&lt;/author&gt;&lt;author&gt;Oates, P. J.&lt;/author&gt;&lt;author&gt;Hammes, H. P.&lt;/author&gt;&lt;author&gt;Giardino, I.&lt;/author&gt;&lt;author&gt;Brownlee, M.&lt;/author&gt;&lt;/authors&gt;&lt;/contributors&gt;&lt;added-date format="utc"&gt;1386192784&lt;/added-date&gt;&lt;ref-type name="Journal Article"&gt;17&lt;/ref-type&gt;&lt;dates&gt;&lt;year&gt;2000&lt;/year&gt;&lt;/dates&gt;&lt;rec-number&gt;267&lt;/rec-number&gt;&lt;last-updated-date format="utc"&gt;1386192784&lt;/last-updated-date&gt;&lt;volume&gt;404&lt;/volume&gt;&lt;/record&gt;&lt;/Cite&gt;&lt;Cite  &gt;&lt;Author&gt;McIlduff&lt;/Author&gt;&lt;Year&gt;2011&lt;/Year&gt;&lt;RecNum&gt;278&lt;/RecNum&gt;&lt;record&gt;&lt;keywords/&gt;&lt;isbn&gt;1176-6336&lt;/isbn&gt;&lt;titles&gt;&lt;title&gt;Critical appraisal of the use of alpha lipoic acid ( thioctic acid) in the treatment of symptomatic diabetic polyneuropathy&lt;/title&gt;&lt;secondary-title&gt;Therapeutics and clinical risk management&lt;/secondary-title&gt;&lt;/titles&gt;&lt;p</w:instrText>
      </w:r>
      <w:r w:rsidRPr="00AD7B00">
        <w:rPr>
          <w:rFonts w:cstheme="minorHAnsi"/>
          <w:lang w:val="nl-NL"/>
        </w:rPr>
        <w:instrText>ages&gt;377&lt;/pages&gt;&lt;contributors&gt;&lt;authors&gt;&lt;author&gt;McIlduff, Courtney E.&lt;/author&gt;&lt;author&gt;Rutkove, Seward B.&lt;/author&gt;&lt;/authors&gt;&lt;/contributors&gt;&lt;added-date format="utc"&gt;1386199211&lt;/added-date&gt;&lt;ref-type name="Journal Article"&gt;17&lt;/ref-type&gt;&lt;dates&gt;&lt;year&gt;2011&lt;/year&gt;&lt;/dates&gt;&lt;rec-number&gt;278&lt;/rec-number&gt;&lt;last-updated-date format="utc"&gt;1386199211&lt;/last-updated-date&gt;&lt;electronic-resource-num&gt;10.2147/TCRM.S11325&lt;/electronic-resource-num&gt;&lt;volume&gt;7&lt;/volume&gt;&lt;/record&gt;&lt;/Cite&gt;&lt;Cite  &gt;&lt;Author&gt;Mijnhout&lt;/Author&gt;&lt;Year&gt;2012&lt;/Year&gt;&lt;RecNum&gt;279&lt;/RecNum&gt;&lt;record&gt;&lt;keywords/&gt;&lt;isbn&gt;1687-8337&lt;/isbn&gt;&lt;titles&gt;&lt;title&gt;Alpha Lipoic Acid for Symptomatic Peripheral Neuropathy in Patients with Diabetes: A Meta- Analysis of Randomized Controlled Trials&lt;/title&gt;&lt;secondary-title&gt;International Journal of Endocrinology&lt;/secondary-title&gt;&lt;/titles&gt;&lt;contributors&gt;&lt;authors&gt;&lt;author&gt;Mijnhout, Gerritje S.&lt;/author&gt;&lt;author&gt;Kollen, Boudewijn J.&lt;/author&gt;&lt;author&gt;Alkhalaf, Alaa&lt;/author&gt;&lt;author&gt;Kleefstra, Nanno&lt;/author&gt;&lt;author&gt;Bilo, Henk J. G.&lt;/author&gt;&lt;/authors&gt;&lt;/contributors&gt;&lt;added-date format="utc"&gt;1386199259&lt;/added-date&gt;&lt;ref-type name="Journal Article"&gt;17&lt;/ref-type&gt;&lt;dates&gt;&lt;year&gt;2012&lt;/year&gt;&lt;/dates&gt;&lt;rec-number&gt;279&lt;/rec-number&gt;&lt;last-updated-date format="utc"&gt;1386199259&lt;/last-updated-date&gt;&lt;electronic-resource-num&gt;10.1155/2012/456279&lt;/electronic-resource-num&gt;&lt;volume&gt;2012&lt;/volume&gt;&lt;/record&gt;&lt;/Cite&gt;&lt;Cite  &gt;&lt;Author&gt;Mijnhout&lt;/Author&gt;&lt;Year&gt;2012&lt;/Year&gt;&lt;RecNum&gt;279&lt;/RecNum&gt;&lt;record&gt;&lt;keywords/&gt;&lt;isbn&gt;1687-8337&lt;/isbn&gt;&lt;titles&gt;&lt;title&gt;Alpha Lipoic Acid for Symptomatic Peripheral Neuropathy in Patients with Diabetes: A Meta- Analysis of Randomized Controlled Trials&lt;/title&gt;&lt;secondary-title&gt;International Journal of Endocrinology&lt;/secondary-title&gt;&lt;/titles&gt;&lt;contributors&gt;&lt;authors&gt;&lt;author&gt;Mijnhout, Gerritje S.&lt;/author&gt;&lt;author&gt;Kollen, Boudewijn J.&lt;/author&gt;&lt;author&gt;Alkhalaf, Alaa&lt;/author&gt;&lt;author&gt;Kleefstra, Nanno&lt;/author&gt;&lt;author&gt;Bilo, Henk J. G.&lt;/author&gt;&lt;/authors&gt;&lt;/contributors&gt;&lt;added-date format="utc"&gt;1386199259&lt;/added-date&gt;&lt;ref-type name="Journal Article"&gt;17&lt;/ref-type&gt;&lt;dates&gt;&lt;year&gt;2012&lt;/year&gt;&lt;/dates&gt;&lt;rec-number&gt;279&lt;/rec-number&gt;&lt;last-updated-date format="utc"&gt;1386199259&lt;/last-updated-date&gt;&lt;electronic-resource-num&gt;10.1155/2012/456279&lt;/electronic-resource-num&gt;&lt;volume&gt;2012&lt;/volume&gt;&lt;/record&gt;&lt;/Cite&gt;&lt;Cite  &gt;&lt;Author&gt;Ibrahimpasic&lt;/Author&gt;&lt;Year&gt;2013&lt;/Year&gt;&lt;RecNum&gt;280&lt;/RecNum&gt;&lt;record&gt;&lt;keywords/&gt;&lt;isbn&gt;0350-199X&lt;/isbn&gt;&lt;titles&gt;&lt;title&gt;Alpha lipoic acid and glycaemic control in diabetic neuropathies at type 2 diabetes treatment&lt;/title&gt;&lt;secondary-title&gt;Medicinski arhiv&lt;/secondary-title&gt;&lt;/titles&gt;&lt;pages&gt;7&lt;/pages&gt;&lt;number&gt;1&lt;/number&gt;&lt;contributors&gt;&lt;authors&gt;&lt;author&gt;Ibrahimpasic, Kanita&lt;/author&gt;&lt;/authors&gt;&lt;/contributors&gt;&lt;added-date format="utc"&gt;1386199327&lt;/added-date&gt;&lt;ref-type name="Journal Article"&gt;17&lt;/ref-type&gt;&lt;dates&gt;&lt;year&gt;2013&lt;/year&gt;&lt;/dates&gt;&lt;rec-number&gt;280&lt;/rec-number&gt;&lt;last-updated-date format="utc"&gt;1386199327&lt;/last-updated-date&gt;&lt;volume&gt;67&lt;/volume&gt;&lt;/record&gt;&lt;/Cite&gt;&lt;/EndNote&gt;</w:instrText>
      </w:r>
      <w:r w:rsidRPr="00AD7B00">
        <w:rPr>
          <w:rFonts w:cstheme="minorHAnsi"/>
          <w:lang w:val="nl-NL"/>
        </w:rPr>
        <w:fldChar w:fldCharType="separate"/>
      </w:r>
      <w:r w:rsidRPr="00AD7B00">
        <w:rPr>
          <w:rFonts w:cstheme="minorHAnsi"/>
          <w:lang w:val="nl-NL"/>
        </w:rPr>
        <w:t>(Nishikawa et al., 2000, McIlduff and Rutkove, 2011, Mijnhout et al., 2012, Ibrahimpasic, 2013)</w:t>
      </w:r>
      <w:r w:rsidRPr="00AD7B00">
        <w:rPr>
          <w:rFonts w:cstheme="minorHAnsi"/>
          <w:lang w:val="nl-NL"/>
        </w:rPr>
        <w:fldChar w:fldCharType="end"/>
      </w:r>
      <w:r w:rsidRPr="00AD7B00">
        <w:rPr>
          <w:rFonts w:cstheme="minorHAnsi"/>
          <w:lang w:val="da-DK"/>
        </w:rPr>
        <w:t xml:space="preserve"> and </w:t>
      </w:r>
      <w:proofErr w:type="spellStart"/>
      <w:r w:rsidRPr="00AD7B00">
        <w:rPr>
          <w:rFonts w:cstheme="minorHAnsi"/>
          <w:lang w:val="da-DK"/>
        </w:rPr>
        <w:t>activation</w:t>
      </w:r>
      <w:proofErr w:type="spellEnd"/>
      <w:r w:rsidRPr="00AD7B00">
        <w:rPr>
          <w:rFonts w:cstheme="minorHAnsi"/>
          <w:lang w:val="da-DK"/>
        </w:rPr>
        <w:t xml:space="preserve"> of protein </w:t>
      </w:r>
      <w:proofErr w:type="spellStart"/>
      <w:r w:rsidRPr="00AD7B00">
        <w:rPr>
          <w:rFonts w:cstheme="minorHAnsi"/>
          <w:lang w:val="da-DK"/>
        </w:rPr>
        <w:t>kinase</w:t>
      </w:r>
      <w:proofErr w:type="spellEnd"/>
      <w:r w:rsidRPr="00AD7B00">
        <w:rPr>
          <w:rFonts w:cstheme="minorHAnsi"/>
          <w:lang w:val="da-DK"/>
        </w:rPr>
        <w:t xml:space="preserve"> C (</w:t>
      </w:r>
      <w:proofErr w:type="spellStart"/>
      <w:r w:rsidRPr="00AD7B00">
        <w:rPr>
          <w:rFonts w:cstheme="minorHAnsi"/>
          <w:lang w:val="da-DK"/>
        </w:rPr>
        <w:t>PKC</w:t>
      </w:r>
      <w:proofErr w:type="spellEnd"/>
      <w:r w:rsidRPr="00AD7B00">
        <w:rPr>
          <w:rFonts w:cstheme="minorHAnsi"/>
          <w:lang w:val="da-DK"/>
        </w:rPr>
        <w:t xml:space="preserve">) </w:t>
      </w:r>
      <w:r w:rsidRPr="00AD7B00">
        <w:rPr>
          <w:rFonts w:cstheme="minorHAnsi"/>
          <w:lang w:val="da-DK"/>
        </w:rPr>
        <w:fldChar w:fldCharType="begin"/>
      </w:r>
      <w:r w:rsidRPr="00AD7B00">
        <w:rPr>
          <w:rFonts w:cstheme="minorHAnsi"/>
          <w:lang w:val="da-DK"/>
        </w:rPr>
        <w:instrText xml:space="preserve"> ADDIN EN.CITE &lt;EndNote&gt;&lt;Cite  &gt;&lt;Author&gt;Koya&lt;/Author&gt;&lt;Year&gt;1998&lt;/Year&gt;&lt;RecNum&gt;275&lt;/RecNum&gt;&lt;DisplayText&gt;(Koya and King, 1998, Bansal et al., 2013)&lt;/DisplayText&gt;&lt;record&gt;&lt;keywords&gt;&lt;keyword&gt;Diabetes Mellitus -- Physiopathology&lt;/keyword&gt;&lt;keyword&gt;Protein Kinase C -- Metabolism&lt;/keyword&gt;&lt;/keywords&gt;&lt;isbn&gt;0012-1797&lt;/isbn&gt;&lt;titles&gt;&lt;title&gt;Protein kinase C activation and the development of diabetic complications&lt;/title&gt;&lt;secondary-title&gt;Diabetes&lt;/secondary-title&gt;&lt;/titles&gt;&lt;pages&gt;859&lt;/pages&gt;&lt;number&gt;6&lt;/number&gt;&lt;contributors&gt;&lt;authors&gt;&lt;author&gt;Koya, D.&lt;/author&gt;&lt;author&gt;King, G. L.&lt;/author&gt;&lt;/authors&gt;&lt;/contributors&gt;&lt;added-date format="utc"&gt;1386198206&lt;/added-date&gt;&lt;ref-type name="Journal Article"&gt;17&lt;/ref-type&gt;&lt;dates&gt;&lt;year&gt;1998&lt;/year&gt;&lt;/dates&gt;&lt;rec-number&gt;275&lt;/rec-number&gt;&lt;last-updated-date format="utc"&gt;1387847341&lt;/last-updated-date&gt;&lt;volume&gt;47&lt;/volume&gt;&lt;/record&gt;&lt;/Cite&gt;&lt;Cite  &gt;&lt;Author&gt;Bansal&lt;/Author&gt;&lt;Year&gt;2013&lt;/Year&gt;&lt;RecNum&gt;284&lt;/RecNum&gt;&lt;record&gt;&lt;keywords&gt;&lt;keyword&gt;Diabetic Peripheral Neuropathy&lt;/keyword&gt;&lt;keyword&gt;Protein Kinase C Inhibitor&lt;/keyword&gt;&lt;keyword&gt;Ruboxistaurin&lt;/keyword&gt;&lt;/keywords&gt;&lt;isbn&gt;2233-6079&lt;/isbn&gt;&lt;titles&gt;&lt;title&gt;Ruboxistaurin for the treatment of diabetic peripheral neuropathy: a systematic review of randomized clinical trials&lt;/title&gt;&lt;secondary-title&gt;Diabetes &amp;amp; metabolism journal&lt;/secondary-title&gt;&lt;/titles&gt;&lt;pages&gt;375&lt;/pages&gt;&lt;number&gt;5&lt;/number&gt;&lt;contributors&gt;&lt;authors&gt;&lt;author&gt;Bansal, Dipika&lt;/author&gt;&lt;author&gt;Badhan, Yogesh&lt;/author&gt;&lt;author&gt;Gudala, Kapil&lt;/author&gt;&lt;author&gt;Schifano, Fabrizio&lt;/author&gt;&lt;/authors&gt;&lt;/contributors&gt;&lt;added-date format="utc"&gt;1386261410&lt;/added-date&gt;&lt;ref-type name="Journal Article"&gt;17&lt;/ref-type&gt;&lt;dates&gt;&lt;year&gt;2013&lt;/year&gt;&lt;/dates&gt;&lt;rec-number&gt;284&lt;/rec-number&gt;&lt;last-updated-date format="utc"&gt;1387847341&lt;/last-updated-date&gt;&lt;electronic-resource-num&gt;10.4093/dmj.2013.37.5.375&lt;/electronic-resource-num&gt;&lt;volume&gt;37&lt;/volume&gt;&lt;/record&gt;&lt;/Cite&gt;&lt;/EndNote&gt;</w:instrText>
      </w:r>
      <w:r w:rsidRPr="00AD7B00">
        <w:rPr>
          <w:rFonts w:cstheme="minorHAnsi"/>
          <w:lang w:val="da-DK"/>
        </w:rPr>
        <w:fldChar w:fldCharType="separate"/>
      </w:r>
      <w:r w:rsidRPr="00AD7B00">
        <w:rPr>
          <w:rFonts w:cstheme="minorHAnsi"/>
          <w:lang w:val="da-DK"/>
        </w:rPr>
        <w:t>(Koya and King, 1998, Bansal et al., 2013)</w:t>
      </w:r>
      <w:r w:rsidRPr="00AD7B00">
        <w:rPr>
          <w:rFonts w:cstheme="minorHAnsi"/>
          <w:lang w:val="da-DK"/>
        </w:rPr>
        <w:fldChar w:fldCharType="end"/>
      </w:r>
      <w:r w:rsidRPr="00AD7B00">
        <w:rPr>
          <w:rFonts w:cstheme="minorHAnsi"/>
          <w:lang w:val="da-DK"/>
        </w:rPr>
        <w:t xml:space="preserve"> (</w:t>
      </w:r>
      <w:proofErr w:type="spellStart"/>
      <w:r w:rsidRPr="00AD7B00">
        <w:rPr>
          <w:rFonts w:cstheme="minorHAnsi"/>
          <w:lang w:val="da-DK"/>
        </w:rPr>
        <w:t>Figure</w:t>
      </w:r>
      <w:proofErr w:type="spellEnd"/>
      <w:r w:rsidRPr="00AD7B00">
        <w:rPr>
          <w:rFonts w:cstheme="minorHAnsi"/>
          <w:lang w:val="da-DK"/>
        </w:rPr>
        <w:t xml:space="preserve"> 1.1).</w:t>
      </w:r>
    </w:p>
    <w:p w14:paraId="45B020FD" w14:textId="77777777" w:rsidR="00AF1A96" w:rsidRPr="00AD7B00" w:rsidRDefault="00AF1A96" w:rsidP="00AF1A96">
      <w:pPr>
        <w:pStyle w:val="BodyA"/>
        <w:spacing w:line="480" w:lineRule="auto"/>
        <w:jc w:val="both"/>
        <w:rPr>
          <w:rFonts w:cstheme="minorHAnsi"/>
        </w:rPr>
      </w:pPr>
      <w:r w:rsidRPr="00AD7B00">
        <w:rPr>
          <w:rFonts w:cstheme="minorHAnsi"/>
          <w:noProof/>
          <w:color w:val="231F20"/>
          <w:u w:color="231F20"/>
          <w:lang w:eastAsia="zh-CN"/>
        </w:rPr>
        <w:lastRenderedPageBreak/>
        <w:drawing>
          <wp:inline distT="0" distB="0" distL="0" distR="0" wp14:anchorId="15AD7231" wp14:editId="3A028AB6">
            <wp:extent cx="5672667" cy="6282055"/>
            <wp:effectExtent l="0" t="0" r="0" b="0"/>
            <wp:docPr id="1073741826" name="officeArt object" descr="Picture 1"/>
            <wp:cNvGraphicFramePr/>
            <a:graphic xmlns:a="http://schemas.openxmlformats.org/drawingml/2006/main">
              <a:graphicData uri="http://schemas.openxmlformats.org/drawingml/2006/picture">
                <pic:pic xmlns:pic="http://schemas.openxmlformats.org/drawingml/2006/picture">
                  <pic:nvPicPr>
                    <pic:cNvPr id="1073741826" name="Picture 1" descr="Picture 1"/>
                    <pic:cNvPicPr>
                      <a:picLocks noChangeAspect="1"/>
                    </pic:cNvPicPr>
                  </pic:nvPicPr>
                  <pic:blipFill>
                    <a:blip r:embed="rId9"/>
                    <a:stretch>
                      <a:fillRect/>
                    </a:stretch>
                  </pic:blipFill>
                  <pic:spPr>
                    <a:xfrm>
                      <a:off x="0" y="0"/>
                      <a:ext cx="5672667" cy="6282055"/>
                    </a:xfrm>
                    <a:prstGeom prst="rect">
                      <a:avLst/>
                    </a:prstGeom>
                    <a:ln w="12700" cap="flat">
                      <a:noFill/>
                      <a:miter lim="400000"/>
                    </a:ln>
                    <a:effectLst/>
                  </pic:spPr>
                </pic:pic>
              </a:graphicData>
            </a:graphic>
          </wp:inline>
        </w:drawing>
      </w:r>
    </w:p>
    <w:p w14:paraId="10EE651A" w14:textId="00EE7F39" w:rsidR="00AF1A96" w:rsidRDefault="00AF1A96" w:rsidP="00AF1A96">
      <w:pPr>
        <w:pStyle w:val="BodyA"/>
        <w:spacing w:line="360" w:lineRule="auto"/>
        <w:jc w:val="both"/>
        <w:rPr>
          <w:rFonts w:cstheme="minorHAnsi"/>
        </w:rPr>
      </w:pPr>
      <w:r w:rsidRPr="00AD7B00">
        <w:rPr>
          <w:rFonts w:cstheme="minorHAnsi"/>
          <w:b/>
          <w:bCs/>
          <w:lang w:val="en-US"/>
        </w:rPr>
        <w:t xml:space="preserve">Figure 1.1 Potential Mechanism of </w:t>
      </w:r>
      <w:proofErr w:type="spellStart"/>
      <w:r w:rsidRPr="00AD7B00">
        <w:rPr>
          <w:rFonts w:cstheme="minorHAnsi"/>
          <w:b/>
          <w:bCs/>
          <w:lang w:val="en-US"/>
        </w:rPr>
        <w:t>Hyperglycaemia</w:t>
      </w:r>
      <w:proofErr w:type="spellEnd"/>
      <w:r w:rsidRPr="00AD7B00">
        <w:rPr>
          <w:rFonts w:cstheme="minorHAnsi"/>
          <w:b/>
          <w:bCs/>
          <w:lang w:val="en-US"/>
        </w:rPr>
        <w:t xml:space="preserve">-induced Mitochondrial Superoxide Overproduction </w:t>
      </w:r>
      <w:r w:rsidRPr="00AD7B00">
        <w:rPr>
          <w:rFonts w:cstheme="minorHAnsi"/>
          <w:lang w:val="en-US"/>
        </w:rPr>
        <w:t xml:space="preserve">(adapted from </w:t>
      </w:r>
      <w:r w:rsidRPr="00AD7B00">
        <w:rPr>
          <w:rFonts w:cstheme="minorHAnsi"/>
          <w:lang w:val="en-US"/>
        </w:rPr>
        <w:fldChar w:fldCharType="begin"/>
      </w:r>
      <w:r w:rsidRPr="00AD7B00">
        <w:rPr>
          <w:rFonts w:cstheme="minorHAnsi"/>
          <w:lang w:val="en-US"/>
        </w:rPr>
        <w:instrText xml:space="preserve"> ADDIN EN.CITE &lt;EndNote&gt;&lt;Cite  &gt;&lt;Author&gt;Brownlee&lt;/Author&gt;&lt;Year&gt;2001&lt;/Year&gt;&lt;RecNum&gt;230&lt;/RecNum&gt;&lt;DisplayText&gt;(Brownlee, 2001)&lt;/DisplayText&gt;&lt;record&gt;&lt;keywords/&gt;&lt;isbn&gt;0028-0836&lt;/isbn&gt;&lt;titles&gt;&lt;title&gt;Biochemistry and molecular cell biology of diabetic complications&lt;/title&gt;&lt;secondary-title&gt;Nature&lt;/secondary-title&gt;&lt;/titles&gt;&lt;pages&gt;813&lt;/pages&gt;&lt;number&gt;6865&lt;/number&gt;&lt;contributors&gt;&lt;authors&gt;&lt;author&gt;Brownlee, M.&lt;/author&gt;&lt;/authors&gt;&lt;/contributors&gt;&lt;added-date format="utc"&gt;1385665774&lt;/added-date&gt;&lt;ref-type name="Journal Article"&gt;17&lt;/ref-type&gt;&lt;dates&gt;&lt;year&gt;2001&lt;/year&gt;&lt;/dates&gt;&lt;rec-number&gt;230&lt;/rec-number&gt;&lt;last-updated-date format="utc"&gt;1385665774&lt;/last-updated-date&gt;&lt;volume&gt;414&lt;/volume&gt;&lt;/record&gt;&lt;/Cite&gt;&lt;/EndNote&gt;</w:instrText>
      </w:r>
      <w:r w:rsidRPr="00AD7B00">
        <w:rPr>
          <w:rFonts w:cstheme="minorHAnsi"/>
          <w:lang w:val="en-US"/>
        </w:rPr>
        <w:fldChar w:fldCharType="separate"/>
      </w:r>
      <w:r w:rsidRPr="00AD7B00">
        <w:rPr>
          <w:rFonts w:cstheme="minorHAnsi"/>
          <w:lang w:val="en-US"/>
        </w:rPr>
        <w:t>(Brownlee, 2001)</w:t>
      </w:r>
      <w:r w:rsidRPr="00AD7B00">
        <w:rPr>
          <w:rFonts w:cstheme="minorHAnsi"/>
          <w:lang w:val="en-US"/>
        </w:rPr>
        <w:fldChar w:fldCharType="end"/>
      </w:r>
      <w:r w:rsidRPr="00AD7B00">
        <w:rPr>
          <w:rFonts w:cstheme="minorHAnsi"/>
        </w:rPr>
        <w:t>)</w:t>
      </w:r>
    </w:p>
    <w:p w14:paraId="0DD910A9" w14:textId="4960BC80" w:rsidR="00AF1A96" w:rsidRDefault="00AF1A96" w:rsidP="00AF1A96">
      <w:pPr>
        <w:pStyle w:val="BodyA"/>
        <w:spacing w:line="480" w:lineRule="auto"/>
        <w:jc w:val="both"/>
        <w:rPr>
          <w:rFonts w:cstheme="minorHAnsi"/>
        </w:rPr>
      </w:pPr>
      <w:proofErr w:type="spellStart"/>
      <w:r w:rsidRPr="00AD7B00">
        <w:rPr>
          <w:rFonts w:cstheme="minorHAnsi"/>
          <w:lang w:val="en-US"/>
        </w:rPr>
        <w:t>EURODIAB</w:t>
      </w:r>
      <w:proofErr w:type="spellEnd"/>
      <w:r w:rsidRPr="00AD7B00">
        <w:rPr>
          <w:rFonts w:cstheme="minorHAnsi"/>
          <w:lang w:val="en-US"/>
        </w:rPr>
        <w:t xml:space="preserve"> Prospective Complications study proved that, apart from blood sugar control, the incidence of neuropathy is associated with potentially modifiable cardiovascular risk factors, including a raised triglyceride level, body-mass index, smoking, and hypertension as shown in table 1 </w:t>
      </w:r>
      <w:r w:rsidRPr="00AD7B00">
        <w:rPr>
          <w:rFonts w:cstheme="minorHAnsi"/>
          <w:lang w:val="fr-FR"/>
        </w:rPr>
        <w:fldChar w:fldCharType="begin"/>
      </w:r>
      <w:r w:rsidRPr="005B5764">
        <w:rPr>
          <w:rFonts w:cstheme="minorHAnsi"/>
        </w:rPr>
        <w:instrText xml:space="preserve"> ADDIN EN.CITE &lt;EndNote&gt;&lt;Cite  &gt;&lt;Author&gt;Tesfaye&lt;/Author&gt;&lt;Year&gt;2005&lt;/Year&gt;&lt;RecNum&gt;246&lt;/RecNum&gt;&lt;DisplayText&gt;(Tesfaye et al., 2005)&lt;/DisplayText&gt;&lt;record&gt;&lt;keywords&gt;&lt;keyword&gt;Cardiovascular Diseases -- Complications&lt;/keyword&gt;&lt;keyword&gt;Diabetes Mellitus, Type 1 -- Complications&lt;/keyword&gt;&lt;keyword&gt;Diabetic Neuropathies -- Etiology&lt;/keyword&gt;&lt;keyword&gt;Hemoglobin A, Glycosylated -- Metabolism&lt;/keyword&gt;&lt;/keywords&gt;&lt;titles&gt;&lt;title&gt;Vascular risk factors and diabetic neuropathy&lt;/title&gt;&lt;secondary-title&gt;The New England journal of medicine&lt;/secondary-title&gt;&lt;/titles&gt;&lt;pages&gt;341&lt;/pages&gt;&lt;number&gt;4&lt;/number&gt;&lt;contributors&gt;&lt;authors&gt;&lt;author&gt;Tesfaye, Solomon&lt;/author&gt;&lt;author&gt;Chaturvedi, Nish&lt;/author&gt;&lt;author&gt;Eaton, Simon E. M.&lt;/author&gt;&lt;author&gt;Ward, John D.&lt;/author&gt;&lt;author&gt;Manes, Christos&lt;/author&gt;&lt;author&gt;Ionescu-tirgoviste, Constantin&lt;/author&gt;&lt;author&gt;Witte, Daniel R.&lt;/author&gt;&lt;author&gt;Fuller, John H.&lt;/author&gt;&lt;author&gt;Ionescu-Tirgoviste, Constantin&lt;/author&gt;&lt;/authors&gt;&lt;/contributors&gt;&lt;added-date format="utc"&gt;1386078510&lt;/added-date&gt;&lt;ref-type name="Journal Article"&gt;17&lt;/ref-type&gt;&lt;dates&gt;&lt;year&gt;2005&lt;/year&gt;&lt;/dates&gt;&lt;rec-number&gt;246&lt;/rec-number&gt;&lt;last-updated-date format="utc"&gt;1387847341&lt;/last-updated-date&gt;&lt;volume&gt;352&lt;/volume&gt;&lt;/record&gt;&lt;/Cite&gt;&lt;/EndNote&gt;</w:instrText>
      </w:r>
      <w:r w:rsidRPr="00AD7B00">
        <w:rPr>
          <w:rFonts w:cstheme="minorHAnsi"/>
          <w:lang w:val="fr-FR"/>
        </w:rPr>
        <w:fldChar w:fldCharType="separate"/>
      </w:r>
      <w:r w:rsidRPr="005B5764">
        <w:rPr>
          <w:rFonts w:cstheme="minorHAnsi"/>
        </w:rPr>
        <w:t>(Tesfaye et al., 2005)</w:t>
      </w:r>
      <w:r w:rsidRPr="00AD7B00">
        <w:rPr>
          <w:rFonts w:cstheme="minorHAnsi"/>
          <w:lang w:val="fr-FR"/>
        </w:rPr>
        <w:fldChar w:fldCharType="end"/>
      </w:r>
      <w:r w:rsidRPr="00AD7B00">
        <w:rPr>
          <w:rFonts w:cstheme="minorHAnsi"/>
        </w:rPr>
        <w:t>.</w:t>
      </w:r>
    </w:p>
    <w:tbl>
      <w:tblPr>
        <w:tblStyle w:val="TableGrid"/>
        <w:tblW w:w="5000" w:type="pct"/>
        <w:shd w:val="clear" w:color="auto" w:fill="D9D9D9" w:themeFill="background1" w:themeFillShade="D9"/>
        <w:tblLook w:val="0000" w:firstRow="0" w:lastRow="0" w:firstColumn="0" w:lastColumn="0" w:noHBand="0" w:noVBand="0"/>
      </w:tblPr>
      <w:tblGrid>
        <w:gridCol w:w="5337"/>
        <w:gridCol w:w="2411"/>
        <w:gridCol w:w="1242"/>
      </w:tblGrid>
      <w:tr w:rsidR="00D964A0" w:rsidRPr="00C5205D" w14:paraId="7A6A7FCF" w14:textId="77777777" w:rsidTr="003C5716">
        <w:trPr>
          <w:trHeight w:val="1118"/>
        </w:trPr>
        <w:tc>
          <w:tcPr>
            <w:tcW w:w="5000" w:type="pct"/>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14:paraId="3D2CCABD" w14:textId="77777777" w:rsidR="00D964A0" w:rsidRPr="00D964A0" w:rsidRDefault="00D964A0" w:rsidP="00D964A0">
            <w:pPr>
              <w:pStyle w:val="Heading3"/>
              <w:snapToGrid w:val="0"/>
              <w:spacing w:line="360" w:lineRule="auto"/>
              <w:contextualSpacing/>
              <w:jc w:val="both"/>
              <w:rPr>
                <w:rFonts w:cs="Arial"/>
                <w:sz w:val="24"/>
                <w:szCs w:val="24"/>
              </w:rPr>
            </w:pPr>
            <w:bookmarkStart w:id="41" w:name="_Toc5212544"/>
            <w:bookmarkStart w:id="42" w:name="_Toc6092997"/>
            <w:r w:rsidRPr="00D964A0">
              <w:rPr>
                <w:rFonts w:cs="Arial"/>
                <w:bCs w:val="0"/>
                <w:sz w:val="24"/>
                <w:szCs w:val="24"/>
              </w:rPr>
              <w:lastRenderedPageBreak/>
              <w:t xml:space="preserve">Table 1.1 Odds Ratios for Associations between Key Risk Factors and the Incidence of Diabetic Neuropathy </w:t>
            </w:r>
            <w:r w:rsidRPr="00D964A0">
              <w:rPr>
                <w:rFonts w:cs="Arial"/>
                <w:b w:val="0"/>
                <w:bCs w:val="0"/>
                <w:sz w:val="24"/>
                <w:szCs w:val="24"/>
              </w:rPr>
              <w:t>(</w:t>
            </w:r>
            <w:r w:rsidRPr="00D964A0">
              <w:rPr>
                <w:rFonts w:cs="Arial"/>
                <w:b w:val="0"/>
                <w:sz w:val="24"/>
                <w:szCs w:val="24"/>
              </w:rPr>
              <w:t xml:space="preserve">adapted from </w:t>
            </w:r>
            <w:r w:rsidRPr="00D964A0">
              <w:rPr>
                <w:rFonts w:cs="Arial"/>
                <w:b w:val="0"/>
                <w:sz w:val="24"/>
                <w:szCs w:val="24"/>
              </w:rPr>
              <w:fldChar w:fldCharType="begin"/>
            </w:r>
            <w:r w:rsidRPr="00D964A0">
              <w:rPr>
                <w:rFonts w:cs="Arial"/>
                <w:b w:val="0"/>
                <w:sz w:val="24"/>
                <w:szCs w:val="24"/>
              </w:rPr>
              <w:instrText xml:space="preserve"> ADDIN EN.CITE &lt;EndNote&gt;&lt;Cite&gt;&lt;Author&gt;Tesfaye&lt;/Author&gt;&lt;Year&gt;2005&lt;/Year&gt;&lt;IDText&gt;Vascular risk factors and diabetic neuropathy&lt;/IDText&gt;&lt;DisplayText&gt;(Tesfaye et al., 2005)&lt;/DisplayText&gt;&lt;record&gt;&lt;keywords&gt;&lt;keyword&gt;Cardiovascular Diseases -- Complications&lt;/keyword&gt;&lt;keyword&gt;Diabetes Mellitus, Type 1 -- Complications&lt;/keyword&gt;&lt;keyword&gt;Diabetic Neuropathies -- Etiology&lt;/keyword&gt;&lt;keyword&gt;Hemoglobin A, Glycosylated -- Metabolism&lt;/keyword&gt;&lt;/keywords&gt;&lt;titles&gt;&lt;title&gt;Vascular risk factors and diabetic neuropathy&lt;/title&gt;&lt;secondary-title&gt;The New England journal of medicine&lt;/secondary-title&gt;&lt;/titles&gt;&lt;pages&gt;341&lt;/pages&gt;&lt;number&gt;4&lt;/number&gt;&lt;contributors&gt;&lt;authors&gt;&lt;author&gt;Tesfaye, Solomon&lt;/author&gt;&lt;author&gt;Chaturvedi, Nish&lt;/author&gt;&lt;author&gt;Eaton, Simon E. M.&lt;/author&gt;&lt;author&gt;Ward, John D.&lt;/author&gt;&lt;author&gt;Manes, Christos&lt;/author&gt;&lt;author&gt;Ionescu-tirgoviste, Constantin&lt;/author&gt;&lt;author&gt;Witte, Daniel R.&lt;/author&gt;&lt;author&gt;Fuller, John H.&lt;/author&gt;&lt;author&gt;Ionescu-Tirgoviste, Constantin&lt;/author&gt;&lt;/authors&gt;&lt;/contributors&gt;&lt;added-date format="utc"&gt;1386078510&lt;/added-date&gt;&lt;ref-type name="Journal Article"&gt;17&lt;/ref-type&gt;&lt;dates&gt;&lt;year&gt;2005&lt;/year&gt;&lt;/dates&gt;&lt;rec-number&gt;246&lt;/rec-number&gt;&lt;last-updated-date format="utc"&gt;1387847341&lt;/last-updated-date&gt;&lt;volume&gt;352&lt;/volume&gt;&lt;/record&gt;&lt;/Cite&gt;&lt;/EndNote&gt;</w:instrText>
            </w:r>
            <w:r w:rsidRPr="00D964A0">
              <w:rPr>
                <w:rFonts w:cs="Arial"/>
                <w:b w:val="0"/>
                <w:sz w:val="24"/>
                <w:szCs w:val="24"/>
              </w:rPr>
              <w:fldChar w:fldCharType="separate"/>
            </w:r>
            <w:r w:rsidRPr="00D964A0">
              <w:rPr>
                <w:rFonts w:cs="Arial"/>
                <w:b w:val="0"/>
                <w:noProof/>
                <w:sz w:val="24"/>
                <w:szCs w:val="24"/>
              </w:rPr>
              <w:t>(Tesfaye et al., 2005)</w:t>
            </w:r>
            <w:r w:rsidRPr="00D964A0">
              <w:rPr>
                <w:rFonts w:cs="Arial"/>
                <w:b w:val="0"/>
                <w:sz w:val="24"/>
                <w:szCs w:val="24"/>
              </w:rPr>
              <w:fldChar w:fldCharType="end"/>
            </w:r>
            <w:r w:rsidRPr="00D964A0">
              <w:rPr>
                <w:rFonts w:cs="Arial"/>
                <w:b w:val="0"/>
                <w:sz w:val="24"/>
                <w:szCs w:val="24"/>
              </w:rPr>
              <w:t>)</w:t>
            </w:r>
            <w:bookmarkEnd w:id="41"/>
            <w:bookmarkEnd w:id="42"/>
          </w:p>
        </w:tc>
      </w:tr>
      <w:tr w:rsidR="00D964A0" w:rsidRPr="00C5205D" w14:paraId="66AE5C19" w14:textId="77777777" w:rsidTr="003C5716">
        <w:trPr>
          <w:trHeight w:val="1180"/>
        </w:trPr>
        <w:tc>
          <w:tcPr>
            <w:tcW w:w="5000" w:type="pct"/>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14:paraId="62B62F85" w14:textId="5275A1B1" w:rsidR="00D964A0" w:rsidRPr="00D964A0" w:rsidRDefault="00D964A0" w:rsidP="004E68BB">
            <w:pPr>
              <w:pStyle w:val="Heading3"/>
              <w:snapToGrid w:val="0"/>
              <w:contextualSpacing/>
              <w:jc w:val="center"/>
              <w:rPr>
                <w:rFonts w:cs="Arial"/>
                <w:sz w:val="24"/>
                <w:szCs w:val="24"/>
              </w:rPr>
            </w:pPr>
            <w:bookmarkStart w:id="43" w:name="_Toc5212545"/>
            <w:bookmarkStart w:id="44" w:name="_Toc6092998"/>
            <w:r w:rsidRPr="00D964A0">
              <w:rPr>
                <w:rFonts w:cs="Arial"/>
                <w:sz w:val="24"/>
                <w:szCs w:val="24"/>
              </w:rPr>
              <w:t xml:space="preserve">Variable                                                                     </w:t>
            </w:r>
            <w:r>
              <w:rPr>
                <w:rFonts w:cs="Arial"/>
                <w:sz w:val="24"/>
                <w:szCs w:val="24"/>
              </w:rPr>
              <w:t xml:space="preserve">                </w:t>
            </w:r>
            <w:r w:rsidRPr="00D964A0">
              <w:rPr>
                <w:rFonts w:cs="Arial"/>
                <w:sz w:val="24"/>
                <w:szCs w:val="24"/>
              </w:rPr>
              <w:t>Odds Ratio                p Value</w:t>
            </w:r>
            <w:bookmarkEnd w:id="43"/>
            <w:bookmarkEnd w:id="44"/>
          </w:p>
          <w:p w14:paraId="0249DCF5" w14:textId="6783342B" w:rsidR="00D964A0" w:rsidRPr="00D964A0" w:rsidRDefault="00D964A0" w:rsidP="004E68BB">
            <w:pPr>
              <w:pStyle w:val="Heading3"/>
              <w:snapToGrid w:val="0"/>
              <w:contextualSpacing/>
              <w:jc w:val="center"/>
              <w:rPr>
                <w:rFonts w:cs="Arial"/>
                <w:sz w:val="24"/>
                <w:szCs w:val="24"/>
              </w:rPr>
            </w:pPr>
            <w:r w:rsidRPr="00D964A0">
              <w:rPr>
                <w:rFonts w:cs="Arial"/>
                <w:sz w:val="24"/>
                <w:szCs w:val="24"/>
              </w:rPr>
              <w:t xml:space="preserve">                                                   </w:t>
            </w:r>
            <w:r>
              <w:rPr>
                <w:rFonts w:cs="Arial"/>
                <w:sz w:val="24"/>
                <w:szCs w:val="24"/>
              </w:rPr>
              <w:t xml:space="preserve">                  </w:t>
            </w:r>
            <w:r w:rsidRPr="00D964A0">
              <w:rPr>
                <w:rFonts w:cs="Arial"/>
                <w:sz w:val="24"/>
                <w:szCs w:val="24"/>
              </w:rPr>
              <w:t xml:space="preserve"> </w:t>
            </w:r>
            <w:bookmarkStart w:id="45" w:name="_Toc5212546"/>
            <w:bookmarkStart w:id="46" w:name="_Toc6092999"/>
            <w:r w:rsidRPr="00D964A0">
              <w:rPr>
                <w:rFonts w:cs="Arial"/>
                <w:sz w:val="24"/>
                <w:szCs w:val="24"/>
              </w:rPr>
              <w:t>(95% CI)</w:t>
            </w:r>
            <w:bookmarkEnd w:id="45"/>
            <w:bookmarkEnd w:id="46"/>
          </w:p>
        </w:tc>
      </w:tr>
      <w:tr w:rsidR="00D964A0" w:rsidRPr="00C5205D" w14:paraId="5DE47B39" w14:textId="77777777" w:rsidTr="003C5716">
        <w:tblPrEx>
          <w:tblLook w:val="04A0" w:firstRow="1" w:lastRow="0" w:firstColumn="1" w:lastColumn="0" w:noHBand="0" w:noVBand="1"/>
        </w:tblPrEx>
        <w:tc>
          <w:tcPr>
            <w:tcW w:w="2968" w:type="pct"/>
            <w:tcBorders>
              <w:top w:val="single" w:sz="12" w:space="0" w:color="auto"/>
              <w:left w:val="single" w:sz="12" w:space="0" w:color="auto"/>
              <w:bottom w:val="nil"/>
              <w:right w:val="nil"/>
            </w:tcBorders>
            <w:shd w:val="clear" w:color="auto" w:fill="D9D9D9" w:themeFill="background1" w:themeFillShade="D9"/>
          </w:tcPr>
          <w:p w14:paraId="4A1014A8" w14:textId="77777777" w:rsidR="00D964A0" w:rsidRPr="00D964A0" w:rsidRDefault="00D964A0" w:rsidP="004E68BB">
            <w:pPr>
              <w:snapToGrid w:val="0"/>
              <w:spacing w:line="480" w:lineRule="auto"/>
              <w:contextualSpacing/>
              <w:rPr>
                <w:rFonts w:cs="Arial"/>
              </w:rPr>
            </w:pPr>
            <w:r w:rsidRPr="00D964A0">
              <w:rPr>
                <w:rFonts w:cs="Arial"/>
              </w:rPr>
              <w:t>Duration of diabetes (</w:t>
            </w:r>
            <w:proofErr w:type="spellStart"/>
            <w:proofErr w:type="gramStart"/>
            <w:r w:rsidRPr="00D964A0">
              <w:rPr>
                <w:rFonts w:cs="Arial"/>
              </w:rPr>
              <w:t>yr</w:t>
            </w:r>
            <w:proofErr w:type="spellEnd"/>
            <w:r w:rsidRPr="00D964A0">
              <w:rPr>
                <w:rFonts w:cs="Arial"/>
              </w:rPr>
              <w:t xml:space="preserve">)   </w:t>
            </w:r>
            <w:proofErr w:type="gramEnd"/>
            <w:r w:rsidRPr="00D964A0">
              <w:rPr>
                <w:rFonts w:cs="Arial"/>
              </w:rPr>
              <w:t xml:space="preserve">                                       </w:t>
            </w:r>
          </w:p>
        </w:tc>
        <w:tc>
          <w:tcPr>
            <w:tcW w:w="1341" w:type="pct"/>
            <w:tcBorders>
              <w:top w:val="single" w:sz="12" w:space="0" w:color="auto"/>
              <w:left w:val="nil"/>
              <w:bottom w:val="nil"/>
              <w:right w:val="nil"/>
            </w:tcBorders>
            <w:shd w:val="clear" w:color="auto" w:fill="D9D9D9" w:themeFill="background1" w:themeFillShade="D9"/>
          </w:tcPr>
          <w:p w14:paraId="65F55F40" w14:textId="77777777" w:rsidR="00D964A0" w:rsidRPr="00D964A0" w:rsidRDefault="00D964A0" w:rsidP="004E68BB">
            <w:pPr>
              <w:snapToGrid w:val="0"/>
              <w:spacing w:line="480" w:lineRule="auto"/>
              <w:contextualSpacing/>
              <w:jc w:val="center"/>
              <w:rPr>
                <w:rFonts w:cs="Arial"/>
              </w:rPr>
            </w:pPr>
            <w:r w:rsidRPr="00D964A0">
              <w:rPr>
                <w:rFonts w:cs="Arial"/>
              </w:rPr>
              <w:t>1.25 (1.03–1.51)</w:t>
            </w:r>
          </w:p>
        </w:tc>
        <w:tc>
          <w:tcPr>
            <w:tcW w:w="691" w:type="pct"/>
            <w:tcBorders>
              <w:top w:val="single" w:sz="12" w:space="0" w:color="auto"/>
              <w:left w:val="nil"/>
              <w:bottom w:val="nil"/>
              <w:right w:val="single" w:sz="12" w:space="0" w:color="auto"/>
            </w:tcBorders>
            <w:shd w:val="clear" w:color="auto" w:fill="D9D9D9" w:themeFill="background1" w:themeFillShade="D9"/>
          </w:tcPr>
          <w:p w14:paraId="1153FB83" w14:textId="77777777" w:rsidR="00D964A0" w:rsidRPr="00D964A0" w:rsidRDefault="00D964A0" w:rsidP="004E68BB">
            <w:pPr>
              <w:snapToGrid w:val="0"/>
              <w:spacing w:line="480" w:lineRule="auto"/>
              <w:contextualSpacing/>
              <w:jc w:val="center"/>
              <w:rPr>
                <w:rFonts w:cs="Arial"/>
              </w:rPr>
            </w:pPr>
            <w:r w:rsidRPr="00D964A0">
              <w:rPr>
                <w:rFonts w:cs="Arial"/>
              </w:rPr>
              <w:t>0.02</w:t>
            </w:r>
          </w:p>
        </w:tc>
      </w:tr>
      <w:tr w:rsidR="00D964A0" w:rsidRPr="00C5205D" w14:paraId="4D83B209" w14:textId="77777777" w:rsidTr="003C5716">
        <w:tblPrEx>
          <w:tblLook w:val="04A0" w:firstRow="1" w:lastRow="0" w:firstColumn="1" w:lastColumn="0" w:noHBand="0" w:noVBand="1"/>
        </w:tblPrEx>
        <w:tc>
          <w:tcPr>
            <w:tcW w:w="2968" w:type="pct"/>
            <w:tcBorders>
              <w:top w:val="nil"/>
              <w:left w:val="single" w:sz="12" w:space="0" w:color="auto"/>
              <w:bottom w:val="nil"/>
              <w:right w:val="nil"/>
            </w:tcBorders>
            <w:shd w:val="clear" w:color="auto" w:fill="D9D9D9" w:themeFill="background1" w:themeFillShade="D9"/>
          </w:tcPr>
          <w:p w14:paraId="2158211C" w14:textId="77777777" w:rsidR="00D964A0" w:rsidRPr="00D964A0" w:rsidRDefault="00D964A0" w:rsidP="004E68BB">
            <w:pPr>
              <w:snapToGrid w:val="0"/>
              <w:spacing w:line="480" w:lineRule="auto"/>
              <w:contextualSpacing/>
              <w:rPr>
                <w:rFonts w:cs="Arial"/>
              </w:rPr>
            </w:pPr>
            <w:r w:rsidRPr="00D964A0">
              <w:rPr>
                <w:rFonts w:cs="Arial"/>
              </w:rPr>
              <w:t xml:space="preserve">Glycosylated haemoglobin (% of </w:t>
            </w:r>
            <w:proofErr w:type="gramStart"/>
            <w:r w:rsidRPr="00D964A0">
              <w:rPr>
                <w:rFonts w:cs="Arial"/>
              </w:rPr>
              <w:t xml:space="preserve">haemoglobin)   </w:t>
            </w:r>
            <w:proofErr w:type="gramEnd"/>
            <w:r w:rsidRPr="00D964A0">
              <w:rPr>
                <w:rFonts w:cs="Arial"/>
              </w:rPr>
              <w:t xml:space="preserve">          </w:t>
            </w:r>
          </w:p>
        </w:tc>
        <w:tc>
          <w:tcPr>
            <w:tcW w:w="1341" w:type="pct"/>
            <w:tcBorders>
              <w:top w:val="nil"/>
              <w:left w:val="nil"/>
              <w:bottom w:val="nil"/>
              <w:right w:val="nil"/>
            </w:tcBorders>
            <w:shd w:val="clear" w:color="auto" w:fill="D9D9D9" w:themeFill="background1" w:themeFillShade="D9"/>
          </w:tcPr>
          <w:p w14:paraId="4CFAFC1F" w14:textId="77777777" w:rsidR="00D964A0" w:rsidRPr="00D964A0" w:rsidRDefault="00D964A0" w:rsidP="004E68BB">
            <w:pPr>
              <w:snapToGrid w:val="0"/>
              <w:spacing w:line="480" w:lineRule="auto"/>
              <w:contextualSpacing/>
              <w:jc w:val="center"/>
              <w:rPr>
                <w:rFonts w:cs="Arial"/>
              </w:rPr>
            </w:pPr>
            <w:r w:rsidRPr="00D964A0">
              <w:rPr>
                <w:rFonts w:cs="Arial"/>
              </w:rPr>
              <w:t>1.64 (1.33–2.03)</w:t>
            </w:r>
          </w:p>
        </w:tc>
        <w:tc>
          <w:tcPr>
            <w:tcW w:w="691" w:type="pct"/>
            <w:tcBorders>
              <w:top w:val="nil"/>
              <w:left w:val="nil"/>
              <w:bottom w:val="nil"/>
              <w:right w:val="single" w:sz="12" w:space="0" w:color="auto"/>
            </w:tcBorders>
            <w:shd w:val="clear" w:color="auto" w:fill="D9D9D9" w:themeFill="background1" w:themeFillShade="D9"/>
          </w:tcPr>
          <w:p w14:paraId="53A72001" w14:textId="77777777" w:rsidR="00D964A0" w:rsidRPr="00D964A0" w:rsidRDefault="00D964A0" w:rsidP="004E68BB">
            <w:pPr>
              <w:snapToGrid w:val="0"/>
              <w:spacing w:line="480" w:lineRule="auto"/>
              <w:contextualSpacing/>
              <w:jc w:val="center"/>
              <w:rPr>
                <w:rFonts w:cs="Arial"/>
              </w:rPr>
            </w:pPr>
            <w:r w:rsidRPr="00D964A0">
              <w:rPr>
                <w:rFonts w:cs="Arial"/>
              </w:rPr>
              <w:t>&lt;0.001</w:t>
            </w:r>
          </w:p>
        </w:tc>
      </w:tr>
      <w:tr w:rsidR="00D964A0" w:rsidRPr="00C5205D" w14:paraId="24B365DE" w14:textId="77777777" w:rsidTr="003C5716">
        <w:tblPrEx>
          <w:tblLook w:val="04A0" w:firstRow="1" w:lastRow="0" w:firstColumn="1" w:lastColumn="0" w:noHBand="0" w:noVBand="1"/>
        </w:tblPrEx>
        <w:tc>
          <w:tcPr>
            <w:tcW w:w="2968" w:type="pct"/>
            <w:tcBorders>
              <w:top w:val="nil"/>
              <w:left w:val="single" w:sz="12" w:space="0" w:color="auto"/>
              <w:bottom w:val="nil"/>
              <w:right w:val="nil"/>
            </w:tcBorders>
            <w:shd w:val="clear" w:color="auto" w:fill="D9D9D9" w:themeFill="background1" w:themeFillShade="D9"/>
          </w:tcPr>
          <w:p w14:paraId="5051DDC8" w14:textId="77777777" w:rsidR="00D964A0" w:rsidRPr="00D964A0" w:rsidRDefault="00D964A0" w:rsidP="004E68BB">
            <w:pPr>
              <w:snapToGrid w:val="0"/>
              <w:spacing w:after="0"/>
              <w:contextualSpacing/>
              <w:rPr>
                <w:rFonts w:cs="Arial"/>
              </w:rPr>
            </w:pPr>
            <w:r w:rsidRPr="00D964A0">
              <w:rPr>
                <w:rFonts w:cs="Arial"/>
              </w:rPr>
              <w:t>Change in glycosylated haemoglobin</w:t>
            </w:r>
          </w:p>
          <w:p w14:paraId="6FB62BAD" w14:textId="77777777" w:rsidR="00D964A0" w:rsidRPr="00D964A0" w:rsidRDefault="00D964A0" w:rsidP="004E68BB">
            <w:pPr>
              <w:snapToGrid w:val="0"/>
              <w:spacing w:after="0"/>
              <w:contextualSpacing/>
              <w:rPr>
                <w:rFonts w:cs="Arial"/>
              </w:rPr>
            </w:pPr>
            <w:r w:rsidRPr="00D964A0">
              <w:rPr>
                <w:rFonts w:cs="Arial"/>
              </w:rPr>
              <w:t>(% of haemoglobin)</w:t>
            </w:r>
          </w:p>
          <w:p w14:paraId="3AB68CE0" w14:textId="77777777" w:rsidR="00D964A0" w:rsidRPr="00D964A0" w:rsidRDefault="00D964A0" w:rsidP="004E68BB">
            <w:pPr>
              <w:snapToGrid w:val="0"/>
              <w:spacing w:after="0"/>
              <w:contextualSpacing/>
              <w:rPr>
                <w:rFonts w:cs="Arial"/>
              </w:rPr>
            </w:pPr>
          </w:p>
        </w:tc>
        <w:tc>
          <w:tcPr>
            <w:tcW w:w="1341" w:type="pct"/>
            <w:tcBorders>
              <w:top w:val="nil"/>
              <w:left w:val="nil"/>
              <w:bottom w:val="nil"/>
              <w:right w:val="nil"/>
            </w:tcBorders>
            <w:shd w:val="clear" w:color="auto" w:fill="D9D9D9" w:themeFill="background1" w:themeFillShade="D9"/>
          </w:tcPr>
          <w:p w14:paraId="08473F20" w14:textId="77777777" w:rsidR="00D964A0" w:rsidRPr="00D964A0" w:rsidRDefault="00D964A0" w:rsidP="004E68BB">
            <w:pPr>
              <w:snapToGrid w:val="0"/>
              <w:spacing w:line="480" w:lineRule="auto"/>
              <w:contextualSpacing/>
              <w:jc w:val="center"/>
              <w:rPr>
                <w:rFonts w:cs="Arial"/>
              </w:rPr>
            </w:pPr>
            <w:r w:rsidRPr="00D964A0">
              <w:rPr>
                <w:rFonts w:cs="Arial"/>
              </w:rPr>
              <w:t>1.44 (1.17–1.77)</w:t>
            </w:r>
          </w:p>
        </w:tc>
        <w:tc>
          <w:tcPr>
            <w:tcW w:w="691" w:type="pct"/>
            <w:tcBorders>
              <w:top w:val="nil"/>
              <w:left w:val="nil"/>
              <w:bottom w:val="nil"/>
              <w:right w:val="single" w:sz="12" w:space="0" w:color="auto"/>
            </w:tcBorders>
            <w:shd w:val="clear" w:color="auto" w:fill="D9D9D9" w:themeFill="background1" w:themeFillShade="D9"/>
          </w:tcPr>
          <w:p w14:paraId="304D689F" w14:textId="77777777" w:rsidR="00D964A0" w:rsidRPr="00D964A0" w:rsidRDefault="00D964A0" w:rsidP="004E68BB">
            <w:pPr>
              <w:snapToGrid w:val="0"/>
              <w:spacing w:line="480" w:lineRule="auto"/>
              <w:contextualSpacing/>
              <w:jc w:val="center"/>
              <w:rPr>
                <w:rFonts w:cs="Arial"/>
              </w:rPr>
            </w:pPr>
            <w:r w:rsidRPr="00D964A0">
              <w:rPr>
                <w:rFonts w:cs="Arial"/>
              </w:rPr>
              <w:t>0.001</w:t>
            </w:r>
          </w:p>
        </w:tc>
      </w:tr>
      <w:tr w:rsidR="00D964A0" w:rsidRPr="00C5205D" w14:paraId="4B779C16" w14:textId="77777777" w:rsidTr="003C5716">
        <w:tblPrEx>
          <w:tblLook w:val="04A0" w:firstRow="1" w:lastRow="0" w:firstColumn="1" w:lastColumn="0" w:noHBand="0" w:noVBand="1"/>
        </w:tblPrEx>
        <w:tc>
          <w:tcPr>
            <w:tcW w:w="2968" w:type="pct"/>
            <w:tcBorders>
              <w:top w:val="nil"/>
              <w:left w:val="single" w:sz="12" w:space="0" w:color="auto"/>
              <w:bottom w:val="nil"/>
              <w:right w:val="nil"/>
            </w:tcBorders>
            <w:shd w:val="clear" w:color="auto" w:fill="D9D9D9" w:themeFill="background1" w:themeFillShade="D9"/>
          </w:tcPr>
          <w:p w14:paraId="1157C1C7" w14:textId="77777777" w:rsidR="00D964A0" w:rsidRPr="00D964A0" w:rsidRDefault="00D964A0" w:rsidP="004E68BB">
            <w:pPr>
              <w:snapToGrid w:val="0"/>
              <w:spacing w:line="480" w:lineRule="auto"/>
              <w:contextualSpacing/>
              <w:rPr>
                <w:rFonts w:cs="Arial"/>
              </w:rPr>
            </w:pPr>
            <w:r w:rsidRPr="00D964A0">
              <w:rPr>
                <w:rFonts w:cs="Arial"/>
              </w:rPr>
              <w:t xml:space="preserve">Triglycerides (mmol/litre) </w:t>
            </w:r>
          </w:p>
        </w:tc>
        <w:tc>
          <w:tcPr>
            <w:tcW w:w="1341" w:type="pct"/>
            <w:tcBorders>
              <w:top w:val="nil"/>
              <w:left w:val="nil"/>
              <w:bottom w:val="nil"/>
              <w:right w:val="nil"/>
            </w:tcBorders>
            <w:shd w:val="clear" w:color="auto" w:fill="D9D9D9" w:themeFill="background1" w:themeFillShade="D9"/>
          </w:tcPr>
          <w:p w14:paraId="6EB1B7BF" w14:textId="77777777" w:rsidR="00D964A0" w:rsidRPr="00D964A0" w:rsidRDefault="00D964A0" w:rsidP="004E68BB">
            <w:pPr>
              <w:snapToGrid w:val="0"/>
              <w:spacing w:line="480" w:lineRule="auto"/>
              <w:contextualSpacing/>
              <w:jc w:val="center"/>
              <w:rPr>
                <w:rFonts w:cs="Arial"/>
              </w:rPr>
            </w:pPr>
            <w:r w:rsidRPr="00D964A0">
              <w:rPr>
                <w:rFonts w:cs="Arial"/>
              </w:rPr>
              <w:t>1.17 (0.97–1.41)</w:t>
            </w:r>
          </w:p>
        </w:tc>
        <w:tc>
          <w:tcPr>
            <w:tcW w:w="691" w:type="pct"/>
            <w:tcBorders>
              <w:top w:val="nil"/>
              <w:left w:val="nil"/>
              <w:bottom w:val="nil"/>
              <w:right w:val="single" w:sz="12" w:space="0" w:color="auto"/>
            </w:tcBorders>
            <w:shd w:val="clear" w:color="auto" w:fill="D9D9D9" w:themeFill="background1" w:themeFillShade="D9"/>
          </w:tcPr>
          <w:p w14:paraId="32E30D07" w14:textId="77777777" w:rsidR="00D964A0" w:rsidRPr="00D964A0" w:rsidRDefault="00D964A0" w:rsidP="004E68BB">
            <w:pPr>
              <w:snapToGrid w:val="0"/>
              <w:spacing w:line="480" w:lineRule="auto"/>
              <w:contextualSpacing/>
              <w:jc w:val="center"/>
              <w:rPr>
                <w:rFonts w:cs="Arial"/>
              </w:rPr>
            </w:pPr>
            <w:r w:rsidRPr="00D964A0">
              <w:rPr>
                <w:rFonts w:cs="Arial"/>
              </w:rPr>
              <w:t>0.10</w:t>
            </w:r>
          </w:p>
        </w:tc>
      </w:tr>
      <w:tr w:rsidR="00D964A0" w:rsidRPr="00C5205D" w14:paraId="07B8D779" w14:textId="77777777" w:rsidTr="003C5716">
        <w:tblPrEx>
          <w:tblLook w:val="04A0" w:firstRow="1" w:lastRow="0" w:firstColumn="1" w:lastColumn="0" w:noHBand="0" w:noVBand="1"/>
        </w:tblPrEx>
        <w:tc>
          <w:tcPr>
            <w:tcW w:w="2968" w:type="pct"/>
            <w:tcBorders>
              <w:top w:val="nil"/>
              <w:left w:val="single" w:sz="12" w:space="0" w:color="auto"/>
              <w:bottom w:val="nil"/>
              <w:right w:val="nil"/>
            </w:tcBorders>
            <w:shd w:val="clear" w:color="auto" w:fill="D9D9D9" w:themeFill="background1" w:themeFillShade="D9"/>
          </w:tcPr>
          <w:p w14:paraId="46ABC9F7" w14:textId="77777777" w:rsidR="00D964A0" w:rsidRPr="00D964A0" w:rsidRDefault="00D964A0" w:rsidP="004E68BB">
            <w:pPr>
              <w:snapToGrid w:val="0"/>
              <w:spacing w:line="480" w:lineRule="auto"/>
              <w:contextualSpacing/>
              <w:rPr>
                <w:rFonts w:cs="Arial"/>
              </w:rPr>
            </w:pPr>
            <w:r w:rsidRPr="00D964A0">
              <w:rPr>
                <w:rFonts w:cs="Arial"/>
              </w:rPr>
              <w:t xml:space="preserve">Total cholesterol (mmol/litre) </w:t>
            </w:r>
          </w:p>
        </w:tc>
        <w:tc>
          <w:tcPr>
            <w:tcW w:w="1341" w:type="pct"/>
            <w:tcBorders>
              <w:top w:val="nil"/>
              <w:left w:val="nil"/>
              <w:bottom w:val="nil"/>
              <w:right w:val="nil"/>
            </w:tcBorders>
            <w:shd w:val="clear" w:color="auto" w:fill="D9D9D9" w:themeFill="background1" w:themeFillShade="D9"/>
          </w:tcPr>
          <w:p w14:paraId="476FD7A1" w14:textId="77777777" w:rsidR="00D964A0" w:rsidRPr="00D964A0" w:rsidRDefault="00D964A0" w:rsidP="004E68BB">
            <w:pPr>
              <w:snapToGrid w:val="0"/>
              <w:spacing w:line="480" w:lineRule="auto"/>
              <w:contextualSpacing/>
              <w:jc w:val="center"/>
              <w:rPr>
                <w:rFonts w:cs="Arial"/>
              </w:rPr>
            </w:pPr>
            <w:r w:rsidRPr="00D964A0">
              <w:rPr>
                <w:rFonts w:cs="Arial"/>
              </w:rPr>
              <w:t>1.11 (0.93–1.34)</w:t>
            </w:r>
          </w:p>
        </w:tc>
        <w:tc>
          <w:tcPr>
            <w:tcW w:w="691" w:type="pct"/>
            <w:tcBorders>
              <w:top w:val="nil"/>
              <w:left w:val="nil"/>
              <w:bottom w:val="nil"/>
              <w:right w:val="single" w:sz="12" w:space="0" w:color="auto"/>
            </w:tcBorders>
            <w:shd w:val="clear" w:color="auto" w:fill="D9D9D9" w:themeFill="background1" w:themeFillShade="D9"/>
          </w:tcPr>
          <w:p w14:paraId="28B01F98" w14:textId="77777777" w:rsidR="00D964A0" w:rsidRPr="00D964A0" w:rsidRDefault="00D964A0" w:rsidP="004E68BB">
            <w:pPr>
              <w:snapToGrid w:val="0"/>
              <w:spacing w:line="480" w:lineRule="auto"/>
              <w:contextualSpacing/>
              <w:jc w:val="center"/>
              <w:rPr>
                <w:rFonts w:cs="Arial"/>
              </w:rPr>
            </w:pPr>
            <w:r w:rsidRPr="00D964A0">
              <w:rPr>
                <w:rFonts w:cs="Arial"/>
              </w:rPr>
              <w:t>0.25</w:t>
            </w:r>
          </w:p>
        </w:tc>
      </w:tr>
      <w:tr w:rsidR="00D964A0" w:rsidRPr="00C5205D" w14:paraId="69DB31F3" w14:textId="77777777" w:rsidTr="003C5716">
        <w:tblPrEx>
          <w:tblLook w:val="04A0" w:firstRow="1" w:lastRow="0" w:firstColumn="1" w:lastColumn="0" w:noHBand="0" w:noVBand="1"/>
        </w:tblPrEx>
        <w:tc>
          <w:tcPr>
            <w:tcW w:w="2968" w:type="pct"/>
            <w:tcBorders>
              <w:top w:val="nil"/>
              <w:left w:val="single" w:sz="12" w:space="0" w:color="auto"/>
              <w:bottom w:val="nil"/>
              <w:right w:val="nil"/>
            </w:tcBorders>
            <w:shd w:val="clear" w:color="auto" w:fill="D9D9D9" w:themeFill="background1" w:themeFillShade="D9"/>
          </w:tcPr>
          <w:p w14:paraId="592EFAD9" w14:textId="77777777" w:rsidR="00D964A0" w:rsidRPr="00D964A0" w:rsidRDefault="00D964A0" w:rsidP="004E68BB">
            <w:pPr>
              <w:snapToGrid w:val="0"/>
              <w:spacing w:line="480" w:lineRule="auto"/>
              <w:contextualSpacing/>
              <w:rPr>
                <w:rFonts w:cs="Arial"/>
              </w:rPr>
            </w:pPr>
            <w:r w:rsidRPr="00D964A0">
              <w:rPr>
                <w:rFonts w:cs="Arial"/>
              </w:rPr>
              <w:t xml:space="preserve">Body-mass index </w:t>
            </w:r>
          </w:p>
        </w:tc>
        <w:tc>
          <w:tcPr>
            <w:tcW w:w="1341" w:type="pct"/>
            <w:tcBorders>
              <w:top w:val="nil"/>
              <w:left w:val="nil"/>
              <w:bottom w:val="nil"/>
              <w:right w:val="nil"/>
            </w:tcBorders>
            <w:shd w:val="clear" w:color="auto" w:fill="D9D9D9" w:themeFill="background1" w:themeFillShade="D9"/>
          </w:tcPr>
          <w:p w14:paraId="7A5A3204" w14:textId="77777777" w:rsidR="00D964A0" w:rsidRPr="00D964A0" w:rsidRDefault="00D964A0" w:rsidP="004E68BB">
            <w:pPr>
              <w:snapToGrid w:val="0"/>
              <w:spacing w:line="480" w:lineRule="auto"/>
              <w:contextualSpacing/>
              <w:jc w:val="center"/>
              <w:rPr>
                <w:rFonts w:cs="Arial"/>
              </w:rPr>
            </w:pPr>
            <w:r w:rsidRPr="00D964A0">
              <w:rPr>
                <w:rFonts w:cs="Arial"/>
              </w:rPr>
              <w:t>1.20 (1.01–1.43)</w:t>
            </w:r>
          </w:p>
        </w:tc>
        <w:tc>
          <w:tcPr>
            <w:tcW w:w="691" w:type="pct"/>
            <w:tcBorders>
              <w:top w:val="nil"/>
              <w:left w:val="nil"/>
              <w:bottom w:val="nil"/>
              <w:right w:val="single" w:sz="12" w:space="0" w:color="auto"/>
            </w:tcBorders>
            <w:shd w:val="clear" w:color="auto" w:fill="D9D9D9" w:themeFill="background1" w:themeFillShade="D9"/>
          </w:tcPr>
          <w:p w14:paraId="713DC5D3" w14:textId="77777777" w:rsidR="00D964A0" w:rsidRPr="00D964A0" w:rsidRDefault="00D964A0" w:rsidP="004E68BB">
            <w:pPr>
              <w:snapToGrid w:val="0"/>
              <w:spacing w:line="480" w:lineRule="auto"/>
              <w:contextualSpacing/>
              <w:jc w:val="center"/>
              <w:rPr>
                <w:rFonts w:cs="Arial"/>
              </w:rPr>
            </w:pPr>
            <w:r w:rsidRPr="00D964A0">
              <w:rPr>
                <w:rFonts w:cs="Arial"/>
              </w:rPr>
              <w:t>0.04</w:t>
            </w:r>
          </w:p>
        </w:tc>
      </w:tr>
      <w:tr w:rsidR="00D964A0" w:rsidRPr="00C5205D" w14:paraId="6A4B5C06" w14:textId="77777777" w:rsidTr="003C5716">
        <w:tblPrEx>
          <w:tblLook w:val="04A0" w:firstRow="1" w:lastRow="0" w:firstColumn="1" w:lastColumn="0" w:noHBand="0" w:noVBand="1"/>
        </w:tblPrEx>
        <w:tc>
          <w:tcPr>
            <w:tcW w:w="2968" w:type="pct"/>
            <w:tcBorders>
              <w:top w:val="nil"/>
              <w:left w:val="single" w:sz="12" w:space="0" w:color="auto"/>
              <w:bottom w:val="nil"/>
              <w:right w:val="nil"/>
            </w:tcBorders>
            <w:shd w:val="clear" w:color="auto" w:fill="D9D9D9" w:themeFill="background1" w:themeFillShade="D9"/>
          </w:tcPr>
          <w:p w14:paraId="191832B0" w14:textId="77777777" w:rsidR="00D964A0" w:rsidRPr="00D964A0" w:rsidRDefault="00D964A0" w:rsidP="004E68BB">
            <w:pPr>
              <w:snapToGrid w:val="0"/>
              <w:spacing w:line="480" w:lineRule="auto"/>
              <w:contextualSpacing/>
              <w:rPr>
                <w:rFonts w:cs="Arial"/>
              </w:rPr>
            </w:pPr>
            <w:r w:rsidRPr="00D964A0">
              <w:rPr>
                <w:rFonts w:cs="Arial"/>
              </w:rPr>
              <w:t xml:space="preserve">History of smoking </w:t>
            </w:r>
          </w:p>
        </w:tc>
        <w:tc>
          <w:tcPr>
            <w:tcW w:w="1341" w:type="pct"/>
            <w:tcBorders>
              <w:top w:val="nil"/>
              <w:left w:val="nil"/>
              <w:bottom w:val="nil"/>
              <w:right w:val="nil"/>
            </w:tcBorders>
            <w:shd w:val="clear" w:color="auto" w:fill="D9D9D9" w:themeFill="background1" w:themeFillShade="D9"/>
          </w:tcPr>
          <w:p w14:paraId="505D43A2" w14:textId="77777777" w:rsidR="00D964A0" w:rsidRPr="00D964A0" w:rsidRDefault="00D964A0" w:rsidP="004E68BB">
            <w:pPr>
              <w:snapToGrid w:val="0"/>
              <w:spacing w:line="480" w:lineRule="auto"/>
              <w:contextualSpacing/>
              <w:jc w:val="center"/>
              <w:rPr>
                <w:rFonts w:cs="Arial"/>
              </w:rPr>
            </w:pPr>
            <w:r w:rsidRPr="00D964A0">
              <w:rPr>
                <w:rFonts w:cs="Arial"/>
              </w:rPr>
              <w:t>1.68 (1.20–2.36)</w:t>
            </w:r>
          </w:p>
        </w:tc>
        <w:tc>
          <w:tcPr>
            <w:tcW w:w="691" w:type="pct"/>
            <w:tcBorders>
              <w:top w:val="nil"/>
              <w:left w:val="nil"/>
              <w:bottom w:val="nil"/>
              <w:right w:val="single" w:sz="12" w:space="0" w:color="auto"/>
            </w:tcBorders>
            <w:shd w:val="clear" w:color="auto" w:fill="D9D9D9" w:themeFill="background1" w:themeFillShade="D9"/>
          </w:tcPr>
          <w:p w14:paraId="24F87273" w14:textId="77777777" w:rsidR="00D964A0" w:rsidRPr="00D964A0" w:rsidRDefault="00D964A0" w:rsidP="004E68BB">
            <w:pPr>
              <w:snapToGrid w:val="0"/>
              <w:spacing w:line="480" w:lineRule="auto"/>
              <w:contextualSpacing/>
              <w:jc w:val="center"/>
              <w:rPr>
                <w:rFonts w:cs="Arial"/>
              </w:rPr>
            </w:pPr>
            <w:r w:rsidRPr="00D964A0">
              <w:rPr>
                <w:rFonts w:cs="Arial"/>
              </w:rPr>
              <w:t>0.003</w:t>
            </w:r>
          </w:p>
        </w:tc>
      </w:tr>
      <w:tr w:rsidR="00D964A0" w:rsidRPr="00C5205D" w14:paraId="0EA0746C" w14:textId="77777777" w:rsidTr="003C5716">
        <w:tblPrEx>
          <w:tblLook w:val="04A0" w:firstRow="1" w:lastRow="0" w:firstColumn="1" w:lastColumn="0" w:noHBand="0" w:noVBand="1"/>
        </w:tblPrEx>
        <w:tc>
          <w:tcPr>
            <w:tcW w:w="2968" w:type="pct"/>
            <w:tcBorders>
              <w:top w:val="nil"/>
              <w:left w:val="single" w:sz="12" w:space="0" w:color="auto"/>
              <w:bottom w:val="nil"/>
              <w:right w:val="nil"/>
            </w:tcBorders>
            <w:shd w:val="clear" w:color="auto" w:fill="D9D9D9" w:themeFill="background1" w:themeFillShade="D9"/>
          </w:tcPr>
          <w:p w14:paraId="68163F7F" w14:textId="77777777" w:rsidR="00D964A0" w:rsidRPr="00D964A0" w:rsidRDefault="00D964A0" w:rsidP="004E68BB">
            <w:pPr>
              <w:snapToGrid w:val="0"/>
              <w:spacing w:line="480" w:lineRule="auto"/>
              <w:contextualSpacing/>
              <w:rPr>
                <w:rFonts w:cs="Arial"/>
              </w:rPr>
            </w:pPr>
            <w:r w:rsidRPr="00D964A0">
              <w:rPr>
                <w:rFonts w:cs="Arial"/>
              </w:rPr>
              <w:t xml:space="preserve">Hypertension </w:t>
            </w:r>
          </w:p>
        </w:tc>
        <w:tc>
          <w:tcPr>
            <w:tcW w:w="1341" w:type="pct"/>
            <w:tcBorders>
              <w:top w:val="nil"/>
              <w:left w:val="nil"/>
              <w:bottom w:val="nil"/>
              <w:right w:val="nil"/>
            </w:tcBorders>
            <w:shd w:val="clear" w:color="auto" w:fill="D9D9D9" w:themeFill="background1" w:themeFillShade="D9"/>
          </w:tcPr>
          <w:p w14:paraId="388EEBDD" w14:textId="77777777" w:rsidR="00D964A0" w:rsidRPr="00D964A0" w:rsidRDefault="00D964A0" w:rsidP="004E68BB">
            <w:pPr>
              <w:snapToGrid w:val="0"/>
              <w:spacing w:line="480" w:lineRule="auto"/>
              <w:contextualSpacing/>
              <w:jc w:val="center"/>
              <w:rPr>
                <w:rFonts w:cs="Arial"/>
              </w:rPr>
            </w:pPr>
            <w:r w:rsidRPr="00D964A0">
              <w:rPr>
                <w:rFonts w:cs="Arial"/>
              </w:rPr>
              <w:t>1.54 (0.96–2.47)</w:t>
            </w:r>
          </w:p>
        </w:tc>
        <w:tc>
          <w:tcPr>
            <w:tcW w:w="691" w:type="pct"/>
            <w:tcBorders>
              <w:top w:val="nil"/>
              <w:left w:val="nil"/>
              <w:bottom w:val="nil"/>
              <w:right w:val="single" w:sz="12" w:space="0" w:color="auto"/>
            </w:tcBorders>
            <w:shd w:val="clear" w:color="auto" w:fill="D9D9D9" w:themeFill="background1" w:themeFillShade="D9"/>
          </w:tcPr>
          <w:p w14:paraId="5DFB595F" w14:textId="77777777" w:rsidR="00D964A0" w:rsidRPr="00D964A0" w:rsidRDefault="00D964A0" w:rsidP="004E68BB">
            <w:pPr>
              <w:snapToGrid w:val="0"/>
              <w:spacing w:line="480" w:lineRule="auto"/>
              <w:contextualSpacing/>
              <w:jc w:val="center"/>
              <w:rPr>
                <w:rFonts w:cs="Arial"/>
              </w:rPr>
            </w:pPr>
            <w:r w:rsidRPr="00D964A0">
              <w:rPr>
                <w:rFonts w:cs="Arial"/>
              </w:rPr>
              <w:t>0.07</w:t>
            </w:r>
          </w:p>
        </w:tc>
      </w:tr>
      <w:tr w:rsidR="00D964A0" w:rsidRPr="00C5205D" w14:paraId="46C2F4D3" w14:textId="77777777" w:rsidTr="003C5716">
        <w:tblPrEx>
          <w:tblLook w:val="04A0" w:firstRow="1" w:lastRow="0" w:firstColumn="1" w:lastColumn="0" w:noHBand="0" w:noVBand="1"/>
        </w:tblPrEx>
        <w:tc>
          <w:tcPr>
            <w:tcW w:w="2968" w:type="pct"/>
            <w:tcBorders>
              <w:top w:val="nil"/>
              <w:left w:val="single" w:sz="12" w:space="0" w:color="auto"/>
              <w:bottom w:val="nil"/>
              <w:right w:val="nil"/>
            </w:tcBorders>
            <w:shd w:val="clear" w:color="auto" w:fill="D9D9D9" w:themeFill="background1" w:themeFillShade="D9"/>
          </w:tcPr>
          <w:p w14:paraId="3C9EFDB8" w14:textId="77777777" w:rsidR="00D964A0" w:rsidRPr="00D964A0" w:rsidRDefault="00D964A0" w:rsidP="004E68BB">
            <w:pPr>
              <w:snapToGrid w:val="0"/>
              <w:spacing w:line="480" w:lineRule="auto"/>
              <w:contextualSpacing/>
              <w:rPr>
                <w:rFonts w:cs="Arial"/>
              </w:rPr>
            </w:pPr>
            <w:r w:rsidRPr="00D964A0">
              <w:rPr>
                <w:rFonts w:cs="Arial"/>
              </w:rPr>
              <w:t xml:space="preserve">Cardiovascular disease </w:t>
            </w:r>
          </w:p>
        </w:tc>
        <w:tc>
          <w:tcPr>
            <w:tcW w:w="1341" w:type="pct"/>
            <w:tcBorders>
              <w:top w:val="nil"/>
              <w:left w:val="nil"/>
              <w:bottom w:val="nil"/>
              <w:right w:val="nil"/>
            </w:tcBorders>
            <w:shd w:val="clear" w:color="auto" w:fill="D9D9D9" w:themeFill="background1" w:themeFillShade="D9"/>
          </w:tcPr>
          <w:p w14:paraId="3A78554F" w14:textId="77777777" w:rsidR="00D964A0" w:rsidRPr="00D964A0" w:rsidRDefault="00D964A0" w:rsidP="004E68BB">
            <w:pPr>
              <w:snapToGrid w:val="0"/>
              <w:spacing w:line="480" w:lineRule="auto"/>
              <w:contextualSpacing/>
              <w:jc w:val="center"/>
              <w:rPr>
                <w:rFonts w:cs="Arial"/>
              </w:rPr>
            </w:pPr>
            <w:r w:rsidRPr="00D964A0">
              <w:rPr>
                <w:rFonts w:cs="Arial"/>
              </w:rPr>
              <w:t>2.12 (1.16–3.86)</w:t>
            </w:r>
          </w:p>
        </w:tc>
        <w:tc>
          <w:tcPr>
            <w:tcW w:w="691" w:type="pct"/>
            <w:tcBorders>
              <w:top w:val="nil"/>
              <w:left w:val="nil"/>
              <w:bottom w:val="nil"/>
              <w:right w:val="single" w:sz="12" w:space="0" w:color="auto"/>
            </w:tcBorders>
            <w:shd w:val="clear" w:color="auto" w:fill="D9D9D9" w:themeFill="background1" w:themeFillShade="D9"/>
          </w:tcPr>
          <w:p w14:paraId="356D8CE5" w14:textId="77777777" w:rsidR="00D964A0" w:rsidRPr="00D964A0" w:rsidRDefault="00D964A0" w:rsidP="004E68BB">
            <w:pPr>
              <w:snapToGrid w:val="0"/>
              <w:spacing w:line="480" w:lineRule="auto"/>
              <w:contextualSpacing/>
              <w:jc w:val="center"/>
              <w:rPr>
                <w:rFonts w:cs="Arial"/>
              </w:rPr>
            </w:pPr>
            <w:r w:rsidRPr="00D964A0">
              <w:rPr>
                <w:rFonts w:cs="Arial"/>
              </w:rPr>
              <w:t>0.01</w:t>
            </w:r>
          </w:p>
        </w:tc>
      </w:tr>
      <w:tr w:rsidR="00D964A0" w:rsidRPr="00C5205D" w14:paraId="37B4D590" w14:textId="77777777" w:rsidTr="003C5716">
        <w:tblPrEx>
          <w:tblLook w:val="04A0" w:firstRow="1" w:lastRow="0" w:firstColumn="1" w:lastColumn="0" w:noHBand="0" w:noVBand="1"/>
        </w:tblPrEx>
        <w:tc>
          <w:tcPr>
            <w:tcW w:w="2968" w:type="pct"/>
            <w:tcBorders>
              <w:top w:val="nil"/>
              <w:left w:val="single" w:sz="12" w:space="0" w:color="auto"/>
              <w:bottom w:val="nil"/>
              <w:right w:val="nil"/>
            </w:tcBorders>
            <w:shd w:val="clear" w:color="auto" w:fill="D9D9D9" w:themeFill="background1" w:themeFillShade="D9"/>
          </w:tcPr>
          <w:p w14:paraId="40370F01" w14:textId="77777777" w:rsidR="00D964A0" w:rsidRPr="00D964A0" w:rsidRDefault="00D964A0" w:rsidP="004E68BB">
            <w:pPr>
              <w:snapToGrid w:val="0"/>
              <w:spacing w:line="480" w:lineRule="auto"/>
              <w:contextualSpacing/>
              <w:rPr>
                <w:rFonts w:cs="Arial"/>
              </w:rPr>
            </w:pPr>
            <w:r w:rsidRPr="00D964A0">
              <w:rPr>
                <w:rFonts w:cs="Arial"/>
              </w:rPr>
              <w:t xml:space="preserve">Any retinopathy </w:t>
            </w:r>
          </w:p>
        </w:tc>
        <w:tc>
          <w:tcPr>
            <w:tcW w:w="1341" w:type="pct"/>
            <w:tcBorders>
              <w:top w:val="nil"/>
              <w:left w:val="nil"/>
              <w:bottom w:val="nil"/>
              <w:right w:val="nil"/>
            </w:tcBorders>
            <w:shd w:val="clear" w:color="auto" w:fill="D9D9D9" w:themeFill="background1" w:themeFillShade="D9"/>
          </w:tcPr>
          <w:p w14:paraId="1B4776BA" w14:textId="77777777" w:rsidR="00D964A0" w:rsidRPr="00D964A0" w:rsidRDefault="00D964A0" w:rsidP="004E68BB">
            <w:pPr>
              <w:snapToGrid w:val="0"/>
              <w:spacing w:line="480" w:lineRule="auto"/>
              <w:contextualSpacing/>
              <w:jc w:val="center"/>
              <w:rPr>
                <w:rFonts w:cs="Arial"/>
              </w:rPr>
            </w:pPr>
            <w:r w:rsidRPr="00D964A0">
              <w:rPr>
                <w:rFonts w:cs="Arial"/>
              </w:rPr>
              <w:t>1.45 (0.98–2.13)</w:t>
            </w:r>
          </w:p>
        </w:tc>
        <w:tc>
          <w:tcPr>
            <w:tcW w:w="691" w:type="pct"/>
            <w:tcBorders>
              <w:top w:val="nil"/>
              <w:left w:val="nil"/>
              <w:bottom w:val="nil"/>
              <w:right w:val="single" w:sz="12" w:space="0" w:color="auto"/>
            </w:tcBorders>
            <w:shd w:val="clear" w:color="auto" w:fill="D9D9D9" w:themeFill="background1" w:themeFillShade="D9"/>
          </w:tcPr>
          <w:p w14:paraId="1FA27D7D" w14:textId="77777777" w:rsidR="00D964A0" w:rsidRPr="00D964A0" w:rsidRDefault="00D964A0" w:rsidP="004E68BB">
            <w:pPr>
              <w:snapToGrid w:val="0"/>
              <w:spacing w:line="480" w:lineRule="auto"/>
              <w:contextualSpacing/>
              <w:jc w:val="center"/>
              <w:rPr>
                <w:rFonts w:cs="Arial"/>
              </w:rPr>
            </w:pPr>
            <w:r w:rsidRPr="00D964A0">
              <w:rPr>
                <w:rFonts w:cs="Arial"/>
              </w:rPr>
              <w:t>0.06</w:t>
            </w:r>
          </w:p>
        </w:tc>
      </w:tr>
      <w:tr w:rsidR="00D964A0" w:rsidRPr="00C5205D" w14:paraId="463ACF95" w14:textId="77777777" w:rsidTr="003C5716">
        <w:tblPrEx>
          <w:tblLook w:val="04A0" w:firstRow="1" w:lastRow="0" w:firstColumn="1" w:lastColumn="0" w:noHBand="0" w:noVBand="1"/>
        </w:tblPrEx>
        <w:tc>
          <w:tcPr>
            <w:tcW w:w="2968" w:type="pct"/>
            <w:tcBorders>
              <w:top w:val="nil"/>
              <w:left w:val="single" w:sz="12" w:space="0" w:color="auto"/>
              <w:bottom w:val="single" w:sz="12" w:space="0" w:color="auto"/>
              <w:right w:val="nil"/>
            </w:tcBorders>
            <w:shd w:val="clear" w:color="auto" w:fill="D9D9D9" w:themeFill="background1" w:themeFillShade="D9"/>
          </w:tcPr>
          <w:p w14:paraId="2F71D526" w14:textId="77777777" w:rsidR="00D964A0" w:rsidRPr="00D964A0" w:rsidRDefault="00D964A0" w:rsidP="004E68BB">
            <w:pPr>
              <w:spacing w:line="480" w:lineRule="auto"/>
              <w:rPr>
                <w:rFonts w:cs="Arial"/>
              </w:rPr>
            </w:pPr>
            <w:r w:rsidRPr="00D964A0">
              <w:rPr>
                <w:rFonts w:cs="Arial"/>
              </w:rPr>
              <w:t>Albumin excretion rate (</w:t>
            </w:r>
            <w:proofErr w:type="spellStart"/>
            <w:r w:rsidRPr="00D964A0">
              <w:rPr>
                <w:rFonts w:cs="Arial"/>
              </w:rPr>
              <w:t>μg</w:t>
            </w:r>
            <w:proofErr w:type="spellEnd"/>
            <w:r w:rsidRPr="00D964A0">
              <w:rPr>
                <w:rFonts w:cs="Arial"/>
              </w:rPr>
              <w:t xml:space="preserve">/min) </w:t>
            </w:r>
          </w:p>
        </w:tc>
        <w:tc>
          <w:tcPr>
            <w:tcW w:w="1341" w:type="pct"/>
            <w:tcBorders>
              <w:top w:val="nil"/>
              <w:left w:val="nil"/>
              <w:bottom w:val="single" w:sz="12" w:space="0" w:color="auto"/>
              <w:right w:val="nil"/>
            </w:tcBorders>
            <w:shd w:val="clear" w:color="auto" w:fill="D9D9D9" w:themeFill="background1" w:themeFillShade="D9"/>
          </w:tcPr>
          <w:p w14:paraId="3D0AD27F" w14:textId="77777777" w:rsidR="00D964A0" w:rsidRPr="00D964A0" w:rsidRDefault="00D964A0" w:rsidP="004E68BB">
            <w:pPr>
              <w:spacing w:line="480" w:lineRule="auto"/>
              <w:jc w:val="center"/>
              <w:rPr>
                <w:rFonts w:cs="Arial"/>
              </w:rPr>
            </w:pPr>
            <w:r w:rsidRPr="00D964A0">
              <w:rPr>
                <w:rFonts w:cs="Arial"/>
              </w:rPr>
              <w:t>1.02 (0.89–1.18)</w:t>
            </w:r>
          </w:p>
        </w:tc>
        <w:tc>
          <w:tcPr>
            <w:tcW w:w="691" w:type="pct"/>
            <w:tcBorders>
              <w:top w:val="nil"/>
              <w:left w:val="nil"/>
              <w:bottom w:val="single" w:sz="12" w:space="0" w:color="auto"/>
              <w:right w:val="single" w:sz="12" w:space="0" w:color="auto"/>
            </w:tcBorders>
            <w:shd w:val="clear" w:color="auto" w:fill="D9D9D9" w:themeFill="background1" w:themeFillShade="D9"/>
          </w:tcPr>
          <w:p w14:paraId="633A14BF" w14:textId="77777777" w:rsidR="00D964A0" w:rsidRPr="00D964A0" w:rsidRDefault="00D964A0" w:rsidP="004E68BB">
            <w:pPr>
              <w:spacing w:line="480" w:lineRule="auto"/>
              <w:jc w:val="center"/>
              <w:rPr>
                <w:rFonts w:cs="Arial"/>
              </w:rPr>
            </w:pPr>
            <w:r w:rsidRPr="00D964A0">
              <w:rPr>
                <w:rFonts w:cs="Arial"/>
              </w:rPr>
              <w:t>0.76</w:t>
            </w:r>
          </w:p>
        </w:tc>
      </w:tr>
    </w:tbl>
    <w:p w14:paraId="1E0006C1" w14:textId="77777777" w:rsidR="0044068A" w:rsidRDefault="0044068A" w:rsidP="00AF1A96">
      <w:pPr>
        <w:pStyle w:val="Heading3"/>
        <w:spacing w:line="480" w:lineRule="auto"/>
        <w:rPr>
          <w:rFonts w:cstheme="minorHAnsi"/>
          <w:sz w:val="24"/>
          <w:szCs w:val="24"/>
          <w:lang w:val="en-US"/>
        </w:rPr>
      </w:pPr>
      <w:bookmarkStart w:id="47" w:name="_Toc11"/>
      <w:bookmarkStart w:id="48" w:name="_Toc6093000"/>
    </w:p>
    <w:p w14:paraId="4EA26AC8" w14:textId="24AD0E08" w:rsidR="00AF1A96" w:rsidRPr="00AD7B00" w:rsidRDefault="00AF1A96" w:rsidP="00AF1A96">
      <w:pPr>
        <w:pStyle w:val="Heading3"/>
        <w:spacing w:line="480" w:lineRule="auto"/>
        <w:rPr>
          <w:rFonts w:cstheme="minorHAnsi"/>
          <w:sz w:val="24"/>
          <w:szCs w:val="24"/>
        </w:rPr>
      </w:pPr>
      <w:r w:rsidRPr="00AD7B00">
        <w:rPr>
          <w:rFonts w:cstheme="minorHAnsi"/>
          <w:sz w:val="24"/>
          <w:szCs w:val="24"/>
          <w:lang w:val="en-US"/>
        </w:rPr>
        <w:t>1.1.3 Classification of Diabetic Neuropathy</w:t>
      </w:r>
      <w:bookmarkEnd w:id="47"/>
      <w:bookmarkEnd w:id="48"/>
    </w:p>
    <w:p w14:paraId="4D27CB9B" w14:textId="2A979612" w:rsidR="00C10B8E" w:rsidRPr="00AD7B00" w:rsidRDefault="00AF1A96" w:rsidP="00AF1A96">
      <w:pPr>
        <w:pStyle w:val="BodyA"/>
        <w:spacing w:line="480" w:lineRule="auto"/>
        <w:jc w:val="both"/>
        <w:rPr>
          <w:rFonts w:cstheme="minorHAnsi"/>
        </w:rPr>
      </w:pPr>
      <w:r w:rsidRPr="00AD7B00">
        <w:rPr>
          <w:rFonts w:cstheme="minorHAnsi"/>
          <w:lang w:val="en-US"/>
        </w:rPr>
        <w:t xml:space="preserve">Peripheral neuropathy due to diabetes involves somatic and autonomic nervous system. As the exact </w:t>
      </w:r>
      <w:proofErr w:type="spellStart"/>
      <w:r w:rsidRPr="00AD7B00">
        <w:rPr>
          <w:rFonts w:cstheme="minorHAnsi"/>
          <w:lang w:val="en-US"/>
        </w:rPr>
        <w:t>aetiology</w:t>
      </w:r>
      <w:proofErr w:type="spellEnd"/>
      <w:r w:rsidRPr="00AD7B00">
        <w:rPr>
          <w:rFonts w:cstheme="minorHAnsi"/>
          <w:lang w:val="en-US"/>
        </w:rPr>
        <w:t xml:space="preserve"> of neuropathy is still not clearly understood, we rely on clinical classification. Recent position statement from American Diabetes Association provide detailed clinical classification of Diabetic Neuropathies as shown in table 1.2 </w:t>
      </w:r>
      <w:r w:rsidRPr="00AD7B00">
        <w:rPr>
          <w:rFonts w:cstheme="minorHAnsi"/>
          <w:lang w:val="en-US"/>
        </w:rPr>
        <w:fldChar w:fldCharType="begin"/>
      </w:r>
      <w:r w:rsidRPr="00AD7B00">
        <w:rPr>
          <w:rFonts w:cstheme="minorHAnsi"/>
          <w:lang w:val="en-US"/>
        </w:rPr>
        <w:instrText xml:space="preserve"> ADDIN EN.CITE &lt;EndNote&gt;&lt;Cite  &gt;&lt;Author&gt;Pop-Busui&lt;/Author&gt;&lt;Year&gt;2017&lt;/Year&gt;&lt;RecNum&gt;543&lt;/RecNum&gt;&lt;DisplayText&gt;(Pop-Busui et al., 2017)&lt;/DisplayText&gt;&lt;record&gt;&lt;dates&gt;&lt;pub-dates&gt;&lt;date&gt;01&lt;/date&gt;&lt;/pub-dates&gt;&lt;year&gt;2017&lt;/year&gt;&lt;/dates&gt;&lt;urls&gt;&lt;related-urls&gt;&lt;url&gt;https://www.ncbi.nlm.nih.gov/pubmed/27999003&lt;/url&gt;&lt;/related-urls&gt;&lt;/urls&gt;&lt;isbn&gt;1935-5548&lt;/isbn&gt;&lt;titles&gt;&lt;title&gt;Diabetic Neuropathy: A Position Statement by the American Diabetes Association&lt;/title&gt;&lt;secondary-title&gt;Diabetes Care&lt;/secondary-title&gt;&lt;/titles&gt;&lt;pages&gt;136-154&lt;/pages&gt;&lt;number&gt;1&lt;/number&gt;&lt;contributors&gt;&lt;authors&gt;&lt;author&gt;Pop-Busui, R.&lt;/author&gt;&lt;author&gt;Boulton, A. J.&lt;/author&gt;&lt;author&gt;Feldman, E. L.&lt;/author&gt;&lt;author&gt;Bril, V.&lt;/author&gt;&lt;author&gt;Freeman, R.&lt;/author&gt;&lt;author&gt;Malik, R. A.&lt;/author&gt;&lt;author&gt;Sosenko, J. M.&lt;/author&gt;&lt;author&gt;Ziegler, D.&lt;/author&gt;&lt;/authors&gt;&lt;/contributors&gt;&lt;language&gt;eng&lt;/language&gt;&lt;added-date format="utc"&gt;1529500755&lt;/added-date&gt;&lt;ref-type name="Journal Article"&gt;17&lt;/ref-type&gt;&lt;rec-number&gt;543&lt;/rec-number&gt;&lt;last-updated-date format="utc"&gt;1529500755&lt;/last-updated-date&gt;&lt;accession-num&gt;27999003&lt;/accession-num&gt;&lt;electronic-resource-num&gt;10.2337/dc16-2042&lt;/electronic-resource-num&gt;&lt;volume&gt;40&lt;/volume&gt;&lt;/record&gt;&lt;/Cite&gt;&lt;/EndNote&gt;</w:instrText>
      </w:r>
      <w:r w:rsidRPr="00AD7B00">
        <w:rPr>
          <w:rFonts w:cstheme="minorHAnsi"/>
          <w:lang w:val="en-US"/>
        </w:rPr>
        <w:fldChar w:fldCharType="separate"/>
      </w:r>
      <w:r w:rsidRPr="00AD7B00">
        <w:rPr>
          <w:rFonts w:cstheme="minorHAnsi"/>
          <w:lang w:val="en-US"/>
        </w:rPr>
        <w:t>(Pop-Busui et al., 2017)</w:t>
      </w:r>
      <w:r w:rsidRPr="00AD7B00">
        <w:rPr>
          <w:rFonts w:cstheme="minorHAnsi"/>
          <w:lang w:val="en-US"/>
        </w:rPr>
        <w:fldChar w:fldCharType="end"/>
      </w:r>
      <w:r w:rsidRPr="00AD7B00">
        <w:rPr>
          <w:rFonts w:cstheme="minorHAnsi"/>
        </w:rPr>
        <w:t>.</w:t>
      </w:r>
    </w:p>
    <w:tbl>
      <w:tblPr>
        <w:tblStyle w:val="TableGrid"/>
        <w:tblpPr w:leftFromText="180" w:rightFromText="180" w:vertAnchor="text" w:horzAnchor="margin" w:tblpY="304"/>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shd w:val="clear" w:color="auto" w:fill="D9D9D9" w:themeFill="background1" w:themeFillShade="D9"/>
        <w:tblLook w:val="0000" w:firstRow="0" w:lastRow="0" w:firstColumn="0" w:lastColumn="0" w:noHBand="0" w:noVBand="0"/>
      </w:tblPr>
      <w:tblGrid>
        <w:gridCol w:w="8990"/>
      </w:tblGrid>
      <w:tr w:rsidR="00C10B8E" w14:paraId="2CA86073" w14:textId="77777777" w:rsidTr="003C5716">
        <w:trPr>
          <w:trHeight w:val="867"/>
        </w:trPr>
        <w:tc>
          <w:tcPr>
            <w:tcW w:w="5000" w:type="pct"/>
            <w:tcBorders>
              <w:bottom w:val="single" w:sz="12" w:space="0" w:color="000000"/>
            </w:tcBorders>
            <w:shd w:val="clear" w:color="auto" w:fill="D9D9D9" w:themeFill="background1" w:themeFillShade="D9"/>
          </w:tcPr>
          <w:p w14:paraId="4C1715B3" w14:textId="7F8C1638" w:rsidR="00C10B8E" w:rsidRPr="003C05CB" w:rsidRDefault="003C05CB" w:rsidP="00C10B8E">
            <w:pPr>
              <w:spacing w:line="360" w:lineRule="auto"/>
              <w:jc w:val="both"/>
              <w:rPr>
                <w:rFonts w:cs="Arial"/>
                <w:b/>
                <w:bCs/>
              </w:rPr>
            </w:pPr>
            <w:r w:rsidRPr="003C05CB">
              <w:rPr>
                <w:rFonts w:cs="Arial"/>
                <w:b/>
                <w:bCs/>
              </w:rPr>
              <w:lastRenderedPageBreak/>
              <w:t>Table 1.2 Classification of Diabetic Neuropathies according to the ADA Position Statement (</w:t>
            </w:r>
            <w:r w:rsidRPr="003C05CB">
              <w:rPr>
                <w:rFonts w:cs="Arial"/>
              </w:rPr>
              <w:t xml:space="preserve">adapted from </w:t>
            </w:r>
            <w:r w:rsidRPr="003C05CB">
              <w:rPr>
                <w:rFonts w:cs="Arial"/>
              </w:rPr>
              <w:fldChar w:fldCharType="begin"/>
            </w:r>
            <w:r w:rsidRPr="003C05CB">
              <w:rPr>
                <w:rFonts w:cs="Arial"/>
              </w:rPr>
              <w:instrText xml:space="preserve"> ADDIN EN.CITE &lt;EndNote&gt;&lt;Cite&gt;&lt;Author&gt;Pop-Busui&lt;/Author&gt;&lt;Year&gt;2017&lt;/Year&gt;&lt;IDText&gt;Diabetic Neuropathy: A Position Statement by the American Diabetes Association&lt;/IDText&gt;&lt;DisplayText&gt;(Pop-Busui et al., 2017)&lt;/DisplayText&gt;&lt;record&gt;&lt;dates&gt;&lt;pub-dates&gt;&lt;date&gt;01&lt;/date&gt;&lt;/pub-dates&gt;&lt;year&gt;2017&lt;/year&gt;&lt;/dates&gt;&lt;urls&gt;&lt;related-urls&gt;&lt;url&gt;https://www.ncbi.nlm.nih.gov/pubmed/27999003&lt;/url&gt;&lt;/related-urls&gt;&lt;/urls&gt;&lt;isbn&gt;1935-5548&lt;/isbn&gt;&lt;titles&gt;&lt;title&gt;Diabetic Neuropathy: A Position Statement by the American Diabetes Association&lt;/title&gt;&lt;secondary-title&gt;Diabetes Care&lt;/secondary-title&gt;&lt;/titles&gt;&lt;pages&gt;136-154&lt;/pages&gt;&lt;number&gt;1&lt;/number&gt;&lt;contributors&gt;&lt;authors&gt;&lt;author&gt;Pop-Busui, R.&lt;/author&gt;&lt;author&gt;Boulton, A. J.&lt;/author&gt;&lt;author&gt;Feldman, E. L.&lt;/author&gt;&lt;author&gt;Bril, V.&lt;/author&gt;&lt;author&gt;Freeman, R.&lt;/author&gt;&lt;author&gt;Malik, R. A.&lt;/author&gt;&lt;author&gt;Sosenko, J. M.&lt;/author&gt;&lt;author&gt;Ziegler, D.&lt;/author&gt;&lt;/authors&gt;&lt;/contributors&gt;&lt;language&gt;eng&lt;/language&gt;&lt;added-date format="utc"&gt;1529500755&lt;/added-date&gt;&lt;ref-type name="Journal Article"&gt;17&lt;/ref-type&gt;&lt;rec-number&gt;543&lt;/rec-number&gt;&lt;last-updated-date format="utc"&gt;1529500755&lt;/last-updated-date&gt;&lt;accession-num&gt;27999003&lt;/accession-num&gt;&lt;electronic-resource-num&gt;10.2337/dc16-2042&lt;/electronic-resource-num&gt;&lt;volume&gt;40&lt;/volume&gt;&lt;/record&gt;&lt;/Cite&gt;&lt;/EndNote&gt;</w:instrText>
            </w:r>
            <w:r w:rsidRPr="003C05CB">
              <w:rPr>
                <w:rFonts w:cs="Arial"/>
              </w:rPr>
              <w:fldChar w:fldCharType="separate"/>
            </w:r>
            <w:r w:rsidRPr="003C05CB">
              <w:rPr>
                <w:rFonts w:cs="Arial"/>
                <w:noProof/>
              </w:rPr>
              <w:t>(Pop-Busui et al., 2017)</w:t>
            </w:r>
            <w:r w:rsidRPr="003C05CB">
              <w:rPr>
                <w:rFonts w:cs="Arial"/>
              </w:rPr>
              <w:fldChar w:fldCharType="end"/>
            </w:r>
            <w:r w:rsidRPr="003C05CB">
              <w:rPr>
                <w:rFonts w:cs="Arial"/>
              </w:rPr>
              <w:t xml:space="preserve"> )</w:t>
            </w:r>
          </w:p>
        </w:tc>
      </w:tr>
      <w:tr w:rsidR="00C10B8E" w14:paraId="6E099DC7" w14:textId="77777777" w:rsidTr="003C5716">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Ex>
        <w:tc>
          <w:tcPr>
            <w:tcW w:w="5000" w:type="pct"/>
            <w:tcBorders>
              <w:top w:val="single" w:sz="12" w:space="0" w:color="000000"/>
              <w:bottom w:val="nil"/>
            </w:tcBorders>
            <w:shd w:val="clear" w:color="auto" w:fill="D9D9D9" w:themeFill="background1" w:themeFillShade="D9"/>
          </w:tcPr>
          <w:p w14:paraId="1039B35C" w14:textId="77777777" w:rsidR="00C10B8E" w:rsidRPr="003C58B3" w:rsidRDefault="00C10B8E" w:rsidP="00C10B8E">
            <w:pPr>
              <w:pStyle w:val="ListParagraph"/>
              <w:numPr>
                <w:ilvl w:val="0"/>
                <w:numId w:val="1"/>
              </w:numPr>
              <w:spacing w:line="360" w:lineRule="auto"/>
              <w:jc w:val="both"/>
              <w:rPr>
                <w:rFonts w:ascii="Arial" w:hAnsi="Arial" w:cs="Arial"/>
                <w:b/>
                <w:bCs/>
              </w:rPr>
            </w:pPr>
            <w:r w:rsidRPr="003C58B3">
              <w:rPr>
                <w:rFonts w:ascii="Arial" w:hAnsi="Arial" w:cs="Arial"/>
                <w:b/>
                <w:bCs/>
              </w:rPr>
              <w:t xml:space="preserve">Diffuse neuropathy </w:t>
            </w:r>
          </w:p>
          <w:p w14:paraId="10A27C2F" w14:textId="77777777" w:rsidR="00C10B8E" w:rsidRPr="003C58B3" w:rsidRDefault="00C10B8E" w:rsidP="00C10B8E">
            <w:pPr>
              <w:pStyle w:val="ListParagraph"/>
              <w:numPr>
                <w:ilvl w:val="0"/>
                <w:numId w:val="7"/>
              </w:numPr>
              <w:spacing w:line="360" w:lineRule="auto"/>
              <w:jc w:val="both"/>
              <w:rPr>
                <w:rFonts w:ascii="Arial" w:hAnsi="Arial" w:cs="Arial"/>
                <w:b/>
                <w:bCs/>
              </w:rPr>
            </w:pPr>
            <w:proofErr w:type="spellStart"/>
            <w:r w:rsidRPr="003C58B3">
              <w:rPr>
                <w:rFonts w:ascii="Arial" w:hAnsi="Arial" w:cs="Arial"/>
                <w:b/>
                <w:bCs/>
              </w:rPr>
              <w:t>DSPN</w:t>
            </w:r>
            <w:proofErr w:type="spellEnd"/>
            <w:r w:rsidRPr="003C58B3">
              <w:rPr>
                <w:rFonts w:ascii="Arial" w:hAnsi="Arial" w:cs="Arial"/>
                <w:b/>
                <w:bCs/>
              </w:rPr>
              <w:t xml:space="preserve">  </w:t>
            </w:r>
          </w:p>
          <w:p w14:paraId="4482CD8C" w14:textId="77777777" w:rsidR="00C10B8E" w:rsidRDefault="00C10B8E" w:rsidP="00C10B8E">
            <w:pPr>
              <w:pStyle w:val="ListParagraph"/>
              <w:numPr>
                <w:ilvl w:val="0"/>
                <w:numId w:val="2"/>
              </w:numPr>
              <w:spacing w:line="360" w:lineRule="auto"/>
              <w:rPr>
                <w:rFonts w:ascii="Arial" w:hAnsi="Arial" w:cs="Arial"/>
              </w:rPr>
            </w:pPr>
            <w:r w:rsidRPr="003371DE">
              <w:rPr>
                <w:rFonts w:ascii="Arial" w:hAnsi="Arial" w:cs="Arial"/>
              </w:rPr>
              <w:t>Pr</w:t>
            </w:r>
            <w:r>
              <w:rPr>
                <w:rFonts w:ascii="Arial" w:hAnsi="Arial" w:cs="Arial"/>
              </w:rPr>
              <w:t xml:space="preserve">imarily small ﬁbre neuropathy </w:t>
            </w:r>
          </w:p>
          <w:p w14:paraId="69144FB8" w14:textId="77777777" w:rsidR="00C10B8E" w:rsidRDefault="00C10B8E" w:rsidP="00C10B8E">
            <w:pPr>
              <w:pStyle w:val="ListParagraph"/>
              <w:numPr>
                <w:ilvl w:val="0"/>
                <w:numId w:val="2"/>
              </w:numPr>
              <w:spacing w:line="360" w:lineRule="auto"/>
              <w:rPr>
                <w:rFonts w:ascii="Arial" w:hAnsi="Arial" w:cs="Arial"/>
              </w:rPr>
            </w:pPr>
            <w:r>
              <w:rPr>
                <w:rFonts w:ascii="Arial" w:hAnsi="Arial" w:cs="Arial"/>
              </w:rPr>
              <w:t>Primarily large ﬁbre</w:t>
            </w:r>
            <w:r w:rsidRPr="003371DE">
              <w:rPr>
                <w:rFonts w:ascii="Arial" w:hAnsi="Arial" w:cs="Arial"/>
              </w:rPr>
              <w:t xml:space="preserve"> neuropathy </w:t>
            </w:r>
          </w:p>
          <w:p w14:paraId="4B433A35" w14:textId="77777777" w:rsidR="00C10B8E" w:rsidRDefault="00C10B8E" w:rsidP="00C10B8E">
            <w:pPr>
              <w:pStyle w:val="ListParagraph"/>
              <w:numPr>
                <w:ilvl w:val="0"/>
                <w:numId w:val="2"/>
              </w:numPr>
              <w:spacing w:line="360" w:lineRule="auto"/>
              <w:rPr>
                <w:rFonts w:ascii="Arial" w:hAnsi="Arial" w:cs="Arial"/>
              </w:rPr>
            </w:pPr>
            <w:r>
              <w:rPr>
                <w:rFonts w:ascii="Arial" w:hAnsi="Arial" w:cs="Arial"/>
              </w:rPr>
              <w:t xml:space="preserve">Mixed small- and large ﬁbre </w:t>
            </w:r>
            <w:r w:rsidRPr="003371DE">
              <w:rPr>
                <w:rFonts w:ascii="Arial" w:hAnsi="Arial" w:cs="Arial"/>
              </w:rPr>
              <w:t xml:space="preserve">neuropathy (most common) </w:t>
            </w:r>
          </w:p>
          <w:p w14:paraId="6D1CE076" w14:textId="77777777" w:rsidR="00C10B8E" w:rsidRPr="003C58B3" w:rsidRDefault="00C10B8E" w:rsidP="00C10B8E">
            <w:pPr>
              <w:pStyle w:val="ListParagraph"/>
              <w:numPr>
                <w:ilvl w:val="0"/>
                <w:numId w:val="7"/>
              </w:numPr>
              <w:spacing w:line="360" w:lineRule="auto"/>
              <w:rPr>
                <w:rFonts w:ascii="Arial" w:hAnsi="Arial" w:cs="Arial"/>
                <w:b/>
                <w:bCs/>
              </w:rPr>
            </w:pPr>
            <w:r w:rsidRPr="003C58B3">
              <w:rPr>
                <w:rFonts w:ascii="Arial" w:hAnsi="Arial" w:cs="Arial"/>
                <w:b/>
                <w:bCs/>
              </w:rPr>
              <w:t>Autonomic Neuropathy</w:t>
            </w:r>
          </w:p>
          <w:p w14:paraId="07DC0D93" w14:textId="77777777" w:rsidR="00C10B8E" w:rsidRDefault="00C10B8E" w:rsidP="00C10B8E">
            <w:pPr>
              <w:pStyle w:val="ListParagraph"/>
              <w:numPr>
                <w:ilvl w:val="0"/>
                <w:numId w:val="3"/>
              </w:numPr>
              <w:spacing w:line="360" w:lineRule="auto"/>
              <w:rPr>
                <w:rFonts w:ascii="Arial" w:hAnsi="Arial" w:cs="Arial"/>
              </w:rPr>
            </w:pPr>
            <w:r w:rsidRPr="003371DE">
              <w:rPr>
                <w:rFonts w:ascii="Arial" w:hAnsi="Arial" w:cs="Arial"/>
              </w:rPr>
              <w:t xml:space="preserve">Cardiovascular </w:t>
            </w:r>
            <w:r>
              <w:rPr>
                <w:rFonts w:ascii="Arial" w:hAnsi="Arial" w:cs="Arial"/>
              </w:rPr>
              <w:t xml:space="preserve">- Reduced </w:t>
            </w:r>
            <w:proofErr w:type="spellStart"/>
            <w:r>
              <w:rPr>
                <w:rFonts w:ascii="Arial" w:hAnsi="Arial" w:cs="Arial"/>
              </w:rPr>
              <w:t>HRV</w:t>
            </w:r>
            <w:proofErr w:type="spellEnd"/>
            <w:r>
              <w:rPr>
                <w:rFonts w:ascii="Arial" w:hAnsi="Arial" w:cs="Arial"/>
              </w:rPr>
              <w:t>, Resting tachycardia, Orthostatic hypotension, Sudden</w:t>
            </w:r>
            <w:r w:rsidRPr="00670DB8">
              <w:rPr>
                <w:rFonts w:ascii="Arial" w:hAnsi="Arial" w:cs="Arial"/>
              </w:rPr>
              <w:t xml:space="preserve"> death (malignant arrhythmia)</w:t>
            </w:r>
          </w:p>
          <w:p w14:paraId="200179E0" w14:textId="77777777" w:rsidR="00C10B8E" w:rsidRPr="00E5796A" w:rsidRDefault="00C10B8E" w:rsidP="00C10B8E">
            <w:pPr>
              <w:pStyle w:val="ListParagraph"/>
              <w:numPr>
                <w:ilvl w:val="0"/>
                <w:numId w:val="3"/>
              </w:numPr>
              <w:spacing w:line="360" w:lineRule="auto"/>
              <w:rPr>
                <w:rFonts w:ascii="Arial" w:hAnsi="Arial" w:cs="Arial"/>
              </w:rPr>
            </w:pPr>
            <w:r w:rsidRPr="00E5796A">
              <w:rPr>
                <w:rFonts w:ascii="Arial" w:hAnsi="Arial" w:cs="Arial"/>
              </w:rPr>
              <w:t>Gastrointestinal</w:t>
            </w:r>
            <w:r>
              <w:rPr>
                <w:rFonts w:ascii="Arial" w:hAnsi="Arial" w:cs="Arial"/>
              </w:rPr>
              <w:t xml:space="preserve"> -</w:t>
            </w:r>
            <w:r w:rsidRPr="00E5796A">
              <w:rPr>
                <w:rFonts w:ascii="Arial" w:hAnsi="Arial" w:cs="Arial"/>
              </w:rPr>
              <w:t xml:space="preserve"> (Diabetic gastroparesis (gastropathy), Diabetic enteropathy (diarrhoea), Colonic hypomotility (constipation) </w:t>
            </w:r>
          </w:p>
          <w:p w14:paraId="73AD4610" w14:textId="77777777" w:rsidR="00C10B8E" w:rsidRDefault="00C10B8E" w:rsidP="00C10B8E">
            <w:pPr>
              <w:pStyle w:val="ListParagraph"/>
              <w:numPr>
                <w:ilvl w:val="0"/>
                <w:numId w:val="3"/>
              </w:numPr>
              <w:spacing w:line="360" w:lineRule="auto"/>
              <w:rPr>
                <w:rFonts w:ascii="Arial" w:hAnsi="Arial" w:cs="Arial"/>
              </w:rPr>
            </w:pPr>
            <w:r>
              <w:rPr>
                <w:rFonts w:ascii="Arial" w:hAnsi="Arial" w:cs="Arial"/>
              </w:rPr>
              <w:t xml:space="preserve">Urogenital - </w:t>
            </w:r>
            <w:r w:rsidRPr="003371DE">
              <w:rPr>
                <w:rFonts w:ascii="Arial" w:hAnsi="Arial" w:cs="Arial"/>
              </w:rPr>
              <w:t xml:space="preserve">Diabetic </w:t>
            </w:r>
            <w:proofErr w:type="spellStart"/>
            <w:r w:rsidRPr="003371DE">
              <w:rPr>
                <w:rFonts w:ascii="Arial" w:hAnsi="Arial" w:cs="Arial"/>
              </w:rPr>
              <w:t>cy</w:t>
            </w:r>
            <w:r>
              <w:rPr>
                <w:rFonts w:ascii="Arial" w:hAnsi="Arial" w:cs="Arial"/>
              </w:rPr>
              <w:t>stopathy</w:t>
            </w:r>
            <w:proofErr w:type="spellEnd"/>
            <w:r>
              <w:rPr>
                <w:rFonts w:ascii="Arial" w:hAnsi="Arial" w:cs="Arial"/>
              </w:rPr>
              <w:t xml:space="preserve"> (neurogenic bladder), Erectile dysfunction, </w:t>
            </w:r>
            <w:r w:rsidRPr="003371DE">
              <w:rPr>
                <w:rFonts w:ascii="Arial" w:hAnsi="Arial" w:cs="Arial"/>
              </w:rPr>
              <w:t xml:space="preserve">Female sexual dysfunction </w:t>
            </w:r>
          </w:p>
          <w:p w14:paraId="5965BCC9" w14:textId="77777777" w:rsidR="00C10B8E" w:rsidRDefault="00C10B8E" w:rsidP="00C10B8E">
            <w:pPr>
              <w:pStyle w:val="ListParagraph"/>
              <w:numPr>
                <w:ilvl w:val="0"/>
                <w:numId w:val="3"/>
              </w:numPr>
              <w:spacing w:line="360" w:lineRule="auto"/>
              <w:rPr>
                <w:rFonts w:ascii="Arial" w:hAnsi="Arial" w:cs="Arial"/>
              </w:rPr>
            </w:pPr>
            <w:r>
              <w:rPr>
                <w:rFonts w:ascii="Arial" w:hAnsi="Arial" w:cs="Arial"/>
              </w:rPr>
              <w:t xml:space="preserve">Sudomotor dysfunction - </w:t>
            </w:r>
            <w:r w:rsidRPr="003371DE">
              <w:rPr>
                <w:rFonts w:ascii="Arial" w:hAnsi="Arial" w:cs="Arial"/>
              </w:rPr>
              <w:t>Di</w:t>
            </w:r>
            <w:r>
              <w:rPr>
                <w:rFonts w:ascii="Arial" w:hAnsi="Arial" w:cs="Arial"/>
              </w:rPr>
              <w:t xml:space="preserve">stal </w:t>
            </w:r>
            <w:proofErr w:type="spellStart"/>
            <w:r>
              <w:rPr>
                <w:rFonts w:ascii="Arial" w:hAnsi="Arial" w:cs="Arial"/>
              </w:rPr>
              <w:t>hypohydrosis</w:t>
            </w:r>
            <w:proofErr w:type="spellEnd"/>
            <w:r>
              <w:rPr>
                <w:rFonts w:ascii="Arial" w:hAnsi="Arial" w:cs="Arial"/>
              </w:rPr>
              <w:t xml:space="preserve">/anhidrosis, </w:t>
            </w:r>
            <w:r w:rsidRPr="003371DE">
              <w:rPr>
                <w:rFonts w:ascii="Arial" w:hAnsi="Arial" w:cs="Arial"/>
              </w:rPr>
              <w:t xml:space="preserve">Gustatory sweating Hypoglycaemia unawareness </w:t>
            </w:r>
          </w:p>
          <w:p w14:paraId="2F08574B" w14:textId="77777777" w:rsidR="00C10B8E" w:rsidRPr="003371DE" w:rsidRDefault="00C10B8E" w:rsidP="00C10B8E">
            <w:pPr>
              <w:pStyle w:val="ListParagraph"/>
              <w:numPr>
                <w:ilvl w:val="0"/>
                <w:numId w:val="3"/>
              </w:numPr>
              <w:spacing w:line="360" w:lineRule="auto"/>
              <w:rPr>
                <w:rFonts w:ascii="Arial" w:hAnsi="Arial" w:cs="Arial"/>
              </w:rPr>
            </w:pPr>
            <w:r w:rsidRPr="003371DE">
              <w:rPr>
                <w:rFonts w:ascii="Arial" w:hAnsi="Arial" w:cs="Arial"/>
              </w:rPr>
              <w:t>Abnormal pupillary function</w:t>
            </w:r>
          </w:p>
        </w:tc>
      </w:tr>
      <w:tr w:rsidR="00C10B8E" w14:paraId="24A810A2" w14:textId="77777777" w:rsidTr="003C5716">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Ex>
        <w:tc>
          <w:tcPr>
            <w:tcW w:w="5000" w:type="pct"/>
            <w:tcBorders>
              <w:top w:val="nil"/>
              <w:bottom w:val="nil"/>
            </w:tcBorders>
            <w:shd w:val="clear" w:color="auto" w:fill="D9D9D9" w:themeFill="background1" w:themeFillShade="D9"/>
          </w:tcPr>
          <w:p w14:paraId="01F6CAB7" w14:textId="3052DA21" w:rsidR="00C10B8E" w:rsidRPr="00C10B8E" w:rsidRDefault="00C10B8E" w:rsidP="00C10B8E">
            <w:pPr>
              <w:pStyle w:val="ListParagraph"/>
              <w:numPr>
                <w:ilvl w:val="0"/>
                <w:numId w:val="1"/>
              </w:numPr>
              <w:spacing w:line="360" w:lineRule="auto"/>
              <w:jc w:val="both"/>
              <w:rPr>
                <w:rFonts w:ascii="Arial" w:hAnsi="Arial" w:cs="Arial"/>
                <w:b/>
                <w:bCs/>
              </w:rPr>
            </w:pPr>
            <w:r w:rsidRPr="00C10B8E">
              <w:rPr>
                <w:rFonts w:ascii="Arial" w:hAnsi="Arial" w:cs="Arial"/>
                <w:b/>
                <w:bCs/>
              </w:rPr>
              <w:t>Mononeuropathy (mononeuritis multiplex) (atypical forms)</w:t>
            </w:r>
          </w:p>
          <w:p w14:paraId="73CB85DA" w14:textId="77777777" w:rsidR="00C10B8E" w:rsidRDefault="00C10B8E" w:rsidP="00C10B8E">
            <w:pPr>
              <w:pStyle w:val="ListParagraph"/>
              <w:numPr>
                <w:ilvl w:val="0"/>
                <w:numId w:val="4"/>
              </w:numPr>
              <w:spacing w:line="360" w:lineRule="auto"/>
              <w:rPr>
                <w:rFonts w:ascii="Arial" w:hAnsi="Arial" w:cs="Arial"/>
              </w:rPr>
            </w:pPr>
            <w:r w:rsidRPr="0062088A">
              <w:rPr>
                <w:rFonts w:ascii="Arial" w:hAnsi="Arial" w:cs="Arial"/>
              </w:rPr>
              <w:t xml:space="preserve">Isolated cranial or peripheral nerve (e.g., CN III, ulnar, median, femoral, peroneal) </w:t>
            </w:r>
          </w:p>
          <w:p w14:paraId="61DADEF4" w14:textId="77777777" w:rsidR="00C10B8E" w:rsidRPr="0062088A" w:rsidRDefault="00C10B8E" w:rsidP="00C10B8E">
            <w:pPr>
              <w:pStyle w:val="ListParagraph"/>
              <w:numPr>
                <w:ilvl w:val="0"/>
                <w:numId w:val="4"/>
              </w:numPr>
              <w:spacing w:line="360" w:lineRule="auto"/>
              <w:rPr>
                <w:rFonts w:ascii="Arial" w:hAnsi="Arial" w:cs="Arial"/>
              </w:rPr>
            </w:pPr>
            <w:r w:rsidRPr="0062088A">
              <w:rPr>
                <w:rFonts w:ascii="Arial" w:hAnsi="Arial" w:cs="Arial"/>
              </w:rPr>
              <w:t>Mononeuritis multiplex (if conﬂuent may resemble polyneuropathy)</w:t>
            </w:r>
          </w:p>
        </w:tc>
      </w:tr>
      <w:tr w:rsidR="00C10B8E" w14:paraId="0E4CEEDB" w14:textId="77777777" w:rsidTr="003C5716">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Ex>
        <w:tc>
          <w:tcPr>
            <w:tcW w:w="5000" w:type="pct"/>
            <w:tcBorders>
              <w:top w:val="nil"/>
              <w:bottom w:val="nil"/>
            </w:tcBorders>
            <w:shd w:val="clear" w:color="auto" w:fill="D9D9D9" w:themeFill="background1" w:themeFillShade="D9"/>
          </w:tcPr>
          <w:p w14:paraId="5E92D018" w14:textId="77777777" w:rsidR="00C10B8E" w:rsidRPr="008E6936" w:rsidRDefault="00C10B8E" w:rsidP="00C10B8E">
            <w:pPr>
              <w:pStyle w:val="ListParagraph"/>
              <w:numPr>
                <w:ilvl w:val="0"/>
                <w:numId w:val="1"/>
              </w:numPr>
              <w:spacing w:line="360" w:lineRule="auto"/>
              <w:jc w:val="both"/>
              <w:rPr>
                <w:rFonts w:ascii="Arial" w:hAnsi="Arial" w:cs="Arial"/>
                <w:b/>
                <w:bCs/>
              </w:rPr>
            </w:pPr>
            <w:r w:rsidRPr="008E6936">
              <w:rPr>
                <w:rFonts w:ascii="Arial" w:hAnsi="Arial" w:cs="Arial"/>
                <w:b/>
                <w:bCs/>
              </w:rPr>
              <w:t xml:space="preserve">Radiculopathy or polyradiculopathy (atypical forms) </w:t>
            </w:r>
          </w:p>
          <w:p w14:paraId="4146203B" w14:textId="77777777" w:rsidR="00C10B8E" w:rsidRDefault="00C10B8E" w:rsidP="00C10B8E">
            <w:pPr>
              <w:pStyle w:val="ListParagraph"/>
              <w:numPr>
                <w:ilvl w:val="0"/>
                <w:numId w:val="5"/>
              </w:numPr>
              <w:spacing w:line="360" w:lineRule="auto"/>
              <w:jc w:val="both"/>
              <w:rPr>
                <w:rFonts w:ascii="Arial" w:hAnsi="Arial" w:cs="Arial"/>
              </w:rPr>
            </w:pPr>
            <w:proofErr w:type="spellStart"/>
            <w:r>
              <w:rPr>
                <w:rFonts w:ascii="Arial" w:hAnsi="Arial" w:cs="Arial"/>
              </w:rPr>
              <w:t>Radiculoplexus</w:t>
            </w:r>
            <w:proofErr w:type="spellEnd"/>
            <w:r>
              <w:rPr>
                <w:rFonts w:ascii="Arial" w:hAnsi="Arial" w:cs="Arial"/>
              </w:rPr>
              <w:t xml:space="preserve"> </w:t>
            </w:r>
            <w:r w:rsidRPr="0062088A">
              <w:rPr>
                <w:rFonts w:ascii="Arial" w:hAnsi="Arial" w:cs="Arial"/>
              </w:rPr>
              <w:t xml:space="preserve">neuropathy (a.k.a. lumbosacral polyradiculopathy, proximal motor amyotrophy) </w:t>
            </w:r>
          </w:p>
          <w:p w14:paraId="3A4F4669" w14:textId="77777777" w:rsidR="00C10B8E" w:rsidRPr="0062088A" w:rsidRDefault="00C10B8E" w:rsidP="00C10B8E">
            <w:pPr>
              <w:pStyle w:val="ListParagraph"/>
              <w:numPr>
                <w:ilvl w:val="0"/>
                <w:numId w:val="5"/>
              </w:numPr>
              <w:spacing w:line="360" w:lineRule="auto"/>
              <w:jc w:val="both"/>
              <w:rPr>
                <w:rFonts w:ascii="Arial" w:hAnsi="Arial" w:cs="Arial"/>
              </w:rPr>
            </w:pPr>
            <w:r w:rsidRPr="0062088A">
              <w:rPr>
                <w:rFonts w:ascii="Arial" w:hAnsi="Arial" w:cs="Arial"/>
              </w:rPr>
              <w:t>Thoracic radiculopathy</w:t>
            </w:r>
          </w:p>
        </w:tc>
      </w:tr>
      <w:tr w:rsidR="00C10B8E" w14:paraId="1A21B561" w14:textId="77777777" w:rsidTr="003C5716">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Ex>
        <w:tc>
          <w:tcPr>
            <w:tcW w:w="5000" w:type="pct"/>
            <w:tcBorders>
              <w:top w:val="nil"/>
            </w:tcBorders>
            <w:shd w:val="clear" w:color="auto" w:fill="D9D9D9" w:themeFill="background1" w:themeFillShade="D9"/>
          </w:tcPr>
          <w:p w14:paraId="387410B0" w14:textId="24218E4F" w:rsidR="00C10B8E" w:rsidRPr="00C10B8E" w:rsidRDefault="00C10B8E" w:rsidP="00C10B8E">
            <w:pPr>
              <w:pStyle w:val="ListParagraph"/>
              <w:numPr>
                <w:ilvl w:val="0"/>
                <w:numId w:val="25"/>
              </w:numPr>
              <w:spacing w:line="360" w:lineRule="auto"/>
              <w:jc w:val="both"/>
              <w:rPr>
                <w:rFonts w:ascii="Arial" w:hAnsi="Arial" w:cs="Arial"/>
                <w:b/>
                <w:bCs/>
              </w:rPr>
            </w:pPr>
            <w:r w:rsidRPr="00C10B8E">
              <w:rPr>
                <w:rFonts w:ascii="Arial" w:hAnsi="Arial" w:cs="Arial"/>
                <w:b/>
                <w:bCs/>
              </w:rPr>
              <w:t xml:space="preserve">Nondiabetic neuropathies common in diabetes </w:t>
            </w:r>
          </w:p>
          <w:p w14:paraId="57B11491" w14:textId="77777777" w:rsidR="00C10B8E" w:rsidRPr="008E6936" w:rsidRDefault="00C10B8E" w:rsidP="00C10B8E">
            <w:pPr>
              <w:pStyle w:val="ListParagraph"/>
              <w:numPr>
                <w:ilvl w:val="0"/>
                <w:numId w:val="6"/>
              </w:numPr>
              <w:spacing w:line="360" w:lineRule="auto"/>
              <w:jc w:val="both"/>
              <w:rPr>
                <w:rFonts w:ascii="Arial" w:hAnsi="Arial" w:cs="Arial"/>
              </w:rPr>
            </w:pPr>
            <w:r w:rsidRPr="008E6936">
              <w:rPr>
                <w:rFonts w:ascii="Arial" w:hAnsi="Arial" w:cs="Arial"/>
              </w:rPr>
              <w:t xml:space="preserve">Pressure palsies Chronic inﬂammatory demyelinating polyneuropathy </w:t>
            </w:r>
            <w:proofErr w:type="spellStart"/>
            <w:r w:rsidRPr="008E6936">
              <w:rPr>
                <w:rFonts w:ascii="Arial" w:hAnsi="Arial" w:cs="Arial"/>
              </w:rPr>
              <w:t>Radiculoplexus</w:t>
            </w:r>
            <w:proofErr w:type="spellEnd"/>
            <w:r w:rsidRPr="008E6936">
              <w:rPr>
                <w:rFonts w:ascii="Arial" w:hAnsi="Arial" w:cs="Arial"/>
              </w:rPr>
              <w:t xml:space="preserve"> neuropathy </w:t>
            </w:r>
          </w:p>
          <w:p w14:paraId="3F6ED658" w14:textId="77777777" w:rsidR="00C10B8E" w:rsidRPr="0062088A" w:rsidRDefault="00C10B8E" w:rsidP="00C10B8E">
            <w:pPr>
              <w:pStyle w:val="ListParagraph"/>
              <w:numPr>
                <w:ilvl w:val="0"/>
                <w:numId w:val="6"/>
              </w:numPr>
              <w:spacing w:line="360" w:lineRule="auto"/>
              <w:jc w:val="both"/>
              <w:rPr>
                <w:rFonts w:ascii="Arial" w:hAnsi="Arial" w:cs="Arial"/>
                <w:b/>
                <w:bCs/>
              </w:rPr>
            </w:pPr>
            <w:r>
              <w:rPr>
                <w:rFonts w:ascii="Arial" w:hAnsi="Arial" w:cs="Arial"/>
              </w:rPr>
              <w:t xml:space="preserve">Acute painful small </w:t>
            </w:r>
            <w:r w:rsidRPr="008E6936">
              <w:rPr>
                <w:rFonts w:ascii="Arial" w:hAnsi="Arial" w:cs="Arial"/>
              </w:rPr>
              <w:t>ﬁ</w:t>
            </w:r>
            <w:r>
              <w:rPr>
                <w:rFonts w:ascii="Arial" w:hAnsi="Arial" w:cs="Arial"/>
              </w:rPr>
              <w:t>bre</w:t>
            </w:r>
            <w:r w:rsidRPr="008E6936">
              <w:rPr>
                <w:rFonts w:ascii="Arial" w:hAnsi="Arial" w:cs="Arial"/>
              </w:rPr>
              <w:t xml:space="preserve"> neuropathies (treatment-induced)</w:t>
            </w:r>
          </w:p>
        </w:tc>
      </w:tr>
    </w:tbl>
    <w:p w14:paraId="3900A02D" w14:textId="77777777" w:rsidR="00AF1A96" w:rsidRPr="009F39D4" w:rsidRDefault="00AF1A96" w:rsidP="0044068A">
      <w:pPr>
        <w:pStyle w:val="BodyA"/>
        <w:widowControl w:val="0"/>
        <w:rPr>
          <w:rFonts w:cstheme="minorHAnsi"/>
        </w:rPr>
      </w:pPr>
    </w:p>
    <w:p w14:paraId="680DC3A6" w14:textId="77777777" w:rsidR="00AF1A96" w:rsidRPr="00AD7B00" w:rsidRDefault="00AF1A96" w:rsidP="00AF1A96">
      <w:pPr>
        <w:pStyle w:val="BodyA"/>
        <w:widowControl w:val="0"/>
        <w:ind w:left="216" w:hanging="216"/>
        <w:rPr>
          <w:rFonts w:cstheme="minorHAnsi"/>
        </w:rPr>
      </w:pPr>
    </w:p>
    <w:p w14:paraId="2CC97529" w14:textId="77777777" w:rsidR="00AF1A96" w:rsidRPr="00AD7B00" w:rsidRDefault="00AF1A96" w:rsidP="00AF1A96">
      <w:pPr>
        <w:pStyle w:val="Heading3"/>
        <w:spacing w:line="480" w:lineRule="auto"/>
        <w:rPr>
          <w:rFonts w:cstheme="minorHAnsi"/>
          <w:sz w:val="24"/>
          <w:szCs w:val="24"/>
        </w:rPr>
      </w:pPr>
      <w:bookmarkStart w:id="49" w:name="_Toc12"/>
      <w:bookmarkStart w:id="50" w:name="_Toc6093001"/>
      <w:r w:rsidRPr="00AD7B00">
        <w:rPr>
          <w:rFonts w:cstheme="minorHAnsi"/>
          <w:sz w:val="24"/>
          <w:szCs w:val="24"/>
        </w:rPr>
        <w:lastRenderedPageBreak/>
        <w:t>1.1.4 Distal Symmetrical Sensorimotor Polyneuropathy</w:t>
      </w:r>
      <w:bookmarkEnd w:id="49"/>
      <w:bookmarkEnd w:id="50"/>
    </w:p>
    <w:p w14:paraId="47A069C8" w14:textId="77777777" w:rsidR="00AF1A96" w:rsidRPr="00AD7B00" w:rsidRDefault="00AF1A96" w:rsidP="00AF1A96">
      <w:pPr>
        <w:pStyle w:val="BodyA"/>
        <w:spacing w:line="480" w:lineRule="auto"/>
        <w:jc w:val="both"/>
        <w:rPr>
          <w:rFonts w:cstheme="minorHAnsi"/>
        </w:rPr>
      </w:pPr>
      <w:r w:rsidRPr="00AD7B00">
        <w:rPr>
          <w:rFonts w:cstheme="minorHAnsi"/>
          <w:lang w:val="en-US"/>
        </w:rPr>
        <w:t>Distal symmetrical sensorimotor polyneuropathy, commonly referred to as diabetic peripheral neuropathy (</w:t>
      </w:r>
      <w:proofErr w:type="spellStart"/>
      <w:r w:rsidRPr="00AD7B00">
        <w:rPr>
          <w:rFonts w:cstheme="minorHAnsi"/>
          <w:lang w:val="en-US"/>
        </w:rPr>
        <w:t>DPN</w:t>
      </w:r>
      <w:proofErr w:type="spellEnd"/>
      <w:r w:rsidRPr="00AD7B00">
        <w:rPr>
          <w:rFonts w:cstheme="minorHAnsi"/>
          <w:lang w:val="en-US"/>
        </w:rPr>
        <w:t xml:space="preserve">), is the commonest form of diabetic somatic neuropathy. It is length dependent and classically presents in a “glove and stocking pattern”. Usually sensory symptoms predominate at early stage. As it is a length dependent process, it starts in the feet, and hands are involved only after lower limbs affected up to knee height. The </w:t>
      </w:r>
      <w:proofErr w:type="spellStart"/>
      <w:r w:rsidRPr="00AD7B00">
        <w:rPr>
          <w:rFonts w:cstheme="minorHAnsi"/>
          <w:lang w:val="en-US"/>
        </w:rPr>
        <w:t>Neurodiabetes</w:t>
      </w:r>
      <w:proofErr w:type="spellEnd"/>
      <w:r w:rsidRPr="00AD7B00">
        <w:rPr>
          <w:rFonts w:cstheme="minorHAnsi"/>
          <w:lang w:val="en-US"/>
        </w:rPr>
        <w:t xml:space="preserve"> Consensus (Toronto) Group define </w:t>
      </w:r>
      <w:proofErr w:type="spellStart"/>
      <w:r w:rsidRPr="00AD7B00">
        <w:rPr>
          <w:rFonts w:cstheme="minorHAnsi"/>
          <w:lang w:val="en-US"/>
        </w:rPr>
        <w:t>DPN</w:t>
      </w:r>
      <w:proofErr w:type="spellEnd"/>
      <w:r w:rsidRPr="00AD7B00">
        <w:rPr>
          <w:rFonts w:cstheme="minorHAnsi"/>
          <w:lang w:val="en-US"/>
        </w:rPr>
        <w:t xml:space="preserve"> as chronic, symmetric, length-dependent sensorimotor polyneuropathy developing from metabolic derangements and micro vessel alterations related to chronic </w:t>
      </w:r>
      <w:proofErr w:type="spellStart"/>
      <w:r w:rsidRPr="00AD7B00">
        <w:rPr>
          <w:rFonts w:cstheme="minorHAnsi"/>
          <w:lang w:val="en-US"/>
        </w:rPr>
        <w:t>hyperglycaemia</w:t>
      </w:r>
      <w:proofErr w:type="spellEnd"/>
      <w:r w:rsidRPr="00AD7B00">
        <w:rPr>
          <w:rFonts w:cstheme="minorHAnsi"/>
          <w:lang w:val="en-US"/>
        </w:rPr>
        <w:t xml:space="preserve"> and cardiovascular risk factors </w:t>
      </w:r>
      <w:r w:rsidRPr="00AD7B00">
        <w:rPr>
          <w:rFonts w:cstheme="minorHAnsi"/>
          <w:lang w:val="en-US"/>
        </w:rPr>
        <w:fldChar w:fldCharType="begin"/>
      </w:r>
      <w:r w:rsidRPr="00AD7B00">
        <w:rPr>
          <w:rFonts w:cstheme="minorHAnsi"/>
          <w:lang w:val="en-US"/>
        </w:rPr>
        <w:instrText xml:space="preserve"> ADDIN EN.CITE &lt;EndNote&gt;&lt;Cite  &gt;&lt;Author&gt;Dyck&lt;/Author&gt;&lt;Year&gt;2011&lt;/Year&gt;&lt;DisplayText&gt;(Dyck et al., 2011)&lt;/DisplayText&gt;&lt;record&gt;&lt;keywords/&gt;&lt;isbn&gt;1520-7552&lt;/isbn&gt;&lt;titles&gt;&lt;title&gt;Diabetic polyneuropathies: update on research definition, diagnostic criteria and estimation of severity&lt;/title&gt;&lt;/titles&gt;&lt;pages&gt;620-628&lt;/pages&gt;&lt;contributors&gt;&lt;authors&gt;&lt;author&gt;Dyck, Peter J.&lt;/author&gt;&lt;author&gt;Albers, James W.&lt;/author&gt;&lt;author&gt;Andersen, Henning&lt;/author&gt;&lt;author&gt;Arezzo, Joseph C.&lt;/author&gt;&lt;author&gt;Biessels, Geert‐jan&lt;/author&gt;&lt;author&gt;Bril, Vera&lt;/author&gt;&lt;author&gt;Feldman, Eva L.&lt;/author&gt;&lt;author&gt;Litchy, William J.&lt;/author&gt;&lt;author&gt;Brien, Peter C.&lt;/author&gt;&lt;author&gt;Russell, James W.&lt;/author&gt;&lt;/authors&gt;&lt;/contributors&gt;&lt;added-date format="utc"&gt;1382889174&lt;/added-date&gt;&lt;pub-location&gt;Chichester, UK&lt;/pub-location&gt;&lt;ref-type name="Generic"&gt;13&lt;/ref-type&gt;&lt;dates&gt;&lt;year&gt;2011&lt;/year&gt;&lt;/dates&gt;&lt;rec-number&gt;52&lt;/rec-number&gt;&lt;last-updated-date format="utc"&gt;1382889714&lt;/last-updated-date&gt;&lt;electronic-resource-num&gt;10.1002/dmrr.1226&lt;/electronic-resource-num&gt;&lt;volume&gt;27&lt;/volume&gt;&lt;/record&gt;&lt;/Cite&gt;&lt;/EndNote&gt;</w:instrText>
      </w:r>
      <w:r w:rsidRPr="00AD7B00">
        <w:rPr>
          <w:rFonts w:cstheme="minorHAnsi"/>
          <w:lang w:val="en-US"/>
        </w:rPr>
        <w:fldChar w:fldCharType="separate"/>
      </w:r>
      <w:r w:rsidRPr="00AD7B00">
        <w:rPr>
          <w:rFonts w:cstheme="minorHAnsi"/>
          <w:lang w:val="en-US"/>
        </w:rPr>
        <w:t>(Dyck et al., 2011)</w:t>
      </w:r>
      <w:r w:rsidRPr="00AD7B00">
        <w:rPr>
          <w:rFonts w:cstheme="minorHAnsi"/>
          <w:lang w:val="en-US"/>
        </w:rPr>
        <w:fldChar w:fldCharType="end"/>
      </w:r>
      <w:r w:rsidRPr="00AD7B00">
        <w:rPr>
          <w:rFonts w:cstheme="minorHAnsi"/>
          <w:lang w:val="en-US"/>
        </w:rPr>
        <w:t xml:space="preserve">.  They proposed minimal criteria for defining </w:t>
      </w:r>
      <w:proofErr w:type="spellStart"/>
      <w:r w:rsidRPr="00AD7B00">
        <w:rPr>
          <w:rFonts w:cstheme="minorHAnsi"/>
          <w:lang w:val="en-US"/>
        </w:rPr>
        <w:t>DPN</w:t>
      </w:r>
      <w:proofErr w:type="spellEnd"/>
      <w:r w:rsidRPr="00AD7B00">
        <w:rPr>
          <w:rFonts w:cstheme="minorHAnsi"/>
          <w:lang w:val="en-US"/>
        </w:rPr>
        <w:t xml:space="preserve"> as shown in Table 1.3. </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8990"/>
      </w:tblGrid>
      <w:tr w:rsidR="00790107" w:rsidRPr="00C5205D" w14:paraId="43577923" w14:textId="77777777" w:rsidTr="003C5716">
        <w:trPr>
          <w:trHeight w:val="1317"/>
        </w:trPr>
        <w:tc>
          <w:tcPr>
            <w:tcW w:w="5000" w:type="pct"/>
            <w:tcBorders>
              <w:bottom w:val="single" w:sz="12" w:space="0" w:color="auto"/>
            </w:tcBorders>
            <w:shd w:val="clear" w:color="auto" w:fill="CCCCCC"/>
          </w:tcPr>
          <w:p w14:paraId="6E0CA6ED" w14:textId="77777777" w:rsidR="00790107" w:rsidRPr="00790107" w:rsidRDefault="00790107" w:rsidP="004E68BB">
            <w:pPr>
              <w:spacing w:line="360" w:lineRule="auto"/>
              <w:jc w:val="both"/>
              <w:rPr>
                <w:rFonts w:cs="Arial"/>
                <w:b/>
              </w:rPr>
            </w:pPr>
          </w:p>
          <w:p w14:paraId="766CB48D" w14:textId="77777777" w:rsidR="00790107" w:rsidRPr="00790107" w:rsidRDefault="00790107" w:rsidP="004E68BB">
            <w:pPr>
              <w:spacing w:line="360" w:lineRule="auto"/>
              <w:jc w:val="both"/>
              <w:rPr>
                <w:rFonts w:cs="Arial"/>
              </w:rPr>
            </w:pPr>
            <w:r w:rsidRPr="00790107">
              <w:rPr>
                <w:rFonts w:cs="Arial"/>
                <w:b/>
              </w:rPr>
              <w:t xml:space="preserve">Table 1.3 </w:t>
            </w:r>
            <w:proofErr w:type="spellStart"/>
            <w:r w:rsidRPr="00790107">
              <w:rPr>
                <w:rFonts w:cs="Arial"/>
                <w:b/>
              </w:rPr>
              <w:t>Neurodiabetes</w:t>
            </w:r>
            <w:proofErr w:type="spellEnd"/>
            <w:r w:rsidRPr="00790107">
              <w:rPr>
                <w:rFonts w:cs="Arial"/>
                <w:b/>
              </w:rPr>
              <w:t xml:space="preserve"> Consensus minimal criteria for defining </w:t>
            </w:r>
            <w:proofErr w:type="spellStart"/>
            <w:r w:rsidRPr="00790107">
              <w:rPr>
                <w:rFonts w:cs="Arial"/>
                <w:b/>
              </w:rPr>
              <w:t>DPN</w:t>
            </w:r>
            <w:proofErr w:type="spellEnd"/>
            <w:r w:rsidRPr="00790107">
              <w:rPr>
                <w:rFonts w:cs="Arial"/>
              </w:rPr>
              <w:t xml:space="preserve"> (adapted from </w:t>
            </w:r>
            <w:r w:rsidRPr="00790107">
              <w:rPr>
                <w:rFonts w:cs="Arial"/>
              </w:rPr>
              <w:fldChar w:fldCharType="begin"/>
            </w:r>
            <w:r w:rsidRPr="00790107">
              <w:rPr>
                <w:rFonts w:cs="Arial"/>
              </w:rPr>
              <w:instrText xml:space="preserve"> ADDIN EN.CITE &lt;EndNote&gt;&lt;Cite&gt;&lt;Author&gt;Dyck&lt;/Author&gt;&lt;Year&gt;2011&lt;/Year&gt;&lt;IDText&gt;Diabetic polyneuropathies: update on research definition, diagnostic criteria and estimation of severity&lt;/IDText&gt;&lt;DisplayText&gt;(Dyck et al., 2011)&lt;/DisplayText&gt;&lt;record&gt;&lt;keywords&gt;&lt;keyword&gt;Diabetic Polyneuropathy&lt;/keyword&gt;&lt;keyword&gt;Diabetic Sensorimotor Polyneuropathy&lt;/keyword&gt;&lt;keyword&gt;Atypical Diabetic Polyneuropathy&lt;/keyword&gt;&lt;keyword&gt;Classification&lt;/keyword&gt;&lt;keyword&gt;Definitions&lt;/keyword&gt;&lt;/keywords&gt;&lt;isbn&gt;1520-7552&lt;/isbn&gt;&lt;titles&gt;&lt;title&gt;Diabetic polyneuropathies: update on research definition, diagnostic criteria and estimation of severity&lt;/title&gt;&lt;/titles&gt;&lt;pages&gt;620-628&lt;/pages&gt;&lt;contributors&gt;&lt;authors&gt;&lt;author&gt;Dyck, Peter J.&lt;/author&gt;&lt;author&gt;Albers, James W.&lt;/author&gt;&lt;author&gt;Andersen, Henning&lt;/author&gt;&lt;author&gt;Arezzo, Joseph C.&lt;/author&gt;&lt;author&gt;Biessels, Geert</w:instrText>
            </w:r>
            <w:r w:rsidRPr="00790107">
              <w:rPr>
                <w:rFonts w:cs="Cambria Math"/>
              </w:rPr>
              <w:instrText>‐</w:instrText>
            </w:r>
            <w:r w:rsidRPr="00790107">
              <w:rPr>
                <w:rFonts w:cs="Arial"/>
              </w:rPr>
              <w:instrText>jan&lt;/author&gt;&lt;author&gt;Bril, Vera&lt;/author&gt;&lt;author&gt;Feldman, Eva L.&lt;/author&gt;&lt;author&gt;Litchy, William J.&lt;/author&gt;&lt;author&gt;Brien, Peter C.&lt;/author&gt;&lt;author&gt;Russell, James W.&lt;/author&gt;&lt;/authors&gt;&lt;/contributors&gt;&lt;added-date format="utc"&gt;1382889174&lt;/added-date&gt;&lt;pub-location&gt;Chichester, UK&lt;/pub-location&gt;&lt;ref-type name="Generic"&gt;13&lt;/ref-type&gt;&lt;dates&gt;&lt;year&gt;2011&lt;/year&gt;&lt;/dates&gt;&lt;rec-number&gt;52&lt;/rec-number&gt;&lt;last-updated-date format="utc"&gt;1382889714&lt;/last-updated-date&gt;&lt;electronic-resource-num&gt;10.1002/dmrr.1226&lt;/electronic-resource-num&gt;&lt;volume&gt;27&lt;/volume&gt;&lt;/record&gt;&lt;/Cite&gt;&lt;/EndNote&gt;</w:instrText>
            </w:r>
            <w:r w:rsidRPr="00790107">
              <w:rPr>
                <w:rFonts w:cs="Arial"/>
              </w:rPr>
              <w:fldChar w:fldCharType="separate"/>
            </w:r>
            <w:r w:rsidRPr="00790107">
              <w:rPr>
                <w:rFonts w:cs="Arial"/>
                <w:noProof/>
              </w:rPr>
              <w:t>(Dyck et al., 2011)</w:t>
            </w:r>
            <w:r w:rsidRPr="00790107">
              <w:rPr>
                <w:rFonts w:cs="Arial"/>
              </w:rPr>
              <w:fldChar w:fldCharType="end"/>
            </w:r>
            <w:r w:rsidRPr="00790107">
              <w:rPr>
                <w:rFonts w:cs="Arial"/>
              </w:rPr>
              <w:t xml:space="preserve"> )</w:t>
            </w:r>
          </w:p>
        </w:tc>
      </w:tr>
      <w:tr w:rsidR="00790107" w:rsidRPr="00C5205D" w14:paraId="6D5A075D" w14:textId="77777777" w:rsidTr="003C5716">
        <w:trPr>
          <w:trHeight w:val="963"/>
        </w:trPr>
        <w:tc>
          <w:tcPr>
            <w:tcW w:w="5000" w:type="pct"/>
            <w:tcBorders>
              <w:bottom w:val="nil"/>
            </w:tcBorders>
            <w:shd w:val="clear" w:color="auto" w:fill="CCCCCC"/>
          </w:tcPr>
          <w:p w14:paraId="0DCF0D8F" w14:textId="77777777" w:rsidR="00790107" w:rsidRPr="00790107" w:rsidRDefault="00790107" w:rsidP="004E68BB">
            <w:pPr>
              <w:spacing w:line="480" w:lineRule="auto"/>
              <w:jc w:val="both"/>
              <w:rPr>
                <w:rFonts w:cs="Arial"/>
                <w:b/>
              </w:rPr>
            </w:pPr>
            <w:r w:rsidRPr="00790107">
              <w:rPr>
                <w:rFonts w:cs="Arial"/>
                <w:b/>
              </w:rPr>
              <w:t xml:space="preserve">1. Possible Clinical </w:t>
            </w:r>
            <w:proofErr w:type="spellStart"/>
            <w:r w:rsidRPr="00790107">
              <w:rPr>
                <w:rFonts w:cs="Arial"/>
                <w:b/>
              </w:rPr>
              <w:t>DPN</w:t>
            </w:r>
            <w:proofErr w:type="spellEnd"/>
          </w:p>
          <w:p w14:paraId="5B47D242" w14:textId="564677E2" w:rsidR="00790107" w:rsidRPr="00790107" w:rsidRDefault="00790107" w:rsidP="004E68BB">
            <w:pPr>
              <w:spacing w:line="480" w:lineRule="auto"/>
              <w:jc w:val="both"/>
              <w:rPr>
                <w:rFonts w:cs="Arial"/>
              </w:rPr>
            </w:pPr>
            <w:r w:rsidRPr="00790107">
              <w:rPr>
                <w:rFonts w:cs="Arial"/>
              </w:rPr>
              <w:t xml:space="preserve">Symptoms or signs of </w:t>
            </w:r>
            <w:proofErr w:type="spellStart"/>
            <w:r w:rsidRPr="00790107">
              <w:rPr>
                <w:rFonts w:cs="Arial"/>
              </w:rPr>
              <w:t>DPN</w:t>
            </w:r>
            <w:proofErr w:type="spellEnd"/>
            <w:r w:rsidRPr="00790107">
              <w:rPr>
                <w:rFonts w:cs="Arial"/>
              </w:rPr>
              <w:t xml:space="preserve">. Symptoms may </w:t>
            </w:r>
            <w:r w:rsidR="00C55E1D" w:rsidRPr="00790107">
              <w:rPr>
                <w:rFonts w:cs="Arial"/>
              </w:rPr>
              <w:t>include</w:t>
            </w:r>
            <w:r w:rsidRPr="00790107">
              <w:rPr>
                <w:rFonts w:cs="Arial"/>
              </w:rPr>
              <w:t xml:space="preserve"> decreased sensation, positive neuropathic sensory symptoms (e.g. ‘asleep numbness’, ‘pricking’ or ‘stabbing’, ‘burning’ or ‘aching’ pain) predominantly in the toes, feet, or legs. Signs may </w:t>
            </w:r>
            <w:proofErr w:type="gramStart"/>
            <w:r w:rsidRPr="00790107">
              <w:rPr>
                <w:rFonts w:cs="Arial"/>
              </w:rPr>
              <w:t>include:</w:t>
            </w:r>
            <w:proofErr w:type="gramEnd"/>
            <w:r w:rsidRPr="00790107">
              <w:rPr>
                <w:rFonts w:cs="Arial"/>
              </w:rPr>
              <w:t xml:space="preserve"> symmetric decrease of distal sensation or unequivocally decreased or absent ankle reflexes</w:t>
            </w:r>
          </w:p>
        </w:tc>
      </w:tr>
      <w:tr w:rsidR="00790107" w:rsidRPr="00C5205D" w14:paraId="7883C976" w14:textId="77777777" w:rsidTr="003C5716">
        <w:trPr>
          <w:trHeight w:val="1567"/>
        </w:trPr>
        <w:tc>
          <w:tcPr>
            <w:tcW w:w="5000" w:type="pct"/>
            <w:tcBorders>
              <w:top w:val="nil"/>
              <w:bottom w:val="nil"/>
            </w:tcBorders>
            <w:shd w:val="clear" w:color="auto" w:fill="CCCCCC"/>
          </w:tcPr>
          <w:p w14:paraId="4C4860CF" w14:textId="77777777" w:rsidR="0044068A" w:rsidRDefault="00790107" w:rsidP="004E68BB">
            <w:pPr>
              <w:spacing w:line="480" w:lineRule="auto"/>
              <w:jc w:val="both"/>
              <w:rPr>
                <w:rFonts w:cs="Arial"/>
                <w:b/>
              </w:rPr>
            </w:pPr>
            <w:r w:rsidRPr="00790107">
              <w:rPr>
                <w:rFonts w:cs="Arial"/>
                <w:b/>
              </w:rPr>
              <w:t xml:space="preserve">2. Probable Clinical </w:t>
            </w:r>
            <w:proofErr w:type="spellStart"/>
            <w:r w:rsidRPr="00790107">
              <w:rPr>
                <w:rFonts w:cs="Arial"/>
                <w:b/>
              </w:rPr>
              <w:t>DSPN</w:t>
            </w:r>
            <w:proofErr w:type="spellEnd"/>
          </w:p>
          <w:p w14:paraId="7D9281A0" w14:textId="3393E86D" w:rsidR="00790107" w:rsidRPr="0044068A" w:rsidRDefault="00790107" w:rsidP="004E68BB">
            <w:pPr>
              <w:spacing w:line="480" w:lineRule="auto"/>
              <w:jc w:val="both"/>
              <w:rPr>
                <w:rFonts w:cs="Arial"/>
                <w:b/>
              </w:rPr>
            </w:pPr>
            <w:r w:rsidRPr="00790107">
              <w:rPr>
                <w:rFonts w:cs="Arial"/>
              </w:rPr>
              <w:lastRenderedPageBreak/>
              <w:t>A combination of symptoms and signs of distal sensorimotor polyneuropathy with any two or more of the following: neuropathic symptoms, decreased distal sensation, or unequivocally decreased or absent ankle reflexes.</w:t>
            </w:r>
          </w:p>
        </w:tc>
      </w:tr>
      <w:tr w:rsidR="00790107" w:rsidRPr="00C5205D" w14:paraId="159FCE75" w14:textId="77777777" w:rsidTr="003C5716">
        <w:trPr>
          <w:trHeight w:val="1070"/>
        </w:trPr>
        <w:tc>
          <w:tcPr>
            <w:tcW w:w="5000" w:type="pct"/>
            <w:tcBorders>
              <w:top w:val="nil"/>
              <w:bottom w:val="nil"/>
            </w:tcBorders>
            <w:shd w:val="clear" w:color="auto" w:fill="CCCCCC"/>
          </w:tcPr>
          <w:p w14:paraId="72D4BB43" w14:textId="77777777" w:rsidR="00790107" w:rsidRPr="00790107" w:rsidRDefault="00790107" w:rsidP="004E68BB">
            <w:pPr>
              <w:spacing w:line="480" w:lineRule="auto"/>
              <w:jc w:val="both"/>
              <w:rPr>
                <w:rFonts w:cs="Arial"/>
                <w:b/>
              </w:rPr>
            </w:pPr>
            <w:r w:rsidRPr="00790107">
              <w:rPr>
                <w:rFonts w:cs="Arial"/>
                <w:b/>
              </w:rPr>
              <w:lastRenderedPageBreak/>
              <w:t xml:space="preserve">3. Confirmed Clinical </w:t>
            </w:r>
            <w:proofErr w:type="spellStart"/>
            <w:r w:rsidRPr="00790107">
              <w:rPr>
                <w:rFonts w:cs="Arial"/>
                <w:b/>
              </w:rPr>
              <w:t>DSPN</w:t>
            </w:r>
            <w:proofErr w:type="spellEnd"/>
          </w:p>
          <w:p w14:paraId="6620DBDE" w14:textId="77777777" w:rsidR="00790107" w:rsidRPr="00790107" w:rsidRDefault="00790107" w:rsidP="004E68BB">
            <w:pPr>
              <w:spacing w:line="480" w:lineRule="auto"/>
              <w:jc w:val="both"/>
              <w:rPr>
                <w:rFonts w:cs="Arial"/>
              </w:rPr>
            </w:pPr>
            <w:r w:rsidRPr="00790107">
              <w:rPr>
                <w:rFonts w:cs="Arial"/>
              </w:rPr>
              <w:t xml:space="preserve">An abnormal nerve conduction study and a symptom or symptoms or a sign or signs of sensorimotor polyneuropathy. Severity of </w:t>
            </w:r>
            <w:proofErr w:type="spellStart"/>
            <w:r w:rsidRPr="00790107">
              <w:rPr>
                <w:rFonts w:cs="Arial"/>
              </w:rPr>
              <w:t>DSPN</w:t>
            </w:r>
            <w:proofErr w:type="spellEnd"/>
            <w:r w:rsidRPr="00790107">
              <w:rPr>
                <w:rFonts w:cs="Arial"/>
              </w:rPr>
              <w:t xml:space="preserve"> can be assessed by staged or continuous approaches and by dysfunction and disability scores.</w:t>
            </w:r>
          </w:p>
        </w:tc>
      </w:tr>
      <w:tr w:rsidR="00790107" w:rsidRPr="00C5205D" w14:paraId="07062043" w14:textId="77777777" w:rsidTr="003C5716">
        <w:trPr>
          <w:trHeight w:val="344"/>
        </w:trPr>
        <w:tc>
          <w:tcPr>
            <w:tcW w:w="5000" w:type="pct"/>
            <w:tcBorders>
              <w:top w:val="nil"/>
            </w:tcBorders>
            <w:shd w:val="clear" w:color="auto" w:fill="CCCCCC"/>
          </w:tcPr>
          <w:p w14:paraId="2EC02D2E" w14:textId="77777777" w:rsidR="00790107" w:rsidRPr="00790107" w:rsidRDefault="00790107" w:rsidP="004E68BB">
            <w:pPr>
              <w:spacing w:line="480" w:lineRule="auto"/>
              <w:jc w:val="both"/>
              <w:rPr>
                <w:rFonts w:cs="Arial"/>
                <w:b/>
              </w:rPr>
            </w:pPr>
            <w:r w:rsidRPr="00790107">
              <w:rPr>
                <w:rFonts w:cs="Arial"/>
                <w:b/>
              </w:rPr>
              <w:t xml:space="preserve">4. Subclinical </w:t>
            </w:r>
            <w:proofErr w:type="spellStart"/>
            <w:r w:rsidRPr="00790107">
              <w:rPr>
                <w:rFonts w:cs="Arial"/>
                <w:b/>
              </w:rPr>
              <w:t>DSPN</w:t>
            </w:r>
            <w:proofErr w:type="spellEnd"/>
            <w:r w:rsidRPr="00790107">
              <w:rPr>
                <w:rFonts w:cs="Arial"/>
                <w:b/>
              </w:rPr>
              <w:t xml:space="preserve"> </w:t>
            </w:r>
          </w:p>
          <w:p w14:paraId="1D920CEA" w14:textId="77777777" w:rsidR="00790107" w:rsidRPr="00790107" w:rsidRDefault="00790107" w:rsidP="004E68BB">
            <w:pPr>
              <w:spacing w:line="480" w:lineRule="auto"/>
              <w:jc w:val="both"/>
              <w:rPr>
                <w:rFonts w:cs="Arial"/>
              </w:rPr>
            </w:pPr>
            <w:r w:rsidRPr="00790107">
              <w:rPr>
                <w:rFonts w:cs="Arial"/>
              </w:rPr>
              <w:t>No signs or symptoms of polyneuropathy. Abnormal nerve conduction is present.</w:t>
            </w:r>
          </w:p>
        </w:tc>
      </w:tr>
    </w:tbl>
    <w:p w14:paraId="57702477" w14:textId="77777777" w:rsidR="00AF1A96" w:rsidRPr="00AD7B00" w:rsidRDefault="00AF1A96" w:rsidP="00AF1A96">
      <w:pPr>
        <w:pStyle w:val="BodyA"/>
        <w:widowControl w:val="0"/>
        <w:ind w:left="432" w:hanging="432"/>
        <w:rPr>
          <w:rFonts w:cstheme="minorHAnsi"/>
        </w:rPr>
      </w:pPr>
    </w:p>
    <w:p w14:paraId="22BB003D" w14:textId="77777777" w:rsidR="00AF1A96" w:rsidRPr="00AD7B00" w:rsidRDefault="00AF1A96" w:rsidP="00AF1A96">
      <w:pPr>
        <w:pStyle w:val="BodyA"/>
        <w:spacing w:line="480" w:lineRule="auto"/>
        <w:jc w:val="both"/>
        <w:rPr>
          <w:rFonts w:cstheme="minorHAnsi"/>
          <w:b/>
          <w:bCs/>
        </w:rPr>
      </w:pPr>
      <w:r w:rsidRPr="00AD7B00">
        <w:rPr>
          <w:rFonts w:cstheme="minorHAnsi"/>
          <w:lang w:val="en-US"/>
        </w:rPr>
        <w:t xml:space="preserve">The severity of </w:t>
      </w:r>
      <w:proofErr w:type="spellStart"/>
      <w:r w:rsidRPr="00AD7B00">
        <w:rPr>
          <w:rFonts w:cstheme="minorHAnsi"/>
          <w:lang w:val="en-US"/>
        </w:rPr>
        <w:t>DPN</w:t>
      </w:r>
      <w:proofErr w:type="spellEnd"/>
      <w:r w:rsidRPr="00AD7B00">
        <w:rPr>
          <w:rFonts w:cstheme="minorHAnsi"/>
          <w:lang w:val="en-US"/>
        </w:rPr>
        <w:t xml:space="preserve"> was assessed by a staged approach as below </w:t>
      </w:r>
      <w:r w:rsidRPr="00AD7B00">
        <w:rPr>
          <w:rFonts w:cstheme="minorHAnsi"/>
          <w:lang w:val="en-US"/>
        </w:rPr>
        <w:fldChar w:fldCharType="begin"/>
      </w:r>
      <w:r w:rsidRPr="00AD7B00">
        <w:rPr>
          <w:rFonts w:cstheme="minorHAnsi"/>
          <w:lang w:val="en-US"/>
        </w:rPr>
        <w:instrText xml:space="preserve"> ADDIN EN.CITE &lt;EndNote&gt;&lt;Cite  &gt;&lt;Author&gt;Dyck&lt;/Author&gt;&lt;Year&gt;2011&lt;/Year&gt;&lt;DisplayText&gt;(Dyck et al., 2011)&lt;/DisplayText&gt;&lt;record&gt;&lt;keywords/&gt;&lt;isbn&gt;1520-7552&lt;/isbn&gt;&lt;titles&gt;&lt;title&gt;Diabetic polyneuropathies: update on research definition, diagnostic criteria and estimation of severity&lt;/title&gt;&lt;/titles&gt;&lt;pages&gt;620-628&lt;/pages&gt;&lt;contributors&gt;&lt;authors&gt;&lt;author&gt;Dyck, Peter J.&lt;/author&gt;&lt;author&gt;Albers, James W.&lt;/author&gt;&lt;author&gt;Andersen, Henning&lt;/author&gt;&lt;author&gt;Arezzo, Joseph C.&lt;/author&gt;&lt;author&gt;Biessels, Geert‐jan&lt;/author&gt;&lt;author&gt;Bril, Vera&lt;/author&gt;&lt;author&gt;Feldman, Eva L.&lt;/author&gt;&lt;author&gt;Litchy, William J.&lt;/author&gt;&lt;author&gt;Brien, Peter C.&lt;/author&gt;&lt;author&gt;Russell, James W.&lt;/author&gt;&lt;/authors&gt;&lt;/contributors&gt;&lt;added-date format="utc"&gt;1382889174&lt;/added-date&gt;&lt;pub-location&gt;Chichester, UK&lt;/pub-location&gt;&lt;ref-type name="Generic"&gt;13&lt;/ref-type&gt;&lt;dates&gt;&lt;year&gt;2011&lt;/year&gt;&lt;/dates&gt;&lt;rec-number&gt;52&lt;/rec-number&gt;&lt;last-updated-date format="utc"&gt;1382889714&lt;/last-updated-date&gt;&lt;electronic-resource-num&gt;10.1002/dmrr.1226&lt;/electronic-resource-num&gt;&lt;volume&gt;27&lt;/volume&gt;&lt;/record&gt;&lt;/Cite&gt;&lt;/EndNote&gt;</w:instrText>
      </w:r>
      <w:r w:rsidRPr="00AD7B00">
        <w:rPr>
          <w:rFonts w:cstheme="minorHAnsi"/>
          <w:lang w:val="en-US"/>
        </w:rPr>
        <w:fldChar w:fldCharType="separate"/>
      </w:r>
      <w:r w:rsidRPr="00AD7B00">
        <w:rPr>
          <w:rFonts w:cstheme="minorHAnsi"/>
          <w:lang w:val="en-US"/>
        </w:rPr>
        <w:t>(Dyck et al., 2011)</w:t>
      </w:r>
      <w:r w:rsidRPr="00AD7B00">
        <w:rPr>
          <w:rFonts w:cstheme="minorHAnsi"/>
          <w:lang w:val="en-US"/>
        </w:rPr>
        <w:fldChar w:fldCharType="end"/>
      </w:r>
      <w:r w:rsidRPr="00AD7B00">
        <w:rPr>
          <w:rFonts w:cstheme="minorHAnsi"/>
        </w:rPr>
        <w:t xml:space="preserve">. </w:t>
      </w:r>
    </w:p>
    <w:p w14:paraId="7B04E6D8" w14:textId="77777777" w:rsidR="00AF1A96" w:rsidRPr="00AD7B00" w:rsidRDefault="00AF1A96" w:rsidP="00AF1A96">
      <w:pPr>
        <w:pStyle w:val="BodyA"/>
        <w:spacing w:line="480" w:lineRule="auto"/>
        <w:jc w:val="both"/>
        <w:rPr>
          <w:rFonts w:cstheme="minorHAnsi"/>
          <w:b/>
          <w:bCs/>
        </w:rPr>
      </w:pPr>
      <w:r w:rsidRPr="00AD7B00">
        <w:rPr>
          <w:rFonts w:cstheme="minorHAnsi"/>
          <w:b/>
          <w:bCs/>
          <w:lang w:val="da-DK"/>
        </w:rPr>
        <w:t>Stage 0</w:t>
      </w:r>
      <w:r w:rsidRPr="00AD7B00">
        <w:rPr>
          <w:rFonts w:cstheme="minorHAnsi"/>
          <w:lang w:val="en-US"/>
        </w:rPr>
        <w:t xml:space="preserve"> = criteria for subclinical </w:t>
      </w:r>
      <w:proofErr w:type="spellStart"/>
      <w:r w:rsidRPr="00AD7B00">
        <w:rPr>
          <w:rFonts w:cstheme="minorHAnsi"/>
          <w:lang w:val="en-US"/>
        </w:rPr>
        <w:t>DSPN</w:t>
      </w:r>
      <w:proofErr w:type="spellEnd"/>
      <w:r w:rsidRPr="00AD7B00">
        <w:rPr>
          <w:rFonts w:cstheme="minorHAnsi"/>
          <w:lang w:val="en-US"/>
        </w:rPr>
        <w:t xml:space="preserve"> have not been met – an abnormality of nerve conduction not being present.</w:t>
      </w:r>
    </w:p>
    <w:p w14:paraId="0618DFA3" w14:textId="77777777" w:rsidR="00AF1A96" w:rsidRPr="00AD7B00" w:rsidRDefault="00AF1A96" w:rsidP="00AF1A96">
      <w:pPr>
        <w:pStyle w:val="BodyA"/>
        <w:spacing w:line="480" w:lineRule="auto"/>
        <w:jc w:val="both"/>
        <w:rPr>
          <w:rFonts w:cstheme="minorHAnsi"/>
        </w:rPr>
      </w:pPr>
      <w:r w:rsidRPr="00AD7B00">
        <w:rPr>
          <w:rFonts w:cstheme="minorHAnsi"/>
          <w:b/>
          <w:bCs/>
          <w:lang w:val="da-DK"/>
        </w:rPr>
        <w:t>Stage 1a</w:t>
      </w:r>
      <w:r w:rsidRPr="00AD7B00">
        <w:rPr>
          <w:rFonts w:cstheme="minorHAnsi"/>
          <w:lang w:val="en-US"/>
        </w:rPr>
        <w:t xml:space="preserve"> = criteria for subclinical </w:t>
      </w:r>
      <w:proofErr w:type="spellStart"/>
      <w:r w:rsidRPr="00AD7B00">
        <w:rPr>
          <w:rFonts w:cstheme="minorHAnsi"/>
          <w:lang w:val="en-US"/>
        </w:rPr>
        <w:t>DSPN</w:t>
      </w:r>
      <w:proofErr w:type="spellEnd"/>
      <w:r w:rsidRPr="00AD7B00">
        <w:rPr>
          <w:rFonts w:cstheme="minorHAnsi"/>
          <w:lang w:val="en-US"/>
        </w:rPr>
        <w:t xml:space="preserve"> have been met, but the patient does not have signs or symptoms of </w:t>
      </w:r>
      <w:proofErr w:type="spellStart"/>
      <w:r w:rsidRPr="00AD7B00">
        <w:rPr>
          <w:rFonts w:cstheme="minorHAnsi"/>
          <w:lang w:val="en-US"/>
        </w:rPr>
        <w:t>DSPN</w:t>
      </w:r>
      <w:proofErr w:type="spellEnd"/>
      <w:r w:rsidRPr="00AD7B00">
        <w:rPr>
          <w:rFonts w:cstheme="minorHAnsi"/>
          <w:lang w:val="en-US"/>
        </w:rPr>
        <w:t xml:space="preserve">. </w:t>
      </w:r>
    </w:p>
    <w:p w14:paraId="03482ABD" w14:textId="77777777" w:rsidR="00AF1A96" w:rsidRPr="00AD7B00" w:rsidRDefault="00AF1A96" w:rsidP="00AF1A96">
      <w:pPr>
        <w:pStyle w:val="BodyA"/>
        <w:spacing w:line="480" w:lineRule="auto"/>
        <w:jc w:val="both"/>
        <w:rPr>
          <w:rFonts w:cstheme="minorHAnsi"/>
        </w:rPr>
      </w:pPr>
      <w:r w:rsidRPr="00AD7B00">
        <w:rPr>
          <w:rFonts w:cstheme="minorHAnsi"/>
          <w:b/>
          <w:bCs/>
          <w:lang w:val="da-DK"/>
        </w:rPr>
        <w:t>Stage 1b</w:t>
      </w:r>
      <w:r w:rsidRPr="00AD7B00">
        <w:rPr>
          <w:rFonts w:cstheme="minorHAnsi"/>
          <w:lang w:val="en-US"/>
        </w:rPr>
        <w:t xml:space="preserve"> = criteria for subclinical neuropathy have been met and neuropathic signs without neuropathic symptoms are present.</w:t>
      </w:r>
    </w:p>
    <w:p w14:paraId="029C42D2" w14:textId="77777777" w:rsidR="00AF1A96" w:rsidRPr="00AD7B00" w:rsidRDefault="00AF1A96" w:rsidP="00AF1A96">
      <w:pPr>
        <w:pStyle w:val="BodyA"/>
        <w:spacing w:line="480" w:lineRule="auto"/>
        <w:jc w:val="both"/>
        <w:rPr>
          <w:rFonts w:cstheme="minorHAnsi"/>
        </w:rPr>
      </w:pPr>
      <w:r w:rsidRPr="00AD7B00">
        <w:rPr>
          <w:rFonts w:cstheme="minorHAnsi"/>
          <w:b/>
          <w:bCs/>
          <w:lang w:val="da-DK"/>
        </w:rPr>
        <w:t>Stage 2a</w:t>
      </w:r>
      <w:r w:rsidRPr="00AD7B00">
        <w:rPr>
          <w:rFonts w:cstheme="minorHAnsi"/>
          <w:lang w:val="en-US"/>
        </w:rPr>
        <w:t xml:space="preserve"> = criteria for subclinical neuropathy have been met and the patient has neuropathic symptoms with or without neuropathic signs.</w:t>
      </w:r>
    </w:p>
    <w:p w14:paraId="3FBC2192" w14:textId="4EFBCD6A" w:rsidR="00AF1A96" w:rsidRPr="00AD7B00" w:rsidRDefault="00AF1A96" w:rsidP="00AF1A96">
      <w:pPr>
        <w:pStyle w:val="BodyA"/>
        <w:spacing w:line="480" w:lineRule="auto"/>
        <w:jc w:val="both"/>
        <w:rPr>
          <w:rFonts w:cstheme="minorHAnsi"/>
        </w:rPr>
      </w:pPr>
      <w:r w:rsidRPr="00AD7B00">
        <w:rPr>
          <w:rFonts w:cstheme="minorHAnsi"/>
          <w:b/>
          <w:bCs/>
          <w:lang w:val="da-DK"/>
        </w:rPr>
        <w:t>Stage 2b</w:t>
      </w:r>
      <w:r w:rsidRPr="00AD7B00">
        <w:rPr>
          <w:rFonts w:cstheme="minorHAnsi"/>
          <w:lang w:val="en-US"/>
        </w:rPr>
        <w:t xml:space="preserve"> = criteria for subclinical neuropathy have been met and patient has unequivocal weakness of ankle dorsiflexion.</w:t>
      </w:r>
    </w:p>
    <w:p w14:paraId="2F60C01E" w14:textId="14FEB3E5" w:rsidR="00AF1A96" w:rsidRPr="00AD7B00" w:rsidRDefault="00AF1A96" w:rsidP="00AF1A96">
      <w:pPr>
        <w:pStyle w:val="Heading2"/>
        <w:spacing w:line="480" w:lineRule="auto"/>
        <w:rPr>
          <w:rFonts w:cstheme="minorHAnsi"/>
          <w:i w:val="0"/>
          <w:iCs w:val="0"/>
          <w:sz w:val="24"/>
          <w:szCs w:val="24"/>
        </w:rPr>
      </w:pPr>
      <w:bookmarkStart w:id="51" w:name="_Toc13"/>
      <w:bookmarkStart w:id="52" w:name="_Toc6093002"/>
      <w:r w:rsidRPr="00AD7B00">
        <w:rPr>
          <w:rFonts w:eastAsia="Cambria" w:cstheme="minorHAnsi"/>
          <w:i w:val="0"/>
          <w:iCs w:val="0"/>
          <w:sz w:val="24"/>
          <w:szCs w:val="24"/>
          <w:lang w:val="en-US"/>
        </w:rPr>
        <w:lastRenderedPageBreak/>
        <w:t xml:space="preserve">1.2 Painful Diabetic Peripheral Neuropathy (Painful </w:t>
      </w:r>
      <w:proofErr w:type="spellStart"/>
      <w:r w:rsidRPr="00AD7B00">
        <w:rPr>
          <w:rFonts w:eastAsia="Cambria" w:cstheme="minorHAnsi"/>
          <w:i w:val="0"/>
          <w:iCs w:val="0"/>
          <w:sz w:val="24"/>
          <w:szCs w:val="24"/>
          <w:lang w:val="en-US"/>
        </w:rPr>
        <w:t>DPN</w:t>
      </w:r>
      <w:proofErr w:type="spellEnd"/>
      <w:r w:rsidRPr="00AD7B00">
        <w:rPr>
          <w:rFonts w:eastAsia="Cambria" w:cstheme="minorHAnsi"/>
          <w:i w:val="0"/>
          <w:iCs w:val="0"/>
          <w:sz w:val="24"/>
          <w:szCs w:val="24"/>
          <w:lang w:val="en-US"/>
        </w:rPr>
        <w:t>)</w:t>
      </w:r>
      <w:bookmarkEnd w:id="51"/>
      <w:bookmarkEnd w:id="52"/>
    </w:p>
    <w:p w14:paraId="2DB7082E" w14:textId="781AE490" w:rsidR="00AF1A96" w:rsidRDefault="00AF1A96" w:rsidP="00AF1A96">
      <w:pPr>
        <w:pStyle w:val="BodyA"/>
        <w:spacing w:line="480" w:lineRule="auto"/>
        <w:jc w:val="both"/>
        <w:rPr>
          <w:rFonts w:cstheme="minorHAnsi"/>
          <w:lang w:val="en-US"/>
        </w:rPr>
      </w:pPr>
      <w:r w:rsidRPr="00AD7B00">
        <w:rPr>
          <w:rFonts w:cstheme="minorHAnsi"/>
          <w:lang w:val="en-US"/>
        </w:rPr>
        <w:t xml:space="preserve">A significant proportion (50%) of patients suffering from </w:t>
      </w:r>
      <w:proofErr w:type="spellStart"/>
      <w:r w:rsidRPr="00AD7B00">
        <w:rPr>
          <w:rFonts w:cstheme="minorHAnsi"/>
          <w:lang w:val="en-US"/>
        </w:rPr>
        <w:t>DPN</w:t>
      </w:r>
      <w:proofErr w:type="spellEnd"/>
      <w:r w:rsidRPr="00AD7B00">
        <w:rPr>
          <w:rFonts w:cstheme="minorHAnsi"/>
          <w:lang w:val="en-US"/>
        </w:rPr>
        <w:t xml:space="preserve"> develop painful diabetic peripheral neuropathy (painful </w:t>
      </w:r>
      <w:proofErr w:type="spellStart"/>
      <w:r w:rsidRPr="00AD7B00">
        <w:rPr>
          <w:rFonts w:cstheme="minorHAnsi"/>
          <w:lang w:val="en-US"/>
        </w:rPr>
        <w:t>DPN</w:t>
      </w:r>
      <w:proofErr w:type="spellEnd"/>
      <w:r w:rsidRPr="00AD7B00">
        <w:rPr>
          <w:rFonts w:cstheme="minorHAnsi"/>
          <w:lang w:val="en-US"/>
        </w:rPr>
        <w:t xml:space="preserve">) </w:t>
      </w:r>
      <w:r w:rsidRPr="00AD7B00">
        <w:rPr>
          <w:rFonts w:cstheme="minorHAnsi"/>
          <w:lang w:val="en-US"/>
        </w:rPr>
        <w:fldChar w:fldCharType="begin"/>
      </w:r>
      <w:r w:rsidRPr="00AD7B00">
        <w:rPr>
          <w:rFonts w:cstheme="minorHAnsi"/>
          <w:lang w:val="en-US"/>
        </w:rPr>
        <w:instrText xml:space="preserve"> ADDIN EN.CITE &lt;EndNote&gt;&lt;Cite  &gt;&lt;Author&gt;Abbott&lt;/Author&gt;&lt;Year&gt;2011&lt;/Year&gt;&lt;RecNum&gt;65&lt;/RecNum&gt;&lt;DisplayText&gt;(Abbott et al., 2011, Davies et al., 2006)&lt;/DisplayText&gt;&lt;record&gt;&lt;keywords/&gt;&lt;isbn&gt;0149-5992&lt;/isbn&gt;&lt;titles&gt;&lt;title&gt;Prevalence and characteristics of painful diabetic neuropathy in a large community- based diabetic population in the U.K&lt;/title&gt;&lt;secondary-title&gt;Diabetes care&lt;/secondary-title&gt;&lt;/titles&gt;&lt;pages&gt;2220&lt;/pages&gt;&lt;number&gt;10&lt;/number&gt;&lt;contributors&gt;&lt;authors&gt;&lt;author&gt;Abbott, Caroline A.&lt;/author&gt;&lt;author&gt;Malik, Rayaz A.&lt;/author&gt;&lt;author&gt;Van Ross, Ernest R. E.&lt;/author&gt;&lt;author&gt;Kulkarni, Jai&lt;/author&gt;&lt;author&gt;Boulton, Andrew J. M.&lt;/author&gt;&lt;author&gt;van Ross, Ernest R. E.&lt;/author&gt;&lt;/authors&gt;&lt;/contributors&gt;&lt;added-date format="utc"&gt;1383237234&lt;/added-date&gt;&lt;ref-type name="Journal Article"&gt;17&lt;/ref-type&gt;&lt;dates&gt;&lt;year&gt;2011&lt;/year&gt;&lt;/dates&gt;&lt;rec-number&gt;65&lt;/rec-number&gt;&lt;last-updated-date format="utc"&gt;1383237440&lt;/last-updated-date&gt;&lt;electronic-resource-num&gt;10.2337/dc11-1108&lt;/electronic-resource-num&gt;&lt;volume&gt;34&lt;/volume&gt;&lt;/record&gt;&lt;/Cite&gt;&lt;Cite  &gt;&lt;Author&gt;Davies&lt;/Author&gt;&lt;Year&gt;2006&lt;/Year&gt;&lt;RecNum&gt;66&lt;/RecNum&gt;&lt;record&gt;&lt;dates&gt;&lt;pub-dates&gt;&lt;date&gt;Jul&lt;/date&gt;&lt;/pub-dates&gt;&lt;year&gt;2006&lt;/year&gt;&lt;/dates&gt;&lt;urls&gt;&lt;related-urls&gt;&lt;url&gt;&amp;lt;Go to ISI&amp;gt;://WOS:000238854000009&lt;/url&gt;&lt;/related-urls&gt;&lt;/urls&gt;&lt;isbn&gt;0149-5992&lt;/isbn&gt;&lt;titles&gt;&lt;title&gt;The prevalence, severity, and impact of painful diabetic peripheral neuropathy in type 2 diabetes&lt;/title&gt;&lt;secondary-title&gt;Diabetes Care&lt;/secondary-title&gt;&lt;/titles&gt;&lt;pages&gt;1518-1522&lt;/pages&gt;&lt;number&gt;7&lt;/number&gt;&lt;contributors&gt;&lt;authors&gt;&lt;author&gt;Davies, Mark&lt;/author&gt;&lt;author&gt;Brophy, Sinead&lt;/author&gt;&lt;author&gt;Williams, Rhys&lt;/author&gt;&lt;author&gt;Taylor, Ann&lt;/author&gt;&lt;/authors&gt;&lt;/contributors&gt;&lt;added-date format="utc"&gt;1383237978&lt;/added-date&gt;&lt;ref-type name="Journal Article"&gt;17&lt;/ref-type&gt;&lt;rec-number&gt;66&lt;/rec-number&gt;&lt;last-updated-date format="utc"&gt;1383238621&lt;/last-updated-date&gt;&lt;accession-num&gt;WOS:000238854000009&lt;/accession-num&gt;&lt;electronic-resource-num&gt;10.2337/dc05-2228&lt;/electronic-resource-num&gt;&lt;volume&gt;29&lt;/volume&gt;&lt;/record&gt;&lt;/Cite&gt;&lt;/EndNote&gt;</w:instrText>
      </w:r>
      <w:r w:rsidRPr="00AD7B00">
        <w:rPr>
          <w:rFonts w:cstheme="minorHAnsi"/>
          <w:lang w:val="en-US"/>
        </w:rPr>
        <w:fldChar w:fldCharType="separate"/>
      </w:r>
      <w:r w:rsidRPr="00AD7B00">
        <w:rPr>
          <w:rFonts w:cstheme="minorHAnsi"/>
          <w:lang w:val="en-US"/>
        </w:rPr>
        <w:t>(Abbott et al., 2011, Davies et al., 2006)</w:t>
      </w:r>
      <w:r w:rsidRPr="00AD7B00">
        <w:rPr>
          <w:rFonts w:cstheme="minorHAnsi"/>
          <w:lang w:val="en-US"/>
        </w:rPr>
        <w:fldChar w:fldCharType="end"/>
      </w:r>
      <w:r w:rsidRPr="00AD7B00">
        <w:rPr>
          <w:rFonts w:cstheme="minorHAnsi"/>
          <w:lang w:val="en-US"/>
        </w:rPr>
        <w:t>. The Special Interest Group on Neuropathic Pain (</w:t>
      </w:r>
      <w:proofErr w:type="spellStart"/>
      <w:r w:rsidRPr="00AD7B00">
        <w:rPr>
          <w:rFonts w:cstheme="minorHAnsi"/>
          <w:lang w:val="en-US"/>
        </w:rPr>
        <w:t>NeuPSIG</w:t>
      </w:r>
      <w:proofErr w:type="spellEnd"/>
      <w:r w:rsidRPr="00AD7B00">
        <w:rPr>
          <w:rFonts w:cstheme="minorHAnsi"/>
          <w:lang w:val="en-US"/>
        </w:rPr>
        <w:t xml:space="preserve">) defined Neuropathic pain as “a pain arising as a direct consequence of a lesion or disease affecting the somatosensory system" </w:t>
      </w:r>
      <w:r w:rsidRPr="00AD7B00">
        <w:rPr>
          <w:rFonts w:cstheme="minorHAnsi"/>
          <w:lang w:val="nl-NL"/>
        </w:rPr>
        <w:fldChar w:fldCharType="begin"/>
      </w:r>
      <w:r w:rsidRPr="005B5764">
        <w:rPr>
          <w:rFonts w:cstheme="minorHAnsi"/>
        </w:rPr>
        <w:instrText xml:space="preserve"> ADDIN EN.CITE &lt;EndNote&gt;&lt;Cite  &gt;&lt;Author&gt;Haanpää&lt;/Author&gt;&lt;Year&gt;2011&lt;/Year&gt;&lt;DisplayText&gt;(Haanpää et al., 2011)&lt;/DisplayText&gt;&lt;record&gt;&lt;keywords/&gt;&lt;isbn&gt;0304-3959&lt;/isbn&gt;&lt;titles&gt;&lt;title&gt;NeuPSIG guidelines on neuropathic pain assessment&lt;/title&gt;&lt;secondary-title&gt;Pain&lt;/secondary-title&gt;&lt;/titles&gt;&lt;pages&gt;14-27&lt;/pages&gt;&lt;number&gt;1&lt;/number&gt;&lt;contributors&gt;&lt;authors&gt;&lt;author&gt;Haanpää, Maija&lt;/author&gt;&lt;author&gt;Attal, Nadine&lt;/author&gt;&lt;author&gt;Backonja, Miroslav&lt;/author&gt;&lt;author&gt;Baron, Ralf&lt;/author&gt;&lt;author&gt;Bennett, Michael&lt;/author&gt;&lt;author&gt;Bouhassira, Didier&lt;/author&gt;&lt;author&gt;Cruccu, Giorgio&lt;/author&gt;&lt;author&gt;Hansson, Per&lt;/author&gt;&lt;author&gt;Haythornthwaite, Jennifer A.&lt;/author&gt;&lt;author&gt;Iannetti, Gian Domenico&lt;/author&gt;&lt;author&gt;Jensen, Troels S.&lt;/author&gt;&lt;author&gt;Kauppila, Timo&lt;/author&gt;&lt;author&gt;Nurmikko, Turo J.&lt;/author&gt;&lt;author&gt;Rice, Andew S. C.&lt;/author&gt;&lt;author&gt;Rowbotham, Michael&lt;/author&gt;&lt;author&gt;Serra, Jordi&lt;/author&gt;&lt;author&gt;Sommer, Claudia&lt;/author&gt;&lt;author&gt;Smith, Blair H.&lt;/author&gt;&lt;author&gt;Treede, Rolf-Detlef&lt;/author&gt;&lt;/authors&gt;&lt;/contributors&gt;&lt;added-date format="utc"&gt;1382181843&lt;/added-date&gt;&lt;ref-type name="Journal Article"&gt;17&lt;/ref-type&gt;&lt;dates&gt;&lt;year&gt;2011&lt;/year&gt;&lt;/dates&gt;&lt;rec-number&gt;13&lt;/rec-number&gt;&lt;last-updated-date format="utc"&gt;1382181856&lt;/last-updated-date&gt;&lt;electronic-resource-num&gt;10.1016/j.pain.2010.07.031&lt;/electronic-resource-num&gt;&lt;volume&gt;152&lt;/volume&gt;&lt;/record&gt;&lt;/Cite&gt;&lt;/EndNote&gt;</w:instrText>
      </w:r>
      <w:r w:rsidRPr="00AD7B00">
        <w:rPr>
          <w:rFonts w:cstheme="minorHAnsi"/>
          <w:lang w:val="nl-NL"/>
        </w:rPr>
        <w:fldChar w:fldCharType="separate"/>
      </w:r>
      <w:r w:rsidRPr="005B5764">
        <w:rPr>
          <w:rFonts w:cstheme="minorHAnsi"/>
        </w:rPr>
        <w:t>(Haanpää et al., 2011)</w:t>
      </w:r>
      <w:r w:rsidRPr="00AD7B00">
        <w:rPr>
          <w:rFonts w:cstheme="minorHAnsi"/>
          <w:lang w:val="nl-NL"/>
        </w:rPr>
        <w:fldChar w:fldCharType="end"/>
      </w:r>
      <w:r w:rsidRPr="00AD7B00">
        <w:rPr>
          <w:rFonts w:cstheme="minorHAnsi"/>
          <w:lang w:val="en-US"/>
        </w:rPr>
        <w:t xml:space="preserve">. A task force of </w:t>
      </w:r>
      <w:proofErr w:type="spellStart"/>
      <w:r w:rsidRPr="00AD7B00">
        <w:rPr>
          <w:rFonts w:cstheme="minorHAnsi"/>
          <w:lang w:val="en-US"/>
        </w:rPr>
        <w:t>NeuPSIG</w:t>
      </w:r>
      <w:proofErr w:type="spellEnd"/>
      <w:r w:rsidRPr="00AD7B00">
        <w:rPr>
          <w:rFonts w:cstheme="minorHAnsi"/>
          <w:lang w:val="en-US"/>
        </w:rPr>
        <w:t xml:space="preserve"> generated a grading system for neuropathic pain </w:t>
      </w:r>
      <w:r w:rsidRPr="00AD7B00">
        <w:rPr>
          <w:rFonts w:cstheme="minorHAnsi"/>
          <w:lang w:val="nl-NL"/>
        </w:rPr>
        <w:fldChar w:fldCharType="begin"/>
      </w:r>
      <w:r w:rsidRPr="005B5764">
        <w:rPr>
          <w:rFonts w:cstheme="minorHAnsi"/>
        </w:rPr>
        <w:instrText xml:space="preserve"> ADDIN EN.CITE &lt;EndNote&gt;&lt;Cite  &gt;&lt;Author&gt;Treede&lt;/Author&gt;&lt;Year&gt;2008&lt;/Year&gt;&lt;RecNum&gt;330&lt;/RecNum&gt;&lt;DisplayText&gt;(Treede et al., 2008)&lt;/DisplayText&gt;&lt;record&gt;&lt;keywords/&gt;&lt;titles&gt;&lt;title&gt;Neuropathic pain: redefinition and a grading system for clinical and research purposes&lt;/title&gt;&lt;secondary-title&gt;Neurology&lt;/secondary-title&gt;&lt;/titles&gt;&lt;pages&gt;1630&lt;/pages&gt;&lt;number&gt;18&lt;/number&gt;&lt;contributors&gt;&lt;authors&gt;&lt;author&gt;Treede, R. d&lt;/author&gt;&lt;author&gt;Jensen, T. S.&lt;/author&gt;&lt;author&gt;Campbell, J. N.&lt;/author&gt;&lt;author&gt;Cruccu, G.&lt;/author&gt;&lt;author&gt;Dostrovsky, J. O.&lt;/author&gt;&lt;author&gt;Griffin, J. W.&lt;/author&gt;&lt;author&gt;Hansson, P.&lt;/author&gt;&lt;author&gt;Hughes, R.&lt;/author&gt;&lt;author&gt;Nurmikko, T.&lt;/author&gt;&lt;author&gt;Serra, J.&lt;/author&gt;&lt;author&gt;Treede, R. D.&lt;/author&gt;&lt;/authors&gt;&lt;/contributors&gt;&lt;added-date format="utc"&gt;1386625394&lt;/added-date&gt;&lt;ref-type name="Journal Article"&gt;17&lt;/ref-type&gt;&lt;dates&gt;&lt;year&gt;2008&lt;/year&gt;&lt;/dates&gt;&lt;rec-number&gt;330&lt;/rec-number&gt;&lt;last-updated-date format="utc"&gt;1386625394&lt;/last-updated-date&gt;&lt;volume&gt;70&lt;/volume&gt;&lt;/record&gt;&lt;/Cite&gt;&lt;/EndNote&gt;</w:instrText>
      </w:r>
      <w:r w:rsidRPr="00AD7B00">
        <w:rPr>
          <w:rFonts w:cstheme="minorHAnsi"/>
          <w:lang w:val="nl-NL"/>
        </w:rPr>
        <w:fldChar w:fldCharType="separate"/>
      </w:r>
      <w:r w:rsidRPr="005B5764">
        <w:rPr>
          <w:rFonts w:cstheme="minorHAnsi"/>
        </w:rPr>
        <w:t>(Treede et al., 2008)</w:t>
      </w:r>
      <w:r w:rsidRPr="00AD7B00">
        <w:rPr>
          <w:rFonts w:cstheme="minorHAnsi"/>
          <w:lang w:val="nl-NL"/>
        </w:rPr>
        <w:fldChar w:fldCharType="end"/>
      </w:r>
      <w:r w:rsidRPr="00AD7B00">
        <w:rPr>
          <w:rFonts w:cstheme="minorHAnsi"/>
          <w:lang w:val="en-US"/>
        </w:rPr>
        <w:t>. They suggested four criteria to be evaluated for each patient (table 1.4) and postulate definite, probable or possible neuropathic pain as below.</w:t>
      </w:r>
    </w:p>
    <w:tbl>
      <w:tblPr>
        <w:tblW w:w="5000" w:type="pct"/>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shd w:val="clear" w:color="auto" w:fill="D9D9D9" w:themeFill="background1" w:themeFillShade="D9"/>
        <w:tblLook w:val="0000" w:firstRow="0" w:lastRow="0" w:firstColumn="0" w:lastColumn="0" w:noHBand="0" w:noVBand="0"/>
      </w:tblPr>
      <w:tblGrid>
        <w:gridCol w:w="8990"/>
      </w:tblGrid>
      <w:tr w:rsidR="006069F5" w:rsidRPr="006069F5" w14:paraId="15DB6843" w14:textId="77777777" w:rsidTr="003C5716">
        <w:trPr>
          <w:trHeight w:val="485"/>
        </w:trPr>
        <w:tc>
          <w:tcPr>
            <w:tcW w:w="5000" w:type="pct"/>
            <w:tcBorders>
              <w:bottom w:val="single" w:sz="12" w:space="0" w:color="000000" w:themeColor="text1"/>
            </w:tcBorders>
            <w:shd w:val="clear" w:color="auto" w:fill="D9D9D9" w:themeFill="background1" w:themeFillShade="D9"/>
            <w:vAlign w:val="center"/>
          </w:tcPr>
          <w:p w14:paraId="7D4331D3" w14:textId="77777777" w:rsidR="006069F5" w:rsidRPr="006069F5" w:rsidRDefault="006069F5" w:rsidP="004E68BB">
            <w:pPr>
              <w:widowControl w:val="0"/>
              <w:autoSpaceDE w:val="0"/>
              <w:autoSpaceDN w:val="0"/>
              <w:adjustRightInd w:val="0"/>
              <w:spacing w:after="240" w:line="360" w:lineRule="auto"/>
              <w:rPr>
                <w:rFonts w:cs="Arial"/>
              </w:rPr>
            </w:pPr>
            <w:r w:rsidRPr="006069F5">
              <w:rPr>
                <w:rFonts w:cs="Arial"/>
                <w:b/>
              </w:rPr>
              <w:t xml:space="preserve">Table 1.4 Criteria for Diagnosing Neuropathic Pain </w:t>
            </w:r>
            <w:r w:rsidRPr="006069F5">
              <w:rPr>
                <w:rFonts w:cs="Arial"/>
              </w:rPr>
              <w:t xml:space="preserve">(Adapted from </w:t>
            </w:r>
            <w:r w:rsidRPr="006069F5">
              <w:rPr>
                <w:rFonts w:cs="Arial"/>
              </w:rPr>
              <w:fldChar w:fldCharType="begin"/>
            </w:r>
            <w:r w:rsidRPr="006069F5">
              <w:rPr>
                <w:rFonts w:cs="Arial"/>
              </w:rPr>
              <w:instrText xml:space="preserve"> ADDIN EN.CITE &lt;EndNote&gt;&lt;Cite&gt;&lt;Author&gt;Treede&lt;/Author&gt;&lt;Year&gt;2008&lt;/Year&gt;&lt;IDText&gt;Neuropathic pain: redefinition and a grading system for clinical and research purposes&lt;/IDText&gt;&lt;DisplayText&gt;(Treede et al., 2008)&lt;/DisplayText&gt;&lt;record&gt;&lt;keywords&gt;&lt;keyword&gt;Severity Of Illness Index&lt;/keyword&gt;&lt;keyword&gt;Neuralgia -- Classification&lt;/keyword&gt;&lt;/keywords&gt;&lt;titles&gt;&lt;title&gt;Neuropathic pain: redefinition and a grading system for clinical and research purposes&lt;/title&gt;&lt;secondary-title&gt;Neurology&lt;/secondary-title&gt;&lt;/titles&gt;&lt;pages&gt;1630&lt;/pages&gt;&lt;number&gt;18&lt;/number&gt;&lt;contributors&gt;&lt;authors&gt;&lt;author&gt;Treede, R. d&lt;/author&gt;&lt;author&gt;Jensen, T. S.&lt;/author&gt;&lt;author&gt;Campbell, J. N.&lt;/author&gt;&lt;author&gt;Cruccu, G.&lt;/author&gt;&lt;author&gt;Dostrovsky, J. O.&lt;/author&gt;&lt;author&gt;Griffin, J. W.&lt;/author&gt;&lt;author&gt;Hansson, P.&lt;/author&gt;&lt;author&gt;Hughes, R.&lt;/author&gt;&lt;author&gt;Nurmikko, T.&lt;/author&gt;&lt;author&gt;Serra, J.&lt;/author&gt;&lt;author&gt;Treede, R. D.&lt;/author&gt;&lt;/authors&gt;&lt;/contributors&gt;&lt;added-date format="utc"&gt;1386625394&lt;/added-date&gt;&lt;ref-type name="Journal Article"&gt;17&lt;/ref-type&gt;&lt;dates&gt;&lt;year&gt;2008&lt;/year&gt;&lt;/dates&gt;&lt;rec-number&gt;330&lt;/rec-number&gt;&lt;last-updated-date format="utc"&gt;1387847341&lt;/last-updated-date&gt;&lt;volume&gt;70&lt;/volume&gt;&lt;/record&gt;&lt;/Cite&gt;&lt;/EndNote&gt;</w:instrText>
            </w:r>
            <w:r w:rsidRPr="006069F5">
              <w:rPr>
                <w:rFonts w:cs="Arial"/>
              </w:rPr>
              <w:fldChar w:fldCharType="separate"/>
            </w:r>
            <w:r w:rsidRPr="006069F5">
              <w:rPr>
                <w:rFonts w:cs="Arial"/>
                <w:noProof/>
              </w:rPr>
              <w:t>(Treede et al., 2008)</w:t>
            </w:r>
            <w:r w:rsidRPr="006069F5">
              <w:rPr>
                <w:rFonts w:cs="Arial"/>
              </w:rPr>
              <w:fldChar w:fldCharType="end"/>
            </w:r>
            <w:r w:rsidRPr="006069F5">
              <w:rPr>
                <w:rFonts w:cs="Arial"/>
              </w:rPr>
              <w:t>)</w:t>
            </w:r>
          </w:p>
        </w:tc>
      </w:tr>
      <w:tr w:rsidR="006069F5" w:rsidRPr="006069F5" w14:paraId="0FF0EFF2" w14:textId="77777777" w:rsidTr="003C5716">
        <w:trPr>
          <w:trHeight w:val="485"/>
        </w:trPr>
        <w:tc>
          <w:tcPr>
            <w:tcW w:w="5000" w:type="pct"/>
            <w:tcBorders>
              <w:bottom w:val="nil"/>
            </w:tcBorders>
            <w:shd w:val="clear" w:color="auto" w:fill="D9D9D9" w:themeFill="background1" w:themeFillShade="D9"/>
            <w:vAlign w:val="center"/>
          </w:tcPr>
          <w:p w14:paraId="1D3B8884" w14:textId="77777777" w:rsidR="006069F5" w:rsidRPr="006069F5" w:rsidRDefault="006069F5" w:rsidP="004E68BB">
            <w:pPr>
              <w:widowControl w:val="0"/>
              <w:autoSpaceDE w:val="0"/>
              <w:autoSpaceDN w:val="0"/>
              <w:adjustRightInd w:val="0"/>
              <w:spacing w:after="240" w:line="480" w:lineRule="auto"/>
              <w:rPr>
                <w:rFonts w:cs="Arial"/>
              </w:rPr>
            </w:pPr>
            <w:r w:rsidRPr="006069F5">
              <w:rPr>
                <w:rFonts w:cs="Arial"/>
              </w:rPr>
              <w:t>1. Pain with a distinct neuroanatomically plausible distribution</w:t>
            </w:r>
          </w:p>
        </w:tc>
      </w:tr>
      <w:tr w:rsidR="006069F5" w:rsidRPr="006069F5" w14:paraId="76E067FB" w14:textId="77777777" w:rsidTr="003C5716">
        <w:trPr>
          <w:trHeight w:val="782"/>
        </w:trPr>
        <w:tc>
          <w:tcPr>
            <w:tcW w:w="5000" w:type="pct"/>
            <w:tcBorders>
              <w:top w:val="nil"/>
              <w:bottom w:val="nil"/>
            </w:tcBorders>
            <w:shd w:val="clear" w:color="auto" w:fill="D9D9D9" w:themeFill="background1" w:themeFillShade="D9"/>
            <w:vAlign w:val="center"/>
          </w:tcPr>
          <w:p w14:paraId="2931CF09" w14:textId="77777777" w:rsidR="006069F5" w:rsidRPr="006069F5" w:rsidRDefault="006069F5" w:rsidP="004E68BB">
            <w:pPr>
              <w:widowControl w:val="0"/>
              <w:autoSpaceDE w:val="0"/>
              <w:autoSpaceDN w:val="0"/>
              <w:adjustRightInd w:val="0"/>
              <w:spacing w:after="240" w:line="480" w:lineRule="auto"/>
              <w:rPr>
                <w:rFonts w:cs="Arial"/>
              </w:rPr>
            </w:pPr>
            <w:r w:rsidRPr="006069F5">
              <w:rPr>
                <w:rFonts w:cs="Arial"/>
              </w:rPr>
              <w:t>2. A history suggestive of a relevant lesion or disease affecting the peripheral or central somatosensory system</w:t>
            </w:r>
          </w:p>
        </w:tc>
      </w:tr>
      <w:tr w:rsidR="006069F5" w:rsidRPr="006069F5" w14:paraId="572BBC33" w14:textId="77777777" w:rsidTr="003C5716">
        <w:trPr>
          <w:trHeight w:val="782"/>
        </w:trPr>
        <w:tc>
          <w:tcPr>
            <w:tcW w:w="5000" w:type="pct"/>
            <w:tcBorders>
              <w:top w:val="nil"/>
              <w:bottom w:val="nil"/>
            </w:tcBorders>
            <w:shd w:val="clear" w:color="auto" w:fill="D9D9D9" w:themeFill="background1" w:themeFillShade="D9"/>
            <w:vAlign w:val="center"/>
          </w:tcPr>
          <w:p w14:paraId="1A01EE9D" w14:textId="77777777" w:rsidR="006069F5" w:rsidRPr="006069F5" w:rsidRDefault="006069F5" w:rsidP="004E68BB">
            <w:pPr>
              <w:widowControl w:val="0"/>
              <w:autoSpaceDE w:val="0"/>
              <w:autoSpaceDN w:val="0"/>
              <w:adjustRightInd w:val="0"/>
              <w:spacing w:after="240" w:line="480" w:lineRule="auto"/>
              <w:rPr>
                <w:rFonts w:cs="Arial"/>
              </w:rPr>
            </w:pPr>
            <w:r w:rsidRPr="006069F5">
              <w:rPr>
                <w:rFonts w:cs="Arial"/>
              </w:rPr>
              <w:t>3. Demonstration of the distinct neuroanatomically plausible distribution by at least one confirmatory test</w:t>
            </w:r>
          </w:p>
        </w:tc>
      </w:tr>
      <w:tr w:rsidR="006069F5" w:rsidRPr="006069F5" w14:paraId="7C1861AB" w14:textId="77777777" w:rsidTr="003C5716">
        <w:trPr>
          <w:trHeight w:val="249"/>
        </w:trPr>
        <w:tc>
          <w:tcPr>
            <w:tcW w:w="5000" w:type="pct"/>
            <w:tcBorders>
              <w:top w:val="nil"/>
              <w:bottom w:val="nil"/>
            </w:tcBorders>
            <w:shd w:val="clear" w:color="auto" w:fill="D9D9D9" w:themeFill="background1" w:themeFillShade="D9"/>
            <w:vAlign w:val="center"/>
          </w:tcPr>
          <w:p w14:paraId="43DFCF16" w14:textId="77777777" w:rsidR="006069F5" w:rsidRPr="006069F5" w:rsidRDefault="006069F5" w:rsidP="004E68BB">
            <w:pPr>
              <w:widowControl w:val="0"/>
              <w:autoSpaceDE w:val="0"/>
              <w:autoSpaceDN w:val="0"/>
              <w:adjustRightInd w:val="0"/>
              <w:spacing w:after="240" w:line="480" w:lineRule="auto"/>
              <w:rPr>
                <w:rFonts w:cs="Arial"/>
              </w:rPr>
            </w:pPr>
            <w:r w:rsidRPr="006069F5">
              <w:rPr>
                <w:rFonts w:cs="Arial"/>
              </w:rPr>
              <w:t>4. Demonstration of the relevant lesion or disease by at least one confirmatory test</w:t>
            </w:r>
          </w:p>
        </w:tc>
      </w:tr>
      <w:tr w:rsidR="006069F5" w:rsidRPr="006069F5" w14:paraId="340C961A" w14:textId="77777777" w:rsidTr="003C5716">
        <w:trPr>
          <w:trHeight w:val="249"/>
        </w:trPr>
        <w:tc>
          <w:tcPr>
            <w:tcW w:w="5000" w:type="pct"/>
            <w:tcBorders>
              <w:top w:val="nil"/>
            </w:tcBorders>
            <w:shd w:val="clear" w:color="auto" w:fill="D9D9D9" w:themeFill="background1" w:themeFillShade="D9"/>
            <w:vAlign w:val="center"/>
          </w:tcPr>
          <w:p w14:paraId="02E75C37" w14:textId="77777777" w:rsidR="006069F5" w:rsidRPr="006069F5" w:rsidRDefault="006069F5" w:rsidP="004E68BB">
            <w:pPr>
              <w:spacing w:line="480" w:lineRule="auto"/>
              <w:jc w:val="both"/>
              <w:rPr>
                <w:rFonts w:cs="Arial"/>
              </w:rPr>
            </w:pPr>
            <w:r w:rsidRPr="006069F5">
              <w:rPr>
                <w:rFonts w:cs="Arial"/>
                <w:b/>
              </w:rPr>
              <w:t xml:space="preserve">Definite </w:t>
            </w:r>
            <w:r w:rsidRPr="006069F5">
              <w:rPr>
                <w:rFonts w:cs="Arial"/>
              </w:rPr>
              <w:t xml:space="preserve">neuropathic pain: all the four above criteria met (1 to 4) </w:t>
            </w:r>
          </w:p>
          <w:p w14:paraId="00C957B1" w14:textId="77777777" w:rsidR="006069F5" w:rsidRPr="006069F5" w:rsidRDefault="006069F5" w:rsidP="004E68BB">
            <w:pPr>
              <w:spacing w:line="480" w:lineRule="auto"/>
              <w:jc w:val="both"/>
              <w:rPr>
                <w:rFonts w:cs="Arial"/>
              </w:rPr>
            </w:pPr>
            <w:r w:rsidRPr="006069F5">
              <w:rPr>
                <w:rFonts w:cs="Arial"/>
                <w:b/>
              </w:rPr>
              <w:t>Probable</w:t>
            </w:r>
            <w:r w:rsidRPr="006069F5">
              <w:rPr>
                <w:rFonts w:cs="Arial"/>
              </w:rPr>
              <w:t xml:space="preserve"> neuropathic pain: 1 and 2, plus either 3 or 4</w:t>
            </w:r>
          </w:p>
          <w:p w14:paraId="760B8C26" w14:textId="6871F7A9" w:rsidR="006069F5" w:rsidRPr="006069F5" w:rsidRDefault="006069F5" w:rsidP="00C55E1D">
            <w:pPr>
              <w:spacing w:line="480" w:lineRule="auto"/>
              <w:jc w:val="both"/>
              <w:rPr>
                <w:rFonts w:cs="Arial"/>
              </w:rPr>
            </w:pPr>
            <w:r w:rsidRPr="006069F5">
              <w:rPr>
                <w:rFonts w:cs="Arial"/>
                <w:b/>
              </w:rPr>
              <w:t>Possible</w:t>
            </w:r>
            <w:r w:rsidRPr="006069F5">
              <w:rPr>
                <w:rFonts w:cs="Arial"/>
              </w:rPr>
              <w:t xml:space="preserve"> neuropathic pain: 1 and 2, without confirmatory evidence from 3 or 4</w:t>
            </w:r>
          </w:p>
        </w:tc>
      </w:tr>
    </w:tbl>
    <w:p w14:paraId="72196198" w14:textId="24B32B17" w:rsidR="00AF1A96" w:rsidRPr="00AD7B00" w:rsidRDefault="00AF1A96" w:rsidP="00AF1A96">
      <w:pPr>
        <w:pStyle w:val="Heading3"/>
        <w:spacing w:line="480" w:lineRule="auto"/>
        <w:rPr>
          <w:rFonts w:cstheme="minorHAnsi"/>
          <w:sz w:val="24"/>
          <w:szCs w:val="24"/>
        </w:rPr>
      </w:pPr>
      <w:bookmarkStart w:id="53" w:name="_Toc14"/>
      <w:bookmarkStart w:id="54" w:name="_Toc6093003"/>
      <w:r w:rsidRPr="00AD7B00">
        <w:rPr>
          <w:rFonts w:cstheme="minorHAnsi"/>
          <w:sz w:val="24"/>
          <w:szCs w:val="24"/>
          <w:lang w:val="en-US"/>
        </w:rPr>
        <w:lastRenderedPageBreak/>
        <w:t xml:space="preserve">1.2.1 Epidemiology of Painful </w:t>
      </w:r>
      <w:proofErr w:type="spellStart"/>
      <w:r w:rsidRPr="00AD7B00">
        <w:rPr>
          <w:rFonts w:cstheme="minorHAnsi"/>
          <w:sz w:val="24"/>
          <w:szCs w:val="24"/>
          <w:lang w:val="en-US"/>
        </w:rPr>
        <w:t>DPN</w:t>
      </w:r>
      <w:bookmarkEnd w:id="53"/>
      <w:bookmarkEnd w:id="54"/>
      <w:proofErr w:type="spellEnd"/>
    </w:p>
    <w:p w14:paraId="52C202B2" w14:textId="117AAA67" w:rsidR="00AF1A96" w:rsidRPr="00AD7B00" w:rsidRDefault="00AF1A96" w:rsidP="00AF1A96">
      <w:pPr>
        <w:pStyle w:val="BodyA"/>
        <w:spacing w:line="480" w:lineRule="auto"/>
        <w:jc w:val="both"/>
        <w:rPr>
          <w:rFonts w:cstheme="minorHAnsi"/>
        </w:rPr>
      </w:pPr>
      <w:r w:rsidRPr="00AD7B00">
        <w:rPr>
          <w:rFonts w:cstheme="minorHAnsi"/>
          <w:lang w:val="en-US"/>
        </w:rPr>
        <w:t>There are only</w:t>
      </w:r>
      <w:r w:rsidR="00FF09D9">
        <w:rPr>
          <w:rFonts w:cstheme="minorHAnsi"/>
          <w:lang w:val="en-US"/>
        </w:rPr>
        <w:t xml:space="preserve"> a</w:t>
      </w:r>
      <w:r w:rsidRPr="00AD7B00">
        <w:rPr>
          <w:rFonts w:cstheme="minorHAnsi"/>
          <w:lang w:val="en-US"/>
        </w:rPr>
        <w:t xml:space="preserve"> few epidemiological studies conducted to assess the prevalence of painful </w:t>
      </w:r>
      <w:proofErr w:type="spellStart"/>
      <w:r w:rsidRPr="00AD7B00">
        <w:rPr>
          <w:rFonts w:cstheme="minorHAnsi"/>
          <w:lang w:val="en-US"/>
        </w:rPr>
        <w:t>DPN</w:t>
      </w:r>
      <w:proofErr w:type="spellEnd"/>
      <w:r w:rsidRPr="00AD7B00">
        <w:rPr>
          <w:rFonts w:cstheme="minorHAnsi"/>
          <w:lang w:val="en-US"/>
        </w:rPr>
        <w:t xml:space="preserve">. Painful </w:t>
      </w:r>
      <w:proofErr w:type="spellStart"/>
      <w:r w:rsidRPr="00AD7B00">
        <w:rPr>
          <w:rFonts w:cstheme="minorHAnsi"/>
          <w:lang w:val="en-US"/>
        </w:rPr>
        <w:t>DPN</w:t>
      </w:r>
      <w:proofErr w:type="spellEnd"/>
      <w:r w:rsidRPr="00AD7B00">
        <w:rPr>
          <w:rFonts w:cstheme="minorHAnsi"/>
          <w:lang w:val="en-US"/>
        </w:rPr>
        <w:t xml:space="preserve"> was found in 21% among 15692 diabetic patients attending community based health care in Northwest England </w:t>
      </w:r>
      <w:r w:rsidRPr="00AD7B00">
        <w:rPr>
          <w:rFonts w:cstheme="minorHAnsi"/>
          <w:lang w:val="en-US"/>
        </w:rPr>
        <w:fldChar w:fldCharType="begin"/>
      </w:r>
      <w:r w:rsidRPr="00AD7B00">
        <w:rPr>
          <w:rFonts w:cstheme="minorHAnsi"/>
          <w:lang w:val="en-US"/>
        </w:rPr>
        <w:instrText xml:space="preserve"> ADDIN EN.CITE &lt;EndNote&gt;&lt;Cite  &gt;&lt;Author&gt;Abbott&lt;/Author&gt;&lt;Year&gt;2011&lt;/Year&gt;&lt;RecNum&gt;65&lt;/RecNum&gt;&lt;DisplayText&gt;(Abbott et al., 2011)&lt;/DisplayText&gt;&lt;record&gt;&lt;keywords/&gt;&lt;isbn&gt;0149-5992&lt;/isbn&gt;&lt;titles&gt;&lt;title&gt;Prevalence and characteristics of painful diabetic neuropathy in a large community- based diabetic population in the U.K&lt;/title&gt;&lt;secondary-title&gt;Diabetes care&lt;/secondary-title&gt;&lt;/titles&gt;&lt;pages&gt;2220&lt;/pages&gt;&lt;number&gt;10&lt;/number&gt;&lt;contributors&gt;&lt;authors&gt;&lt;author&gt;Abbott, Caroline A.&lt;/author&gt;&lt;author&gt;Malik, Rayaz A.&lt;/author&gt;&lt;author&gt;Van Ross, Ernest R. E.&lt;/author&gt;&lt;author&gt;Kulkarni, Jai&lt;/author&gt;&lt;author&gt;Boulton, Andrew J. M.&lt;/author&gt;&lt;author&gt;van Ross, Ernest R. E.&lt;/author&gt;&lt;/authors&gt;&lt;/contributors&gt;&lt;added-date format="utc"&gt;1383237234&lt;/added-date&gt;&lt;ref-type name="Journal Article"&gt;17&lt;/ref-type&gt;&lt;dates&gt;&lt;year&gt;2011&lt;/year&gt;&lt;/dates&gt;&lt;rec-number&gt;65&lt;/rec-number&gt;&lt;last-updated-date format="utc"&gt;1383237440&lt;/last-updated-date&gt;&lt;electronic-resource-num&gt;10.2337/dc11-1108&lt;/electronic-resource-num&gt;&lt;volume&gt;34&lt;/volume&gt;&lt;/record&gt;&lt;/Cite&gt;&lt;/EndNote&gt;</w:instrText>
      </w:r>
      <w:r w:rsidRPr="00AD7B00">
        <w:rPr>
          <w:rFonts w:cstheme="minorHAnsi"/>
          <w:lang w:val="en-US"/>
        </w:rPr>
        <w:fldChar w:fldCharType="separate"/>
      </w:r>
      <w:r w:rsidRPr="00AD7B00">
        <w:rPr>
          <w:rFonts w:cstheme="minorHAnsi"/>
          <w:lang w:val="en-US"/>
        </w:rPr>
        <w:t>(Abbott et al., 2011)</w:t>
      </w:r>
      <w:r w:rsidRPr="00AD7B00">
        <w:rPr>
          <w:rFonts w:cstheme="minorHAnsi"/>
          <w:lang w:val="en-US"/>
        </w:rPr>
        <w:fldChar w:fldCharType="end"/>
      </w:r>
      <w:r w:rsidRPr="00AD7B00">
        <w:rPr>
          <w:rFonts w:cstheme="minorHAnsi"/>
          <w:lang w:val="en-US"/>
        </w:rPr>
        <w:t xml:space="preserve">. Similarly, in a population based study in an urban community a prevalence of 16% was noted </w:t>
      </w:r>
      <w:r w:rsidRPr="00AD7B00">
        <w:rPr>
          <w:rFonts w:cstheme="minorHAnsi"/>
          <w:lang w:val="en-US"/>
        </w:rPr>
        <w:fldChar w:fldCharType="begin"/>
      </w:r>
      <w:r w:rsidRPr="00AD7B00">
        <w:rPr>
          <w:rFonts w:cstheme="minorHAnsi"/>
          <w:lang w:val="en-US"/>
        </w:rPr>
        <w:instrText xml:space="preserve"> ADDIN EN.CITE &lt;EndNote&gt;&lt;Cite  &gt;&lt;Author&gt;Daousi&lt;/Author&gt;&lt;Year&gt;2004&lt;/Year&gt;&lt;RecNum&gt;310&lt;/RecNum&gt;&lt;DisplayText&gt;(Daousi et al., 2004)&lt;/DisplayText&gt;&lt;record&gt;&lt;keywords/&gt;&lt;isbn&gt;0742-3071&lt;/isbn&gt;&lt;titles&gt;&lt;title&gt;Chronic painful peripheral neuropathy in an urban community: a controlled comparison of people with and without diabetes&lt;/title&gt;&lt;secondary-title&gt;Diabetic medicine : a journal of the British Diabetic Association&lt;/secondary-title&gt;&lt;/titles&gt;&lt;pages&gt;976&lt;/pages&gt;&lt;number&gt;9&lt;/number&gt;&lt;contributors&gt;&lt;authors&gt;&lt;author&gt;Daousi, C.&lt;/author&gt;&lt;author&gt;Macfarlane, I. A.&lt;/author&gt;&lt;author&gt;Woodward, A.&lt;/author&gt;&lt;author&gt;Nurmikko, T. J.&lt;/author&gt;&lt;author&gt;Bundred, P. E.&lt;/author&gt;&lt;author&gt;Benbow, S. J.&lt;/author&gt;&lt;author&gt;MacFarlane, I. A.&lt;/author&gt;&lt;/authors&gt;&lt;/contributors&gt;&lt;added-date format="utc"&gt;1386460102&lt;/added-date&gt;&lt;ref-type name="Journal Article"&gt;17&lt;/ref-type&gt;&lt;dates&gt;&lt;year&gt;2004&lt;/year&gt;&lt;/dates&gt;&lt;rec-number&gt;310&lt;/rec-number&gt;&lt;last-updated-date format="utc"&gt;1386460102&lt;/last-updated-date&gt;&lt;volume&gt;21&lt;/volume&gt;&lt;/record&gt;&lt;/Cite&gt;&lt;/EndNote&gt;</w:instrText>
      </w:r>
      <w:r w:rsidRPr="00AD7B00">
        <w:rPr>
          <w:rFonts w:cstheme="minorHAnsi"/>
          <w:lang w:val="en-US"/>
        </w:rPr>
        <w:fldChar w:fldCharType="separate"/>
      </w:r>
      <w:r w:rsidRPr="00AD7B00">
        <w:rPr>
          <w:rFonts w:cstheme="minorHAnsi"/>
          <w:lang w:val="en-US"/>
        </w:rPr>
        <w:t>(Daousi et al., 2004)</w:t>
      </w:r>
      <w:r w:rsidRPr="00AD7B00">
        <w:rPr>
          <w:rFonts w:cstheme="minorHAnsi"/>
          <w:lang w:val="en-US"/>
        </w:rPr>
        <w:fldChar w:fldCharType="end"/>
      </w:r>
      <w:r w:rsidRPr="00AD7B00">
        <w:rPr>
          <w:rFonts w:cstheme="minorHAnsi"/>
          <w:lang w:val="en-US"/>
        </w:rPr>
        <w:t xml:space="preserve">. In their systematic literature review between 1966 and 2007, </w:t>
      </w:r>
      <w:proofErr w:type="spellStart"/>
      <w:r w:rsidRPr="00AD7B00">
        <w:rPr>
          <w:rFonts w:cstheme="minorHAnsi"/>
          <w:lang w:val="en-US"/>
        </w:rPr>
        <w:t>Veves</w:t>
      </w:r>
      <w:proofErr w:type="spellEnd"/>
      <w:r w:rsidRPr="00AD7B00">
        <w:rPr>
          <w:rFonts w:cstheme="minorHAnsi"/>
          <w:lang w:val="en-US"/>
        </w:rPr>
        <w:t xml:space="preserve"> et al. suggested the prevalence of painful </w:t>
      </w:r>
      <w:proofErr w:type="spellStart"/>
      <w:r w:rsidRPr="00AD7B00">
        <w:rPr>
          <w:rFonts w:cstheme="minorHAnsi"/>
          <w:lang w:val="en-US"/>
        </w:rPr>
        <w:t>DPN</w:t>
      </w:r>
      <w:proofErr w:type="spellEnd"/>
      <w:r w:rsidRPr="00AD7B00">
        <w:rPr>
          <w:rFonts w:cstheme="minorHAnsi"/>
          <w:lang w:val="en-US"/>
        </w:rPr>
        <w:t xml:space="preserve"> to be 10% - 20% in patients with diabetes and from 40% - 50% in those with </w:t>
      </w:r>
      <w:proofErr w:type="spellStart"/>
      <w:r w:rsidRPr="00AD7B00">
        <w:rPr>
          <w:rFonts w:cstheme="minorHAnsi"/>
          <w:lang w:val="en-US"/>
        </w:rPr>
        <w:t>DPN</w:t>
      </w:r>
      <w:proofErr w:type="spellEnd"/>
      <w:r w:rsidRPr="00AD7B00">
        <w:rPr>
          <w:rFonts w:cstheme="minorHAnsi"/>
          <w:lang w:val="en-US"/>
        </w:rPr>
        <w:t xml:space="preserve"> </w:t>
      </w:r>
      <w:r w:rsidRPr="00AD7B00">
        <w:rPr>
          <w:rFonts w:cstheme="minorHAnsi"/>
          <w:lang w:val="fr-FR"/>
        </w:rPr>
        <w:fldChar w:fldCharType="begin"/>
      </w:r>
      <w:r w:rsidRPr="005B5764">
        <w:rPr>
          <w:rFonts w:cstheme="minorHAnsi"/>
        </w:rPr>
        <w:instrText xml:space="preserve"> ADDIN EN.CITE &lt;EndNote&gt;&lt;Cite  &gt;&lt;Author&gt;Veves&lt;/Author&gt;&lt;Year&gt;2008&lt;/Year&gt;&lt;RecNum&gt;359&lt;/RecNum&gt;&lt;DisplayText&gt;(Veves et al., 2008)&lt;/DisplayText&gt;&lt;record&gt;&lt;keywords/&gt;&lt;titles&gt;&lt;title&gt;Painful diabetic neuropathy: epidemiology, natural history, early diagnosis, and treatment options&lt;/title&gt;&lt;secondary-title&gt;Pain medicine (Malden, Mass.)&lt;/secondary-title&gt;&lt;/titles&gt;&lt;pages&gt;660&lt;/pages&gt;&lt;number&gt;6&lt;/number&gt;&lt;contributors&gt;&lt;authors&gt;&lt;author&gt;Veves, Aristidis&lt;/author&gt;&lt;author&gt;Backonja, Miroslav&lt;/author&gt;&lt;author&gt;Malik, Rayaz A.&lt;/author&gt;&lt;/authors&gt;&lt;/contributors&gt;&lt;added-date format="utc"&gt;1387374518&lt;/added-date&gt;&lt;ref-type name="Journal Article"&gt;17&lt;/ref-type&gt;&lt;dates&gt;&lt;year&gt;2008&lt;/year&gt;&lt;/dates&gt;&lt;rec-number&gt;359&lt;/rec-number&gt;&lt;last-updated-date format="utc"&gt;1387374518&lt;/last-updated-date&gt;&lt;volume&gt;9&lt;/volume&gt;&lt;/record&gt;&lt;/Cite&gt;&lt;/EndNote&gt;</w:instrText>
      </w:r>
      <w:r w:rsidRPr="00AD7B00">
        <w:rPr>
          <w:rFonts w:cstheme="minorHAnsi"/>
          <w:lang w:val="fr-FR"/>
        </w:rPr>
        <w:fldChar w:fldCharType="separate"/>
      </w:r>
      <w:r w:rsidRPr="005B5764">
        <w:rPr>
          <w:rFonts w:cstheme="minorHAnsi"/>
        </w:rPr>
        <w:t>(Veves et al., 2008)</w:t>
      </w:r>
      <w:r w:rsidRPr="00AD7B00">
        <w:rPr>
          <w:rFonts w:cstheme="minorHAnsi"/>
          <w:lang w:val="fr-FR"/>
        </w:rPr>
        <w:fldChar w:fldCharType="end"/>
      </w:r>
      <w:r w:rsidRPr="00AD7B00">
        <w:rPr>
          <w:rFonts w:cstheme="minorHAnsi"/>
        </w:rPr>
        <w:t>.</w:t>
      </w:r>
    </w:p>
    <w:p w14:paraId="77EE57E1" w14:textId="77777777" w:rsidR="00AF1A96" w:rsidRPr="00AD7B00" w:rsidRDefault="00AF1A96" w:rsidP="00AF1A96">
      <w:pPr>
        <w:pStyle w:val="Heading3"/>
        <w:spacing w:line="480" w:lineRule="auto"/>
        <w:rPr>
          <w:rFonts w:cstheme="minorHAnsi"/>
          <w:sz w:val="24"/>
          <w:szCs w:val="24"/>
        </w:rPr>
      </w:pPr>
      <w:bookmarkStart w:id="55" w:name="_Toc15"/>
      <w:bookmarkStart w:id="56" w:name="_Toc6093004"/>
      <w:r w:rsidRPr="00AD7B00">
        <w:rPr>
          <w:rFonts w:cstheme="minorHAnsi"/>
          <w:sz w:val="24"/>
          <w:szCs w:val="24"/>
          <w:lang w:val="en-US"/>
        </w:rPr>
        <w:t xml:space="preserve">1.2.2 Pathogenesis of Painful </w:t>
      </w:r>
      <w:proofErr w:type="spellStart"/>
      <w:r w:rsidRPr="00AD7B00">
        <w:rPr>
          <w:rFonts w:cstheme="minorHAnsi"/>
          <w:sz w:val="24"/>
          <w:szCs w:val="24"/>
          <w:lang w:val="en-US"/>
        </w:rPr>
        <w:t>DPN</w:t>
      </w:r>
      <w:bookmarkEnd w:id="55"/>
      <w:bookmarkEnd w:id="56"/>
      <w:proofErr w:type="spellEnd"/>
    </w:p>
    <w:p w14:paraId="0DAE3E30" w14:textId="53605EB3" w:rsidR="00AF1A96" w:rsidRDefault="00AF1A96" w:rsidP="00AF1A96">
      <w:pPr>
        <w:pStyle w:val="BodyA"/>
        <w:spacing w:line="480" w:lineRule="auto"/>
        <w:jc w:val="both"/>
        <w:rPr>
          <w:rFonts w:cstheme="minorHAnsi"/>
          <w:lang w:val="en-US"/>
        </w:rPr>
      </w:pPr>
      <w:r w:rsidRPr="00AD7B00">
        <w:rPr>
          <w:rFonts w:cstheme="minorHAnsi"/>
          <w:lang w:val="en-US"/>
        </w:rPr>
        <w:t xml:space="preserve">The precise mechanisms leading to the development of pain in </w:t>
      </w:r>
      <w:proofErr w:type="spellStart"/>
      <w:r w:rsidRPr="00AD7B00">
        <w:rPr>
          <w:rFonts w:cstheme="minorHAnsi"/>
          <w:lang w:val="en-US"/>
        </w:rPr>
        <w:t>DPN</w:t>
      </w:r>
      <w:proofErr w:type="spellEnd"/>
      <w:r w:rsidRPr="00AD7B00">
        <w:rPr>
          <w:rFonts w:cstheme="minorHAnsi"/>
          <w:lang w:val="en-US"/>
        </w:rPr>
        <w:t xml:space="preserve"> still remain unknown. Several mechanisms starting from altered ion channel function in the peripheral nerve, to spinal enhancement and central </w:t>
      </w:r>
      <w:proofErr w:type="spellStart"/>
      <w:r w:rsidRPr="00AD7B00">
        <w:rPr>
          <w:rFonts w:cstheme="minorHAnsi"/>
          <w:lang w:val="en-US"/>
        </w:rPr>
        <w:t>sensitisation</w:t>
      </w:r>
      <w:proofErr w:type="spellEnd"/>
      <w:r w:rsidRPr="00AD7B00">
        <w:rPr>
          <w:rFonts w:cstheme="minorHAnsi"/>
          <w:lang w:val="en-US"/>
        </w:rPr>
        <w:t xml:space="preserve"> have been postulated. The table 1.5 below </w:t>
      </w:r>
      <w:proofErr w:type="spellStart"/>
      <w:r w:rsidRPr="00AD7B00">
        <w:rPr>
          <w:rFonts w:cstheme="minorHAnsi"/>
          <w:lang w:val="en-US"/>
        </w:rPr>
        <w:t>summarises</w:t>
      </w:r>
      <w:proofErr w:type="spellEnd"/>
      <w:r w:rsidRPr="00AD7B00">
        <w:rPr>
          <w:rFonts w:cstheme="minorHAnsi"/>
          <w:lang w:val="en-US"/>
        </w:rPr>
        <w:t xml:space="preserve"> the main peripheral and central factors which might lead to painful </w:t>
      </w:r>
      <w:proofErr w:type="spellStart"/>
      <w:r w:rsidRPr="00AD7B00">
        <w:rPr>
          <w:rFonts w:cstheme="minorHAnsi"/>
          <w:lang w:val="en-US"/>
        </w:rPr>
        <w:t>DPN</w:t>
      </w:r>
      <w:proofErr w:type="spellEnd"/>
      <w:r w:rsidRPr="00AD7B00">
        <w:rPr>
          <w:rFonts w:cstheme="minorHAnsi"/>
          <w:lang w:val="en-US"/>
        </w:rPr>
        <w:t>. We have discussed few of these factors in detail below.</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8990"/>
      </w:tblGrid>
      <w:tr w:rsidR="001C5C6C" w:rsidRPr="001C5C6C" w14:paraId="6BB8AA65" w14:textId="77777777" w:rsidTr="003C5716">
        <w:tc>
          <w:tcPr>
            <w:tcW w:w="5000" w:type="pct"/>
            <w:tcBorders>
              <w:top w:val="single" w:sz="12" w:space="0" w:color="auto"/>
              <w:left w:val="single" w:sz="12" w:space="0" w:color="auto"/>
              <w:bottom w:val="single" w:sz="12" w:space="0" w:color="auto"/>
              <w:right w:val="single" w:sz="12" w:space="0" w:color="auto"/>
            </w:tcBorders>
            <w:shd w:val="clear" w:color="auto" w:fill="CCCCCC"/>
          </w:tcPr>
          <w:p w14:paraId="1CDE616A" w14:textId="77777777" w:rsidR="001C5C6C" w:rsidRPr="001C5C6C" w:rsidRDefault="001C5C6C" w:rsidP="004E68BB">
            <w:pPr>
              <w:spacing w:line="360" w:lineRule="auto"/>
              <w:jc w:val="both"/>
              <w:rPr>
                <w:rFonts w:cs="Arial"/>
                <w:b/>
              </w:rPr>
            </w:pPr>
          </w:p>
          <w:p w14:paraId="1A4BDF0D" w14:textId="77777777" w:rsidR="001C5C6C" w:rsidRPr="001C5C6C" w:rsidRDefault="001C5C6C" w:rsidP="004E68BB">
            <w:pPr>
              <w:spacing w:line="360" w:lineRule="auto"/>
              <w:jc w:val="both"/>
              <w:rPr>
                <w:rFonts w:cs="Arial"/>
                <w:b/>
              </w:rPr>
            </w:pPr>
            <w:r w:rsidRPr="001C5C6C">
              <w:rPr>
                <w:rFonts w:cs="Arial"/>
                <w:b/>
              </w:rPr>
              <w:t xml:space="preserve">Table 1.5 Mechanism of Neuropathic Pain </w:t>
            </w:r>
            <w:r w:rsidRPr="001C5C6C">
              <w:rPr>
                <w:rFonts w:cs="Arial"/>
                <w:bCs/>
              </w:rPr>
              <w:t>(adapted</w:t>
            </w:r>
            <w:r w:rsidRPr="001C5C6C">
              <w:rPr>
                <w:rFonts w:cs="Arial"/>
              </w:rPr>
              <w:t xml:space="preserve"> from </w:t>
            </w:r>
            <w:r w:rsidRPr="001C5C6C">
              <w:rPr>
                <w:rFonts w:cs="Arial"/>
              </w:rPr>
              <w:fldChar w:fldCharType="begin"/>
            </w:r>
            <w:r w:rsidRPr="001C5C6C">
              <w:rPr>
                <w:rFonts w:cs="Arial"/>
              </w:rPr>
              <w:instrText xml:space="preserve"> ADDIN EN.CITE &lt;EndNote&gt;&lt;Cite&gt;&lt;Author&gt;Tesfaye&lt;/Author&gt;&lt;Year&gt;2005&lt;/Year&gt;&lt;IDText&gt;Painful diabetic neuropathy&lt;/IDText&gt;&lt;DisplayText&gt;(Tesfaye and Kempler, 2005)&lt;/DisplayText&gt;&lt;record&gt;&lt;keywords&gt;&lt;/keywords&gt;&lt;isbn&gt;0012-186X&lt;/isbn&gt;&lt;titles&gt;&lt;title&gt;Painful diabetic neuropathy&lt;/title&gt;&lt;secondary-title&gt;Diabetologia&lt;/secondary-title&gt;&lt;/titles&gt;&lt;pages&gt;805&lt;/pages&gt;&lt;number&gt;5&lt;/number&gt;&lt;contributors&gt;&lt;authors&gt;&lt;author&gt;Tesfaye, S.&lt;/author&gt;&lt;author&gt;Kempler, P.&lt;/author&gt;&lt;/authors&gt;&lt;/contributors&gt;&lt;added-date format="utc"&gt;1386269344&lt;/added-date&gt;&lt;ref-type name="Journal Article"&gt;17&lt;/ref-type&gt;&lt;dates&gt;&lt;year&gt;2005&lt;/year&gt;&lt;/dates&gt;&lt;rec-number&gt;285&lt;/rec-number&gt;&lt;last-updated-date format="utc"&gt;1386269344&lt;/last-updated-date&gt;&lt;volume&gt;48&lt;/volume&gt;&lt;/record&gt;&lt;/Cite&gt;&lt;/EndNote&gt;</w:instrText>
            </w:r>
            <w:r w:rsidRPr="001C5C6C">
              <w:rPr>
                <w:rFonts w:cs="Arial"/>
              </w:rPr>
              <w:fldChar w:fldCharType="separate"/>
            </w:r>
            <w:r w:rsidRPr="001C5C6C">
              <w:rPr>
                <w:rFonts w:cs="Arial"/>
                <w:noProof/>
              </w:rPr>
              <w:t>(Tesfaye and Kempler, 2005)</w:t>
            </w:r>
            <w:r w:rsidRPr="001C5C6C">
              <w:rPr>
                <w:rFonts w:cs="Arial"/>
              </w:rPr>
              <w:fldChar w:fldCharType="end"/>
            </w:r>
          </w:p>
        </w:tc>
      </w:tr>
      <w:tr w:rsidR="001C5C6C" w:rsidRPr="001C5C6C" w14:paraId="5F2FAB51" w14:textId="77777777" w:rsidTr="003C5716">
        <w:tc>
          <w:tcPr>
            <w:tcW w:w="5000" w:type="pct"/>
            <w:tcBorders>
              <w:top w:val="single" w:sz="12" w:space="0" w:color="auto"/>
              <w:left w:val="single" w:sz="12" w:space="0" w:color="auto"/>
              <w:bottom w:val="nil"/>
              <w:right w:val="single" w:sz="12" w:space="0" w:color="auto"/>
            </w:tcBorders>
            <w:shd w:val="clear" w:color="auto" w:fill="CCCCCC"/>
          </w:tcPr>
          <w:p w14:paraId="266DD922" w14:textId="77777777" w:rsidR="001C5C6C" w:rsidRPr="001C5C6C" w:rsidRDefault="001C5C6C" w:rsidP="004E68BB">
            <w:pPr>
              <w:spacing w:line="480" w:lineRule="auto"/>
              <w:jc w:val="both"/>
              <w:rPr>
                <w:rFonts w:cs="Arial"/>
                <w:b/>
              </w:rPr>
            </w:pPr>
            <w:r w:rsidRPr="001C5C6C">
              <w:rPr>
                <w:rFonts w:cs="Arial"/>
                <w:b/>
              </w:rPr>
              <w:t>1) Peripheral Mechanisms</w:t>
            </w:r>
          </w:p>
        </w:tc>
      </w:tr>
      <w:tr w:rsidR="001C5C6C" w:rsidRPr="001C5C6C" w14:paraId="2CA44005" w14:textId="77777777" w:rsidTr="003C5716">
        <w:tc>
          <w:tcPr>
            <w:tcW w:w="5000" w:type="pct"/>
            <w:tcBorders>
              <w:top w:val="nil"/>
              <w:left w:val="single" w:sz="12" w:space="0" w:color="auto"/>
              <w:bottom w:val="nil"/>
              <w:right w:val="single" w:sz="12" w:space="0" w:color="auto"/>
            </w:tcBorders>
            <w:shd w:val="clear" w:color="auto" w:fill="CCCCCC"/>
          </w:tcPr>
          <w:p w14:paraId="42CC2495" w14:textId="77777777" w:rsidR="001C5C6C" w:rsidRPr="001C5C6C" w:rsidRDefault="001C5C6C" w:rsidP="004E68BB">
            <w:pPr>
              <w:spacing w:line="480" w:lineRule="auto"/>
              <w:jc w:val="both"/>
              <w:rPr>
                <w:rFonts w:cs="Arial"/>
              </w:rPr>
            </w:pPr>
            <w:r w:rsidRPr="001C5C6C">
              <w:rPr>
                <w:rFonts w:cs="Arial"/>
              </w:rPr>
              <w:t>a) Changes in sodium channel expression and distribution</w:t>
            </w:r>
          </w:p>
        </w:tc>
      </w:tr>
      <w:tr w:rsidR="001C5C6C" w:rsidRPr="001C5C6C" w14:paraId="0461AF70" w14:textId="77777777" w:rsidTr="003C5716">
        <w:tc>
          <w:tcPr>
            <w:tcW w:w="5000" w:type="pct"/>
            <w:tcBorders>
              <w:top w:val="nil"/>
              <w:left w:val="single" w:sz="12" w:space="0" w:color="auto"/>
              <w:bottom w:val="nil"/>
              <w:right w:val="single" w:sz="12" w:space="0" w:color="auto"/>
            </w:tcBorders>
            <w:shd w:val="clear" w:color="auto" w:fill="CCCCCC"/>
          </w:tcPr>
          <w:p w14:paraId="3438DC21" w14:textId="77777777" w:rsidR="001C5C6C" w:rsidRPr="001C5C6C" w:rsidRDefault="001C5C6C" w:rsidP="004E68BB">
            <w:pPr>
              <w:spacing w:line="480" w:lineRule="auto"/>
              <w:jc w:val="both"/>
              <w:rPr>
                <w:rFonts w:cs="Arial"/>
              </w:rPr>
            </w:pPr>
            <w:r w:rsidRPr="001C5C6C">
              <w:rPr>
                <w:rFonts w:cs="Arial"/>
              </w:rPr>
              <w:t>b) Changes in Calcium channel expression and distribution</w:t>
            </w:r>
          </w:p>
        </w:tc>
      </w:tr>
      <w:tr w:rsidR="001C5C6C" w:rsidRPr="001C5C6C" w14:paraId="77A31292" w14:textId="77777777" w:rsidTr="003C5716">
        <w:tc>
          <w:tcPr>
            <w:tcW w:w="5000" w:type="pct"/>
            <w:tcBorders>
              <w:top w:val="nil"/>
              <w:left w:val="single" w:sz="12" w:space="0" w:color="auto"/>
              <w:bottom w:val="nil"/>
              <w:right w:val="single" w:sz="12" w:space="0" w:color="auto"/>
            </w:tcBorders>
            <w:shd w:val="clear" w:color="auto" w:fill="CCCCCC"/>
          </w:tcPr>
          <w:p w14:paraId="3294202C" w14:textId="77777777" w:rsidR="001C5C6C" w:rsidRPr="001C5C6C" w:rsidRDefault="001C5C6C" w:rsidP="004E68BB">
            <w:pPr>
              <w:spacing w:line="480" w:lineRule="auto"/>
              <w:jc w:val="both"/>
              <w:rPr>
                <w:rFonts w:cs="Arial"/>
              </w:rPr>
            </w:pPr>
            <w:r w:rsidRPr="001C5C6C">
              <w:rPr>
                <w:rFonts w:cs="Arial"/>
              </w:rPr>
              <w:t>c) Altered neuropeptide expression</w:t>
            </w:r>
          </w:p>
        </w:tc>
      </w:tr>
      <w:tr w:rsidR="001C5C6C" w:rsidRPr="001C5C6C" w14:paraId="63337572" w14:textId="77777777" w:rsidTr="003C5716">
        <w:tc>
          <w:tcPr>
            <w:tcW w:w="5000" w:type="pct"/>
            <w:tcBorders>
              <w:top w:val="nil"/>
              <w:left w:val="single" w:sz="12" w:space="0" w:color="auto"/>
              <w:bottom w:val="nil"/>
              <w:right w:val="single" w:sz="12" w:space="0" w:color="auto"/>
            </w:tcBorders>
            <w:shd w:val="clear" w:color="auto" w:fill="CCCCCC"/>
          </w:tcPr>
          <w:p w14:paraId="460C5C08" w14:textId="77777777" w:rsidR="001C5C6C" w:rsidRPr="001C5C6C" w:rsidRDefault="001C5C6C" w:rsidP="004E68BB">
            <w:pPr>
              <w:spacing w:line="480" w:lineRule="auto"/>
              <w:jc w:val="both"/>
              <w:rPr>
                <w:rFonts w:cs="Arial"/>
              </w:rPr>
            </w:pPr>
            <w:r w:rsidRPr="001C5C6C">
              <w:rPr>
                <w:rFonts w:cs="Arial"/>
              </w:rPr>
              <w:lastRenderedPageBreak/>
              <w:t>d) Sympathetic sprouting</w:t>
            </w:r>
          </w:p>
        </w:tc>
      </w:tr>
      <w:tr w:rsidR="001C5C6C" w:rsidRPr="001C5C6C" w14:paraId="16CA2AA7" w14:textId="77777777" w:rsidTr="003C5716">
        <w:tc>
          <w:tcPr>
            <w:tcW w:w="5000" w:type="pct"/>
            <w:tcBorders>
              <w:top w:val="nil"/>
              <w:left w:val="single" w:sz="12" w:space="0" w:color="auto"/>
              <w:bottom w:val="nil"/>
              <w:right w:val="single" w:sz="12" w:space="0" w:color="auto"/>
            </w:tcBorders>
            <w:shd w:val="clear" w:color="auto" w:fill="CCCCCC"/>
          </w:tcPr>
          <w:p w14:paraId="482D8EC0" w14:textId="77777777" w:rsidR="001C5C6C" w:rsidRPr="001C5C6C" w:rsidRDefault="001C5C6C" w:rsidP="004E68BB">
            <w:pPr>
              <w:spacing w:line="480" w:lineRule="auto"/>
              <w:jc w:val="both"/>
              <w:rPr>
                <w:rFonts w:cs="Arial"/>
              </w:rPr>
            </w:pPr>
            <w:r w:rsidRPr="001C5C6C">
              <w:rPr>
                <w:rFonts w:cs="Arial"/>
              </w:rPr>
              <w:t>e) Loss of spinal Inhibition</w:t>
            </w:r>
          </w:p>
        </w:tc>
      </w:tr>
      <w:tr w:rsidR="001C5C6C" w:rsidRPr="001C5C6C" w14:paraId="0EA9B766" w14:textId="77777777" w:rsidTr="003C5716">
        <w:tc>
          <w:tcPr>
            <w:tcW w:w="5000" w:type="pct"/>
            <w:tcBorders>
              <w:top w:val="nil"/>
              <w:left w:val="single" w:sz="12" w:space="0" w:color="auto"/>
              <w:bottom w:val="nil"/>
              <w:right w:val="single" w:sz="12" w:space="0" w:color="auto"/>
            </w:tcBorders>
            <w:shd w:val="clear" w:color="auto" w:fill="CCCCCC"/>
          </w:tcPr>
          <w:p w14:paraId="64D30668" w14:textId="77777777" w:rsidR="001C5C6C" w:rsidRPr="001C5C6C" w:rsidRDefault="001C5C6C" w:rsidP="004E68BB">
            <w:pPr>
              <w:spacing w:line="480" w:lineRule="auto"/>
              <w:jc w:val="both"/>
              <w:rPr>
                <w:rFonts w:cs="Arial"/>
              </w:rPr>
            </w:pPr>
            <w:r w:rsidRPr="001C5C6C">
              <w:rPr>
                <w:rFonts w:cs="Arial"/>
              </w:rPr>
              <w:t>f) Altered peripheral blood flow</w:t>
            </w:r>
          </w:p>
        </w:tc>
      </w:tr>
      <w:tr w:rsidR="001C5C6C" w:rsidRPr="001C5C6C" w14:paraId="759EFC19" w14:textId="77777777" w:rsidTr="003C5716">
        <w:tc>
          <w:tcPr>
            <w:tcW w:w="5000" w:type="pct"/>
            <w:tcBorders>
              <w:top w:val="nil"/>
              <w:left w:val="single" w:sz="12" w:space="0" w:color="auto"/>
              <w:bottom w:val="nil"/>
              <w:right w:val="single" w:sz="12" w:space="0" w:color="auto"/>
            </w:tcBorders>
            <w:shd w:val="clear" w:color="auto" w:fill="CCCCCC"/>
          </w:tcPr>
          <w:p w14:paraId="1FED81F3" w14:textId="77777777" w:rsidR="001C5C6C" w:rsidRPr="001C5C6C" w:rsidRDefault="001C5C6C" w:rsidP="004E68BB">
            <w:pPr>
              <w:spacing w:line="480" w:lineRule="auto"/>
              <w:jc w:val="both"/>
              <w:rPr>
                <w:rFonts w:cs="Arial"/>
              </w:rPr>
            </w:pPr>
            <w:r w:rsidRPr="001C5C6C">
              <w:rPr>
                <w:rFonts w:cs="Arial"/>
              </w:rPr>
              <w:t>g) Axonal atrophy, degeneration or regeneration</w:t>
            </w:r>
          </w:p>
        </w:tc>
      </w:tr>
      <w:tr w:rsidR="001C5C6C" w:rsidRPr="001C5C6C" w14:paraId="2ABA5D71" w14:textId="77777777" w:rsidTr="003C5716">
        <w:tc>
          <w:tcPr>
            <w:tcW w:w="5000" w:type="pct"/>
            <w:tcBorders>
              <w:top w:val="nil"/>
              <w:left w:val="single" w:sz="12" w:space="0" w:color="auto"/>
              <w:bottom w:val="nil"/>
              <w:right w:val="single" w:sz="12" w:space="0" w:color="auto"/>
            </w:tcBorders>
            <w:shd w:val="clear" w:color="auto" w:fill="CCCCCC"/>
          </w:tcPr>
          <w:p w14:paraId="6F3A4D74" w14:textId="77777777" w:rsidR="001C5C6C" w:rsidRPr="001C5C6C" w:rsidRDefault="001C5C6C" w:rsidP="004E68BB">
            <w:pPr>
              <w:spacing w:line="480" w:lineRule="auto"/>
              <w:jc w:val="both"/>
              <w:rPr>
                <w:rFonts w:cs="Arial"/>
              </w:rPr>
            </w:pPr>
            <w:r w:rsidRPr="001C5C6C">
              <w:rPr>
                <w:rFonts w:cs="Arial"/>
              </w:rPr>
              <w:t>h) Small fibre damage</w:t>
            </w:r>
          </w:p>
        </w:tc>
      </w:tr>
      <w:tr w:rsidR="001C5C6C" w:rsidRPr="001C5C6C" w14:paraId="65F4B1C6" w14:textId="77777777" w:rsidTr="003C5716">
        <w:tc>
          <w:tcPr>
            <w:tcW w:w="5000" w:type="pct"/>
            <w:tcBorders>
              <w:top w:val="nil"/>
              <w:left w:val="single" w:sz="12" w:space="0" w:color="auto"/>
              <w:bottom w:val="nil"/>
              <w:right w:val="single" w:sz="12" w:space="0" w:color="auto"/>
            </w:tcBorders>
            <w:shd w:val="clear" w:color="auto" w:fill="CCCCCC"/>
          </w:tcPr>
          <w:p w14:paraId="4A9F8D18" w14:textId="77777777" w:rsidR="001C5C6C" w:rsidRPr="001C5C6C" w:rsidRDefault="001C5C6C" w:rsidP="004E68BB">
            <w:pPr>
              <w:spacing w:line="480" w:lineRule="auto"/>
              <w:jc w:val="both"/>
              <w:rPr>
                <w:rFonts w:cs="Arial"/>
              </w:rPr>
            </w:pPr>
            <w:proofErr w:type="spellStart"/>
            <w:r w:rsidRPr="001C5C6C">
              <w:rPr>
                <w:rFonts w:cs="Arial"/>
              </w:rPr>
              <w:t>i</w:t>
            </w:r>
            <w:proofErr w:type="spellEnd"/>
            <w:r w:rsidRPr="001C5C6C">
              <w:rPr>
                <w:rFonts w:cs="Arial"/>
              </w:rPr>
              <w:t>) Increased glycaemic flux</w:t>
            </w:r>
          </w:p>
        </w:tc>
      </w:tr>
      <w:tr w:rsidR="001C5C6C" w:rsidRPr="001C5C6C" w14:paraId="111D2814" w14:textId="77777777" w:rsidTr="003C5716">
        <w:tc>
          <w:tcPr>
            <w:tcW w:w="5000" w:type="pct"/>
            <w:tcBorders>
              <w:top w:val="nil"/>
              <w:left w:val="single" w:sz="12" w:space="0" w:color="auto"/>
              <w:bottom w:val="nil"/>
              <w:right w:val="single" w:sz="12" w:space="0" w:color="auto"/>
            </w:tcBorders>
            <w:shd w:val="clear" w:color="auto" w:fill="CCCCCC"/>
          </w:tcPr>
          <w:p w14:paraId="7754F3E2" w14:textId="77777777" w:rsidR="001C5C6C" w:rsidRPr="001C5C6C" w:rsidRDefault="001C5C6C" w:rsidP="004E68BB">
            <w:pPr>
              <w:spacing w:line="480" w:lineRule="auto"/>
              <w:jc w:val="both"/>
              <w:rPr>
                <w:rFonts w:cs="Arial"/>
                <w:b/>
              </w:rPr>
            </w:pPr>
            <w:r w:rsidRPr="001C5C6C">
              <w:rPr>
                <w:rFonts w:cs="Arial"/>
                <w:b/>
              </w:rPr>
              <w:t>2) Central Mechanisms</w:t>
            </w:r>
          </w:p>
        </w:tc>
      </w:tr>
      <w:tr w:rsidR="001C5C6C" w:rsidRPr="001C5C6C" w14:paraId="15A0BB13" w14:textId="77777777" w:rsidTr="003C5716">
        <w:tc>
          <w:tcPr>
            <w:tcW w:w="5000" w:type="pct"/>
            <w:tcBorders>
              <w:top w:val="nil"/>
              <w:left w:val="single" w:sz="12" w:space="0" w:color="auto"/>
              <w:bottom w:val="nil"/>
              <w:right w:val="single" w:sz="12" w:space="0" w:color="auto"/>
            </w:tcBorders>
            <w:shd w:val="clear" w:color="auto" w:fill="CCCCCC"/>
          </w:tcPr>
          <w:p w14:paraId="26974E39" w14:textId="77777777" w:rsidR="001C5C6C" w:rsidRPr="001C5C6C" w:rsidRDefault="001C5C6C" w:rsidP="004E68BB">
            <w:pPr>
              <w:spacing w:line="480" w:lineRule="auto"/>
              <w:jc w:val="both"/>
              <w:rPr>
                <w:rFonts w:cs="Arial"/>
              </w:rPr>
            </w:pPr>
            <w:r w:rsidRPr="001C5C6C">
              <w:rPr>
                <w:rFonts w:cs="Arial"/>
              </w:rPr>
              <w:t>a) Central sensitization</w:t>
            </w:r>
          </w:p>
        </w:tc>
      </w:tr>
      <w:tr w:rsidR="001C5C6C" w:rsidRPr="001C5C6C" w14:paraId="69214607" w14:textId="77777777" w:rsidTr="003C5716">
        <w:tc>
          <w:tcPr>
            <w:tcW w:w="5000" w:type="pct"/>
            <w:tcBorders>
              <w:top w:val="nil"/>
              <w:left w:val="single" w:sz="12" w:space="0" w:color="auto"/>
              <w:bottom w:val="nil"/>
              <w:right w:val="single" w:sz="12" w:space="0" w:color="auto"/>
            </w:tcBorders>
            <w:shd w:val="clear" w:color="auto" w:fill="CCCCCC"/>
          </w:tcPr>
          <w:p w14:paraId="52357DA0" w14:textId="77777777" w:rsidR="001C5C6C" w:rsidRPr="001C5C6C" w:rsidRDefault="001C5C6C" w:rsidP="004E68BB">
            <w:pPr>
              <w:spacing w:line="480" w:lineRule="auto"/>
              <w:jc w:val="both"/>
              <w:rPr>
                <w:rFonts w:cs="Arial"/>
              </w:rPr>
            </w:pPr>
            <w:r w:rsidRPr="001C5C6C">
              <w:rPr>
                <w:rFonts w:cs="Arial"/>
              </w:rPr>
              <w:t>b) Change in the balance of facilitation/inhibition within descending pathways</w:t>
            </w:r>
          </w:p>
        </w:tc>
      </w:tr>
      <w:tr w:rsidR="001C5C6C" w:rsidRPr="001C5C6C" w14:paraId="5980D294" w14:textId="77777777" w:rsidTr="003C5716">
        <w:tc>
          <w:tcPr>
            <w:tcW w:w="5000" w:type="pct"/>
            <w:tcBorders>
              <w:top w:val="nil"/>
              <w:left w:val="single" w:sz="12" w:space="0" w:color="auto"/>
              <w:bottom w:val="single" w:sz="12" w:space="0" w:color="auto"/>
              <w:right w:val="single" w:sz="12" w:space="0" w:color="auto"/>
            </w:tcBorders>
            <w:shd w:val="clear" w:color="auto" w:fill="CCCCCC"/>
          </w:tcPr>
          <w:p w14:paraId="3C8871C1" w14:textId="77777777" w:rsidR="001C5C6C" w:rsidRPr="001C5C6C" w:rsidRDefault="001C5C6C" w:rsidP="004E68BB">
            <w:pPr>
              <w:spacing w:line="480" w:lineRule="auto"/>
              <w:jc w:val="both"/>
              <w:rPr>
                <w:rFonts w:cs="Arial"/>
              </w:rPr>
            </w:pPr>
            <w:r w:rsidRPr="001C5C6C">
              <w:rPr>
                <w:rFonts w:cs="Arial"/>
              </w:rPr>
              <w:t>c) Increased thalamic vascularity</w:t>
            </w:r>
          </w:p>
        </w:tc>
      </w:tr>
    </w:tbl>
    <w:p w14:paraId="45927CDF" w14:textId="77777777" w:rsidR="0087726B" w:rsidRDefault="0087726B" w:rsidP="00AF1A96">
      <w:pPr>
        <w:pStyle w:val="Heading4"/>
        <w:rPr>
          <w:rFonts w:ascii="Cambria" w:hAnsi="Cambria" w:cstheme="minorHAnsi"/>
          <w:sz w:val="24"/>
          <w:szCs w:val="24"/>
        </w:rPr>
      </w:pPr>
      <w:bookmarkStart w:id="57" w:name="_Toc16"/>
    </w:p>
    <w:p w14:paraId="6AF8E6D2" w14:textId="37FED086" w:rsidR="00AF1A96" w:rsidRPr="00AD7B00" w:rsidRDefault="00AF1A96" w:rsidP="00AF1A96">
      <w:pPr>
        <w:pStyle w:val="Heading4"/>
        <w:rPr>
          <w:rFonts w:ascii="Cambria" w:hAnsi="Cambria" w:cstheme="minorHAnsi"/>
          <w:sz w:val="24"/>
          <w:szCs w:val="24"/>
        </w:rPr>
      </w:pPr>
      <w:r w:rsidRPr="00AD7B00">
        <w:rPr>
          <w:rFonts w:ascii="Cambria" w:hAnsi="Cambria" w:cstheme="minorHAnsi"/>
          <w:sz w:val="24"/>
          <w:szCs w:val="24"/>
        </w:rPr>
        <w:t xml:space="preserve">1.2.2.1 Peripheral Factors in Generation of Painful </w:t>
      </w:r>
      <w:proofErr w:type="spellStart"/>
      <w:r w:rsidRPr="00AD7B00">
        <w:rPr>
          <w:rFonts w:ascii="Cambria" w:hAnsi="Cambria" w:cstheme="minorHAnsi"/>
          <w:sz w:val="24"/>
          <w:szCs w:val="24"/>
        </w:rPr>
        <w:t>DPN</w:t>
      </w:r>
      <w:bookmarkEnd w:id="57"/>
      <w:proofErr w:type="spellEnd"/>
    </w:p>
    <w:p w14:paraId="69BC0810" w14:textId="77777777" w:rsidR="00AF1A96" w:rsidRPr="00AD7B00" w:rsidRDefault="00AF1A96" w:rsidP="00AF1A96">
      <w:pPr>
        <w:pStyle w:val="BodyA"/>
        <w:rPr>
          <w:rFonts w:cstheme="minorHAnsi"/>
        </w:rPr>
      </w:pPr>
    </w:p>
    <w:p w14:paraId="6D8E3EBA" w14:textId="1F15C8A9" w:rsidR="00AF1A96" w:rsidRPr="00AD7B00" w:rsidRDefault="00AF1A96" w:rsidP="00AF1A96">
      <w:pPr>
        <w:pStyle w:val="BodyA"/>
        <w:spacing w:line="480" w:lineRule="auto"/>
        <w:jc w:val="both"/>
        <w:rPr>
          <w:rFonts w:cstheme="minorHAnsi"/>
        </w:rPr>
      </w:pPr>
      <w:r w:rsidRPr="00AD7B00">
        <w:rPr>
          <w:rFonts w:cstheme="minorHAnsi"/>
          <w:lang w:val="en-US"/>
        </w:rPr>
        <w:t>In normal individuals the primary afferent neurons usually remain quiescent without mu</w:t>
      </w:r>
      <w:r w:rsidR="000D4C75">
        <w:rPr>
          <w:rFonts w:cstheme="minorHAnsi"/>
          <w:lang w:val="en-US"/>
        </w:rPr>
        <w:t xml:space="preserve">ch spontaneous activity. But in a </w:t>
      </w:r>
      <w:r w:rsidRPr="00AD7B00">
        <w:rPr>
          <w:rFonts w:cstheme="minorHAnsi"/>
          <w:lang w:val="en-US"/>
        </w:rPr>
        <w:t xml:space="preserve">neuropathic pain state, nociceptors innervating a painful region undergo spontaneous firing, as demonstrated by microneurographic recordings. The abnormal impulse generated through this spontaneous activity is often called ectopic impulse generation, as it does not originate from the normal transduction tracts of the nociceptor system. </w:t>
      </w:r>
      <w:proofErr w:type="spellStart"/>
      <w:r w:rsidRPr="00AD7B00">
        <w:rPr>
          <w:rFonts w:cstheme="minorHAnsi"/>
          <w:lang w:val="en-US"/>
        </w:rPr>
        <w:t>Djouhri</w:t>
      </w:r>
      <w:proofErr w:type="spellEnd"/>
      <w:r w:rsidRPr="00AD7B00">
        <w:rPr>
          <w:rFonts w:cstheme="minorHAnsi"/>
          <w:lang w:val="en-US"/>
        </w:rPr>
        <w:t xml:space="preserve"> et al. suggested spontaneous pain in the neuropathic pain state is related to these ectopic firings from the intact C </w:t>
      </w:r>
      <w:proofErr w:type="spellStart"/>
      <w:r w:rsidRPr="00AD7B00">
        <w:rPr>
          <w:rFonts w:cstheme="minorHAnsi"/>
          <w:lang w:val="en-US"/>
        </w:rPr>
        <w:t>fibre</w:t>
      </w:r>
      <w:proofErr w:type="spellEnd"/>
      <w:r w:rsidRPr="00AD7B00">
        <w:rPr>
          <w:rFonts w:cstheme="minorHAnsi"/>
          <w:lang w:val="en-US"/>
        </w:rPr>
        <w:t xml:space="preserve"> nociceptors </w:t>
      </w:r>
      <w:r w:rsidRPr="00AD7B00">
        <w:rPr>
          <w:rFonts w:cstheme="minorHAnsi"/>
          <w:lang w:val="en-US"/>
        </w:rPr>
        <w:fldChar w:fldCharType="begin"/>
      </w:r>
      <w:r w:rsidRPr="00AD7B00">
        <w:rPr>
          <w:rFonts w:cstheme="minorHAnsi"/>
          <w:lang w:val="en-US"/>
        </w:rPr>
        <w:instrText xml:space="preserve"> ADDIN EN.CITE &lt;EndNote&gt;&lt;Cite  &gt;&lt;Author&gt;Djouhri&lt;/Author&gt;&lt;Year&gt;2006&lt;/Year&gt;&lt;RecNum&gt;322&lt;/RecNum&gt;&lt;DisplayText&gt;(Djouhri et al., 2006)&lt;/DisplayText&gt;&lt;record&gt;&lt;keywords&gt;&lt;keyword&gt;Hyperalgesia -- Physiopathology&lt;/keyword&gt;&lt;keyword&gt;Inflammation -- Complications&lt;/keyword&gt;&lt;keyword&gt;Nerve Fibers, Unmyelinated -- Physiology&lt;/keyword&gt;&lt;keyword&gt;Neuralgia -- Physiopathology&lt;/keyword&gt;&lt;keyword&gt;Pain -- Physiopathology&lt;/keyword&gt;&lt;/keywords&gt;&lt;titles&gt;&lt;title&gt;Spontaneous pain, both neuropathic and inflammatory, is related to frequency of spontaneous firing in intact C- fiber nociceptors&lt;/title&gt;&lt;secondary-title&gt;The Journal of neuroscience : the official journal of the Society for Neuroscience&lt;/secondary-title&gt;&lt;/titles&gt;&lt;pages&gt;1281&lt;/pages&gt;&lt;number&gt;4&lt;/number&gt;&lt;contributors&gt;&lt;authors&gt;&lt;author&gt;Djouhri, Laiche&lt;/author&gt;&lt;author&gt;Koutsikou, Stella&lt;/author&gt;&lt;author&gt;Fang, Xin&lt;/author&gt;&lt;author&gt;McMullan, Simon&lt;/author&gt;&lt;author&gt;Lawson, Sally N.&lt;/author&gt;&lt;/authors&gt;&lt;/contributors&gt;&lt;added-date format="utc"&gt;1386535683&lt;/added-date&gt;&lt;ref-type name="Journal Article"&gt;17&lt;/ref-type&gt;&lt;dates&gt;&lt;year&gt;2006&lt;/year&gt;&lt;/dates&gt;&lt;rec-number&gt;322&lt;/rec-number&gt;&lt;last-updated-date format="utc"&gt;1387847341&lt;/last-updated-date&gt;&lt;volume&gt;26&lt;/volume&gt;&lt;/record&gt;&lt;/Cite&gt;&lt;/EndNote&gt;</w:instrText>
      </w:r>
      <w:r w:rsidRPr="00AD7B00">
        <w:rPr>
          <w:rFonts w:cstheme="minorHAnsi"/>
          <w:lang w:val="en-US"/>
        </w:rPr>
        <w:fldChar w:fldCharType="separate"/>
      </w:r>
      <w:r w:rsidRPr="00AD7B00">
        <w:rPr>
          <w:rFonts w:cstheme="minorHAnsi"/>
          <w:lang w:val="en-US"/>
        </w:rPr>
        <w:t>(Djouhri et al., 2006)</w:t>
      </w:r>
      <w:r w:rsidRPr="00AD7B00">
        <w:rPr>
          <w:rFonts w:cstheme="minorHAnsi"/>
          <w:lang w:val="en-US"/>
        </w:rPr>
        <w:fldChar w:fldCharType="end"/>
      </w:r>
      <w:r w:rsidRPr="00AD7B00">
        <w:rPr>
          <w:rFonts w:cstheme="minorHAnsi"/>
          <w:lang w:val="en-US"/>
        </w:rPr>
        <w:t xml:space="preserve">. The changes in ion channel function are thought to be </w:t>
      </w:r>
      <w:r w:rsidRPr="00AD7B00">
        <w:rPr>
          <w:rFonts w:cstheme="minorHAnsi"/>
          <w:lang w:val="en-US"/>
        </w:rPr>
        <w:lastRenderedPageBreak/>
        <w:t xml:space="preserve">one of the main reasons for this spontaneous activity. Below a few potential peripheral factors contributing to painful </w:t>
      </w:r>
      <w:proofErr w:type="spellStart"/>
      <w:r w:rsidRPr="00AD7B00">
        <w:rPr>
          <w:rFonts w:cstheme="minorHAnsi"/>
          <w:lang w:val="en-US"/>
        </w:rPr>
        <w:t>DPN</w:t>
      </w:r>
      <w:proofErr w:type="spellEnd"/>
      <w:r w:rsidRPr="00AD7B00">
        <w:rPr>
          <w:rFonts w:cstheme="minorHAnsi"/>
          <w:lang w:val="en-US"/>
        </w:rPr>
        <w:t xml:space="preserve"> are discussed. </w:t>
      </w:r>
    </w:p>
    <w:p w14:paraId="53086078" w14:textId="77777777" w:rsidR="00AF1A96" w:rsidRPr="00AD7B00" w:rsidRDefault="00AF1A96" w:rsidP="00AF1A96">
      <w:pPr>
        <w:pStyle w:val="Heading5"/>
        <w:rPr>
          <w:rFonts w:ascii="Cambria" w:hAnsi="Cambria" w:cstheme="minorHAnsi"/>
          <w:b/>
          <w:bCs/>
        </w:rPr>
      </w:pPr>
      <w:bookmarkStart w:id="58" w:name="_Toc17"/>
      <w:r w:rsidRPr="00AD7B00">
        <w:rPr>
          <w:rFonts w:ascii="Cambria" w:eastAsia="Cambria" w:hAnsi="Cambria" w:cstheme="minorHAnsi"/>
          <w:b/>
          <w:bCs/>
          <w:lang w:val="en-US"/>
        </w:rPr>
        <w:t>1.2.2.1a Nerve Growth Factor (</w:t>
      </w:r>
      <w:proofErr w:type="spellStart"/>
      <w:r w:rsidRPr="00AD7B00">
        <w:rPr>
          <w:rFonts w:ascii="Cambria" w:eastAsia="Cambria" w:hAnsi="Cambria" w:cstheme="minorHAnsi"/>
          <w:b/>
          <w:bCs/>
          <w:lang w:val="en-US"/>
        </w:rPr>
        <w:t>NGF</w:t>
      </w:r>
      <w:proofErr w:type="spellEnd"/>
      <w:r w:rsidRPr="00AD7B00">
        <w:rPr>
          <w:rFonts w:ascii="Cambria" w:eastAsia="Cambria" w:hAnsi="Cambria" w:cstheme="minorHAnsi"/>
          <w:b/>
          <w:bCs/>
          <w:lang w:val="en-US"/>
        </w:rPr>
        <w:t>)</w:t>
      </w:r>
      <w:bookmarkEnd w:id="58"/>
    </w:p>
    <w:p w14:paraId="0369B80F" w14:textId="77777777" w:rsidR="00AF1A96" w:rsidRPr="00AD7B00" w:rsidRDefault="00AF1A96" w:rsidP="00AF1A96">
      <w:pPr>
        <w:pStyle w:val="BodyA"/>
        <w:rPr>
          <w:rFonts w:cstheme="minorHAnsi"/>
        </w:rPr>
      </w:pPr>
    </w:p>
    <w:p w14:paraId="09C6D079" w14:textId="447B6E99" w:rsidR="00AF1A96" w:rsidRPr="00AD7B00" w:rsidRDefault="00AF1A96" w:rsidP="00AF1A96">
      <w:pPr>
        <w:pStyle w:val="BodyA"/>
        <w:spacing w:line="480" w:lineRule="auto"/>
        <w:jc w:val="both"/>
        <w:rPr>
          <w:rFonts w:cstheme="minorHAnsi"/>
        </w:rPr>
      </w:pPr>
      <w:proofErr w:type="spellStart"/>
      <w:r w:rsidRPr="00AD7B00">
        <w:rPr>
          <w:rFonts w:cstheme="minorHAnsi"/>
          <w:lang w:val="en-US"/>
        </w:rPr>
        <w:t>NGF</w:t>
      </w:r>
      <w:proofErr w:type="spellEnd"/>
      <w:r w:rsidRPr="00AD7B00">
        <w:rPr>
          <w:rFonts w:cstheme="minorHAnsi"/>
          <w:lang w:val="en-US"/>
        </w:rPr>
        <w:t xml:space="preserve"> is up regulated in a wide variety of inflammatory conditions, and </w:t>
      </w:r>
      <w:proofErr w:type="spellStart"/>
      <w:r w:rsidRPr="00AD7B00">
        <w:rPr>
          <w:rFonts w:cstheme="minorHAnsi"/>
          <w:lang w:val="en-US"/>
        </w:rPr>
        <w:t>NGF</w:t>
      </w:r>
      <w:proofErr w:type="spellEnd"/>
      <w:r w:rsidRPr="00AD7B00">
        <w:rPr>
          <w:rFonts w:cstheme="minorHAnsi"/>
          <w:lang w:val="en-US"/>
        </w:rPr>
        <w:t xml:space="preserve"> </w:t>
      </w:r>
      <w:proofErr w:type="spellStart"/>
      <w:r w:rsidRPr="00AD7B00">
        <w:rPr>
          <w:rFonts w:cstheme="minorHAnsi"/>
          <w:lang w:val="en-US"/>
        </w:rPr>
        <w:t>antagonising</w:t>
      </w:r>
      <w:proofErr w:type="spellEnd"/>
      <w:r w:rsidRPr="00AD7B00">
        <w:rPr>
          <w:rFonts w:cstheme="minorHAnsi"/>
          <w:lang w:val="en-US"/>
        </w:rPr>
        <w:t xml:space="preserve"> molecules have been tried as therapeutic agents in many models of persistent pain. Pr</w:t>
      </w:r>
      <w:r w:rsidR="008F4E5C">
        <w:rPr>
          <w:rFonts w:cstheme="minorHAnsi"/>
          <w:lang w:val="en-US"/>
        </w:rPr>
        <w:t>evious studies have shown that human s</w:t>
      </w:r>
      <w:r w:rsidRPr="00AD7B00">
        <w:rPr>
          <w:rFonts w:cstheme="minorHAnsi"/>
          <w:lang w:val="en-US"/>
        </w:rPr>
        <w:t xml:space="preserve">ensory and autonomic neuropathy type 4 producing congenital insensitivity to pain may be due to mutation in the </w:t>
      </w:r>
      <w:proofErr w:type="spellStart"/>
      <w:r w:rsidRPr="00AD7B00">
        <w:rPr>
          <w:rFonts w:cstheme="minorHAnsi"/>
          <w:lang w:val="en-US"/>
        </w:rPr>
        <w:t>NGF</w:t>
      </w:r>
      <w:proofErr w:type="spellEnd"/>
      <w:r w:rsidRPr="00AD7B00">
        <w:rPr>
          <w:rFonts w:cstheme="minorHAnsi"/>
          <w:lang w:val="en-US"/>
        </w:rPr>
        <w:t xml:space="preserve"> receptor, </w:t>
      </w:r>
      <w:proofErr w:type="spellStart"/>
      <w:r w:rsidRPr="00AD7B00">
        <w:rPr>
          <w:rFonts w:cstheme="minorHAnsi"/>
          <w:lang w:val="en-US"/>
        </w:rPr>
        <w:t>tropomyosine</w:t>
      </w:r>
      <w:proofErr w:type="spellEnd"/>
      <w:r w:rsidRPr="00AD7B00">
        <w:rPr>
          <w:rFonts w:cstheme="minorHAnsi"/>
          <w:lang w:val="en-US"/>
        </w:rPr>
        <w:t xml:space="preserve"> receptor kinase A (</w:t>
      </w:r>
      <w:proofErr w:type="spellStart"/>
      <w:r w:rsidRPr="00AD7B00">
        <w:rPr>
          <w:rFonts w:cstheme="minorHAnsi"/>
          <w:lang w:val="en-US"/>
        </w:rPr>
        <w:t>trkA</w:t>
      </w:r>
      <w:proofErr w:type="spellEnd"/>
      <w:r w:rsidRPr="00AD7B00">
        <w:rPr>
          <w:rFonts w:cstheme="minorHAnsi"/>
          <w:lang w:val="en-US"/>
        </w:rPr>
        <w:t xml:space="preserve">) </w:t>
      </w:r>
      <w:r w:rsidRPr="00AD7B00">
        <w:rPr>
          <w:rFonts w:cstheme="minorHAnsi"/>
          <w:lang w:val="pt-PT"/>
        </w:rPr>
        <w:fldChar w:fldCharType="begin"/>
      </w:r>
      <w:r w:rsidRPr="008676B2">
        <w:rPr>
          <w:rFonts w:cstheme="minorHAnsi"/>
        </w:rPr>
        <w:instrText xml:space="preserve"> ADDIN EN.CITE &lt;EndNote&gt;&lt;Cite  &gt;&lt;Author&gt;Indo&lt;/Author&gt;&lt;Year&gt;2001&lt;/Year&gt;&lt;DisplayText&gt;(Indo, 2001)&lt;/DisplayText&gt;&lt;record&gt;&lt;keywords&gt;&lt;keyword&gt;Congenital Insensitivity To Pain With Anhidrosis&lt;/keyword&gt;&lt;keyword&gt;Cipa&lt;/keyword&gt;&lt;keyword&gt;Hereditary Sensory And Autonomic Neuropathy Type Iv&lt;/keyword&gt;&lt;keyword&gt;Hsan‐iv&lt;/keyword&gt;&lt;keyword&gt;Ntrk1&lt;/keyword&gt;&lt;keyword&gt;Trka&lt;/keyword&gt;&lt;keyword&gt;Nerve Growth Factor&lt;/keyword&gt;&lt;keyword&gt;Ngf&lt;/keyword&gt;&lt;keyword&gt;Receptor Tyrosine Kinase&lt;/keyword&gt;&lt;keyword&gt;Rtk&lt;/keyword&gt;&lt;keyword&gt;Uniparental Disomy&lt;/keyword&gt;&lt;keyword&gt;Upd&lt;/keyword&gt;&lt;/keywords&gt;&lt;isbn&gt;1059-7794&lt;/isbn&gt;&lt;titles&gt;&lt;title&gt;Molecular basis of congenital insensitivity to pain with anhidrosis ( CIPA): Mutations and polymorphisms in TRKA ( NTRK1) gene encoding the receptor tyrosine kinase for nerve growth factor&lt;/title&gt;&lt;secondary-title&gt;Human Mutation&lt;/secondary-title&gt;&lt;/titles&gt;&lt;pages&gt;462-471&lt;/pages&gt;&lt;number&gt;6&lt;/number&gt;&lt;contributors&gt;&lt;authors&gt;&lt;author&gt;Indo, Yasuhiro&lt;/author&gt;&lt;/authors&gt;&lt;/contributors&gt;&lt;added-date format="utc"&gt;1383264398&lt;/added-date&gt;&lt;pub-location&gt;New York&lt;/pub-location&gt;&lt;ref-type name="Journal Article"&gt;17&lt;/ref-type&gt;&lt;dates&gt;&lt;year&gt;2001&lt;/year&gt;&lt;/dates&gt;&lt;rec-number&gt;145&lt;/rec-number&gt;&lt;last-updated-date format="utc"&gt;1383265024&lt;/last-updated-date&gt;&lt;electronic-resource-num&gt;10.1002/humu.1224&lt;/electronic-resource-num&gt;&lt;volume&gt;18&lt;/volume&gt;&lt;/record&gt;&lt;/Cite&gt;&lt;/EndNote&gt;</w:instrText>
      </w:r>
      <w:r w:rsidRPr="00AD7B00">
        <w:rPr>
          <w:rFonts w:cstheme="minorHAnsi"/>
          <w:lang w:val="pt-PT"/>
        </w:rPr>
        <w:fldChar w:fldCharType="separate"/>
      </w:r>
      <w:r w:rsidRPr="008676B2">
        <w:rPr>
          <w:rFonts w:cstheme="minorHAnsi"/>
        </w:rPr>
        <w:t>(Indo, 2001)</w:t>
      </w:r>
      <w:r w:rsidRPr="00AD7B00">
        <w:rPr>
          <w:rFonts w:cstheme="minorHAnsi"/>
          <w:lang w:val="pt-PT"/>
        </w:rPr>
        <w:fldChar w:fldCharType="end"/>
      </w:r>
      <w:r w:rsidRPr="00AD7B00">
        <w:rPr>
          <w:rFonts w:cstheme="minorHAnsi"/>
          <w:lang w:val="en-US"/>
        </w:rPr>
        <w:t>. During</w:t>
      </w:r>
      <w:r w:rsidR="00EB5662">
        <w:rPr>
          <w:rFonts w:cstheme="minorHAnsi"/>
          <w:lang w:val="en-US"/>
        </w:rPr>
        <w:t xml:space="preserve"> the</w:t>
      </w:r>
      <w:r w:rsidRPr="00AD7B00">
        <w:rPr>
          <w:rFonts w:cstheme="minorHAnsi"/>
          <w:lang w:val="en-US"/>
        </w:rPr>
        <w:t xml:space="preserve"> immediate postnatal period </w:t>
      </w:r>
      <w:proofErr w:type="spellStart"/>
      <w:r w:rsidRPr="00AD7B00">
        <w:rPr>
          <w:rFonts w:cstheme="minorHAnsi"/>
          <w:lang w:val="en-US"/>
        </w:rPr>
        <w:t>NGF</w:t>
      </w:r>
      <w:proofErr w:type="spellEnd"/>
      <w:r w:rsidRPr="00AD7B00">
        <w:rPr>
          <w:rFonts w:cstheme="minorHAnsi"/>
          <w:lang w:val="en-US"/>
        </w:rPr>
        <w:t xml:space="preserve"> is required for the survival of peripheral nociceptive system </w:t>
      </w:r>
      <w:r w:rsidRPr="00AD7B00">
        <w:rPr>
          <w:rFonts w:cstheme="minorHAnsi"/>
          <w:lang w:val="fr-FR"/>
        </w:rPr>
        <w:fldChar w:fldCharType="begin"/>
      </w:r>
      <w:r w:rsidRPr="008676B2">
        <w:rPr>
          <w:rFonts w:cstheme="minorHAnsi"/>
        </w:rPr>
        <w:instrText xml:space="preserve"> ADDIN EN.CITE &lt;EndNote&gt;&lt;Cite  &gt;&lt;Author&gt;Patel&lt;/Author&gt;&lt;Year&gt;2000&lt;/Year&gt;&lt;RecNum&gt;210&lt;/RecNum&gt;&lt;DisplayText&gt;(Patel et al., 2000)&lt;/DisplayText&gt;&lt;record&gt;&lt;keywords&gt;&lt;keyword&gt;Proto-oncogene Proteins C-bcl-2&lt;/keyword&gt;&lt;keyword&gt;Nerve Growth Factor -- Pharmacology&lt;/keyword&gt;&lt;keyword&gt;Neurons, Afferent -- Cytology&lt;/keyword&gt;&lt;keyword&gt;Proto-oncogene Proteins -- Genetics&lt;/keyword&gt;&lt;keyword&gt;Receptor, Trka -- Genetics&lt;/keyword&gt;&lt;keyword&gt;Signal Transduction -- Physiology&lt;/keyword&gt;&lt;/keywords&gt;&lt;isbn&gt;0896-6273&lt;/isbn&gt;&lt;titles&gt;&lt;title&gt;Development of sensory neurons in the absence of NGF/ TrkA signaling in vivo&lt;/title&gt;&lt;secondary-title&gt;Neuron&lt;/secondary-title&gt;&lt;/titles&gt;&lt;pages&gt;345&lt;/pages&gt;&lt;number&gt;2&lt;/number&gt;&lt;contributors&gt;&lt;authors&gt;&lt;author&gt;Patel, T. D.&lt;/author&gt;&lt;author&gt;Jackman, A.&lt;/author&gt;&lt;author&gt;Rice, F. L.&lt;/author&gt;&lt;author&gt;Kucera, J.&lt;/author&gt;&lt;author&gt;Snider, W. D.&lt;/author&gt;&lt;/authors&gt;&lt;/contributors&gt;&lt;added-date format="utc"&gt;1384878252&lt;/added-date&gt;&lt;ref-type name="Journal Article"&gt;17&lt;/ref-type&gt;&lt;dates&gt;&lt;year&gt;2000&lt;/year&gt;&lt;/dates&gt;&lt;rec-number&gt;210&lt;/rec-number&gt;&lt;last-updated-date format="utc"&gt;1385461046&lt;/last-updated-date&gt;&lt;volume&gt;25&lt;/volume&gt;&lt;/record&gt;&lt;/Cite&gt;&lt;/EndNote&gt;</w:instrText>
      </w:r>
      <w:r w:rsidRPr="00AD7B00">
        <w:rPr>
          <w:rFonts w:cstheme="minorHAnsi"/>
          <w:lang w:val="fr-FR"/>
        </w:rPr>
        <w:fldChar w:fldCharType="separate"/>
      </w:r>
      <w:r w:rsidRPr="008676B2">
        <w:rPr>
          <w:rFonts w:cstheme="minorHAnsi"/>
        </w:rPr>
        <w:t>(Patel et al., 2000)</w:t>
      </w:r>
      <w:r w:rsidRPr="00AD7B00">
        <w:rPr>
          <w:rFonts w:cstheme="minorHAnsi"/>
          <w:lang w:val="fr-FR"/>
        </w:rPr>
        <w:fldChar w:fldCharType="end"/>
      </w:r>
      <w:r w:rsidRPr="00AD7B00">
        <w:rPr>
          <w:rFonts w:cstheme="minorHAnsi"/>
          <w:lang w:val="en-US"/>
        </w:rPr>
        <w:t xml:space="preserve">. Later in their natural history, primary nociceptors lose their absolute reliance on </w:t>
      </w:r>
      <w:proofErr w:type="spellStart"/>
      <w:r w:rsidRPr="00AD7B00">
        <w:rPr>
          <w:rFonts w:cstheme="minorHAnsi"/>
          <w:lang w:val="en-US"/>
        </w:rPr>
        <w:t>NGF</w:t>
      </w:r>
      <w:proofErr w:type="spellEnd"/>
      <w:r w:rsidRPr="00AD7B00">
        <w:rPr>
          <w:rFonts w:cstheme="minorHAnsi"/>
          <w:lang w:val="en-US"/>
        </w:rPr>
        <w:t xml:space="preserve"> for </w:t>
      </w:r>
      <w:proofErr w:type="gramStart"/>
      <w:r w:rsidRPr="00AD7B00">
        <w:rPr>
          <w:rFonts w:cstheme="minorHAnsi"/>
          <w:lang w:val="en-US"/>
        </w:rPr>
        <w:t>survival, but</w:t>
      </w:r>
      <w:proofErr w:type="gramEnd"/>
      <w:r w:rsidRPr="00AD7B00">
        <w:rPr>
          <w:rFonts w:cstheme="minorHAnsi"/>
          <w:lang w:val="en-US"/>
        </w:rPr>
        <w:t xml:space="preserve"> continue to express </w:t>
      </w:r>
      <w:proofErr w:type="spellStart"/>
      <w:r w:rsidRPr="00AD7B00">
        <w:rPr>
          <w:rFonts w:cstheme="minorHAnsi"/>
          <w:lang w:val="en-US"/>
        </w:rPr>
        <w:t>NGF</w:t>
      </w:r>
      <w:proofErr w:type="spellEnd"/>
      <w:r w:rsidRPr="00AD7B00">
        <w:rPr>
          <w:rFonts w:cstheme="minorHAnsi"/>
          <w:lang w:val="en-US"/>
        </w:rPr>
        <w:t xml:space="preserve"> receptors even during adult life. </w:t>
      </w:r>
      <w:proofErr w:type="spellStart"/>
      <w:r w:rsidRPr="00AD7B00">
        <w:rPr>
          <w:rFonts w:cstheme="minorHAnsi"/>
          <w:lang w:val="en-US"/>
        </w:rPr>
        <w:t>NGF</w:t>
      </w:r>
      <w:proofErr w:type="spellEnd"/>
      <w:r w:rsidRPr="00AD7B00">
        <w:rPr>
          <w:rFonts w:cstheme="minorHAnsi"/>
          <w:lang w:val="en-US"/>
        </w:rPr>
        <w:t xml:space="preserve"> strongly controls gene expressions in </w:t>
      </w:r>
      <w:proofErr w:type="spellStart"/>
      <w:r w:rsidRPr="00AD7B00">
        <w:rPr>
          <w:rFonts w:cstheme="minorHAnsi"/>
          <w:lang w:val="en-US"/>
        </w:rPr>
        <w:t>trkA</w:t>
      </w:r>
      <w:proofErr w:type="spellEnd"/>
      <w:r w:rsidRPr="00AD7B00">
        <w:rPr>
          <w:rFonts w:cstheme="minorHAnsi"/>
          <w:lang w:val="en-US"/>
        </w:rPr>
        <w:t xml:space="preserve"> expressing </w:t>
      </w:r>
      <w:proofErr w:type="spellStart"/>
      <w:r w:rsidRPr="00AD7B00">
        <w:rPr>
          <w:rFonts w:cstheme="minorHAnsi"/>
          <w:lang w:val="en-US"/>
        </w:rPr>
        <w:t>neurones</w:t>
      </w:r>
      <w:proofErr w:type="spellEnd"/>
      <w:r w:rsidRPr="00AD7B00">
        <w:rPr>
          <w:rFonts w:cstheme="minorHAnsi"/>
          <w:lang w:val="en-US"/>
        </w:rPr>
        <w:t xml:space="preserve"> in adult life </w:t>
      </w:r>
      <w:r w:rsidRPr="00AD7B00">
        <w:rPr>
          <w:rFonts w:cstheme="minorHAnsi"/>
          <w:lang w:val="nl-NL"/>
        </w:rPr>
        <w:fldChar w:fldCharType="begin"/>
      </w:r>
      <w:r w:rsidRPr="005B5764">
        <w:rPr>
          <w:rFonts w:cstheme="minorHAnsi"/>
        </w:rPr>
        <w:instrText xml:space="preserve"> ADDIN EN.CITE &lt;EndNote&gt;&lt;Cite  &gt;&lt;Author&gt;Pezet&lt;/Author&gt;&lt;Year&gt;2006&lt;/Year&gt;&lt;RecNum&gt;108&lt;/RecNum&gt;&lt;DisplayText&gt;(Pezet and McMahon, 2006)&lt;/DisplayText&gt;&lt;record&gt;&lt;keywords&gt;&lt;keyword&gt;Nerve Growth Factors -- Physiology&lt;/keyword&gt;&lt;keyword&gt;Pain -- Therapeutic Use&lt;/keyword&gt;&lt;keyword&gt;Pain -- Drug Therapy&lt;/keyword&gt;&lt;keyword&gt;Pain -- Metabolism&lt;/keyword&gt;&lt;/keywords&gt;&lt;isbn&gt;0147-006X&lt;/isbn&gt;&lt;titles&gt;&lt;title&gt;Neurotrophins: mediators and modulators of pain&lt;/title&gt;&lt;secondary-title&gt;Annual review of neuroscience&lt;/secondary-title&gt;&lt;/titles&gt;&lt;pages&gt;507&lt;/pages&gt;&lt;contributors&gt;&lt;authors&gt;&lt;author&gt;Pezet, Sophie&lt;/author&gt;&lt;author&gt;McMahon, Stephen B.&lt;/author&gt;&lt;/authors&gt;&lt;/contributors&gt;&lt;added-date format="utc"&gt;1383260680&lt;/added-date&gt;&lt;ref-type name="Journal Article"&gt;17&lt;/ref-type&gt;&lt;dates&gt;&lt;year&gt;2006&lt;/year&gt;&lt;/dates&gt;&lt;rec-number&gt;108&lt;/rec-number&gt;&lt;last-updated-date format="utc"&gt;1383261973&lt;/last-updated-date&gt;&lt;volume&gt;29&lt;/volume&gt;&lt;/record&gt;&lt;/Cite&gt;&lt;/EndNote&gt;</w:instrText>
      </w:r>
      <w:r w:rsidRPr="00AD7B00">
        <w:rPr>
          <w:rFonts w:cstheme="minorHAnsi"/>
          <w:lang w:val="nl-NL"/>
        </w:rPr>
        <w:fldChar w:fldCharType="separate"/>
      </w:r>
      <w:r w:rsidRPr="005B5764">
        <w:rPr>
          <w:rFonts w:cstheme="minorHAnsi"/>
        </w:rPr>
        <w:t>(Pezet and McMahon, 2006)</w:t>
      </w:r>
      <w:r w:rsidRPr="00AD7B00">
        <w:rPr>
          <w:rFonts w:cstheme="minorHAnsi"/>
          <w:lang w:val="nl-NL"/>
        </w:rPr>
        <w:fldChar w:fldCharType="end"/>
      </w:r>
      <w:r w:rsidRPr="00AD7B00">
        <w:rPr>
          <w:rFonts w:cstheme="minorHAnsi"/>
          <w:lang w:val="en-US"/>
        </w:rPr>
        <w:t xml:space="preserve">. </w:t>
      </w:r>
      <w:proofErr w:type="spellStart"/>
      <w:r w:rsidRPr="00AD7B00">
        <w:rPr>
          <w:rFonts w:cstheme="minorHAnsi"/>
          <w:lang w:val="en-US"/>
        </w:rPr>
        <w:t>NGF</w:t>
      </w:r>
      <w:proofErr w:type="spellEnd"/>
      <w:r w:rsidRPr="00AD7B00">
        <w:rPr>
          <w:rFonts w:cstheme="minorHAnsi"/>
          <w:lang w:val="en-US"/>
        </w:rPr>
        <w:t xml:space="preserve"> is up regulated in many chronic painful conditions and acts as peripheral pain mediator. Similarly, </w:t>
      </w:r>
      <w:proofErr w:type="spellStart"/>
      <w:r w:rsidRPr="00AD7B00">
        <w:rPr>
          <w:rFonts w:cstheme="minorHAnsi"/>
          <w:lang w:val="en-US"/>
        </w:rPr>
        <w:t>NGF</w:t>
      </w:r>
      <w:proofErr w:type="spellEnd"/>
      <w:r w:rsidRPr="00AD7B00">
        <w:rPr>
          <w:rFonts w:cstheme="minorHAnsi"/>
          <w:lang w:val="en-US"/>
        </w:rPr>
        <w:t xml:space="preserve"> modulates central pain processing through another </w:t>
      </w:r>
      <w:proofErr w:type="spellStart"/>
      <w:r w:rsidRPr="00AD7B00">
        <w:rPr>
          <w:rFonts w:cstheme="minorHAnsi"/>
          <w:lang w:val="en-US"/>
        </w:rPr>
        <w:t>neurotrophin</w:t>
      </w:r>
      <w:proofErr w:type="spellEnd"/>
      <w:r w:rsidRPr="00AD7B00">
        <w:rPr>
          <w:rFonts w:cstheme="minorHAnsi"/>
          <w:lang w:val="en-US"/>
        </w:rPr>
        <w:t xml:space="preserve"> called Brain-derived neurotrophic factor (BDNF). Treatment with </w:t>
      </w:r>
      <w:proofErr w:type="spellStart"/>
      <w:r w:rsidRPr="00AD7B00">
        <w:rPr>
          <w:rFonts w:cstheme="minorHAnsi"/>
          <w:lang w:val="en-US"/>
        </w:rPr>
        <w:t>NGF</w:t>
      </w:r>
      <w:proofErr w:type="spellEnd"/>
      <w:r w:rsidRPr="00AD7B00">
        <w:rPr>
          <w:rFonts w:cstheme="minorHAnsi"/>
          <w:lang w:val="en-US"/>
        </w:rPr>
        <w:t xml:space="preserve"> induces BDNF expression in virtually all </w:t>
      </w:r>
      <w:proofErr w:type="spellStart"/>
      <w:r w:rsidRPr="00AD7B00">
        <w:rPr>
          <w:rFonts w:cstheme="minorHAnsi"/>
          <w:lang w:val="en-US"/>
        </w:rPr>
        <w:t>trkA</w:t>
      </w:r>
      <w:proofErr w:type="spellEnd"/>
      <w:r w:rsidRPr="00AD7B00">
        <w:rPr>
          <w:rFonts w:cstheme="minorHAnsi"/>
          <w:lang w:val="en-US"/>
        </w:rPr>
        <w:t xml:space="preserve">-expressing </w:t>
      </w:r>
      <w:proofErr w:type="spellStart"/>
      <w:r w:rsidRPr="00AD7B00">
        <w:rPr>
          <w:rFonts w:cstheme="minorHAnsi"/>
          <w:lang w:val="en-US"/>
        </w:rPr>
        <w:t>DRG</w:t>
      </w:r>
      <w:proofErr w:type="spellEnd"/>
      <w:r w:rsidRPr="00AD7B00">
        <w:rPr>
          <w:rFonts w:cstheme="minorHAnsi"/>
          <w:lang w:val="en-US"/>
        </w:rPr>
        <w:t xml:space="preserve"> </w:t>
      </w:r>
      <w:proofErr w:type="spellStart"/>
      <w:r w:rsidRPr="00AD7B00">
        <w:rPr>
          <w:rFonts w:cstheme="minorHAnsi"/>
          <w:lang w:val="en-US"/>
        </w:rPr>
        <w:t>neurones</w:t>
      </w:r>
      <w:proofErr w:type="spellEnd"/>
      <w:r w:rsidRPr="00AD7B00">
        <w:rPr>
          <w:rFonts w:cstheme="minorHAnsi"/>
          <w:lang w:val="en-US"/>
        </w:rPr>
        <w:t xml:space="preserve"> </w:t>
      </w:r>
      <w:r w:rsidRPr="00AD7B00">
        <w:rPr>
          <w:rFonts w:cstheme="minorHAnsi"/>
          <w:lang w:val="en-US"/>
        </w:rPr>
        <w:fldChar w:fldCharType="begin"/>
      </w:r>
      <w:r w:rsidRPr="00AD7B00">
        <w:rPr>
          <w:rFonts w:cstheme="minorHAnsi"/>
          <w:lang w:val="en-US"/>
        </w:rPr>
        <w:instrText xml:space="preserve"> ADDIN EN.CITE &lt;EndNote&gt;&lt;Cite  &gt;&lt;Author&gt;Michael&lt;/Author&gt;&lt;Year&gt;1997&lt;/Year&gt;&lt;RecNum&gt;122&lt;/RecNum&gt;&lt;DisplayText&gt;(Michael et al., 1997)&lt;/DisplayText&gt;&lt;record&gt;&lt;isbn&gt;0270-6474&lt;/isbn&gt;&lt;titles&gt;&lt;title&gt;Nerve growth factor treatment increases brain- derived neurotrophic factor selectively in TrkA- expressing dorsal root ganglion cells and in their central terminations within the spinal cord&lt;/title&gt;&lt;secondary-title&gt;J. Neurosci.&lt;/secondary-title&gt;&lt;/titles&gt;&lt;pages&gt;8476-8490&lt;/pages&gt;&lt;number&gt;21&lt;/number&gt;&lt;contributors&gt;&lt;authors&gt;&lt;author&gt;Michael, G. J.&lt;/author&gt;&lt;author&gt;Averill, S.&lt;/author&gt;&lt;author&gt;Nitkunan, A.&lt;/author&gt;&lt;author&gt;Rattray, M.&lt;/author&gt;&lt;author&gt;Bennett, D. L. H.&lt;/author&gt;&lt;author&gt;Yan, Q.&lt;/author&gt;&lt;author&gt;Priestley, J. V.&lt;/author&gt;&lt;/authors&gt;&lt;/contributors&gt;&lt;added-date format="utc"&gt;1383261278&lt;/added-date&gt;&lt;ref-type name="Journal Article"&gt;17&lt;/ref-type&gt;&lt;dates&gt;&lt;year&gt;1997&lt;/year&gt;&lt;/dates&gt;&lt;rec-number&gt;122&lt;/rec-number&gt;&lt;last-updated-date format="utc"&gt;1383261973&lt;/last-updated-date&gt;&lt;volume&gt;17&lt;/volume&gt;&lt;/record&gt;&lt;/Cite&gt;&lt;/EndNote&gt;</w:instrText>
      </w:r>
      <w:r w:rsidRPr="00AD7B00">
        <w:rPr>
          <w:rFonts w:cstheme="minorHAnsi"/>
          <w:lang w:val="en-US"/>
        </w:rPr>
        <w:fldChar w:fldCharType="separate"/>
      </w:r>
      <w:r w:rsidRPr="00AD7B00">
        <w:rPr>
          <w:rFonts w:cstheme="minorHAnsi"/>
          <w:lang w:val="en-US"/>
        </w:rPr>
        <w:t>(Michael et al., 1997)</w:t>
      </w:r>
      <w:r w:rsidRPr="00AD7B00">
        <w:rPr>
          <w:rFonts w:cstheme="minorHAnsi"/>
          <w:lang w:val="en-US"/>
        </w:rPr>
        <w:fldChar w:fldCharType="end"/>
      </w:r>
      <w:r w:rsidRPr="00AD7B00">
        <w:rPr>
          <w:rFonts w:cstheme="minorHAnsi"/>
          <w:lang w:val="en-US"/>
        </w:rPr>
        <w:t>. The Vanilloid receptor 1 (TRPV1), calcitonin gene-related peptide (</w:t>
      </w:r>
      <w:proofErr w:type="spellStart"/>
      <w:r w:rsidRPr="00AD7B00">
        <w:rPr>
          <w:rFonts w:cstheme="minorHAnsi"/>
          <w:lang w:val="en-US"/>
        </w:rPr>
        <w:t>CGRP</w:t>
      </w:r>
      <w:proofErr w:type="spellEnd"/>
      <w:r w:rsidRPr="00AD7B00">
        <w:rPr>
          <w:rFonts w:cstheme="minorHAnsi"/>
          <w:lang w:val="en-US"/>
        </w:rPr>
        <w:t xml:space="preserve">), purinergic receptor of ATP, ASIC3 and G protein–coupled receptors (P2X3) including bradykinin B2 receptors and the mu opiate receptor are similarly regulated by </w:t>
      </w:r>
      <w:proofErr w:type="spellStart"/>
      <w:r w:rsidRPr="00AD7B00">
        <w:rPr>
          <w:rFonts w:cstheme="minorHAnsi"/>
          <w:lang w:val="en-US"/>
        </w:rPr>
        <w:t>NGF</w:t>
      </w:r>
      <w:proofErr w:type="spellEnd"/>
      <w:r w:rsidRPr="00AD7B00">
        <w:rPr>
          <w:rFonts w:cstheme="minorHAnsi"/>
          <w:lang w:val="en-US"/>
        </w:rPr>
        <w:t xml:space="preserve">. This regulation is generally restricted to </w:t>
      </w:r>
      <w:proofErr w:type="spellStart"/>
      <w:r w:rsidRPr="00AD7B00">
        <w:rPr>
          <w:rFonts w:cstheme="minorHAnsi"/>
          <w:lang w:val="en-US"/>
        </w:rPr>
        <w:t>neurones</w:t>
      </w:r>
      <w:proofErr w:type="spellEnd"/>
      <w:r w:rsidRPr="00AD7B00">
        <w:rPr>
          <w:rFonts w:cstheme="minorHAnsi"/>
          <w:lang w:val="en-US"/>
        </w:rPr>
        <w:t xml:space="preserve"> bearing </w:t>
      </w:r>
      <w:proofErr w:type="spellStart"/>
      <w:r w:rsidRPr="00AD7B00">
        <w:rPr>
          <w:rFonts w:cstheme="minorHAnsi"/>
          <w:lang w:val="en-US"/>
        </w:rPr>
        <w:t>trkA</w:t>
      </w:r>
      <w:proofErr w:type="spellEnd"/>
      <w:r w:rsidRPr="00AD7B00">
        <w:rPr>
          <w:rFonts w:cstheme="minorHAnsi"/>
          <w:lang w:val="en-US"/>
        </w:rPr>
        <w:t xml:space="preserve"> </w:t>
      </w:r>
      <w:r w:rsidRPr="00AD7B00">
        <w:rPr>
          <w:rFonts w:cstheme="minorHAnsi"/>
          <w:lang w:val="nl-NL"/>
        </w:rPr>
        <w:fldChar w:fldCharType="begin"/>
      </w:r>
      <w:r w:rsidRPr="005B5764">
        <w:rPr>
          <w:rFonts w:cstheme="minorHAnsi"/>
        </w:rPr>
        <w:instrText xml:space="preserve"> ADDIN EN.CITE &lt;EndNote&gt;&lt;Cite  &gt;&lt;Author&gt;Pezet&lt;/Author&gt;&lt;Year&gt;2006&lt;/Year&gt;&lt;RecNum&gt;108&lt;/RecNum&gt;&lt;DisplayText&gt;(Pezet and McMahon, 2006)&lt;/DisplayText&gt;&lt;record&gt;&lt;keywords&gt;&lt;keyword&gt;Nerve Growth Factors -- Physiology&lt;/keyword&gt;&lt;keyword&gt;Pain -- Therapeutic Use&lt;/keyword&gt;&lt;keyword&gt;Pain -- Drug Therapy&lt;/keyword&gt;&lt;keyword&gt;Pain -- Metabolism&lt;/keyword&gt;&lt;/keywords&gt;&lt;isbn&gt;0147-006X&lt;/isbn&gt;&lt;titles&gt;&lt;title&gt;Neurotrophins: mediators and modulators of pain&lt;/title&gt;&lt;secondary-title&gt;Annual review of neuroscience&lt;/secondary-title&gt;&lt;/titles&gt;&lt;pages&gt;507&lt;/pages&gt;&lt;contributors&gt;&lt;authors&gt;&lt;author&gt;Pezet, Sophie&lt;/author&gt;&lt;author&gt;McMahon, Stephen B.&lt;/author&gt;&lt;/authors&gt;&lt;/contributors&gt;&lt;added-date format="utc"&gt;1383260680&lt;/added-date&gt;&lt;ref-type name="Journal Article"&gt;17&lt;/ref-type&gt;&lt;dates&gt;&lt;year&gt;2006&lt;/year&gt;&lt;/dates&gt;&lt;rec-number&gt;108&lt;/rec-number&gt;&lt;last-updated-date format="utc"&gt;1383261973&lt;/last-updated-date&gt;&lt;volume&gt;29&lt;/volume&gt;&lt;/record&gt;&lt;/Cite&gt;&lt;/EndNote&gt;</w:instrText>
      </w:r>
      <w:r w:rsidRPr="00AD7B00">
        <w:rPr>
          <w:rFonts w:cstheme="minorHAnsi"/>
          <w:lang w:val="nl-NL"/>
        </w:rPr>
        <w:fldChar w:fldCharType="separate"/>
      </w:r>
      <w:r w:rsidRPr="005B5764">
        <w:rPr>
          <w:rFonts w:cstheme="minorHAnsi"/>
        </w:rPr>
        <w:t>(Pezet and McMahon, 2006)</w:t>
      </w:r>
      <w:r w:rsidRPr="00AD7B00">
        <w:rPr>
          <w:rFonts w:cstheme="minorHAnsi"/>
          <w:lang w:val="nl-NL"/>
        </w:rPr>
        <w:fldChar w:fldCharType="end"/>
      </w:r>
      <w:r w:rsidRPr="00AD7B00">
        <w:rPr>
          <w:rFonts w:cstheme="minorHAnsi"/>
          <w:lang w:val="en-US"/>
        </w:rPr>
        <w:t xml:space="preserve">. Another important category of gene regulation by </w:t>
      </w:r>
      <w:proofErr w:type="spellStart"/>
      <w:r w:rsidRPr="00AD7B00">
        <w:rPr>
          <w:rFonts w:cstheme="minorHAnsi"/>
          <w:lang w:val="en-US"/>
        </w:rPr>
        <w:t>NGF</w:t>
      </w:r>
      <w:proofErr w:type="spellEnd"/>
      <w:r w:rsidRPr="00AD7B00">
        <w:rPr>
          <w:rFonts w:cstheme="minorHAnsi"/>
          <w:lang w:val="en-US"/>
        </w:rPr>
        <w:t xml:space="preserve"> relates to voltage-gated ion channels. Functionally, both </w:t>
      </w:r>
      <w:proofErr w:type="spellStart"/>
      <w:r w:rsidRPr="00AD7B00">
        <w:rPr>
          <w:rFonts w:cstheme="minorHAnsi"/>
          <w:lang w:val="en-US"/>
        </w:rPr>
        <w:t>tetradodotoxin</w:t>
      </w:r>
      <w:proofErr w:type="spellEnd"/>
      <w:r w:rsidRPr="00AD7B00">
        <w:rPr>
          <w:rFonts w:cstheme="minorHAnsi"/>
          <w:lang w:val="en-US"/>
        </w:rPr>
        <w:t xml:space="preserve"> (</w:t>
      </w:r>
      <w:proofErr w:type="spellStart"/>
      <w:r w:rsidRPr="00AD7B00">
        <w:rPr>
          <w:rFonts w:cstheme="minorHAnsi"/>
          <w:lang w:val="en-US"/>
        </w:rPr>
        <w:t>TTX</w:t>
      </w:r>
      <w:proofErr w:type="spellEnd"/>
      <w:r w:rsidRPr="00AD7B00">
        <w:rPr>
          <w:rFonts w:cstheme="minorHAnsi"/>
          <w:lang w:val="en-US"/>
        </w:rPr>
        <w:t xml:space="preserve">)-sensitive and </w:t>
      </w:r>
      <w:proofErr w:type="spellStart"/>
      <w:r w:rsidRPr="00AD7B00">
        <w:rPr>
          <w:rFonts w:cstheme="minorHAnsi"/>
          <w:lang w:val="en-US"/>
        </w:rPr>
        <w:t>TTX</w:t>
      </w:r>
      <w:proofErr w:type="spellEnd"/>
      <w:r w:rsidRPr="00AD7B00">
        <w:rPr>
          <w:rFonts w:cstheme="minorHAnsi"/>
          <w:lang w:val="en-US"/>
        </w:rPr>
        <w:t xml:space="preserve">-resistant sodium currents are increased in </w:t>
      </w:r>
      <w:proofErr w:type="spellStart"/>
      <w:r w:rsidRPr="00AD7B00">
        <w:rPr>
          <w:rFonts w:cstheme="minorHAnsi"/>
          <w:lang w:val="en-US"/>
        </w:rPr>
        <w:t>DRG</w:t>
      </w:r>
      <w:proofErr w:type="spellEnd"/>
      <w:r w:rsidRPr="00AD7B00">
        <w:rPr>
          <w:rFonts w:cstheme="minorHAnsi"/>
          <w:lang w:val="en-US"/>
        </w:rPr>
        <w:t xml:space="preserve"> </w:t>
      </w:r>
      <w:proofErr w:type="spellStart"/>
      <w:r w:rsidRPr="00AD7B00">
        <w:rPr>
          <w:rFonts w:cstheme="minorHAnsi"/>
          <w:lang w:val="en-US"/>
        </w:rPr>
        <w:t>neurones</w:t>
      </w:r>
      <w:proofErr w:type="spellEnd"/>
      <w:r w:rsidRPr="00AD7B00">
        <w:rPr>
          <w:rFonts w:cstheme="minorHAnsi"/>
          <w:lang w:val="en-US"/>
        </w:rPr>
        <w:t xml:space="preserve"> by </w:t>
      </w:r>
      <w:proofErr w:type="spellStart"/>
      <w:r w:rsidRPr="00AD7B00">
        <w:rPr>
          <w:rFonts w:cstheme="minorHAnsi"/>
          <w:lang w:val="en-US"/>
        </w:rPr>
        <w:t>NGF</w:t>
      </w:r>
      <w:proofErr w:type="spellEnd"/>
      <w:r w:rsidRPr="00AD7B00">
        <w:rPr>
          <w:rFonts w:cstheme="minorHAnsi"/>
          <w:lang w:val="en-US"/>
        </w:rPr>
        <w:t xml:space="preserve"> </w:t>
      </w:r>
      <w:r w:rsidRPr="00AD7B00">
        <w:rPr>
          <w:rFonts w:cstheme="minorHAnsi"/>
          <w:lang w:val="en-US"/>
        </w:rPr>
        <w:fldChar w:fldCharType="begin"/>
      </w:r>
      <w:r w:rsidRPr="00AD7B00">
        <w:rPr>
          <w:rFonts w:cstheme="minorHAnsi"/>
          <w:lang w:val="en-US"/>
        </w:rPr>
        <w:instrText xml:space="preserve"> ADDIN EN.CITE &lt;EndNote&gt;&lt;Cite  &gt;&lt;Author&gt;Fjell&lt;/Author&gt;&lt;Year&gt;1999&lt;/Year&gt;&lt;RecNum&gt;212&lt;/RecNum&gt;&lt;DisplayText&gt;(Fjell et al., 1999)&lt;/DisplayText&gt;&lt;record&gt;&lt;keywords&gt;&lt;keyword&gt;Ganglia, Spinal -- Metabolism&lt;/keyword&gt;&lt;keyword&gt;Lectins -- Metabolism&lt;/keyword&gt;&lt;keyword&gt;Nerve Growth Factors -- Physiology&lt;/keyword&gt;&lt;keyword&gt;Sodium -- Metabolism&lt;/keyword&gt;&lt;keyword&gt;Sodium Channels -- Biosynthesis&lt;/keyword&gt;&lt;/keywords&gt;&lt;isbn&gt;0022-3077&lt;/isbn&gt;&lt;titles&gt;&lt;title&gt;In vivo NGF deprivation reduces SNS expression and TTX- R sodium currents in IB4- negative DRG neurons&lt;/title&gt;&lt;secondary-title&gt;Journal of neurophysiology&lt;/secondary-title&gt;&lt;/titles&gt;&lt;pages&gt;803&lt;/pages&gt;&lt;number&gt;2&lt;/number&gt;&lt;contributors&gt;&lt;authors&gt;&lt;author&gt;Fjell, J.&lt;/author&gt;&lt;author&gt;Cummins, T. R.&lt;/author&gt;&lt;author&gt;Fried, K.&lt;/author&gt;&lt;author&gt;Black, J. A.&lt;/author&gt;&lt;author&gt;Waxman, S. G.&lt;/author&gt;&lt;/authors&gt;&lt;/contributors&gt;&lt;added-date format="utc"&gt;1384879552&lt;/added-date&gt;&lt;ref-type name="Journal Article"&gt;17&lt;/ref-type&gt;&lt;dates&gt;&lt;year&gt;1999&lt;/year&gt;&lt;/dates&gt;&lt;rec-number&gt;212&lt;/rec-number&gt;&lt;last-updated-date format="utc"&gt;1385461046&lt;/last-updated-date&gt;&lt;volume&gt;81&lt;/volume&gt;&lt;/record&gt;&lt;/Cite&gt;&lt;/EndNote&gt;</w:instrText>
      </w:r>
      <w:r w:rsidRPr="00AD7B00">
        <w:rPr>
          <w:rFonts w:cstheme="minorHAnsi"/>
          <w:lang w:val="en-US"/>
        </w:rPr>
        <w:fldChar w:fldCharType="separate"/>
      </w:r>
      <w:r w:rsidRPr="00AD7B00">
        <w:rPr>
          <w:rFonts w:cstheme="minorHAnsi"/>
          <w:lang w:val="en-US"/>
        </w:rPr>
        <w:t>(Fjell et al., 1999)</w:t>
      </w:r>
      <w:r w:rsidRPr="00AD7B00">
        <w:rPr>
          <w:rFonts w:cstheme="minorHAnsi"/>
          <w:lang w:val="en-US"/>
        </w:rPr>
        <w:fldChar w:fldCharType="end"/>
      </w:r>
      <w:r w:rsidRPr="00AD7B00">
        <w:rPr>
          <w:rFonts w:cstheme="minorHAnsi"/>
          <w:lang w:val="en-US"/>
        </w:rPr>
        <w:t xml:space="preserve">. </w:t>
      </w:r>
      <w:proofErr w:type="spellStart"/>
      <w:r w:rsidRPr="00AD7B00">
        <w:rPr>
          <w:rFonts w:cstheme="minorHAnsi"/>
          <w:lang w:val="en-US"/>
        </w:rPr>
        <w:t>NGF</w:t>
      </w:r>
      <w:proofErr w:type="spellEnd"/>
      <w:r w:rsidRPr="00AD7B00">
        <w:rPr>
          <w:rFonts w:cstheme="minorHAnsi"/>
          <w:lang w:val="en-US"/>
        </w:rPr>
        <w:t xml:space="preserve"> is also involved in the modulation of pain processing through post translational effects. The main </w:t>
      </w:r>
      <w:r w:rsidRPr="00AD7B00">
        <w:rPr>
          <w:rFonts w:cstheme="minorHAnsi"/>
          <w:lang w:val="en-US"/>
        </w:rPr>
        <w:lastRenderedPageBreak/>
        <w:t xml:space="preserve">mechanism is through TRPV1 </w:t>
      </w:r>
      <w:proofErr w:type="spellStart"/>
      <w:r w:rsidRPr="00AD7B00">
        <w:rPr>
          <w:rFonts w:cstheme="minorHAnsi"/>
          <w:lang w:val="en-US"/>
        </w:rPr>
        <w:t>sensitisation</w:t>
      </w:r>
      <w:proofErr w:type="spellEnd"/>
      <w:r w:rsidRPr="00AD7B00">
        <w:rPr>
          <w:rFonts w:cstheme="minorHAnsi"/>
          <w:lang w:val="en-US"/>
        </w:rPr>
        <w:t>. Though the molecular mechanism of this process is not very clear, studies have implicated potential roles for protein kinase A, protein kinase C (PKC), extracellular signal regulated kinase (</w:t>
      </w:r>
      <w:proofErr w:type="spellStart"/>
      <w:r w:rsidRPr="00AD7B00">
        <w:rPr>
          <w:rFonts w:cstheme="minorHAnsi"/>
          <w:lang w:val="en-US"/>
        </w:rPr>
        <w:t>ERK</w:t>
      </w:r>
      <w:proofErr w:type="spellEnd"/>
      <w:r w:rsidRPr="00AD7B00">
        <w:rPr>
          <w:rFonts w:cstheme="minorHAnsi"/>
          <w:lang w:val="en-US"/>
        </w:rPr>
        <w:t xml:space="preserve">), p38, phosphatidyl inositide-3 kinase (PI3K), and a novel inhibitory mechanism mediated by phosphatidyl inositol bi-phosphate </w:t>
      </w:r>
      <w:r w:rsidRPr="00AD7B00">
        <w:rPr>
          <w:rFonts w:cstheme="minorHAnsi"/>
          <w:lang w:val="en-US"/>
        </w:rPr>
        <w:fldChar w:fldCharType="begin"/>
      </w:r>
      <w:r w:rsidRPr="00AD7B00">
        <w:rPr>
          <w:rFonts w:cstheme="minorHAnsi"/>
          <w:lang w:val="en-US"/>
        </w:rPr>
        <w:instrText xml:space="preserve"> ADDIN EN.CITE &lt;EndNote&gt;&lt;Cite  &gt;&lt;Author&gt;Khasar&lt;/Author&gt;&lt;Year&gt;1999&lt;/Year&gt;&lt;RecNum&gt;213&lt;/RecNum&gt;&lt;DisplayText&gt;(Khasar et al., 1999, Bonnington and McNaughton, 2003, Zhuang et al., 2004)&lt;/DisplayText&gt;&lt;record&gt;&lt;keywords&gt;&lt;keyword&gt;Mutation&lt;/keyword&gt;&lt;keyword&gt;Signal Transduction&lt;/keyword&gt;&lt;keyword&gt;Isoenzymes -- Genetics&lt;/keyword&gt;&lt;keyword&gt;Nociceptors -- Metabolism&lt;/keyword&gt;&lt;keyword&gt;Protein Kinase C -- Physiology&lt;/keyword&gt;&lt;keyword&gt;Protein Kinase C -- Genetics&lt;/keyword&gt;&lt;keyword&gt;Protein Kinase C -- Metabolism&lt;/keyword&gt;&lt;/keywords&gt;&lt;isbn&gt;0896-6273&lt;/isbn&gt;&lt;titles&gt;&lt;title&gt;A novel nociceptor signaling pathway revealed in protein kinase C epsilon mutant mice&lt;/title&gt;&lt;secondary-title&gt;Neuron&lt;/secondary-title&gt;&lt;/titles&gt;&lt;pages&gt;253&lt;/pages&gt;&lt;number&gt;1&lt;/number&gt;&lt;contributors&gt;&lt;authors&gt;&lt;author&gt;Khasar, S. G.&lt;/author&gt;&lt;author&gt;Lin, Y. H.&lt;/author&gt;&lt;author&gt;Martin, A.&lt;/author&gt;&lt;author&gt;Dadgar, J.&lt;/author&gt;&lt;author&gt;McMahon, T.&lt;/author&gt;&lt;author&gt;Wang, D.&lt;/author&gt;&lt;author&gt;Hundle, B.&lt;/author&gt;&lt;author&gt;Aley, K. O.&lt;/author&gt;&lt;author&gt;Isenberg, W.&lt;/author&gt;&lt;author&gt;McCarter, G.&lt;/author&gt;&lt;author&gt;Green, P. G.&lt;/author&gt;&lt;author&gt;Hodge, C. W.&lt;/author&gt;&lt;author&gt;Levine, J. D.&lt;/author&gt;&lt;author&gt;Messing, R. O.&lt;/author&gt;&lt;/authors&gt;&lt;/contributors&gt;&lt;added-date format="utc"&gt;1384880049&lt;/added-date&gt;&lt;ref-type name="Journal Article"&gt;17&lt;/ref-type&gt;&lt;dates&gt;&lt;year&gt;1999&lt;/year&gt;&lt;/dates&gt;&lt;rec-number&gt;213&lt;/rec-number&gt;&lt;last-updated-date format="utc"&gt;1385461046&lt;/last-updated-date&gt;&lt;volume&gt;24&lt;/volume&gt;&lt;/record&gt;&lt;/Cite&gt;&lt;Cite  &gt;&lt;Author&gt;Bonnington&lt;/Author&gt;&lt;Year&gt;2003&lt;/Year&gt;&lt;RecNum&gt;214&lt;/RecNum&gt;&lt;record&gt;&lt;keywords&gt;&lt;keyword&gt;Nerve Growth Factor -- Pharmacology&lt;/keyword&gt;&lt;keyword&gt;Neurons -- Physiology&lt;/keyword&gt;&lt;keyword&gt;Nociceptors -- Physiology&lt;/keyword&gt;&lt;keyword&gt;Signal Transduction -- Physiology&lt;/keyword&gt;&lt;/keywords&gt;&lt;isbn&gt;0022-3751&lt;/isbn&gt;&lt;titles&gt;&lt;title&gt;Signalling pathways involved in the sensitisation of mouse nociceptive neurones by nerve growth factor&lt;/title&gt;&lt;secondary-title&gt;The Journal of physiology&lt;/secondary-title&gt;&lt;/titles&gt;&lt;pages&gt;433&lt;/pages&gt;&lt;number&gt;Pt 2&lt;/number&gt;&lt;contributors&gt;&lt;authors&gt;&lt;author&gt;Bonnington, Jennifer K.&lt;/author&gt;&lt;author&gt;McNaughton, Peter A.&lt;/author&gt;&lt;/authors&gt;&lt;/contributors&gt;&lt;added-date format="utc"&gt;1384880096&lt;/added-date&gt;&lt;ref-type name="Journal Article"&gt;17&lt;/ref-type&gt;&lt;dates&gt;&lt;year&gt;2003&lt;/year&gt;&lt;/dates&gt;&lt;rec-number&gt;214&lt;/rec-number&gt;&lt;last-updated-date format="utc"&gt;1385461046&lt;/last-updated-date&gt;&lt;volume&gt;551&lt;/volume&gt;&lt;/record&gt;&lt;/Cite&gt;&lt;Cite  &gt;&lt;Author&gt;Zhuang&lt;/Author&gt;&lt;Year&gt;2004&lt;/Year&gt;&lt;RecNum&gt;215&lt;/RecNum&gt;&lt;record&gt;&lt;keywords&gt;&lt;keyword&gt;Extracellular Signal-regulated Map Kinases -- Metabolism&lt;/keyword&gt;&lt;keyword&gt;Hyperalgesia -- Metabolism&lt;/keyword&gt;&lt;keyword&gt;Inflammation -- Metabolism&lt;/keyword&gt;&lt;keyword&gt;Ion Channels -- Metabolism&lt;/keyword&gt;&lt;keyword&gt;Neurons, Afferent -- Enzymology&lt;/keyword&gt;&lt;keyword&gt;Phosphatidylinositol 3-kinases -- Metabolism&lt;/keyword&gt;&lt;/keywords&gt;&lt;titles&gt;&lt;title&gt;Phosphatidylinositol 3- kinase activates ERK in primary sensory neurons and mediates inflammatory heat hyperalgesia through TRPV1 sensitization&lt;/title&gt;&lt;secondary-title&gt;The Journal of neuroscience : the official journal of the Society for Neuroscience&lt;/secondary-title&gt;&lt;/titles&gt;&lt;pages&gt;8300&lt;/pages&gt;&lt;number&gt;38&lt;/number&gt;&lt;contributors&gt;&lt;authors&gt;&lt;author&gt;Zhuang, Zhi-ye&lt;/author&gt;&lt;author&gt;Xu, Haoxing&lt;/author&gt;&lt;author&gt;Clapham, David E.&lt;/author&gt;&lt;author&gt;Ji, Ru-rong&lt;/author&gt;&lt;author&gt;Zhuang, Zhi-Ye&lt;/author&gt;&lt;author&gt;Ji, Ru-Rong&lt;/author&gt;&lt;/authors&gt;&lt;/contributors&gt;&lt;added-date format="utc"&gt;1384880138&lt;/added-date&gt;&lt;ref-type name="Journal Article"&gt;17&lt;/ref-type&gt;&lt;dates&gt;&lt;year&gt;2004&lt;/year&gt;&lt;/dates&gt;&lt;rec-number&gt;215&lt;/rec-number&gt;&lt;last-updated-date format="utc"&gt;1385461046&lt;/last-updated-date&gt;&lt;volume&gt;24&lt;/volume&gt;&lt;/record&gt;&lt;/Cite&gt;&lt;/EndNote&gt;</w:instrText>
      </w:r>
      <w:r w:rsidRPr="00AD7B00">
        <w:rPr>
          <w:rFonts w:cstheme="minorHAnsi"/>
          <w:lang w:val="en-US"/>
        </w:rPr>
        <w:fldChar w:fldCharType="separate"/>
      </w:r>
      <w:r w:rsidRPr="00AD7B00">
        <w:rPr>
          <w:rFonts w:cstheme="minorHAnsi"/>
          <w:lang w:val="en-US"/>
        </w:rPr>
        <w:t>(Khasar et al., 1999, Bonnington and McNaughton, 2003, Zhuang et al., 2004)</w:t>
      </w:r>
      <w:r w:rsidRPr="00AD7B00">
        <w:rPr>
          <w:rFonts w:cstheme="minorHAnsi"/>
          <w:lang w:val="en-US"/>
        </w:rPr>
        <w:fldChar w:fldCharType="end"/>
      </w:r>
      <w:r w:rsidRPr="00AD7B00">
        <w:rPr>
          <w:rFonts w:cstheme="minorHAnsi"/>
        </w:rPr>
        <w:t>.</w:t>
      </w:r>
    </w:p>
    <w:p w14:paraId="2B386E33" w14:textId="72F95B51" w:rsidR="00AF1A96" w:rsidRPr="00AD7B00" w:rsidRDefault="00AF1A96" w:rsidP="00AF1A96">
      <w:pPr>
        <w:pStyle w:val="BodyA"/>
        <w:spacing w:line="480" w:lineRule="auto"/>
        <w:jc w:val="both"/>
        <w:rPr>
          <w:rFonts w:cstheme="minorHAnsi"/>
        </w:rPr>
      </w:pPr>
      <w:r w:rsidRPr="00AD7B00">
        <w:rPr>
          <w:rFonts w:cstheme="minorHAnsi"/>
          <w:lang w:val="en-US"/>
        </w:rPr>
        <w:t>Increasingly skin</w:t>
      </w:r>
      <w:r w:rsidR="00BB79C7">
        <w:rPr>
          <w:rFonts w:cstheme="minorHAnsi"/>
          <w:lang w:val="en-US"/>
        </w:rPr>
        <w:t xml:space="preserve"> biopsy is used to measure </w:t>
      </w:r>
      <w:proofErr w:type="spellStart"/>
      <w:r w:rsidR="00BB79C7">
        <w:rPr>
          <w:rFonts w:cstheme="minorHAnsi"/>
          <w:lang w:val="en-US"/>
        </w:rPr>
        <w:t>IENF</w:t>
      </w:r>
      <w:proofErr w:type="spellEnd"/>
      <w:r w:rsidRPr="00AD7B00">
        <w:rPr>
          <w:rFonts w:cstheme="minorHAnsi"/>
          <w:lang w:val="en-US"/>
        </w:rPr>
        <w:t xml:space="preserve"> using Protein Gene Product (PGP) 9.5 immunohistochemistry to diagnose </w:t>
      </w:r>
      <w:proofErr w:type="spellStart"/>
      <w:r w:rsidRPr="00AD7B00">
        <w:rPr>
          <w:rFonts w:cstheme="minorHAnsi"/>
          <w:lang w:val="en-US"/>
        </w:rPr>
        <w:t>DPN</w:t>
      </w:r>
      <w:proofErr w:type="spellEnd"/>
      <w:r w:rsidRPr="00AD7B00">
        <w:rPr>
          <w:rFonts w:cstheme="minorHAnsi"/>
          <w:lang w:val="en-US"/>
        </w:rPr>
        <w:t xml:space="preserve"> and small </w:t>
      </w:r>
      <w:proofErr w:type="spellStart"/>
      <w:r w:rsidRPr="00AD7B00">
        <w:rPr>
          <w:rFonts w:cstheme="minorHAnsi"/>
          <w:lang w:val="en-US"/>
        </w:rPr>
        <w:t>fibre</w:t>
      </w:r>
      <w:proofErr w:type="spellEnd"/>
      <w:r w:rsidRPr="00AD7B00">
        <w:rPr>
          <w:rFonts w:cstheme="minorHAnsi"/>
          <w:lang w:val="en-US"/>
        </w:rPr>
        <w:t xml:space="preserve"> neuropathy </w:t>
      </w:r>
      <w:r w:rsidRPr="00AD7B00">
        <w:rPr>
          <w:rFonts w:cstheme="minorHAnsi"/>
          <w:lang w:val="en-US"/>
        </w:rPr>
        <w:fldChar w:fldCharType="begin"/>
      </w:r>
      <w:r w:rsidRPr="00AD7B00">
        <w:rPr>
          <w:rFonts w:cstheme="minorHAnsi"/>
          <w:lang w:val="en-US"/>
        </w:rPr>
        <w:instrText xml:space="preserve"> ADDIN EN.CITE &lt;EndNote&gt;&lt;Cite  &gt;&lt;Author&gt;Lauria&lt;/Author&gt;&lt;Year&gt;2010&lt;/Year&gt;&lt;RecNum&gt;36&lt;/RecNum&gt;&lt;DisplayText&gt;(Lauria et al., 2010a)&lt;/DisplayText&gt;&lt;record&gt;&lt;isbn&gt;1085-9489&lt;/isbn&gt;&lt;titles&gt;&lt;title&gt;European Federation of Neurological Societies/ Peripheral Nerve Society Guideline on the use of skin biopsy in the diagnosis of small fiber neuropathy. Report of a joint task force of the European Federation of Neurological Societies and the Peripheral Nerve Society&lt;/title&gt;&lt;secondary-title&gt;J. Peripher. Nerv. Syst.&lt;/secondary-title&gt;&lt;/titles&gt;&lt;pages&gt;79-92&lt;/pages&gt;&lt;number&gt;2&lt;/number&gt;&lt;contributors&gt;&lt;authors&gt;&lt;author&gt;Lauria, G.&lt;/author&gt;&lt;author&gt;Hsieh, S. T.&lt;/author&gt;&lt;author&gt;Johansson, O.&lt;/author&gt;&lt;author&gt;Kennedy, W. R.&lt;/author&gt;&lt;author&gt;Leger, J. M.&lt;/author&gt;&lt;author&gt;Mellgren, S. I.&lt;/author&gt;&lt;author&gt;Noland, M.&lt;/author&gt;&lt;author&gt;Merkies, I. S. J.&lt;/author&gt;&lt;author&gt;Polydefkis, M.&lt;/author&gt;&lt;author&gt;Smith, A. G.&lt;/author&gt;&lt;author&gt;Sommer, C.&lt;/author&gt;&lt;author&gt;Valls-Sole, J.&lt;/author&gt;&lt;/authors&gt;&lt;/contributors&gt;&lt;added-date format="utc"&gt;1382548568&lt;/added-date&gt;&lt;ref-type name="Journal Article"&gt;17&lt;/ref-type&gt;&lt;dates&gt;&lt;year&gt;2010&lt;/year&gt;&lt;/dates&gt;&lt;rec-number&gt;36&lt;/rec-number&gt;&lt;last-updated-date format="utc"&gt;1382548585&lt;/last-updated-date&gt;&lt;volume&gt;15&lt;/volume&gt;&lt;/record&gt;&lt;/Cite&gt;&lt;/EndNote&gt;</w:instrText>
      </w:r>
      <w:r w:rsidRPr="00AD7B00">
        <w:rPr>
          <w:rFonts w:cstheme="minorHAnsi"/>
          <w:lang w:val="en-US"/>
        </w:rPr>
        <w:fldChar w:fldCharType="separate"/>
      </w:r>
      <w:r w:rsidRPr="00AD7B00">
        <w:rPr>
          <w:rFonts w:cstheme="minorHAnsi"/>
          <w:lang w:val="en-US"/>
        </w:rPr>
        <w:t>(Lauria et al., 2010a)</w:t>
      </w:r>
      <w:r w:rsidRPr="00AD7B00">
        <w:rPr>
          <w:rFonts w:cstheme="minorHAnsi"/>
          <w:lang w:val="en-US"/>
        </w:rPr>
        <w:fldChar w:fldCharType="end"/>
      </w:r>
      <w:r w:rsidR="005D01F7">
        <w:rPr>
          <w:rFonts w:cstheme="minorHAnsi"/>
          <w:lang w:val="en-US"/>
        </w:rPr>
        <w:t xml:space="preserve">. But the value of </w:t>
      </w:r>
      <w:proofErr w:type="spellStart"/>
      <w:r w:rsidR="005D01F7">
        <w:rPr>
          <w:rFonts w:cstheme="minorHAnsi"/>
          <w:lang w:val="en-US"/>
        </w:rPr>
        <w:t>IENF</w:t>
      </w:r>
      <w:proofErr w:type="spellEnd"/>
      <w:r w:rsidRPr="00AD7B00">
        <w:rPr>
          <w:rFonts w:cstheme="minorHAnsi"/>
          <w:lang w:val="en-US"/>
        </w:rPr>
        <w:t xml:space="preserve"> in determining or predicting painful </w:t>
      </w:r>
      <w:proofErr w:type="spellStart"/>
      <w:r w:rsidRPr="00AD7B00">
        <w:rPr>
          <w:rFonts w:cstheme="minorHAnsi"/>
          <w:lang w:val="en-US"/>
        </w:rPr>
        <w:t>DPN</w:t>
      </w:r>
      <w:proofErr w:type="spellEnd"/>
      <w:r w:rsidRPr="00AD7B00">
        <w:rPr>
          <w:rFonts w:cstheme="minorHAnsi"/>
          <w:lang w:val="en-US"/>
        </w:rPr>
        <w:t xml:space="preserve">, is still a case for debate </w:t>
      </w:r>
      <w:r w:rsidRPr="00AD7B00">
        <w:rPr>
          <w:rFonts w:cstheme="minorHAnsi"/>
          <w:lang w:val="en-US"/>
        </w:rPr>
        <w:fldChar w:fldCharType="begin"/>
      </w:r>
      <w:r w:rsidRPr="00AD7B00">
        <w:rPr>
          <w:rFonts w:cstheme="minorHAnsi"/>
          <w:lang w:val="en-US"/>
        </w:rPr>
        <w:instrText xml:space="preserve"> ADDIN EN.CITE &lt;EndNote&gt;&lt;Cite  &gt;&lt;Author&gt;Sorensen&lt;/Author&gt;&lt;Year&gt;2006&lt;/Year&gt;&lt;RecNum&gt;77&lt;/RecNum&gt;&lt;DisplayText&gt;(Sorensen et al., 2006b)&lt;/DisplayText&gt;&lt;record&gt;&lt;keywords&gt;&lt;keyword&gt;Diabetic Neuropathies -- Pathology&lt;/keyword&gt;&lt;keyword&gt;Epidermis -- Innervation&lt;/keyword&gt;&lt;keyword&gt;Nerve Fibers -- Pathology&lt;/keyword&gt;&lt;keyword&gt;Pain -- Pathology&lt;/keyword&gt;&lt;/keywords&gt;&lt;isbn&gt;0149-5992&lt;/isbn&gt;&lt;titles&gt;&lt;title&gt;The relationship among pain, sensory loss, and small nerve fibers in diabetes&lt;/title&gt;&lt;secondary-title&gt;Diabetes care&lt;/secondary-title&gt;&lt;/titles&gt;&lt;pages&gt;883&lt;/pages&gt;&lt;number&gt;4&lt;/number&gt;&lt;contributors&gt;&lt;authors&gt;&lt;author&gt;Sorensen, Lea&lt;/author&gt;&lt;author&gt;Molyneaux, Lynda&lt;/author&gt;&lt;author&gt;Yue, Dennis K.&lt;/author&gt;&lt;/authors&gt;&lt;/contributors&gt;&lt;added-date format="utc"&gt;1383239382&lt;/added-date&gt;&lt;ref-type name="Journal Article"&gt;17&lt;/ref-type&gt;&lt;dates&gt;&lt;year&gt;2006&lt;/year&gt;&lt;/dates&gt;&lt;rec-number&gt;77&lt;/rec-number&gt;&lt;last-updated-date format="utc"&gt;1383240559&lt;/last-updated-date&gt;&lt;volume&gt;29&lt;/volume&gt;&lt;/record&gt;&lt;/Cite&gt;&lt;/EndNote&gt;</w:instrText>
      </w:r>
      <w:r w:rsidRPr="00AD7B00">
        <w:rPr>
          <w:rFonts w:cstheme="minorHAnsi"/>
          <w:lang w:val="en-US"/>
        </w:rPr>
        <w:fldChar w:fldCharType="separate"/>
      </w:r>
      <w:r w:rsidRPr="00AD7B00">
        <w:rPr>
          <w:rFonts w:cstheme="minorHAnsi"/>
          <w:lang w:val="en-US"/>
        </w:rPr>
        <w:t>(Sorensen et al., 2006b)</w:t>
      </w:r>
      <w:r w:rsidRPr="00AD7B00">
        <w:rPr>
          <w:rFonts w:cstheme="minorHAnsi"/>
          <w:lang w:val="en-US"/>
        </w:rPr>
        <w:fldChar w:fldCharType="end"/>
      </w:r>
      <w:r w:rsidRPr="00AD7B00">
        <w:rPr>
          <w:rFonts w:cstheme="minorHAnsi"/>
          <w:lang w:val="en-US"/>
        </w:rPr>
        <w:t>. However,  animal studies, using a type 2 diabetes mouse model during the period of mechanical allodynia, have shown increased</w:t>
      </w:r>
      <w:r w:rsidR="00757841">
        <w:rPr>
          <w:rFonts w:cstheme="minorHAnsi"/>
          <w:lang w:val="en-US"/>
        </w:rPr>
        <w:t xml:space="preserve"> expression of </w:t>
      </w:r>
      <w:proofErr w:type="spellStart"/>
      <w:r w:rsidR="00757841">
        <w:rPr>
          <w:rFonts w:cstheme="minorHAnsi"/>
          <w:lang w:val="en-US"/>
        </w:rPr>
        <w:t>peptidergic</w:t>
      </w:r>
      <w:proofErr w:type="spellEnd"/>
      <w:r w:rsidR="00757841">
        <w:rPr>
          <w:rFonts w:cstheme="minorHAnsi"/>
          <w:lang w:val="en-US"/>
        </w:rPr>
        <w:t xml:space="preserve"> </w:t>
      </w:r>
      <w:proofErr w:type="spellStart"/>
      <w:r w:rsidR="00757841">
        <w:rPr>
          <w:rFonts w:cstheme="minorHAnsi"/>
          <w:lang w:val="en-US"/>
        </w:rPr>
        <w:t>IENF</w:t>
      </w:r>
      <w:proofErr w:type="spellEnd"/>
      <w:r w:rsidRPr="00AD7B00">
        <w:rPr>
          <w:rFonts w:cstheme="minorHAnsi"/>
          <w:lang w:val="en-US"/>
        </w:rPr>
        <w:t xml:space="preserve"> </w:t>
      </w:r>
      <w:r w:rsidRPr="00AD7B00">
        <w:rPr>
          <w:rFonts w:cstheme="minorHAnsi"/>
          <w:lang w:val="en-US"/>
        </w:rPr>
        <w:fldChar w:fldCharType="begin"/>
      </w:r>
      <w:r w:rsidRPr="00AD7B00">
        <w:rPr>
          <w:rFonts w:cstheme="minorHAnsi"/>
          <w:lang w:val="en-US"/>
        </w:rPr>
        <w:instrText xml:space="preserve"> ADDIN EN.CITE &lt;EndNote&gt;&lt;Cite  &gt;&lt;Author&gt;Cheng&lt;/Author&gt;&lt;Year&gt;2009&lt;/Year&gt;&lt;RecNum&gt;105&lt;/RecNum&gt;&lt;DisplayText&gt;(Cheng et al., 2009)&lt;/DisplayText&gt;&lt;record&gt;&lt;isbn&gt;0022-3069&lt;/isbn&gt;&lt;titles&gt;&lt;title&gt;Nerve Growth Factor Mediates Mechanical Allodynia in a Mouse Model of Type 2 Diabetes&lt;/title&gt;&lt;secondary-title&gt;J. Neuropathol. Exp. Neurol.&lt;/secondary-title&gt;&lt;/titles&gt;&lt;pages&gt;1229-1243&lt;/pages&gt;&lt;number&gt;11&lt;/number&gt;&lt;contributors&gt;&lt;authors&gt;&lt;author&gt;Cheng, H. T.&lt;/author&gt;&lt;author&gt;Dauch, J. R.&lt;/author&gt;&lt;author&gt;Hayes, J. M.&lt;/author&gt;&lt;author&gt;Hong, Y.&lt;/author&gt;&lt;author&gt;Feldman, E. L.&lt;/author&gt;&lt;/authors&gt;&lt;/contributors&gt;&lt;added-date format="utc"&gt;1383260308&lt;/added-date&gt;&lt;ref-type name="Journal Article"&gt;17&lt;/ref-type&gt;&lt;dates&gt;&lt;year&gt;2009&lt;/year&gt;&lt;/dates&gt;&lt;rec-number&gt;105&lt;/rec-number&gt;&lt;last-updated-date format="utc"&gt;1383260643&lt;/last-updated-date&gt;&lt;volume&gt;68&lt;/volume&gt;&lt;/record&gt;&lt;/Cite&gt;&lt;/EndNote&gt;</w:instrText>
      </w:r>
      <w:r w:rsidRPr="00AD7B00">
        <w:rPr>
          <w:rFonts w:cstheme="minorHAnsi"/>
          <w:lang w:val="en-US"/>
        </w:rPr>
        <w:fldChar w:fldCharType="separate"/>
      </w:r>
      <w:r w:rsidRPr="00AD7B00">
        <w:rPr>
          <w:rFonts w:cstheme="minorHAnsi"/>
          <w:lang w:val="en-US"/>
        </w:rPr>
        <w:t>(Cheng et al., 2009)</w:t>
      </w:r>
      <w:r w:rsidRPr="00AD7B00">
        <w:rPr>
          <w:rFonts w:cstheme="minorHAnsi"/>
          <w:lang w:val="en-US"/>
        </w:rPr>
        <w:fldChar w:fldCharType="end"/>
      </w:r>
      <w:r w:rsidRPr="00AD7B00">
        <w:rPr>
          <w:rFonts w:cstheme="minorHAnsi"/>
          <w:lang w:val="en-US"/>
        </w:rPr>
        <w:t xml:space="preserve">. </w:t>
      </w:r>
      <w:proofErr w:type="spellStart"/>
      <w:r w:rsidRPr="00AD7B00">
        <w:rPr>
          <w:rFonts w:cstheme="minorHAnsi"/>
          <w:lang w:val="en-US"/>
        </w:rPr>
        <w:t>Peptidergic</w:t>
      </w:r>
      <w:proofErr w:type="spellEnd"/>
      <w:r w:rsidRPr="00AD7B00">
        <w:rPr>
          <w:rFonts w:cstheme="minorHAnsi"/>
          <w:lang w:val="en-US"/>
        </w:rPr>
        <w:t xml:space="preserve"> </w:t>
      </w:r>
      <w:proofErr w:type="spellStart"/>
      <w:r w:rsidRPr="00AD7B00">
        <w:rPr>
          <w:rFonts w:cstheme="minorHAnsi"/>
          <w:lang w:val="en-US"/>
        </w:rPr>
        <w:t>IENF</w:t>
      </w:r>
      <w:proofErr w:type="spellEnd"/>
      <w:r w:rsidRPr="00AD7B00">
        <w:rPr>
          <w:rFonts w:cstheme="minorHAnsi"/>
          <w:lang w:val="en-US"/>
        </w:rPr>
        <w:t xml:space="preserve"> are </w:t>
      </w:r>
      <w:proofErr w:type="spellStart"/>
      <w:r w:rsidRPr="00AD7B00">
        <w:rPr>
          <w:rFonts w:cstheme="minorHAnsi"/>
          <w:lang w:val="en-US"/>
        </w:rPr>
        <w:t>TrkA</w:t>
      </w:r>
      <w:proofErr w:type="spellEnd"/>
      <w:r w:rsidRPr="00AD7B00">
        <w:rPr>
          <w:rFonts w:cstheme="minorHAnsi"/>
          <w:lang w:val="en-US"/>
        </w:rPr>
        <w:t xml:space="preserve"> receptor positive and express neurotransmitters, substance P (SP) and calcitonin gene related peptide (</w:t>
      </w:r>
      <w:proofErr w:type="spellStart"/>
      <w:r w:rsidRPr="00AD7B00">
        <w:rPr>
          <w:rFonts w:cstheme="minorHAnsi"/>
          <w:lang w:val="en-US"/>
        </w:rPr>
        <w:t>CGRP</w:t>
      </w:r>
      <w:proofErr w:type="spellEnd"/>
      <w:r w:rsidRPr="00AD7B00">
        <w:rPr>
          <w:rFonts w:cstheme="minorHAnsi"/>
          <w:lang w:val="en-US"/>
        </w:rPr>
        <w:t xml:space="preserve">). During the phase of mechanical allodynia there was 1.5 to 2-fold increased expression of SP and </w:t>
      </w:r>
      <w:proofErr w:type="spellStart"/>
      <w:r w:rsidRPr="00AD7B00">
        <w:rPr>
          <w:rFonts w:cstheme="minorHAnsi"/>
          <w:lang w:val="en-US"/>
        </w:rPr>
        <w:t>CGRP</w:t>
      </w:r>
      <w:proofErr w:type="spellEnd"/>
      <w:r w:rsidRPr="00AD7B00">
        <w:rPr>
          <w:rFonts w:cstheme="minorHAnsi"/>
          <w:lang w:val="en-US"/>
        </w:rPr>
        <w:t xml:space="preserve"> over controls. Also anti-</w:t>
      </w:r>
      <w:proofErr w:type="spellStart"/>
      <w:r w:rsidRPr="00AD7B00">
        <w:rPr>
          <w:rFonts w:cstheme="minorHAnsi"/>
          <w:lang w:val="en-US"/>
        </w:rPr>
        <w:t>NGF</w:t>
      </w:r>
      <w:proofErr w:type="spellEnd"/>
      <w:r w:rsidRPr="00AD7B00">
        <w:rPr>
          <w:rFonts w:cstheme="minorHAnsi"/>
          <w:lang w:val="en-US"/>
        </w:rPr>
        <w:t xml:space="preserve"> treatment significantly inhibited the up-regulation of </w:t>
      </w:r>
      <w:proofErr w:type="spellStart"/>
      <w:r w:rsidRPr="00AD7B00">
        <w:rPr>
          <w:rFonts w:cstheme="minorHAnsi"/>
          <w:lang w:val="en-US"/>
        </w:rPr>
        <w:t>peptidergic</w:t>
      </w:r>
      <w:proofErr w:type="spellEnd"/>
      <w:r w:rsidRPr="00AD7B00">
        <w:rPr>
          <w:rFonts w:cstheme="minorHAnsi"/>
          <w:lang w:val="en-US"/>
        </w:rPr>
        <w:t xml:space="preserve"> </w:t>
      </w:r>
      <w:proofErr w:type="spellStart"/>
      <w:r w:rsidRPr="00AD7B00">
        <w:rPr>
          <w:rFonts w:cstheme="minorHAnsi"/>
          <w:lang w:val="en-US"/>
        </w:rPr>
        <w:t>IE</w:t>
      </w:r>
      <w:r w:rsidR="00757841">
        <w:rPr>
          <w:rFonts w:cstheme="minorHAnsi"/>
          <w:lang w:val="en-US"/>
        </w:rPr>
        <w:t>NF</w:t>
      </w:r>
      <w:proofErr w:type="spellEnd"/>
      <w:r w:rsidRPr="00AD7B00">
        <w:rPr>
          <w:rFonts w:cstheme="minorHAnsi"/>
          <w:lang w:val="en-US"/>
        </w:rPr>
        <w:t xml:space="preserve"> during the period of mechanical allodynia, suggesting that increased </w:t>
      </w:r>
      <w:proofErr w:type="spellStart"/>
      <w:r w:rsidRPr="00AD7B00">
        <w:rPr>
          <w:rFonts w:cstheme="minorHAnsi"/>
          <w:lang w:val="en-US"/>
        </w:rPr>
        <w:t>neurotrophism</w:t>
      </w:r>
      <w:proofErr w:type="spellEnd"/>
      <w:r w:rsidRPr="00AD7B00">
        <w:rPr>
          <w:rFonts w:cstheme="minorHAnsi"/>
          <w:lang w:val="en-US"/>
        </w:rPr>
        <w:t xml:space="preserve"> by </w:t>
      </w:r>
      <w:proofErr w:type="spellStart"/>
      <w:r w:rsidRPr="00AD7B00">
        <w:rPr>
          <w:rFonts w:cstheme="minorHAnsi"/>
          <w:lang w:val="en-US"/>
        </w:rPr>
        <w:t>NGF</w:t>
      </w:r>
      <w:proofErr w:type="spellEnd"/>
      <w:r w:rsidRPr="00AD7B00">
        <w:rPr>
          <w:rFonts w:cstheme="minorHAnsi"/>
          <w:lang w:val="en-US"/>
        </w:rPr>
        <w:t xml:space="preserve"> may mediate this phenomenon </w:t>
      </w:r>
      <w:r w:rsidRPr="00AD7B00">
        <w:rPr>
          <w:rFonts w:cstheme="minorHAnsi"/>
          <w:lang w:val="en-US"/>
        </w:rPr>
        <w:fldChar w:fldCharType="begin"/>
      </w:r>
      <w:r w:rsidRPr="00AD7B00">
        <w:rPr>
          <w:rFonts w:cstheme="minorHAnsi"/>
          <w:lang w:val="en-US"/>
        </w:rPr>
        <w:instrText xml:space="preserve"> ADDIN EN.CITE &lt;EndNote&gt;&lt;Cite  &gt;&lt;Author&gt;Cheng&lt;/Author&gt;&lt;Year&gt;2012&lt;/Year&gt;&lt;RecNum&gt;146&lt;/RecNum&gt;&lt;DisplayText&gt;(Cheng et al., 2012)&lt;/DisplayText&gt;&lt;record&gt;&lt;keywords&gt;&lt;keyword&gt;Diabetes Mellitus, Type 2 -- Metabolism&lt;/keyword&gt;&lt;keyword&gt;Diabetic Neuropathies -- Metabolism&lt;/keyword&gt;&lt;keyword&gt;Nerve Fibers -- Metabolism&lt;/keyword&gt;&lt;keyword&gt;Nerve Growth Factor -- Metabolism&lt;/keyword&gt;&lt;keyword&gt;Signal Transduction -- Physiology&lt;/keyword&gt;&lt;/keywords&gt;&lt;isbn&gt;0969-9961&lt;/isbn&gt;&lt;titles&gt;&lt;title&gt;Nerve growth factor/ p38 signaling increases intraepidermal nerve fiber densities in painful neuropathy of type 2 diabetes&lt;/title&gt;&lt;secondary-title&gt;Neurobiology of disease&lt;/secondary-title&gt;&lt;/titles&gt;&lt;pages&gt;280&lt;/pages&gt;&lt;number&gt;1&lt;/number&gt;&lt;contributors&gt;&lt;authors&gt;&lt;author&gt;Cheng, Hsinlin T.&lt;/author&gt;&lt;author&gt;Dauch, Jacqueline R.&lt;/author&gt;&lt;author&gt;Hayes, John M.&lt;/author&gt;&lt;author&gt;Yanik, Brandon M.&lt;/author&gt;&lt;author&gt;Feldman, Eva L.&lt;/author&gt;&lt;/authors&gt;&lt;/contributors&gt;&lt;added-date format="utc"&gt;1383264441&lt;/added-date&gt;&lt;ref-type name="Journal Article"&gt;17&lt;/ref-type&gt;&lt;dates&gt;&lt;year&gt;2012&lt;/year&gt;&lt;/dates&gt;&lt;rec-number&gt;146&lt;/rec-number&gt;&lt;last-updated-date format="utc"&gt;1383265024&lt;/last-updated-date&gt;&lt;electronic-resource-num&gt;10.1016/j.nbd.2011.08.011&lt;/electronic-resource-num&gt;&lt;volume&gt;45&lt;/volume&gt;&lt;/record&gt;&lt;/Cite&gt;&lt;/EndNote&gt;</w:instrText>
      </w:r>
      <w:r w:rsidRPr="00AD7B00">
        <w:rPr>
          <w:rFonts w:cstheme="minorHAnsi"/>
          <w:lang w:val="en-US"/>
        </w:rPr>
        <w:fldChar w:fldCharType="separate"/>
      </w:r>
      <w:r w:rsidRPr="00AD7B00">
        <w:rPr>
          <w:rFonts w:cstheme="minorHAnsi"/>
          <w:lang w:val="en-US"/>
        </w:rPr>
        <w:t>(Cheng et al., 2012)</w:t>
      </w:r>
      <w:r w:rsidRPr="00AD7B00">
        <w:rPr>
          <w:rFonts w:cstheme="minorHAnsi"/>
          <w:lang w:val="en-US"/>
        </w:rPr>
        <w:fldChar w:fldCharType="end"/>
      </w:r>
      <w:r w:rsidRPr="00AD7B00">
        <w:rPr>
          <w:rFonts w:cstheme="minorHAnsi"/>
          <w:lang w:val="en-US"/>
        </w:rPr>
        <w:t>. In addition, p38 inhibitors also blocked t</w:t>
      </w:r>
      <w:r w:rsidR="00757841">
        <w:rPr>
          <w:rFonts w:cstheme="minorHAnsi"/>
          <w:lang w:val="en-US"/>
        </w:rPr>
        <w:t xml:space="preserve">he increase in </w:t>
      </w:r>
      <w:proofErr w:type="spellStart"/>
      <w:r w:rsidR="00757841">
        <w:rPr>
          <w:rFonts w:cstheme="minorHAnsi"/>
          <w:lang w:val="en-US"/>
        </w:rPr>
        <w:t>peptidergic</w:t>
      </w:r>
      <w:proofErr w:type="spellEnd"/>
      <w:r w:rsidR="00757841">
        <w:rPr>
          <w:rFonts w:cstheme="minorHAnsi"/>
          <w:lang w:val="en-US"/>
        </w:rPr>
        <w:t xml:space="preserve"> </w:t>
      </w:r>
      <w:proofErr w:type="spellStart"/>
      <w:r w:rsidR="00757841">
        <w:rPr>
          <w:rFonts w:cstheme="minorHAnsi"/>
          <w:lang w:val="en-US"/>
        </w:rPr>
        <w:t>IENF</w:t>
      </w:r>
      <w:proofErr w:type="spellEnd"/>
      <w:r w:rsidRPr="00AD7B00">
        <w:rPr>
          <w:rFonts w:cstheme="minorHAnsi"/>
          <w:lang w:val="en-US"/>
        </w:rPr>
        <w:t xml:space="preserve"> in </w:t>
      </w:r>
      <w:proofErr w:type="spellStart"/>
      <w:r w:rsidRPr="00AD7B00">
        <w:rPr>
          <w:rFonts w:cstheme="minorHAnsi"/>
          <w:lang w:val="en-US"/>
        </w:rPr>
        <w:t>db</w:t>
      </w:r>
      <w:proofErr w:type="spellEnd"/>
      <w:r w:rsidRPr="00AD7B00">
        <w:rPr>
          <w:rFonts w:cstheme="minorHAnsi"/>
          <w:lang w:val="en-US"/>
        </w:rPr>
        <w:t>/</w:t>
      </w:r>
      <w:proofErr w:type="spellStart"/>
      <w:r w:rsidRPr="00AD7B00">
        <w:rPr>
          <w:rFonts w:cstheme="minorHAnsi"/>
          <w:lang w:val="en-US"/>
        </w:rPr>
        <w:t>d</w:t>
      </w:r>
      <w:r w:rsidR="00757841">
        <w:rPr>
          <w:rFonts w:cstheme="minorHAnsi"/>
          <w:lang w:val="en-US"/>
        </w:rPr>
        <w:t>b</w:t>
      </w:r>
      <w:proofErr w:type="spellEnd"/>
      <w:r w:rsidR="00757841">
        <w:rPr>
          <w:rFonts w:cstheme="minorHAnsi"/>
          <w:lang w:val="en-US"/>
        </w:rPr>
        <w:t xml:space="preserve"> mice. Hence </w:t>
      </w:r>
      <w:proofErr w:type="spellStart"/>
      <w:r w:rsidR="00757841">
        <w:rPr>
          <w:rFonts w:cstheme="minorHAnsi"/>
          <w:lang w:val="en-US"/>
        </w:rPr>
        <w:t>peptidergic</w:t>
      </w:r>
      <w:proofErr w:type="spellEnd"/>
      <w:r w:rsidR="00757841">
        <w:rPr>
          <w:rFonts w:cstheme="minorHAnsi"/>
          <w:lang w:val="en-US"/>
        </w:rPr>
        <w:t xml:space="preserve"> </w:t>
      </w:r>
      <w:proofErr w:type="spellStart"/>
      <w:r w:rsidR="00757841">
        <w:rPr>
          <w:rFonts w:cstheme="minorHAnsi"/>
          <w:lang w:val="en-US"/>
        </w:rPr>
        <w:t>IENF</w:t>
      </w:r>
      <w:proofErr w:type="spellEnd"/>
      <w:r w:rsidR="00757841">
        <w:rPr>
          <w:rFonts w:cstheme="minorHAnsi"/>
          <w:lang w:val="en-US"/>
        </w:rPr>
        <w:t xml:space="preserve"> </w:t>
      </w:r>
      <w:r w:rsidRPr="00AD7B00">
        <w:rPr>
          <w:rFonts w:cstheme="minorHAnsi"/>
          <w:lang w:val="en-US"/>
        </w:rPr>
        <w:t xml:space="preserve">could be a potential diagnostic marker for painful </w:t>
      </w:r>
      <w:proofErr w:type="spellStart"/>
      <w:r w:rsidRPr="00AD7B00">
        <w:rPr>
          <w:rFonts w:cstheme="minorHAnsi"/>
          <w:lang w:val="en-US"/>
        </w:rPr>
        <w:t>DPN</w:t>
      </w:r>
      <w:proofErr w:type="spellEnd"/>
      <w:r w:rsidRPr="00AD7B00">
        <w:rPr>
          <w:rFonts w:cstheme="minorHAnsi"/>
          <w:lang w:val="en-US"/>
        </w:rPr>
        <w:t xml:space="preserve"> and the inhibition of NGF-p38 </w:t>
      </w:r>
      <w:proofErr w:type="spellStart"/>
      <w:r w:rsidRPr="00AD7B00">
        <w:rPr>
          <w:rFonts w:cstheme="minorHAnsi"/>
          <w:lang w:val="en-US"/>
        </w:rPr>
        <w:t>signalling</w:t>
      </w:r>
      <w:proofErr w:type="spellEnd"/>
      <w:r w:rsidRPr="00AD7B00">
        <w:rPr>
          <w:rFonts w:cstheme="minorHAnsi"/>
          <w:lang w:val="en-US"/>
        </w:rPr>
        <w:t xml:space="preserve"> could be a potential therapeutic strategy for treating painful </w:t>
      </w:r>
      <w:proofErr w:type="spellStart"/>
      <w:r w:rsidRPr="00AD7B00">
        <w:rPr>
          <w:rFonts w:cstheme="minorHAnsi"/>
          <w:lang w:val="en-US"/>
        </w:rPr>
        <w:t>DPN</w:t>
      </w:r>
      <w:proofErr w:type="spellEnd"/>
      <w:r w:rsidRPr="00AD7B00">
        <w:rPr>
          <w:rFonts w:cstheme="minorHAnsi"/>
          <w:lang w:val="en-US"/>
        </w:rPr>
        <w:t xml:space="preserve"> </w:t>
      </w:r>
      <w:r w:rsidRPr="00AD7B00">
        <w:rPr>
          <w:rFonts w:cstheme="minorHAnsi"/>
          <w:lang w:val="en-US"/>
        </w:rPr>
        <w:fldChar w:fldCharType="begin"/>
      </w:r>
      <w:r w:rsidRPr="00AD7B00">
        <w:rPr>
          <w:rFonts w:cstheme="minorHAnsi"/>
          <w:lang w:val="en-US"/>
        </w:rPr>
        <w:instrText xml:space="preserve"> ADDIN EN.CITE &lt;EndNote&gt;&lt;Cite  &gt;&lt;Author&gt;Cheng&lt;/Author&gt;&lt;Year&gt;2012&lt;/Year&gt;&lt;RecNum&gt;520&lt;/RecNum&gt;&lt;DisplayText&gt;(Cheng et al., 2012)&lt;/DisplayText&gt;&lt;record&gt;&lt;keywords&gt;&lt;keyword&gt;Diabetes Mellitus, Type 2 -- Metabolism&lt;/keyword&gt;&lt;keyword&gt;Diabetic Neuropathies -- Metabolism&lt;/keyword&gt;&lt;keyword&gt;Nerve Fibers -- Metabolism&lt;/keyword&gt;&lt;keyword&gt;Nerve Growth Factor -- Metabolism&lt;/keyword&gt;&lt;keyword&gt;Signal Transduction -- Physiology&lt;/keyword&gt;&lt;/keywords&gt;&lt;isbn&gt;0969-9961&lt;/isbn&gt;&lt;titles&gt;&lt;title&gt;Nerve growth factor/ p38 signaling increases intraepidermal nerve fiber densities in painful neuropathy of type 2 diabetes&lt;/title&gt;&lt;secondary-title&gt;Neurobiology of disease&lt;/secondary-title&gt;&lt;/titles&gt;&lt;pages&gt;280&lt;/pages&gt;&lt;number&gt;1&lt;/number&gt;&lt;contributors&gt;&lt;authors&gt;&lt;author&gt;Cheng, Hsinlin T.&lt;/author&gt;&lt;author&gt;Dauch, Jacqueline R.&lt;/author&gt;&lt;author&gt;Hayes, John M.&lt;/author&gt;&lt;author&gt;Yanik, Brandon M.&lt;/author&gt;&lt;author&gt;Feldman, Eva L.&lt;/author&gt;&lt;/authors&gt;&lt;/contributors&gt;&lt;added-date format="utc"&gt;1508448835&lt;/added-date&gt;&lt;ref-type name="Journal Article"&gt;17&lt;/ref-type&gt;&lt;dates&gt;&lt;year&gt;2012&lt;/year&gt;&lt;/dates&gt;&lt;rec-number&gt;520&lt;/rec-number&gt;&lt;last-updated-date format="utc"&gt;1508448835&lt;/last-updated-date&gt;&lt;electronic-resource-num&gt;10.1016/j.nbd.2011.08.011&lt;/electronic-resource-num&gt;&lt;volume&gt;45&lt;/volume&gt;&lt;/record&gt;&lt;/Cite&gt;&lt;/EndNote&gt;</w:instrText>
      </w:r>
      <w:r w:rsidRPr="00AD7B00">
        <w:rPr>
          <w:rFonts w:cstheme="minorHAnsi"/>
          <w:lang w:val="en-US"/>
        </w:rPr>
        <w:fldChar w:fldCharType="separate"/>
      </w:r>
      <w:r w:rsidRPr="00AD7B00">
        <w:rPr>
          <w:rFonts w:cstheme="minorHAnsi"/>
          <w:lang w:val="en-US"/>
        </w:rPr>
        <w:t>(Cheng et al., 2012)</w:t>
      </w:r>
      <w:r w:rsidRPr="00AD7B00">
        <w:rPr>
          <w:rFonts w:cstheme="minorHAnsi"/>
          <w:lang w:val="en-US"/>
        </w:rPr>
        <w:fldChar w:fldCharType="end"/>
      </w:r>
      <w:r w:rsidRPr="00AD7B00">
        <w:rPr>
          <w:rFonts w:cstheme="minorHAnsi"/>
        </w:rPr>
        <w:t>.</w:t>
      </w:r>
    </w:p>
    <w:p w14:paraId="2EE875DE" w14:textId="77777777" w:rsidR="00AF1A96" w:rsidRPr="00AD7B00" w:rsidRDefault="00AF1A96" w:rsidP="00AF1A96">
      <w:pPr>
        <w:pStyle w:val="Heading5"/>
        <w:rPr>
          <w:rFonts w:ascii="Cambria" w:hAnsi="Cambria" w:cstheme="minorHAnsi"/>
          <w:b/>
          <w:bCs/>
        </w:rPr>
      </w:pPr>
      <w:bookmarkStart w:id="59" w:name="_Toc18"/>
      <w:r w:rsidRPr="00AD7B00">
        <w:rPr>
          <w:rFonts w:ascii="Cambria" w:eastAsia="Cambria" w:hAnsi="Cambria" w:cstheme="minorHAnsi"/>
          <w:b/>
          <w:bCs/>
          <w:lang w:val="en-US"/>
        </w:rPr>
        <w:t xml:space="preserve">1.2.2.1b Vascular Factors Influencing Painful </w:t>
      </w:r>
      <w:proofErr w:type="spellStart"/>
      <w:r w:rsidRPr="00AD7B00">
        <w:rPr>
          <w:rFonts w:ascii="Cambria" w:eastAsia="Cambria" w:hAnsi="Cambria" w:cstheme="minorHAnsi"/>
          <w:b/>
          <w:bCs/>
          <w:lang w:val="en-US"/>
        </w:rPr>
        <w:t>DPN</w:t>
      </w:r>
      <w:bookmarkEnd w:id="59"/>
      <w:proofErr w:type="spellEnd"/>
    </w:p>
    <w:p w14:paraId="26FE893C" w14:textId="77777777" w:rsidR="00AF1A96" w:rsidRPr="00AD7B00" w:rsidRDefault="00AF1A96" w:rsidP="00AF1A96">
      <w:pPr>
        <w:pStyle w:val="BodyA"/>
        <w:rPr>
          <w:rFonts w:cstheme="minorHAnsi"/>
        </w:rPr>
      </w:pPr>
    </w:p>
    <w:p w14:paraId="0DE3967F" w14:textId="14FF405B" w:rsidR="00AF1A96" w:rsidRPr="00AD7B00" w:rsidRDefault="00AF1A96" w:rsidP="00AF1A96">
      <w:pPr>
        <w:pStyle w:val="BodyA"/>
        <w:spacing w:line="480" w:lineRule="auto"/>
        <w:jc w:val="both"/>
        <w:rPr>
          <w:rFonts w:cstheme="minorHAnsi"/>
          <w:shd w:val="clear" w:color="auto" w:fill="FFFFFF"/>
        </w:rPr>
      </w:pPr>
      <w:r w:rsidRPr="00AD7B00">
        <w:rPr>
          <w:rFonts w:cstheme="minorHAnsi"/>
          <w:lang w:val="en-US"/>
        </w:rPr>
        <w:t xml:space="preserve">Vascular factors in the </w:t>
      </w:r>
      <w:proofErr w:type="spellStart"/>
      <w:r w:rsidR="00C83C04">
        <w:rPr>
          <w:rFonts w:cstheme="minorHAnsi"/>
          <w:lang w:val="en-US"/>
        </w:rPr>
        <w:t>a</w:t>
      </w:r>
      <w:r w:rsidRPr="00AD7B00">
        <w:rPr>
          <w:rFonts w:cstheme="minorHAnsi"/>
          <w:lang w:val="en-US"/>
        </w:rPr>
        <w:t>etiology</w:t>
      </w:r>
      <w:proofErr w:type="spellEnd"/>
      <w:r w:rsidRPr="00AD7B00">
        <w:rPr>
          <w:rFonts w:cstheme="minorHAnsi"/>
          <w:lang w:val="en-US"/>
        </w:rPr>
        <w:t xml:space="preserve"> of painful </w:t>
      </w:r>
      <w:proofErr w:type="spellStart"/>
      <w:r w:rsidRPr="00AD7B00">
        <w:rPr>
          <w:rFonts w:cstheme="minorHAnsi"/>
          <w:lang w:val="en-US"/>
        </w:rPr>
        <w:t>DPN</w:t>
      </w:r>
      <w:proofErr w:type="spellEnd"/>
      <w:r w:rsidRPr="00AD7B00">
        <w:rPr>
          <w:rFonts w:cstheme="minorHAnsi"/>
          <w:lang w:val="en-US"/>
        </w:rPr>
        <w:t xml:space="preserve"> has been debated for long. A previous study of sural nerves in patients with insulin neuritis elegantly demonstrated an </w:t>
      </w:r>
      <w:r w:rsidRPr="00AD7B00">
        <w:rPr>
          <w:rFonts w:cstheme="minorHAnsi"/>
          <w:lang w:val="en-US"/>
        </w:rPr>
        <w:lastRenderedPageBreak/>
        <w:t xml:space="preserve">abundance of epineural blood vessels </w:t>
      </w:r>
      <w:r w:rsidRPr="00AD7B00">
        <w:rPr>
          <w:rFonts w:cstheme="minorHAnsi"/>
          <w:lang w:val="en-US"/>
        </w:rPr>
        <w:fldChar w:fldCharType="begin"/>
      </w:r>
      <w:r w:rsidRPr="00AD7B00">
        <w:rPr>
          <w:rFonts w:cstheme="minorHAnsi"/>
          <w:lang w:val="en-US"/>
        </w:rPr>
        <w:instrText xml:space="preserve"> ADDIN EN.CITE &lt;EndNote&gt;&lt;Cite  &gt;&lt;Author&gt;Tesfaye&lt;/Author&gt;&lt;Year&gt;1996&lt;/Year&gt;&lt;RecNum&gt;437&lt;/RecNum&gt;&lt;DisplayText&gt;(Tesfaye et al., 1996a)&lt;/DisplayText&gt;&lt;record&gt;&lt;dates&gt;&lt;pub-dates&gt;&lt;date&gt;Mar&lt;/date&gt;&lt;/pub-dates&gt;&lt;year&gt;1996&lt;/year&gt;&lt;/dates&gt;&lt;keywords&gt;&lt;keyword&gt;Acute Disease&lt;/keyword&gt;&lt;keyword&gt;Adult&lt;/keyword&gt;&lt;keyword&gt;Arteries&lt;/keyword&gt;&lt;keyword&gt;Blood Glucose&lt;/keyword&gt;&lt;keyword&gt;Diabetes Mellitus, Type 1&lt;/keyword&gt;&lt;keyword&gt;Diabetes Mellitus, Type 2&lt;/keyword&gt;&lt;keyword&gt;Diabetic Neuropathies&lt;/keyword&gt;&lt;keyword&gt;Electrophysiology&lt;/keyword&gt;&lt;keyword&gt;Female&lt;/keyword&gt;&lt;keyword&gt;Fluorescein Angiography&lt;/keyword&gt;&lt;keyword&gt;Humans&lt;/keyword&gt;&lt;keyword&gt;Insulin&lt;/keyword&gt;&lt;keyword&gt;Male&lt;/keyword&gt;&lt;keyword&gt;Middle Aged&lt;/keyword&gt;&lt;keyword&gt;Optic Nerve&lt;/keyword&gt;&lt;keyword&gt;Pain&lt;/keyword&gt;&lt;keyword&gt;Sural Nerve&lt;/keyword&gt;&lt;keyword&gt;Veins&lt;/keyword&gt;&lt;/keywords&gt;&lt;urls&gt;&lt;related-urls&gt;&lt;url&gt;https://www.ncbi.nlm.nih.gov/pubmed/8721779&lt;/url&gt;&lt;/related-urls&gt;&lt;/urls&gt;&lt;isbn&gt;0012-186X&lt;/isbn&gt;&lt;titles&gt;&lt;title&gt;Arterio-venous shunting and proliferating new vessels in acute painful neuropathy of rapid glycaemic control (insulin neuritis)&lt;/title&gt;&lt;secondary-title&gt;Diabetologia&lt;/secondary-title&gt;&lt;/titles&gt;&lt;pages&gt;329-35&lt;/pages&gt;&lt;number&gt;3&lt;/number&gt;&lt;contributors&gt;&lt;authors&gt;&lt;author&gt;Tesfaye, S.&lt;/author&gt;&lt;author&gt;Malik, R.&lt;/author&gt;&lt;author&gt;Harris, N.&lt;/author&gt;&lt;author&gt;Jakubowski, J. J.&lt;/author&gt;&lt;author&gt;Mody, C.&lt;/author&gt;&lt;author&gt;Rennie, I. G.&lt;/author&gt;&lt;author&gt;Ward, J. D.&lt;/author&gt;&lt;/authors&gt;&lt;/contributors&gt;&lt;language&gt;eng&lt;/language&gt;&lt;added-date format="utc"&gt;1503349815&lt;/added-date&gt;&lt;ref-type name="Journal Article"&gt;17&lt;/ref-type&gt;&lt;rec-number&gt;437&lt;/rec-number&gt;&lt;last-updated-date format="utc"&gt;1503349815&lt;/last-updated-date&gt;&lt;accession-num&gt;8721779&lt;/accession-num&gt;&lt;volume&gt;39&lt;/volume&gt;&lt;/record&gt;&lt;/Cite&gt;&lt;/EndNote&gt;</w:instrText>
      </w:r>
      <w:r w:rsidRPr="00AD7B00">
        <w:rPr>
          <w:rFonts w:cstheme="minorHAnsi"/>
          <w:lang w:val="en-US"/>
        </w:rPr>
        <w:fldChar w:fldCharType="separate"/>
      </w:r>
      <w:r w:rsidRPr="00AD7B00">
        <w:rPr>
          <w:rFonts w:cstheme="minorHAnsi"/>
          <w:lang w:val="en-US"/>
        </w:rPr>
        <w:t>(Tesfaye et al., 1996a)</w:t>
      </w:r>
      <w:r w:rsidRPr="00AD7B00">
        <w:rPr>
          <w:rFonts w:cstheme="minorHAnsi"/>
          <w:lang w:val="en-US"/>
        </w:rPr>
        <w:fldChar w:fldCharType="end"/>
      </w:r>
      <w:r w:rsidRPr="00AD7B00">
        <w:rPr>
          <w:rFonts w:cstheme="minorHAnsi"/>
          <w:lang w:val="en-US"/>
        </w:rPr>
        <w:t xml:space="preserve">. These blood vessels were also clearly more torturous and showed arterio-venous shunting. </w:t>
      </w:r>
      <w:r w:rsidR="00D71C2C">
        <w:rPr>
          <w:rFonts w:cstheme="minorHAnsi"/>
          <w:lang w:val="en-US"/>
        </w:rPr>
        <w:t>Fl</w:t>
      </w:r>
      <w:r w:rsidR="00D71C2C" w:rsidRPr="00D71C2C">
        <w:rPr>
          <w:rFonts w:cstheme="minorHAnsi"/>
          <w:lang w:val="en-US"/>
        </w:rPr>
        <w:t xml:space="preserve">uorescein </w:t>
      </w:r>
      <w:r w:rsidR="00D71C2C">
        <w:rPr>
          <w:rFonts w:cstheme="minorHAnsi"/>
          <w:lang w:val="en-US"/>
        </w:rPr>
        <w:t>a</w:t>
      </w:r>
      <w:r w:rsidRPr="00AD7B00">
        <w:rPr>
          <w:rFonts w:cstheme="minorHAnsi"/>
          <w:lang w:val="en-US"/>
        </w:rPr>
        <w:t xml:space="preserve">ngiography confirmed these new vessels to be fragile and leaky similar to the “new vessels” </w:t>
      </w:r>
      <w:r w:rsidR="0044068A" w:rsidRPr="00AD7B00">
        <w:rPr>
          <w:rFonts w:cstheme="minorHAnsi"/>
          <w:lang w:val="en-US"/>
        </w:rPr>
        <w:t>in diabetic</w:t>
      </w:r>
      <w:r w:rsidRPr="00AD7B00">
        <w:rPr>
          <w:rFonts w:cstheme="minorHAnsi"/>
          <w:lang w:val="en-US"/>
        </w:rPr>
        <w:t xml:space="preserve"> proliferative retinopathy. Sural nerve epineural blood flow measuremen</w:t>
      </w:r>
      <w:r w:rsidR="00D71C2C">
        <w:rPr>
          <w:rFonts w:cstheme="minorHAnsi"/>
          <w:lang w:val="en-US"/>
        </w:rPr>
        <w:t>t, using spectrophotometry and f</w:t>
      </w:r>
      <w:r w:rsidRPr="00AD7B00">
        <w:rPr>
          <w:rFonts w:cstheme="minorHAnsi"/>
          <w:lang w:val="en-US"/>
        </w:rPr>
        <w:t xml:space="preserve">luorescein angiography demonstrated that patients with painful </w:t>
      </w:r>
      <w:proofErr w:type="spellStart"/>
      <w:r w:rsidRPr="00AD7B00">
        <w:rPr>
          <w:rFonts w:cstheme="minorHAnsi"/>
          <w:lang w:val="en-US"/>
        </w:rPr>
        <w:t>DPN</w:t>
      </w:r>
      <w:proofErr w:type="spellEnd"/>
      <w:r w:rsidRPr="00AD7B00">
        <w:rPr>
          <w:rFonts w:cstheme="minorHAnsi"/>
          <w:lang w:val="en-US"/>
        </w:rPr>
        <w:t xml:space="preserve"> had faster blood flow as with low fluorescein rise time and increased intravascular oxygen saturation </w:t>
      </w:r>
      <w:r w:rsidRPr="00AD7B00">
        <w:rPr>
          <w:rFonts w:cstheme="minorHAnsi"/>
          <w:lang w:val="en-US"/>
        </w:rPr>
        <w:fldChar w:fldCharType="begin"/>
      </w:r>
      <w:r w:rsidRPr="00AD7B00">
        <w:rPr>
          <w:rFonts w:cstheme="minorHAnsi"/>
          <w:lang w:val="en-US"/>
        </w:rPr>
        <w:instrText xml:space="preserve"> ADDIN EN.CITE &lt;EndNote&gt;&lt;Cite  &gt;&lt;Author&gt;Eaton&lt;/Author&gt;&lt;Year&gt;2003&lt;/Year&gt;&lt;RecNum&gt;311&lt;/RecNum&gt;&lt;DisplayText&gt;(Eaton et al., 2003)&lt;/DisplayText&gt;&lt;record&gt;&lt;keywords&gt;&lt;keyword&gt;Diabetic Neuropathies -- Physiopathology&lt;/keyword&gt;&lt;keyword&gt;Neuralgia -- Physiopathology&lt;/keyword&gt;&lt;keyword&gt;Peroneal Nerve -- Physiopathology&lt;/keyword&gt;&lt;keyword&gt;Sural Nerve -- Blood Supply&lt;/keyword&gt;&lt;/keywords&gt;&lt;isbn&gt;0012-186X&lt;/isbn&gt;&lt;titles&gt;&lt;title&gt;Increased sural nerve epineurial blood flow in human subjects with painful diabetic neuropathy&lt;/title&gt;&lt;secondary-title&gt;Diabetologia&lt;/secondary-title&gt;&lt;/titles&gt;&lt;pages&gt;934&lt;/pages&gt;&lt;number&gt;7&lt;/number&gt;&lt;contributors&gt;&lt;authors&gt;&lt;author&gt;Eaton, S. E. M.&lt;/author&gt;&lt;author&gt;Harris, N. D.&lt;/author&gt;&lt;author&gt;Ibrahim, S.&lt;/author&gt;&lt;author&gt;Patel, K. A.&lt;/author&gt;&lt;author&gt;Selmi, F.&lt;/author&gt;&lt;author&gt;Radatz, M.&lt;/author&gt;&lt;author&gt;Ward, J. D.&lt;/author&gt;&lt;author&gt;Tesfaye, S.&lt;/author&gt;&lt;/authors&gt;&lt;/contributors&gt;&lt;added-date format="utc"&gt;1386463765&lt;/added-date&gt;&lt;ref-type name="Journal Article"&gt;17&lt;/ref-type&gt;&lt;dates&gt;&lt;year&gt;2003&lt;/year&gt;&lt;/dates&gt;&lt;rec-number&gt;311&lt;/rec-number&gt;&lt;last-updated-date format="utc"&gt;1387847341&lt;/last-updated-date&gt;&lt;volume&gt;46&lt;/volume&gt;&lt;/record&gt;&lt;/Cite&gt;&lt;/EndNote&gt;</w:instrText>
      </w:r>
      <w:r w:rsidRPr="00AD7B00">
        <w:rPr>
          <w:rFonts w:cstheme="minorHAnsi"/>
          <w:lang w:val="en-US"/>
        </w:rPr>
        <w:fldChar w:fldCharType="separate"/>
      </w:r>
      <w:r w:rsidRPr="00AD7B00">
        <w:rPr>
          <w:rFonts w:cstheme="minorHAnsi"/>
          <w:lang w:val="en-US"/>
        </w:rPr>
        <w:t>(Eaton et al., 2003)</w:t>
      </w:r>
      <w:r w:rsidRPr="00AD7B00">
        <w:rPr>
          <w:rFonts w:cstheme="minorHAnsi"/>
          <w:lang w:val="en-US"/>
        </w:rPr>
        <w:fldChar w:fldCharType="end"/>
      </w:r>
      <w:r w:rsidRPr="00AD7B00">
        <w:rPr>
          <w:rFonts w:cstheme="minorHAnsi"/>
        </w:rPr>
        <w:t xml:space="preserve">. </w:t>
      </w:r>
      <w:r w:rsidRPr="00AD7B00">
        <w:rPr>
          <w:rFonts w:cstheme="minorHAnsi"/>
          <w:shd w:val="clear" w:color="auto" w:fill="FFFFFF"/>
          <w:lang w:val="en-US"/>
        </w:rPr>
        <w:t xml:space="preserve">An impairment of foot skin endothelium-related vasodilation and C-fiber-mediated vasoconstriction has also been found in painful </w:t>
      </w:r>
      <w:proofErr w:type="spellStart"/>
      <w:r w:rsidRPr="00AD7B00">
        <w:rPr>
          <w:rFonts w:cstheme="minorHAnsi"/>
          <w:shd w:val="clear" w:color="auto" w:fill="FFFFFF"/>
          <w:lang w:val="en-US"/>
        </w:rPr>
        <w:t>DPN</w:t>
      </w:r>
      <w:proofErr w:type="spellEnd"/>
      <w:r w:rsidRPr="00AD7B00">
        <w:rPr>
          <w:rFonts w:cstheme="minorHAnsi"/>
          <w:shd w:val="clear" w:color="auto" w:fill="FFFFFF"/>
          <w:lang w:val="en-US"/>
        </w:rPr>
        <w:t xml:space="preserve"> </w:t>
      </w:r>
      <w:r w:rsidRPr="00AD7B00">
        <w:rPr>
          <w:rFonts w:cstheme="minorHAnsi"/>
          <w:shd w:val="clear" w:color="auto" w:fill="FFFFFF"/>
          <w:lang w:val="it-IT"/>
        </w:rPr>
        <w:fldChar w:fldCharType="begin"/>
      </w:r>
      <w:r w:rsidRPr="005B5764">
        <w:rPr>
          <w:rFonts w:cstheme="minorHAnsi"/>
          <w:shd w:val="clear" w:color="auto" w:fill="FFFFFF"/>
        </w:rPr>
        <w:instrText xml:space="preserve"> ADDIN EN.CITE &lt;EndNote&gt;&lt;Cite  &gt;&lt;Author&gt;Quattrini&lt;/Author&gt;&lt;Year&gt;2007&lt;/Year&gt;&lt;RecNum&gt;312&lt;/RecNum&gt;&lt;DisplayText&gt;(Quattrini et al., 2007)&lt;/DisplayText&gt;&lt;record&gt;&lt;keywords&gt;&lt;keyword&gt;Diabetic Neuropathies -- Physiopathology&lt;/keyword&gt;&lt;keyword&gt;Microcirculation -- Pathology&lt;/keyword&gt;&lt;keyword&gt;Neuritis -- Physiopathology&lt;/keyword&gt;&lt;keyword&gt;Skin -- Blood Supply&lt;/keyword&gt;&lt;keyword&gt;Skin -- Physiopathology&lt;/keyword&gt;&lt;/keywords&gt;&lt;titles&gt;&lt;title&gt;Impaired skin microvascular reactivity in painful diabetic neuropathy&lt;/title&gt;&lt;secondary-title&gt;Diabetes care&lt;/secondary-title&gt;&lt;/titles&gt;&lt;pages&gt;655&lt;/pages&gt;&lt;number&gt;3&lt;/number&gt;&lt;contributors&gt;&lt;authors&gt;&lt;author&gt;Quattrini, Cristian&lt;/author&gt;&lt;author&gt;Harris, Nigel D.&lt;/author&gt;&lt;author&gt;Malik, Rayaz A.&lt;/author&gt;&lt;author&gt;Tesfaye, Solomon&lt;/author&gt;&lt;/authors&gt;&lt;/contributors&gt;&lt;added-date format="utc"&gt;1386463801&lt;/added-date&gt;&lt;ref-type name="Journal Article"&gt;17&lt;/ref-type&gt;&lt;dates&gt;&lt;year&gt;2007&lt;/year&gt;&lt;/dates&gt;&lt;rec-number&gt;312&lt;/rec-number&gt;&lt;last-updated-date format="utc"&gt;1387847341&lt;/last-updated-date&gt;&lt;volume&gt;30&lt;/volume&gt;&lt;/record&gt;&lt;/Cite&gt;&lt;/EndNote&gt;</w:instrText>
      </w:r>
      <w:r w:rsidRPr="00AD7B00">
        <w:rPr>
          <w:rFonts w:cstheme="minorHAnsi"/>
          <w:shd w:val="clear" w:color="auto" w:fill="FFFFFF"/>
          <w:lang w:val="it-IT"/>
        </w:rPr>
        <w:fldChar w:fldCharType="separate"/>
      </w:r>
      <w:r w:rsidRPr="005B5764">
        <w:rPr>
          <w:rFonts w:cstheme="minorHAnsi"/>
          <w:shd w:val="clear" w:color="auto" w:fill="FFFFFF"/>
        </w:rPr>
        <w:t>(Quattrini et al., 2007)</w:t>
      </w:r>
      <w:r w:rsidRPr="00AD7B00">
        <w:rPr>
          <w:rFonts w:cstheme="minorHAnsi"/>
          <w:shd w:val="clear" w:color="auto" w:fill="FFFFFF"/>
          <w:lang w:val="it-IT"/>
        </w:rPr>
        <w:fldChar w:fldCharType="end"/>
      </w:r>
      <w:r w:rsidRPr="00AD7B00">
        <w:rPr>
          <w:rFonts w:cstheme="minorHAnsi"/>
          <w:shd w:val="clear" w:color="auto" w:fill="FFFFFF"/>
          <w:lang w:val="en-US"/>
        </w:rPr>
        <w:t xml:space="preserve">. These evidences support inappropriate local blood flow regulation in painful </w:t>
      </w:r>
      <w:proofErr w:type="spellStart"/>
      <w:r w:rsidRPr="00AD7B00">
        <w:rPr>
          <w:rFonts w:cstheme="minorHAnsi"/>
          <w:shd w:val="clear" w:color="auto" w:fill="FFFFFF"/>
          <w:lang w:val="en-US"/>
        </w:rPr>
        <w:t>DPN</w:t>
      </w:r>
      <w:proofErr w:type="spellEnd"/>
      <w:r w:rsidRPr="00AD7B00">
        <w:rPr>
          <w:rFonts w:cstheme="minorHAnsi"/>
          <w:shd w:val="clear" w:color="auto" w:fill="FFFFFF"/>
          <w:lang w:val="en-US"/>
        </w:rPr>
        <w:t xml:space="preserve"> which may have a role in the pathogenesis of pain in diabetic neuropathy.</w:t>
      </w:r>
    </w:p>
    <w:p w14:paraId="6F11357D" w14:textId="77777777" w:rsidR="00AF1A96" w:rsidRPr="00AD7B00" w:rsidRDefault="00AF1A96" w:rsidP="00AF1A96">
      <w:pPr>
        <w:pStyle w:val="Heading5"/>
        <w:rPr>
          <w:rFonts w:ascii="Cambria" w:hAnsi="Cambria" w:cstheme="minorHAnsi"/>
          <w:b/>
          <w:bCs/>
          <w:shd w:val="clear" w:color="auto" w:fill="FFFFFF"/>
        </w:rPr>
      </w:pPr>
      <w:bookmarkStart w:id="60" w:name="_Toc19"/>
      <w:r w:rsidRPr="00AD7B00">
        <w:rPr>
          <w:rFonts w:ascii="Cambria" w:eastAsia="Cambria" w:hAnsi="Cambria" w:cstheme="minorHAnsi"/>
          <w:b/>
          <w:bCs/>
          <w:shd w:val="clear" w:color="auto" w:fill="FFFFFF"/>
          <w:lang w:val="en-US"/>
        </w:rPr>
        <w:t>1.2.2.1c Vitamin D</w:t>
      </w:r>
      <w:bookmarkEnd w:id="60"/>
    </w:p>
    <w:p w14:paraId="023DF4D3" w14:textId="77777777" w:rsidR="00AF1A96" w:rsidRPr="00AD7B00" w:rsidRDefault="00AF1A96" w:rsidP="00AF1A96">
      <w:pPr>
        <w:pStyle w:val="BodyA"/>
        <w:rPr>
          <w:rFonts w:cstheme="minorHAnsi"/>
        </w:rPr>
      </w:pPr>
    </w:p>
    <w:p w14:paraId="1DE5F23C" w14:textId="0780B314" w:rsidR="00AF1A96" w:rsidRPr="00AD7B00" w:rsidRDefault="00AF1A96" w:rsidP="00AF1A96">
      <w:pPr>
        <w:pStyle w:val="BodyA"/>
        <w:spacing w:after="0" w:line="480" w:lineRule="auto"/>
        <w:jc w:val="both"/>
        <w:rPr>
          <w:rFonts w:cstheme="minorHAnsi"/>
        </w:rPr>
      </w:pPr>
      <w:r w:rsidRPr="00AD7B00">
        <w:rPr>
          <w:rFonts w:cstheme="minorHAnsi"/>
          <w:lang w:val="en-US"/>
        </w:rPr>
        <w:t xml:space="preserve">A recent meta-analysis of 6 observational studies found an association between serum vitamin D levels and </w:t>
      </w:r>
      <w:proofErr w:type="spellStart"/>
      <w:r w:rsidRPr="00AD7B00">
        <w:rPr>
          <w:rFonts w:cstheme="minorHAnsi"/>
          <w:lang w:val="en-US"/>
        </w:rPr>
        <w:t>DPN</w:t>
      </w:r>
      <w:proofErr w:type="spellEnd"/>
      <w:r w:rsidRPr="00AD7B00">
        <w:rPr>
          <w:rFonts w:cstheme="minorHAnsi"/>
          <w:lang w:val="en-US"/>
        </w:rPr>
        <w:t xml:space="preserve"> in subjects with type 2 diabetes (T2DM) </w:t>
      </w:r>
      <w:r w:rsidRPr="00AD7B00">
        <w:rPr>
          <w:rFonts w:cstheme="minorHAnsi"/>
          <w:lang w:val="en-US"/>
        </w:rPr>
        <w:fldChar w:fldCharType="begin"/>
      </w:r>
      <w:r w:rsidRPr="00AD7B00">
        <w:rPr>
          <w:rFonts w:cstheme="minorHAnsi"/>
          <w:lang w:val="en-US"/>
        </w:rPr>
        <w:instrText xml:space="preserve"> ADDIN EN.CITE &lt;EndNote&gt;&lt;Cite  &gt;&lt;Author&gt;Qu&lt;/Author&gt;&lt;Year&gt;2017&lt;/Year&gt;&lt;RecNum&gt;546&lt;/RecNum&gt;&lt;DisplayText&gt;(Qu et al., 2017)&lt;/DisplayText&gt;&lt;record&gt;&lt;dates&gt;&lt;pub-dates&gt;&lt;date&gt;Sep&lt;/date&gt;&lt;/pub-dates&gt;&lt;year&gt;2017&lt;/year&gt;&lt;/dates&gt;&lt;keywords&gt;&lt;keyword&gt;Diabetic peripheral neuropathy&lt;/keyword&gt;&lt;keyword&gt;Meta-analysis&lt;/keyword&gt;&lt;keyword&gt;Type 2 diabetes mellitus&lt;/keyword&gt;&lt;keyword&gt;Vitamin D&lt;/keyword&gt;&lt;/keywords&gt;&lt;urls&gt;&lt;related-urls&gt;&lt;url&gt;https://www.ncbi.nlm.nih.gov/pubmed/29067266&lt;/url&gt;&lt;/related-urls&gt;&lt;/urls&gt;&lt;isbn&gt;2214-6237&lt;/isbn&gt;&lt;custom2&gt;PMC5651294&lt;/custom2&gt;&lt;titles&gt;&lt;title&gt;The association between vitamin D level and diabetic peripheral neuropathy in patients with type 2 diabetes mellitus: An update systematic review and meta-analysis&lt;/title&gt;&lt;secondary-title&gt;J Clin Transl Endocrinol&lt;/secondary-title&gt;&lt;/titles&gt;&lt;pages&gt;25-31&lt;/pages&gt;&lt;contributors&gt;&lt;authors&gt;&lt;author&gt;Qu, G. B.&lt;/author&gt;&lt;author&gt;Wang, L. L.&lt;/author&gt;&lt;author&gt;Tang, X.&lt;/author&gt;&lt;author&gt;Wu, W.&lt;/author&gt;&lt;author&gt;Sun, Y. H.&lt;/author&gt;&lt;/authors&gt;&lt;/contributors&gt;&lt;edition&gt;2017/06/03&lt;/edition&gt;&lt;language&gt;eng&lt;/language&gt;&lt;added-date format="utc"&gt;1529869922&lt;/added-date&gt;&lt;ref-type name="Journal Article"&gt;17&lt;/ref-type&gt;&lt;rec-number&gt;546&lt;/rec-number&gt;&lt;last-updated-date format="utc"&gt;1529869922&lt;/last-updated-date&gt;&lt;accession-num&gt;29067266&lt;/accession-num&gt;&lt;electronic-resource-num&gt;10.1016/j.jcte.2017.04.001&lt;/electronic-resource-num&gt;&lt;volume&gt;9&lt;/volume&gt;&lt;/record&gt;&lt;/Cite&gt;&lt;/EndNote&gt;</w:instrText>
      </w:r>
      <w:r w:rsidRPr="00AD7B00">
        <w:rPr>
          <w:rFonts w:cstheme="minorHAnsi"/>
          <w:lang w:val="en-US"/>
        </w:rPr>
        <w:fldChar w:fldCharType="separate"/>
      </w:r>
      <w:r w:rsidRPr="00AD7B00">
        <w:rPr>
          <w:rFonts w:cstheme="minorHAnsi"/>
          <w:lang w:val="en-US"/>
        </w:rPr>
        <w:t>(Qu et al., 2017)</w:t>
      </w:r>
      <w:r w:rsidRPr="00AD7B00">
        <w:rPr>
          <w:rFonts w:cstheme="minorHAnsi"/>
          <w:lang w:val="en-US"/>
        </w:rPr>
        <w:fldChar w:fldCharType="end"/>
      </w:r>
      <w:r w:rsidRPr="00AD7B00">
        <w:rPr>
          <w:rFonts w:cstheme="minorHAnsi"/>
          <w:lang w:val="en-US"/>
        </w:rPr>
        <w:t xml:space="preserve">.  A number of clinical and animal studies have also examined the role of vitamin D in the pathogenesis of </w:t>
      </w:r>
      <w:proofErr w:type="spellStart"/>
      <w:r w:rsidRPr="00AD7B00">
        <w:rPr>
          <w:rFonts w:cstheme="minorHAnsi"/>
          <w:lang w:val="en-US"/>
        </w:rPr>
        <w:t>DPN</w:t>
      </w:r>
      <w:proofErr w:type="spellEnd"/>
      <w:r w:rsidRPr="00AD7B00">
        <w:rPr>
          <w:rFonts w:cstheme="minorHAnsi"/>
          <w:lang w:val="en-US"/>
        </w:rPr>
        <w:t xml:space="preserve"> and painful </w:t>
      </w:r>
      <w:proofErr w:type="spellStart"/>
      <w:r w:rsidRPr="00AD7B00">
        <w:rPr>
          <w:rFonts w:cstheme="minorHAnsi"/>
          <w:lang w:val="en-US"/>
        </w:rPr>
        <w:t>DPN</w:t>
      </w:r>
      <w:proofErr w:type="spellEnd"/>
      <w:r w:rsidRPr="00AD7B00">
        <w:rPr>
          <w:rFonts w:cstheme="minorHAnsi"/>
          <w:lang w:val="en-US"/>
        </w:rPr>
        <w:t xml:space="preserve">. Although the findings have been inconsistent and occasionally contradictory, they have linked serum vitamin D levels with </w:t>
      </w:r>
      <w:proofErr w:type="spellStart"/>
      <w:r w:rsidRPr="00AD7B00">
        <w:rPr>
          <w:rFonts w:cstheme="minorHAnsi"/>
          <w:lang w:val="en-US"/>
        </w:rPr>
        <w:t>DPN</w:t>
      </w:r>
      <w:proofErr w:type="spellEnd"/>
      <w:r w:rsidRPr="00AD7B00">
        <w:rPr>
          <w:rFonts w:cstheme="minorHAnsi"/>
          <w:lang w:val="en-US"/>
        </w:rPr>
        <w:t xml:space="preserve"> </w:t>
      </w:r>
      <w:r w:rsidRPr="00AD7B00">
        <w:rPr>
          <w:rFonts w:cstheme="minorHAnsi"/>
          <w:lang w:val="en-US"/>
        </w:rPr>
        <w:fldChar w:fldCharType="begin"/>
      </w:r>
      <w:r w:rsidRPr="00AD7B00">
        <w:rPr>
          <w:rFonts w:cstheme="minorHAnsi"/>
          <w:lang w:val="en-US"/>
        </w:rPr>
        <w:instrText xml:space="preserve"> ADDIN EN.CITE &lt;EndNote&gt;&lt;Cite  &gt;&lt;Author&gt;Soderstrom&lt;/Author&gt;&lt;Year&gt;2012&lt;/Year&gt;&lt;RecNum&gt;369&lt;/RecNum&gt;&lt;DisplayText&gt;(Soderstrom et al., 2012, Putz et al., 2014)&lt;/DisplayText&gt;&lt;record&gt;&lt;dates&gt;&lt;pub-dates&gt;&lt;date&gt;Jan&lt;/date&gt;&lt;/pub-dates&gt;&lt;year&gt;2012&lt;/year&gt;&lt;/dates&gt;&lt;urls&gt;&lt;related-urls&gt;&lt;url&gt;&amp;lt;Go to ISI&amp;gt;://WOS:000297792600009&lt;/url&gt;&lt;/related-urls&gt;&lt;/urls&gt;&lt;isbn&gt;0742-3071&lt;/isbn&gt;&lt;titles&gt;&lt;title&gt;Association between vitamin D and diabetic neuropathy in a nationally representative sample: results from 2001-2004 NHANES&lt;/title&gt;&lt;secondary-title&gt;Diabetic Medicine&lt;/secondary-title&gt;&lt;/titles&gt;&lt;pages&gt;50-55&lt;/pages&gt;&lt;number&gt;1&lt;/number&gt;&lt;contributors&gt;&lt;authors&gt;&lt;author&gt;Soderstrom, L. H.&lt;/author&gt;&lt;author&gt;Johnson, S. P.&lt;/author&gt;&lt;author&gt;Diaz, V. A.&lt;/author&gt;&lt;author&gt;Mainous, A. G., III&lt;/author&gt;&lt;/authors&gt;&lt;/contributors&gt;&lt;added-date format="utc"&gt;1428505086&lt;/added-date&gt;&lt;ref-type name="Journal Article"&gt;17&lt;/ref-type&gt;&lt;rec-number&gt;369&lt;/rec-number&gt;&lt;last-updated-date format="utc"&gt;1428505297&lt;/last-updated-date&gt;&lt;accession-num&gt;WOS:000297792600009&lt;/accession-num&gt;&lt;electronic-resource-num&gt;10.1111/j.1464-5491.2011.03379.x&lt;/electronic-resource-num&gt;&lt;volume&gt;29&lt;/volume&gt;&lt;/record&gt;&lt;/Cite&gt;&lt;Cite  &gt;&lt;Author&gt;Putz&lt;/Author&gt;&lt;Year&gt;2014&lt;/Year&gt;&lt;RecNum&gt;365&lt;/RecNum&gt;&lt;record&gt;&lt;dates&gt;&lt;pub-dates&gt;&lt;date&gt;Oct&lt;/date&gt;&lt;/pub-dates&gt;&lt;year&gt;2014&lt;/year&gt;&lt;/dates&gt;&lt;urls&gt;&lt;related-urls&gt;&lt;url&gt;&amp;lt;Go to ISI&amp;gt;://WOS:000341810900009&lt;/url&gt;&lt;/related-urls&gt;&lt;/urls&gt;&lt;isbn&gt;1534-4827&lt;/isbn&gt;&lt;titles&gt;&lt;title&gt;Is There an Association Between Diabetic Neuropathy and Low Vitamin D Levels?&lt;/title&gt;&lt;secondary-title&gt;Current Diabetes Reports&lt;/secondary-title&gt;&lt;/titles&gt;&lt;number&gt;10&lt;/number&gt;&lt;contributors&gt;&lt;authors&gt;&lt;author&gt;Putz, Zsuzsanna&lt;/author&gt;&lt;author&gt;Martos, Timea&lt;/author&gt;&lt;author&gt;Nemeth, Nora&lt;/author&gt;&lt;author&gt;Koerei, Anna Erzsebet&lt;/author&gt;&lt;author&gt;Vagi, Orsolya Erzsebet&lt;/author&gt;&lt;author&gt;Kempler, Miklos Soma&lt;/author&gt;&lt;author&gt;Kempler, Peter&lt;/author&gt;&lt;/authors&gt;&lt;/contributors&gt;&lt;custom7&gt;537&lt;/custom7&gt;&lt;added-date format="utc"&gt;1428504664&lt;/added-date&gt;&lt;ref-type name="Journal Article"&gt;17&lt;/ref-type&gt;&lt;rec-number&gt;365&lt;/rec-number&gt;&lt;last-updated-date format="utc"&gt;1428504743&lt;/last-updated-date&gt;&lt;accession-num&gt;WOS:000341810900009&lt;/accession-num&gt;&lt;electronic-resource-num&gt;10.1007/s11892-014-0537-6&lt;/electronic-resource-num&gt;&lt;volume&gt;14&lt;/volume&gt;&lt;/record&gt;&lt;/Cite&gt;&lt;/EndNote&gt;</w:instrText>
      </w:r>
      <w:r w:rsidRPr="00AD7B00">
        <w:rPr>
          <w:rFonts w:cstheme="minorHAnsi"/>
          <w:lang w:val="en-US"/>
        </w:rPr>
        <w:fldChar w:fldCharType="separate"/>
      </w:r>
      <w:r w:rsidRPr="00AD7B00">
        <w:rPr>
          <w:rFonts w:cstheme="minorHAnsi"/>
          <w:lang w:val="en-US"/>
        </w:rPr>
        <w:t>(Soderstrom et al., 2012, Putz et al., 2014)</w:t>
      </w:r>
      <w:r w:rsidRPr="00AD7B00">
        <w:rPr>
          <w:rFonts w:cstheme="minorHAnsi"/>
          <w:lang w:val="en-US"/>
        </w:rPr>
        <w:fldChar w:fldCharType="end"/>
      </w:r>
      <w:r w:rsidRPr="00AD7B00">
        <w:rPr>
          <w:rFonts w:cstheme="minorHAnsi"/>
          <w:lang w:val="en-US"/>
        </w:rPr>
        <w:t xml:space="preserve">. The mechanisms that underpin the associations between vitamin D levels and </w:t>
      </w:r>
      <w:proofErr w:type="spellStart"/>
      <w:r w:rsidRPr="00AD7B00">
        <w:rPr>
          <w:rFonts w:cstheme="minorHAnsi"/>
          <w:lang w:val="en-US"/>
        </w:rPr>
        <w:t>DPN</w:t>
      </w:r>
      <w:proofErr w:type="spellEnd"/>
      <w:r w:rsidRPr="00AD7B00">
        <w:rPr>
          <w:rFonts w:cstheme="minorHAnsi"/>
          <w:lang w:val="en-US"/>
        </w:rPr>
        <w:t xml:space="preserve"> are not fully understood </w:t>
      </w:r>
      <w:r w:rsidRPr="00AD7B00">
        <w:rPr>
          <w:rFonts w:cstheme="minorHAnsi"/>
          <w:lang w:val="en-US"/>
        </w:rPr>
        <w:fldChar w:fldCharType="begin"/>
      </w:r>
      <w:r w:rsidRPr="00AD7B00">
        <w:rPr>
          <w:rFonts w:cstheme="minorHAnsi"/>
          <w:lang w:val="en-US"/>
        </w:rPr>
        <w:instrText xml:space="preserve"> ADDIN EN.CITE &lt;EndNote&gt;&lt;Cite  &gt;&lt;Author&gt;Soderstrom&lt;/Author&gt;&lt;Year&gt;2012&lt;/Year&gt;&lt;RecNum&gt;369&lt;/RecNum&gt;&lt;DisplayText&gt;(Soderstrom et al., 2012, Putz et al., 2014)&lt;/DisplayText&gt;&lt;record&gt;&lt;dates&gt;&lt;pub-dates&gt;&lt;date&gt;Jan&lt;/date&gt;&lt;/pub-dates&gt;&lt;year&gt;2012&lt;/year&gt;&lt;/dates&gt;&lt;urls&gt;&lt;related-urls&gt;&lt;url&gt;&amp;lt;Go to ISI&amp;gt;://WOS:000297792600009&lt;/url&gt;&lt;/related-urls&gt;&lt;/urls&gt;&lt;isbn&gt;0742-3071&lt;/isbn&gt;&lt;titles&gt;&lt;title&gt;Association between vitamin D and diabetic neuropathy in a nationally representative sample: results from 2001-2004 NHANES&lt;/title&gt;&lt;secondary-title&gt;Diabetic Medicine&lt;/secondary-title&gt;&lt;/titles&gt;&lt;pages&gt;50-55&lt;/pages&gt;&lt;number&gt;1&lt;/number&gt;&lt;contributors&gt;&lt;authors&gt;&lt;author&gt;Soderstrom, L. H.&lt;/author&gt;&lt;author&gt;Johnson, S. P.&lt;/author&gt;&lt;author&gt;Diaz, V. A.&lt;/author&gt;&lt;author&gt;Mainous, A. G., III&lt;/author&gt;&lt;/authors&gt;&lt;/contributors&gt;&lt;added-date format="utc"&gt;1428505086&lt;/added-date&gt;&lt;ref-type name="Journal Article"&gt;17&lt;/ref-type&gt;&lt;rec-number&gt;369&lt;/rec-number&gt;&lt;last-updated-date format="utc"&gt;1428505297&lt;/last-updated-date&gt;&lt;accession-num&gt;WOS:000297792600009&lt;/accession-num&gt;&lt;electronic-resource-num&gt;10.1111/j.1464-5491.2011.03379.x&lt;/electronic-resource-num&gt;&lt;volume&gt;29&lt;/volume&gt;&lt;/record&gt;&lt;/Cite&gt;&lt;Cite  &gt;&lt;Author&gt;Putz&lt;/Author&gt;&lt;Year&gt;2014&lt;/Year&gt;&lt;RecNum&gt;365&lt;/RecNum&gt;&lt;record&gt;&lt;dates&gt;&lt;pub-dates&gt;&lt;date&gt;Oct&lt;/date&gt;&lt;/pub-dates&gt;&lt;year&gt;2014&lt;/year&gt;&lt;/dates&gt;&lt;urls&gt;&lt;related-urls&gt;&lt;url&gt;&amp;lt;Go to ISI&amp;gt;://WOS:000341810900009&lt;/url&gt;&lt;/related-urls&gt;&lt;/urls&gt;&lt;isbn&gt;1534-4827&lt;/isbn&gt;&lt;titles&gt;&lt;title&gt;Is There an Association Between Diabetic Neuropathy and Low Vitamin D Levels?&lt;/title&gt;&lt;secondary-title&gt;Current Diabetes Reports&lt;/secondary-title&gt;&lt;/titles&gt;&lt;number&gt;10&lt;/number&gt;&lt;contributors&gt;&lt;authors&gt;&lt;author&gt;Putz, Zsuzsanna&lt;/author&gt;&lt;author&gt;Martos, Timea&lt;/author&gt;&lt;author&gt;Nemeth, Nora&lt;/author&gt;&lt;author&gt;Koerei, Anna Erzsebet&lt;/author&gt;&lt;author&gt;Vagi, Orsolya Erzsebet&lt;/author&gt;&lt;author&gt;Kempler, Miklos Soma&lt;/author&gt;&lt;author&gt;Kempler, Peter&lt;/author&gt;&lt;/authors&gt;&lt;/contributors&gt;&lt;custom7&gt;537&lt;/custom7&gt;&lt;added-date format="utc"&gt;1428504664&lt;/added-date&gt;&lt;ref-type name="Journal Article"&gt;17&lt;/ref-type&gt;&lt;rec-number&gt;365&lt;/rec-number&gt;&lt;last-updated-date format="utc"&gt;1428504743&lt;/last-updated-date&gt;&lt;accession-num&gt;WOS:000341810900009&lt;/accession-num&gt;&lt;electronic-resource-num&gt;10.1007/s11892-014-0537-6&lt;/electronic-resource-num&gt;&lt;volume&gt;14&lt;/volume&gt;&lt;/record&gt;&lt;/Cite&gt;&lt;/EndNote&gt;</w:instrText>
      </w:r>
      <w:r w:rsidRPr="00AD7B00">
        <w:rPr>
          <w:rFonts w:cstheme="minorHAnsi"/>
          <w:lang w:val="en-US"/>
        </w:rPr>
        <w:fldChar w:fldCharType="separate"/>
      </w:r>
      <w:r w:rsidRPr="00AD7B00">
        <w:rPr>
          <w:rFonts w:cstheme="minorHAnsi"/>
          <w:lang w:val="en-US"/>
        </w:rPr>
        <w:t>(Soderstrom et al., 2012, Putz et al., 2014)</w:t>
      </w:r>
      <w:r w:rsidRPr="00AD7B00">
        <w:rPr>
          <w:rFonts w:cstheme="minorHAnsi"/>
          <w:lang w:val="en-US"/>
        </w:rPr>
        <w:fldChar w:fldCharType="end"/>
      </w:r>
      <w:r w:rsidRPr="00AD7B00">
        <w:rPr>
          <w:rFonts w:cstheme="minorHAnsi"/>
          <w:lang w:val="en-US"/>
        </w:rPr>
        <w:t xml:space="preserve">. Vitamin D deficiency has also been linked to hypertension </w:t>
      </w:r>
      <w:r w:rsidRPr="00AD7B00">
        <w:rPr>
          <w:rFonts w:cstheme="minorHAnsi"/>
          <w:lang w:val="en-US"/>
        </w:rPr>
        <w:fldChar w:fldCharType="begin"/>
      </w:r>
      <w:r w:rsidRPr="00AD7B00">
        <w:rPr>
          <w:rFonts w:cstheme="minorHAnsi"/>
          <w:lang w:val="en-US"/>
        </w:rPr>
        <w:instrText xml:space="preserve"> ADDIN EN.CITE &lt;EndNote&gt;&lt;Cite  &gt;&lt;Author&gt;Kunutsor&lt;/Author&gt;&lt;Year&gt;2013&lt;/Year&gt;&lt;RecNum&gt;395&lt;/RecNum&gt;&lt;DisplayText&gt;(Kunutsor et al., 2013, Forouhi et al., 2012)&lt;/DisplayText&gt;&lt;record&gt;&lt;dates&gt;&lt;pub-dates&gt;&lt;date&gt;Mar&lt;/date&gt;&lt;/pub-dates&gt;&lt;year&gt;2013&lt;/year&gt;&lt;/dates&gt;&lt;keywords&gt;&lt;keyword&gt;Biomarkers&lt;/keyword&gt;&lt;keyword&gt;Blood Pressure&lt;/keyword&gt;&lt;keyword&gt;Dietary Supplements&lt;/keyword&gt;&lt;keyword&gt;Dose-Response Relationship, Drug&lt;/keyword&gt;&lt;keyword&gt;Humans&lt;/keyword&gt;&lt;keyword&gt;Hypertension&lt;/keyword&gt;&lt;keyword&gt;Odds Ratio&lt;/keyword&gt;&lt;keyword&gt;Predictive Value of Tests&lt;/keyword&gt;&lt;keyword&gt;Prospective Studies&lt;/keyword&gt;&lt;keyword&gt;Risk Factors&lt;/keyword&gt;&lt;keyword&gt;Vitamin D&lt;/keyword&gt;&lt;/keywords&gt;&lt;urls&gt;&lt;related-urls&gt;&lt;url&gt;https://www.ncbi.nlm.nih.gov/pubmed/23456138&lt;/url&gt;&lt;/related-urls&gt;&lt;/urls&gt;&lt;isbn&gt;1573-7284&lt;/isbn&gt;&lt;titles&gt;&lt;title&gt;Vitamin D and risk of future hypertension: meta-analysis of 283,537 participants&lt;/title&gt;&lt;secondary-title&gt;Eur J Epidemiol&lt;/secondary-title&gt;&lt;/titles&gt;&lt;pages&gt;205-21&lt;/pages&gt;&lt;number&gt;3&lt;/number&gt;&lt;contributors&gt;&lt;authors&gt;&lt;author&gt;Kunutsor, S. K.&lt;/author&gt;&lt;author&gt;Apekey, T. A.&lt;/author&gt;&lt;author&gt;Steur, M.&lt;/author&gt;&lt;/authors&gt;&lt;/contributors&gt;&lt;language&gt;eng&lt;/language&gt;&lt;added-date format="utc"&gt;1468341881&lt;/added-date&gt;&lt;ref-type name="Journal Article"&gt;17&lt;/ref-type&gt;&lt;rec-number&gt;395&lt;/rec-number&gt;&lt;last-updated-date format="utc"&gt;1468341881&lt;/last-updated-date&gt;&lt;accession-num&gt;23456138&lt;/accession-num&gt;&lt;electronic-resource-num&gt;10.1007/s10654-013-9790-2&lt;/electronic-resource-num&gt;&lt;volume&gt;28&lt;/volume&gt;&lt;/record&gt;&lt;/Cite&gt;&lt;Cite  &gt;&lt;Author&gt;Forouhi&lt;/Author&gt;&lt;Year&gt;2012&lt;/Year&gt;&lt;RecNum&gt;397&lt;/RecNum&gt;&lt;record&gt;&lt;dates&gt;&lt;pub-dates&gt;&lt;date&gt;Aug&lt;/date&gt;&lt;/pub-dates&gt;&lt;year&gt;2012&lt;/year&gt;&lt;/dates&gt;&lt;keywords&gt;&lt;keyword&gt;Adult&lt;/keyword&gt;&lt;keyword&gt;Aged&lt;/keyword&gt;&lt;keyword&gt;Cohort Studies&lt;/keyword&gt;&lt;keyword&gt;Diabetes Mellitus, Type 2&lt;/keyword&gt;&lt;keyword&gt;England&lt;/keyword&gt;&lt;keyword&gt;European Continental Ancestry Group&lt;/keyword&gt;&lt;keyword&gt;Female&lt;/keyword&gt;&lt;keyword&gt;Humans&lt;/keyword&gt;&lt;keyword&gt;Incidence&lt;/keyword&gt;&lt;keyword&gt;Male&lt;/keyword&gt;&lt;keyword&gt;Middle Aged&lt;/keyword&gt;&lt;keyword&gt;Prospective Studies&lt;/keyword&gt;&lt;keyword&gt;Risk Factors&lt;/keyword&gt;&lt;keyword&gt;Vitamin D&lt;/keyword&gt;&lt;/keywords&gt;&lt;urls&gt;&lt;related-urls&gt;&lt;url&gt;https://www.ncbi.nlm.nih.gov/pubmed/22526608&lt;/url&gt;&lt;/related-urls&gt;&lt;/urls&gt;&lt;isbn&gt;1432-0428&lt;/isbn&gt;&lt;titles&gt;&lt;title&gt;Circulating 25-hydroxyvitamin D concentration and the risk of type 2 diabetes: results from the European Prospective Investigation into Cancer (EPIC)-Norfolk cohort and updated meta-analysis of prospective studies&lt;/title&gt;&lt;secondary-title&gt;Diabetologia&lt;/secondary-title&gt;&lt;/titles&gt;&lt;pages&gt;2173-82&lt;/pages&gt;&lt;number&gt;8&lt;/number&gt;&lt;contributors&gt;&lt;authors&gt;&lt;author&gt;Forouhi, N. G.&lt;/author&gt;&lt;author&gt;Ye, Z.&lt;/author&gt;&lt;author&gt;Rickard, A. P.&lt;/author&gt;&lt;author&gt;Khaw, K. T.&lt;/author&gt;&lt;author&gt;Luben, R.&lt;/author&gt;&lt;author&gt;Langenberg, C.&lt;/author&gt;&lt;author&gt;Wareham, N. J.&lt;/author&gt;&lt;/authors&gt;&lt;/contributors&gt;&lt;language&gt;eng&lt;/language&gt;&lt;added-date format="utc"&gt;1468342159&lt;/added-date&gt;&lt;ref-type name="Journal Article"&gt;17&lt;/ref-type&gt;&lt;rec-number&gt;397&lt;/rec-number&gt;&lt;last-updated-date format="utc"&gt;1468342159&lt;/last-updated-date&gt;&lt;accession-num&gt;22526608&lt;/accession-num&gt;&lt;electronic-resource-num&gt;10.1007/s00125-012-2544-y&lt;/electronic-resource-num&gt;&lt;volume&gt;55&lt;/volume&gt;&lt;/record&gt;&lt;/Cite&gt;&lt;/EndNote&gt;</w:instrText>
      </w:r>
      <w:r w:rsidRPr="00AD7B00">
        <w:rPr>
          <w:rFonts w:cstheme="minorHAnsi"/>
          <w:lang w:val="en-US"/>
        </w:rPr>
        <w:fldChar w:fldCharType="separate"/>
      </w:r>
      <w:r w:rsidRPr="00AD7B00">
        <w:rPr>
          <w:rFonts w:cstheme="minorHAnsi"/>
          <w:lang w:val="en-US"/>
        </w:rPr>
        <w:t>(Kunutsor et al., 2013, Forouhi et al., 2012)</w:t>
      </w:r>
      <w:r w:rsidRPr="00AD7B00">
        <w:rPr>
          <w:rFonts w:cstheme="minorHAnsi"/>
          <w:lang w:val="en-US"/>
        </w:rPr>
        <w:fldChar w:fldCharType="end"/>
      </w:r>
      <w:r w:rsidRPr="00AD7B00">
        <w:rPr>
          <w:rFonts w:cstheme="minorHAnsi"/>
          <w:lang w:val="en-US"/>
        </w:rPr>
        <w:t xml:space="preserve"> and </w:t>
      </w:r>
      <w:proofErr w:type="spellStart"/>
      <w:r w:rsidRPr="00AD7B00">
        <w:rPr>
          <w:rFonts w:cstheme="minorHAnsi"/>
          <w:lang w:val="en-US"/>
        </w:rPr>
        <w:t>dyslipidaemia</w:t>
      </w:r>
      <w:proofErr w:type="spellEnd"/>
      <w:r w:rsidRPr="00AD7B00">
        <w:rPr>
          <w:rFonts w:cstheme="minorHAnsi"/>
          <w:lang w:val="en-US"/>
        </w:rPr>
        <w:t xml:space="preserve"> </w:t>
      </w:r>
      <w:r w:rsidRPr="00AD7B00">
        <w:rPr>
          <w:rFonts w:cstheme="minorHAnsi"/>
          <w:lang w:val="en-US"/>
        </w:rPr>
        <w:fldChar w:fldCharType="begin"/>
      </w:r>
      <w:r w:rsidRPr="00AD7B00">
        <w:rPr>
          <w:rFonts w:cstheme="minorHAnsi"/>
          <w:lang w:val="en-US"/>
        </w:rPr>
        <w:instrText xml:space="preserve"> ADDIN EN.CITE &lt;EndNote&gt;&lt;Cite  &gt;&lt;Author&gt;Jorde&lt;/Author&gt;&lt;Year&gt;2011&lt;/Year&gt;&lt;RecNum&gt;398&lt;/RecNum&gt;&lt;DisplayText&gt;(Jorde and Grimnes, 2011)&lt;/DisplayText&gt;&lt;record&gt;&lt;dates&gt;&lt;pub-dates&gt;&lt;date&gt;Oct&lt;/date&gt;&lt;/pub-dates&gt;&lt;year&gt;2011&lt;/year&gt;&lt;/dates&gt;&lt;keywords&gt;&lt;keyword&gt;25-Hydroxyvitamin D3 1-alpha-Hydroxylase&lt;/keyword&gt;&lt;keyword&gt;Cardiovascular Diseases&lt;/keyword&gt;&lt;keyword&gt;Cholesterol, HDL&lt;/keyword&gt;&lt;keyword&gt;Cholesterol, LDL&lt;/keyword&gt;&lt;keyword&gt;Cross-Sectional Studies&lt;/keyword&gt;&lt;keyword&gt;Diabetes Mellitus, Type 2&lt;/keyword&gt;&lt;keyword&gt;Double-Blind Method&lt;/keyword&gt;&lt;keyword&gt;Female&lt;/keyword&gt;&lt;keyword&gt;Humans&lt;/keyword&gt;&lt;keyword&gt;Hypertension&lt;/keyword&gt;&lt;keyword&gt;Male&lt;/keyword&gt;&lt;keyword&gt;Obesity&lt;/keyword&gt;&lt;keyword&gt;Randomized Controlled Trials as Topic&lt;/keyword&gt;&lt;keyword&gt;Triglycerides&lt;/keyword&gt;&lt;keyword&gt;Vitamin D&lt;/keyword&gt;&lt;keyword&gt;Vitamin D Deficiency&lt;/keyword&gt;&lt;/keywords&gt;&lt;urls&gt;&lt;related-urls&gt;&lt;url&gt;https://www.ncbi.nlm.nih.gov/pubmed/21640757&lt;/url&gt;&lt;/related-urls&gt;&lt;/urls&gt;&lt;isbn&gt;1873-2194&lt;/isbn&gt;&lt;titles&gt;&lt;title&gt;Vitamin D and metabolic health with special reference to the effect of vitamin D on serum lipids&lt;/title&gt;&lt;secondary-title&gt;Prog Lipid Res&lt;/secondary-title&gt;&lt;/titles&gt;&lt;pages&gt;303-12&lt;/pages&gt;&lt;number&gt;4&lt;/number&gt;&lt;contributors&gt;&lt;authors&gt;&lt;author&gt;Jorde, R.&lt;/author&gt;&lt;author&gt;Grimnes, G.&lt;/author&gt;&lt;/authors&gt;&lt;/contributors&gt;&lt;language&gt;eng&lt;/language&gt;&lt;added-date format="utc"&gt;1468342311&lt;/added-date&gt;&lt;ref-type name="Journal Article"&gt;17&lt;/ref-type&gt;&lt;rec-number&gt;398&lt;/rec-number&gt;&lt;last-updated-date format="utc"&gt;1468342311&lt;/last-updated-date&gt;&lt;accession-num&gt;21640757&lt;/accession-num&gt;&lt;electronic-resource-num&gt;10.1016/j.plipres.2011.05.001&lt;/electronic-resource-num&gt;&lt;volume&gt;50&lt;/volume&gt;&lt;/record&gt;&lt;/Cite&gt;&lt;/EndNote&gt;</w:instrText>
      </w:r>
      <w:r w:rsidRPr="00AD7B00">
        <w:rPr>
          <w:rFonts w:cstheme="minorHAnsi"/>
          <w:lang w:val="en-US"/>
        </w:rPr>
        <w:fldChar w:fldCharType="separate"/>
      </w:r>
      <w:r w:rsidRPr="00AD7B00">
        <w:rPr>
          <w:rFonts w:cstheme="minorHAnsi"/>
          <w:lang w:val="en-US"/>
        </w:rPr>
        <w:t>(Jorde and Grimnes, 2011)</w:t>
      </w:r>
      <w:r w:rsidRPr="00AD7B00">
        <w:rPr>
          <w:rFonts w:cstheme="minorHAnsi"/>
          <w:lang w:val="en-US"/>
        </w:rPr>
        <w:fldChar w:fldCharType="end"/>
      </w:r>
      <w:r w:rsidRPr="00AD7B00">
        <w:rPr>
          <w:rFonts w:cstheme="minorHAnsi"/>
          <w:lang w:val="en-US"/>
        </w:rPr>
        <w:t xml:space="preserve">, and those cardiovascular factors have been implicated as independent risk factors for </w:t>
      </w:r>
      <w:proofErr w:type="spellStart"/>
      <w:r w:rsidRPr="00AD7B00">
        <w:rPr>
          <w:rFonts w:cstheme="minorHAnsi"/>
          <w:lang w:val="en-US"/>
        </w:rPr>
        <w:t>DPN</w:t>
      </w:r>
      <w:proofErr w:type="spellEnd"/>
      <w:r w:rsidRPr="00AD7B00">
        <w:rPr>
          <w:rFonts w:cstheme="minorHAnsi"/>
          <w:lang w:val="en-US"/>
        </w:rPr>
        <w:t xml:space="preserve"> </w:t>
      </w:r>
      <w:r w:rsidRPr="00AD7B00">
        <w:rPr>
          <w:rFonts w:cstheme="minorHAnsi"/>
          <w:lang w:val="en-US"/>
        </w:rPr>
        <w:fldChar w:fldCharType="begin"/>
      </w:r>
      <w:r w:rsidRPr="00AD7B00">
        <w:rPr>
          <w:rFonts w:cstheme="minorHAnsi"/>
          <w:lang w:val="en-US"/>
        </w:rPr>
        <w:instrText xml:space="preserve"> ADDIN EN.CITE &lt;EndNote&gt;&lt;Cite  &gt;&lt;Author&gt;Tesfaye&lt;/Author&gt;&lt;Year&gt;2005&lt;/Year&gt;&lt;RecNum&gt;470&lt;/RecNum&gt;&lt;DisplayText&gt;(Tesfaye and Kempler, 2005)&lt;/DisplayText&gt;&lt;record&gt;&lt;keywords&gt;&lt;keyword&gt;Diabetic Neuropathies -- Physiopathology&lt;/keyword&gt;&lt;keyword&gt;Neuralgia -- Physiopathology&lt;/keyword&gt;&lt;/keywords&gt;&lt;isbn&gt;0012-186X&lt;/isbn&gt;&lt;titles&gt;&lt;title&gt;Painful diabetic neuropathy&lt;/title&gt;&lt;secondary-title&gt;Diabetologia&lt;/secondary-title&gt;&lt;/titles&gt;&lt;pages&gt;805&lt;/pages&gt;&lt;number&gt;5&lt;/number&gt;&lt;contributors&gt;&lt;authors&gt;&lt;author&gt;Tesfaye, S.&lt;/author&gt;&lt;author&gt;Kempler, P.&lt;/author&gt;&lt;/authors&gt;&lt;/contributors&gt;&lt;added-date format="utc"&gt;1508448834&lt;/added-date&gt;&lt;ref-type name="Journal Article"&gt;17&lt;/ref-type&gt;&lt;dates&gt;&lt;year&gt;2005&lt;/year&gt;&lt;/dates&gt;&lt;rec-number&gt;470&lt;/rec-number&gt;&lt;last-updated-date format="utc"&gt;1508448834&lt;/last-updated-date&gt;&lt;volume&gt;48&lt;/volume&gt;&lt;/record&gt;&lt;/Cite&gt;&lt;/EndNote&gt;</w:instrText>
      </w:r>
      <w:r w:rsidRPr="00AD7B00">
        <w:rPr>
          <w:rFonts w:cstheme="minorHAnsi"/>
          <w:lang w:val="en-US"/>
        </w:rPr>
        <w:fldChar w:fldCharType="separate"/>
      </w:r>
      <w:r w:rsidRPr="00AD7B00">
        <w:rPr>
          <w:rFonts w:cstheme="minorHAnsi"/>
          <w:lang w:val="en-US"/>
        </w:rPr>
        <w:t>(Tesfaye and Kempler, 2005)</w:t>
      </w:r>
      <w:r w:rsidRPr="00AD7B00">
        <w:rPr>
          <w:rFonts w:cstheme="minorHAnsi"/>
          <w:lang w:val="en-US"/>
        </w:rPr>
        <w:fldChar w:fldCharType="end"/>
      </w:r>
      <w:r w:rsidRPr="00AD7B00">
        <w:rPr>
          <w:rFonts w:cstheme="minorHAnsi"/>
          <w:lang w:val="en-US"/>
        </w:rPr>
        <w:t>. Nerve growth factor (</w:t>
      </w:r>
      <w:proofErr w:type="spellStart"/>
      <w:r w:rsidRPr="00AD7B00">
        <w:rPr>
          <w:rFonts w:cstheme="minorHAnsi"/>
          <w:lang w:val="en-US"/>
        </w:rPr>
        <w:t>NGF</w:t>
      </w:r>
      <w:proofErr w:type="spellEnd"/>
      <w:r w:rsidRPr="00AD7B00">
        <w:rPr>
          <w:rFonts w:cstheme="minorHAnsi"/>
          <w:lang w:val="en-US"/>
        </w:rPr>
        <w:t xml:space="preserve">) as described above, is a target-derived protein which regulates the phenotype and sensitivity of nociceptor </w:t>
      </w:r>
      <w:proofErr w:type="spellStart"/>
      <w:r w:rsidRPr="00AD7B00">
        <w:rPr>
          <w:rFonts w:cstheme="minorHAnsi"/>
          <w:lang w:val="en-US"/>
        </w:rPr>
        <w:lastRenderedPageBreak/>
        <w:t>fibres</w:t>
      </w:r>
      <w:proofErr w:type="spellEnd"/>
      <w:r w:rsidRPr="00AD7B00">
        <w:rPr>
          <w:rFonts w:cstheme="minorHAnsi"/>
          <w:lang w:val="en-US"/>
        </w:rPr>
        <w:t>, and its deficiency may lead to the development of clinical diabetic small-</w:t>
      </w:r>
      <w:proofErr w:type="spellStart"/>
      <w:r w:rsidRPr="00AD7B00">
        <w:rPr>
          <w:rFonts w:cstheme="minorHAnsi"/>
          <w:lang w:val="en-US"/>
        </w:rPr>
        <w:t>fibre</w:t>
      </w:r>
      <w:proofErr w:type="spellEnd"/>
      <w:r w:rsidRPr="00AD7B00">
        <w:rPr>
          <w:rFonts w:cstheme="minorHAnsi"/>
          <w:lang w:val="en-US"/>
        </w:rPr>
        <w:t xml:space="preserve"> neuropathy </w:t>
      </w:r>
      <w:r w:rsidRPr="00AD7B00">
        <w:rPr>
          <w:rFonts w:cstheme="minorHAnsi"/>
          <w:lang w:val="en-US"/>
        </w:rPr>
        <w:fldChar w:fldCharType="begin"/>
      </w:r>
      <w:r w:rsidRPr="00AD7B00">
        <w:rPr>
          <w:rFonts w:cstheme="minorHAnsi"/>
          <w:lang w:val="en-US"/>
        </w:rPr>
        <w:instrText xml:space="preserve"> ADDIN EN.CITE &lt;EndNote&gt;&lt;Cite  &gt;&lt;Author&gt;Anand&lt;/Author&gt;&lt;Year&gt;1996&lt;/Year&gt;&lt;RecNum&gt;417&lt;/RecNum&gt;&lt;DisplayText&gt;(Anand et al., 1996)&lt;/DisplayText&gt;&lt;record&gt;&lt;dates&gt;&lt;pub-dates&gt;&lt;date&gt;Jun&lt;/date&gt;&lt;/pub-dates&gt;&lt;year&gt;1996&lt;/year&gt;&lt;/dates&gt;&lt;keywords&gt;&lt;keyword&gt;Adolescent&lt;/keyword&gt;&lt;keyword&gt;Adult&lt;/keyword&gt;&lt;keyword&gt;Axons&lt;/keyword&gt;&lt;keyword&gt;Diabetic Neuropathies&lt;/keyword&gt;&lt;keyword&gt;Female&lt;/keyword&gt;&lt;keyword&gt;Foot&lt;/keyword&gt;&lt;keyword&gt;Humans&lt;/keyword&gt;&lt;keyword&gt;Male&lt;/keyword&gt;&lt;keyword&gt;Nerve Growth Factors&lt;/keyword&gt;&lt;keyword&gt;Reflex&lt;/keyword&gt;&lt;keyword&gt;Sensation&lt;/keyword&gt;&lt;keyword&gt;Skin&lt;/keyword&gt;&lt;keyword&gt;Substance P&lt;/keyword&gt;&lt;/keywords&gt;&lt;urls&gt;&lt;related-urls&gt;&lt;url&gt;https://www.ncbi.nlm.nih.gov/pubmed/8640566&lt;/url&gt;&lt;/related-urls&gt;&lt;/urls&gt;&lt;isbn&gt;1078-8956&lt;/isbn&gt;&lt;titles&gt;&lt;title&gt;The role of endogenous nerve growth factor in human diabetic neuropathy&lt;/title&gt;&lt;secondary-title&gt;Nat Med&lt;/secondary-title&gt;&lt;/titles&gt;&lt;pages&gt;703-7&lt;/pages&gt;&lt;number&gt;6&lt;/number&gt;&lt;contributors&gt;&lt;authors&gt;&lt;author&gt;Anand, P.&lt;/author&gt;&lt;author&gt;Terenghi, G.&lt;/author&gt;&lt;author&gt;Warner, G.&lt;/author&gt;&lt;author&gt;Kopelman, P.&lt;/author&gt;&lt;author&gt;Williams-Chestnut, R. E.&lt;/author&gt;&lt;author&gt;Sinicropi, D. V.&lt;/author&gt;&lt;/authors&gt;&lt;/contributors&gt;&lt;language&gt;eng&lt;/language&gt;&lt;added-date format="utc"&gt;1481225634&lt;/added-date&gt;&lt;ref-type name="Journal Article"&gt;17&lt;/ref-type&gt;&lt;rec-number&gt;417&lt;/rec-number&gt;&lt;last-updated-date format="utc"&gt;1481225634&lt;/last-updated-date&gt;&lt;accession-num&gt;8640566&lt;/accession-num&gt;&lt;volume&gt;2&lt;/volume&gt;&lt;/record&gt;&lt;/Cite&gt;&lt;/EndNote&gt;</w:instrText>
      </w:r>
      <w:r w:rsidRPr="00AD7B00">
        <w:rPr>
          <w:rFonts w:cstheme="minorHAnsi"/>
          <w:lang w:val="en-US"/>
        </w:rPr>
        <w:fldChar w:fldCharType="separate"/>
      </w:r>
      <w:r w:rsidRPr="00AD7B00">
        <w:rPr>
          <w:rFonts w:cstheme="minorHAnsi"/>
          <w:lang w:val="en-US"/>
        </w:rPr>
        <w:t>(Anand et al., 1996)</w:t>
      </w:r>
      <w:r w:rsidRPr="00AD7B00">
        <w:rPr>
          <w:rFonts w:cstheme="minorHAnsi"/>
          <w:lang w:val="en-US"/>
        </w:rPr>
        <w:fldChar w:fldCharType="end"/>
      </w:r>
      <w:r w:rsidRPr="00AD7B00">
        <w:rPr>
          <w:rFonts w:cstheme="minorHAnsi"/>
          <w:lang w:val="en-US"/>
        </w:rPr>
        <w:t xml:space="preserve">. A vitamin D3 derivative, induced </w:t>
      </w:r>
      <w:proofErr w:type="spellStart"/>
      <w:r w:rsidRPr="00AD7B00">
        <w:rPr>
          <w:rFonts w:cstheme="minorHAnsi"/>
          <w:lang w:val="en-US"/>
        </w:rPr>
        <w:t>NGF</w:t>
      </w:r>
      <w:proofErr w:type="spellEnd"/>
      <w:r w:rsidRPr="00AD7B00">
        <w:rPr>
          <w:rFonts w:cstheme="minorHAnsi"/>
          <w:lang w:val="en-US"/>
        </w:rPr>
        <w:t xml:space="preserve"> and prevented neurotrophic deficits in streptozotocin-diabetic rats </w:t>
      </w:r>
      <w:r w:rsidRPr="00AD7B00">
        <w:rPr>
          <w:rFonts w:cstheme="minorHAnsi"/>
          <w:lang w:val="en-US"/>
        </w:rPr>
        <w:fldChar w:fldCharType="begin"/>
      </w:r>
      <w:r w:rsidRPr="00AD7B00">
        <w:rPr>
          <w:rFonts w:cstheme="minorHAnsi"/>
          <w:lang w:val="en-US"/>
        </w:rPr>
        <w:instrText xml:space="preserve"> ADDIN EN.CITE &lt;EndNote&gt;&lt;Cite  &gt;&lt;Author&gt;Riaz&lt;/Author&gt;&lt;Year&gt;1999&lt;/Year&gt;&lt;RecNum&gt;415&lt;/RecNum&gt;&lt;DisplayText&gt;(Riaz and Tomlinson, 1999)&lt;/DisplayText&gt;&lt;record&gt;&lt;dates&gt;&lt;pub-dates&gt;&lt;date&gt;Jan&lt;/date&gt;&lt;/pub-dates&gt;&lt;year&gt;1999&lt;/year&gt;&lt;/dates&gt;&lt;keywords&gt;&lt;keyword&gt;Animals&lt;/keyword&gt;&lt;keyword&gt;Biological Transport, Active&lt;/keyword&gt;&lt;keyword&gt;Calcitonin Gene-Related Peptide&lt;/keyword&gt;&lt;keyword&gt;Clenbuterol&lt;/keyword&gt;&lt;keyword&gt;Diabetes Mellitus, Experimental&lt;/keyword&gt;&lt;keyword&gt;Hindlimb&lt;/keyword&gt;&lt;keyword&gt;Homeostasis&lt;/keyword&gt;&lt;keyword&gt;Male&lt;/keyword&gt;&lt;keyword&gt;Muscle, Skeletal&lt;/keyword&gt;&lt;keyword&gt;Nerve Growth Factors&lt;/keyword&gt;&lt;keyword&gt;Rats&lt;/keyword&gt;&lt;keyword&gt;Rats, Wistar&lt;/keyword&gt;&lt;keyword&gt;Sciatic Nerve&lt;/keyword&gt;&lt;keyword&gt;Substance P&lt;/keyword&gt;&lt;/keywords&gt;&lt;urls&gt;&lt;related-urls&gt;&lt;url&gt;https://www.ncbi.nlm.nih.gov/pubmed/11221812&lt;/url&gt;&lt;/related-urls&gt;&lt;/urls&gt;&lt;isbn&gt;1462-8902&lt;/isbn&gt;&lt;titles&gt;&lt;title&gt;Clenbuterol stimulates neurotrophic support in streptozotocin-diabetic rats&lt;/title&gt;&lt;secondary-title&gt;Diabetes Obes Metab&lt;/secondary-title&gt;&lt;/titles&gt;&lt;pages&gt;43-51&lt;/pages&gt;&lt;number&gt;1&lt;/number&gt;&lt;contributors&gt;&lt;authors&gt;&lt;author&gt;Riaz, S. S.&lt;/author&gt;&lt;author&gt;Tomlinson, D. R.&lt;/author&gt;&lt;/authors&gt;&lt;/contributors&gt;&lt;language&gt;ENG&lt;/language&gt;&lt;added-date format="utc"&gt;1480283382&lt;/added-date&gt;&lt;ref-type name="Journal Article"&gt;17&lt;/ref-type&gt;&lt;rec-number&gt;415&lt;/rec-number&gt;&lt;last-updated-date format="utc"&gt;1480283382&lt;/last-updated-date&gt;&lt;accession-num&gt;11221812&lt;/accession-num&gt;&lt;volume&gt;1&lt;/volume&gt;&lt;/record&gt;&lt;/Cite&gt;&lt;/EndNote&gt;</w:instrText>
      </w:r>
      <w:r w:rsidRPr="00AD7B00">
        <w:rPr>
          <w:rFonts w:cstheme="minorHAnsi"/>
          <w:lang w:val="en-US"/>
        </w:rPr>
        <w:fldChar w:fldCharType="separate"/>
      </w:r>
      <w:r w:rsidRPr="00AD7B00">
        <w:rPr>
          <w:rFonts w:cstheme="minorHAnsi"/>
          <w:lang w:val="en-US"/>
        </w:rPr>
        <w:t>(Riaz and Tomlinson, 1999)</w:t>
      </w:r>
      <w:r w:rsidRPr="00AD7B00">
        <w:rPr>
          <w:rFonts w:cstheme="minorHAnsi"/>
          <w:lang w:val="en-US"/>
        </w:rPr>
        <w:fldChar w:fldCharType="end"/>
      </w:r>
      <w:r w:rsidRPr="00AD7B00">
        <w:rPr>
          <w:rFonts w:cstheme="minorHAnsi"/>
          <w:lang w:val="en-US"/>
        </w:rPr>
        <w:t xml:space="preserve">. A recent study has shown positive correlation between vitamin D and serum </w:t>
      </w:r>
      <w:proofErr w:type="spellStart"/>
      <w:r w:rsidRPr="00AD7B00">
        <w:rPr>
          <w:rFonts w:cstheme="minorHAnsi"/>
          <w:lang w:val="en-US"/>
        </w:rPr>
        <w:t>NGF</w:t>
      </w:r>
      <w:proofErr w:type="spellEnd"/>
      <w:r w:rsidRPr="00AD7B00">
        <w:rPr>
          <w:rFonts w:cstheme="minorHAnsi"/>
          <w:lang w:val="en-US"/>
        </w:rPr>
        <w:t xml:space="preserve"> in subjects with type 1 diabetes and neuropathy </w:t>
      </w:r>
      <w:r w:rsidRPr="00AD7B00">
        <w:rPr>
          <w:rFonts w:cstheme="minorHAnsi"/>
          <w:lang w:val="en-US"/>
        </w:rPr>
        <w:fldChar w:fldCharType="begin"/>
      </w:r>
      <w:r w:rsidRPr="00AD7B00">
        <w:rPr>
          <w:rFonts w:cstheme="minorHAnsi"/>
          <w:lang w:val="en-US"/>
        </w:rPr>
        <w:instrText xml:space="preserve"> ADDIN EN.CITE &lt;EndNote&gt;&lt;Cite  &gt;&lt;Author&gt;Ozuguz&lt;/Author&gt;&lt;Year&gt;2016&lt;/Year&gt;&lt;DisplayText&gt;(Ozuguz et al., 2016)&lt;/DisplayText&gt;&lt;record&gt;&lt;dates&gt;&lt;pub-dates&gt;&lt;date&gt;Jul&lt;/date&gt;&lt;/pub-dates&gt;&lt;year&gt;2016&lt;/year&gt;&lt;/dates&gt;&lt;urls&gt;&lt;related-urls&gt;&lt;url&gt;https://www.ncbi.nlm.nih.gov/pubmed/27436228&lt;/url&gt;&lt;/related-urls&gt;&lt;/urls&gt;&lt;isbn&gt;1720-8386&lt;/isbn&gt;&lt;titles&gt;&lt;title&gt;Does vitamin D have any role in the improvement of diabetic peripheral neuropathy in type 1 diabetic patients?&lt;/title&gt;&lt;secondary-title&gt;J Endocrinol Invest&lt;/secondary-title&gt;&lt;/titles&gt;&lt;contributors&gt;&lt;authors&gt;&lt;author&gt;Ozuguz, U.&lt;/author&gt;&lt;author&gt;Oruc, S.&lt;/author&gt;&lt;author&gt;Ulu, M. S.&lt;/author&gt;&lt;author&gt;Demirbas, H.&lt;/author&gt;&lt;author&gt;Acay, A.&lt;/author&gt;&lt;author&gt;Coker, B.&lt;/author&gt;&lt;author&gt;Beyazıt, B.&lt;/author&gt;&lt;author&gt;Yaman, M.&lt;/author&gt;&lt;author&gt;Koken, T.&lt;/author&gt;&lt;/authors&gt;&lt;/contributors&gt;&lt;language&gt;ENG&lt;/language&gt;&lt;added-date format="utc"&gt;1471288056&lt;/added-date&gt;&lt;ref-type name="Journal Article"&gt;17&lt;/ref-type&gt;&lt;rec-number&gt;401&lt;/rec-number&gt;&lt;last-updated-date format="utc"&gt;1471288056&lt;/last-updated-date&gt;&lt;accession-num&gt;27436228&lt;/accession-num&gt;&lt;electronic-resource-num&gt;10.1007/s40618-016-0509-6&lt;/electronic-resource-num&gt;&lt;/record&gt;&lt;/Cite&gt;&lt;/EndNote&gt;</w:instrText>
      </w:r>
      <w:r w:rsidRPr="00AD7B00">
        <w:rPr>
          <w:rFonts w:cstheme="minorHAnsi"/>
          <w:lang w:val="en-US"/>
        </w:rPr>
        <w:fldChar w:fldCharType="separate"/>
      </w:r>
      <w:r w:rsidRPr="00AD7B00">
        <w:rPr>
          <w:rFonts w:cstheme="minorHAnsi"/>
          <w:lang w:val="en-US"/>
        </w:rPr>
        <w:t>(Ozuguz et al., 2016)</w:t>
      </w:r>
      <w:r w:rsidRPr="00AD7B00">
        <w:rPr>
          <w:rFonts w:cstheme="minorHAnsi"/>
          <w:lang w:val="en-US"/>
        </w:rPr>
        <w:fldChar w:fldCharType="end"/>
      </w:r>
      <w:r w:rsidRPr="00AD7B00">
        <w:rPr>
          <w:rFonts w:cstheme="minorHAnsi"/>
          <w:lang w:val="en-US"/>
        </w:rPr>
        <w:t xml:space="preserve">. A study in rodents reported deactivation of vitamin D by the CYP24A1 enzyme in the presence of glucotoxicity </w:t>
      </w:r>
      <w:r w:rsidRPr="00AD7B00">
        <w:rPr>
          <w:rFonts w:cstheme="minorHAnsi"/>
          <w:lang w:val="en-US"/>
        </w:rPr>
        <w:fldChar w:fldCharType="begin"/>
      </w:r>
      <w:r w:rsidRPr="00AD7B00">
        <w:rPr>
          <w:rFonts w:cstheme="minorHAnsi"/>
          <w:lang w:val="en-US"/>
        </w:rPr>
        <w:instrText xml:space="preserve"> ADDIN EN.CITE &lt;EndNote&gt;&lt;Cite  &gt;&lt;Author&gt;Zhou&lt;/Author&gt;&lt;Year&gt;2015&lt;/Year&gt;&lt;RecNum&gt;364&lt;/RecNum&gt;&lt;DisplayText&gt;(Zhou et al., 2015)&lt;/DisplayText&gt;&lt;record&gt;&lt;keywords&gt;&lt;keyword&gt;Cyp24a1&lt;/keyword&gt;&lt;keyword&gt;1,25( Oh) 2 D 3&lt;/keyword&gt;&lt;keyword&gt;High Glucose&lt;/keyword&gt;&lt;/keywords&gt;&lt;isbn&gt;0303-7207&lt;/isbn&gt;&lt;titles&gt;&lt;title&gt;High glucose upregulates CYP24A1 expression which attenuates the ability of 1,25( OH) 2D3 to increase NGF secretion in a rat Schwann cell line RSC96&lt;/title&gt;&lt;secondary-title&gt;Molecular and Cellular Endocrinology&lt;/secondary-title&gt;&lt;/titles&gt;&lt;pages&gt;75-81&lt;/pages&gt;&lt;contributors&gt;&lt;authors&gt;&lt;author&gt;Zhou, Yi-Kun&lt;/author&gt;&lt;author&gt;Liang, Zhi&lt;/author&gt;&lt;author&gt;Guo, Yan&lt;/author&gt;&lt;author&gt;Zhang, Hua-Tang&lt;/author&gt;&lt;author&gt;Wang, Kun-Hua&lt;/author&gt;&lt;/authors&gt;&lt;/contributors&gt;&lt;added-date format="utc"&gt;1428504275&lt;/added-date&gt;&lt;ref-type name="Journal Article"&gt;17&lt;/ref-type&gt;&lt;dates&gt;&lt;year&gt;2015&lt;/year&gt;&lt;/dates&gt;&lt;rec-number&gt;364&lt;/rec-number&gt;&lt;last-updated-date format="utc"&gt;1428504743&lt;/last-updated-date&gt;&lt;electronic-resource-num&gt;10.1016/j.mce.2015.01.005&lt;/electronic-resource-num&gt;&lt;volume&gt;404&lt;/volume&gt;&lt;/record&gt;&lt;/Cite&gt;&lt;/EndNote&gt;</w:instrText>
      </w:r>
      <w:r w:rsidRPr="00AD7B00">
        <w:rPr>
          <w:rFonts w:cstheme="minorHAnsi"/>
          <w:lang w:val="en-US"/>
        </w:rPr>
        <w:fldChar w:fldCharType="separate"/>
      </w:r>
      <w:r w:rsidRPr="00AD7B00">
        <w:rPr>
          <w:rFonts w:cstheme="minorHAnsi"/>
          <w:lang w:val="en-US"/>
        </w:rPr>
        <w:t>(Zhou et al., 2015)</w:t>
      </w:r>
      <w:r w:rsidRPr="00AD7B00">
        <w:rPr>
          <w:rFonts w:cstheme="minorHAnsi"/>
          <w:lang w:val="en-US"/>
        </w:rPr>
        <w:fldChar w:fldCharType="end"/>
      </w:r>
      <w:r w:rsidRPr="00AD7B00">
        <w:rPr>
          <w:rFonts w:cstheme="minorHAnsi"/>
          <w:lang w:val="en-US"/>
        </w:rPr>
        <w:t xml:space="preserve">. This may result in decreased vitamin D mediated </w:t>
      </w:r>
      <w:proofErr w:type="spellStart"/>
      <w:r w:rsidRPr="00AD7B00">
        <w:rPr>
          <w:rFonts w:cstheme="minorHAnsi"/>
          <w:lang w:val="en-US"/>
        </w:rPr>
        <w:t>NGF</w:t>
      </w:r>
      <w:proofErr w:type="spellEnd"/>
      <w:r w:rsidRPr="00AD7B00">
        <w:rPr>
          <w:rFonts w:cstheme="minorHAnsi"/>
          <w:lang w:val="en-US"/>
        </w:rPr>
        <w:t xml:space="preserve"> secretion, which in turn could lead to a predominantly small nerve-</w:t>
      </w:r>
      <w:proofErr w:type="spellStart"/>
      <w:r w:rsidRPr="00AD7B00">
        <w:rPr>
          <w:rFonts w:cstheme="minorHAnsi"/>
          <w:lang w:val="en-US"/>
        </w:rPr>
        <w:t>fibre</w:t>
      </w:r>
      <w:proofErr w:type="spellEnd"/>
      <w:r w:rsidRPr="00AD7B00">
        <w:rPr>
          <w:rFonts w:cstheme="minorHAnsi"/>
          <w:lang w:val="en-US"/>
        </w:rPr>
        <w:t xml:space="preserve"> neuropathy. Pain sensitivity associated with low vitamin D levels may also be directly mediated by its action on dorsal root ganglia and specifically small nerve-</w:t>
      </w:r>
      <w:proofErr w:type="spellStart"/>
      <w:r w:rsidRPr="00AD7B00">
        <w:rPr>
          <w:rFonts w:cstheme="minorHAnsi"/>
          <w:lang w:val="en-US"/>
        </w:rPr>
        <w:t>fibres</w:t>
      </w:r>
      <w:proofErr w:type="spellEnd"/>
      <w:r w:rsidRPr="00AD7B00">
        <w:rPr>
          <w:rFonts w:cstheme="minorHAnsi"/>
          <w:lang w:val="en-US"/>
        </w:rPr>
        <w:t xml:space="preserve"> </w:t>
      </w:r>
      <w:r w:rsidRPr="00AD7B00">
        <w:rPr>
          <w:rFonts w:cstheme="minorHAnsi"/>
          <w:lang w:val="en-US"/>
        </w:rPr>
        <w:fldChar w:fldCharType="begin"/>
      </w:r>
      <w:r w:rsidRPr="00AD7B00">
        <w:rPr>
          <w:rFonts w:cstheme="minorHAnsi"/>
          <w:lang w:val="en-US"/>
        </w:rPr>
        <w:instrText xml:space="preserve"> ADDIN EN.CITE &lt;EndNote&gt;&lt;Cite  &gt;&lt;Author&gt;Filipovic&lt;/Author&gt;&lt;Year&gt;2013&lt;/Year&gt;&lt;RecNum&gt;372&lt;/RecNum&gt;&lt;DisplayText&gt;(Filipovic et al., 2013)&lt;/DisplayText&gt;&lt;record&gt;&lt;dates&gt;&lt;pub-dates&gt;&lt;date&gt;Aug 9&lt;/date&gt;&lt;/pub-dates&gt;&lt;year&gt;2013&lt;/year&gt;&lt;/dates&gt;&lt;urls&gt;&lt;related-urls&gt;&lt;url&gt;&amp;lt;Go to ISI&amp;gt;://WOS:000323140000028&lt;/url&gt;&lt;/related-urls&gt;&lt;/urls&gt;&lt;isbn&gt;0304-3940&lt;/isbn&gt;&lt;titles&gt;&lt;title&gt;Increased vitamin D receptor expression in dorsal root ganglia neurons of diabetic rats&lt;/title&gt;&lt;secondary-title&gt;Neuroscience Letters&lt;/secondary-title&gt;&lt;/titles&gt;&lt;pages&gt;140-145&lt;/pages&gt;&lt;contributors&gt;&lt;authors&gt;&lt;author&gt;Filipovic, Natalija&lt;/author&gt;&lt;author&gt;Ferhatovic, Lejla&lt;/author&gt;&lt;author&gt;Marelja, Ivana&lt;/author&gt;&lt;author&gt;Puljak, Livia&lt;/author&gt;&lt;author&gt;Grkovic, Ivica&lt;/author&gt;&lt;/authors&gt;&lt;/contributors&gt;&lt;added-date format="utc"&gt;1428586630&lt;/added-date&gt;&lt;ref-type name="Journal Article"&gt;17&lt;/ref-type&gt;&lt;rec-number&gt;372&lt;/rec-number&gt;&lt;last-updated-date format="utc"&gt;1428586630&lt;/last-updated-date&gt;&lt;accession-num&gt;WOS:000323140000028&lt;/accession-num&gt;&lt;electronic-resource-num&gt;10.1016/j.neulet.2013.05.023&lt;/electronic-resource-num&gt;&lt;volume&gt;549&lt;/volume&gt;&lt;/record&gt;&lt;/Cite&gt;&lt;/EndNote&gt;</w:instrText>
      </w:r>
      <w:r w:rsidRPr="00AD7B00">
        <w:rPr>
          <w:rFonts w:cstheme="minorHAnsi"/>
          <w:lang w:val="en-US"/>
        </w:rPr>
        <w:fldChar w:fldCharType="separate"/>
      </w:r>
      <w:r w:rsidRPr="00AD7B00">
        <w:rPr>
          <w:rFonts w:cstheme="minorHAnsi"/>
          <w:lang w:val="en-US"/>
        </w:rPr>
        <w:t>(Filipovic et al., 2013)</w:t>
      </w:r>
      <w:r w:rsidRPr="00AD7B00">
        <w:rPr>
          <w:rFonts w:cstheme="minorHAnsi"/>
          <w:lang w:val="en-US"/>
        </w:rPr>
        <w:fldChar w:fldCharType="end"/>
      </w:r>
      <w:r w:rsidRPr="00AD7B00">
        <w:rPr>
          <w:rFonts w:cstheme="minorHAnsi"/>
          <w:lang w:val="en-US"/>
        </w:rPr>
        <w:t xml:space="preserve">.  Many of the studies reporting an association between low vitamin D levels and </w:t>
      </w:r>
      <w:proofErr w:type="spellStart"/>
      <w:r w:rsidRPr="00AD7B00">
        <w:rPr>
          <w:rFonts w:cstheme="minorHAnsi"/>
          <w:lang w:val="en-US"/>
        </w:rPr>
        <w:t>DPN</w:t>
      </w:r>
      <w:proofErr w:type="spellEnd"/>
      <w:r w:rsidRPr="00AD7B00">
        <w:rPr>
          <w:rFonts w:cstheme="minorHAnsi"/>
          <w:lang w:val="en-US"/>
        </w:rPr>
        <w:t xml:space="preserve"> did not differentiate subjects with </w:t>
      </w:r>
      <w:r w:rsidR="000446B6" w:rsidRPr="00AD7B00">
        <w:rPr>
          <w:rFonts w:cstheme="minorHAnsi"/>
          <w:lang w:val="en-US"/>
        </w:rPr>
        <w:t>painful and</w:t>
      </w:r>
      <w:r w:rsidRPr="00AD7B00">
        <w:rPr>
          <w:rFonts w:cstheme="minorHAnsi"/>
          <w:lang w:val="en-US"/>
        </w:rPr>
        <w:t xml:space="preserve"> painless </w:t>
      </w:r>
      <w:proofErr w:type="spellStart"/>
      <w:r w:rsidRPr="00AD7B00">
        <w:rPr>
          <w:rFonts w:cstheme="minorHAnsi"/>
          <w:lang w:val="en-US"/>
        </w:rPr>
        <w:t>DPN</w:t>
      </w:r>
      <w:proofErr w:type="spellEnd"/>
      <w:r w:rsidRPr="00AD7B00">
        <w:rPr>
          <w:rFonts w:cstheme="minorHAnsi"/>
          <w:lang w:val="en-US"/>
        </w:rPr>
        <w:t xml:space="preserve"> or assess small-</w:t>
      </w:r>
      <w:proofErr w:type="spellStart"/>
      <w:r w:rsidRPr="00AD7B00">
        <w:rPr>
          <w:rFonts w:cstheme="minorHAnsi"/>
          <w:lang w:val="en-US"/>
        </w:rPr>
        <w:t>fibre</w:t>
      </w:r>
      <w:proofErr w:type="spellEnd"/>
      <w:r w:rsidRPr="00AD7B00">
        <w:rPr>
          <w:rFonts w:cstheme="minorHAnsi"/>
          <w:lang w:val="en-US"/>
        </w:rPr>
        <w:t xml:space="preserve"> function and morphology on skin biopsy. Moreover, studies did not evaluate major confounding factors including seasonal sunlight exposure and daily activity. Although the study findings so far have been inconsistent and occasionally contradictory, the above evidences support a possible link between vitamin D deficiency and painful </w:t>
      </w:r>
      <w:proofErr w:type="spellStart"/>
      <w:r w:rsidRPr="00AD7B00">
        <w:rPr>
          <w:rFonts w:cstheme="minorHAnsi"/>
          <w:lang w:val="en-US"/>
        </w:rPr>
        <w:t>DPN</w:t>
      </w:r>
      <w:proofErr w:type="spellEnd"/>
      <w:r w:rsidRPr="00AD7B00">
        <w:rPr>
          <w:rFonts w:cstheme="minorHAnsi"/>
          <w:lang w:val="en-US"/>
        </w:rPr>
        <w:t>. Future prospective interventional trials may be needed to prove causality.</w:t>
      </w:r>
    </w:p>
    <w:p w14:paraId="198AA864" w14:textId="04FC0E23" w:rsidR="00AF1A96" w:rsidRPr="00AD7B00" w:rsidRDefault="00AF1A96" w:rsidP="00AF1A96">
      <w:pPr>
        <w:pStyle w:val="Heading5"/>
        <w:rPr>
          <w:rFonts w:ascii="Cambria" w:hAnsi="Cambria" w:cstheme="minorHAnsi"/>
          <w:b/>
          <w:bCs/>
        </w:rPr>
      </w:pPr>
      <w:bookmarkStart w:id="61" w:name="_Toc20"/>
      <w:r w:rsidRPr="00AD7B00">
        <w:rPr>
          <w:rFonts w:ascii="Cambria" w:eastAsia="Cambria" w:hAnsi="Cambria" w:cstheme="minorHAnsi"/>
          <w:b/>
          <w:bCs/>
          <w:color w:val="000000"/>
          <w:u w:color="000000"/>
          <w:lang w:val="en-US"/>
        </w:rPr>
        <w:t>1.2.2.1</w:t>
      </w:r>
      <w:r w:rsidRPr="00AD7B00">
        <w:rPr>
          <w:rFonts w:ascii="Cambria" w:eastAsia="Cambria" w:hAnsi="Cambria" w:cstheme="minorHAnsi"/>
          <w:b/>
          <w:bCs/>
          <w:lang w:val="en-US"/>
        </w:rPr>
        <w:t>d Sodium Channels</w:t>
      </w:r>
      <w:bookmarkEnd w:id="61"/>
    </w:p>
    <w:p w14:paraId="776ABE78" w14:textId="77777777" w:rsidR="00AF1A96" w:rsidRPr="00AD7B00" w:rsidRDefault="00AF1A96" w:rsidP="00AF1A96">
      <w:pPr>
        <w:pStyle w:val="BodyA"/>
        <w:rPr>
          <w:rFonts w:cstheme="minorHAnsi"/>
        </w:rPr>
      </w:pPr>
    </w:p>
    <w:p w14:paraId="5519FFFF" w14:textId="77777777" w:rsidR="00AF1A96" w:rsidRPr="00AD7B00" w:rsidRDefault="00AF1A96" w:rsidP="00AF1A96">
      <w:pPr>
        <w:pStyle w:val="BodyA"/>
        <w:spacing w:line="480" w:lineRule="auto"/>
        <w:jc w:val="both"/>
        <w:rPr>
          <w:rFonts w:cstheme="minorHAnsi"/>
          <w:color w:val="231F20"/>
          <w:u w:color="231F20"/>
        </w:rPr>
      </w:pPr>
      <w:r w:rsidRPr="00AD7B00">
        <w:rPr>
          <w:rFonts w:cstheme="minorHAnsi"/>
          <w:color w:val="231F20"/>
          <w:u w:color="231F20"/>
          <w:lang w:val="en-US"/>
        </w:rPr>
        <w:t xml:space="preserve">The raised electrical excitability in the peripheral nerves is thought to be the contributing factor for generating ectopic impulses </w:t>
      </w:r>
      <w:r w:rsidRPr="00AD7B00">
        <w:rPr>
          <w:rFonts w:cstheme="minorHAnsi"/>
          <w:color w:val="231F20"/>
          <w:u w:color="231F20"/>
          <w:lang w:val="de-DE"/>
        </w:rPr>
        <w:fldChar w:fldCharType="begin"/>
      </w:r>
      <w:r w:rsidRPr="005B5764">
        <w:rPr>
          <w:rFonts w:cstheme="minorHAnsi"/>
          <w:color w:val="231F20"/>
          <w:u w:color="231F20"/>
        </w:rPr>
        <w:instrText xml:space="preserve"> ADDIN EN.CITE &lt;EndNote&gt;&lt;Cite  &gt;&lt;Author&gt;Bierhaus&lt;/Author&gt;&lt;Year&gt;2012&lt;/Year&gt;&lt;DisplayText&gt;(Bierhaus et al., 2012)&lt;/DisplayText&gt;&lt;record&gt;&lt;isbn&gt;1078-8956&lt;/isbn&gt;&lt;titles&gt;&lt;title&gt;Methylglyoxal modification of Nav1.8 facilitates nociceptive neuron firing and causes hyperalgesia in diabetic neuropathy&lt;/title&gt;&lt;secondary-title&gt;Nature Medicine&lt;/secondary-title&gt;&lt;/titles&gt;&lt;pages&gt;1445-1445&lt;/pages&gt;&lt;number&gt;9&lt;/number&gt;&lt;contributors&gt;&lt;authors&gt;&lt;author&gt;Bierhaus, Angelika&lt;/author&gt;&lt;author&gt;Fleming, Thomas&lt;/author&gt;&lt;author&gt;Stoyanov, Stoyan&lt;/author&gt;&lt;author&gt;Leffler, Andreas&lt;/author&gt;&lt;author&gt;Babes, Alexandru&lt;/author&gt;&lt;author&gt;Neacsu, Cristian&lt;/author&gt;&lt;author&gt;Sauer, Susanne K.&lt;/author&gt;&lt;author&gt;Eberhardt, Mirjam&lt;/author&gt;&lt;author&gt;Schnölzer, Martina&lt;/author&gt;&lt;author&gt;Lasischka, Felix&lt;/author&gt;&lt;author&gt;Neuhuber, Winfried L.&lt;/author&gt;&lt;author&gt;Kichko, Tatjana I.&lt;/author&gt;&lt;author&gt;Konrade, Ilze&lt;/author&gt;&lt;author&gt;Elvert, Ralf&lt;/author&gt;&lt;author&gt;Mier, Walter&lt;/author&gt;&lt;author&gt;Pirags, Valdis&lt;/author&gt;&lt;author&gt;Lukic, Ivan K.&lt;/author&gt;&lt;author&gt;Morcos, Michael&lt;/author&gt;&lt;author&gt;Dehmer, Thomas&lt;/author&gt;&lt;author&gt;Rabbani, Naila&lt;/author&gt;&lt;author&gt;Thornalley, Paul J.&lt;/author&gt;&lt;author&gt;Edelstein, Diane&lt;/author&gt;&lt;author&gt;Nau, Carla&lt;/author&gt;&lt;author&gt;Forbes, Josephine&lt;/author&gt;&lt;author&gt;Humpert, Per M.&lt;/author&gt;&lt;author&gt;Schwaninger, Markus&lt;/author&gt;&lt;author&gt;Ziegler, Dan&lt;/author&gt;&lt;author&gt;Stern, David M.&lt;/author&gt;&lt;author&gt;Cooper, Mark E.&lt;/author&gt;&lt;author&gt;Haberkorn, Uwe&lt;/author&gt;&lt;author&gt;Brownlee, Michael&lt;/author&gt;&lt;author&gt;Reeh, Peter W.&lt;/author&gt;&lt;author&gt;Nawroth, Peter P.&lt;/author&gt;&lt;/authors&gt;&lt;/contributors&gt;&lt;added-date format="utc"&gt;1383766651&lt;/added-date&gt;&lt;ref-type name="Journal Article"&gt;17&lt;/ref-type&gt;&lt;dates&gt;&lt;year&gt;2012&lt;/year&gt;&lt;/dates&gt;&lt;rec-number&gt;168&lt;/rec-number&gt;&lt;last-updated-date format="utc"&gt;1383766685&lt;/last-updated-date&gt;&lt;electronic-resource-num&gt;10.1038/nm0912-1445c&lt;/electronic-resource-num&gt;&lt;volume&gt;18&lt;/volume&gt;&lt;/record&gt;&lt;/Cite&gt;&lt;/EndNote&gt;</w:instrText>
      </w:r>
      <w:r w:rsidRPr="00AD7B00">
        <w:rPr>
          <w:rFonts w:cstheme="minorHAnsi"/>
          <w:color w:val="231F20"/>
          <w:u w:color="231F20"/>
          <w:lang w:val="de-DE"/>
        </w:rPr>
        <w:fldChar w:fldCharType="separate"/>
      </w:r>
      <w:r w:rsidRPr="005B5764">
        <w:rPr>
          <w:rFonts w:cstheme="minorHAnsi"/>
          <w:color w:val="231F20"/>
          <w:u w:color="231F20"/>
        </w:rPr>
        <w:t>(Bierhaus et al., 2012)</w:t>
      </w:r>
      <w:r w:rsidRPr="00AD7B00">
        <w:rPr>
          <w:rFonts w:cstheme="minorHAnsi"/>
          <w:color w:val="231F20"/>
          <w:u w:color="231F20"/>
          <w:lang w:val="de-DE"/>
        </w:rPr>
        <w:fldChar w:fldCharType="end"/>
      </w:r>
      <w:r w:rsidRPr="00AD7B00">
        <w:rPr>
          <w:rFonts w:cstheme="minorHAnsi"/>
          <w:color w:val="231F20"/>
          <w:u w:color="231F20"/>
          <w:lang w:val="en-US"/>
        </w:rPr>
        <w:t>. The changes in neuronal voltage-gated sodium channels (</w:t>
      </w:r>
      <w:proofErr w:type="spellStart"/>
      <w:r w:rsidRPr="00AD7B00">
        <w:rPr>
          <w:rFonts w:cstheme="minorHAnsi"/>
          <w:color w:val="231F20"/>
          <w:u w:color="231F20"/>
          <w:lang w:val="en-US"/>
        </w:rPr>
        <w:t>VGSCs</w:t>
      </w:r>
      <w:proofErr w:type="spellEnd"/>
      <w:r w:rsidRPr="00AD7B00">
        <w:rPr>
          <w:rFonts w:cstheme="minorHAnsi"/>
          <w:color w:val="231F20"/>
          <w:u w:color="231F20"/>
          <w:lang w:val="en-US"/>
        </w:rPr>
        <w:t xml:space="preserve">), which trigger, shape and propagate action potentials, might explain the increased excitability. They are integral membrane proteins and constitutes one large α-subunit and smaller auxiliary β-subunits. The α-subunit forms the voltage-sensitive and ion-selective pore that mediates voltage-dependent </w:t>
      </w:r>
      <w:r w:rsidRPr="00AD7B00">
        <w:rPr>
          <w:rFonts w:cstheme="minorHAnsi"/>
          <w:color w:val="231F20"/>
          <w:u w:color="231F20"/>
          <w:lang w:val="en-US"/>
        </w:rPr>
        <w:lastRenderedPageBreak/>
        <w:t xml:space="preserve">gating and conductance, and β-subunits modulate the kinetics and voltage dependence of channel gating and facilitate membrane localization of the complex. One particular </w:t>
      </w:r>
      <w:proofErr w:type="spellStart"/>
      <w:r w:rsidRPr="00AD7B00">
        <w:rPr>
          <w:rFonts w:cstheme="minorHAnsi"/>
          <w:color w:val="231F20"/>
          <w:u w:color="231F20"/>
          <w:lang w:val="en-US"/>
        </w:rPr>
        <w:t>VGSC</w:t>
      </w:r>
      <w:proofErr w:type="spellEnd"/>
      <w:r w:rsidRPr="00AD7B00">
        <w:rPr>
          <w:rFonts w:cstheme="minorHAnsi"/>
          <w:color w:val="231F20"/>
          <w:u w:color="231F20"/>
          <w:lang w:val="en-US"/>
        </w:rPr>
        <w:t>, tetrodotoxin-resistant (</w:t>
      </w:r>
      <w:proofErr w:type="spellStart"/>
      <w:r w:rsidRPr="00AD7B00">
        <w:rPr>
          <w:rFonts w:cstheme="minorHAnsi"/>
          <w:color w:val="231F20"/>
          <w:u w:color="231F20"/>
          <w:lang w:val="en-US"/>
        </w:rPr>
        <w:t>TTXr</w:t>
      </w:r>
      <w:proofErr w:type="spellEnd"/>
      <w:r w:rsidRPr="00AD7B00">
        <w:rPr>
          <w:rFonts w:cstheme="minorHAnsi"/>
          <w:color w:val="231F20"/>
          <w:u w:color="231F20"/>
          <w:lang w:val="en-US"/>
        </w:rPr>
        <w:t xml:space="preserve">) Nav1.8, is exclusively expressed in pain </w:t>
      </w:r>
      <w:proofErr w:type="spellStart"/>
      <w:r w:rsidRPr="00AD7B00">
        <w:rPr>
          <w:rFonts w:cstheme="minorHAnsi"/>
          <w:color w:val="231F20"/>
          <w:u w:color="231F20"/>
          <w:lang w:val="en-US"/>
        </w:rPr>
        <w:t>signalling</w:t>
      </w:r>
      <w:proofErr w:type="spellEnd"/>
      <w:r w:rsidRPr="00AD7B00">
        <w:rPr>
          <w:rFonts w:cstheme="minorHAnsi"/>
          <w:color w:val="231F20"/>
          <w:u w:color="231F20"/>
          <w:lang w:val="en-US"/>
        </w:rPr>
        <w:t xml:space="preserve"> neurons or nociceptors </w:t>
      </w:r>
      <w:r w:rsidRPr="00AD7B00">
        <w:rPr>
          <w:rFonts w:cstheme="minorHAnsi"/>
          <w:color w:val="231F20"/>
          <w:u w:color="231F20"/>
          <w:lang w:val="pt-PT"/>
        </w:rPr>
        <w:fldChar w:fldCharType="begin"/>
      </w:r>
      <w:r w:rsidRPr="005B5764">
        <w:rPr>
          <w:rFonts w:cstheme="minorHAnsi"/>
          <w:color w:val="231F20"/>
          <w:u w:color="231F20"/>
        </w:rPr>
        <w:instrText xml:space="preserve"> ADDIN EN.CITE &lt;EndNote&gt;&lt;Cite  &gt;&lt;Author&gt;Silos-santiago&lt;/Author&gt;&lt;Year&gt;2008&lt;/Year&gt;&lt;RecNum&gt;234&lt;/RecNum&gt;&lt;DisplayText&gt;(Silos-santiago and Silos-Santiago, 2008)&lt;/DisplayText&gt;&lt;record&gt;&lt;keywords/&gt;&lt;isbn&gt;1472-4472&lt;/isbn&gt;&lt;titles&gt;&lt;title&gt;The role of tetrodotoxin- resistant sodium channels in pain states: are they the next target for analgesic drugs?&lt;/title&gt;&lt;secondary-title&gt;Current opinion in investigational drugs (London, England : 2000)&lt;/secondary-title&gt;&lt;/titles&gt;&lt;pages&gt;83&lt;/pages&gt;&lt;number&gt;1&lt;/number&gt;&lt;contributors&gt;&lt;authors&gt;&lt;author&gt;Silos-santiago, Inmaculada&lt;/author&gt;&lt;author&gt;Silos-Santiago, Inmaculada&lt;/author&gt;&lt;/authors&gt;&lt;/contributors&gt;&lt;added-date format="utc"&gt;1385819263&lt;/added-date&gt;&lt;ref-type name="Journal Article"&gt;17&lt;/ref-type&gt;&lt;dates&gt;&lt;year&gt;2008&lt;/year&gt;&lt;/dates&gt;&lt;rec-number&gt;234&lt;/rec-number&gt;&lt;last-updated-date format="utc"&gt;1385819263&lt;/last-updated-date&gt;&lt;volume&gt;9&lt;/volume&gt;&lt;/record&gt;&lt;/Cite&gt;&lt;/EndNote&gt;</w:instrText>
      </w:r>
      <w:r w:rsidRPr="00AD7B00">
        <w:rPr>
          <w:rFonts w:cstheme="minorHAnsi"/>
          <w:color w:val="231F20"/>
          <w:u w:color="231F20"/>
          <w:lang w:val="pt-PT"/>
        </w:rPr>
        <w:fldChar w:fldCharType="separate"/>
      </w:r>
      <w:r w:rsidRPr="005B5764">
        <w:rPr>
          <w:rFonts w:cstheme="minorHAnsi"/>
          <w:color w:val="231F20"/>
          <w:u w:color="231F20"/>
        </w:rPr>
        <w:t>(Silos-santiago and Silos-Santiago, 2008)</w:t>
      </w:r>
      <w:r w:rsidRPr="00AD7B00">
        <w:rPr>
          <w:rFonts w:cstheme="minorHAnsi"/>
          <w:color w:val="231F20"/>
          <w:u w:color="231F20"/>
          <w:lang w:val="pt-PT"/>
        </w:rPr>
        <w:fldChar w:fldCharType="end"/>
      </w:r>
      <w:r w:rsidRPr="00AD7B00">
        <w:rPr>
          <w:rFonts w:cstheme="minorHAnsi"/>
          <w:color w:val="231F20"/>
          <w:u w:color="231F20"/>
          <w:lang w:val="en-US"/>
        </w:rPr>
        <w:t xml:space="preserve">. Nociceptors detect noxious stimuli and generate pain sensation by conveying signals to the CNS by means of action potentials. The fast upstroke of action potentials is mediated by voltage-gated sodium channels, of which nine pore-forming α-subunits (Nav1.1– 1.9) have been identified. The Nav1.7 and Nav1.8 subunits have emerged as key molecules involved in peripheral pain processing and in the development of increased pain sensitivity associated with inflammation and tissue injury </w:t>
      </w:r>
      <w:r w:rsidRPr="00AD7B00">
        <w:rPr>
          <w:rFonts w:cstheme="minorHAnsi"/>
          <w:color w:val="231F20"/>
          <w:u w:color="231F20"/>
        </w:rPr>
        <w:fldChar w:fldCharType="begin"/>
      </w:r>
      <w:r w:rsidRPr="00AD7B00">
        <w:rPr>
          <w:rFonts w:cstheme="minorHAnsi"/>
          <w:color w:val="231F20"/>
          <w:u w:color="231F20"/>
        </w:rPr>
        <w:instrText xml:space="preserve"> ADDIN EN.CITE &lt;EndNote&gt;&lt;Cite  &gt;&lt;Author&gt;Lampert&lt;/Author&gt;&lt;Year&gt;2010&lt;/Year&gt;&lt;DisplayText&gt;(Lampert et al., 2010)&lt;/DisplayText&gt;&lt;record&gt;&lt;keywords/&gt;&lt;titles&gt;&lt;title&gt;Sodium channelopathies and pain&lt;/title&gt;&lt;secondary-title&gt;Pflügers Archiv : European journal of physiology&lt;/secondary-title&gt;&lt;/titles&gt;&lt;pages&gt;249&lt;/pages&gt;&lt;number&gt;2&lt;/number&gt;&lt;contributors&gt;&lt;authors&gt;&lt;author&gt;Lampert, Angelika&lt;/author&gt;&lt;author&gt;reilly, Andrias O.&lt;/author&gt;&lt;author&gt;Reeh, Peter&lt;/author&gt;&lt;author&gt;Leffler, Andreas&lt;/author&gt;&lt;author&gt;Reilly, Andrias O.&lt;/author&gt;&lt;/authors&gt;&lt;/contributors&gt;&lt;added-date format="utc"&gt;1385819316&lt;/added-date&gt;&lt;ref-type name="Journal Article"&gt;17&lt;/ref-type&gt;&lt;dates&gt;&lt;year&gt;2010&lt;/year&gt;&lt;/dates&gt;&lt;rec-number&gt;235&lt;/rec-number&gt;&lt;last-updated-date format="utc"&gt;1385819316&lt;/last-updated-date&gt;&lt;electronic-resource-num&gt;10.1007/s00424-009-0779-3&lt;/electronic-resource-num&gt;&lt;volume&gt;460&lt;/volume&gt;&lt;/record&gt;&lt;/Cite&gt;&lt;/EndNote&gt;</w:instrText>
      </w:r>
      <w:r w:rsidRPr="00AD7B00">
        <w:rPr>
          <w:rFonts w:cstheme="minorHAnsi"/>
          <w:color w:val="231F20"/>
          <w:u w:color="231F20"/>
        </w:rPr>
        <w:fldChar w:fldCharType="separate"/>
      </w:r>
      <w:r w:rsidRPr="00AD7B00">
        <w:rPr>
          <w:rFonts w:cstheme="minorHAnsi"/>
          <w:color w:val="231F20"/>
          <w:u w:color="231F20"/>
        </w:rPr>
        <w:t>(Lampert et al., 2010)</w:t>
      </w:r>
      <w:r w:rsidRPr="00AD7B00">
        <w:rPr>
          <w:rFonts w:cstheme="minorHAnsi"/>
          <w:color w:val="231F20"/>
          <w:u w:color="231F20"/>
        </w:rPr>
        <w:fldChar w:fldCharType="end"/>
      </w:r>
      <w:r w:rsidRPr="00AD7B00">
        <w:rPr>
          <w:rFonts w:cstheme="minorHAnsi"/>
          <w:color w:val="231F20"/>
          <w:u w:color="231F20"/>
        </w:rPr>
        <w:t xml:space="preserve">. </w:t>
      </w:r>
    </w:p>
    <w:p w14:paraId="617EC3F5" w14:textId="7AC2CF7D" w:rsidR="00AF1A96" w:rsidRPr="00AD7B00" w:rsidRDefault="00AF1A96" w:rsidP="00AF1A96">
      <w:pPr>
        <w:pStyle w:val="BodyA"/>
        <w:spacing w:line="480" w:lineRule="auto"/>
        <w:jc w:val="both"/>
        <w:rPr>
          <w:rFonts w:cstheme="minorHAnsi"/>
        </w:rPr>
      </w:pPr>
      <w:r w:rsidRPr="00AD7B00">
        <w:rPr>
          <w:rFonts w:cstheme="minorHAnsi"/>
          <w:lang w:val="en-US"/>
        </w:rPr>
        <w:t>Nav1.7 is encoded by the SCN9A gene that maps to chromosome 2q24. It is expressed in various neurons including dorsal root ganglion (</w:t>
      </w:r>
      <w:proofErr w:type="spellStart"/>
      <w:r w:rsidRPr="00AD7B00">
        <w:rPr>
          <w:rFonts w:cstheme="minorHAnsi"/>
          <w:lang w:val="en-US"/>
        </w:rPr>
        <w:t>DRG</w:t>
      </w:r>
      <w:proofErr w:type="spellEnd"/>
      <w:r w:rsidRPr="00AD7B00">
        <w:rPr>
          <w:rFonts w:cstheme="minorHAnsi"/>
          <w:lang w:val="en-US"/>
        </w:rPr>
        <w:t xml:space="preserve">) neurons, sympathetic ganglion neurons, Schwann cells, neuroendocrine cells and </w:t>
      </w:r>
      <w:proofErr w:type="spellStart"/>
      <w:r w:rsidRPr="00AD7B00">
        <w:rPr>
          <w:rFonts w:cstheme="minorHAnsi"/>
          <w:lang w:val="en-US"/>
        </w:rPr>
        <w:t>IENF</w:t>
      </w:r>
      <w:proofErr w:type="spellEnd"/>
      <w:r w:rsidRPr="00AD7B00">
        <w:rPr>
          <w:rFonts w:cstheme="minorHAnsi"/>
          <w:lang w:val="en-US"/>
        </w:rPr>
        <w:t xml:space="preserve"> as per mouse model animal studies </w:t>
      </w:r>
      <w:r w:rsidRPr="00AD7B00">
        <w:rPr>
          <w:rFonts w:cstheme="minorHAnsi"/>
          <w:lang w:val="en-US"/>
        </w:rPr>
        <w:fldChar w:fldCharType="begin"/>
      </w:r>
      <w:r w:rsidRPr="00AD7B00">
        <w:rPr>
          <w:rFonts w:cstheme="minorHAnsi"/>
          <w:lang w:val="en-US"/>
        </w:rPr>
        <w:instrText xml:space="preserve"> ADDIN EN.CITE &lt;EndNote&gt;&lt;Cite  &gt;&lt;Author&gt;Black&lt;/Author&gt;&lt;Year&gt;2012&lt;/Year&gt;&lt;DisplayText&gt;(Black et al., 2012)&lt;/DisplayText&gt;&lt;record&gt;&lt;dates&gt;&lt;pub-dates&gt;&lt;date&gt;Nov&lt;/date&gt;&lt;/pub-dates&gt;&lt;year&gt;2012&lt;/year&gt;&lt;/dates&gt;&lt;keywords&gt;&lt;keyword&gt;Animals&lt;/keyword&gt;&lt;keyword&gt;Ganglia, Spinal&lt;/keyword&gt;&lt;keyword&gt;Immunohistochemistry&lt;/keyword&gt;&lt;keyword&gt;Male&lt;/keyword&gt;&lt;keyword&gt;NAV1.7 Voltage-Gated Sodium Channel&lt;/keyword&gt;&lt;keyword&gt;Neurons&lt;/keyword&gt;&lt;keyword&gt;Pain&lt;/keyword&gt;&lt;keyword&gt;Presynaptic Terminals&lt;/keyword&gt;&lt;keyword&gt;Rats&lt;/keyword&gt;&lt;keyword&gt;Rats, Sprague-Dawley&lt;/keyword&gt;&lt;keyword&gt;Skin&lt;/keyword&gt;&lt;keyword&gt;Spinal Cord&lt;/keyword&gt;&lt;/keywords&gt;&lt;urls&gt;&lt;related-urls&gt;&lt;url&gt;https://www.ncbi.nlm.nih.gov/pubmed/23134641&lt;/url&gt;&lt;/related-urls&gt;&lt;/urls&gt;&lt;isbn&gt;1744-8069&lt;/isbn&gt;&lt;custom2&gt;PMC3517774&lt;/custom2&gt;&lt;titles&gt;&lt;title&gt;Expression of Nav1.7 in DRG neurons extends from peripheral terminals in the skin to central preterminal branches and terminals in the dorsal horn&lt;/title&gt;&lt;secondary-title&gt;Mol Pain&lt;/secondary-title&gt;&lt;/titles&gt;&lt;pages&gt;82&lt;/pages&gt;&lt;contributors&gt;&lt;authors&gt;&lt;author&gt;Black, J. A.&lt;/author&gt;&lt;author&gt;Frézel, N.&lt;/author&gt;&lt;author&gt;Dib-Hajj, S. D.&lt;/author&gt;&lt;author&gt;Waxman, S. G.&lt;/author&gt;&lt;/authors&gt;&lt;/contributors&gt;&lt;edition&gt;2012/11/07&lt;/edition&gt;&lt;language&gt;eng&lt;/language&gt;&lt;added-date format="utc"&gt;1529586619&lt;/added-date&gt;&lt;ref-type name="Journal Article"&gt;17&lt;/ref-type&gt;&lt;rec-number&gt;544&lt;/rec-number&gt;&lt;last-updated-date format="utc"&gt;1529586619&lt;/last-updated-date&gt;&lt;accession-num&gt;23134641&lt;/accession-num&gt;&lt;electronic-resource-num&gt;10.1186/1744-8069-8-82&lt;/electronic-resource-num&gt;&lt;volume&gt;8&lt;/volume&gt;&lt;/record&gt;&lt;/Cite&gt;&lt;/EndNote&gt;</w:instrText>
      </w:r>
      <w:r w:rsidRPr="00AD7B00">
        <w:rPr>
          <w:rFonts w:cstheme="minorHAnsi"/>
          <w:lang w:val="en-US"/>
        </w:rPr>
        <w:fldChar w:fldCharType="separate"/>
      </w:r>
      <w:r w:rsidRPr="00AD7B00">
        <w:rPr>
          <w:rFonts w:cstheme="minorHAnsi"/>
          <w:lang w:val="en-US"/>
        </w:rPr>
        <w:t>(Black et al., 2012)</w:t>
      </w:r>
      <w:r w:rsidRPr="00AD7B00">
        <w:rPr>
          <w:rFonts w:cstheme="minorHAnsi"/>
          <w:lang w:val="en-US"/>
        </w:rPr>
        <w:fldChar w:fldCharType="end"/>
      </w:r>
      <w:r w:rsidRPr="00AD7B00">
        <w:rPr>
          <w:rFonts w:cstheme="minorHAnsi"/>
          <w:lang w:val="en-US"/>
        </w:rPr>
        <w:t xml:space="preserve"> . Nav1.8 is encoded by the SCN10A gene that maps to chromosome 3p24.2-p22 and Nav1.9 is encoded by the SCN11A gene that maps to chromosome 3p24-p21. These Sodium channels could be targeted for a focused therapeutic approach especially considering different pain phenotypes seen in painful </w:t>
      </w:r>
      <w:proofErr w:type="spellStart"/>
      <w:r w:rsidRPr="00AD7B00">
        <w:rPr>
          <w:rFonts w:cstheme="minorHAnsi"/>
          <w:lang w:val="en-US"/>
        </w:rPr>
        <w:t>DPN</w:t>
      </w:r>
      <w:proofErr w:type="spellEnd"/>
      <w:r w:rsidRPr="00AD7B00">
        <w:rPr>
          <w:rFonts w:cstheme="minorHAnsi"/>
          <w:lang w:val="en-US"/>
        </w:rPr>
        <w:t xml:space="preserve">. The PROPANE study that is currently being undertaken, is targeting sequencing of genes encoding these sodium channels to help us better understand the genetic basis for neuropathic pain and develop new </w:t>
      </w:r>
      <w:proofErr w:type="spellStart"/>
      <w:r w:rsidRPr="00AD7B00">
        <w:rPr>
          <w:rFonts w:cstheme="minorHAnsi"/>
          <w:lang w:val="en-US"/>
        </w:rPr>
        <w:t>focussed</w:t>
      </w:r>
      <w:proofErr w:type="spellEnd"/>
      <w:r w:rsidRPr="00AD7B00">
        <w:rPr>
          <w:rFonts w:cstheme="minorHAnsi"/>
          <w:lang w:val="en-US"/>
        </w:rPr>
        <w:t xml:space="preserve"> treatments. A recent observational study has also shown that rare NaV1.7 variants might  contribute to the development of painful </w:t>
      </w:r>
      <w:proofErr w:type="spellStart"/>
      <w:r w:rsidRPr="00AD7B00">
        <w:rPr>
          <w:rFonts w:cstheme="minorHAnsi"/>
          <w:lang w:val="en-US"/>
        </w:rPr>
        <w:t>DPN</w:t>
      </w:r>
      <w:proofErr w:type="spellEnd"/>
      <w:r w:rsidRPr="00AD7B00">
        <w:rPr>
          <w:rFonts w:cstheme="minorHAnsi"/>
          <w:lang w:val="en-US"/>
        </w:rPr>
        <w:t xml:space="preserve"> </w:t>
      </w:r>
      <w:r w:rsidRPr="00AD7B00">
        <w:rPr>
          <w:rFonts w:cstheme="minorHAnsi"/>
          <w:lang w:val="fr-FR"/>
        </w:rPr>
        <w:fldChar w:fldCharType="begin"/>
      </w:r>
      <w:r w:rsidRPr="005B5764">
        <w:rPr>
          <w:rFonts w:cstheme="minorHAnsi"/>
        </w:rPr>
        <w:instrText xml:space="preserve"> ADDIN EN.CITE &lt;EndNote&gt;&lt;Cite  &gt;&lt;Author&gt;Blesneac&lt;/Author&gt;&lt;Year&gt;2018&lt;/Year&gt;&lt;RecNum&gt;545&lt;/RecNum&gt;&lt;DisplayText&gt;(Blesneac et al., 2018)&lt;/DisplayText&gt;&lt;record&gt;&lt;dates&gt;&lt;pub-dates&gt;&lt;date&gt;Mar&lt;/date&gt;&lt;/pub-dates&gt;&lt;year&gt;2018&lt;/year&gt;&lt;/dates&gt;&lt;urls&gt;&lt;related-urls&gt;&lt;url&gt;https://www.ncbi.nlm.nih.gov/pubmed/29176367&lt;/url&gt;&lt;/related-urls&gt;&lt;/urls&gt;&lt;isbn&gt;1872-6623&lt;/isbn&gt;&lt;custom2&gt;PMC5828379&lt;/custom2&gt;&lt;titles&gt;&lt;title&gt;Rare NaV1.7 variants associated with painful diabetic peripheral neuropathy&lt;/title&gt;&lt;secondary-title&gt;Pain&lt;/secondary-title&gt;&lt;/titles&gt;&lt;pages&gt;469-480&lt;/pages&gt;&lt;number&gt;3&lt;/number&gt;&lt;contributors&gt;&lt;authors&gt;&lt;author&gt;Blesneac, I.&lt;/author&gt;&lt;author&gt;Themistocleous, A. C.&lt;/author&gt;&lt;author&gt;Fratter, C.&lt;/author&gt;&lt;author&gt;Conrad, L. J.&lt;/author&gt;&lt;author&gt;Ramirez, J. D.&lt;/author&gt;&lt;author&gt;Cox, J. J.&lt;/author&gt;&lt;author&gt;Tesfaye, S.&lt;/author&gt;&lt;author&gt;Shillo, P. R.&lt;/author&gt;&lt;author&gt;Rice, A. S. C.&lt;/author&gt;&lt;author&gt;Tucker, S. J.&lt;/author&gt;&lt;author&gt;Bennett, D. L. H.&lt;/author&gt;&lt;/authors&gt;&lt;/contributors&gt;&lt;language&gt;eng&lt;/language&gt;&lt;added-date format="utc"&gt;1529588519&lt;/added-date&gt;&lt;ref-type name="Journal Article"&gt;17&lt;/ref-type&gt;&lt;rec-number&gt;545&lt;/rec-number&gt;&lt;last-updated-date format="utc"&gt;1529588519&lt;/last-updated-date&gt;&lt;accession-num&gt;29176367&lt;/accession-num&gt;&lt;electronic-resource-num&gt;10.1097/j.pain.0000000000001116&lt;/electronic-resource-num&gt;&lt;volume&gt;159&lt;/volume&gt;&lt;/record&gt;&lt;/Cite&gt;&lt;/EndNote&gt;</w:instrText>
      </w:r>
      <w:r w:rsidRPr="00AD7B00">
        <w:rPr>
          <w:rFonts w:cstheme="minorHAnsi"/>
          <w:lang w:val="fr-FR"/>
        </w:rPr>
        <w:fldChar w:fldCharType="separate"/>
      </w:r>
      <w:r w:rsidRPr="005B5764">
        <w:rPr>
          <w:rFonts w:cstheme="minorHAnsi"/>
        </w:rPr>
        <w:t>(Blesneac et al., 2018)</w:t>
      </w:r>
      <w:r w:rsidRPr="00AD7B00">
        <w:rPr>
          <w:rFonts w:cstheme="minorHAnsi"/>
          <w:lang w:val="fr-FR"/>
        </w:rPr>
        <w:fldChar w:fldCharType="end"/>
      </w:r>
      <w:r w:rsidRPr="00AD7B00">
        <w:rPr>
          <w:rFonts w:cstheme="minorHAnsi"/>
        </w:rPr>
        <w:t>.</w:t>
      </w:r>
    </w:p>
    <w:p w14:paraId="5730848A" w14:textId="0078C4AF" w:rsidR="00AF1A96" w:rsidRPr="00AD7B00" w:rsidRDefault="00AF1A96" w:rsidP="000446B6">
      <w:pPr>
        <w:pStyle w:val="Heading5"/>
        <w:spacing w:line="480" w:lineRule="auto"/>
        <w:rPr>
          <w:rFonts w:ascii="Cambria" w:hAnsi="Cambria" w:cstheme="minorHAnsi"/>
          <w:b/>
          <w:bCs/>
        </w:rPr>
      </w:pPr>
      <w:bookmarkStart w:id="62" w:name="_Toc21"/>
      <w:r w:rsidRPr="00AD7B00">
        <w:rPr>
          <w:rFonts w:ascii="Cambria" w:eastAsia="Cambria" w:hAnsi="Cambria" w:cstheme="minorHAnsi"/>
          <w:b/>
          <w:bCs/>
          <w:lang w:val="en-US"/>
        </w:rPr>
        <w:lastRenderedPageBreak/>
        <w:t>1.2.2.1</w:t>
      </w:r>
      <w:r w:rsidR="00F03C09">
        <w:rPr>
          <w:rFonts w:ascii="Cambria" w:eastAsia="Cambria" w:hAnsi="Cambria" w:cstheme="minorHAnsi"/>
          <w:b/>
          <w:bCs/>
          <w:lang w:val="en-US"/>
        </w:rPr>
        <w:t>e</w:t>
      </w:r>
      <w:r w:rsidRPr="00AD7B00">
        <w:rPr>
          <w:rFonts w:ascii="Cambria" w:eastAsia="Cambria" w:hAnsi="Cambria" w:cstheme="minorHAnsi"/>
          <w:b/>
          <w:bCs/>
          <w:lang w:val="en-US"/>
        </w:rPr>
        <w:t xml:space="preserve"> Potassium Channels </w:t>
      </w:r>
      <w:bookmarkEnd w:id="62"/>
    </w:p>
    <w:p w14:paraId="3500F998" w14:textId="77777777" w:rsidR="00AF1A96" w:rsidRPr="00AD7B00" w:rsidRDefault="00AF1A96" w:rsidP="000446B6">
      <w:pPr>
        <w:pStyle w:val="BodyA"/>
        <w:spacing w:line="480" w:lineRule="auto"/>
        <w:jc w:val="both"/>
        <w:rPr>
          <w:rFonts w:cstheme="minorHAnsi"/>
        </w:rPr>
      </w:pPr>
      <w:r w:rsidRPr="00AD7B00">
        <w:rPr>
          <w:rFonts w:cstheme="minorHAnsi"/>
          <w:lang w:val="en-US"/>
        </w:rPr>
        <w:t xml:space="preserve">Sodium channels generate action potentials in neurons and potassium channels control excitability and modulate neuronal hyper excitability. The recent drug retigabine is a potassium channel opener, acting on the channel KV7 M-current. Retigabine has shown to blunt pain </w:t>
      </w:r>
      <w:proofErr w:type="spellStart"/>
      <w:r w:rsidRPr="00AD7B00">
        <w:rPr>
          <w:rFonts w:cstheme="minorHAnsi"/>
          <w:lang w:val="en-US"/>
        </w:rPr>
        <w:t>behaviour</w:t>
      </w:r>
      <w:proofErr w:type="spellEnd"/>
      <w:r w:rsidRPr="00AD7B00">
        <w:rPr>
          <w:rFonts w:cstheme="minorHAnsi"/>
          <w:lang w:val="en-US"/>
        </w:rPr>
        <w:t xml:space="preserve"> in neuropathic rats </w:t>
      </w:r>
      <w:r w:rsidRPr="00AD7B00">
        <w:rPr>
          <w:rFonts w:cstheme="minorHAnsi"/>
          <w:lang w:val="en-US"/>
        </w:rPr>
        <w:fldChar w:fldCharType="begin"/>
      </w:r>
      <w:r w:rsidRPr="00AD7B00">
        <w:rPr>
          <w:rFonts w:cstheme="minorHAnsi"/>
          <w:lang w:val="en-US"/>
        </w:rPr>
        <w:instrText xml:space="preserve"> ADDIN EN.CITE &lt;EndNote&gt;&lt;Cite  &gt;&lt;Author&gt;Blackburn-Munro&lt;/Author&gt;&lt;Year&gt;2003&lt;/Year&gt;&lt;RecNum&gt;316&lt;/RecNum&gt;&lt;DisplayText&gt;(Blackburn-Munro and Jensen, 2003)&lt;/DisplayText&gt;&lt;record&gt;&lt;keywords/&gt;&lt;isbn&gt;0014-2999&lt;/isbn&gt;&lt;titles&gt;&lt;title&gt;The anticonvulsant retigabine attenuates nociceptive behaviours in rat models of persistent and neuropathic pain&lt;/title&gt;&lt;secondary-title&gt;European Journal of Pharmacology&lt;/secondary-title&gt;&lt;/titles&gt;&lt;pages&gt;109-116&lt;/pages&gt;&lt;number&gt;2&lt;/number&gt;&lt;contributors&gt;&lt;authors&gt;&lt;author&gt;Blackburn-Munro, Gordon&lt;/author&gt;&lt;author&gt;Jensen, Bo Skaaning&lt;/author&gt;&lt;/authors&gt;&lt;/contributors&gt;&lt;added-date format="utc"&gt;1386467333&lt;/added-date&gt;&lt;ref-type name="Journal Article"&gt;17&lt;/ref-type&gt;&lt;dates&gt;&lt;year&gt;2003&lt;/year&gt;&lt;/dates&gt;&lt;rec-number&gt;316&lt;/rec-number&gt;&lt;last-updated-date format="utc"&gt;1386467333&lt;/last-updated-date&gt;&lt;electronic-resource-num&gt;10.1016/S0014-2999(02)02924-2&lt;/electronic-resource-num&gt;&lt;volume&gt;460&lt;/volume&gt;&lt;/record&gt;&lt;/Cite&gt;&lt;/EndNote&gt;</w:instrText>
      </w:r>
      <w:r w:rsidRPr="00AD7B00">
        <w:rPr>
          <w:rFonts w:cstheme="minorHAnsi"/>
          <w:lang w:val="en-US"/>
        </w:rPr>
        <w:fldChar w:fldCharType="separate"/>
      </w:r>
      <w:r w:rsidRPr="00AD7B00">
        <w:rPr>
          <w:rFonts w:cstheme="minorHAnsi"/>
          <w:lang w:val="en-US"/>
        </w:rPr>
        <w:t>(Blackburn-Munro and Jensen, 2003)</w:t>
      </w:r>
      <w:r w:rsidRPr="00AD7B00">
        <w:rPr>
          <w:rFonts w:cstheme="minorHAnsi"/>
          <w:lang w:val="en-US"/>
        </w:rPr>
        <w:fldChar w:fldCharType="end"/>
      </w:r>
      <w:r w:rsidRPr="00AD7B00">
        <w:rPr>
          <w:rFonts w:cstheme="minorHAnsi"/>
          <w:lang w:val="en-US"/>
        </w:rPr>
        <w:t xml:space="preserve">. </w:t>
      </w:r>
      <w:proofErr w:type="spellStart"/>
      <w:r w:rsidRPr="00AD7B00">
        <w:rPr>
          <w:rFonts w:cstheme="minorHAnsi"/>
          <w:lang w:val="en-US"/>
        </w:rPr>
        <w:t>Nodera</w:t>
      </w:r>
      <w:proofErr w:type="spellEnd"/>
      <w:r w:rsidRPr="00AD7B00">
        <w:rPr>
          <w:rFonts w:cstheme="minorHAnsi"/>
          <w:lang w:val="en-US"/>
        </w:rPr>
        <w:t xml:space="preserve"> et al. studied its effect on cisplatin treated mouse with peripheral neuropathy. Cisplatin is known to cause membrane depolarization and peripheral axon loss, which was partially prevented by retigabine pre-treatment </w:t>
      </w:r>
      <w:r w:rsidRPr="00AD7B00">
        <w:rPr>
          <w:rFonts w:cstheme="minorHAnsi"/>
          <w:lang w:val="en-US"/>
        </w:rPr>
        <w:fldChar w:fldCharType="begin"/>
      </w:r>
      <w:r w:rsidRPr="00AD7B00">
        <w:rPr>
          <w:rFonts w:cstheme="minorHAnsi"/>
          <w:lang w:val="en-US"/>
        </w:rPr>
        <w:instrText xml:space="preserve"> ADDIN EN.CITE &lt;EndNote&gt;&lt;Cite  &gt;&lt;Author&gt;Nodera&lt;/Author&gt;&lt;Year&gt;2011&lt;/Year&gt;&lt;RecNum&gt;315&lt;/RecNum&gt;&lt;DisplayText&gt;(Nodera et al., 2011)&lt;/DisplayText&gt;&lt;record&gt;&lt;keywords/&gt;&lt;titles&gt;&lt;title&gt;Neuroprotective effects of Kv7 channel agonist, retigabine, for cisplatin- induced peripheral neuropathy&lt;/title&gt;&lt;secondary-title&gt;Neuroscience letters&lt;/secondary-title&gt;&lt;/titles&gt;&lt;pages&gt;223&lt;/pages&gt;&lt;number&gt;3&lt;/number&gt;&lt;contributors&gt;&lt;authors&gt;&lt;author&gt;Nodera, Hiroyuki&lt;/author&gt;&lt;author&gt;Spieker, Andrew&lt;/author&gt;&lt;author&gt;Sung, Minhee&lt;/author&gt;&lt;author&gt;Rutkove, Seward&lt;/author&gt;&lt;/authors&gt;&lt;/contributors&gt;&lt;added-date format="utc"&gt;1386467224&lt;/added-date&gt;&lt;ref-type name="Journal Article"&gt;17&lt;/ref-type&gt;&lt;dates&gt;&lt;year&gt;2011&lt;/year&gt;&lt;/dates&gt;&lt;rec-number&gt;315&lt;/rec-number&gt;&lt;last-updated-date format="utc"&gt;1386467224&lt;/last-updated-date&gt;&lt;electronic-resource-num&gt;10.1016/j.neulet.2011.09.013&lt;/electronic-resource-num&gt;&lt;volume&gt;505&lt;/volume&gt;&lt;/record&gt;&lt;/Cite&gt;&lt;/EndNote&gt;</w:instrText>
      </w:r>
      <w:r w:rsidRPr="00AD7B00">
        <w:rPr>
          <w:rFonts w:cstheme="minorHAnsi"/>
          <w:lang w:val="en-US"/>
        </w:rPr>
        <w:fldChar w:fldCharType="separate"/>
      </w:r>
      <w:r w:rsidRPr="00AD7B00">
        <w:rPr>
          <w:rFonts w:cstheme="minorHAnsi"/>
          <w:lang w:val="en-US"/>
        </w:rPr>
        <w:t>(Nodera et al., 2011)</w:t>
      </w:r>
      <w:r w:rsidRPr="00AD7B00">
        <w:rPr>
          <w:rFonts w:cstheme="minorHAnsi"/>
          <w:lang w:val="en-US"/>
        </w:rPr>
        <w:fldChar w:fldCharType="end"/>
      </w:r>
      <w:r w:rsidRPr="00AD7B00">
        <w:rPr>
          <w:rFonts w:cstheme="minorHAnsi"/>
        </w:rPr>
        <w:t>.</w:t>
      </w:r>
    </w:p>
    <w:p w14:paraId="0174007C" w14:textId="5CE9A641" w:rsidR="00AF1A96" w:rsidRPr="00AD7B00" w:rsidRDefault="00AF1A96" w:rsidP="00AF1A96">
      <w:pPr>
        <w:pStyle w:val="Heading5"/>
        <w:rPr>
          <w:rFonts w:ascii="Cambria" w:hAnsi="Cambria" w:cstheme="minorHAnsi"/>
          <w:b/>
          <w:bCs/>
        </w:rPr>
      </w:pPr>
      <w:bookmarkStart w:id="63" w:name="_Toc22"/>
      <w:r w:rsidRPr="00AD7B00">
        <w:rPr>
          <w:rFonts w:ascii="Cambria" w:eastAsia="Cambria" w:hAnsi="Cambria" w:cstheme="minorHAnsi"/>
          <w:b/>
          <w:bCs/>
          <w:lang w:val="en-US"/>
        </w:rPr>
        <w:t>1.2.2.1</w:t>
      </w:r>
      <w:r w:rsidR="00F03C09">
        <w:rPr>
          <w:rFonts w:ascii="Cambria" w:eastAsia="Cambria" w:hAnsi="Cambria" w:cstheme="minorHAnsi"/>
          <w:b/>
          <w:bCs/>
          <w:lang w:val="en-US"/>
        </w:rPr>
        <w:t xml:space="preserve">f </w:t>
      </w:r>
      <w:r w:rsidRPr="00AD7B00">
        <w:rPr>
          <w:rFonts w:ascii="Cambria" w:eastAsia="Cambria" w:hAnsi="Cambria" w:cstheme="minorHAnsi"/>
          <w:b/>
          <w:bCs/>
          <w:lang w:val="en-US"/>
        </w:rPr>
        <w:t>Voltage Gated Calcium Channels</w:t>
      </w:r>
      <w:bookmarkEnd w:id="63"/>
    </w:p>
    <w:p w14:paraId="5A43345E" w14:textId="77777777" w:rsidR="00AF1A96" w:rsidRPr="00AD7B00" w:rsidRDefault="00AF1A96" w:rsidP="00AF1A96">
      <w:pPr>
        <w:pStyle w:val="BodyA"/>
        <w:rPr>
          <w:rFonts w:cstheme="minorHAnsi"/>
        </w:rPr>
      </w:pPr>
    </w:p>
    <w:p w14:paraId="5F3CD124" w14:textId="6E79BD06" w:rsidR="005B711C" w:rsidRDefault="00AF1A96" w:rsidP="00AF1A96">
      <w:pPr>
        <w:pStyle w:val="BodyA"/>
        <w:spacing w:line="480" w:lineRule="auto"/>
        <w:jc w:val="both"/>
        <w:rPr>
          <w:rFonts w:cstheme="minorHAnsi"/>
        </w:rPr>
      </w:pPr>
      <w:r w:rsidRPr="00AD7B00">
        <w:rPr>
          <w:rFonts w:cstheme="minorHAnsi"/>
          <w:lang w:val="en-US"/>
        </w:rPr>
        <w:t>The third channel apart from Na+ and K+, important in the peripheral pain processing is voltage gated Calcium channel. During neuropathy α</w:t>
      </w:r>
      <w:r w:rsidRPr="00AD7B00">
        <w:rPr>
          <w:rFonts w:cstheme="minorHAnsi"/>
          <w:vertAlign w:val="subscript"/>
        </w:rPr>
        <w:t>2</w:t>
      </w:r>
      <w:r w:rsidRPr="00AD7B00">
        <w:rPr>
          <w:rFonts w:cstheme="minorHAnsi"/>
          <w:lang w:val="en-US"/>
        </w:rPr>
        <w:t xml:space="preserve">δ subunit of these channels in the central terminals of the peripheral nerve is up regulated. This, in turn, will </w:t>
      </w:r>
      <w:proofErr w:type="spellStart"/>
      <w:r w:rsidRPr="00AD7B00">
        <w:rPr>
          <w:rFonts w:cstheme="minorHAnsi"/>
          <w:lang w:val="en-US"/>
        </w:rPr>
        <w:t>favour</w:t>
      </w:r>
      <w:proofErr w:type="spellEnd"/>
      <w:r w:rsidRPr="00AD7B00">
        <w:rPr>
          <w:rFonts w:cstheme="minorHAnsi"/>
          <w:lang w:val="en-US"/>
        </w:rPr>
        <w:t xml:space="preserve"> the release of substance P and glutamate into the spinal cord. Gabapentin and pregabalin, widely used in the treatment of painful neuropathy, prevent trafficking of these subunits into nerve </w:t>
      </w:r>
      <w:proofErr w:type="spellStart"/>
      <w:r w:rsidRPr="00AD7B00">
        <w:rPr>
          <w:rFonts w:cstheme="minorHAnsi"/>
          <w:lang w:val="en-US"/>
        </w:rPr>
        <w:t>fibres</w:t>
      </w:r>
      <w:proofErr w:type="spellEnd"/>
      <w:r w:rsidRPr="00AD7B00">
        <w:rPr>
          <w:rFonts w:cstheme="minorHAnsi"/>
          <w:lang w:val="en-US"/>
        </w:rPr>
        <w:t xml:space="preserve"> </w:t>
      </w:r>
      <w:r w:rsidRPr="00AD7B00">
        <w:rPr>
          <w:rFonts w:cstheme="minorHAnsi"/>
          <w:lang w:val="en-US"/>
        </w:rPr>
        <w:fldChar w:fldCharType="begin"/>
      </w:r>
      <w:r w:rsidRPr="00AD7B00">
        <w:rPr>
          <w:rFonts w:cstheme="minorHAnsi"/>
          <w:lang w:val="en-US"/>
        </w:rPr>
        <w:instrText xml:space="preserve"> ADDIN EN.CITE &lt;EndNote&gt;&lt;Cite  &gt;&lt;Author&gt;Bauer&lt;/Author&gt;&lt;Year&gt;2009&lt;/Year&gt;&lt;RecNum&gt;317&lt;/RecNum&gt;&lt;DisplayText&gt;(Bauer et al., 2009)&lt;/DisplayText&gt;&lt;record&gt;&lt;keywords/&gt;&lt;isbn&gt;0270-6474&lt;/isbn&gt;&lt;titles&gt;&lt;title&gt;The increased trafficking of the calcium channel subunit alpha2delta- 1 to presynaptic terminals in neuropathic pain is inhibited by the alpha2delta ligand pregabalin&lt;/title&gt;&lt;secondary-title&gt;The Journal of neuroscience : the official journal of the Society for Neuroscience&lt;/secondary-title&gt;&lt;/titles&gt;&lt;pages&gt;4076&lt;/pages&gt;&lt;number&gt;13&lt;/number&gt;&lt;contributors&gt;&lt;authors&gt;&lt;author&gt;Bauer, Claudia S.&lt;/author&gt;&lt;author&gt;Nieto-rostro, Manuela&lt;/author&gt;&lt;author&gt;Rahman, Wahida&lt;/author&gt;&lt;author&gt;Tran-van-minh, Alexandra&lt;/author&gt;&lt;author&gt;Ferron, Laurent&lt;/author&gt;&lt;author&gt;Douglas, Leon&lt;/author&gt;&lt;author&gt;Kadurin, Ivan&lt;/author&gt;&lt;author&gt;Sri Ranjan, Yorain&lt;/author&gt;&lt;author&gt;Fernandez-alacid, Laura&lt;/author&gt;&lt;author&gt;Millar, Neil S.&lt;/author&gt;&lt;author&gt;Dickenson, Anthony H.&lt;/author&gt;&lt;author&gt;Lujan, Rafael&lt;/author&gt;&lt;author&gt;Dolphin, Annette C.&lt;/author&gt;&lt;author&gt;Nieto-Rostro, Manuela&lt;/author&gt;&lt;author&gt;Tran-Van-Minh, Alexandra&lt;/author&gt;&lt;author&gt;Fernandez-Alacid, Laura&lt;/author&gt;&lt;/authors&gt;&lt;/contributors&gt;&lt;added-date format="utc"&gt;1386468120&lt;/added-date&gt;&lt;ref-type name="Journal Article"&gt;17&lt;/ref-type&gt;&lt;dates&gt;&lt;year&gt;2009&lt;/year&gt;&lt;/dates&gt;&lt;rec-number&gt;317&lt;/rec-number&gt;&lt;last-updated-date format="utc"&gt;1386468120&lt;/last-updated-date&gt;&lt;electronic-resource-num&gt;10.1523/JNEUROSCI.0356-09.2009&lt;/electronic-resource-num&gt;&lt;volume&gt;29&lt;/volume&gt;&lt;/record&gt;&lt;/Cite&gt;&lt;/EndNote&gt;</w:instrText>
      </w:r>
      <w:r w:rsidRPr="00AD7B00">
        <w:rPr>
          <w:rFonts w:cstheme="minorHAnsi"/>
          <w:lang w:val="en-US"/>
        </w:rPr>
        <w:fldChar w:fldCharType="separate"/>
      </w:r>
      <w:r w:rsidRPr="00AD7B00">
        <w:rPr>
          <w:rFonts w:cstheme="minorHAnsi"/>
          <w:lang w:val="en-US"/>
        </w:rPr>
        <w:t>(Bauer et al., 2009)</w:t>
      </w:r>
      <w:r w:rsidRPr="00AD7B00">
        <w:rPr>
          <w:rFonts w:cstheme="minorHAnsi"/>
          <w:lang w:val="en-US"/>
        </w:rPr>
        <w:fldChar w:fldCharType="end"/>
      </w:r>
      <w:r w:rsidRPr="00AD7B00">
        <w:rPr>
          <w:rFonts w:cstheme="minorHAnsi"/>
        </w:rPr>
        <w:t>.</w:t>
      </w:r>
    </w:p>
    <w:p w14:paraId="3B3032F6" w14:textId="3E9B00F2" w:rsidR="00AF1A96" w:rsidRPr="004E68BB" w:rsidRDefault="00AF1A96" w:rsidP="004E68BB">
      <w:pPr>
        <w:pStyle w:val="Heading5"/>
        <w:spacing w:line="480" w:lineRule="auto"/>
        <w:rPr>
          <w:b/>
          <w:color w:val="000000"/>
          <w:u w:color="000000"/>
          <w:bdr w:val="nil"/>
          <w:lang w:eastAsia="en-US"/>
        </w:rPr>
      </w:pPr>
      <w:bookmarkStart w:id="64" w:name="_Toc23"/>
      <w:r w:rsidRPr="004E68BB">
        <w:rPr>
          <w:b/>
          <w:lang w:val="en-US"/>
        </w:rPr>
        <w:t>1.2.2.1</w:t>
      </w:r>
      <w:r w:rsidR="00F03C09">
        <w:rPr>
          <w:b/>
          <w:lang w:val="en-US"/>
        </w:rPr>
        <w:t xml:space="preserve">g </w:t>
      </w:r>
      <w:r w:rsidRPr="004E68BB">
        <w:rPr>
          <w:b/>
          <w:lang w:val="en-US"/>
        </w:rPr>
        <w:t>Sympathetic Sprouting</w:t>
      </w:r>
      <w:bookmarkEnd w:id="64"/>
    </w:p>
    <w:p w14:paraId="3843691C" w14:textId="739AD193" w:rsidR="00AF1A96" w:rsidRPr="00AD7B00" w:rsidRDefault="00AF1A96" w:rsidP="00AF1A96">
      <w:pPr>
        <w:pStyle w:val="BodyA"/>
        <w:spacing w:line="480" w:lineRule="auto"/>
        <w:jc w:val="both"/>
        <w:rPr>
          <w:rFonts w:cstheme="minorHAnsi"/>
          <w:b/>
          <w:bCs/>
        </w:rPr>
      </w:pPr>
      <w:r w:rsidRPr="00AD7B00">
        <w:rPr>
          <w:rFonts w:cstheme="minorHAnsi"/>
          <w:lang w:val="en-US"/>
        </w:rPr>
        <w:t xml:space="preserve">Chung et al. </w:t>
      </w:r>
      <w:proofErr w:type="spellStart"/>
      <w:r w:rsidRPr="00AD7B00">
        <w:rPr>
          <w:rFonts w:cstheme="minorHAnsi"/>
          <w:lang w:val="en-US"/>
        </w:rPr>
        <w:t>analysed</w:t>
      </w:r>
      <w:proofErr w:type="spellEnd"/>
      <w:r w:rsidRPr="00AD7B00">
        <w:rPr>
          <w:rFonts w:cstheme="minorHAnsi"/>
          <w:lang w:val="en-US"/>
        </w:rPr>
        <w:t xml:space="preserve"> sympathetic sprouting in dorsal root ganglion (</w:t>
      </w:r>
      <w:proofErr w:type="spellStart"/>
      <w:r w:rsidRPr="00AD7B00">
        <w:rPr>
          <w:rFonts w:cstheme="minorHAnsi"/>
          <w:lang w:val="en-US"/>
        </w:rPr>
        <w:t>DRG</w:t>
      </w:r>
      <w:proofErr w:type="spellEnd"/>
      <w:r w:rsidRPr="00AD7B00">
        <w:rPr>
          <w:rFonts w:cstheme="minorHAnsi"/>
          <w:lang w:val="en-US"/>
        </w:rPr>
        <w:t xml:space="preserve">) and peripheral nerves in neuropathic rats. The numerical density of sympathetic </w:t>
      </w:r>
      <w:proofErr w:type="spellStart"/>
      <w:r w:rsidRPr="00AD7B00">
        <w:rPr>
          <w:rFonts w:cstheme="minorHAnsi"/>
          <w:lang w:val="en-US"/>
        </w:rPr>
        <w:t>fibres</w:t>
      </w:r>
      <w:proofErr w:type="spellEnd"/>
      <w:r w:rsidRPr="00AD7B00">
        <w:rPr>
          <w:rFonts w:cstheme="minorHAnsi"/>
          <w:lang w:val="en-US"/>
        </w:rPr>
        <w:t xml:space="preserve"> in the </w:t>
      </w:r>
      <w:proofErr w:type="spellStart"/>
      <w:r w:rsidRPr="00AD7B00">
        <w:rPr>
          <w:rFonts w:cstheme="minorHAnsi"/>
          <w:lang w:val="en-US"/>
        </w:rPr>
        <w:t>DRG</w:t>
      </w:r>
      <w:proofErr w:type="spellEnd"/>
      <w:r w:rsidRPr="00AD7B00">
        <w:rPr>
          <w:rFonts w:cstheme="minorHAnsi"/>
          <w:lang w:val="en-US"/>
        </w:rPr>
        <w:t xml:space="preserve"> of an injured spinal nerve root segment was significantly higher at 1, 4, and 20 weeks after neuropathic surgery as compared to the normal, suggesting that there is sprouting of sympathetic </w:t>
      </w:r>
      <w:proofErr w:type="spellStart"/>
      <w:r w:rsidRPr="00AD7B00">
        <w:rPr>
          <w:rFonts w:cstheme="minorHAnsi"/>
          <w:lang w:val="en-US"/>
        </w:rPr>
        <w:t>fibres</w:t>
      </w:r>
      <w:proofErr w:type="spellEnd"/>
      <w:r w:rsidRPr="00AD7B00">
        <w:rPr>
          <w:rFonts w:cstheme="minorHAnsi"/>
          <w:lang w:val="en-US"/>
        </w:rPr>
        <w:t xml:space="preserve"> in the </w:t>
      </w:r>
      <w:proofErr w:type="spellStart"/>
      <w:r w:rsidRPr="00AD7B00">
        <w:rPr>
          <w:rFonts w:cstheme="minorHAnsi"/>
          <w:lang w:val="en-US"/>
        </w:rPr>
        <w:t>DRG</w:t>
      </w:r>
      <w:proofErr w:type="spellEnd"/>
      <w:r w:rsidRPr="00AD7B00">
        <w:rPr>
          <w:rFonts w:cstheme="minorHAnsi"/>
          <w:lang w:val="en-US"/>
        </w:rPr>
        <w:t xml:space="preserve"> after peripheral nerve injury. Af</w:t>
      </w:r>
      <w:r w:rsidR="00F95EB4">
        <w:rPr>
          <w:rFonts w:cstheme="minorHAnsi"/>
          <w:lang w:val="en-US"/>
        </w:rPr>
        <w:t>ter sympathectomy these sprouting</w:t>
      </w:r>
      <w:r w:rsidRPr="00AD7B00">
        <w:rPr>
          <w:rFonts w:cstheme="minorHAnsi"/>
          <w:lang w:val="en-US"/>
        </w:rPr>
        <w:t xml:space="preserve"> </w:t>
      </w:r>
      <w:proofErr w:type="spellStart"/>
      <w:r w:rsidRPr="00AD7B00">
        <w:rPr>
          <w:rFonts w:cstheme="minorHAnsi"/>
          <w:lang w:val="en-US"/>
        </w:rPr>
        <w:t>fibres</w:t>
      </w:r>
      <w:proofErr w:type="spellEnd"/>
      <w:r w:rsidRPr="00AD7B00">
        <w:rPr>
          <w:rFonts w:cstheme="minorHAnsi"/>
          <w:lang w:val="en-US"/>
        </w:rPr>
        <w:t xml:space="preserve"> were completely abolished. There was also demonstrable change in the pain </w:t>
      </w:r>
      <w:proofErr w:type="spellStart"/>
      <w:r w:rsidRPr="00AD7B00">
        <w:rPr>
          <w:rFonts w:cstheme="minorHAnsi"/>
          <w:lang w:val="en-US"/>
        </w:rPr>
        <w:t>behaviour</w:t>
      </w:r>
      <w:proofErr w:type="spellEnd"/>
      <w:r w:rsidRPr="00AD7B00">
        <w:rPr>
          <w:rFonts w:cstheme="minorHAnsi"/>
          <w:lang w:val="en-US"/>
        </w:rPr>
        <w:t xml:space="preserve"> of neuropathic rats in the form of almost abolished mechanical allodynia and reduced cold allodynia to almost half. The data suggest that sympathetic innervation </w:t>
      </w:r>
      <w:r w:rsidRPr="00AD7B00">
        <w:rPr>
          <w:rFonts w:cstheme="minorHAnsi"/>
          <w:lang w:val="en-US"/>
        </w:rPr>
        <w:lastRenderedPageBreak/>
        <w:t xml:space="preserve">of the </w:t>
      </w:r>
      <w:proofErr w:type="spellStart"/>
      <w:r w:rsidRPr="00AD7B00">
        <w:rPr>
          <w:rFonts w:cstheme="minorHAnsi"/>
          <w:lang w:val="en-US"/>
        </w:rPr>
        <w:t>DRG</w:t>
      </w:r>
      <w:proofErr w:type="spellEnd"/>
      <w:r w:rsidRPr="00AD7B00">
        <w:rPr>
          <w:rFonts w:cstheme="minorHAnsi"/>
          <w:lang w:val="en-US"/>
        </w:rPr>
        <w:t xml:space="preserve"> may play an important role in the development and maintenance of sympathetically maintained neuropathic pain </w:t>
      </w:r>
      <w:r w:rsidRPr="00AD7B00">
        <w:rPr>
          <w:rFonts w:cstheme="minorHAnsi"/>
          <w:lang w:val="en-US"/>
        </w:rPr>
        <w:fldChar w:fldCharType="begin"/>
      </w:r>
      <w:r w:rsidRPr="00AD7B00">
        <w:rPr>
          <w:rFonts w:cstheme="minorHAnsi"/>
          <w:lang w:val="en-US"/>
        </w:rPr>
        <w:instrText xml:space="preserve"> ADDIN EN.CITE &lt;EndNote&gt;&lt;Cite  &gt;&lt;Author&gt;Chung&lt;/Author&gt;&lt;Year&gt;1996&lt;/Year&gt;&lt;RecNum&gt;318&lt;/RecNum&gt;&lt;DisplayText&gt;(Chung et al., 1996)&lt;/DisplayText&gt;&lt;record&gt;&lt;keywords&gt;&lt;keyword&gt;Causalgia -- Physiopathology&lt;/keyword&gt;&lt;keyword&gt;Ganglia, Spinal -- Physiopathology&lt;/keyword&gt;&lt;keyword&gt;Neurons, Afferent -- Physiology&lt;/keyword&gt;&lt;keyword&gt;Pain -- Physiopathology&lt;/keyword&gt;&lt;keyword&gt;Spinal Nerves -- Injuries&lt;/keyword&gt;&lt;keyword&gt;Sympathetic Fibers, Postganglionic -- Physiopathology&lt;/keyword&gt;&lt;/keywords&gt;&lt;isbn&gt;0021-9967&lt;/isbn&gt;&lt;titles&gt;&lt;title&gt;Sympathetic sprouting in the dorsal root ganglia of the injured peripheral nerve in a rat neuropathic pain model&lt;/title&gt;&lt;secondary-title&gt;The Journal of comparative neurology&lt;/secondary-title&gt;&lt;/titles&gt;&lt;pages&gt;241&lt;/pages&gt;&lt;number&gt;2&lt;/number&gt;&lt;contributors&gt;&lt;authors&gt;&lt;author&gt;Chung, K.&lt;/author&gt;&lt;author&gt;Lee, B. H.&lt;/author&gt;&lt;author&gt;Yoon, Y. W.&lt;/author&gt;&lt;author&gt;Chung, J. M.&lt;/author&gt;&lt;/authors&gt;&lt;/contributors&gt;&lt;added-date format="utc"&gt;1386469110&lt;/added-date&gt;&lt;ref-type name="Journal Article"&gt;17&lt;/ref-type&gt;&lt;dates&gt;&lt;year&gt;1996&lt;/year&gt;&lt;/dates&gt;&lt;rec-number&gt;318&lt;/rec-number&gt;&lt;last-updated-date format="utc"&gt;1387847341&lt;/last-updated-date&gt;&lt;volume&gt;376&lt;/volume&gt;&lt;/record&gt;&lt;/Cite&gt;&lt;/EndNote&gt;</w:instrText>
      </w:r>
      <w:r w:rsidRPr="00AD7B00">
        <w:rPr>
          <w:rFonts w:cstheme="minorHAnsi"/>
          <w:lang w:val="en-US"/>
        </w:rPr>
        <w:fldChar w:fldCharType="separate"/>
      </w:r>
      <w:r w:rsidRPr="00AD7B00">
        <w:rPr>
          <w:rFonts w:cstheme="minorHAnsi"/>
          <w:lang w:val="en-US"/>
        </w:rPr>
        <w:t>(Chung et al., 1996)</w:t>
      </w:r>
      <w:r w:rsidRPr="00AD7B00">
        <w:rPr>
          <w:rFonts w:cstheme="minorHAnsi"/>
          <w:lang w:val="en-US"/>
        </w:rPr>
        <w:fldChar w:fldCharType="end"/>
      </w:r>
      <w:r w:rsidRPr="00AD7B00">
        <w:rPr>
          <w:rFonts w:cstheme="minorHAnsi"/>
          <w:lang w:val="en-US"/>
        </w:rPr>
        <w:t xml:space="preserve">. Yen et al. studied sympathetic </w:t>
      </w:r>
      <w:proofErr w:type="spellStart"/>
      <w:r w:rsidRPr="00AD7B00">
        <w:rPr>
          <w:rFonts w:cstheme="minorHAnsi"/>
          <w:lang w:val="en-US"/>
        </w:rPr>
        <w:t>fibres</w:t>
      </w:r>
      <w:proofErr w:type="spellEnd"/>
      <w:r w:rsidRPr="00AD7B00">
        <w:rPr>
          <w:rFonts w:cstheme="minorHAnsi"/>
          <w:lang w:val="en-US"/>
        </w:rPr>
        <w:t xml:space="preserve"> and </w:t>
      </w:r>
      <w:proofErr w:type="spellStart"/>
      <w:r w:rsidRPr="00AD7B00">
        <w:rPr>
          <w:rFonts w:cstheme="minorHAnsi"/>
          <w:lang w:val="en-US"/>
        </w:rPr>
        <w:t>peptidergic</w:t>
      </w:r>
      <w:proofErr w:type="spellEnd"/>
      <w:r w:rsidRPr="00AD7B00">
        <w:rPr>
          <w:rFonts w:cstheme="minorHAnsi"/>
          <w:lang w:val="en-US"/>
        </w:rPr>
        <w:t xml:space="preserve"> nerve </w:t>
      </w:r>
      <w:proofErr w:type="spellStart"/>
      <w:r w:rsidRPr="00AD7B00">
        <w:rPr>
          <w:rFonts w:cstheme="minorHAnsi"/>
          <w:lang w:val="en-US"/>
        </w:rPr>
        <w:t>fibres</w:t>
      </w:r>
      <w:proofErr w:type="spellEnd"/>
      <w:r w:rsidRPr="00AD7B00">
        <w:rPr>
          <w:rFonts w:cstheme="minorHAnsi"/>
          <w:lang w:val="en-US"/>
        </w:rPr>
        <w:t xml:space="preserve"> in the hind paw of rats after chronic ligation injury to the sciatic nerve. They observed migration and branching of sympathetic </w:t>
      </w:r>
      <w:proofErr w:type="spellStart"/>
      <w:r w:rsidRPr="00AD7B00">
        <w:rPr>
          <w:rFonts w:cstheme="minorHAnsi"/>
          <w:lang w:val="en-US"/>
        </w:rPr>
        <w:t>fibres</w:t>
      </w:r>
      <w:proofErr w:type="spellEnd"/>
      <w:r w:rsidRPr="00AD7B00">
        <w:rPr>
          <w:rFonts w:cstheme="minorHAnsi"/>
          <w:lang w:val="en-US"/>
        </w:rPr>
        <w:t xml:space="preserve"> into the upper dermis of the hind paw skin, where they were normally absent. A dramatic increase in the density of </w:t>
      </w:r>
      <w:proofErr w:type="spellStart"/>
      <w:r w:rsidRPr="00AD7B00">
        <w:rPr>
          <w:rFonts w:cstheme="minorHAnsi"/>
          <w:lang w:val="en-US"/>
        </w:rPr>
        <w:t>peptidergic</w:t>
      </w:r>
      <w:proofErr w:type="spellEnd"/>
      <w:r w:rsidRPr="00AD7B00">
        <w:rPr>
          <w:rFonts w:cstheme="minorHAnsi"/>
          <w:lang w:val="en-US"/>
        </w:rPr>
        <w:t xml:space="preserve"> </w:t>
      </w:r>
      <w:proofErr w:type="spellStart"/>
      <w:r w:rsidRPr="00AD7B00">
        <w:rPr>
          <w:rFonts w:cstheme="minorHAnsi"/>
          <w:lang w:val="en-US"/>
        </w:rPr>
        <w:t>fibres</w:t>
      </w:r>
      <w:proofErr w:type="spellEnd"/>
      <w:r w:rsidRPr="00AD7B00">
        <w:rPr>
          <w:rFonts w:cstheme="minorHAnsi"/>
          <w:lang w:val="en-US"/>
        </w:rPr>
        <w:t xml:space="preserve"> in the upper dermis was also noted. They concluded that this novel </w:t>
      </w:r>
      <w:proofErr w:type="spellStart"/>
      <w:r w:rsidRPr="00AD7B00">
        <w:rPr>
          <w:rFonts w:cstheme="minorHAnsi"/>
          <w:lang w:val="en-US"/>
        </w:rPr>
        <w:t>fibre</w:t>
      </w:r>
      <w:proofErr w:type="spellEnd"/>
      <w:r w:rsidRPr="00AD7B00">
        <w:rPr>
          <w:rFonts w:cstheme="minorHAnsi"/>
          <w:lang w:val="en-US"/>
        </w:rPr>
        <w:t xml:space="preserve"> arrangement after nerve lesion might play an important role in the development and persistence of sympathetically maintained neuropathic pain after partial nerve lesions </w:t>
      </w:r>
      <w:r w:rsidRPr="00AD7B00">
        <w:rPr>
          <w:rFonts w:cstheme="minorHAnsi"/>
          <w:lang w:val="en-US"/>
        </w:rPr>
        <w:fldChar w:fldCharType="begin"/>
      </w:r>
      <w:r w:rsidRPr="00AD7B00">
        <w:rPr>
          <w:rFonts w:cstheme="minorHAnsi"/>
          <w:lang w:val="en-US"/>
        </w:rPr>
        <w:instrText xml:space="preserve"> ADDIN EN.CITE &lt;EndNote&gt;&lt;Cite  &gt;&lt;Author&gt;Yen&lt;/Author&gt;&lt;Year&gt;2006&lt;/Year&gt;&lt;RecNum&gt;319&lt;/RecNum&gt;&lt;DisplayText&gt;(Yen et al., 2006)&lt;/DisplayText&gt;&lt;record&gt;&lt;keywords&gt;&lt;keyword&gt;Neuronal Plasticity -- Physiology&lt;/keyword&gt;&lt;keyword&gt;Nociceptors -- Physiology&lt;/keyword&gt;&lt;keyword&gt;Pain, Intractable -- Physiopathology&lt;/keyword&gt;&lt;keyword&gt;Peripheral Nervous System Diseases -- Physiopathology&lt;/keyword&gt;&lt;keyword&gt;Sensory Receptor Cells -- Physiology&lt;/keyword&gt;&lt;keyword&gt;Sympathetic Fibers, Postganglionic -- Physiopathology&lt;/keyword&gt;&lt;/keywords&gt;&lt;isbn&gt;0021-9967&lt;/isbn&gt;&lt;titles&gt;&lt;title&gt;Sympathetic sprouting and changes in nociceptive sensory innervation in the glabrous skin of the rat hind paw following partial peripheral nerve injury&lt;/title&gt;&lt;secondary-title&gt;The Journal of comparative neurology&lt;/secondary-title&gt;&lt;/titles&gt;&lt;pages&gt;679&lt;/pages&gt;&lt;number&gt;6&lt;/number&gt;&lt;contributors&gt;&lt;authors&gt;&lt;author&gt;Yen, Laurene D.&lt;/author&gt;&lt;author&gt;Bennett, Gary J.&lt;/author&gt;&lt;author&gt;Ribeiro-da-silva, Alfredo&lt;/author&gt;&lt;author&gt;Ribeiro-da-Silva, Alfredo&lt;/author&gt;&lt;/authors&gt;&lt;/contributors&gt;&lt;added-date format="utc"&gt;1386469956&lt;/added-date&gt;&lt;ref-type name="Journal Article"&gt;17&lt;/ref-type&gt;&lt;dates&gt;&lt;year&gt;2006&lt;/year&gt;&lt;/dates&gt;&lt;rec-number&gt;319&lt;/rec-number&gt;&lt;last-updated-date format="utc"&gt;1387847341&lt;/last-updated-date&gt;&lt;volume&gt;495&lt;/volume&gt;&lt;/record&gt;&lt;/Cite&gt;&lt;/EndNote&gt;</w:instrText>
      </w:r>
      <w:r w:rsidRPr="00AD7B00">
        <w:rPr>
          <w:rFonts w:cstheme="minorHAnsi"/>
          <w:lang w:val="en-US"/>
        </w:rPr>
        <w:fldChar w:fldCharType="separate"/>
      </w:r>
      <w:r w:rsidRPr="00AD7B00">
        <w:rPr>
          <w:rFonts w:cstheme="minorHAnsi"/>
          <w:lang w:val="en-US"/>
        </w:rPr>
        <w:t>(Yen et al., 2006)</w:t>
      </w:r>
      <w:r w:rsidRPr="00AD7B00">
        <w:rPr>
          <w:rFonts w:cstheme="minorHAnsi"/>
          <w:lang w:val="en-US"/>
        </w:rPr>
        <w:fldChar w:fldCharType="end"/>
      </w:r>
      <w:r w:rsidRPr="00AD7B00">
        <w:rPr>
          <w:rFonts w:cstheme="minorHAnsi"/>
        </w:rPr>
        <w:t>.</w:t>
      </w:r>
    </w:p>
    <w:p w14:paraId="0D242241" w14:textId="5CC8C95F" w:rsidR="00AF1A96" w:rsidRPr="00AD7B00" w:rsidRDefault="00AF1A96" w:rsidP="00AF1A96">
      <w:pPr>
        <w:pStyle w:val="Heading5"/>
        <w:rPr>
          <w:rFonts w:ascii="Cambria" w:hAnsi="Cambria" w:cstheme="minorHAnsi"/>
          <w:b/>
          <w:bCs/>
        </w:rPr>
      </w:pPr>
      <w:bookmarkStart w:id="65" w:name="_Toc24"/>
      <w:r w:rsidRPr="00AD7B00">
        <w:rPr>
          <w:rFonts w:ascii="Cambria" w:eastAsia="Cambria" w:hAnsi="Cambria" w:cstheme="minorHAnsi"/>
          <w:b/>
          <w:bCs/>
          <w:lang w:val="en-US"/>
        </w:rPr>
        <w:t>1.2.2.1</w:t>
      </w:r>
      <w:r w:rsidR="00F03C09">
        <w:rPr>
          <w:rFonts w:ascii="Cambria" w:eastAsia="Cambria" w:hAnsi="Cambria" w:cstheme="minorHAnsi"/>
          <w:b/>
          <w:bCs/>
          <w:lang w:val="en-US"/>
        </w:rPr>
        <w:t>h</w:t>
      </w:r>
      <w:r w:rsidRPr="00AD7B00">
        <w:rPr>
          <w:rFonts w:ascii="Cambria" w:eastAsia="Cambria" w:hAnsi="Cambria" w:cstheme="minorHAnsi"/>
          <w:b/>
          <w:bCs/>
          <w:lang w:val="en-US"/>
        </w:rPr>
        <w:t xml:space="preserve"> Transient Receptor Potential Cation Channel Vanilloid Type 1 (TRPV1)</w:t>
      </w:r>
      <w:bookmarkEnd w:id="65"/>
    </w:p>
    <w:p w14:paraId="3E42CB3D" w14:textId="77777777" w:rsidR="00AF1A96" w:rsidRPr="00AD7B00" w:rsidRDefault="00AF1A96" w:rsidP="00AF1A96">
      <w:pPr>
        <w:pStyle w:val="BodyA"/>
        <w:rPr>
          <w:rFonts w:cstheme="minorHAnsi"/>
        </w:rPr>
      </w:pPr>
    </w:p>
    <w:p w14:paraId="237BC2C5" w14:textId="77777777" w:rsidR="00AF1A96" w:rsidRPr="00AD7B00" w:rsidRDefault="00AF1A96" w:rsidP="00AF1A96">
      <w:pPr>
        <w:pStyle w:val="BodyA"/>
        <w:spacing w:line="480" w:lineRule="auto"/>
        <w:jc w:val="both"/>
        <w:rPr>
          <w:rFonts w:cstheme="minorHAnsi"/>
        </w:rPr>
      </w:pPr>
      <w:r w:rsidRPr="00AD7B00">
        <w:rPr>
          <w:rFonts w:cstheme="minorHAnsi"/>
          <w:lang w:val="en-US"/>
        </w:rPr>
        <w:t xml:space="preserve">The vanilloid receptor TRPV1 is a </w:t>
      </w:r>
      <w:proofErr w:type="spellStart"/>
      <w:r w:rsidRPr="00AD7B00">
        <w:rPr>
          <w:rFonts w:cstheme="minorHAnsi"/>
          <w:lang w:val="en-US"/>
        </w:rPr>
        <w:t>homotetrameric</w:t>
      </w:r>
      <w:proofErr w:type="spellEnd"/>
      <w:r w:rsidRPr="00AD7B00">
        <w:rPr>
          <w:rFonts w:cstheme="minorHAnsi"/>
          <w:lang w:val="en-US"/>
        </w:rPr>
        <w:t>, non-selective cation channel abundantly expressed in nociceptors (c-</w:t>
      </w:r>
      <w:proofErr w:type="spellStart"/>
      <w:r w:rsidRPr="00AD7B00">
        <w:rPr>
          <w:rFonts w:cstheme="minorHAnsi"/>
          <w:lang w:val="en-US"/>
        </w:rPr>
        <w:t>fibres</w:t>
      </w:r>
      <w:proofErr w:type="spellEnd"/>
      <w:r w:rsidRPr="00AD7B00">
        <w:rPr>
          <w:rFonts w:cstheme="minorHAnsi"/>
          <w:lang w:val="en-US"/>
        </w:rPr>
        <w:t xml:space="preserve">) </w:t>
      </w:r>
      <w:r w:rsidRPr="00AD7B00">
        <w:rPr>
          <w:rFonts w:cstheme="minorHAnsi"/>
          <w:lang w:val="en-US"/>
        </w:rPr>
        <w:fldChar w:fldCharType="begin"/>
      </w:r>
      <w:r w:rsidRPr="00AD7B00">
        <w:rPr>
          <w:rFonts w:cstheme="minorHAnsi"/>
          <w:lang w:val="en-US"/>
        </w:rPr>
        <w:instrText xml:space="preserve"> ADDIN EN.CITE &lt;EndNote&gt;&lt;Cite  &gt;&lt;Author&gt;Wong&lt;/Author&gt;&lt;Year&gt;2009&lt;/Year&gt;&lt;RecNum&gt;225&lt;/RecNum&gt;&lt;DisplayText&gt;(Wong and Gavva, 2009)&lt;/DisplayText&gt;&lt;record&gt;&lt;keywords&gt;&lt;keyword&gt;Analgesics -- Pharmacology&lt;/keyword&gt;&lt;keyword&gt;Nervous System -- Drug Effects&lt;/keyword&gt;&lt;keyword&gt;Nociceptors -- Drug Effects&lt;/keyword&gt;&lt;keyword&gt;Pain -- Drug Therapy&lt;/keyword&gt;&lt;keyword&gt;Trpv Cation Channels -- Agonists&lt;/keyword&gt;&lt;keyword&gt;Trpv Cation Channels -- Antagonists &amp;amp;amp&lt;/keyword&gt;&lt;keyword&gt;Inhibitors&lt;/keyword&gt;&lt;/keywords&gt;&lt;isbn&gt;0165-0173&lt;/isbn&gt;&lt;titles&gt;&lt;title&gt;Therapeutic potential of vanilloid receptor TRPV1 agonists and antagonists as analgesics: Recent advances and setbacks&lt;/title&gt;&lt;secondary-title&gt;Brain research reviews&lt;/secondary-title&gt;&lt;/titles&gt;&lt;pages&gt;267&lt;/pages&gt;&lt;number&gt;1&lt;/number&gt;&lt;contributors&gt;&lt;authors&gt;&lt;author&gt;Wong, Gilbert Y.&lt;/author&gt;&lt;author&gt;Gavva, Narender R.&lt;/author&gt;&lt;/authors&gt;&lt;/contributors&gt;&lt;added-date format="utc"&gt;1385585581&lt;/added-date&gt;&lt;ref-type name="Journal Article"&gt;17&lt;/ref-type&gt;&lt;dates&gt;&lt;year&gt;2009&lt;/year&gt;&lt;/dates&gt;&lt;rec-number&gt;225&lt;/rec-number&gt;&lt;last-updated-date format="utc"&gt;1386076186&lt;/last-updated-date&gt;&lt;electronic-resource-num&gt;10.1016/j.brainresrev.2008.12.006&lt;/electronic-resource-num&gt;&lt;volume&gt;60&lt;/volume&gt;&lt;/record&gt;&lt;/Cite&gt;&lt;/EndNote&gt;</w:instrText>
      </w:r>
      <w:r w:rsidRPr="00AD7B00">
        <w:rPr>
          <w:rFonts w:cstheme="minorHAnsi"/>
          <w:lang w:val="en-US"/>
        </w:rPr>
        <w:fldChar w:fldCharType="separate"/>
      </w:r>
      <w:r w:rsidRPr="00AD7B00">
        <w:rPr>
          <w:rFonts w:cstheme="minorHAnsi"/>
          <w:lang w:val="en-US"/>
        </w:rPr>
        <w:t>(Wong and Gavva, 2009)</w:t>
      </w:r>
      <w:r w:rsidRPr="00AD7B00">
        <w:rPr>
          <w:rFonts w:cstheme="minorHAnsi"/>
          <w:lang w:val="en-US"/>
        </w:rPr>
        <w:fldChar w:fldCharType="end"/>
      </w:r>
      <w:r w:rsidRPr="00AD7B00">
        <w:rPr>
          <w:rFonts w:cstheme="minorHAnsi"/>
          <w:lang w:val="en-US"/>
        </w:rPr>
        <w:t xml:space="preserve">. The vanilloid TRPV1 receptor, present on primary afferent nerve </w:t>
      </w:r>
      <w:proofErr w:type="spellStart"/>
      <w:r w:rsidRPr="00AD7B00">
        <w:rPr>
          <w:rFonts w:cstheme="minorHAnsi"/>
          <w:lang w:val="en-US"/>
        </w:rPr>
        <w:t>fibres</w:t>
      </w:r>
      <w:proofErr w:type="spellEnd"/>
      <w:r w:rsidRPr="00AD7B00">
        <w:rPr>
          <w:rFonts w:cstheme="minorHAnsi"/>
          <w:lang w:val="en-US"/>
        </w:rPr>
        <w:t xml:space="preserve">, is activated by noxious heat, low pH and endogenous vanilloids. Alteration in the function or distribution of TRPV1 receptors may play a vital role in pain induced by inflammation or neuropathy </w:t>
      </w:r>
      <w:r w:rsidRPr="00AD7B00">
        <w:rPr>
          <w:rFonts w:cstheme="minorHAnsi"/>
          <w:lang w:val="en-US"/>
        </w:rPr>
        <w:fldChar w:fldCharType="begin"/>
      </w:r>
      <w:r w:rsidRPr="00AD7B00">
        <w:rPr>
          <w:rFonts w:cstheme="minorHAnsi"/>
          <w:lang w:val="en-US"/>
        </w:rPr>
        <w:instrText xml:space="preserve"> ADDIN EN.CITE &lt;EndNote&gt;&lt;Cite  &gt;&lt;Author&gt;Jhaveri&lt;/Author&gt;&lt;Year&gt;2005&lt;/Year&gt;&lt;DisplayText&gt;(Jhaveri et al., 2005)&lt;/DisplayText&gt;&lt;record&gt;&lt;keywords&gt;&lt;keyword&gt;Hot Temperature -- Adverse Effects&lt;/keyword&gt;&lt;keyword&gt;Hyperalgesia -- Physiopathology&lt;/keyword&gt;&lt;keyword&gt;Inflammation -- Physiopathology&lt;/keyword&gt;&lt;keyword&gt;Ion Channels -- Physiology&lt;/keyword&gt;&lt;keyword&gt;Neuralgia -- Physiopathology&lt;/keyword&gt;&lt;keyword&gt;Posterior Horn Cells -- Physiopathology&lt;/keyword&gt;&lt;/keywords&gt;&lt;isbn&gt;0953-816X&lt;/isbn&gt;&lt;titles&gt;&lt;title&gt;Inhibition of peripheral vanilloid TRPV1 receptors reduces noxious heat- evoked responses of dorsal horn neurons in naïve, carrageenan- inflamed and neuropathic rats&lt;/title&gt;&lt;secondary-title&gt;The European journal of neuroscience&lt;/secondary-title&gt;&lt;/titles&gt;&lt;pages&gt;361&lt;/pages&gt;&lt;number&gt;2&lt;/number&gt;&lt;contributors&gt;&lt;authors&gt;&lt;author&gt;Jhaveri, Maulik D.&lt;/author&gt;&lt;author&gt;Elmes, Steven J. R.&lt;/author&gt;&lt;author&gt;Kendall, David A.&lt;/author&gt;&lt;author&gt;Chapman, Victoria&lt;/author&gt;&lt;/authors&gt;&lt;/contributors&gt;&lt;added-date format="utc"&gt;1383264513&lt;/added-date&gt;&lt;ref-type name="Journal Article"&gt;17&lt;/ref-type&gt;&lt;dates&gt;&lt;year&gt;2005&lt;/year&gt;&lt;/dates&gt;&lt;rec-number&gt;147&lt;/rec-number&gt;&lt;last-updated-date format="utc"&gt;1383265024&lt;/last-updated-date&gt;&lt;volume&gt;22&lt;/volume&gt;&lt;/record&gt;&lt;/Cite&gt;&lt;/EndNote&gt;</w:instrText>
      </w:r>
      <w:r w:rsidRPr="00AD7B00">
        <w:rPr>
          <w:rFonts w:cstheme="minorHAnsi"/>
          <w:lang w:val="en-US"/>
        </w:rPr>
        <w:fldChar w:fldCharType="separate"/>
      </w:r>
      <w:r w:rsidRPr="00AD7B00">
        <w:rPr>
          <w:rFonts w:cstheme="minorHAnsi"/>
          <w:lang w:val="en-US"/>
        </w:rPr>
        <w:t>(Jhaveri et al., 2005)</w:t>
      </w:r>
      <w:r w:rsidRPr="00AD7B00">
        <w:rPr>
          <w:rFonts w:cstheme="minorHAnsi"/>
          <w:lang w:val="en-US"/>
        </w:rPr>
        <w:fldChar w:fldCharType="end"/>
      </w:r>
      <w:r w:rsidRPr="00AD7B00">
        <w:rPr>
          <w:rFonts w:cstheme="minorHAnsi"/>
          <w:lang w:val="en-US"/>
        </w:rPr>
        <w:t xml:space="preserve">. Administration of potent TRPV1 receptor antagonist </w:t>
      </w:r>
      <w:proofErr w:type="spellStart"/>
      <w:r w:rsidRPr="00AD7B00">
        <w:rPr>
          <w:rFonts w:cstheme="minorHAnsi"/>
          <w:lang w:val="en-US"/>
        </w:rPr>
        <w:t>iodoresiniferatoxin</w:t>
      </w:r>
      <w:proofErr w:type="spellEnd"/>
      <w:r w:rsidRPr="00AD7B00">
        <w:rPr>
          <w:rFonts w:cstheme="minorHAnsi"/>
          <w:lang w:val="en-US"/>
        </w:rPr>
        <w:t xml:space="preserve"> (</w:t>
      </w:r>
      <w:proofErr w:type="spellStart"/>
      <w:r w:rsidRPr="00AD7B00">
        <w:rPr>
          <w:rFonts w:cstheme="minorHAnsi"/>
          <w:lang w:val="en-US"/>
        </w:rPr>
        <w:t>IRTX</w:t>
      </w:r>
      <w:proofErr w:type="spellEnd"/>
      <w:r w:rsidRPr="00AD7B00">
        <w:rPr>
          <w:rFonts w:cstheme="minorHAnsi"/>
          <w:lang w:val="en-US"/>
        </w:rPr>
        <w:t>) peripherally resulted in improvement in noxious heat (45 degrees C)-evoked responses of spinal wide dynamic range (</w:t>
      </w:r>
      <w:proofErr w:type="spellStart"/>
      <w:r w:rsidRPr="00AD7B00">
        <w:rPr>
          <w:rFonts w:cstheme="minorHAnsi"/>
          <w:lang w:val="en-US"/>
        </w:rPr>
        <w:t>WDR</w:t>
      </w:r>
      <w:proofErr w:type="spellEnd"/>
      <w:r w:rsidRPr="00AD7B00">
        <w:rPr>
          <w:rFonts w:cstheme="minorHAnsi"/>
          <w:lang w:val="en-US"/>
        </w:rPr>
        <w:t xml:space="preserve">) neurons in naive, carrageenan-inflamed, sham-operated and L5/6 spinal nerve-ligated (SNL) anaesthetized rats in vivo </w:t>
      </w:r>
      <w:r w:rsidRPr="00AD7B00">
        <w:rPr>
          <w:rFonts w:cstheme="minorHAnsi"/>
          <w:lang w:val="en-US"/>
        </w:rPr>
        <w:fldChar w:fldCharType="begin"/>
      </w:r>
      <w:r w:rsidRPr="00AD7B00">
        <w:rPr>
          <w:rFonts w:cstheme="minorHAnsi"/>
          <w:lang w:val="en-US"/>
        </w:rPr>
        <w:instrText xml:space="preserve"> ADDIN EN.CITE &lt;EndNote&gt;&lt;Cite  &gt;&lt;Author&gt;Jhaveri&lt;/Author&gt;&lt;Year&gt;2005&lt;/Year&gt;&lt;DisplayText&gt;(Jhaveri et al., 2005)&lt;/DisplayText&gt;&lt;record&gt;&lt;keywords&gt;&lt;keyword&gt;Hot Temperature -- Adverse Effects&lt;/keyword&gt;&lt;keyword&gt;Hyperalgesia -- Physiopathology&lt;/keyword&gt;&lt;keyword&gt;Inflammation -- Physiopathology&lt;/keyword&gt;&lt;keyword&gt;Ion Channels -- Physiology&lt;/keyword&gt;&lt;keyword&gt;Neuralgia -- Physiopathology&lt;/keyword&gt;&lt;keyword&gt;Posterior Horn Cells -- Physiopathology&lt;/keyword&gt;&lt;/keywords&gt;&lt;isbn&gt;0953-816X&lt;/isbn&gt;&lt;titles&gt;&lt;title&gt;Inhibition of peripheral vanilloid TRPV1 receptors reduces noxious heat- evoked responses of dorsal horn neurons in naïve, carrageenan- inflamed and neuropathic rats&lt;/title&gt;&lt;secondary-title&gt;The European journal of neuroscience&lt;/secondary-title&gt;&lt;/titles&gt;&lt;pages&gt;361&lt;/pages&gt;&lt;number&gt;2&lt;/number&gt;&lt;contributors&gt;&lt;authors&gt;&lt;author&gt;Jhaveri, Maulik D.&lt;/author&gt;&lt;author&gt;Elmes, Steven J. R.&lt;/author&gt;&lt;author&gt;Kendall, David A.&lt;/author&gt;&lt;author&gt;Chapman, Victoria&lt;/author&gt;&lt;/authors&gt;&lt;/contributors&gt;&lt;added-date format="utc"&gt;1383264513&lt;/added-date&gt;&lt;ref-type name="Journal Article"&gt;17&lt;/ref-type&gt;&lt;dates&gt;&lt;year&gt;2005&lt;/year&gt;&lt;/dates&gt;&lt;rec-number&gt;147&lt;/rec-number&gt;&lt;last-updated-date format="utc"&gt;1383265024&lt;/last-updated-date&gt;&lt;volume&gt;22&lt;/volume&gt;&lt;/record&gt;&lt;/Cite&gt;&lt;/EndNote&gt;</w:instrText>
      </w:r>
      <w:r w:rsidRPr="00AD7B00">
        <w:rPr>
          <w:rFonts w:cstheme="minorHAnsi"/>
          <w:lang w:val="en-US"/>
        </w:rPr>
        <w:fldChar w:fldCharType="separate"/>
      </w:r>
      <w:r w:rsidRPr="00AD7B00">
        <w:rPr>
          <w:rFonts w:cstheme="minorHAnsi"/>
          <w:lang w:val="en-US"/>
        </w:rPr>
        <w:t>(Jhaveri et al., 2005)</w:t>
      </w:r>
      <w:r w:rsidRPr="00AD7B00">
        <w:rPr>
          <w:rFonts w:cstheme="minorHAnsi"/>
          <w:lang w:val="en-US"/>
        </w:rPr>
        <w:fldChar w:fldCharType="end"/>
      </w:r>
      <w:r w:rsidRPr="00AD7B00">
        <w:rPr>
          <w:rFonts w:cstheme="minorHAnsi"/>
          <w:lang w:val="en-US"/>
        </w:rPr>
        <w:t xml:space="preserve">, supporting the role of peripheral TRPV1 receptors in noxious thermal transmission. Similarly, in streptozotocin treated diabetic rats, activation of the TRPV1 receptor results in preferential neuronal stress in large </w:t>
      </w:r>
      <w:proofErr w:type="spellStart"/>
      <w:r w:rsidRPr="00AD7B00">
        <w:rPr>
          <w:rFonts w:cstheme="minorHAnsi"/>
          <w:lang w:val="en-US"/>
        </w:rPr>
        <w:t>DRG</w:t>
      </w:r>
      <w:proofErr w:type="spellEnd"/>
      <w:r w:rsidRPr="00AD7B00">
        <w:rPr>
          <w:rFonts w:cstheme="minorHAnsi"/>
          <w:lang w:val="en-US"/>
        </w:rPr>
        <w:t xml:space="preserve"> neurons relatively early in </w:t>
      </w:r>
      <w:proofErr w:type="spellStart"/>
      <w:r w:rsidRPr="00AD7B00">
        <w:rPr>
          <w:rFonts w:cstheme="minorHAnsi"/>
          <w:lang w:val="en-US"/>
        </w:rPr>
        <w:t>DPN</w:t>
      </w:r>
      <w:proofErr w:type="spellEnd"/>
      <w:r w:rsidRPr="00AD7B00">
        <w:rPr>
          <w:rFonts w:cstheme="minorHAnsi"/>
          <w:lang w:val="en-US"/>
        </w:rPr>
        <w:t xml:space="preserve"> </w:t>
      </w:r>
      <w:r w:rsidRPr="00AD7B00">
        <w:rPr>
          <w:rFonts w:cstheme="minorHAnsi"/>
          <w:lang w:val="en-US"/>
        </w:rPr>
        <w:fldChar w:fldCharType="begin"/>
      </w:r>
      <w:r w:rsidRPr="00AD7B00">
        <w:rPr>
          <w:rFonts w:cstheme="minorHAnsi"/>
          <w:lang w:val="en-US"/>
        </w:rPr>
        <w:instrText xml:space="preserve"> ADDIN EN.CITE &lt;EndNote&gt;&lt;Cite  &gt;&lt;Author&gt;Hong&lt;/Author&gt;&lt;Year&gt;2008&lt;/Year&gt;&lt;RecNum&gt;148&lt;/RecNum&gt;&lt;DisplayText&gt;(Hong et al., 2008)&lt;/DisplayText&gt;&lt;record&gt;&lt;keywords&gt;&lt;keyword&gt;Diabetic Neuropathies -- Metabolism&lt;/keyword&gt;&lt;keyword&gt;Ganglia, Spinal -- Metabolism&lt;/keyword&gt;&lt;keyword&gt;Neurons -- Metabolism&lt;/keyword&gt;&lt;keyword&gt;Oxidative Stress -- Physiology&lt;/keyword&gt;&lt;keyword&gt;Trpv Cation Channels -- Metabolism&lt;/keyword&gt;&lt;/keywords&gt;&lt;titles&gt;&lt;title&gt;The TRPV1 receptor is associated with preferential stress in large dorsal root ganglion neurons in early diabetic sensory neuropathy&lt;/title&gt;&lt;secondary-title&gt;Journal of neurochemistry&lt;/secondary-title&gt;&lt;/titles&gt;&lt;pages&gt;1212&lt;/pages&gt;&lt;number&gt;4&lt;/number&gt;&lt;contributors&gt;&lt;authors&gt;&lt;author&gt;Hong, Shuangsong&lt;/author&gt;&lt;author&gt;Agresta, Laura&lt;/author&gt;&lt;author&gt;Guo, Chunfang&lt;/author&gt;&lt;author&gt;Wiley, John W.&lt;/author&gt;&lt;/authors&gt;&lt;/contributors&gt;&lt;added-date format="utc"&gt;1383264560&lt;/added-date&gt;&lt;ref-type name="Journal Article"&gt;17&lt;/ref-type&gt;&lt;dates&gt;&lt;year&gt;2008&lt;/year&gt;&lt;/dates&gt;&lt;rec-number&gt;148&lt;/rec-number&gt;&lt;last-updated-date format="utc"&gt;1383265024&lt;/last-updated-date&gt;&lt;electronic-resource-num&gt;10.1111/j.1471-4159.2008.05220.x&lt;/electronic-resource-num&gt;&lt;volume&gt;105&lt;/volume&gt;&lt;/record&gt;&lt;/Cite&gt;&lt;/EndNote&gt;</w:instrText>
      </w:r>
      <w:r w:rsidRPr="00AD7B00">
        <w:rPr>
          <w:rFonts w:cstheme="minorHAnsi"/>
          <w:lang w:val="en-US"/>
        </w:rPr>
        <w:fldChar w:fldCharType="separate"/>
      </w:r>
      <w:r w:rsidRPr="00AD7B00">
        <w:rPr>
          <w:rFonts w:cstheme="minorHAnsi"/>
          <w:lang w:val="en-US"/>
        </w:rPr>
        <w:t>(Hong et al., 2008)</w:t>
      </w:r>
      <w:r w:rsidRPr="00AD7B00">
        <w:rPr>
          <w:rFonts w:cstheme="minorHAnsi"/>
          <w:lang w:val="en-US"/>
        </w:rPr>
        <w:fldChar w:fldCharType="end"/>
      </w:r>
      <w:r w:rsidRPr="00AD7B00">
        <w:rPr>
          <w:rFonts w:cstheme="minorHAnsi"/>
          <w:lang w:val="en-US"/>
        </w:rPr>
        <w:t xml:space="preserve">. TRPV1 mediated </w:t>
      </w:r>
      <w:proofErr w:type="spellStart"/>
      <w:r w:rsidRPr="00AD7B00">
        <w:rPr>
          <w:rFonts w:cstheme="minorHAnsi"/>
          <w:lang w:val="en-US"/>
        </w:rPr>
        <w:t>signalling</w:t>
      </w:r>
      <w:proofErr w:type="spellEnd"/>
      <w:r w:rsidRPr="00AD7B00">
        <w:rPr>
          <w:rFonts w:cstheme="minorHAnsi"/>
          <w:lang w:val="en-US"/>
        </w:rPr>
        <w:t xml:space="preserve"> in </w:t>
      </w:r>
      <w:proofErr w:type="spellStart"/>
      <w:r w:rsidRPr="00AD7B00">
        <w:rPr>
          <w:rFonts w:cstheme="minorHAnsi"/>
          <w:lang w:val="en-US"/>
        </w:rPr>
        <w:t>DRG</w:t>
      </w:r>
      <w:proofErr w:type="spellEnd"/>
      <w:r w:rsidRPr="00AD7B00">
        <w:rPr>
          <w:rFonts w:cstheme="minorHAnsi"/>
          <w:lang w:val="en-US"/>
        </w:rPr>
        <w:t xml:space="preserve"> neurons was shown upregulated in streptozotocin treated diabetes mice with hyperalgesia but down-</w:t>
      </w:r>
      <w:r w:rsidRPr="00AD7B00">
        <w:rPr>
          <w:rFonts w:cstheme="minorHAnsi"/>
          <w:lang w:val="en-US"/>
        </w:rPr>
        <w:lastRenderedPageBreak/>
        <w:t xml:space="preserve">regulated during hypoalgesia or in the normal state </w:t>
      </w:r>
      <w:r w:rsidRPr="00AD7B00">
        <w:rPr>
          <w:rFonts w:cstheme="minorHAnsi"/>
          <w:lang w:val="en-US"/>
        </w:rPr>
        <w:fldChar w:fldCharType="begin"/>
      </w:r>
      <w:r w:rsidRPr="00AD7B00">
        <w:rPr>
          <w:rFonts w:cstheme="minorHAnsi"/>
          <w:lang w:val="en-US"/>
        </w:rPr>
        <w:instrText xml:space="preserve"> ADDIN EN.CITE &lt;EndNote&gt;&lt;Cite  &gt;&lt;Author&gt;Khomula&lt;/Author&gt;&lt;Year&gt;2013&lt;/Year&gt;&lt;RecNum&gt;222&lt;/RecNum&gt;&lt;DisplayText&gt;(Khomula et al., 2013)&lt;/DisplayText&gt;&lt;record&gt;&lt;keywords&gt;&lt;keyword&gt;Calcium Channels, T- type -- Physiology&lt;/keyword&gt;&lt;keyword&gt;Diabetes Mellitus, Experimental -- Physiopathology&lt;/keyword&gt;&lt;keyword&gt;Diabetic Neuropathies -- Physiopathology&lt;/keyword&gt;&lt;keyword&gt;Trpv Cation Channels -- Physiology&lt;/keyword&gt;&lt;/keywords&gt;&lt;isbn&gt;0006-3002&lt;/isbn&gt;&lt;titles&gt;&lt;title&gt;Specific functioning of Cav3.2 T- type calcium and TRPV1 channels under different types of STZ- diabetic neuropathy&lt;/title&gt;&lt;secondary-title&gt;Biochimica et biophysica acta&lt;/secondary-title&gt;&lt;/titles&gt;&lt;pages&gt;636&lt;/pages&gt;&lt;number&gt;5&lt;/number&gt;&lt;contributors&gt;&lt;authors&gt;&lt;author&gt;Khomula, Eugen V.&lt;/author&gt;&lt;author&gt;Viatchenko-karpinski, Viacheslav Y.&lt;/author&gt;&lt;author&gt;Borisyuk, Anya L.&lt;/author&gt;&lt;author&gt;Duzhyy, Dmytro E.&lt;/author&gt;&lt;author&gt;Belan, Pavel V.&lt;/author&gt;&lt;author&gt;Voitenko, Nana V.&lt;/author&gt;&lt;author&gt;Viatchenko-Karpinski, Viacheslav Y.&lt;/author&gt;&lt;/authors&gt;&lt;/contributors&gt;&lt;added-date format="utc"&gt;1385584692&lt;/added-date&gt;&lt;ref-type name="Journal Article"&gt;17&lt;/ref-type&gt;&lt;dates&gt;&lt;year&gt;2013&lt;/year&gt;&lt;/dates&gt;&lt;rec-number&gt;222&lt;/rec-number&gt;&lt;last-updated-date format="utc"&gt;1386076308&lt;/last-updated-date&gt;&lt;electronic-resource-num&gt;10.1016/j.bbadis.2013.01.017&lt;/electronic-resource-num&gt;&lt;volume&gt;1832&lt;/volume&gt;&lt;/record&gt;&lt;/Cite&gt;&lt;/EndNote&gt;</w:instrText>
      </w:r>
      <w:r w:rsidRPr="00AD7B00">
        <w:rPr>
          <w:rFonts w:cstheme="minorHAnsi"/>
          <w:lang w:val="en-US"/>
        </w:rPr>
        <w:fldChar w:fldCharType="separate"/>
      </w:r>
      <w:r w:rsidRPr="00AD7B00">
        <w:rPr>
          <w:rFonts w:cstheme="minorHAnsi"/>
          <w:lang w:val="en-US"/>
        </w:rPr>
        <w:t>(Khomula et al., 2013)</w:t>
      </w:r>
      <w:r w:rsidRPr="00AD7B00">
        <w:rPr>
          <w:rFonts w:cstheme="minorHAnsi"/>
          <w:lang w:val="en-US"/>
        </w:rPr>
        <w:fldChar w:fldCharType="end"/>
      </w:r>
      <w:r w:rsidRPr="00AD7B00">
        <w:rPr>
          <w:rFonts w:cstheme="minorHAnsi"/>
          <w:lang w:val="en-US"/>
        </w:rPr>
        <w:t xml:space="preserve">. Enhanced expression and inflammation-induced sensitization of TRPV1 at the spinal cord level might be also playing a role in central sensitization </w:t>
      </w:r>
      <w:r w:rsidRPr="00AD7B00">
        <w:rPr>
          <w:rFonts w:cstheme="minorHAnsi"/>
          <w:lang w:val="fr-FR"/>
        </w:rPr>
        <w:fldChar w:fldCharType="begin"/>
      </w:r>
      <w:r w:rsidRPr="005B5764">
        <w:rPr>
          <w:rFonts w:cstheme="minorHAnsi"/>
        </w:rPr>
        <w:instrText xml:space="preserve"> ADDIN EN.CITE &lt;EndNote&gt;&lt;Cite  &gt;&lt;Author&gt;Bishnoi&lt;/Author&gt;&lt;Year&gt;2011&lt;/Year&gt;&lt;RecNum&gt;223&lt;/RecNum&gt;&lt;DisplayText&gt;(Bishnoi et al., 2011)&lt;/DisplayText&gt;&lt;record&gt;&lt;keywords&gt;&lt;keyword&gt;Inflammation&lt;/keyword&gt;&lt;keyword&gt;microglia&lt;/keyword&gt;&lt;keyword&gt;resiniferatoxin&lt;/keyword&gt;&lt;keyword&gt;streptozotocin&lt;/keyword&gt;&lt;keyword&gt;TRPV1&lt;/keyword&gt;&lt;/keywords&gt;&lt;isbn&gt;1744-8069&lt;/isbn&gt;&lt;titles&gt;&lt;title&gt;Streptozotocin- Induced Early Thermal Hyperalgesia is independent of Glycemic State of Rats: Role of Transient Receptor Potential Vanilloid 1( TRPV1) and Inflammatory mediators&lt;/title&gt;&lt;secondary-title&gt;Molecular Pain&lt;/secondary-title&gt;&lt;/titles&gt;&lt;pages&gt;52&lt;/pages&gt;&lt;number&gt;1&lt;/number&gt;&lt;contributors&gt;&lt;authors&gt;&lt;author&gt;Bishnoi, Mahendra&lt;/author&gt;&lt;author&gt;Bosgraaf, Christine&lt;/author&gt;&lt;author&gt;Abooj, Mruvil&lt;/author&gt;&lt;author&gt;Zhong, Linlin&lt;/author&gt;&lt;author&gt;Premkumar, Louis&lt;/author&gt;&lt;/authors&gt;&lt;/contributors&gt;&lt;added-date format="utc"&gt;1385585188&lt;/added-date&gt;&lt;ref-type name="Journal Article"&gt;17&lt;/ref-type&gt;&lt;dates&gt;&lt;year&gt;2011&lt;/year&gt;&lt;/dates&gt;&lt;rec-number&gt;223&lt;/rec-number&gt;&lt;last-updated-date format="utc"&gt;1386076278&lt;/last-updated-date&gt;&lt;electronic-resource-num&gt;10.1186/1744-8069-7-52&lt;/electronic-resource-num&gt;&lt;volume&gt;7&lt;/volume&gt;&lt;/record&gt;&lt;/Cite&gt;&lt;/EndNote&gt;</w:instrText>
      </w:r>
      <w:r w:rsidRPr="00AD7B00">
        <w:rPr>
          <w:rFonts w:cstheme="minorHAnsi"/>
          <w:lang w:val="fr-FR"/>
        </w:rPr>
        <w:fldChar w:fldCharType="separate"/>
      </w:r>
      <w:r w:rsidRPr="005B5764">
        <w:rPr>
          <w:rFonts w:cstheme="minorHAnsi"/>
        </w:rPr>
        <w:t>(Bishnoi et al., 2011)</w:t>
      </w:r>
      <w:r w:rsidRPr="00AD7B00">
        <w:rPr>
          <w:rFonts w:cstheme="minorHAnsi"/>
          <w:lang w:val="fr-FR"/>
        </w:rPr>
        <w:fldChar w:fldCharType="end"/>
      </w:r>
      <w:r w:rsidRPr="00AD7B00">
        <w:rPr>
          <w:rFonts w:cstheme="minorHAnsi"/>
          <w:lang w:val="en-US"/>
        </w:rPr>
        <w:t xml:space="preserve">. </w:t>
      </w:r>
      <w:proofErr w:type="spellStart"/>
      <w:r w:rsidRPr="00AD7B00">
        <w:rPr>
          <w:rFonts w:cstheme="minorHAnsi"/>
          <w:lang w:val="en-US"/>
        </w:rPr>
        <w:t>Resiniferatoxin</w:t>
      </w:r>
      <w:proofErr w:type="spellEnd"/>
      <w:r w:rsidRPr="00AD7B00">
        <w:rPr>
          <w:rFonts w:cstheme="minorHAnsi"/>
          <w:lang w:val="en-US"/>
        </w:rPr>
        <w:t xml:space="preserve"> (</w:t>
      </w:r>
      <w:proofErr w:type="spellStart"/>
      <w:r w:rsidRPr="00AD7B00">
        <w:rPr>
          <w:rFonts w:cstheme="minorHAnsi"/>
          <w:lang w:val="en-US"/>
        </w:rPr>
        <w:t>RTX</w:t>
      </w:r>
      <w:proofErr w:type="spellEnd"/>
      <w:r w:rsidRPr="00AD7B00">
        <w:rPr>
          <w:rFonts w:cstheme="minorHAnsi"/>
          <w:lang w:val="en-US"/>
        </w:rPr>
        <w:t xml:space="preserve">) binding, a measure of TRPV1 expression, is increased and decreased in </w:t>
      </w:r>
      <w:proofErr w:type="spellStart"/>
      <w:r w:rsidRPr="00AD7B00">
        <w:rPr>
          <w:rFonts w:cstheme="minorHAnsi"/>
          <w:lang w:val="en-US"/>
        </w:rPr>
        <w:t>DRG</w:t>
      </w:r>
      <w:proofErr w:type="spellEnd"/>
      <w:r w:rsidRPr="00AD7B00">
        <w:rPr>
          <w:rFonts w:cstheme="minorHAnsi"/>
          <w:lang w:val="en-US"/>
        </w:rPr>
        <w:t xml:space="preserve"> and paw skin of </w:t>
      </w:r>
      <w:proofErr w:type="spellStart"/>
      <w:r w:rsidRPr="00AD7B00">
        <w:rPr>
          <w:rFonts w:cstheme="minorHAnsi"/>
          <w:lang w:val="en-US"/>
        </w:rPr>
        <w:t>hyperalgesic</w:t>
      </w:r>
      <w:proofErr w:type="spellEnd"/>
      <w:r w:rsidRPr="00AD7B00">
        <w:rPr>
          <w:rFonts w:cstheme="minorHAnsi"/>
          <w:lang w:val="en-US"/>
        </w:rPr>
        <w:t xml:space="preserve"> and </w:t>
      </w:r>
      <w:proofErr w:type="spellStart"/>
      <w:r w:rsidRPr="00AD7B00">
        <w:rPr>
          <w:rFonts w:cstheme="minorHAnsi"/>
          <w:lang w:val="en-US"/>
        </w:rPr>
        <w:t>hypoalgesic</w:t>
      </w:r>
      <w:proofErr w:type="spellEnd"/>
      <w:r w:rsidRPr="00AD7B00">
        <w:rPr>
          <w:rFonts w:cstheme="minorHAnsi"/>
          <w:lang w:val="en-US"/>
        </w:rPr>
        <w:t xml:space="preserve"> mice, respectively. But these changes were not reproduced in TRPV1 deficient mice </w:t>
      </w:r>
      <w:r w:rsidRPr="00AD7B00">
        <w:rPr>
          <w:rFonts w:cstheme="minorHAnsi"/>
          <w:lang w:val="it-IT"/>
        </w:rPr>
        <w:fldChar w:fldCharType="begin"/>
      </w:r>
      <w:r w:rsidRPr="005B5764">
        <w:rPr>
          <w:rFonts w:cstheme="minorHAnsi"/>
        </w:rPr>
        <w:instrText xml:space="preserve"> ADDIN EN.CITE &lt;EndNote&gt;&lt;Cite  &gt;&lt;Author&gt;Pabbidi&lt;/Author&gt;&lt;Year&gt;2008&lt;/Year&gt;&lt;RecNum&gt;226&lt;/RecNum&gt;&lt;DisplayText&gt;(Pabbidi et al., 2008)&lt;/DisplayText&gt;&lt;record&gt;&lt;keywords&gt;&lt;keyword&gt;Hot Temperature&lt;/keyword&gt;&lt;keyword&gt;Diabetes Mellitus, Experimental -- Metabolism&lt;/keyword&gt;&lt;keyword&gt;Pain -- Metabolism&lt;/keyword&gt;&lt;keyword&gt;Trpv Cation Channels -- Metabolism&lt;/keyword&gt;&lt;/keywords&gt;&lt;isbn&gt;1744-8069&lt;/isbn&gt;&lt;titles&gt;&lt;title&gt;Influence of TRPV1 on diabetes- induced alterations in thermal pain sensitivity&lt;/title&gt;&lt;secondary-title&gt;Molecular pain&lt;/secondary-title&gt;&lt;/titles&gt;&lt;pages&gt;9&lt;/pages&gt;&lt;contributors&gt;&lt;authors&gt;&lt;author&gt;Pabbidi, Reddy M.&lt;/author&gt;&lt;author&gt;Yu, Shuang-quan&lt;/author&gt;&lt;author&gt;Peng, Siying&lt;/author&gt;&lt;author&gt;Khardori, Romesh&lt;/author&gt;&lt;author&gt;Pauza, Mary E.&lt;/author&gt;&lt;author&gt;Premkumar, Louis S.&lt;/author&gt;&lt;author&gt;Yu, Shuang-Quan&lt;/author&gt;&lt;/authors&gt;&lt;/contributors&gt;&lt;added-date format="utc"&gt;1385586646&lt;/added-date&gt;&lt;ref-type name="Journal Article"&gt;17&lt;/ref-type&gt;&lt;dates&gt;&lt;year&gt;2008&lt;/year&gt;&lt;/dates&gt;&lt;rec-number&gt;226&lt;/rec-number&gt;&lt;last-updated-date format="utc"&gt;1386076356&lt;/last-updated-date&gt;&lt;electronic-resource-num&gt;10.1186/1744-8069-4-9&lt;/electronic-resource-num&gt;&lt;volume&gt;4&lt;/volume&gt;&lt;/record&gt;&lt;/Cite&gt;&lt;/EndNote&gt;</w:instrText>
      </w:r>
      <w:r w:rsidRPr="00AD7B00">
        <w:rPr>
          <w:rFonts w:cstheme="minorHAnsi"/>
          <w:lang w:val="it-IT"/>
        </w:rPr>
        <w:fldChar w:fldCharType="separate"/>
      </w:r>
      <w:r w:rsidRPr="005B5764">
        <w:rPr>
          <w:rFonts w:cstheme="minorHAnsi"/>
        </w:rPr>
        <w:t>(Pabbidi et al., 2008)</w:t>
      </w:r>
      <w:r w:rsidRPr="00AD7B00">
        <w:rPr>
          <w:rFonts w:cstheme="minorHAnsi"/>
          <w:lang w:val="it-IT"/>
        </w:rPr>
        <w:fldChar w:fldCharType="end"/>
      </w:r>
      <w:r w:rsidRPr="00AD7B00">
        <w:rPr>
          <w:rFonts w:cstheme="minorHAnsi"/>
          <w:lang w:val="en-US"/>
        </w:rPr>
        <w:t xml:space="preserve">. Human studies also found significant reduction in </w:t>
      </w:r>
      <w:proofErr w:type="spellStart"/>
      <w:r w:rsidRPr="00AD7B00">
        <w:rPr>
          <w:rFonts w:cstheme="minorHAnsi"/>
          <w:lang w:val="en-US"/>
        </w:rPr>
        <w:t>IENF</w:t>
      </w:r>
      <w:proofErr w:type="spellEnd"/>
      <w:r w:rsidRPr="00AD7B00">
        <w:rPr>
          <w:rFonts w:cstheme="minorHAnsi"/>
          <w:lang w:val="en-US"/>
        </w:rPr>
        <w:t xml:space="preserve"> and </w:t>
      </w:r>
      <w:proofErr w:type="spellStart"/>
      <w:r w:rsidRPr="00AD7B00">
        <w:rPr>
          <w:rFonts w:cstheme="minorHAnsi"/>
          <w:lang w:val="en-US"/>
        </w:rPr>
        <w:t>SENF</w:t>
      </w:r>
      <w:proofErr w:type="spellEnd"/>
      <w:r w:rsidRPr="00AD7B00">
        <w:rPr>
          <w:rFonts w:cstheme="minorHAnsi"/>
          <w:lang w:val="en-US"/>
        </w:rPr>
        <w:t xml:space="preserve"> for both PGP9.5 and TRPV1 in skin biopsies, even as early as six months apart </w:t>
      </w:r>
      <w:r w:rsidRPr="00AD7B00">
        <w:rPr>
          <w:rFonts w:cstheme="minorHAnsi"/>
          <w:lang w:val="en-US"/>
        </w:rPr>
        <w:fldChar w:fldCharType="begin"/>
      </w:r>
      <w:r w:rsidRPr="00AD7B00">
        <w:rPr>
          <w:rFonts w:cstheme="minorHAnsi"/>
          <w:lang w:val="en-US"/>
        </w:rPr>
        <w:instrText xml:space="preserve"> ADDIN EN.CITE &lt;EndNote&gt;&lt;Cite  &gt;&lt;Author&gt;Narayanaswamy&lt;/Author&gt;&lt;Year&gt;2012&lt;/Year&gt;&lt;RecNum&gt;220&lt;/RecNum&gt;&lt;DisplayText&gt;(Narayanaswamy et al., 2012)&lt;/DisplayText&gt;&lt;record&gt;&lt;keywords&gt;&lt;keyword&gt;Biological Markers&lt;/keyword&gt;&lt;keyword&gt;Biopsy -- Methods&lt;/keyword&gt;&lt;keyword&gt;Diabetic Neuropathies -- Pathology&lt;/keyword&gt;&lt;keyword&gt;Peripheral Nervous System Diseases -- Pathology&lt;/keyword&gt;&lt;keyword&gt;Sensation -- Physiology&lt;/keyword&gt;&lt;keyword&gt;Skin -- Pathology&lt;/keyword&gt;&lt;/keywords&gt;&lt;titles&gt;&lt;title&gt;A longitudinal study of sensory biomarkers of progression in patients with diabetic peripheral neuropathy using skin biopsies&lt;/title&gt;&lt;secondary-title&gt;Journal of clinical neuroscience : official journal of the Neurosurgical Society of Australasia&lt;/secondary-title&gt;&lt;/titles&gt;&lt;pages&gt;1490&lt;/pages&gt;&lt;number&gt;11&lt;/number&gt;&lt;contributors&gt;&lt;authors&gt;&lt;author&gt;Narayanaswamy, H.&lt;/author&gt;&lt;author&gt;Facer, P.&lt;/author&gt;&lt;author&gt;Misra, V. P.&lt;/author&gt;&lt;author&gt;Timmers, M.&lt;/author&gt;&lt;author&gt;Byttebier, G.&lt;/author&gt;&lt;author&gt;Meert, T.&lt;/author&gt;&lt;author&gt;Anand, P.&lt;/author&gt;&lt;/authors&gt;&lt;/contributors&gt;&lt;added-date format="utc"&gt;1385467298&lt;/added-date&gt;&lt;ref-type name="Journal Article"&gt;17&lt;/ref-type&gt;&lt;dates&gt;&lt;year&gt;2012&lt;/year&gt;&lt;/dates&gt;&lt;rec-number&gt;220&lt;/rec-number&gt;&lt;last-updated-date format="utc"&gt;1386076332&lt;/last-updated-date&gt;&lt;electronic-resource-num&gt;10.1016/j.jocn.2011.12.026&lt;/electronic-resource-num&gt;&lt;volume&gt;19&lt;/volume&gt;&lt;/record&gt;&lt;/Cite&gt;&lt;/EndNote&gt;</w:instrText>
      </w:r>
      <w:r w:rsidRPr="00AD7B00">
        <w:rPr>
          <w:rFonts w:cstheme="minorHAnsi"/>
          <w:lang w:val="en-US"/>
        </w:rPr>
        <w:fldChar w:fldCharType="separate"/>
      </w:r>
      <w:r w:rsidRPr="00AD7B00">
        <w:rPr>
          <w:rFonts w:cstheme="minorHAnsi"/>
          <w:lang w:val="en-US"/>
        </w:rPr>
        <w:t>(Narayanaswamy et al., 2012)</w:t>
      </w:r>
      <w:r w:rsidRPr="00AD7B00">
        <w:rPr>
          <w:rFonts w:cstheme="minorHAnsi"/>
          <w:lang w:val="en-US"/>
        </w:rPr>
        <w:fldChar w:fldCharType="end"/>
      </w:r>
      <w:r w:rsidRPr="00AD7B00">
        <w:rPr>
          <w:rFonts w:cstheme="minorHAnsi"/>
          <w:lang w:val="en-US"/>
        </w:rPr>
        <w:t>.  All these findings demonstrate the role of altered TRPV1 expression and function in diabetes-induced changes in thermal perception.</w:t>
      </w:r>
    </w:p>
    <w:p w14:paraId="5DEBD0B6" w14:textId="07095451" w:rsidR="00AF1A96" w:rsidRPr="00AD7B00" w:rsidRDefault="00AF1A96" w:rsidP="00AF1A96">
      <w:pPr>
        <w:pStyle w:val="Heading5"/>
        <w:rPr>
          <w:rFonts w:ascii="Cambria" w:hAnsi="Cambria" w:cstheme="minorHAnsi"/>
          <w:b/>
          <w:bCs/>
        </w:rPr>
      </w:pPr>
      <w:bookmarkStart w:id="66" w:name="_Toc25"/>
      <w:r w:rsidRPr="00AD7B00">
        <w:rPr>
          <w:rFonts w:ascii="Cambria" w:eastAsia="Cambria" w:hAnsi="Cambria" w:cstheme="minorHAnsi"/>
          <w:b/>
          <w:bCs/>
          <w:lang w:val="en-US"/>
        </w:rPr>
        <w:t>1.2.2.1</w:t>
      </w:r>
      <w:r w:rsidR="00F03C09">
        <w:rPr>
          <w:rFonts w:ascii="Cambria" w:eastAsia="Cambria" w:hAnsi="Cambria" w:cstheme="minorHAnsi"/>
          <w:b/>
          <w:bCs/>
          <w:lang w:val="en-US"/>
        </w:rPr>
        <w:t>i</w:t>
      </w:r>
      <w:r w:rsidRPr="00AD7B00">
        <w:rPr>
          <w:rFonts w:ascii="Cambria" w:eastAsia="Cambria" w:hAnsi="Cambria" w:cstheme="minorHAnsi"/>
          <w:b/>
          <w:bCs/>
          <w:lang w:val="en-US"/>
        </w:rPr>
        <w:t xml:space="preserve"> Methylglyoxal</w:t>
      </w:r>
      <w:bookmarkEnd w:id="66"/>
    </w:p>
    <w:p w14:paraId="3AB2CB75" w14:textId="77777777" w:rsidR="00AF1A96" w:rsidRPr="00AD7B00" w:rsidRDefault="00AF1A96" w:rsidP="00AF1A96">
      <w:pPr>
        <w:pStyle w:val="BodyA"/>
        <w:rPr>
          <w:rFonts w:cstheme="minorHAnsi"/>
        </w:rPr>
      </w:pPr>
    </w:p>
    <w:p w14:paraId="78340C36" w14:textId="77777777" w:rsidR="00AF1A96" w:rsidRPr="00AD7B00" w:rsidRDefault="00AF1A96" w:rsidP="00AF1A96">
      <w:pPr>
        <w:pStyle w:val="BodyA"/>
        <w:spacing w:line="480" w:lineRule="auto"/>
        <w:jc w:val="both"/>
        <w:rPr>
          <w:rFonts w:cstheme="minorHAnsi"/>
          <w:color w:val="231F20"/>
          <w:u w:color="231F20"/>
        </w:rPr>
      </w:pPr>
      <w:r w:rsidRPr="00AD7B00">
        <w:rPr>
          <w:rFonts w:cstheme="minorHAnsi"/>
          <w:color w:val="231F20"/>
          <w:u w:color="231F20"/>
          <w:lang w:val="en-US"/>
        </w:rPr>
        <w:t xml:space="preserve">Methylglyoxal is a highly reactive </w:t>
      </w:r>
      <w:proofErr w:type="spellStart"/>
      <w:r w:rsidRPr="00AD7B00">
        <w:rPr>
          <w:rFonts w:cstheme="minorHAnsi"/>
          <w:color w:val="231F20"/>
          <w:u w:color="231F20"/>
          <w:lang w:val="en-US"/>
        </w:rPr>
        <w:t>dicarbonyl</w:t>
      </w:r>
      <w:proofErr w:type="spellEnd"/>
      <w:r w:rsidRPr="00AD7B00">
        <w:rPr>
          <w:rFonts w:cstheme="minorHAnsi"/>
          <w:color w:val="231F20"/>
          <w:u w:color="231F20"/>
          <w:lang w:val="en-US"/>
        </w:rPr>
        <w:t xml:space="preserve"> metabolite of glucose </w:t>
      </w:r>
      <w:r w:rsidRPr="00AD7B00">
        <w:rPr>
          <w:rFonts w:cstheme="minorHAnsi"/>
          <w:color w:val="231F20"/>
          <w:u w:color="231F20"/>
        </w:rPr>
        <w:fldChar w:fldCharType="begin"/>
      </w:r>
      <w:r w:rsidRPr="00AD7B00">
        <w:rPr>
          <w:rFonts w:cstheme="minorHAnsi"/>
          <w:color w:val="231F20"/>
          <w:u w:color="231F20"/>
        </w:rPr>
        <w:instrText xml:space="preserve"> ADDIN EN.CITE &lt;EndNote&gt;&lt;Cite  &gt;&lt;Author&gt;Thornalley&lt;/Author&gt;&lt;Year&gt;2005&lt;/Year&gt;&lt;RecNum&gt;231&lt;/RecNum&gt;&lt;DisplayText&gt;(Thornalley, 2005)&lt;/DisplayText&gt;&lt;record&gt;&lt;keywords/&gt;&lt;isbn&gt;0077-8923&lt;/isbn&gt;&lt;titles&gt;&lt;title&gt;Dicarbonyl intermediates in the maillard reaction&lt;/title&gt;&lt;secondary-title&gt;Annals of the New York Academy of Sciences&lt;/secondary-title&gt;&lt;/titles&gt;&lt;pages&gt;111&lt;/pages&gt;&lt;contributors&gt;&lt;authors&gt;&lt;author&gt;Thornalley, Paul J.&lt;/author&gt;&lt;/authors&gt;&lt;/contributors&gt;&lt;added-date format="utc"&gt;1385665973&lt;/added-date&gt;&lt;ref-type name="Journal Article"&gt;17&lt;/ref-type&gt;&lt;dates&gt;&lt;year&gt;2005&lt;/year&gt;&lt;/dates&gt;&lt;rec-number&gt;231&lt;/rec-number&gt;&lt;last-updated-date format="utc"&gt;1385665973&lt;/last-updated-date&gt;&lt;volume&gt;1043&lt;/volume&gt;&lt;/record&gt;&lt;/Cite&gt;&lt;/EndNote&gt;</w:instrText>
      </w:r>
      <w:r w:rsidRPr="00AD7B00">
        <w:rPr>
          <w:rFonts w:cstheme="minorHAnsi"/>
          <w:color w:val="231F20"/>
          <w:u w:color="231F20"/>
        </w:rPr>
        <w:fldChar w:fldCharType="separate"/>
      </w:r>
      <w:r w:rsidRPr="00AD7B00">
        <w:rPr>
          <w:rFonts w:cstheme="minorHAnsi"/>
          <w:color w:val="231F20"/>
          <w:u w:color="231F20"/>
        </w:rPr>
        <w:t>(Thornalley, 2005)</w:t>
      </w:r>
      <w:r w:rsidRPr="00AD7B00">
        <w:rPr>
          <w:rFonts w:cstheme="minorHAnsi"/>
          <w:color w:val="231F20"/>
          <w:u w:color="231F20"/>
        </w:rPr>
        <w:fldChar w:fldCharType="end"/>
      </w:r>
      <w:r w:rsidRPr="00AD7B00">
        <w:rPr>
          <w:rFonts w:cstheme="minorHAnsi"/>
          <w:color w:val="231F20"/>
          <w:u w:color="231F20"/>
          <w:lang w:val="en-US"/>
        </w:rPr>
        <w:t xml:space="preserve">.  Usually methylglyoxal is </w:t>
      </w:r>
      <w:proofErr w:type="spellStart"/>
      <w:r w:rsidRPr="00AD7B00">
        <w:rPr>
          <w:rFonts w:cstheme="minorHAnsi"/>
          <w:color w:val="231F20"/>
          <w:u w:color="231F20"/>
          <w:lang w:val="en-US"/>
        </w:rPr>
        <w:t>metabolised</w:t>
      </w:r>
      <w:proofErr w:type="spellEnd"/>
      <w:r w:rsidRPr="00AD7B00">
        <w:rPr>
          <w:rFonts w:cstheme="minorHAnsi"/>
          <w:color w:val="231F20"/>
          <w:u w:color="231F20"/>
          <w:lang w:val="en-US"/>
        </w:rPr>
        <w:t xml:space="preserve"> to D lactate by the enzyme glyoxalase 1 (GLO1) and GLO2. The suppression of alpha-oxoaldehyde-mediated glycation by glyoxalase1 is particularly important in diabetes and </w:t>
      </w:r>
      <w:proofErr w:type="spellStart"/>
      <w:r w:rsidRPr="00AD7B00">
        <w:rPr>
          <w:rFonts w:cstheme="minorHAnsi"/>
          <w:color w:val="231F20"/>
          <w:u w:color="231F20"/>
          <w:lang w:val="en-US"/>
        </w:rPr>
        <w:t>uraemia</w:t>
      </w:r>
      <w:proofErr w:type="spellEnd"/>
      <w:r w:rsidRPr="00AD7B00">
        <w:rPr>
          <w:rFonts w:cstheme="minorHAnsi"/>
          <w:color w:val="231F20"/>
          <w:u w:color="231F20"/>
          <w:lang w:val="en-US"/>
        </w:rPr>
        <w:t xml:space="preserve">, where alpha-oxoaldehyde concentrations are increased. Decreased glyoxalase I activity in situ due to the aging process, and oxidative stress due to </w:t>
      </w:r>
      <w:proofErr w:type="spellStart"/>
      <w:r w:rsidRPr="00AD7B00">
        <w:rPr>
          <w:rFonts w:cstheme="minorHAnsi"/>
          <w:color w:val="231F20"/>
          <w:u w:color="231F20"/>
          <w:lang w:val="en-US"/>
        </w:rPr>
        <w:t>hyperglycaemia</w:t>
      </w:r>
      <w:proofErr w:type="spellEnd"/>
      <w:r w:rsidRPr="00AD7B00">
        <w:rPr>
          <w:rFonts w:cstheme="minorHAnsi"/>
          <w:color w:val="231F20"/>
          <w:u w:color="231F20"/>
          <w:lang w:val="en-US"/>
        </w:rPr>
        <w:t xml:space="preserve"> (Figure 1.1), can result in increased glycation and tissue damage </w:t>
      </w:r>
      <w:r w:rsidRPr="00AD7B00">
        <w:rPr>
          <w:rFonts w:cstheme="minorHAnsi"/>
          <w:color w:val="231F20"/>
          <w:u w:color="231F20"/>
          <w:lang w:val="it-IT"/>
        </w:rPr>
        <w:fldChar w:fldCharType="begin"/>
      </w:r>
      <w:r w:rsidRPr="005B5764">
        <w:rPr>
          <w:rFonts w:cstheme="minorHAnsi"/>
          <w:color w:val="231F20"/>
          <w:u w:color="231F20"/>
        </w:rPr>
        <w:instrText xml:space="preserve"> ADDIN EN.CITE &lt;EndNote&gt;&lt;Cite  &gt;&lt;Author&gt;Thornalley&lt;/Author&gt;&lt;Year&gt;2003&lt;/Year&gt;&lt;RecNum&gt;232&lt;/RecNum&gt;&lt;DisplayText&gt;(Thornalley, 2003)&lt;/DisplayText&gt;&lt;record&gt;&lt;keywords/&gt;&lt;isbn&gt;0300-5127&lt;/isbn&gt;&lt;titles&gt;&lt;title&gt;Glyoxalase I-- structure, function and a critical role in the enzymatic defence against glycation&lt;/title&gt;&lt;secondary-title&gt;Biochemical Society transactions&lt;/secondary-title&gt;&lt;/titles&gt;&lt;pages&gt;1343&lt;/pages&gt;&lt;number&gt;Pt 6&lt;/number&gt;&lt;contributors&gt;&lt;authors&gt;&lt;author&gt;Thornalley, P. J.&lt;/author&gt;&lt;/authors&gt;&lt;/contributors&gt;&lt;added-date format="utc"&gt;1385748937&lt;/added-date&gt;&lt;ref-type name="Journal Article"&gt;17&lt;/ref-type&gt;&lt;dates&gt;&lt;year&gt;2003&lt;/year&gt;&lt;/dates&gt;&lt;rec-number&gt;232&lt;/rec-number&gt;&lt;last-updated-date format="utc"&gt;1385748937&lt;/last-updated-date&gt;&lt;volume&gt;31&lt;/volume&gt;&lt;/record&gt;&lt;/Cite&gt;&lt;/EndNote&gt;</w:instrText>
      </w:r>
      <w:r w:rsidRPr="00AD7B00">
        <w:rPr>
          <w:rFonts w:cstheme="minorHAnsi"/>
          <w:color w:val="231F20"/>
          <w:u w:color="231F20"/>
          <w:lang w:val="it-IT"/>
        </w:rPr>
        <w:fldChar w:fldCharType="separate"/>
      </w:r>
      <w:r w:rsidRPr="005B5764">
        <w:rPr>
          <w:rFonts w:cstheme="minorHAnsi"/>
          <w:color w:val="231F20"/>
          <w:u w:color="231F20"/>
        </w:rPr>
        <w:t>(Thornalley, 2003)</w:t>
      </w:r>
      <w:r w:rsidRPr="00AD7B00">
        <w:rPr>
          <w:rFonts w:cstheme="minorHAnsi"/>
          <w:color w:val="231F20"/>
          <w:u w:color="231F20"/>
          <w:lang w:val="it-IT"/>
        </w:rPr>
        <w:fldChar w:fldCharType="end"/>
      </w:r>
      <w:r w:rsidRPr="00AD7B00">
        <w:rPr>
          <w:rFonts w:cstheme="minorHAnsi"/>
          <w:color w:val="231F20"/>
          <w:u w:color="231F20"/>
          <w:lang w:val="en-US"/>
        </w:rPr>
        <w:t xml:space="preserve">. Peripheral nerves have low GLO1 activity and hence are highly vulnerable to methylglyoxal related toxicity </w:t>
      </w:r>
      <w:r w:rsidRPr="00AD7B00">
        <w:rPr>
          <w:rFonts w:cstheme="minorHAnsi"/>
          <w:color w:val="231F20"/>
          <w:u w:color="231F20"/>
        </w:rPr>
        <w:fldChar w:fldCharType="begin"/>
      </w:r>
      <w:r w:rsidRPr="00AD7B00">
        <w:rPr>
          <w:rFonts w:cstheme="minorHAnsi"/>
          <w:color w:val="231F20"/>
          <w:u w:color="231F20"/>
        </w:rPr>
        <w:instrText xml:space="preserve"> ADDIN EN.CITE &lt;EndNote&gt;&lt;Cite  &gt;&lt;Author&gt;Jack&lt;/Author&gt;&lt;Year&gt;2011&lt;/Year&gt;&lt;RecNum&gt;233&lt;/RecNum&gt;&lt;DisplayText&gt;(Jack et al., 2011)&lt;/DisplayText&gt;&lt;record&gt;&lt;keywords/&gt;&lt;isbn&gt;0012-186X&lt;/isbn&gt;&lt;titles&gt;&lt;title&gt;Characterisation of glyoxalase I in a streptozocin- induced mouse model of diabetes with painful and insensate neuropathy&lt;/title&gt;&lt;secondary-title&gt;Clinical and Experimental Diabetes and Metabolism&lt;/secondary-title&gt;&lt;/titles&gt;&lt;pages&gt;2174-2182&lt;/pages&gt;&lt;number&gt;8&lt;/number&gt;&lt;contributors&gt;&lt;authors&gt;&lt;author&gt;Jack, M.&lt;/author&gt;&lt;author&gt;Ryals, J.&lt;/author&gt;&lt;author&gt;Wright, D.&lt;/author&gt;&lt;/authors&gt;&lt;/contributors&gt;&lt;added-date format="utc"&gt;1385817593&lt;/added-date&gt;&lt;pub-location&gt;Berlin/Heidelberg&lt;/pub-location&gt;&lt;ref-type name="Journal Article"&gt;17&lt;/ref-type&gt;&lt;dates&gt;&lt;year&gt;2011&lt;/year&gt;&lt;/dates&gt;&lt;rec-number&gt;233&lt;/rec-number&gt;&lt;last-updated-date format="utc"&gt;1385817593&lt;/last-updated-date&gt;&lt;electronic-resource-num&gt;10.1007/s00125-011-2196-3&lt;/electronic-resource-num&gt;&lt;volume&gt;54&lt;/volume&gt;&lt;/record&gt;&lt;/Cite&gt;&lt;/EndNote&gt;</w:instrText>
      </w:r>
      <w:r w:rsidRPr="00AD7B00">
        <w:rPr>
          <w:rFonts w:cstheme="minorHAnsi"/>
          <w:color w:val="231F20"/>
          <w:u w:color="231F20"/>
        </w:rPr>
        <w:fldChar w:fldCharType="separate"/>
      </w:r>
      <w:r w:rsidRPr="00AD7B00">
        <w:rPr>
          <w:rFonts w:cstheme="minorHAnsi"/>
          <w:color w:val="231F20"/>
          <w:u w:color="231F20"/>
        </w:rPr>
        <w:t>(Jack et al., 2011)</w:t>
      </w:r>
      <w:r w:rsidRPr="00AD7B00">
        <w:rPr>
          <w:rFonts w:cstheme="minorHAnsi"/>
          <w:color w:val="231F20"/>
          <w:u w:color="231F20"/>
        </w:rPr>
        <w:fldChar w:fldCharType="end"/>
      </w:r>
      <w:r w:rsidRPr="00AD7B00">
        <w:rPr>
          <w:rFonts w:cstheme="minorHAnsi"/>
          <w:color w:val="231F20"/>
          <w:u w:color="231F20"/>
          <w:lang w:val="en-US"/>
        </w:rPr>
        <w:t xml:space="preserve">. A recent study </w:t>
      </w:r>
      <w:proofErr w:type="spellStart"/>
      <w:r w:rsidRPr="00AD7B00">
        <w:rPr>
          <w:rFonts w:cstheme="minorHAnsi"/>
          <w:color w:val="231F20"/>
          <w:u w:color="231F20"/>
          <w:lang w:val="en-US"/>
        </w:rPr>
        <w:t>analysing</w:t>
      </w:r>
      <w:proofErr w:type="spellEnd"/>
      <w:r w:rsidRPr="00AD7B00">
        <w:rPr>
          <w:rFonts w:cstheme="minorHAnsi"/>
          <w:color w:val="231F20"/>
          <w:u w:color="231F20"/>
          <w:lang w:val="en-US"/>
        </w:rPr>
        <w:t xml:space="preserve"> the expression of GLO1 in various inbred mouse strains showed a negative correlation between GLO1 expression and mechanical hyperalgesia. This might imply that the balance between methylglyoxal and GLO1 might directly modulate pain perception </w:t>
      </w:r>
      <w:r w:rsidRPr="00AD7B00">
        <w:rPr>
          <w:rFonts w:cstheme="minorHAnsi"/>
          <w:color w:val="231F20"/>
          <w:u w:color="231F20"/>
        </w:rPr>
        <w:fldChar w:fldCharType="begin"/>
      </w:r>
      <w:r w:rsidRPr="00AD7B00">
        <w:rPr>
          <w:rFonts w:cstheme="minorHAnsi"/>
          <w:color w:val="231F20"/>
          <w:u w:color="231F20"/>
        </w:rPr>
        <w:instrText xml:space="preserve"> ADDIN EN.CITE &lt;EndNote&gt;&lt;Cite  &gt;&lt;Author&gt;Jack&lt;/Author&gt;&lt;Year&gt;2011&lt;/Year&gt;&lt;RecNum&gt;233&lt;/RecNum&gt;&lt;DisplayText&gt;(Jack et al., 2011)&lt;/DisplayText&gt;&lt;record&gt;&lt;keywords/&gt;&lt;isbn&gt;0012-186X&lt;/isbn&gt;&lt;titles&gt;&lt;title&gt;Characterisation of glyoxalase I in a streptozocin- induced mouse model of diabetes with painful and insensate neuropathy&lt;/title&gt;&lt;secondary-title&gt;Clinical and Experimental Diabetes and Metabolism&lt;/secondary-title&gt;&lt;/titles&gt;&lt;pages&gt;2174-2182&lt;/pages&gt;&lt;number&gt;8&lt;/number&gt;&lt;contributors&gt;&lt;authors&gt;&lt;author&gt;Jack, M.&lt;/author&gt;&lt;author&gt;Ryals, J.&lt;/author&gt;&lt;author&gt;Wright, D.&lt;/author&gt;&lt;/authors&gt;&lt;/contributors&gt;&lt;added-date format="utc"&gt;1385817593&lt;/added-date&gt;&lt;pub-location&gt;Berlin/Heidelberg&lt;/pub-location&gt;&lt;ref-type name="Journal Article"&gt;17&lt;/ref-type&gt;&lt;dates&gt;&lt;year&gt;2011&lt;/year&gt;&lt;/dates&gt;&lt;rec-number&gt;233&lt;/rec-number&gt;&lt;last-updated-date format="utc"&gt;1385817593&lt;/last-updated-date&gt;&lt;electronic-resource-num&gt;10.1007/s00125-011-2196-3&lt;/electronic-resource-num&gt;&lt;volume&gt;54&lt;/volume&gt;&lt;/record&gt;&lt;/Cite&gt;&lt;/EndNote&gt;</w:instrText>
      </w:r>
      <w:r w:rsidRPr="00AD7B00">
        <w:rPr>
          <w:rFonts w:cstheme="minorHAnsi"/>
          <w:color w:val="231F20"/>
          <w:u w:color="231F20"/>
        </w:rPr>
        <w:fldChar w:fldCharType="separate"/>
      </w:r>
      <w:r w:rsidRPr="00AD7B00">
        <w:rPr>
          <w:rFonts w:cstheme="minorHAnsi"/>
          <w:color w:val="231F20"/>
          <w:u w:color="231F20"/>
        </w:rPr>
        <w:t>(Jack et al., 2011)</w:t>
      </w:r>
      <w:r w:rsidRPr="00AD7B00">
        <w:rPr>
          <w:rFonts w:cstheme="minorHAnsi"/>
          <w:color w:val="231F20"/>
          <w:u w:color="231F20"/>
        </w:rPr>
        <w:fldChar w:fldCharType="end"/>
      </w:r>
    </w:p>
    <w:p w14:paraId="7FC5631B" w14:textId="77777777" w:rsidR="00AF1A96" w:rsidRPr="00AD7B00" w:rsidRDefault="00AF1A96" w:rsidP="00AF1A96">
      <w:pPr>
        <w:pStyle w:val="BodyA"/>
        <w:spacing w:line="480" w:lineRule="auto"/>
        <w:jc w:val="both"/>
        <w:rPr>
          <w:rFonts w:cstheme="minorHAnsi"/>
          <w:color w:val="231F20"/>
          <w:u w:color="231F20"/>
        </w:rPr>
      </w:pPr>
      <w:proofErr w:type="spellStart"/>
      <w:r w:rsidRPr="00AD7B00">
        <w:rPr>
          <w:rFonts w:cstheme="minorHAnsi"/>
          <w:color w:val="231F20"/>
          <w:u w:color="231F20"/>
          <w:lang w:val="en-US"/>
        </w:rPr>
        <w:lastRenderedPageBreak/>
        <w:t>TTXr</w:t>
      </w:r>
      <w:proofErr w:type="spellEnd"/>
      <w:r w:rsidRPr="00AD7B00">
        <w:rPr>
          <w:rFonts w:cstheme="minorHAnsi"/>
          <w:color w:val="231F20"/>
          <w:u w:color="231F20"/>
          <w:lang w:val="en-US"/>
        </w:rPr>
        <w:t xml:space="preserve"> Nav1.8 are voltage gated sodium channels, whose transcription and expression are decreased in diabetic rats but shows increased </w:t>
      </w:r>
      <w:proofErr w:type="spellStart"/>
      <w:r w:rsidRPr="00AD7B00">
        <w:rPr>
          <w:rFonts w:cstheme="minorHAnsi"/>
          <w:color w:val="231F20"/>
          <w:u w:color="231F20"/>
          <w:lang w:val="en-US"/>
        </w:rPr>
        <w:t>TTXr</w:t>
      </w:r>
      <w:proofErr w:type="spellEnd"/>
      <w:r w:rsidRPr="00AD7B00">
        <w:rPr>
          <w:rFonts w:cstheme="minorHAnsi"/>
          <w:color w:val="231F20"/>
          <w:u w:color="231F20"/>
          <w:lang w:val="en-US"/>
        </w:rPr>
        <w:t xml:space="preserve"> sodium currents </w:t>
      </w:r>
      <w:r w:rsidRPr="00AD7B00">
        <w:rPr>
          <w:rFonts w:cstheme="minorHAnsi"/>
          <w:color w:val="231F20"/>
          <w:u w:color="231F20"/>
          <w:lang w:val="fr-FR"/>
        </w:rPr>
        <w:fldChar w:fldCharType="begin"/>
      </w:r>
      <w:r w:rsidRPr="005B5764">
        <w:rPr>
          <w:rFonts w:cstheme="minorHAnsi"/>
          <w:color w:val="231F20"/>
          <w:u w:color="231F20"/>
        </w:rPr>
        <w:instrText xml:space="preserve"> ADDIN EN.CITE &lt;EndNote&gt;&lt;Cite  &gt;&lt;Author&gt;Hirade&lt;/Author&gt;&lt;Year&gt;1999&lt;/Year&gt;&lt;RecNum&gt;236&lt;/RecNum&gt;&lt;DisplayText&gt;(Hirade et al., 1999)&lt;/DisplayText&gt;&lt;record&gt;&lt;keywords/&gt;&lt;isbn&gt;0306-4522&lt;/isbn&gt;&lt;titles&gt;&lt;title&gt;Tetrodotoxin- resistant sodium channels of dorsal root ganglion neurons are readily activated in diabetic rats&lt;/title&gt;&lt;secondary-title&gt;Neuroscience&lt;/secondary-title&gt;&lt;/titles&gt;&lt;pages&gt;933&lt;/pages&gt;&lt;number&gt;3&lt;/number&gt;&lt;contributors&gt;&lt;authors&gt;&lt;author&gt;Hirade, M.&lt;/author&gt;&lt;author&gt;Yasuda, H.&lt;/author&gt;&lt;author&gt;Omatsu-kanbe, M.&lt;/author&gt;&lt;author&gt;Kikkawa, R.&lt;/author&gt;&lt;author&gt;Kitasato, H.&lt;/author&gt;&lt;author&gt;Omatsu-Kanbe, M.&lt;/author&gt;&lt;/authors&gt;&lt;/contributors&gt;&lt;added-date format="utc"&gt;1385820080&lt;/added-date&gt;&lt;ref-type name="Journal Article"&gt;17&lt;/ref-type&gt;&lt;dates&gt;&lt;year&gt;1999&lt;/year&gt;&lt;/dates&gt;&lt;rec-number&gt;236&lt;/rec-number&gt;&lt;last-updated-date format="utc"&gt;1385820080&lt;/last-updated-date&gt;&lt;volume&gt;90&lt;/volume&gt;&lt;/record&gt;&lt;/Cite&gt;&lt;/EndNote&gt;</w:instrText>
      </w:r>
      <w:r w:rsidRPr="00AD7B00">
        <w:rPr>
          <w:rFonts w:cstheme="minorHAnsi"/>
          <w:color w:val="231F20"/>
          <w:u w:color="231F20"/>
          <w:lang w:val="fr-FR"/>
        </w:rPr>
        <w:fldChar w:fldCharType="separate"/>
      </w:r>
      <w:r w:rsidRPr="005B5764">
        <w:rPr>
          <w:rFonts w:cstheme="minorHAnsi"/>
          <w:color w:val="231F20"/>
          <w:u w:color="231F20"/>
        </w:rPr>
        <w:t>(Hirade et al., 1999)</w:t>
      </w:r>
      <w:r w:rsidRPr="00AD7B00">
        <w:rPr>
          <w:rFonts w:cstheme="minorHAnsi"/>
          <w:color w:val="231F20"/>
          <w:u w:color="231F20"/>
          <w:lang w:val="fr-FR"/>
        </w:rPr>
        <w:fldChar w:fldCharType="end"/>
      </w:r>
      <w:r w:rsidRPr="00AD7B00">
        <w:rPr>
          <w:rFonts w:cstheme="minorHAnsi"/>
          <w:color w:val="231F20"/>
          <w:u w:color="231F20"/>
          <w:lang w:val="en-US"/>
        </w:rPr>
        <w:t xml:space="preserve">. These seemingly contradictory findings led to a hypothesis that post translational modifications in Nav1.8 by methylglyoxal could increase either voltage sensitivity or functional channel availability, causing the hyperexcitability that is responsible for diabetic hyperalgesia and spontaneous pain </w:t>
      </w:r>
      <w:r w:rsidRPr="00AD7B00">
        <w:rPr>
          <w:rFonts w:cstheme="minorHAnsi"/>
          <w:color w:val="231F20"/>
          <w:u w:color="231F20"/>
          <w:lang w:val="de-DE"/>
        </w:rPr>
        <w:fldChar w:fldCharType="begin"/>
      </w:r>
      <w:r w:rsidRPr="005B5764">
        <w:rPr>
          <w:rFonts w:cstheme="minorHAnsi"/>
          <w:color w:val="231F20"/>
          <w:u w:color="231F20"/>
        </w:rPr>
        <w:instrText xml:space="preserve"> ADDIN EN.CITE &lt;EndNote&gt;&lt;Cite  &gt;&lt;Author&gt;Bierhaus&lt;/Author&gt;&lt;Year&gt;2012&lt;/Year&gt;&lt;DisplayText&gt;(Bierhaus et al., 2012)&lt;/DisplayText&gt;&lt;record&gt;&lt;isbn&gt;1078-8956&lt;/isbn&gt;&lt;titles&gt;&lt;title&gt;Methylglyoxal modification of Nav1.8 facilitates nociceptive neuron firing and causes hyperalgesia in diabetic neuropathy&lt;/title&gt;&lt;secondary-title&gt;Nature Medicine&lt;/secondary-title&gt;&lt;/titles&gt;&lt;pages&gt;1445-1445&lt;/pages&gt;&lt;number&gt;9&lt;/number&gt;&lt;contributors&gt;&lt;authors&gt;&lt;author&gt;Bierhaus, Angelika&lt;/author&gt;&lt;author&gt;Fleming, Thomas&lt;/author&gt;&lt;author&gt;Stoyanov, Stoyan&lt;/author&gt;&lt;author&gt;Leffler, Andreas&lt;/author&gt;&lt;author&gt;Babes, Alexandru&lt;/author&gt;&lt;author&gt;Neacsu, Cristian&lt;/author&gt;&lt;author&gt;Sauer, Susanne K.&lt;/author&gt;&lt;author&gt;Eberhardt, Mirjam&lt;/author&gt;&lt;author&gt;Schnölzer, Martina&lt;/author&gt;&lt;author&gt;Lasischka, Felix&lt;/author&gt;&lt;author&gt;Neuhuber, Winfried L.&lt;/author&gt;&lt;author&gt;Kichko, Tatjana I.&lt;/author&gt;&lt;author&gt;Konrade, Ilze&lt;/author&gt;&lt;author&gt;Elvert, Ralf&lt;/author&gt;&lt;author&gt;Mier, Walter&lt;/author&gt;&lt;author&gt;Pirags, Valdis&lt;/author&gt;&lt;author&gt;Lukic, Ivan K.&lt;/author&gt;&lt;author&gt;Morcos, Michael&lt;/author&gt;&lt;author&gt;Dehmer, Thomas&lt;/author&gt;&lt;author&gt;Rabbani, Naila&lt;/author&gt;&lt;author&gt;Thornalley, Paul J.&lt;/author&gt;&lt;author&gt;Edelstein, Diane&lt;/author&gt;&lt;author&gt;Nau, Carla&lt;/author&gt;&lt;author&gt;Forbes, Josephine&lt;/author&gt;&lt;author&gt;Humpert, Per M.&lt;/author&gt;&lt;author&gt;Schwaninger, Markus&lt;/author&gt;&lt;author&gt;Ziegler, Dan&lt;/author&gt;&lt;author&gt;Stern, David M.&lt;/author&gt;&lt;author&gt;Cooper, Mark E.&lt;/author&gt;&lt;author&gt;Haberkorn, Uwe&lt;/author&gt;&lt;author&gt;Brownlee, Michael&lt;/author&gt;&lt;author&gt;Reeh, Peter W.&lt;/author&gt;&lt;author&gt;Nawroth, Peter P.&lt;/author&gt;&lt;/authors&gt;&lt;/contributors&gt;&lt;added-date format="utc"&gt;1383766651&lt;/added-date&gt;&lt;ref-type name="Journal Article"&gt;17&lt;/ref-type&gt;&lt;dates&gt;&lt;year&gt;2012&lt;/year&gt;&lt;/dates&gt;&lt;rec-number&gt;168&lt;/rec-number&gt;&lt;last-updated-date format="utc"&gt;1383766685&lt;/last-updated-date&gt;&lt;electronic-resource-num&gt;10.1038/nm0912-1445c&lt;/electronic-resource-num&gt;&lt;volume&gt;18&lt;/volume&gt;&lt;/record&gt;&lt;/Cite&gt;&lt;/EndNote&gt;</w:instrText>
      </w:r>
      <w:r w:rsidRPr="00AD7B00">
        <w:rPr>
          <w:rFonts w:cstheme="minorHAnsi"/>
          <w:color w:val="231F20"/>
          <w:u w:color="231F20"/>
          <w:lang w:val="de-DE"/>
        </w:rPr>
        <w:fldChar w:fldCharType="separate"/>
      </w:r>
      <w:r w:rsidRPr="005B5764">
        <w:rPr>
          <w:rFonts w:cstheme="minorHAnsi"/>
          <w:color w:val="231F20"/>
          <w:u w:color="231F20"/>
        </w:rPr>
        <w:t>(Bierhaus et al., 2012)</w:t>
      </w:r>
      <w:r w:rsidRPr="00AD7B00">
        <w:rPr>
          <w:rFonts w:cstheme="minorHAnsi"/>
          <w:color w:val="231F20"/>
          <w:u w:color="231F20"/>
          <w:lang w:val="de-DE"/>
        </w:rPr>
        <w:fldChar w:fldCharType="end"/>
      </w:r>
      <w:r w:rsidRPr="00AD7B00">
        <w:rPr>
          <w:rFonts w:cstheme="minorHAnsi"/>
          <w:color w:val="231F20"/>
          <w:u w:color="231F20"/>
        </w:rPr>
        <w:t xml:space="preserve">. </w:t>
      </w:r>
      <w:proofErr w:type="spellStart"/>
      <w:r w:rsidRPr="00AD7B00">
        <w:rPr>
          <w:rFonts w:cstheme="minorHAnsi"/>
          <w:lang w:val="en-US"/>
        </w:rPr>
        <w:t>Bierhaus</w:t>
      </w:r>
      <w:proofErr w:type="spellEnd"/>
      <w:r w:rsidRPr="00AD7B00">
        <w:rPr>
          <w:rFonts w:cstheme="minorHAnsi"/>
          <w:lang w:val="en-US"/>
        </w:rPr>
        <w:t xml:space="preserve"> et al. suggested plasma concentration of methylglyoxal, in levels above 600nM might denote painful </w:t>
      </w:r>
      <w:proofErr w:type="spellStart"/>
      <w:r w:rsidRPr="00AD7B00">
        <w:rPr>
          <w:rFonts w:cstheme="minorHAnsi"/>
          <w:lang w:val="en-US"/>
        </w:rPr>
        <w:t>DPN</w:t>
      </w:r>
      <w:proofErr w:type="spellEnd"/>
      <w:r w:rsidRPr="00AD7B00">
        <w:rPr>
          <w:rFonts w:cstheme="minorHAnsi"/>
          <w:lang w:val="en-US"/>
        </w:rPr>
        <w:t xml:space="preserve"> </w:t>
      </w:r>
      <w:r w:rsidRPr="00AD7B00">
        <w:rPr>
          <w:rFonts w:cstheme="minorHAnsi"/>
          <w:lang w:val="de-DE"/>
        </w:rPr>
        <w:fldChar w:fldCharType="begin"/>
      </w:r>
      <w:r w:rsidRPr="005B5764">
        <w:rPr>
          <w:rFonts w:cstheme="minorHAnsi"/>
        </w:rPr>
        <w:instrText xml:space="preserve"> ADDIN EN.CITE &lt;EndNote&gt;&lt;Cite  &gt;&lt;Author&gt;Bierhaus&lt;/Author&gt;&lt;Year&gt;2012&lt;/Year&gt;&lt;DisplayText&gt;(Bierhaus et al., 2012)&lt;/DisplayText&gt;&lt;record&gt;&lt;isbn&gt;1078-8956&lt;/isbn&gt;&lt;titles&gt;&lt;title&gt;Methylglyoxal modification of Nav1.8 facilitates nociceptive neuron firing and causes hyperalgesia in diabetic neuropathy&lt;/title&gt;&lt;secondary-title&gt;Nature Medicine&lt;/secondary-title&gt;&lt;/titles&gt;&lt;pages&gt;1445-1445&lt;/pages&gt;&lt;number&gt;9&lt;/number&gt;&lt;contributors&gt;&lt;authors&gt;&lt;author&gt;Bierhaus, Angelika&lt;/author&gt;&lt;author&gt;Fleming, Thomas&lt;/author&gt;&lt;author&gt;Stoyanov, Stoyan&lt;/author&gt;&lt;author&gt;Leffler, Andreas&lt;/author&gt;&lt;author&gt;Babes, Alexandru&lt;/author&gt;&lt;author&gt;Neacsu, Cristian&lt;/author&gt;&lt;author&gt;Sauer, Susanne K.&lt;/author&gt;&lt;author&gt;Eberhardt, Mirjam&lt;/author&gt;&lt;author&gt;Schnölzer, Martina&lt;/author&gt;&lt;author&gt;Lasischka, Felix&lt;/author&gt;&lt;author&gt;Neuhuber, Winfried L.&lt;/author&gt;&lt;author&gt;Kichko, Tatjana I.&lt;/author&gt;&lt;author&gt;Konrade, Ilze&lt;/author&gt;&lt;author&gt;Elvert, Ralf&lt;/author&gt;&lt;author&gt;Mier, Walter&lt;/author&gt;&lt;author&gt;Pirags, Valdis&lt;/author&gt;&lt;author&gt;Lukic, Ivan K.&lt;/author&gt;&lt;author&gt;Morcos, Michael&lt;/author&gt;&lt;author&gt;Dehmer, Thomas&lt;/author&gt;&lt;author&gt;Rabbani, Naila&lt;/author&gt;&lt;author&gt;Thornalley, Paul J.&lt;/author&gt;&lt;author&gt;Edelstein, Diane&lt;/author&gt;&lt;author&gt;Nau, Carla&lt;/author&gt;&lt;author&gt;Forbes, Josephine&lt;/author&gt;&lt;author&gt;Humpert, Per M.&lt;/author&gt;&lt;author&gt;Schwaninger, Markus&lt;/author&gt;&lt;author&gt;Ziegler, Dan&lt;/author&gt;&lt;author&gt;Stern, David M.&lt;/author&gt;&lt;author&gt;Cooper, Mark E.&lt;/author&gt;&lt;author&gt;Haberkorn, Uwe&lt;/author&gt;&lt;author&gt;Brownlee, Michael&lt;/author&gt;&lt;author&gt;Reeh, Peter W.&lt;/author&gt;&lt;author&gt;Nawroth, Peter P.&lt;/author&gt;&lt;/authors&gt;&lt;/contributors&gt;&lt;added-date format="utc"&gt;1383766651&lt;/added-date&gt;&lt;ref-type name="Journal Article"&gt;17&lt;/ref-type&gt;&lt;dates&gt;&lt;year&gt;2012&lt;/year&gt;&lt;/dates&gt;&lt;rec-number&gt;168&lt;/rec-number&gt;&lt;last-updated-date format="utc"&gt;1383766685&lt;/last-updated-date&gt;&lt;electronic-resource-num&gt;10.1038/nm0912-1445c&lt;/electronic-resource-num&gt;&lt;volume&gt;18&lt;/volume&gt;&lt;/record&gt;&lt;/Cite&gt;&lt;/EndNote&gt;</w:instrText>
      </w:r>
      <w:r w:rsidRPr="00AD7B00">
        <w:rPr>
          <w:rFonts w:cstheme="minorHAnsi"/>
          <w:lang w:val="de-DE"/>
        </w:rPr>
        <w:fldChar w:fldCharType="separate"/>
      </w:r>
      <w:r w:rsidRPr="005B5764">
        <w:rPr>
          <w:rFonts w:cstheme="minorHAnsi"/>
        </w:rPr>
        <w:t>(Bierhaus et al., 2012)</w:t>
      </w:r>
      <w:r w:rsidRPr="00AD7B00">
        <w:rPr>
          <w:rFonts w:cstheme="minorHAnsi"/>
          <w:lang w:val="de-DE"/>
        </w:rPr>
        <w:fldChar w:fldCharType="end"/>
      </w:r>
      <w:r w:rsidRPr="00AD7B00">
        <w:rPr>
          <w:rFonts w:cstheme="minorHAnsi"/>
        </w:rPr>
        <w:t>.</w:t>
      </w:r>
    </w:p>
    <w:p w14:paraId="52780DCD" w14:textId="4C5B272A" w:rsidR="00AF1A96" w:rsidRPr="00AD7B00" w:rsidRDefault="00AF1A96" w:rsidP="00AF1A96">
      <w:pPr>
        <w:pStyle w:val="BodyA"/>
        <w:spacing w:line="480" w:lineRule="auto"/>
        <w:jc w:val="both"/>
        <w:rPr>
          <w:rFonts w:cstheme="minorHAnsi"/>
        </w:rPr>
      </w:pPr>
      <w:proofErr w:type="spellStart"/>
      <w:r w:rsidRPr="00AD7B00">
        <w:rPr>
          <w:rFonts w:cstheme="minorHAnsi"/>
          <w:lang w:val="en-US"/>
        </w:rPr>
        <w:t>DRG</w:t>
      </w:r>
      <w:r w:rsidR="002E7EB7">
        <w:rPr>
          <w:rFonts w:cstheme="minorHAnsi"/>
          <w:lang w:val="en-US"/>
        </w:rPr>
        <w:t>s</w:t>
      </w:r>
      <w:proofErr w:type="spellEnd"/>
      <w:r w:rsidRPr="00AD7B00">
        <w:rPr>
          <w:rFonts w:cstheme="minorHAnsi"/>
          <w:lang w:val="en-US"/>
        </w:rPr>
        <w:t xml:space="preserve"> of mice treated with methylglyoxal from the plasma of diabetes patients showed reduced nerve conduction velocity, increased neurosecretion of calcitonin gene-related peptide, increased cyclooxygenase-2 (COX-2) expression and evoke thermal and mechanical hyperalgesia. This hyperalgesia was reflected by increased blood flow in brain regions that are involved in pain processing. They also found similar changes in streptozotocin-induced and genetic mouse models of diabetes but not in Nav1.8 knockout (Scn10−</w:t>
      </w:r>
      <w:r w:rsidRPr="00AD7B00">
        <w:rPr>
          <w:rFonts w:cstheme="minorHAnsi"/>
        </w:rPr>
        <w:t>/</w:t>
      </w:r>
      <w:r w:rsidRPr="00AD7B00">
        <w:rPr>
          <w:rFonts w:cstheme="minorHAnsi"/>
          <w:lang w:val="en-US"/>
        </w:rPr>
        <w:t>−</w:t>
      </w:r>
      <w:r w:rsidRPr="00AD7B00">
        <w:rPr>
          <w:rFonts w:cstheme="minorHAnsi"/>
        </w:rPr>
        <w:t xml:space="preserve">) mice </w:t>
      </w:r>
      <w:r w:rsidRPr="00AD7B00">
        <w:rPr>
          <w:rFonts w:cstheme="minorHAnsi"/>
          <w:lang w:val="de-DE"/>
        </w:rPr>
        <w:fldChar w:fldCharType="begin"/>
      </w:r>
      <w:r w:rsidRPr="005B5764">
        <w:rPr>
          <w:rFonts w:cstheme="minorHAnsi"/>
        </w:rPr>
        <w:instrText xml:space="preserve"> ADDIN EN.CITE &lt;EndNote&gt;&lt;Cite  &gt;&lt;Author&gt;Bierhaus&lt;/Author&gt;&lt;Year&gt;2012&lt;/Year&gt;&lt;DisplayText&gt;(Bierhaus et al., 2012)&lt;/DisplayText&gt;&lt;record&gt;&lt;isbn&gt;1078-8956&lt;/isbn&gt;&lt;titles&gt;&lt;title&gt;Methylglyoxal modification of Nav1.8 facilitates nociceptive neuron firing and causes hyperalgesia in diabetic neuropathy&lt;/title&gt;&lt;secondary-title&gt;Nature Medicine&lt;/secondary-title&gt;&lt;/titles&gt;&lt;pages&gt;1445-1445&lt;/pages&gt;&lt;number&gt;9&lt;/number&gt;&lt;contributors&gt;&lt;authors&gt;&lt;author&gt;Bierhaus, Angelika&lt;/author&gt;&lt;author&gt;Fleming, Thomas&lt;/author&gt;&lt;author&gt;Stoyanov, Stoyan&lt;/author&gt;&lt;author&gt;Leffler, Andreas&lt;/author&gt;&lt;author&gt;Babes, Alexandru&lt;/author&gt;&lt;author&gt;Neacsu, Cristian&lt;/author&gt;&lt;author&gt;Sauer, Susanne K.&lt;/author&gt;&lt;author&gt;Eberhardt, Mirjam&lt;/author&gt;&lt;author&gt;Schnölzer, Martina&lt;/author&gt;&lt;author&gt;Lasischka, Felix&lt;/author&gt;&lt;author&gt;Neuhuber, Winfried L.&lt;/author&gt;&lt;author&gt;Kichko, Tatjana I.&lt;/author&gt;&lt;author&gt;Konrade, Ilze&lt;/author&gt;&lt;author&gt;Elvert, Ralf&lt;/author&gt;&lt;author&gt;Mier, Walter&lt;/author&gt;&lt;author&gt;Pirags, Valdis&lt;/author&gt;&lt;author&gt;Lukic, Ivan K.&lt;/author&gt;&lt;author&gt;Morcos, Michael&lt;/author&gt;&lt;author&gt;Dehmer, Thomas&lt;/author&gt;&lt;author&gt;Rabbani, Naila&lt;/author&gt;&lt;author&gt;Thornalley, Paul J.&lt;/author&gt;&lt;author&gt;Edelstein, Diane&lt;/author&gt;&lt;author&gt;Nau, Carla&lt;/author&gt;&lt;author&gt;Forbes, Josephine&lt;/author&gt;&lt;author&gt;Humpert, Per M.&lt;/author&gt;&lt;author&gt;Schwaninger, Markus&lt;/author&gt;&lt;author&gt;Ziegler, Dan&lt;/author&gt;&lt;author&gt;Stern, David M.&lt;/author&gt;&lt;author&gt;Cooper, Mark E.&lt;/author&gt;&lt;author&gt;Haberkorn, Uwe&lt;/author&gt;&lt;author&gt;Brownlee, Michael&lt;/author&gt;&lt;author&gt;Reeh, Peter W.&lt;/author&gt;&lt;author&gt;Nawroth, Peter P.&lt;/author&gt;&lt;/authors&gt;&lt;/contributors&gt;&lt;added-date format="utc"&gt;1383766651&lt;/added-date&gt;&lt;ref-type name="Journal Article"&gt;17&lt;/ref-type&gt;&lt;dates&gt;&lt;year&gt;2012&lt;/year&gt;&lt;/dates&gt;&lt;rec-number&gt;168&lt;/rec-number&gt;&lt;last-updated-date format="utc"&gt;1383766685&lt;/last-updated-date&gt;&lt;electronic-resource-num&gt;10.1038/nm0912-1445c&lt;/electronic-resource-num&gt;&lt;volume&gt;18&lt;/volume&gt;&lt;/record&gt;&lt;/Cite&gt;&lt;/EndNote&gt;</w:instrText>
      </w:r>
      <w:r w:rsidRPr="00AD7B00">
        <w:rPr>
          <w:rFonts w:cstheme="minorHAnsi"/>
          <w:lang w:val="de-DE"/>
        </w:rPr>
        <w:fldChar w:fldCharType="separate"/>
      </w:r>
      <w:r w:rsidRPr="005B5764">
        <w:rPr>
          <w:rFonts w:cstheme="minorHAnsi"/>
        </w:rPr>
        <w:t>(Bierhaus et al., 2012)</w:t>
      </w:r>
      <w:r w:rsidRPr="00AD7B00">
        <w:rPr>
          <w:rFonts w:cstheme="minorHAnsi"/>
          <w:lang w:val="de-DE"/>
        </w:rPr>
        <w:fldChar w:fldCharType="end"/>
      </w:r>
      <w:r w:rsidRPr="00AD7B00">
        <w:rPr>
          <w:rFonts w:cstheme="minorHAnsi"/>
          <w:lang w:val="en-US"/>
        </w:rPr>
        <w:t xml:space="preserve">. These all point towards the role of methylglyoxal in peripheral pain processing through functional facilitation of Nav 1.8 channels. </w:t>
      </w:r>
    </w:p>
    <w:p w14:paraId="62B64936" w14:textId="3B02028D" w:rsidR="00AF1A96" w:rsidRPr="00AD7B00" w:rsidRDefault="00AF1A96" w:rsidP="0082681F">
      <w:pPr>
        <w:pStyle w:val="Heading5"/>
        <w:jc w:val="both"/>
        <w:rPr>
          <w:rFonts w:ascii="Cambria" w:hAnsi="Cambria" w:cstheme="minorHAnsi"/>
          <w:b/>
          <w:bCs/>
        </w:rPr>
      </w:pPr>
      <w:bookmarkStart w:id="67" w:name="_Toc26"/>
      <w:r w:rsidRPr="00AD7B00">
        <w:rPr>
          <w:rFonts w:ascii="Cambria" w:eastAsia="Cambria" w:hAnsi="Cambria" w:cstheme="minorHAnsi"/>
          <w:b/>
          <w:bCs/>
          <w:lang w:val="en-US"/>
        </w:rPr>
        <w:t>1.2.2.1</w:t>
      </w:r>
      <w:r w:rsidR="00F03C09">
        <w:rPr>
          <w:rFonts w:ascii="Cambria" w:eastAsia="Cambria" w:hAnsi="Cambria" w:cstheme="minorHAnsi"/>
          <w:b/>
          <w:bCs/>
          <w:lang w:val="en-US"/>
        </w:rPr>
        <w:t>j</w:t>
      </w:r>
      <w:r w:rsidRPr="00AD7B00">
        <w:rPr>
          <w:rFonts w:ascii="Cambria" w:eastAsia="Cambria" w:hAnsi="Cambria" w:cstheme="minorHAnsi"/>
          <w:b/>
          <w:bCs/>
          <w:lang w:val="en-US"/>
        </w:rPr>
        <w:t xml:space="preserve"> Poly (ADP-Ribose) Polymerase (</w:t>
      </w:r>
      <w:proofErr w:type="spellStart"/>
      <w:r w:rsidRPr="00AD7B00">
        <w:rPr>
          <w:rFonts w:ascii="Cambria" w:eastAsia="Cambria" w:hAnsi="Cambria" w:cstheme="minorHAnsi"/>
          <w:b/>
          <w:bCs/>
          <w:lang w:val="en-US"/>
        </w:rPr>
        <w:t>PARP</w:t>
      </w:r>
      <w:proofErr w:type="spellEnd"/>
      <w:r w:rsidRPr="00AD7B00">
        <w:rPr>
          <w:rFonts w:ascii="Cambria" w:eastAsia="Cambria" w:hAnsi="Cambria" w:cstheme="minorHAnsi"/>
          <w:b/>
          <w:bCs/>
          <w:lang w:val="en-US"/>
        </w:rPr>
        <w:t xml:space="preserve">) Activity and </w:t>
      </w:r>
      <w:proofErr w:type="spellStart"/>
      <w:r w:rsidRPr="00AD7B00">
        <w:rPr>
          <w:rFonts w:ascii="Cambria" w:eastAsia="Cambria" w:hAnsi="Cambria" w:cstheme="minorHAnsi"/>
          <w:b/>
          <w:bCs/>
          <w:lang w:val="en-US"/>
        </w:rPr>
        <w:t>Nitrotyrosine</w:t>
      </w:r>
      <w:proofErr w:type="spellEnd"/>
      <w:r w:rsidRPr="00AD7B00">
        <w:rPr>
          <w:rFonts w:ascii="Cambria" w:eastAsia="Cambria" w:hAnsi="Cambria" w:cstheme="minorHAnsi"/>
          <w:b/>
          <w:bCs/>
          <w:lang w:val="en-US"/>
        </w:rPr>
        <w:t xml:space="preserve"> Abundance</w:t>
      </w:r>
      <w:bookmarkEnd w:id="67"/>
    </w:p>
    <w:p w14:paraId="0623915C" w14:textId="77777777" w:rsidR="00AF1A96" w:rsidRPr="00AD7B00" w:rsidRDefault="00AF1A96" w:rsidP="00AF1A96">
      <w:pPr>
        <w:pStyle w:val="BodyA"/>
        <w:rPr>
          <w:rFonts w:cstheme="minorHAnsi"/>
        </w:rPr>
      </w:pPr>
    </w:p>
    <w:p w14:paraId="1D8C29C0" w14:textId="77777777" w:rsidR="00AF1A96" w:rsidRPr="00AD7B00" w:rsidRDefault="00AF1A96" w:rsidP="00AF1A96">
      <w:pPr>
        <w:pStyle w:val="BodyA"/>
        <w:spacing w:line="480" w:lineRule="auto"/>
        <w:jc w:val="both"/>
        <w:rPr>
          <w:rFonts w:cstheme="minorHAnsi"/>
        </w:rPr>
      </w:pPr>
      <w:r w:rsidRPr="00AD7B00">
        <w:rPr>
          <w:rFonts w:cstheme="minorHAnsi"/>
          <w:lang w:val="en-US"/>
        </w:rPr>
        <w:t xml:space="preserve">There is also growing evidence to support the view that oxidative / </w:t>
      </w:r>
      <w:proofErr w:type="spellStart"/>
      <w:r w:rsidRPr="00AD7B00">
        <w:rPr>
          <w:rFonts w:cstheme="minorHAnsi"/>
          <w:lang w:val="en-US"/>
        </w:rPr>
        <w:t>nitrosative</w:t>
      </w:r>
      <w:proofErr w:type="spellEnd"/>
      <w:r w:rsidRPr="00AD7B00">
        <w:rPr>
          <w:rFonts w:cstheme="minorHAnsi"/>
          <w:lang w:val="en-US"/>
        </w:rPr>
        <w:t xml:space="preserve"> stress may be one of the key pathogenic mechanisms for the development of diabetic complications including </w:t>
      </w:r>
      <w:proofErr w:type="spellStart"/>
      <w:r w:rsidRPr="00AD7B00">
        <w:rPr>
          <w:rFonts w:cstheme="minorHAnsi"/>
          <w:lang w:val="en-US"/>
        </w:rPr>
        <w:t>DPN</w:t>
      </w:r>
      <w:proofErr w:type="spellEnd"/>
      <w:r w:rsidRPr="00AD7B00">
        <w:rPr>
          <w:rFonts w:cstheme="minorHAnsi"/>
          <w:lang w:val="en-US"/>
        </w:rPr>
        <w:t xml:space="preserve">.  Activation of PARP1 enzyme cleaves Nicotinamide Adenine Dinucleotide (NAD+) to Nicotinamide and Poly ADP – ribose polymer. This results in NAD+ depletion and energy failure, alterations in gene transcription, translation and transduction, and ultimately cell apoptosis. Various animal studies have shown increased poly (ADP </w:t>
      </w:r>
      <w:r w:rsidRPr="00AD7B00">
        <w:rPr>
          <w:rFonts w:cstheme="minorHAnsi"/>
          <w:lang w:val="en-US"/>
        </w:rPr>
        <w:lastRenderedPageBreak/>
        <w:t>ribosyl)</w:t>
      </w:r>
      <w:proofErr w:type="spellStart"/>
      <w:r w:rsidRPr="00AD7B00">
        <w:rPr>
          <w:rFonts w:cstheme="minorHAnsi"/>
          <w:lang w:val="en-US"/>
        </w:rPr>
        <w:t>ation</w:t>
      </w:r>
      <w:proofErr w:type="spellEnd"/>
      <w:r w:rsidRPr="00AD7B00">
        <w:rPr>
          <w:rFonts w:cstheme="minorHAnsi"/>
          <w:lang w:val="en-US"/>
        </w:rPr>
        <w:t xml:space="preserve"> in peripheral nerves, the spinal cord and dorsal root ganglia </w:t>
      </w:r>
      <w:r w:rsidRPr="00AD7B00">
        <w:rPr>
          <w:rFonts w:cstheme="minorHAnsi"/>
          <w:lang w:val="en-US"/>
        </w:rPr>
        <w:fldChar w:fldCharType="begin"/>
      </w:r>
      <w:r w:rsidRPr="00AD7B00">
        <w:rPr>
          <w:rFonts w:cstheme="minorHAnsi"/>
          <w:lang w:val="en-US"/>
        </w:rPr>
        <w:instrText xml:space="preserve"> ADDIN EN.CITE &lt;EndNote&gt;&lt;Cite  &gt;&lt;Author&gt;Ilnytska&lt;/Author&gt;&lt;Year&gt;2006&lt;/Year&gt;&lt;RecNum&gt;150&lt;/RecNum&gt;&lt;DisplayText&gt;(Ilnytska et al., 2006, Obrosova et al., 2008, Dieckmann et al., 2012)&lt;/DisplayText&gt;&lt;record&gt;&lt;keywords&gt;&lt;keyword&gt;Arthropathy, Neurogenic -- Prevention &amp;amp;amp&lt;/keyword&gt;&lt;keyword&gt;Control&lt;/keyword&gt;&lt;keyword&gt;Diabetic Neuropathies -- Prevention &amp;amp;amp&lt;/keyword&gt;&lt;keyword&gt;Control&lt;/keyword&gt;&lt;keyword&gt;Poly( ADP- ribose) Polymerases -- Antagonists &amp;amp;amp&lt;/keyword&gt;&lt;keyword&gt;Inhibitors&lt;/keyword&gt;&lt;/keywords&gt;&lt;isbn&gt;0012-1797&lt;/isbn&gt;&lt;titles&gt;&lt;title&gt;Poly( ADP- ribose) polymerase inhibition alleviates experimental diabetic sensory neuropathy&lt;/title&gt;&lt;secondary-title&gt;Diabetes&lt;/secondary-title&gt;&lt;/titles&gt;&lt;pages&gt;1686&lt;/pages&gt;&lt;number&gt;6&lt;/number&gt;&lt;contributors&gt;&lt;authors&gt;&lt;author&gt;Ilnytska, Olga&lt;/author&gt;&lt;author&gt;Lyzogubov, Valeriy V.&lt;/author&gt;&lt;author&gt;Stevens, Martin J.&lt;/author&gt;&lt;author&gt;Drel, Viktor R.&lt;/author&gt;&lt;author&gt;Mashtalir, Nazar&lt;/author&gt;&lt;author&gt;Pacher, Pal&lt;/author&gt;&lt;author&gt;Yorek, Mark A.&lt;/author&gt;&lt;author&gt;Obrosova, Irina G.&lt;/author&gt;&lt;/authors&gt;&lt;/contributors&gt;&lt;added-date format="utc"&gt;1383264730&lt;/added-date&gt;&lt;ref-type name="Journal Article"&gt;17&lt;/ref-type&gt;&lt;dates&gt;&lt;year&gt;2006&lt;/year&gt;&lt;/dates&gt;&lt;rec-number&gt;150&lt;/rec-number&gt;&lt;last-updated-date format="utc"&gt;1383265024&lt;/last-updated-date&gt;&lt;volume&gt;55&lt;/volume&gt;&lt;/record&gt;&lt;/Cite&gt;&lt;Cite  &gt;&lt;Author&gt;Obrosova&lt;/Author&gt;&lt;Year&gt;2008&lt;/Year&gt;&lt;record&gt;&lt;keywords&gt;&lt;keyword&gt;INFD&lt;/keyword&gt;&lt;keyword&gt;MNCV&lt;/keyword&gt;&lt;keyword&gt;PARP&lt;/keyword&gt;&lt;keyword&gt;PDN&lt;/keyword&gt;&lt;keyword&gt;SNCV&lt;/keyword&gt;&lt;keyword&gt;STZ&lt;/keyword&gt;&lt;keyword&gt;Intraepidermal nerve fiber loss&lt;/keyword&gt;&lt;keyword&gt;Mechanical hyperalgesia&lt;/keyword&gt;&lt;keyword&gt;Mechanical hypoalgesia&lt;/keyword&gt;&lt;keyword&gt;Neuropathic pain&lt;/keyword&gt;&lt;keyword&gt;Oxidative–nitrosative stress&lt;/keyword&gt;&lt;keyword&gt;Poly(ADP-ribose) polymerase&lt;/keyword&gt;&lt;keyword&gt;Tactile allodynia&lt;/keyword&gt;&lt;keyword&gt;Thermal hypoalgesia&lt;/keyword&gt;&lt;keyword&gt;Free radicals&lt;/keyword&gt;&lt;/keywords&gt;&lt;isbn&gt;0891-5849&lt;/isbn&gt;&lt;titles&gt;&lt;title&gt;PARP inhibition or gene deficiency counteracts intraepidermal nerve fiber loss and neuropathic pain in advanced diabetic neuropathy&lt;/title&gt;&lt;secondary-title&gt;Free Radical Biology and Medicine&lt;/secondary-title&gt;&lt;/titles&gt;&lt;pages&gt;972-981&lt;/pages&gt;&lt;number&gt;6&lt;/number&gt;&lt;contributors&gt;&lt;authors&gt;&lt;author&gt;Obrosova, Irina G.&lt;/author&gt;&lt;author&gt;Xu, Weizheng&lt;/author&gt;&lt;author&gt;Lyzogubov, Valeriy V.&lt;/author&gt;&lt;author&gt;Ilnytska, Olga&lt;/author&gt;&lt;author&gt;Mashtalir, Nazar&lt;/author&gt;&lt;author&gt;Vareniuk, Igor&lt;/author&gt;&lt;author&gt;Pavlov, Ivan A.&lt;/author&gt;&lt;author&gt;Zhang, Jie&lt;/author&gt;&lt;author&gt;Slusher, Barbara&lt;/author&gt;&lt;author&gt;Drel, Viktor R.&lt;/author&gt;&lt;/authors&gt;&lt;/contributors&gt;&lt;added-date format="utc"&gt;1382563100&lt;/added-date&gt;&lt;ref-type name="Journal Article"&gt;17&lt;/ref-type&gt;&lt;dates&gt;&lt;year&gt;2008&lt;/year&gt;&lt;/dates&gt;&lt;rec-number&gt;37&lt;/rec-number&gt;&lt;last-updated-date format="utc"&gt;1382568126&lt;/last-updated-date&gt;&lt;electronic-resource-num&gt;10.1016/j.freeradbiomed.2007.09.013&lt;/electronic-resource-num&gt;&lt;volume&gt;44&lt;/volume&gt;&lt;/record&gt;&lt;/Cite&gt;&lt;Cite  &gt;&lt;Author&gt;Dieckmann&lt;/Author&gt;&lt;Year&gt;2012&lt;/Year&gt;&lt;record&gt;&lt;keywords&gt;&lt;keyword&gt;Diabetes Mellitus, Experimental -- Drug Therapy&lt;/keyword&gt;&lt;keyword&gt;Diabetic Neuropathies -- Prevention &amp;amp;amp&lt;/keyword&gt;&lt;keyword&gt;Control&lt;/keyword&gt;&lt;keyword&gt;Heme -- Analogs &amp;amp;amp&lt;/keyword&gt;&lt;keyword&gt;Derivatives&lt;/keyword&gt;&lt;keyword&gt;Poly(ADP-ribose) Polymerases -- Antagonists &amp;amp;amp&lt;/keyword&gt;&lt;keyword&gt;Inhibitors&lt;/keyword&gt;&lt;keyword&gt;Sensory Receptor Cells -- Drug Effects&lt;/keyword&gt;&lt;/keywords&gt;&lt;titles&gt;&lt;title&gt;Treatment with Actovegin® improves sensory nerve function and pathology in streptozotocin- diabetic rats via mechanisms involving inhibition of PARP activation&lt;/title&gt;&lt;secondary-title&gt;Experimental and clinical endocrinology &amp;amp; diabetes : official journal, German Society of Endocrinology [and] German Diabetes Association&lt;/secondary-title&gt;&lt;/titles&gt;&lt;pages&gt;132&lt;/pages&gt;&lt;number&gt;3&lt;/number&gt;&lt;contributors&gt;&lt;authors&gt;&lt;author&gt;Dieckmann, A.&lt;/author&gt;&lt;author&gt;Kriebel, M.&lt;/author&gt;&lt;author&gt;Andriambeloson, E.&lt;/author&gt;&lt;author&gt;Ziegler, D.&lt;/author&gt;&lt;author&gt;Elmlinger, M.&lt;/author&gt;&lt;/authors&gt;&lt;/contributors&gt;&lt;added-date format="utc"&gt;1383264826&lt;/added-date&gt;&lt;ref-type name="Journal Article"&gt;17&lt;/ref-type&gt;&lt;dates&gt;&lt;year&gt;2012&lt;/year&gt;&lt;/dates&gt;&lt;rec-number&gt;152&lt;/rec-number&gt;&lt;last-updated-date format="utc"&gt;1383265024&lt;/last-updated-date&gt;&lt;volume&gt;120&lt;/volume&gt;&lt;/record&gt;&lt;/Cite&gt;&lt;/EndNote&gt;</w:instrText>
      </w:r>
      <w:r w:rsidRPr="00AD7B00">
        <w:rPr>
          <w:rFonts w:cstheme="minorHAnsi"/>
          <w:lang w:val="en-US"/>
        </w:rPr>
        <w:fldChar w:fldCharType="separate"/>
      </w:r>
      <w:r w:rsidRPr="00AD7B00">
        <w:rPr>
          <w:rFonts w:cstheme="minorHAnsi"/>
          <w:lang w:val="en-US"/>
        </w:rPr>
        <w:t>(Ilnytska et al., 2006, Obrosova et al., 2008, Dieckmann et al., 2012)</w:t>
      </w:r>
      <w:r w:rsidRPr="00AD7B00">
        <w:rPr>
          <w:rFonts w:cstheme="minorHAnsi"/>
          <w:lang w:val="en-US"/>
        </w:rPr>
        <w:fldChar w:fldCharType="end"/>
      </w:r>
      <w:r w:rsidRPr="00AD7B00">
        <w:rPr>
          <w:rFonts w:cstheme="minorHAnsi"/>
          <w:lang w:val="en-US"/>
        </w:rPr>
        <w:t xml:space="preserve">. These studies also have shown positive responses with the use of </w:t>
      </w:r>
      <w:proofErr w:type="spellStart"/>
      <w:r w:rsidRPr="00AD7B00">
        <w:rPr>
          <w:rFonts w:cstheme="minorHAnsi"/>
          <w:lang w:val="en-US"/>
        </w:rPr>
        <w:t>PARP</w:t>
      </w:r>
      <w:proofErr w:type="spellEnd"/>
      <w:r w:rsidRPr="00AD7B00">
        <w:rPr>
          <w:rFonts w:cstheme="minorHAnsi"/>
          <w:lang w:val="en-US"/>
        </w:rPr>
        <w:t xml:space="preserve"> inhibitors such as 3-aminobenzamide (ABA), in mouse models with painful </w:t>
      </w:r>
      <w:proofErr w:type="spellStart"/>
      <w:r w:rsidRPr="00AD7B00">
        <w:rPr>
          <w:rFonts w:cstheme="minorHAnsi"/>
          <w:lang w:val="en-US"/>
        </w:rPr>
        <w:t>DPN</w:t>
      </w:r>
      <w:proofErr w:type="spellEnd"/>
      <w:r w:rsidRPr="00AD7B00">
        <w:rPr>
          <w:rFonts w:cstheme="minorHAnsi"/>
          <w:lang w:val="en-US"/>
        </w:rPr>
        <w:t xml:space="preserve"> </w:t>
      </w:r>
      <w:r w:rsidRPr="00AD7B00">
        <w:rPr>
          <w:rFonts w:cstheme="minorHAnsi"/>
          <w:lang w:val="pt-PT"/>
        </w:rPr>
        <w:fldChar w:fldCharType="begin"/>
      </w:r>
      <w:r w:rsidRPr="005B5764">
        <w:rPr>
          <w:rFonts w:cstheme="minorHAnsi"/>
          <w:lang w:val="en-US"/>
        </w:rPr>
        <w:instrText xml:space="preserve"> ADDIN EN.CITE &lt;EndNote&gt;&lt;Cite  &gt;&lt;Author&gt;Obrosova&lt;/Author&gt;&lt;Year&gt;2005&lt;/Year&gt;&lt;RecNum&gt;484&lt;/RecNum&gt;&lt;DisplayText&gt;(Obrosova et al., 2005)&lt;/DisplayText&gt;&lt;record&gt;&lt;keywords&gt;&lt;keyword&gt;Diabetes Mellitus, Experimental -- Physiopathology&lt;/keyword&gt;&lt;keyword&gt;Diabetic Neuropathies -- Physiopathology&lt;/keyword&gt;&lt;keyword&gt;Oxidative Stress -- Physiology&lt;/keyword&gt;&lt;keyword&gt;Poly( ADP- ribose) Polymerases -- Metabolism&lt;/keyword&gt;&lt;/keywords&gt;&lt;isbn&gt;0012-1797&lt;/isbn&gt;&lt;titles&gt;&lt;title&gt;Oxidative- nitrosative stress and poly( ADP- ribose) polymerase ( PARP) activation in experimental diabetic neuropathy: the relation is revisited&lt;/title&gt;&lt;secondary-title&gt;Diabetes&lt;/secondary-title&gt;&lt;/titles&gt;&lt;pages&gt;3435&lt;/pages&gt;&lt;number&gt;12&lt;/number&gt;&lt;contributors&gt;&lt;authors&gt;&lt;author&gt;Obrosova, Irina G.&lt;/author&gt;&lt;author&gt;Drel, Viktor R.&lt;/author&gt;&lt;author&gt;Pacher, Pal&lt;/author&gt;&lt;author&gt;Ilnytska, Olga&lt;/author&gt;&lt;author&gt;Wang, Zhong Q.&lt;/author&gt;&lt;author&gt;Stevens, Martin J.&lt;/author&gt;&lt;author&gt;Yorek, Mark A.&lt;/author&gt;&lt;/authors&gt;&lt;/contributors&gt;&lt;added-date format="utc"&gt;1508448835&lt;/added-date&gt;&lt;ref-type name="Journal Article"&gt;17&lt;/ref-type&gt;&lt;dates&gt;&lt;year&gt;2005&lt;/year&gt;&lt;/dates&gt;&lt;rec-number&gt;484&lt;/rec-number&gt;&lt;last-updated-date format="utc"&gt;1508448835&lt;/last-updated-date&gt;&lt;volume&gt;54&lt;/volume&gt;&lt;/record&gt;&lt;/Cite&gt;&lt;/EndNote&gt;</w:instrText>
      </w:r>
      <w:r w:rsidRPr="00AD7B00">
        <w:rPr>
          <w:rFonts w:cstheme="minorHAnsi"/>
          <w:lang w:val="pt-PT"/>
        </w:rPr>
        <w:fldChar w:fldCharType="separate"/>
      </w:r>
      <w:r w:rsidRPr="005B5764">
        <w:rPr>
          <w:rFonts w:cstheme="minorHAnsi"/>
          <w:lang w:val="en-US"/>
        </w:rPr>
        <w:t>(Obrosova et al., 2005)</w:t>
      </w:r>
      <w:r w:rsidRPr="00AD7B00">
        <w:rPr>
          <w:rFonts w:cstheme="minorHAnsi"/>
          <w:lang w:val="pt-PT"/>
        </w:rPr>
        <w:fldChar w:fldCharType="end"/>
      </w:r>
      <w:r w:rsidRPr="00AD7B00">
        <w:rPr>
          <w:rFonts w:cstheme="minorHAnsi"/>
        </w:rPr>
        <w:t xml:space="preserve">. </w:t>
      </w:r>
    </w:p>
    <w:p w14:paraId="252A6E7D" w14:textId="60A38A71" w:rsidR="005B711C" w:rsidRDefault="00AF1A96" w:rsidP="00AF1A96">
      <w:pPr>
        <w:pStyle w:val="BodyA"/>
        <w:spacing w:line="480" w:lineRule="auto"/>
        <w:jc w:val="both"/>
        <w:rPr>
          <w:rFonts w:cstheme="minorHAnsi"/>
        </w:rPr>
      </w:pPr>
      <w:r w:rsidRPr="00AD7B00">
        <w:rPr>
          <w:rFonts w:cstheme="minorHAnsi"/>
          <w:lang w:val="en-US"/>
        </w:rPr>
        <w:t xml:space="preserve">There is a close link between </w:t>
      </w:r>
      <w:proofErr w:type="spellStart"/>
      <w:r w:rsidRPr="00AD7B00">
        <w:rPr>
          <w:rFonts w:cstheme="minorHAnsi"/>
          <w:lang w:val="en-US"/>
        </w:rPr>
        <w:t>PARP</w:t>
      </w:r>
      <w:proofErr w:type="spellEnd"/>
      <w:r w:rsidRPr="00AD7B00">
        <w:rPr>
          <w:rFonts w:cstheme="minorHAnsi"/>
          <w:lang w:val="en-US"/>
        </w:rPr>
        <w:t xml:space="preserve"> activation and </w:t>
      </w:r>
      <w:proofErr w:type="spellStart"/>
      <w:r w:rsidRPr="00AD7B00">
        <w:rPr>
          <w:rFonts w:cstheme="minorHAnsi"/>
          <w:lang w:val="en-US"/>
        </w:rPr>
        <w:t>nitrosative</w:t>
      </w:r>
      <w:proofErr w:type="spellEnd"/>
      <w:r w:rsidRPr="00AD7B00">
        <w:rPr>
          <w:rFonts w:cstheme="minorHAnsi"/>
          <w:lang w:val="en-US"/>
        </w:rPr>
        <w:t xml:space="preserve"> stress, which is manifested by the accumulation of </w:t>
      </w:r>
      <w:proofErr w:type="spellStart"/>
      <w:r w:rsidRPr="00AD7B00">
        <w:rPr>
          <w:rFonts w:cstheme="minorHAnsi"/>
          <w:lang w:val="en-US"/>
        </w:rPr>
        <w:t>nitrotyrosine</w:t>
      </w:r>
      <w:proofErr w:type="spellEnd"/>
      <w:r w:rsidRPr="00AD7B00">
        <w:rPr>
          <w:rFonts w:cstheme="minorHAnsi"/>
          <w:lang w:val="en-US"/>
        </w:rPr>
        <w:t xml:space="preserve">.  The superoxide anion radical reacts with nitric oxide to give a most potent oxidant, </w:t>
      </w:r>
      <w:proofErr w:type="spellStart"/>
      <w:r w:rsidRPr="00AD7B00">
        <w:rPr>
          <w:rFonts w:cstheme="minorHAnsi"/>
          <w:lang w:val="en-US"/>
        </w:rPr>
        <w:t>peroxynitrite</w:t>
      </w:r>
      <w:proofErr w:type="spellEnd"/>
      <w:r w:rsidRPr="00AD7B00">
        <w:rPr>
          <w:rFonts w:cstheme="minorHAnsi"/>
          <w:lang w:val="en-US"/>
        </w:rPr>
        <w:t xml:space="preserve">. Even a small amount of </w:t>
      </w:r>
      <w:proofErr w:type="spellStart"/>
      <w:r w:rsidRPr="00AD7B00">
        <w:rPr>
          <w:rFonts w:cstheme="minorHAnsi"/>
          <w:lang w:val="en-US"/>
        </w:rPr>
        <w:t>peroxynitrite</w:t>
      </w:r>
      <w:proofErr w:type="spellEnd"/>
      <w:r w:rsidRPr="00AD7B00">
        <w:rPr>
          <w:rFonts w:cstheme="minorHAnsi"/>
          <w:lang w:val="en-US"/>
        </w:rPr>
        <w:t xml:space="preserve"> can cause multiple cytotoxic effects. There is emerging evidence linking </w:t>
      </w:r>
      <w:proofErr w:type="spellStart"/>
      <w:r w:rsidRPr="00AD7B00">
        <w:rPr>
          <w:rFonts w:cstheme="minorHAnsi"/>
          <w:lang w:val="en-US"/>
        </w:rPr>
        <w:t>DPN</w:t>
      </w:r>
      <w:proofErr w:type="spellEnd"/>
      <w:r w:rsidRPr="00AD7B00">
        <w:rPr>
          <w:rFonts w:cstheme="minorHAnsi"/>
          <w:lang w:val="en-US"/>
        </w:rPr>
        <w:t xml:space="preserve"> and </w:t>
      </w:r>
      <w:proofErr w:type="spellStart"/>
      <w:r w:rsidRPr="00AD7B00">
        <w:rPr>
          <w:rFonts w:cstheme="minorHAnsi"/>
          <w:lang w:val="en-US"/>
        </w:rPr>
        <w:t>nitrosative</w:t>
      </w:r>
      <w:proofErr w:type="spellEnd"/>
      <w:r w:rsidRPr="00AD7B00">
        <w:rPr>
          <w:rFonts w:cstheme="minorHAnsi"/>
          <w:lang w:val="en-US"/>
        </w:rPr>
        <w:t xml:space="preserve"> stress </w:t>
      </w:r>
      <w:r w:rsidRPr="00AD7B00">
        <w:rPr>
          <w:rFonts w:cstheme="minorHAnsi"/>
          <w:lang w:val="en-US"/>
        </w:rPr>
        <w:fldChar w:fldCharType="begin"/>
      </w:r>
      <w:r w:rsidRPr="00AD7B00">
        <w:rPr>
          <w:rFonts w:cstheme="minorHAnsi"/>
          <w:lang w:val="en-US"/>
        </w:rPr>
        <w:instrText xml:space="preserve"> ADDIN EN.CITE &lt;EndNote&gt;&lt;Cite  &gt;&lt;Author&gt;Obrosova&lt;/Author&gt;&lt;Year&gt;2007&lt;/Year&gt;&lt;RecNum&gt;153&lt;/RecNum&gt;&lt;DisplayText&gt;(Obrosova et al., 2007, Nangle et al., 2004)&lt;/DisplayText&gt;&lt;record&gt;&lt;keywords&gt;&lt;keyword&gt;Diabetes Mellitus, Experimental -- Physiopathology&lt;/keyword&gt;&lt;keyword&gt;Diabetic Angiopathies -- Metabolism&lt;/keyword&gt;&lt;keyword&gt;Diabetic Neuropathies -- Metabolism&lt;/keyword&gt;&lt;keyword&gt;Peroxynitrous Acid -- Metabolism&lt;/keyword&gt;&lt;/keywords&gt;&lt;isbn&gt;0193-1849&lt;/isbn&gt;&lt;titles&gt;&lt;title&gt;Role of nitrosative stress in early neuropathy and vascular dysfunction in streptozotocin- diabetic rats&lt;/title&gt;&lt;secondary-title&gt;American journal of physiology. Endocrinology and metabolism&lt;/secondary-title&gt;&lt;/titles&gt;&lt;pages&gt;E1645&lt;/pages&gt;&lt;number&gt;6&lt;/number&gt;&lt;contributors&gt;&lt;authors&gt;&lt;author&gt;Obrosova, Irina G.&lt;/author&gt;&lt;author&gt;Drel, Viktor R.&lt;/author&gt;&lt;author&gt;Oltman, Christine L.&lt;/author&gt;&lt;author&gt;Mashtalir, Nazar&lt;/author&gt;&lt;author&gt;Tibrewala, Jyoti&lt;/author&gt;&lt;author&gt;Groves, John T.&lt;/author&gt;&lt;author&gt;Yorek, Mark A.&lt;/author&gt;&lt;/authors&gt;&lt;/contributors&gt;&lt;added-date format="utc"&gt;1383264868&lt;/added-date&gt;&lt;ref-type name="Journal Article"&gt;17&lt;/ref-type&gt;&lt;dates&gt;&lt;year&gt;2007&lt;/year&gt;&lt;/dates&gt;&lt;rec-number&gt;153&lt;/rec-number&gt;&lt;last-updated-date format="utc"&gt;1383265024&lt;/last-updated-date&gt;&lt;volume&gt;293&lt;/volume&gt;&lt;/record&gt;&lt;/Cite&gt;&lt;Cite  &gt;&lt;Author&gt;Nangle&lt;/Author&gt;&lt;Year&gt;2004&lt;/Year&gt;&lt;RecNum&gt;154&lt;/RecNum&gt;&lt;record&gt;&lt;keywords&gt;&lt;keyword&gt;Peroxynitrite&lt;/keyword&gt;&lt;keyword&gt;FeTMPyP&lt;/keyword&gt;&lt;keyword&gt;Diabetes&lt;/keyword&gt;&lt;/keywords&gt;&lt;isbn&gt;0014-2999&lt;/isbn&gt;&lt;titles&gt;&lt;title&gt;Effects of the peroxynitrite decomposition catalyst, FeTMPyP, on function of corpus cavernosum from diabetic mice&lt;/title&gt;&lt;secondary-title&gt;European Journal of Pharmacology&lt;/secondary-title&gt;&lt;/titles&gt;&lt;pages&gt;143-148&lt;/pages&gt;&lt;number&gt;1&lt;/number&gt;&lt;contributors&gt;&lt;authors&gt;&lt;author&gt;Nangle, Matthew R.&lt;/author&gt;&lt;author&gt;Cotter, Mary A.&lt;/author&gt;&lt;author&gt;Cameron, Norman E.&lt;/author&gt;&lt;/authors&gt;&lt;/contributors&gt;&lt;added-date format="utc"&gt;1383264926&lt;/added-date&gt;&lt;ref-type name="Journal Article"&gt;17&lt;/ref-type&gt;&lt;dates&gt;&lt;year&gt;2004&lt;/year&gt;&lt;/dates&gt;&lt;rec-number&gt;154&lt;/rec-number&gt;&lt;last-updated-date format="utc"&gt;1383265024&lt;/last-updated-date&gt;&lt;electronic-resource-num&gt;10.1016/j.ejphar.2004.08.033&lt;/electronic-resource-num&gt;&lt;volume&gt;502&lt;/volume&gt;&lt;/record&gt;&lt;/Cite&gt;&lt;/EndNote&gt;</w:instrText>
      </w:r>
      <w:r w:rsidRPr="00AD7B00">
        <w:rPr>
          <w:rFonts w:cstheme="minorHAnsi"/>
          <w:lang w:val="en-US"/>
        </w:rPr>
        <w:fldChar w:fldCharType="separate"/>
      </w:r>
      <w:r w:rsidRPr="00AD7B00">
        <w:rPr>
          <w:rFonts w:cstheme="minorHAnsi"/>
          <w:lang w:val="en-US"/>
        </w:rPr>
        <w:t>(Obrosova et al., 2007, Nangle et al., 2004)</w:t>
      </w:r>
      <w:r w:rsidRPr="00AD7B00">
        <w:rPr>
          <w:rFonts w:cstheme="minorHAnsi"/>
          <w:lang w:val="en-US"/>
        </w:rPr>
        <w:fldChar w:fldCharType="end"/>
      </w:r>
      <w:r w:rsidRPr="00AD7B00">
        <w:rPr>
          <w:rFonts w:cstheme="minorHAnsi"/>
          <w:lang w:val="en-US"/>
        </w:rPr>
        <w:t xml:space="preserve"> and </w:t>
      </w:r>
      <w:proofErr w:type="spellStart"/>
      <w:r w:rsidRPr="00AD7B00">
        <w:rPr>
          <w:rFonts w:cstheme="minorHAnsi"/>
          <w:lang w:val="en-US"/>
        </w:rPr>
        <w:t>nitrotyrosine</w:t>
      </w:r>
      <w:proofErr w:type="spellEnd"/>
      <w:r w:rsidRPr="00AD7B00">
        <w:rPr>
          <w:rFonts w:cstheme="minorHAnsi"/>
          <w:lang w:val="en-US"/>
        </w:rPr>
        <w:t xml:space="preserve"> levels appear to correlate directly with </w:t>
      </w:r>
      <w:proofErr w:type="spellStart"/>
      <w:r w:rsidRPr="00AD7B00">
        <w:rPr>
          <w:rFonts w:cstheme="minorHAnsi"/>
          <w:lang w:val="en-US"/>
        </w:rPr>
        <w:t>peroxynitrite</w:t>
      </w:r>
      <w:proofErr w:type="spellEnd"/>
      <w:r w:rsidRPr="00AD7B00">
        <w:rPr>
          <w:rFonts w:cstheme="minorHAnsi"/>
          <w:lang w:val="en-US"/>
        </w:rPr>
        <w:t xml:space="preserve"> related cell injury. </w:t>
      </w:r>
      <w:proofErr w:type="spellStart"/>
      <w:r w:rsidRPr="00AD7B00">
        <w:rPr>
          <w:rFonts w:cstheme="minorHAnsi"/>
          <w:lang w:val="en-US"/>
        </w:rPr>
        <w:t>Nitrotyrosine</w:t>
      </w:r>
      <w:proofErr w:type="spellEnd"/>
      <w:r w:rsidRPr="00AD7B00">
        <w:rPr>
          <w:rFonts w:cstheme="minorHAnsi"/>
          <w:lang w:val="en-US"/>
        </w:rPr>
        <w:t xml:space="preserve"> accumulation in endothelial and Schwann cells of the peripheral nerve, neurons, astrocytes, and oligodendrocytes of the spinal cord, and neurons and glial cells of the dorsal root ganglia in rat model of </w:t>
      </w:r>
      <w:proofErr w:type="spellStart"/>
      <w:r w:rsidRPr="00AD7B00">
        <w:rPr>
          <w:rFonts w:cstheme="minorHAnsi"/>
          <w:lang w:val="en-US"/>
        </w:rPr>
        <w:t>DPN</w:t>
      </w:r>
      <w:proofErr w:type="spellEnd"/>
      <w:r w:rsidRPr="00AD7B00">
        <w:rPr>
          <w:rFonts w:cstheme="minorHAnsi"/>
          <w:lang w:val="en-US"/>
        </w:rPr>
        <w:t xml:space="preserve"> has also been demonstrated </w:t>
      </w:r>
      <w:r w:rsidRPr="00AD7B00">
        <w:rPr>
          <w:rFonts w:cstheme="minorHAnsi"/>
          <w:lang w:val="en-US"/>
        </w:rPr>
        <w:fldChar w:fldCharType="begin"/>
      </w:r>
      <w:r w:rsidRPr="00AD7B00">
        <w:rPr>
          <w:rFonts w:cstheme="minorHAnsi"/>
          <w:lang w:val="en-US"/>
        </w:rPr>
        <w:instrText xml:space="preserve"> ADDIN EN.CITE &lt;EndNote&gt;&lt;Cite  &gt;&lt;Author&gt;Drel&lt;/Author&gt;&lt;Year&gt;2010&lt;/Year&gt;&lt;RecNum&gt;155&lt;/RecNum&gt;&lt;DisplayText&gt;(Drel et al., 2010)&lt;/DisplayText&gt;&lt;record&gt;&lt;keywords&gt;&lt;keyword&gt;Diabetic Neuropathies -- Drug Therapy&lt;/keyword&gt;&lt;keyword&gt;Enzyme Inhibitors -- Metabolism&lt;/keyword&gt;&lt;keyword&gt;Poly(ADP-ribose) Polymerases -- Therapeutic Use&lt;/keyword&gt;&lt;keyword&gt;Tumor Necrosis Factor-alpha -- Antagonists &amp;amp;amp&lt;/keyword&gt;&lt;keyword&gt;Inhibitors&lt;/keyword&gt;&lt;keyword&gt;Tyrosine -- Metabolism&lt;/keyword&gt;&lt;keyword&gt;Tyrosine -- Analogs &amp;amp;amp&lt;/keyword&gt;&lt;keyword&gt;Derivatives&lt;/keyword&gt;&lt;/keywords&gt;&lt;titles&gt;&lt;title&gt;New therapeutic and biomarker discovery for peripheral diabetic neuropathy: PARP inhibitor, nitrotyrosine, and tumor necrosis factor-{alpha}&lt;/title&gt;&lt;secondary-title&gt;Endocrinology&lt;/secondary-title&gt;&lt;/titles&gt;&lt;pages&gt;2547&lt;/pages&gt;&lt;number&gt;6&lt;/number&gt;&lt;contributors&gt;&lt;authors&gt;&lt;author&gt;Drel, Viktor R.&lt;/author&gt;&lt;author&gt;Lupachyk, Sergey&lt;/author&gt;&lt;author&gt;Shevalye, Hanna&lt;/author&gt;&lt;author&gt;Vareniuk, Igor&lt;/author&gt;&lt;author&gt;Xu, Weizheng&lt;/author&gt;&lt;author&gt;Zhang, Jie&lt;/author&gt;&lt;author&gt;Delamere, Nicholas A.&lt;/author&gt;&lt;author&gt;Shahidullah, Mohammad&lt;/author&gt;&lt;author&gt;Slusher, Barbara&lt;/author&gt;&lt;author&gt;Obrosova, Irina G.&lt;/author&gt;&lt;/authors&gt;&lt;/contributors&gt;&lt;added-date format="utc"&gt;1383264991&lt;/added-date&gt;&lt;ref-type name="Journal Article"&gt;17&lt;/ref-type&gt;&lt;dates&gt;&lt;year&gt;2010&lt;/year&gt;&lt;/dates&gt;&lt;rec-number&gt;155&lt;/rec-number&gt;&lt;last-updated-date format="utc"&gt;1383265024&lt;/last-updated-date&gt;&lt;electronic-resource-num&gt;10.1210/en.2009-1342&lt;/electronic-resource-num&gt;&lt;volume&gt;151&lt;/volume&gt;&lt;/record&gt;&lt;/Cite&gt;&lt;/EndNote&gt;</w:instrText>
      </w:r>
      <w:r w:rsidRPr="00AD7B00">
        <w:rPr>
          <w:rFonts w:cstheme="minorHAnsi"/>
          <w:lang w:val="en-US"/>
        </w:rPr>
        <w:fldChar w:fldCharType="separate"/>
      </w:r>
      <w:r w:rsidRPr="00AD7B00">
        <w:rPr>
          <w:rFonts w:cstheme="minorHAnsi"/>
          <w:lang w:val="en-US"/>
        </w:rPr>
        <w:t>(Drel et al., 2010)</w:t>
      </w:r>
      <w:r w:rsidRPr="00AD7B00">
        <w:rPr>
          <w:rFonts w:cstheme="minorHAnsi"/>
          <w:lang w:val="en-US"/>
        </w:rPr>
        <w:fldChar w:fldCharType="end"/>
      </w:r>
      <w:r w:rsidRPr="00AD7B00">
        <w:rPr>
          <w:rFonts w:cstheme="minorHAnsi"/>
        </w:rPr>
        <w:t>.</w:t>
      </w:r>
    </w:p>
    <w:p w14:paraId="67DD6CAD" w14:textId="01EB0C8C" w:rsidR="00AF1A96" w:rsidRPr="004E68BB" w:rsidRDefault="00AF1A96" w:rsidP="004E68BB">
      <w:pPr>
        <w:pStyle w:val="Heading4"/>
        <w:spacing w:line="480" w:lineRule="auto"/>
        <w:rPr>
          <w:rFonts w:ascii="Cambria" w:eastAsia="Cambria" w:hAnsi="Cambria"/>
          <w:color w:val="000000"/>
          <w:sz w:val="24"/>
          <w:szCs w:val="24"/>
          <w:u w:color="000000"/>
          <w:bdr w:val="nil"/>
          <w:lang w:eastAsia="en-US"/>
        </w:rPr>
      </w:pPr>
      <w:bookmarkStart w:id="68" w:name="_Toc27"/>
      <w:r w:rsidRPr="004E68BB">
        <w:rPr>
          <w:rFonts w:ascii="Cambria" w:hAnsi="Cambria"/>
          <w:sz w:val="24"/>
          <w:szCs w:val="24"/>
          <w:lang w:val="en-US"/>
        </w:rPr>
        <w:t xml:space="preserve">1.2.2.2 Central Factors for Painful </w:t>
      </w:r>
      <w:proofErr w:type="spellStart"/>
      <w:r w:rsidRPr="004E68BB">
        <w:rPr>
          <w:rFonts w:ascii="Cambria" w:hAnsi="Cambria"/>
          <w:sz w:val="24"/>
          <w:szCs w:val="24"/>
          <w:lang w:val="en-US"/>
        </w:rPr>
        <w:t>DPN</w:t>
      </w:r>
      <w:bookmarkEnd w:id="68"/>
      <w:proofErr w:type="spellEnd"/>
    </w:p>
    <w:p w14:paraId="571C5EBB" w14:textId="77777777" w:rsidR="00AF1A96" w:rsidRPr="00AD7B00" w:rsidRDefault="00AF1A96" w:rsidP="005B711C">
      <w:pPr>
        <w:pStyle w:val="BodyA"/>
        <w:spacing w:line="480" w:lineRule="auto"/>
        <w:jc w:val="both"/>
        <w:rPr>
          <w:rFonts w:cstheme="minorHAnsi"/>
        </w:rPr>
      </w:pPr>
      <w:r w:rsidRPr="00AD7B00">
        <w:rPr>
          <w:rFonts w:cstheme="minorHAnsi"/>
          <w:lang w:val="en-US"/>
        </w:rPr>
        <w:t xml:space="preserve">Central factors in painful </w:t>
      </w:r>
      <w:proofErr w:type="spellStart"/>
      <w:r w:rsidRPr="00AD7B00">
        <w:rPr>
          <w:rFonts w:cstheme="minorHAnsi"/>
          <w:lang w:val="en-US"/>
        </w:rPr>
        <w:t>DPN</w:t>
      </w:r>
      <w:proofErr w:type="spellEnd"/>
      <w:r w:rsidRPr="00AD7B00">
        <w:rPr>
          <w:rFonts w:cstheme="minorHAnsi"/>
          <w:lang w:val="en-US"/>
        </w:rPr>
        <w:t xml:space="preserve"> include central </w:t>
      </w:r>
      <w:proofErr w:type="spellStart"/>
      <w:r w:rsidRPr="00AD7B00">
        <w:rPr>
          <w:rFonts w:cstheme="minorHAnsi"/>
          <w:lang w:val="en-US"/>
        </w:rPr>
        <w:t>sensitisation</w:t>
      </w:r>
      <w:proofErr w:type="spellEnd"/>
      <w:r w:rsidRPr="00AD7B00">
        <w:rPr>
          <w:rFonts w:cstheme="minorHAnsi"/>
          <w:lang w:val="en-US"/>
        </w:rPr>
        <w:t xml:space="preserve">, disarranged spinal inhibition, imbalance between supra-spinal facilitation &amp; inhibition and increased thalamic vascularity. </w:t>
      </w:r>
    </w:p>
    <w:p w14:paraId="766B211E" w14:textId="77777777" w:rsidR="00AF1A96" w:rsidRPr="00AD7B00" w:rsidRDefault="00AF1A96" w:rsidP="00AF1A96">
      <w:pPr>
        <w:pStyle w:val="Heading5"/>
        <w:rPr>
          <w:rFonts w:ascii="Cambria" w:hAnsi="Cambria" w:cstheme="minorHAnsi"/>
          <w:b/>
          <w:bCs/>
        </w:rPr>
      </w:pPr>
      <w:bookmarkStart w:id="69" w:name="_Toc28"/>
      <w:r w:rsidRPr="00AD7B00">
        <w:rPr>
          <w:rFonts w:ascii="Cambria" w:eastAsia="Cambria" w:hAnsi="Cambria" w:cstheme="minorHAnsi"/>
          <w:b/>
          <w:bCs/>
          <w:lang w:val="en-US"/>
        </w:rPr>
        <w:t xml:space="preserve">1.2.2.2a Central </w:t>
      </w:r>
      <w:proofErr w:type="spellStart"/>
      <w:r w:rsidRPr="00AD7B00">
        <w:rPr>
          <w:rFonts w:ascii="Cambria" w:eastAsia="Cambria" w:hAnsi="Cambria" w:cstheme="minorHAnsi"/>
          <w:b/>
          <w:bCs/>
          <w:lang w:val="en-US"/>
        </w:rPr>
        <w:t>Sensitisation</w:t>
      </w:r>
      <w:bookmarkEnd w:id="69"/>
      <w:proofErr w:type="spellEnd"/>
    </w:p>
    <w:p w14:paraId="06E27F67" w14:textId="77777777" w:rsidR="00AF1A96" w:rsidRPr="00AD7B00" w:rsidRDefault="00AF1A96" w:rsidP="00AF1A96">
      <w:pPr>
        <w:pStyle w:val="BodyA"/>
        <w:rPr>
          <w:rFonts w:cstheme="minorHAnsi"/>
        </w:rPr>
      </w:pPr>
    </w:p>
    <w:p w14:paraId="3A3E3D81" w14:textId="3F98B864" w:rsidR="00AF1A96" w:rsidRDefault="00AF1A96" w:rsidP="00AF1A96">
      <w:pPr>
        <w:pStyle w:val="BodyA"/>
        <w:widowControl w:val="0"/>
        <w:spacing w:after="240" w:line="480" w:lineRule="auto"/>
        <w:jc w:val="both"/>
        <w:rPr>
          <w:rFonts w:cstheme="minorHAnsi"/>
          <w:lang w:val="en-US"/>
        </w:rPr>
      </w:pPr>
      <w:r w:rsidRPr="00AD7B00">
        <w:rPr>
          <w:rFonts w:cstheme="minorHAnsi"/>
        </w:rPr>
        <w:t>A</w:t>
      </w:r>
      <w:r w:rsidRPr="00AD7B00">
        <w:rPr>
          <w:rFonts w:cstheme="minorHAnsi"/>
          <w:lang w:val="en-US"/>
        </w:rPr>
        <w:t xml:space="preserve">δ and C </w:t>
      </w:r>
      <w:proofErr w:type="spellStart"/>
      <w:r w:rsidRPr="00AD7B00">
        <w:rPr>
          <w:rFonts w:cstheme="minorHAnsi"/>
          <w:lang w:val="en-US"/>
        </w:rPr>
        <w:t>fibres</w:t>
      </w:r>
      <w:proofErr w:type="spellEnd"/>
      <w:r w:rsidRPr="00AD7B00">
        <w:rPr>
          <w:rFonts w:cstheme="minorHAnsi"/>
          <w:lang w:val="en-US"/>
        </w:rPr>
        <w:t xml:space="preserve"> terminate primarily in the superficial laminae of the dorsal horn. Here the large majority of neurons are nociceptive specific (NS) in function. Some of these neurons gain low threshold inputs after neuropathy and these cells project predominantly to limbic brain areas such as the periaqueductal grey, lateral parabrachial nucleus, thalamus, nucleus </w:t>
      </w:r>
      <w:proofErr w:type="spellStart"/>
      <w:r w:rsidRPr="00AD7B00">
        <w:rPr>
          <w:rFonts w:cstheme="minorHAnsi"/>
          <w:lang w:val="en-US"/>
        </w:rPr>
        <w:t>tractus</w:t>
      </w:r>
      <w:proofErr w:type="spellEnd"/>
      <w:r w:rsidRPr="00AD7B00">
        <w:rPr>
          <w:rFonts w:cstheme="minorHAnsi"/>
          <w:lang w:val="en-US"/>
        </w:rPr>
        <w:t xml:space="preserve"> solitarius, and the medullary reticular formation </w:t>
      </w:r>
      <w:r w:rsidRPr="00AD7B00">
        <w:rPr>
          <w:rFonts w:cstheme="minorHAnsi"/>
          <w:lang w:val="en-US"/>
        </w:rPr>
        <w:fldChar w:fldCharType="begin"/>
      </w:r>
      <w:r w:rsidRPr="00AD7B00">
        <w:rPr>
          <w:rFonts w:cstheme="minorHAnsi"/>
          <w:lang w:val="en-US"/>
        </w:rPr>
        <w:instrText xml:space="preserve"> ADDIN EN.CITE &lt;EndNote&gt;&lt;Cite  &gt;&lt;Author&gt;Tesfaye&lt;/Author&gt;&lt;Year&gt;2013&lt;/Year&gt;&lt;RecNum&gt;73&lt;/RecNum&gt;&lt;DisplayText&gt;(Tesfaye et al., 2013)&lt;/DisplayText&gt;&lt;record&gt;&lt;isbn&gt;0149-5992&lt;/isbn&gt;&lt;titles&gt;&lt;title&gt;Mechanisms and management of diabetic painful distal symmetrical polyneuropathy&lt;/title&gt;&lt;secondary-title&gt;Diabetes care&lt;/secondary-title&gt;&lt;/titles&gt;&lt;pages&gt;2456&lt;/pages&gt;&lt;number&gt;9&lt;/number&gt;&lt;contributors&gt;&lt;authors&gt;&lt;author&gt;Tesfaye, Solomon&lt;/author&gt;&lt;author&gt;Boulton, Andrew J. M.&lt;/author&gt;&lt;author&gt;Dickenson, Anthony H.&lt;/author&gt;&lt;/authors&gt;&lt;/contributors&gt;&lt;added-date format="utc"&gt;1383238740&lt;/added-date&gt;&lt;ref-type name="Journal Article"&gt;17&lt;/ref-type&gt;&lt;dates&gt;&lt;year&gt;2013&lt;/year&gt;&lt;/dates&gt;&lt;rec-number&gt;73&lt;/rec-number&gt;&lt;last-updated-date format="utc"&gt;1383240559&lt;/last-updated-date&gt;&lt;electronic-resource-num&gt;10.2337/dc12-1964&lt;/electronic-resource-num&gt;&lt;volume&gt;36&lt;/volume&gt;&lt;/record&gt;&lt;/Cite&gt;&lt;/EndNote&gt;</w:instrText>
      </w:r>
      <w:r w:rsidRPr="00AD7B00">
        <w:rPr>
          <w:rFonts w:cstheme="minorHAnsi"/>
          <w:lang w:val="en-US"/>
        </w:rPr>
        <w:fldChar w:fldCharType="separate"/>
      </w:r>
      <w:r w:rsidRPr="00AD7B00">
        <w:rPr>
          <w:rFonts w:cstheme="minorHAnsi"/>
          <w:lang w:val="en-US"/>
        </w:rPr>
        <w:t xml:space="preserve">(Tesfaye et al., </w:t>
      </w:r>
      <w:r w:rsidRPr="00AD7B00">
        <w:rPr>
          <w:rFonts w:cstheme="minorHAnsi"/>
          <w:lang w:val="en-US"/>
        </w:rPr>
        <w:lastRenderedPageBreak/>
        <w:t>2013)</w:t>
      </w:r>
      <w:r w:rsidRPr="00AD7B00">
        <w:rPr>
          <w:rFonts w:cstheme="minorHAnsi"/>
          <w:lang w:val="en-US"/>
        </w:rPr>
        <w:fldChar w:fldCharType="end"/>
      </w:r>
      <w:r w:rsidRPr="00AD7B00">
        <w:rPr>
          <w:rFonts w:cstheme="minorHAnsi"/>
          <w:lang w:val="en-US"/>
        </w:rPr>
        <w:t>. Within deeper lamina V, neurons</w:t>
      </w:r>
      <w:r w:rsidRPr="00AD7B00">
        <w:rPr>
          <w:rFonts w:eastAsia="MS Gothic" w:cstheme="minorHAnsi"/>
          <w:lang w:val="en-US"/>
        </w:rPr>
        <w:t xml:space="preserve"> </w:t>
      </w:r>
      <w:r w:rsidRPr="00AD7B00">
        <w:rPr>
          <w:rFonts w:cstheme="minorHAnsi"/>
          <w:lang w:val="en-US"/>
        </w:rPr>
        <w:t>are wide-dynamic range (</w:t>
      </w:r>
      <w:proofErr w:type="spellStart"/>
      <w:r w:rsidRPr="00AD7B00">
        <w:rPr>
          <w:rFonts w:cstheme="minorHAnsi"/>
          <w:lang w:val="en-US"/>
        </w:rPr>
        <w:t>WDR</w:t>
      </w:r>
      <w:proofErr w:type="spellEnd"/>
      <w:r w:rsidRPr="00AD7B00">
        <w:rPr>
          <w:rFonts w:cstheme="minorHAnsi"/>
          <w:lang w:val="en-US"/>
        </w:rPr>
        <w:t xml:space="preserve">), responding </w:t>
      </w:r>
      <w:r w:rsidR="000446B6" w:rsidRPr="00AD7B00">
        <w:rPr>
          <w:rFonts w:cstheme="minorHAnsi"/>
          <w:lang w:val="en-US"/>
        </w:rPr>
        <w:t xml:space="preserve">to </w:t>
      </w:r>
      <w:r w:rsidR="000446B6" w:rsidRPr="00AD7B00">
        <w:rPr>
          <w:rFonts w:eastAsia="MS Gothic" w:cstheme="minorHAnsi"/>
          <w:lang w:val="en-US"/>
        </w:rPr>
        <w:t>both</w:t>
      </w:r>
      <w:r w:rsidRPr="00AD7B00">
        <w:rPr>
          <w:rFonts w:cstheme="minorHAnsi"/>
          <w:lang w:val="en-US"/>
        </w:rPr>
        <w:t xml:space="preserve"> innocuous and noxious stimuli as shown in figure 1.2 below. </w:t>
      </w:r>
    </w:p>
    <w:p w14:paraId="065B6A5E" w14:textId="1A78A79F" w:rsidR="00AF1A96" w:rsidRPr="00F060EB" w:rsidRDefault="00F060EB" w:rsidP="00F060EB">
      <w:pPr>
        <w:pStyle w:val="BodyA"/>
        <w:widowControl w:val="0"/>
        <w:spacing w:after="240" w:line="360" w:lineRule="auto"/>
        <w:jc w:val="both"/>
        <w:rPr>
          <w:rFonts w:cstheme="minorHAnsi"/>
        </w:rPr>
      </w:pPr>
      <w:r w:rsidRPr="00F060EB">
        <w:rPr>
          <w:rFonts w:cstheme="minorHAnsi"/>
          <w:noProof/>
          <w:lang w:eastAsia="zh-CN"/>
        </w:rPr>
        <w:drawing>
          <wp:inline distT="0" distB="0" distL="0" distR="0" wp14:anchorId="57F34486" wp14:editId="6512BA0E">
            <wp:extent cx="5727700" cy="40951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27700" cy="4095115"/>
                    </a:xfrm>
                    <a:prstGeom prst="rect">
                      <a:avLst/>
                    </a:prstGeom>
                  </pic:spPr>
                </pic:pic>
              </a:graphicData>
            </a:graphic>
          </wp:inline>
        </w:drawing>
      </w:r>
      <w:r w:rsidR="00AF1A96" w:rsidRPr="00AD7B00">
        <w:rPr>
          <w:rFonts w:cstheme="minorHAnsi"/>
          <w:b/>
          <w:bCs/>
          <w:lang w:val="en-US"/>
        </w:rPr>
        <w:t>Figure 1.2 Representation of the central spinal and peripheral changes that accompany neuropathy (</w:t>
      </w:r>
      <w:r w:rsidR="00AF1A96" w:rsidRPr="00AD7B00">
        <w:rPr>
          <w:rFonts w:cstheme="minorHAnsi"/>
          <w:lang w:val="en-US"/>
        </w:rPr>
        <w:t xml:space="preserve">taken from </w:t>
      </w:r>
      <w:r w:rsidR="00AF1A96" w:rsidRPr="00AD7B00">
        <w:rPr>
          <w:rFonts w:cstheme="minorHAnsi"/>
          <w:lang w:val="en-US"/>
        </w:rPr>
        <w:fldChar w:fldCharType="begin"/>
      </w:r>
      <w:r w:rsidR="00AF1A96" w:rsidRPr="00AD7B00">
        <w:rPr>
          <w:rFonts w:cstheme="minorHAnsi"/>
          <w:lang w:val="en-US"/>
        </w:rPr>
        <w:instrText xml:space="preserve"> ADDIN EN.CITE &lt;EndNote&gt;&lt;Cite  &gt;&lt;Author&gt;Tesfaye&lt;/Author&gt;&lt;Year&gt;2013&lt;/Year&gt;&lt;RecNum&gt;73&lt;/RecNum&gt;&lt;DisplayText&gt;(Tesfaye et al., 2013)&lt;/DisplayText&gt;&lt;record&gt;&lt;isbn&gt;0149-5992&lt;/isbn&gt;&lt;titles&gt;&lt;title&gt;Mechanisms and management of diabetic painful distal symmetrical polyneuropathy&lt;/title&gt;&lt;secondary-title&gt;Diabetes care&lt;/secondary-title&gt;&lt;/titles&gt;&lt;pages&gt;2456&lt;/pages&gt;&lt;number&gt;9&lt;/number&gt;&lt;contributors&gt;&lt;authors&gt;&lt;author&gt;Tesfaye, Solomon&lt;/author&gt;&lt;author&gt;Boulton, Andrew J. M.&lt;/author&gt;&lt;author&gt;Dickenson, Anthony H.&lt;/author&gt;&lt;/authors&gt;&lt;/contributors&gt;&lt;added-date format="utc"&gt;1383238740&lt;/added-date&gt;&lt;ref-type name="Journal Article"&gt;17&lt;/ref-type&gt;&lt;dates&gt;&lt;year&gt;2013&lt;/year&gt;&lt;/dates&gt;&lt;rec-number&gt;73&lt;/rec-number&gt;&lt;last-updated-date format="utc"&gt;1383240559&lt;/last-updated-date&gt;&lt;electronic-resource-num&gt;10.2337/dc12-1964&lt;/electronic-resource-num&gt;&lt;volume&gt;36&lt;/volume&gt;&lt;/record&gt;&lt;/Cite&gt;&lt;/EndNote&gt;</w:instrText>
      </w:r>
      <w:r w:rsidR="00AF1A96" w:rsidRPr="00AD7B00">
        <w:rPr>
          <w:rFonts w:cstheme="minorHAnsi"/>
          <w:lang w:val="en-US"/>
        </w:rPr>
        <w:fldChar w:fldCharType="separate"/>
      </w:r>
      <w:r w:rsidR="00AF1A96" w:rsidRPr="00AD7B00">
        <w:rPr>
          <w:rFonts w:cstheme="minorHAnsi"/>
          <w:lang w:val="en-US"/>
        </w:rPr>
        <w:t>(Tesfaye et al., 2013)</w:t>
      </w:r>
      <w:r w:rsidR="00AF1A96" w:rsidRPr="00AD7B00">
        <w:rPr>
          <w:rFonts w:cstheme="minorHAnsi"/>
          <w:lang w:val="en-US"/>
        </w:rPr>
        <w:fldChar w:fldCharType="end"/>
      </w:r>
      <w:r w:rsidR="00AF1A96" w:rsidRPr="005B5764">
        <w:rPr>
          <w:rFonts w:cstheme="minorHAnsi"/>
        </w:rPr>
        <w:t xml:space="preserve"> ) </w:t>
      </w:r>
    </w:p>
    <w:p w14:paraId="7C0C53CA" w14:textId="77777777" w:rsidR="00AF1A96" w:rsidRPr="00AD7B00" w:rsidRDefault="00AF1A96" w:rsidP="00AF1A96">
      <w:pPr>
        <w:pStyle w:val="BodyA"/>
        <w:spacing w:line="480" w:lineRule="auto"/>
        <w:jc w:val="both"/>
        <w:rPr>
          <w:rFonts w:cstheme="minorHAnsi"/>
        </w:rPr>
      </w:pPr>
      <w:r w:rsidRPr="00AD7B00">
        <w:rPr>
          <w:rFonts w:cstheme="minorHAnsi"/>
          <w:lang w:val="en-US"/>
        </w:rPr>
        <w:t xml:space="preserve">Prolonged or massive stimulation of dorsal horn nociceptive neurons by C </w:t>
      </w:r>
      <w:proofErr w:type="spellStart"/>
      <w:r w:rsidRPr="00AD7B00">
        <w:rPr>
          <w:rFonts w:cstheme="minorHAnsi"/>
          <w:lang w:val="en-US"/>
        </w:rPr>
        <w:t>fibres</w:t>
      </w:r>
      <w:proofErr w:type="spellEnd"/>
      <w:r w:rsidRPr="00AD7B00">
        <w:rPr>
          <w:rFonts w:cstheme="minorHAnsi"/>
          <w:lang w:val="en-US"/>
        </w:rPr>
        <w:t xml:space="preserve"> can result in adaptive changes including increased spontaneous activity, expansion of receptive field and decreased threshold to further afferent inputs </w:t>
      </w:r>
      <w:r w:rsidRPr="00AD7B00">
        <w:rPr>
          <w:rFonts w:cstheme="minorHAnsi"/>
          <w:lang w:val="es-ES_tradnl"/>
        </w:rPr>
        <w:fldChar w:fldCharType="begin"/>
      </w:r>
      <w:r w:rsidRPr="005B5764">
        <w:rPr>
          <w:rFonts w:cstheme="minorHAnsi"/>
        </w:rPr>
        <w:instrText xml:space="preserve"> ADDIN EN.CITE &lt;EndNote&gt;&lt;Cite  &gt;&lt;Author&gt;Taylor&lt;/Author&gt;&lt;Year&gt;2001&lt;/Year&gt;&lt;RecNum&gt;321&lt;/RecNum&gt;&lt;DisplayText&gt;(Taylor, 2001)&lt;/DisplayText&gt;&lt;record&gt;&lt;keywords&gt;&lt;keyword&gt;Central Nervous System -- Physiopathology&lt;/keyword&gt;&lt;keyword&gt;Neuralgia -- Physiopathology&lt;/keyword&gt;&lt;/keywords&gt;&lt;isbn&gt;1531-3433&lt;/isbn&gt;&lt;titles&gt;&lt;title&gt;Pathophysiologic mechanisms of neuropathic pain&lt;/title&gt;&lt;secondary-title&gt;Current pain and headache reports&lt;/secondary-title&gt;&lt;/titles&gt;&lt;pages&gt;151&lt;/pages&gt;&lt;number&gt;2&lt;/number&gt;&lt;contributors&gt;&lt;authors&gt;&lt;author&gt;Taylor, B. K.&lt;/author&gt;&lt;/authors&gt;&lt;/contributors&gt;&lt;added-date format="utc"&gt;1386534686&lt;/added-date&gt;&lt;ref-type name="Journal Article"&gt;17&lt;/ref-type&gt;&lt;dates&gt;&lt;year&gt;2001&lt;/year&gt;&lt;/dates&gt;&lt;rec-number&gt;321&lt;/rec-number&gt;&lt;last-updated-date format="utc"&gt;1387847341&lt;/last-updated-date&gt;&lt;volume&gt;5&lt;/volume&gt;&lt;/record&gt;&lt;/Cite&gt;&lt;/EndNote&gt;</w:instrText>
      </w:r>
      <w:r w:rsidRPr="00AD7B00">
        <w:rPr>
          <w:rFonts w:cstheme="minorHAnsi"/>
          <w:lang w:val="es-ES_tradnl"/>
        </w:rPr>
        <w:fldChar w:fldCharType="separate"/>
      </w:r>
      <w:r w:rsidRPr="005B5764">
        <w:rPr>
          <w:rFonts w:cstheme="minorHAnsi"/>
        </w:rPr>
        <w:t>(Taylor, 2001)</w:t>
      </w:r>
      <w:r w:rsidRPr="00AD7B00">
        <w:rPr>
          <w:rFonts w:cstheme="minorHAnsi"/>
          <w:lang w:val="es-ES_tradnl"/>
        </w:rPr>
        <w:fldChar w:fldCharType="end"/>
      </w:r>
      <w:r w:rsidRPr="00AD7B00">
        <w:rPr>
          <w:rFonts w:cstheme="minorHAnsi"/>
          <w:lang w:val="en-US"/>
        </w:rPr>
        <w:t>. Peripheral nerve injury can therefore lead to a hyper-excitable state of dorsal horn neurons or “</w:t>
      </w:r>
      <w:r w:rsidRPr="005B5764">
        <w:rPr>
          <w:rFonts w:cstheme="minorHAnsi"/>
        </w:rPr>
        <w:t>central sensitisation</w:t>
      </w:r>
      <w:r w:rsidRPr="00AD7B00">
        <w:rPr>
          <w:rFonts w:cstheme="minorHAnsi"/>
          <w:lang w:val="en-US"/>
        </w:rPr>
        <w:t xml:space="preserve">”. The duration and severity of this central sensitization depends on various factors. These include a) continuing primary afferent ectopic impulse generation, b) balance between local excitatory and inhibitory neurotransmission in spinal cord and c) descending supra spinal control.  Usually, this central </w:t>
      </w:r>
      <w:proofErr w:type="spellStart"/>
      <w:r w:rsidRPr="00AD7B00">
        <w:rPr>
          <w:rFonts w:cstheme="minorHAnsi"/>
          <w:lang w:val="en-US"/>
        </w:rPr>
        <w:t>sensitisation</w:t>
      </w:r>
      <w:proofErr w:type="spellEnd"/>
      <w:r w:rsidRPr="00AD7B00">
        <w:rPr>
          <w:rFonts w:cstheme="minorHAnsi"/>
          <w:lang w:val="en-US"/>
        </w:rPr>
        <w:t xml:space="preserve"> mechanism is a protective measure to prevent further damage. But when there is </w:t>
      </w:r>
      <w:r w:rsidRPr="00AD7B00">
        <w:rPr>
          <w:rFonts w:cstheme="minorHAnsi"/>
          <w:lang w:val="en-US"/>
        </w:rPr>
        <w:lastRenderedPageBreak/>
        <w:t xml:space="preserve">continued stimulation from the afferent nerve for e.g. neuropathy, can result in keeping the central </w:t>
      </w:r>
      <w:proofErr w:type="spellStart"/>
      <w:r w:rsidRPr="00AD7B00">
        <w:rPr>
          <w:rFonts w:cstheme="minorHAnsi"/>
          <w:lang w:val="en-US"/>
        </w:rPr>
        <w:t>sensitisation</w:t>
      </w:r>
      <w:proofErr w:type="spellEnd"/>
      <w:r w:rsidRPr="00AD7B00">
        <w:rPr>
          <w:rFonts w:cstheme="minorHAnsi"/>
          <w:lang w:val="en-US"/>
        </w:rPr>
        <w:t xml:space="preserve"> for a longer duration than is normally required. This is now believed to be the central mechanism of the chronicity of painful neuropathy </w:t>
      </w:r>
      <w:r w:rsidRPr="00AD7B00">
        <w:rPr>
          <w:rFonts w:cstheme="minorHAnsi"/>
          <w:lang w:val="en-US"/>
        </w:rPr>
        <w:fldChar w:fldCharType="begin"/>
      </w:r>
      <w:r w:rsidRPr="00AD7B00">
        <w:rPr>
          <w:rFonts w:cstheme="minorHAnsi"/>
          <w:lang w:val="en-US"/>
        </w:rPr>
        <w:instrText xml:space="preserve"> ADDIN EN.CITE &lt;EndNote&gt;&lt;Cite  &gt;&lt;Author&gt;Djouhri&lt;/Author&gt;&lt;Year&gt;2006&lt;/Year&gt;&lt;RecNum&gt;322&lt;/RecNum&gt;&lt;DisplayText&gt;(Djouhri et al., 2006)&lt;/DisplayText&gt;&lt;record&gt;&lt;keywords&gt;&lt;keyword&gt;Hyperalgesia -- Physiopathology&lt;/keyword&gt;&lt;keyword&gt;Inflammation -- Complications&lt;/keyword&gt;&lt;keyword&gt;Nerve Fibers, Unmyelinated -- Physiology&lt;/keyword&gt;&lt;keyword&gt;Neuralgia -- Physiopathology&lt;/keyword&gt;&lt;keyword&gt;Pain -- Physiopathology&lt;/keyword&gt;&lt;/keywords&gt;&lt;titles&gt;&lt;title&gt;Spontaneous pain, both neuropathic and inflammatory, is related to frequency of spontaneous firing in intact C- fiber nociceptors&lt;/title&gt;&lt;secondary-title&gt;The Journal of neuroscience : the official journal of the Society for Neuroscience&lt;/secondary-title&gt;&lt;/titles&gt;&lt;pages&gt;1281&lt;/pages&gt;&lt;number&gt;4&lt;/number&gt;&lt;contributors&gt;&lt;authors&gt;&lt;author&gt;Djouhri, Laiche&lt;/author&gt;&lt;author&gt;Koutsikou, Stella&lt;/author&gt;&lt;author&gt;Fang, Xin&lt;/author&gt;&lt;author&gt;McMullan, Simon&lt;/author&gt;&lt;author&gt;Lawson, Sally N.&lt;/author&gt;&lt;/authors&gt;&lt;/contributors&gt;&lt;added-date format="utc"&gt;1386535683&lt;/added-date&gt;&lt;ref-type name="Journal Article"&gt;17&lt;/ref-type&gt;&lt;dates&gt;&lt;year&gt;2006&lt;/year&gt;&lt;/dates&gt;&lt;rec-number&gt;322&lt;/rec-number&gt;&lt;last-updated-date format="utc"&gt;1387847341&lt;/last-updated-date&gt;&lt;volume&gt;26&lt;/volume&gt;&lt;/record&gt;&lt;/Cite&gt;&lt;/EndNote&gt;</w:instrText>
      </w:r>
      <w:r w:rsidRPr="00AD7B00">
        <w:rPr>
          <w:rFonts w:cstheme="minorHAnsi"/>
          <w:lang w:val="en-US"/>
        </w:rPr>
        <w:fldChar w:fldCharType="separate"/>
      </w:r>
      <w:r w:rsidRPr="00AD7B00">
        <w:rPr>
          <w:rFonts w:cstheme="minorHAnsi"/>
          <w:lang w:val="en-US"/>
        </w:rPr>
        <w:t>(Djouhri et al., 2006)</w:t>
      </w:r>
      <w:r w:rsidRPr="00AD7B00">
        <w:rPr>
          <w:rFonts w:cstheme="minorHAnsi"/>
          <w:lang w:val="en-US"/>
        </w:rPr>
        <w:fldChar w:fldCharType="end"/>
      </w:r>
      <w:r w:rsidRPr="00AD7B00">
        <w:rPr>
          <w:rFonts w:cstheme="minorHAnsi"/>
        </w:rPr>
        <w:t>.</w:t>
      </w:r>
    </w:p>
    <w:p w14:paraId="7FF75CB2" w14:textId="77777777" w:rsidR="00AF1A96" w:rsidRPr="00AD7B00" w:rsidRDefault="00AF1A96" w:rsidP="00AF1A96">
      <w:pPr>
        <w:pStyle w:val="Heading5"/>
        <w:rPr>
          <w:rFonts w:ascii="Cambria" w:hAnsi="Cambria" w:cstheme="minorHAnsi"/>
          <w:b/>
          <w:bCs/>
        </w:rPr>
      </w:pPr>
      <w:bookmarkStart w:id="70" w:name="_Toc29"/>
      <w:r w:rsidRPr="00AD7B00">
        <w:rPr>
          <w:rFonts w:ascii="Cambria" w:eastAsia="Cambria" w:hAnsi="Cambria" w:cstheme="minorHAnsi"/>
          <w:b/>
          <w:bCs/>
          <w:lang w:val="en-US"/>
        </w:rPr>
        <w:t>1.2.2.2b Loss of Spinal Neuroinhibitory Transmission</w:t>
      </w:r>
      <w:bookmarkEnd w:id="70"/>
    </w:p>
    <w:p w14:paraId="4FAC23A8" w14:textId="77777777" w:rsidR="00AF1A96" w:rsidRPr="00AD7B00" w:rsidRDefault="00AF1A96" w:rsidP="00AF1A96">
      <w:pPr>
        <w:pStyle w:val="BodyA"/>
        <w:rPr>
          <w:rFonts w:cstheme="minorHAnsi"/>
        </w:rPr>
      </w:pPr>
    </w:p>
    <w:p w14:paraId="19E0BBC6" w14:textId="0DAA64D7" w:rsidR="00AF1A96" w:rsidRDefault="00AF1A96" w:rsidP="00AF1A96">
      <w:pPr>
        <w:pStyle w:val="BodyA"/>
        <w:spacing w:line="480" w:lineRule="auto"/>
        <w:jc w:val="both"/>
        <w:rPr>
          <w:rFonts w:cstheme="minorHAnsi"/>
          <w:lang w:val="en-US"/>
        </w:rPr>
      </w:pPr>
      <w:r w:rsidRPr="00AD7B00">
        <w:rPr>
          <w:rFonts w:cstheme="minorHAnsi"/>
          <w:lang w:val="en-US"/>
        </w:rPr>
        <w:t xml:space="preserve">The spinal endogenous inhibitory system plays key compensatory role in keeping central </w:t>
      </w:r>
      <w:proofErr w:type="spellStart"/>
      <w:r w:rsidRPr="00AD7B00">
        <w:rPr>
          <w:rFonts w:cstheme="minorHAnsi"/>
          <w:lang w:val="en-US"/>
        </w:rPr>
        <w:t>sensitisation</w:t>
      </w:r>
      <w:proofErr w:type="spellEnd"/>
      <w:r w:rsidRPr="00AD7B00">
        <w:rPr>
          <w:rFonts w:cstheme="minorHAnsi"/>
          <w:lang w:val="en-US"/>
        </w:rPr>
        <w:t xml:space="preserve"> under control. The spinal neuro-inhibitory mechanism works through numerous G protein–coupled receptors (μ- and δ</w:t>
      </w:r>
      <w:r w:rsidRPr="00AD7B00">
        <w:rPr>
          <w:rFonts w:cstheme="minorHAnsi"/>
        </w:rPr>
        <w:t xml:space="preserve">-opioid, </w:t>
      </w:r>
      <w:r w:rsidRPr="00AD7B00">
        <w:rPr>
          <w:rFonts w:cstheme="minorHAnsi"/>
          <w:lang w:val="en-US"/>
        </w:rPr>
        <w:t xml:space="preserve">α2- adrenergic, purinergic A1, neuropeptide Y1 and Y2, cannabinoid CB1 and CB2, muscarinic M2, γ-amino- butyric acid type B, metabotropic glutamate type II-III and somatostatin) and perhaps nuclear receptors peroxisome proliferator–activated receptor gamma </w:t>
      </w:r>
      <w:r w:rsidRPr="00AD7B00">
        <w:rPr>
          <w:rFonts w:cstheme="minorHAnsi"/>
          <w:lang w:val="it-IT"/>
        </w:rPr>
        <w:fldChar w:fldCharType="begin"/>
      </w:r>
      <w:r w:rsidRPr="005B5764">
        <w:rPr>
          <w:rFonts w:cstheme="minorHAnsi"/>
          <w:lang w:val="en-US"/>
        </w:rPr>
        <w:instrText xml:space="preserve"> ADDIN EN.CITE &lt;EndNote&gt;&lt;Cite  &gt;&lt;Author&gt;Taylor&lt;/Author&gt;&lt;Year&gt;2009&lt;/Year&gt;&lt;RecNum&gt;320&lt;/RecNum&gt;&lt;DisplayText&gt;(Taylor, 2009)&lt;/DisplayText&gt;&lt;record&gt;&lt;keywords/&gt;&lt;isbn&gt;1534-3081&lt;/isbn&gt;&lt;titles&gt;&lt;title&gt;Spinal inhibitory neurotransmission in neuropathic pain&lt;/title&gt;&lt;secondary-title&gt;Current pain and headache reports&lt;/secondary-title&gt;&lt;/titles&gt;&lt;pages&gt;208&lt;/pages&gt;&lt;number&gt;3&lt;/number&gt;&lt;contributors&gt;&lt;authors&gt;&lt;author&gt;Taylor, Bradley K.&lt;/author&gt;&lt;/authors&gt;&lt;/contributors&gt;&lt;added-date format="utc"&gt;1386470278&lt;/added-date&gt;&lt;ref-type name="Journal Article"&gt;17&lt;/ref-type&gt;&lt;dates&gt;&lt;year&gt;2009&lt;/year&gt;&lt;/dates&gt;&lt;rec-number&gt;320&lt;/rec-number&gt;&lt;last-updated-date format="utc"&gt;1386470278&lt;/last-updated-date&gt;&lt;volume&gt;13&lt;/volume&gt;&lt;/record&gt;&lt;/Cite&gt;&lt;/EndNote&gt;</w:instrText>
      </w:r>
      <w:r w:rsidRPr="00AD7B00">
        <w:rPr>
          <w:rFonts w:cstheme="minorHAnsi"/>
          <w:lang w:val="it-IT"/>
        </w:rPr>
        <w:fldChar w:fldCharType="separate"/>
      </w:r>
      <w:r w:rsidRPr="005B5764">
        <w:rPr>
          <w:rFonts w:cstheme="minorHAnsi"/>
          <w:lang w:val="en-US"/>
        </w:rPr>
        <w:t>(Taylor, 2009)</w:t>
      </w:r>
      <w:r w:rsidRPr="00AD7B00">
        <w:rPr>
          <w:rFonts w:cstheme="minorHAnsi"/>
          <w:lang w:val="it-IT"/>
        </w:rPr>
        <w:fldChar w:fldCharType="end"/>
      </w:r>
      <w:r w:rsidRPr="00AD7B00">
        <w:rPr>
          <w:rFonts w:cstheme="minorHAnsi"/>
          <w:lang w:val="en-US"/>
        </w:rPr>
        <w:t xml:space="preserve"> are also involved. When this compensatory mechanism is down regulated or defective, it can result in the perpetuation of neuropathic pain as shown in figure 1.3 below.</w:t>
      </w:r>
    </w:p>
    <w:p w14:paraId="5CEB3C82" w14:textId="77777777" w:rsidR="00CA0ACC" w:rsidRDefault="00CA0ACC" w:rsidP="00AF1A96">
      <w:pPr>
        <w:pStyle w:val="BodyA"/>
        <w:spacing w:line="480" w:lineRule="auto"/>
        <w:jc w:val="both"/>
        <w:rPr>
          <w:rFonts w:cstheme="minorHAnsi"/>
          <w:lang w:val="en-US"/>
        </w:rPr>
      </w:pPr>
    </w:p>
    <w:p w14:paraId="586AB3E1" w14:textId="30152DE7" w:rsidR="00CA0ACC" w:rsidRPr="00CA0ACC" w:rsidRDefault="0038606D" w:rsidP="00CA0ACC">
      <w:pPr>
        <w:pStyle w:val="BodyA"/>
        <w:spacing w:line="360" w:lineRule="auto"/>
        <w:jc w:val="both"/>
        <w:rPr>
          <w:rFonts w:ascii="Arial" w:hAnsi="Arial" w:cs="Arial"/>
        </w:rPr>
      </w:pPr>
      <w:r w:rsidRPr="00D814E1">
        <w:rPr>
          <w:rFonts w:ascii="Arial" w:hAnsi="Arial" w:cs="Arial"/>
          <w:noProof/>
        </w:rPr>
        <w:lastRenderedPageBreak/>
        <w:drawing>
          <wp:inline distT="0" distB="0" distL="0" distR="0" wp14:anchorId="378ECE36" wp14:editId="59B7D624">
            <wp:extent cx="5727700" cy="42957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4295775"/>
                    </a:xfrm>
                    <a:prstGeom prst="rect">
                      <a:avLst/>
                    </a:prstGeom>
                  </pic:spPr>
                </pic:pic>
              </a:graphicData>
            </a:graphic>
          </wp:inline>
        </w:drawing>
      </w:r>
    </w:p>
    <w:p w14:paraId="025B6348" w14:textId="6A346B75" w:rsidR="00AF1A96" w:rsidRPr="00D814E1" w:rsidRDefault="00AF1A96" w:rsidP="005B711C">
      <w:pPr>
        <w:pStyle w:val="BodyA"/>
        <w:spacing w:line="360" w:lineRule="auto"/>
        <w:jc w:val="both"/>
        <w:rPr>
          <w:rFonts w:cstheme="minorHAnsi"/>
          <w:b/>
        </w:rPr>
      </w:pPr>
      <w:r w:rsidRPr="00D814E1">
        <w:rPr>
          <w:rFonts w:cstheme="minorHAnsi"/>
          <w:b/>
          <w:bCs/>
          <w:lang w:val="en-US"/>
        </w:rPr>
        <w:t xml:space="preserve">Figure 1.3 Spinal Neuro-inhibition adapted from </w:t>
      </w:r>
      <w:r w:rsidRPr="00D814E1">
        <w:rPr>
          <w:rFonts w:cstheme="minorHAnsi"/>
          <w:b/>
          <w:bCs/>
        </w:rPr>
        <w:fldChar w:fldCharType="begin"/>
      </w:r>
      <w:r w:rsidRPr="00D814E1">
        <w:rPr>
          <w:rFonts w:cstheme="minorHAnsi"/>
          <w:b/>
          <w:bCs/>
        </w:rPr>
        <w:instrText xml:space="preserve"> ADDIN EN.CITE &lt;EndNote&gt;&lt;Cite  &gt;&lt;Author&gt;Taylor&lt;/Author&gt;&lt;Year&gt;2009&lt;/Year&gt;&lt;RecNum&gt;320&lt;/RecNum&gt;&lt;DisplayText&gt;(Taylor, 2009)&lt;/DisplayText&gt;&lt;record&gt;&lt;keywords&gt;&lt;keyword&gt;Neural Inhibition -- Physiology&lt;/keyword&gt;&lt;keyword&gt;Neuralgia -- Physiopathology&lt;/keyword&gt;&lt;keyword&gt;Spinal Cord -- Physiology&lt;/keyword&gt;&lt;keyword&gt;Synaptic Transmission -- Physiology&lt;/keyword&gt;&lt;/keywords&gt;&lt;isbn&gt;1534-3081&lt;/isbn&gt;&lt;titles&gt;&lt;title&gt;Spinal inhibitory neurotransmission in neuropathic pain&lt;/title&gt;&lt;secondary-title&gt;Current pain and headache reports&lt;/secondary-title&gt;&lt;/titles&gt;&lt;pages&gt;208&lt;/pages&gt;&lt;number&gt;3&lt;/number&gt;&lt;contributors&gt;&lt;authors&gt;&lt;author&gt;Taylor, Bradley K.&lt;/author&gt;&lt;/authors&gt;&lt;/contributors&gt;&lt;added-date format="utc"&gt;1386470278&lt;/added-date&gt;&lt;ref-type name="Journal Article"&gt;17&lt;/ref-type&gt;&lt;dates&gt;&lt;year&gt;2009&lt;/year&gt;&lt;/dates&gt;&lt;rec-number&gt;320&lt;/rec-number&gt;&lt;last-updated-date format="utc"&gt;1387847341&lt;/last-updated-date&gt;&lt;volume&gt;13&lt;/volume&gt;&lt;/record&gt;&lt;/Cite&gt;&lt;/EndNote&gt;</w:instrText>
      </w:r>
      <w:r w:rsidRPr="00D814E1">
        <w:rPr>
          <w:rFonts w:cstheme="minorHAnsi"/>
          <w:b/>
          <w:bCs/>
        </w:rPr>
        <w:fldChar w:fldCharType="separate"/>
      </w:r>
      <w:r w:rsidRPr="00D814E1">
        <w:rPr>
          <w:rFonts w:cstheme="minorHAnsi"/>
          <w:b/>
          <w:bCs/>
          <w:lang w:val="en-US"/>
        </w:rPr>
        <w:t>(Taylor, 2009)</w:t>
      </w:r>
      <w:r w:rsidRPr="00D814E1">
        <w:rPr>
          <w:rFonts w:cstheme="minorHAnsi"/>
          <w:b/>
          <w:bCs/>
        </w:rPr>
        <w:fldChar w:fldCharType="end"/>
      </w:r>
      <w:r w:rsidRPr="00D814E1">
        <w:rPr>
          <w:rFonts w:cstheme="minorHAnsi"/>
          <w:b/>
          <w:lang w:val="en-US"/>
        </w:rPr>
        <w:t xml:space="preserve"> - Proposed sequence of events leading to: early spinal nociceptive transmission and pain and either normal resolution of pain following compensatory up regulation of inhibitory system (lower left box) or pathological development of neuropathic pain when compensatory mechanisms fail (lower right box). DH; Dorsal Horn</w:t>
      </w:r>
    </w:p>
    <w:p w14:paraId="06FC7C6E" w14:textId="5806D384" w:rsidR="00AF1A96" w:rsidRDefault="00AF1A96" w:rsidP="00AF1A96">
      <w:pPr>
        <w:pStyle w:val="BodyA"/>
        <w:spacing w:line="480" w:lineRule="auto"/>
        <w:jc w:val="both"/>
        <w:rPr>
          <w:rFonts w:cstheme="minorHAnsi"/>
          <w:lang w:val="en-US"/>
        </w:rPr>
      </w:pPr>
      <w:r w:rsidRPr="00AD7B00">
        <w:rPr>
          <w:rFonts w:cstheme="minorHAnsi"/>
          <w:lang w:val="en-US"/>
        </w:rPr>
        <w:t xml:space="preserve">The spinal mechanisms also involve the actions of glutamate and substance P. They both activate N-methyl-D-aspartate (NMDA) receptor leading to wind up of dorsal horn neurons </w:t>
      </w:r>
      <w:r w:rsidRPr="00AD7B00">
        <w:rPr>
          <w:rFonts w:cstheme="minorHAnsi"/>
          <w:lang w:val="en-US"/>
        </w:rPr>
        <w:fldChar w:fldCharType="begin"/>
      </w:r>
      <w:r w:rsidRPr="00AD7B00">
        <w:rPr>
          <w:rFonts w:cstheme="minorHAnsi"/>
          <w:lang w:val="en-US"/>
        </w:rPr>
        <w:instrText xml:space="preserve"> ADDIN EN.CITE &lt;EndNote&gt;&lt;Cite  &gt;&lt;Author&gt;Tesfaye&lt;/Author&gt;&lt;Year&gt;2013&lt;/Year&gt;&lt;RecNum&gt;471&lt;/RecNum&gt;&lt;DisplayText&gt;(Tesfaye et al., 2013)&lt;/DisplayText&gt;&lt;record&gt;&lt;isbn&gt;0149-5992&lt;/isbn&gt;&lt;titles&gt;&lt;title&gt;Mechanisms and management of diabetic painful distal symmetrical polyneuropathy&lt;/title&gt;&lt;secondary-title&gt;Diabetes care&lt;/secondary-title&gt;&lt;/titles&gt;&lt;pages&gt;2456&lt;/pages&gt;&lt;number&gt;9&lt;/number&gt;&lt;contributors&gt;&lt;authors&gt;&lt;author&gt;Tesfaye, Solomon&lt;/author&gt;&lt;author&gt;Boulton, Andrew J. M.&lt;/author&gt;&lt;author&gt;Dickenson, Anthony H.&lt;/author&gt;&lt;/authors&gt;&lt;/contributors&gt;&lt;added-date format="utc"&gt;1508448834&lt;/added-date&gt;&lt;ref-type name="Journal Article"&gt;17&lt;/ref-type&gt;&lt;dates&gt;&lt;year&gt;2013&lt;/year&gt;&lt;/dates&gt;&lt;rec-number&gt;471&lt;/rec-number&gt;&lt;last-updated-date format="utc"&gt;1508448834&lt;/last-updated-date&gt;&lt;electronic-resource-num&gt;10.2337/dc12-1964&lt;/electronic-resource-num&gt;&lt;volume&gt;36&lt;/volume&gt;&lt;/record&gt;&lt;/Cite&gt;&lt;/EndNote&gt;</w:instrText>
      </w:r>
      <w:r w:rsidRPr="00AD7B00">
        <w:rPr>
          <w:rFonts w:cstheme="minorHAnsi"/>
          <w:lang w:val="en-US"/>
        </w:rPr>
        <w:fldChar w:fldCharType="separate"/>
      </w:r>
      <w:r w:rsidRPr="00AD7B00">
        <w:rPr>
          <w:rFonts w:cstheme="minorHAnsi"/>
          <w:lang w:val="en-US"/>
        </w:rPr>
        <w:t>(Tesfaye et al., 2013)</w:t>
      </w:r>
      <w:r w:rsidRPr="00AD7B00">
        <w:rPr>
          <w:rFonts w:cstheme="minorHAnsi"/>
          <w:lang w:val="en-US"/>
        </w:rPr>
        <w:fldChar w:fldCharType="end"/>
      </w:r>
      <w:r w:rsidRPr="00AD7B00">
        <w:rPr>
          <w:rFonts w:cstheme="minorHAnsi"/>
          <w:lang w:val="en-US"/>
        </w:rPr>
        <w:t>. Ketamine works as an analgesic agent by blocking these NMDA receptors.</w:t>
      </w:r>
    </w:p>
    <w:p w14:paraId="2FA0D5B1" w14:textId="4B77A0D1" w:rsidR="00AF1A96" w:rsidRPr="00AD7B00" w:rsidRDefault="00AF1A96" w:rsidP="00AF1A96">
      <w:pPr>
        <w:pStyle w:val="Heading5"/>
        <w:rPr>
          <w:rFonts w:ascii="Cambria" w:hAnsi="Cambria" w:cstheme="minorHAnsi"/>
          <w:b/>
          <w:bCs/>
        </w:rPr>
      </w:pPr>
      <w:bookmarkStart w:id="71" w:name="_Toc30"/>
      <w:r w:rsidRPr="00AD7B00">
        <w:rPr>
          <w:rFonts w:ascii="Cambria" w:eastAsia="Cambria" w:hAnsi="Cambria" w:cstheme="minorHAnsi"/>
          <w:b/>
          <w:bCs/>
          <w:lang w:val="en-US"/>
        </w:rPr>
        <w:t>1.2.2.2c Role of Supra Spinal Facilitation and Inhibition</w:t>
      </w:r>
      <w:bookmarkEnd w:id="71"/>
    </w:p>
    <w:p w14:paraId="4832C42D" w14:textId="77777777" w:rsidR="00AF1A96" w:rsidRPr="00AD7B00" w:rsidRDefault="00AF1A96" w:rsidP="00AF1A96">
      <w:pPr>
        <w:pStyle w:val="BodyA"/>
        <w:rPr>
          <w:rFonts w:cstheme="minorHAnsi"/>
        </w:rPr>
      </w:pPr>
    </w:p>
    <w:p w14:paraId="5E9CBE83" w14:textId="77777777" w:rsidR="00AF1A96" w:rsidRPr="00AD7B00" w:rsidRDefault="00AF1A96" w:rsidP="00AF1A96">
      <w:pPr>
        <w:pStyle w:val="BodyA"/>
        <w:spacing w:line="480" w:lineRule="auto"/>
        <w:jc w:val="both"/>
        <w:rPr>
          <w:rFonts w:cstheme="minorHAnsi"/>
        </w:rPr>
      </w:pPr>
      <w:r w:rsidRPr="00AD7B00">
        <w:rPr>
          <w:rFonts w:cstheme="minorHAnsi"/>
          <w:lang w:val="en-US"/>
        </w:rPr>
        <w:t>There are pain-facilitating neurons in the rostral ventral medulla (</w:t>
      </w:r>
      <w:proofErr w:type="spellStart"/>
      <w:r w:rsidRPr="00AD7B00">
        <w:rPr>
          <w:rFonts w:cstheme="minorHAnsi"/>
          <w:lang w:val="en-US"/>
        </w:rPr>
        <w:t>RVM</w:t>
      </w:r>
      <w:proofErr w:type="spellEnd"/>
      <w:r w:rsidRPr="00AD7B00">
        <w:rPr>
          <w:rFonts w:cstheme="minorHAnsi"/>
          <w:lang w:val="en-US"/>
        </w:rPr>
        <w:t xml:space="preserve">). Carlson et al. studied the </w:t>
      </w:r>
      <w:proofErr w:type="spellStart"/>
      <w:r w:rsidRPr="00AD7B00">
        <w:rPr>
          <w:rFonts w:cstheme="minorHAnsi"/>
          <w:lang w:val="en-US"/>
        </w:rPr>
        <w:t>RVM</w:t>
      </w:r>
      <w:proofErr w:type="spellEnd"/>
      <w:r w:rsidRPr="00AD7B00">
        <w:rPr>
          <w:rFonts w:cstheme="minorHAnsi"/>
          <w:lang w:val="en-US"/>
        </w:rPr>
        <w:t xml:space="preserve"> after spinal nerve ligation, a model of neuropathic pain and found </w:t>
      </w:r>
      <w:r w:rsidRPr="00AD7B00">
        <w:rPr>
          <w:rFonts w:cstheme="minorHAnsi"/>
          <w:lang w:val="en-US"/>
        </w:rPr>
        <w:lastRenderedPageBreak/>
        <w:t xml:space="preserve">neuronal hypersensitivity in the </w:t>
      </w:r>
      <w:proofErr w:type="spellStart"/>
      <w:r w:rsidRPr="00AD7B00">
        <w:rPr>
          <w:rFonts w:cstheme="minorHAnsi"/>
          <w:lang w:val="en-US"/>
        </w:rPr>
        <w:t>RVM</w:t>
      </w:r>
      <w:proofErr w:type="spellEnd"/>
      <w:r w:rsidRPr="00AD7B00">
        <w:rPr>
          <w:rFonts w:cstheme="minorHAnsi"/>
          <w:lang w:val="en-US"/>
        </w:rPr>
        <w:t xml:space="preserve">, which correlated with hypersensitive </w:t>
      </w:r>
      <w:proofErr w:type="spellStart"/>
      <w:r w:rsidRPr="00AD7B00">
        <w:rPr>
          <w:rFonts w:cstheme="minorHAnsi"/>
          <w:lang w:val="en-US"/>
        </w:rPr>
        <w:t>behavioural</w:t>
      </w:r>
      <w:proofErr w:type="spellEnd"/>
      <w:r w:rsidRPr="00AD7B00">
        <w:rPr>
          <w:rFonts w:cstheme="minorHAnsi"/>
          <w:lang w:val="en-US"/>
        </w:rPr>
        <w:t xml:space="preserve"> changes </w:t>
      </w:r>
      <w:r w:rsidRPr="00AD7B00">
        <w:rPr>
          <w:rFonts w:cstheme="minorHAnsi"/>
          <w:lang w:val="fr-FR"/>
        </w:rPr>
        <w:fldChar w:fldCharType="begin"/>
      </w:r>
      <w:r w:rsidRPr="005B5764">
        <w:rPr>
          <w:rFonts w:cstheme="minorHAnsi"/>
        </w:rPr>
        <w:instrText xml:space="preserve"> ADDIN EN.CITE &lt;EndNote&gt;&lt;Cite  &gt;&lt;Author&gt;Carlson&lt;/Author&gt;&lt;Year&gt;2007&lt;/Year&gt;&lt;RecNum&gt;323&lt;/RecNum&gt;&lt;DisplayText&gt;(Carlson et al., 2007)&lt;/DisplayText&gt;&lt;record&gt;&lt;keywords/&gt;&lt;titles&gt;&lt;title&gt;Sensitization of pain- modulating neurons in the rostral ventromedial medulla after peripheral nerve injury&lt;/title&gt;&lt;secondary-title&gt;The Journal of neuroscience : the official journal of the Society for Neuroscience&lt;/secondary-title&gt;&lt;/titles&gt;&lt;pages&gt;13222&lt;/pages&gt;&lt;number&gt;48&lt;/number&gt;&lt;contributors&gt;&lt;authors&gt;&lt;author&gt;Carlson, Jonathan D.&lt;/author&gt;&lt;author&gt;Maire, Jennifer J.&lt;/author&gt;&lt;author&gt;Martenson, Melissa E.&lt;/author&gt;&lt;author&gt;Heinricher, Mary M.&lt;/author&gt;&lt;/authors&gt;&lt;/contributors&gt;&lt;added-date format="utc"&gt;1386544731&lt;/added-date&gt;&lt;ref-type name="Journal Article"&gt;17&lt;/ref-type&gt;&lt;dates&gt;&lt;year&gt;2007&lt;/year&gt;&lt;/dates&gt;&lt;rec-number&gt;323&lt;/rec-number&gt;&lt;last-updated-date format="utc"&gt;1386544731&lt;/last-updated-date&gt;&lt;volume&gt;27&lt;/volume&gt;&lt;/record&gt;&lt;/Cite&gt;&lt;/EndNote&gt;</w:instrText>
      </w:r>
      <w:r w:rsidRPr="00AD7B00">
        <w:rPr>
          <w:rFonts w:cstheme="minorHAnsi"/>
          <w:lang w:val="fr-FR"/>
        </w:rPr>
        <w:fldChar w:fldCharType="separate"/>
      </w:r>
      <w:r w:rsidRPr="005B5764">
        <w:rPr>
          <w:rFonts w:cstheme="minorHAnsi"/>
        </w:rPr>
        <w:t>(Carlson et al., 2007)</w:t>
      </w:r>
      <w:r w:rsidRPr="00AD7B00">
        <w:rPr>
          <w:rFonts w:cstheme="minorHAnsi"/>
          <w:lang w:val="fr-FR"/>
        </w:rPr>
        <w:fldChar w:fldCharType="end"/>
      </w:r>
      <w:r w:rsidRPr="00AD7B00">
        <w:rPr>
          <w:rFonts w:cstheme="minorHAnsi"/>
          <w:lang w:val="en-US"/>
        </w:rPr>
        <w:t xml:space="preserve">. These findings support the role of supra spinal neurons in the peripheral pain facilitation. Once initiated, maintenance of nerve injury-induced central sensitization in the spinal dorsal horn requires descending pain facilitation mechanisms arising from the rostral ventromedial medulla </w:t>
      </w:r>
      <w:r w:rsidRPr="00AD7B00">
        <w:rPr>
          <w:rFonts w:cstheme="minorHAnsi"/>
          <w:lang w:val="pt-PT"/>
        </w:rPr>
        <w:fldChar w:fldCharType="begin"/>
      </w:r>
      <w:r w:rsidRPr="005B5764">
        <w:rPr>
          <w:rFonts w:cstheme="minorHAnsi"/>
        </w:rPr>
        <w:instrText xml:space="preserve"> ADDIN EN.CITE &lt;EndNote&gt;&lt;Cite  &gt;&lt;Author&gt;Vera-portocarrero&lt;/Author&gt;&lt;Year&gt;2006&lt;/Year&gt;&lt;RecNum&gt;324&lt;/RecNum&gt;&lt;DisplayText&gt;(Vera-portocarrero et al., 2006)&lt;/DisplayText&gt;&lt;record&gt;&lt;keywords/&gt;&lt;isbn&gt;0306-4522&lt;/isbn&gt;&lt;titles&gt;&lt;title&gt;Descending facilitation from the rostral ventromedial medulla maintains nerve injury- induced central sensitization&lt;/title&gt;&lt;secondary-title&gt;Neuroscience&lt;/secondary-title&gt;&lt;/titles&gt;&lt;pages&gt;1311&lt;/pages&gt;&lt;number&gt;4&lt;/number&gt;&lt;contributors&gt;&lt;authors&gt;&lt;author&gt;Vera-portocarrero, L. P.&lt;/author&gt;&lt;author&gt;Zhang, E. t&lt;/author&gt;&lt;author&gt;Ossipov, M. H.&lt;/author&gt;&lt;author&gt;Xie, J. Y.&lt;/author&gt;&lt;author&gt;King, T.&lt;/author&gt;&lt;author&gt;Lai, J.&lt;/author&gt;&lt;author&gt;Porreca, F.&lt;/author&gt;&lt;author&gt;Vera-Portocarrero, L. P.&lt;/author&gt;&lt;author&gt;Zhang, E. T.&lt;/author&gt;&lt;/authors&gt;&lt;/contributors&gt;&lt;added-date format="utc"&gt;1386545185&lt;/added-date&gt;&lt;ref-type name="Journal Article"&gt;17&lt;/ref-type&gt;&lt;dates&gt;&lt;year&gt;2006&lt;/year&gt;&lt;/dates&gt;&lt;rec-number&gt;324&lt;/rec-number&gt;&lt;last-updated-date format="utc"&gt;1386545185&lt;/last-updated-date&gt;&lt;volume&gt;140&lt;/volume&gt;&lt;/record&gt;&lt;/Cite&gt;&lt;/EndNote&gt;</w:instrText>
      </w:r>
      <w:r w:rsidRPr="00AD7B00">
        <w:rPr>
          <w:rFonts w:cstheme="minorHAnsi"/>
          <w:lang w:val="pt-PT"/>
        </w:rPr>
        <w:fldChar w:fldCharType="separate"/>
      </w:r>
      <w:r w:rsidRPr="005B5764">
        <w:rPr>
          <w:rFonts w:cstheme="minorHAnsi"/>
        </w:rPr>
        <w:t>(Vera-portocarrero et al., 2006)</w:t>
      </w:r>
      <w:r w:rsidRPr="00AD7B00">
        <w:rPr>
          <w:rFonts w:cstheme="minorHAnsi"/>
          <w:lang w:val="pt-PT"/>
        </w:rPr>
        <w:fldChar w:fldCharType="end"/>
      </w:r>
      <w:r w:rsidRPr="00AD7B00">
        <w:rPr>
          <w:rFonts w:cstheme="minorHAnsi"/>
          <w:lang w:val="en-US"/>
        </w:rPr>
        <w:t xml:space="preserve">. Neuropathic pain state also alters descending pain modulation from higher brain </w:t>
      </w:r>
      <w:proofErr w:type="spellStart"/>
      <w:r w:rsidRPr="00AD7B00">
        <w:rPr>
          <w:rFonts w:cstheme="minorHAnsi"/>
          <w:lang w:val="en-US"/>
        </w:rPr>
        <w:t>centres</w:t>
      </w:r>
      <w:proofErr w:type="spellEnd"/>
      <w:r w:rsidRPr="00AD7B00">
        <w:rPr>
          <w:rFonts w:cstheme="minorHAnsi"/>
          <w:lang w:val="en-US"/>
        </w:rPr>
        <w:t xml:space="preserve"> through the brainstem to the spinal cord. There is good evidence to support imbalance between prominent α(2)-adrenoceptor mediated inhibitory system and 5-HT(3) (and likely also 5-HT(2)) serotonin receptor-mediated excitatory controls originating from brainstem and midbrain areas </w:t>
      </w:r>
      <w:r w:rsidRPr="00AD7B00">
        <w:rPr>
          <w:rFonts w:cstheme="minorHAnsi"/>
          <w:lang w:val="en-US"/>
        </w:rPr>
        <w:fldChar w:fldCharType="begin"/>
      </w:r>
      <w:r w:rsidRPr="00AD7B00">
        <w:rPr>
          <w:rFonts w:cstheme="minorHAnsi"/>
          <w:lang w:val="en-US"/>
        </w:rPr>
        <w:instrText xml:space="preserve"> ADDIN EN.CITE &lt;EndNote&gt;&lt;Cite  &gt;&lt;Author&gt;Bannister&lt;/Author&gt;&lt;Year&gt;2009&lt;/Year&gt;&lt;RecNum&gt;325&lt;/RecNum&gt;&lt;DisplayText&gt;(Bannister et al., 2009, Bee and Dickenson, 2009)&lt;/DisplayText&gt;&lt;record&gt;&lt;keywords/&gt;&lt;isbn&gt;1933-7213&lt;/isbn&gt;&lt;titles&gt;&lt;title&gt;Preclinical and early clinical investigations related to monoaminergic pain modulation&lt;/title&gt;&lt;secondary-title&gt;Neurotherapeutics&lt;/secondary-title&gt;&lt;/titles&gt;&lt;pages&gt;703-712&lt;/pages&gt;&lt;number&gt;4&lt;/number&gt;&lt;contributors&gt;&lt;authors&gt;&lt;author&gt;Bannister, Kirsty&lt;/author&gt;&lt;author&gt;Bee, Lucy&lt;/author&gt;&lt;author&gt;Dickenson, Anthony&lt;/author&gt;&lt;/authors&gt;&lt;/contributors&gt;&lt;added-date format="utc"&gt;1386550386&lt;/added-date&gt;&lt;pub-location&gt;New York&lt;/pub-location&gt;&lt;ref-type name="Journal Article"&gt;17&lt;/ref-type&gt;&lt;dates&gt;&lt;year&gt;2009&lt;/year&gt;&lt;/dates&gt;&lt;rec-number&gt;325&lt;/rec-number&gt;&lt;last-updated-date format="utc"&gt;1386550386&lt;/last-updated-date&gt;&lt;electronic-resource-num&gt;10.1016/j.nurt.2009.07.009&lt;/electronic-resource-num&gt;&lt;volume&gt;6&lt;/volume&gt;&lt;/record&gt;&lt;/Cite&gt;&lt;Cite  &gt;&lt;Author&gt;Bee&lt;/Author&gt;&lt;Year&gt;2009&lt;/Year&gt;&lt;RecNum&gt;327&lt;/RecNum&gt;&lt;record&gt;&lt;keywords/&gt;&lt;titles&gt;&lt;title&gt;The importance of the descending monoamine system for the pain experience and its treatment&lt;/title&gt;&lt;secondary-title&gt;F1000 Medicine Reports&lt;/secondary-title&gt;&lt;/titles&gt;&lt;contributors&gt;&lt;authors&gt;&lt;author&gt;Bee, Lucy A.&lt;/author&gt;&lt;author&gt;Dickenson, Anthony H.&lt;/author&gt;&lt;/authors&gt;&lt;/contributors&gt;&lt;added-date format="utc"&gt;1386552753&lt;/added-date&gt;&lt;ref-type name="Journal Article"&gt;17&lt;/ref-type&gt;&lt;dates&gt;&lt;year&gt;2009&lt;/year&gt;&lt;/dates&gt;&lt;rec-number&gt;327&lt;/rec-number&gt;&lt;last-updated-date format="utc"&gt;1386552753&lt;/last-updated-date&gt;&lt;electronic-resource-num&gt;10.3410/M1-83&lt;/electronic-resource-num&gt;&lt;volume&gt;1&lt;/volume&gt;&lt;/record&gt;&lt;/Cite&gt;&lt;/EndNote&gt;</w:instrText>
      </w:r>
      <w:r w:rsidRPr="00AD7B00">
        <w:rPr>
          <w:rFonts w:cstheme="minorHAnsi"/>
          <w:lang w:val="en-US"/>
        </w:rPr>
        <w:fldChar w:fldCharType="separate"/>
      </w:r>
      <w:r w:rsidRPr="00AD7B00">
        <w:rPr>
          <w:rFonts w:cstheme="minorHAnsi"/>
          <w:lang w:val="en-US"/>
        </w:rPr>
        <w:t>(Bannister et al., 2009, Bee and Dickenson, 2009)</w:t>
      </w:r>
      <w:r w:rsidRPr="00AD7B00">
        <w:rPr>
          <w:rFonts w:cstheme="minorHAnsi"/>
          <w:lang w:val="en-US"/>
        </w:rPr>
        <w:fldChar w:fldCharType="end"/>
      </w:r>
      <w:r w:rsidRPr="00AD7B00">
        <w:rPr>
          <w:rFonts w:cstheme="minorHAnsi"/>
          <w:lang w:val="en-US"/>
        </w:rPr>
        <w:t xml:space="preserve"> in neuropathic pain states.</w:t>
      </w:r>
    </w:p>
    <w:p w14:paraId="3E4586C0" w14:textId="77777777" w:rsidR="00AF1A96" w:rsidRPr="00AD7B00" w:rsidRDefault="00AF1A96" w:rsidP="00AF1A96">
      <w:pPr>
        <w:pStyle w:val="BodyA"/>
        <w:spacing w:line="480" w:lineRule="auto"/>
        <w:jc w:val="both"/>
        <w:rPr>
          <w:rFonts w:cstheme="minorHAnsi"/>
          <w:b/>
          <w:bCs/>
        </w:rPr>
      </w:pPr>
      <w:proofErr w:type="spellStart"/>
      <w:r w:rsidRPr="00AD7B00">
        <w:rPr>
          <w:rFonts w:cstheme="minorHAnsi"/>
          <w:lang w:val="en-US"/>
        </w:rPr>
        <w:t>Tapentadol</w:t>
      </w:r>
      <w:proofErr w:type="spellEnd"/>
      <w:r w:rsidRPr="00AD7B00">
        <w:rPr>
          <w:rFonts w:cstheme="minorHAnsi"/>
          <w:lang w:val="en-US"/>
        </w:rPr>
        <w:t xml:space="preserve"> is a new pain medication, which stimulates mu-opioid receptors (</w:t>
      </w:r>
      <w:proofErr w:type="spellStart"/>
      <w:r w:rsidRPr="00AD7B00">
        <w:rPr>
          <w:rFonts w:cstheme="minorHAnsi"/>
          <w:lang w:val="en-US"/>
        </w:rPr>
        <w:t>MOR</w:t>
      </w:r>
      <w:proofErr w:type="spellEnd"/>
      <w:r w:rsidRPr="00AD7B00">
        <w:rPr>
          <w:rFonts w:cstheme="minorHAnsi"/>
          <w:lang w:val="en-US"/>
        </w:rPr>
        <w:t>) and acts as a noradrenaline re-uptake inhibitor (</w:t>
      </w:r>
      <w:proofErr w:type="spellStart"/>
      <w:r w:rsidRPr="00AD7B00">
        <w:rPr>
          <w:rFonts w:cstheme="minorHAnsi"/>
          <w:lang w:val="en-US"/>
        </w:rPr>
        <w:t>NRI</w:t>
      </w:r>
      <w:proofErr w:type="spellEnd"/>
      <w:r w:rsidRPr="00AD7B00">
        <w:rPr>
          <w:rFonts w:cstheme="minorHAnsi"/>
          <w:lang w:val="en-US"/>
        </w:rPr>
        <w:t xml:space="preserve">) in the CNS. </w:t>
      </w:r>
      <w:proofErr w:type="spellStart"/>
      <w:r w:rsidRPr="00AD7B00">
        <w:rPr>
          <w:rFonts w:cstheme="minorHAnsi"/>
          <w:lang w:val="en-US"/>
        </w:rPr>
        <w:t>Tapentadol</w:t>
      </w:r>
      <w:proofErr w:type="spellEnd"/>
      <w:r w:rsidRPr="00AD7B00">
        <w:rPr>
          <w:rFonts w:cstheme="minorHAnsi"/>
          <w:lang w:val="en-US"/>
        </w:rPr>
        <w:t xml:space="preserve"> dose-dependently reduced evoked responses of spinal dorsal horn neurons to a range of peripheral stimuli in spinal nerve ligated rats </w:t>
      </w:r>
      <w:r w:rsidRPr="00AD7B00">
        <w:rPr>
          <w:rFonts w:cstheme="minorHAnsi"/>
          <w:lang w:val="en-US"/>
        </w:rPr>
        <w:fldChar w:fldCharType="begin"/>
      </w:r>
      <w:r w:rsidRPr="00AD7B00">
        <w:rPr>
          <w:rFonts w:cstheme="minorHAnsi"/>
          <w:lang w:val="en-US"/>
        </w:rPr>
        <w:instrText xml:space="preserve"> ADDIN EN.CITE &lt;EndNote&gt;&lt;Cite  &gt;&lt;Author&gt;Bee&lt;/Author&gt;&lt;Year&gt;2011&lt;/Year&gt;&lt;DisplayText&gt;(Bee et al., 2011)&lt;/DisplayText&gt;&lt;record&gt;&lt;keywords/&gt;&lt;titles&gt;&lt;title&gt;Mu- opioid and noradrenergic α( 2)-adrenoceptor contributions to the effects of tapentadol on spinal electrophysiological measures of nociception in nerve- injured rats&lt;/title&gt;&lt;secondary-title&gt;Pain&lt;/secondary-title&gt;&lt;/titles&gt;&lt;pages&gt;131&lt;/pages&gt;&lt;number&gt;1&lt;/number&gt;&lt;contributors&gt;&lt;authors&gt;&lt;author&gt;Bee, Lucy A.&lt;/author&gt;&lt;author&gt;Bannister, Kirsty&lt;/author&gt;&lt;author&gt;Rahman, Wahida&lt;/author&gt;&lt;author&gt;Dickenson, Anthony H.&lt;/author&gt;&lt;/authors&gt;&lt;/contributors&gt;&lt;added-date format="utc"&gt;1386552622&lt;/added-date&gt;&lt;ref-type name="Journal Article"&gt;17&lt;/ref-type&gt;&lt;dates&gt;&lt;year&gt;2011&lt;/year&gt;&lt;/dates&gt;&lt;rec-number&gt;326&lt;/rec-number&gt;&lt;last-updated-date format="utc"&gt;1386552622&lt;/last-updated-date&gt;&lt;electronic-resource-num&gt;10.1016/j.pain.2010.10.004&lt;/electronic-resource-num&gt;&lt;volume&gt;152&lt;/volume&gt;&lt;/record&gt;&lt;/Cite&gt;&lt;/EndNote&gt;</w:instrText>
      </w:r>
      <w:r w:rsidRPr="00AD7B00">
        <w:rPr>
          <w:rFonts w:cstheme="minorHAnsi"/>
          <w:lang w:val="en-US"/>
        </w:rPr>
        <w:fldChar w:fldCharType="separate"/>
      </w:r>
      <w:r w:rsidRPr="00AD7B00">
        <w:rPr>
          <w:rFonts w:cstheme="minorHAnsi"/>
          <w:lang w:val="en-US"/>
        </w:rPr>
        <w:t>(Bee et al., 2011)</w:t>
      </w:r>
      <w:r w:rsidRPr="00AD7B00">
        <w:rPr>
          <w:rFonts w:cstheme="minorHAnsi"/>
          <w:lang w:val="en-US"/>
        </w:rPr>
        <w:fldChar w:fldCharType="end"/>
      </w:r>
      <w:r w:rsidRPr="00AD7B00">
        <w:rPr>
          <w:rFonts w:cstheme="minorHAnsi"/>
          <w:lang w:val="en-US"/>
        </w:rPr>
        <w:t xml:space="preserve">. They could almost reverse </w:t>
      </w:r>
      <w:proofErr w:type="spellStart"/>
      <w:r w:rsidRPr="00AD7B00">
        <w:rPr>
          <w:rFonts w:cstheme="minorHAnsi"/>
          <w:lang w:val="en-US"/>
        </w:rPr>
        <w:t>tapentadol’s</w:t>
      </w:r>
      <w:proofErr w:type="spellEnd"/>
      <w:r w:rsidRPr="00AD7B00">
        <w:rPr>
          <w:rFonts w:cstheme="minorHAnsi"/>
          <w:lang w:val="en-US"/>
        </w:rPr>
        <w:t xml:space="preserve"> effect by either using spinal application of the selective </w:t>
      </w:r>
      <w:proofErr w:type="gramStart"/>
      <w:r w:rsidRPr="00AD7B00">
        <w:rPr>
          <w:rFonts w:cstheme="minorHAnsi"/>
          <w:lang w:val="en-US"/>
        </w:rPr>
        <w:t>α(</w:t>
      </w:r>
      <w:proofErr w:type="gramEnd"/>
      <w:r w:rsidRPr="00AD7B00">
        <w:rPr>
          <w:rFonts w:cstheme="minorHAnsi"/>
          <w:lang w:val="en-US"/>
        </w:rPr>
        <w:t xml:space="preserve">2)-adrenoceptor antagonist atipamezole, or alternatively the mu-opioid receptor antagonist naloxone. This supports the exclusive role of </w:t>
      </w:r>
      <w:proofErr w:type="spellStart"/>
      <w:r w:rsidRPr="00AD7B00">
        <w:rPr>
          <w:rFonts w:cstheme="minorHAnsi"/>
          <w:lang w:val="en-US"/>
        </w:rPr>
        <w:t>MOR</w:t>
      </w:r>
      <w:proofErr w:type="spellEnd"/>
      <w:r w:rsidRPr="00AD7B00">
        <w:rPr>
          <w:rFonts w:cstheme="minorHAnsi"/>
          <w:lang w:val="en-US"/>
        </w:rPr>
        <w:t>–</w:t>
      </w:r>
      <w:proofErr w:type="spellStart"/>
      <w:r w:rsidRPr="00AD7B00">
        <w:rPr>
          <w:rFonts w:cstheme="minorHAnsi"/>
          <w:lang w:val="en-US"/>
        </w:rPr>
        <w:t>NRI</w:t>
      </w:r>
      <w:proofErr w:type="spellEnd"/>
      <w:r w:rsidRPr="00AD7B00">
        <w:rPr>
          <w:rFonts w:cstheme="minorHAnsi"/>
          <w:lang w:val="en-US"/>
        </w:rPr>
        <w:t xml:space="preserve"> in the spinal cord in pain </w:t>
      </w:r>
      <w:proofErr w:type="spellStart"/>
      <w:r w:rsidRPr="00AD7B00">
        <w:rPr>
          <w:rFonts w:cstheme="minorHAnsi"/>
          <w:lang w:val="en-US"/>
        </w:rPr>
        <w:t>mediation</w:t>
      </w:r>
      <w:proofErr w:type="spellEnd"/>
      <w:r w:rsidRPr="00AD7B00">
        <w:rPr>
          <w:rFonts w:cstheme="minorHAnsi"/>
          <w:lang w:val="en-US"/>
        </w:rPr>
        <w:t>. Rahman et al. used 5HT2A antagonist (</w:t>
      </w:r>
      <w:proofErr w:type="spellStart"/>
      <w:r w:rsidRPr="00AD7B00">
        <w:rPr>
          <w:rFonts w:cstheme="minorHAnsi"/>
          <w:lang w:val="en-US"/>
        </w:rPr>
        <w:t>ritanserin</w:t>
      </w:r>
      <w:proofErr w:type="spellEnd"/>
      <w:r w:rsidRPr="00AD7B00">
        <w:rPr>
          <w:rFonts w:cstheme="minorHAnsi"/>
          <w:lang w:val="en-US"/>
        </w:rPr>
        <w:t xml:space="preserve"> and </w:t>
      </w:r>
      <w:proofErr w:type="spellStart"/>
      <w:r w:rsidRPr="00AD7B00">
        <w:rPr>
          <w:rFonts w:cstheme="minorHAnsi"/>
          <w:lang w:val="en-US"/>
        </w:rPr>
        <w:t>ketanserin</w:t>
      </w:r>
      <w:proofErr w:type="spellEnd"/>
      <w:r w:rsidRPr="00AD7B00">
        <w:rPr>
          <w:rFonts w:cstheme="minorHAnsi"/>
          <w:lang w:val="en-US"/>
        </w:rPr>
        <w:t xml:space="preserve">) and agonist (2,5-Dimethoxy-4-iodoamphetamine hydrochloride - DOI) and showed 5HT2A agonists had similar antinociceptive effects, whereas the agonist, DOI, produced excitatory effects, on spinal neuronal activity. Their data also thus support the pronociceptive role of 5HT2 receptors </w:t>
      </w:r>
      <w:r w:rsidRPr="00AD7B00">
        <w:rPr>
          <w:rFonts w:cstheme="minorHAnsi"/>
          <w:lang w:val="en-US"/>
        </w:rPr>
        <w:fldChar w:fldCharType="begin"/>
      </w:r>
      <w:r w:rsidRPr="00AD7B00">
        <w:rPr>
          <w:rFonts w:cstheme="minorHAnsi"/>
          <w:lang w:val="en-US"/>
        </w:rPr>
        <w:instrText xml:space="preserve"> ADDIN EN.CITE &lt;EndNote&gt;&lt;Cite  &gt;&lt;Author&gt;Rahman&lt;/Author&gt;&lt;Year&gt;2011&lt;/Year&gt;&lt;RecNum&gt;328&lt;/RecNum&gt;&lt;DisplayText&gt;(Rahman et al., 2011)&lt;/DisplayText&gt;&lt;record&gt;&lt;keywords/&gt;&lt;isbn&gt;0006-8993&lt;/isbn&gt;&lt;titles&gt;&lt;title&gt;A pronociceptive role for the 5- HT2 receptor on spinal nociceptive transmission: An in vivo electrophysiological study in the rat&lt;/title&gt;&lt;secondary-title&gt;Brain Research&lt;/secondary-title&gt;&lt;/titles&gt;&lt;pages&gt;29-36&lt;/pages&gt;&lt;contributors&gt;&lt;authors&gt;&lt;author&gt;Rahman, Wahida&lt;/author&gt;&lt;author&gt;Bannister, Kirsty&lt;/author&gt;&lt;author&gt;Bee, Lucy A.&lt;/author&gt;&lt;author&gt;Dickenson, Anthony H.&lt;/author&gt;&lt;/authors&gt;&lt;/contributors&gt;&lt;added-date format="utc"&gt;1386553371&lt;/added-date&gt;&lt;ref-type name="Journal Article"&gt;17&lt;/ref-type&gt;&lt;dates&gt;&lt;year&gt;2011&lt;/year&gt;&lt;/dates&gt;&lt;rec-number&gt;328&lt;/rec-number&gt;&lt;last-updated-date format="utc"&gt;1386553371&lt;/last-updated-date&gt;&lt;electronic-resource-num&gt;10.1016/j.brainres.2011.01.057&lt;/electronic-resource-num&gt;&lt;volume&gt;1382&lt;/volume&gt;&lt;/record&gt;&lt;/Cite&gt;&lt;/EndNote&gt;</w:instrText>
      </w:r>
      <w:r w:rsidRPr="00AD7B00">
        <w:rPr>
          <w:rFonts w:cstheme="minorHAnsi"/>
          <w:lang w:val="en-US"/>
        </w:rPr>
        <w:fldChar w:fldCharType="separate"/>
      </w:r>
      <w:r w:rsidRPr="00AD7B00">
        <w:rPr>
          <w:rFonts w:cstheme="minorHAnsi"/>
          <w:lang w:val="en-US"/>
        </w:rPr>
        <w:t>(Rahman et al., 2011)</w:t>
      </w:r>
      <w:r w:rsidRPr="00AD7B00">
        <w:rPr>
          <w:rFonts w:cstheme="minorHAnsi"/>
          <w:lang w:val="en-US"/>
        </w:rPr>
        <w:fldChar w:fldCharType="end"/>
      </w:r>
      <w:r w:rsidRPr="00AD7B00">
        <w:rPr>
          <w:rFonts w:cstheme="minorHAnsi"/>
        </w:rPr>
        <w:t>.</w:t>
      </w:r>
    </w:p>
    <w:p w14:paraId="4C468F63" w14:textId="77777777" w:rsidR="007B0005" w:rsidRDefault="007B0005" w:rsidP="00AF1A96">
      <w:pPr>
        <w:pStyle w:val="Heading5"/>
        <w:rPr>
          <w:rFonts w:ascii="Cambria" w:eastAsia="Cambria" w:hAnsi="Cambria" w:cstheme="minorHAnsi"/>
          <w:b/>
          <w:bCs/>
          <w:lang w:val="en-US"/>
        </w:rPr>
      </w:pPr>
      <w:bookmarkStart w:id="72" w:name="_Toc31"/>
    </w:p>
    <w:p w14:paraId="0C4F4174" w14:textId="49AEA6EC" w:rsidR="00AF1A96" w:rsidRPr="00AD7B00" w:rsidRDefault="00AF1A96" w:rsidP="00AF1A96">
      <w:pPr>
        <w:pStyle w:val="Heading5"/>
        <w:rPr>
          <w:rFonts w:ascii="Cambria" w:hAnsi="Cambria" w:cstheme="minorHAnsi"/>
          <w:b/>
          <w:bCs/>
        </w:rPr>
      </w:pPr>
      <w:r w:rsidRPr="00AD7B00">
        <w:rPr>
          <w:rFonts w:ascii="Cambria" w:eastAsia="Cambria" w:hAnsi="Cambria" w:cstheme="minorHAnsi"/>
          <w:b/>
          <w:bCs/>
          <w:lang w:val="en-US"/>
        </w:rPr>
        <w:t>1.2.2.2d Increased Thalamic Vascularity</w:t>
      </w:r>
      <w:bookmarkEnd w:id="72"/>
    </w:p>
    <w:p w14:paraId="578EC07A" w14:textId="77777777" w:rsidR="00AF1A96" w:rsidRPr="00AD7B00" w:rsidRDefault="00AF1A96" w:rsidP="00AF1A96">
      <w:pPr>
        <w:pStyle w:val="BodyA"/>
        <w:rPr>
          <w:rFonts w:cstheme="minorHAnsi"/>
        </w:rPr>
      </w:pPr>
    </w:p>
    <w:p w14:paraId="1A7AF126" w14:textId="77777777" w:rsidR="00AF1A96" w:rsidRPr="00AD7B00" w:rsidRDefault="00AF1A96" w:rsidP="00AF1A96">
      <w:pPr>
        <w:pStyle w:val="BodyA"/>
        <w:spacing w:line="480" w:lineRule="auto"/>
        <w:jc w:val="both"/>
        <w:rPr>
          <w:rFonts w:cstheme="minorHAnsi"/>
        </w:rPr>
      </w:pPr>
      <w:proofErr w:type="spellStart"/>
      <w:r w:rsidRPr="00AD7B00">
        <w:rPr>
          <w:rFonts w:cstheme="minorHAnsi"/>
          <w:lang w:val="en-US"/>
        </w:rPr>
        <w:t>Selvarajah</w:t>
      </w:r>
      <w:proofErr w:type="spellEnd"/>
      <w:r w:rsidRPr="00AD7B00">
        <w:rPr>
          <w:rFonts w:cstheme="minorHAnsi"/>
          <w:lang w:val="en-US"/>
        </w:rPr>
        <w:t xml:space="preserve"> et al. conducted magnetic resonance perfusion imaging of the thalamus and caudate nucleus in type 1-diabetes patients. They looked into microvascular perfusion characteristics including relative cerebral blood volume [</w:t>
      </w:r>
      <w:proofErr w:type="spellStart"/>
      <w:r w:rsidRPr="00AD7B00">
        <w:rPr>
          <w:rFonts w:cstheme="minorHAnsi"/>
          <w:lang w:val="en-US"/>
        </w:rPr>
        <w:t>rCBV</w:t>
      </w:r>
      <w:proofErr w:type="spellEnd"/>
      <w:r w:rsidRPr="00AD7B00">
        <w:rPr>
          <w:rFonts w:cstheme="minorHAnsi"/>
          <w:lang w:val="en-US"/>
        </w:rPr>
        <w:t>], flow [</w:t>
      </w:r>
      <w:proofErr w:type="spellStart"/>
      <w:r w:rsidRPr="00AD7B00">
        <w:rPr>
          <w:rFonts w:cstheme="minorHAnsi"/>
          <w:lang w:val="en-US"/>
        </w:rPr>
        <w:t>rCBF</w:t>
      </w:r>
      <w:proofErr w:type="spellEnd"/>
      <w:r w:rsidRPr="00AD7B00">
        <w:rPr>
          <w:rFonts w:cstheme="minorHAnsi"/>
          <w:lang w:val="en-US"/>
        </w:rPr>
        <w:t>], and transit time [</w:t>
      </w:r>
      <w:proofErr w:type="spellStart"/>
      <w:r w:rsidRPr="00AD7B00">
        <w:rPr>
          <w:rFonts w:cstheme="minorHAnsi"/>
          <w:lang w:val="en-US"/>
        </w:rPr>
        <w:t>ttFM</w:t>
      </w:r>
      <w:proofErr w:type="spellEnd"/>
      <w:r w:rsidRPr="00AD7B00">
        <w:rPr>
          <w:rFonts w:cstheme="minorHAnsi"/>
          <w:lang w:val="en-US"/>
        </w:rPr>
        <w:t xml:space="preserve">]). They found significantly greater thalamic </w:t>
      </w:r>
      <w:proofErr w:type="spellStart"/>
      <w:r w:rsidRPr="00AD7B00">
        <w:rPr>
          <w:rFonts w:cstheme="minorHAnsi"/>
          <w:lang w:val="en-US"/>
        </w:rPr>
        <w:t>rCBV</w:t>
      </w:r>
      <w:proofErr w:type="spellEnd"/>
      <w:r w:rsidRPr="00AD7B00">
        <w:rPr>
          <w:rFonts w:cstheme="minorHAnsi"/>
          <w:lang w:val="en-US"/>
        </w:rPr>
        <w:t xml:space="preserve"> and the longest </w:t>
      </w:r>
      <w:proofErr w:type="spellStart"/>
      <w:r w:rsidRPr="00AD7B00">
        <w:rPr>
          <w:rFonts w:cstheme="minorHAnsi"/>
          <w:lang w:val="en-US"/>
        </w:rPr>
        <w:t>ttFM</w:t>
      </w:r>
      <w:proofErr w:type="spellEnd"/>
      <w:r w:rsidRPr="00AD7B00">
        <w:rPr>
          <w:rFonts w:cstheme="minorHAnsi"/>
          <w:lang w:val="en-US"/>
        </w:rPr>
        <w:t xml:space="preserve"> (s) in patients with painful </w:t>
      </w:r>
      <w:proofErr w:type="spellStart"/>
      <w:r w:rsidRPr="00AD7B00">
        <w:rPr>
          <w:rFonts w:cstheme="minorHAnsi"/>
          <w:lang w:val="en-US"/>
        </w:rPr>
        <w:t>DPN</w:t>
      </w:r>
      <w:proofErr w:type="spellEnd"/>
      <w:r w:rsidRPr="00AD7B00">
        <w:rPr>
          <w:rFonts w:cstheme="minorHAnsi"/>
          <w:lang w:val="en-US"/>
        </w:rPr>
        <w:t xml:space="preserve"> </w:t>
      </w:r>
      <w:r w:rsidRPr="00AD7B00">
        <w:rPr>
          <w:rFonts w:cstheme="minorHAnsi"/>
          <w:lang w:val="en-US"/>
        </w:rPr>
        <w:fldChar w:fldCharType="begin"/>
      </w:r>
      <w:r w:rsidRPr="00AD7B00">
        <w:rPr>
          <w:rFonts w:cstheme="minorHAnsi"/>
          <w:lang w:val="en-US"/>
        </w:rPr>
        <w:instrText xml:space="preserve"> ADDIN EN.CITE &lt;EndNote&gt;&lt;Cite  &gt;&lt;Author&gt;Selvarajah&lt;/Author&gt;&lt;Year&gt;2011&lt;/Year&gt;&lt;RecNum&gt;79&lt;/RecNum&gt;&lt;DisplayText&gt;(Selvarajah et al., 2011)&lt;/DisplayText&gt;&lt;record&gt;&lt;keywords/&gt;&lt;isbn&gt;0149-5992&lt;/isbn&gt;&lt;titles&gt;&lt;title&gt;Microvascular perfusion abnormalities of the Thalamus in painful but not painless diabetic polyneuropathy: a clue to the pathogenesis of pain in type 1 diabetes&lt;/title&gt;&lt;secondary-title&gt;Diabetes care&lt;/secondary-title&gt;&lt;/titles&gt;&lt;pages&gt;718&lt;/pages&gt;&lt;number&gt;3&lt;/number&gt;&lt;contributors&gt;&lt;authors&gt;&lt;author&gt;Selvarajah, Dinesh&lt;/author&gt;&lt;author&gt;Wilkinson, Iain D.&lt;/author&gt;&lt;author&gt;Gandhi, Rajiv&lt;/author&gt;&lt;author&gt;Griffiths, Paul D.&lt;/author&gt;&lt;author&gt;Tesfaye, Solomon&lt;/author&gt;&lt;/authors&gt;&lt;/contributors&gt;&lt;added-date format="utc"&gt;1383239541&lt;/added-date&gt;&lt;ref-type name="Journal Article"&gt;17&lt;/ref-type&gt;&lt;dates&gt;&lt;year&gt;2011&lt;/year&gt;&lt;/dates&gt;&lt;rec-number&gt;79&lt;/rec-number&gt;&lt;last-updated-date format="utc"&gt;1383240559&lt;/last-updated-date&gt;&lt;electronic-resource-num&gt;10.2337/dc10-1550&lt;/electronic-resource-num&gt;&lt;volume&gt;34&lt;/volume&gt;&lt;/record&gt;&lt;/Cite&gt;&lt;/EndNote&gt;</w:instrText>
      </w:r>
      <w:r w:rsidRPr="00AD7B00">
        <w:rPr>
          <w:rFonts w:cstheme="minorHAnsi"/>
          <w:lang w:val="en-US"/>
        </w:rPr>
        <w:fldChar w:fldCharType="separate"/>
      </w:r>
      <w:r w:rsidRPr="00AD7B00">
        <w:rPr>
          <w:rFonts w:cstheme="minorHAnsi"/>
          <w:lang w:val="en-US"/>
        </w:rPr>
        <w:t>(Selvarajah et al., 2011)</w:t>
      </w:r>
      <w:r w:rsidRPr="00AD7B00">
        <w:rPr>
          <w:rFonts w:cstheme="minorHAnsi"/>
          <w:lang w:val="en-US"/>
        </w:rPr>
        <w:fldChar w:fldCharType="end"/>
      </w:r>
      <w:r w:rsidRPr="00AD7B00">
        <w:rPr>
          <w:rFonts w:cstheme="minorHAnsi"/>
        </w:rPr>
        <w:t>.</w:t>
      </w:r>
    </w:p>
    <w:p w14:paraId="7981F6B3" w14:textId="77777777" w:rsidR="00AF1A96" w:rsidRPr="00AD7B00" w:rsidRDefault="00AF1A96" w:rsidP="00AF1A96">
      <w:pPr>
        <w:pStyle w:val="Heading2"/>
        <w:rPr>
          <w:rFonts w:cstheme="minorHAnsi"/>
          <w:i w:val="0"/>
          <w:iCs w:val="0"/>
          <w:sz w:val="24"/>
          <w:szCs w:val="24"/>
        </w:rPr>
      </w:pPr>
      <w:bookmarkStart w:id="73" w:name="_Toc32"/>
      <w:r w:rsidRPr="00AD7B00">
        <w:rPr>
          <w:rFonts w:cstheme="minorHAnsi"/>
          <w:color w:val="231F20"/>
          <w:sz w:val="24"/>
          <w:szCs w:val="24"/>
          <w:u w:color="231F20"/>
        </w:rPr>
        <w:t xml:space="preserve"> </w:t>
      </w:r>
      <w:bookmarkStart w:id="74" w:name="_Toc6093005"/>
      <w:r w:rsidRPr="00AD7B00">
        <w:rPr>
          <w:rFonts w:eastAsia="Cambria" w:cstheme="minorHAnsi"/>
          <w:i w:val="0"/>
          <w:iCs w:val="0"/>
          <w:color w:val="231F20"/>
          <w:sz w:val="24"/>
          <w:szCs w:val="24"/>
          <w:u w:color="231F20"/>
        </w:rPr>
        <w:t xml:space="preserve">1.3 </w:t>
      </w:r>
      <w:r w:rsidRPr="00AD7B00">
        <w:rPr>
          <w:rFonts w:eastAsia="Cambria" w:cstheme="minorHAnsi"/>
          <w:i w:val="0"/>
          <w:iCs w:val="0"/>
          <w:sz w:val="24"/>
          <w:szCs w:val="24"/>
          <w:lang w:val="en-US"/>
        </w:rPr>
        <w:t>Summary</w:t>
      </w:r>
      <w:bookmarkEnd w:id="73"/>
      <w:bookmarkEnd w:id="74"/>
    </w:p>
    <w:p w14:paraId="09E21E34" w14:textId="77777777" w:rsidR="00AF1A96" w:rsidRPr="00AD7B00" w:rsidRDefault="00AF1A96" w:rsidP="00AF1A96">
      <w:pPr>
        <w:pStyle w:val="BodyA"/>
        <w:rPr>
          <w:rFonts w:cstheme="minorHAnsi"/>
        </w:rPr>
      </w:pPr>
    </w:p>
    <w:p w14:paraId="42AD5707" w14:textId="7DCB9E96" w:rsidR="00AF1A96" w:rsidRPr="00AD7B00" w:rsidRDefault="00AF1A96" w:rsidP="00AF1A96">
      <w:pPr>
        <w:pStyle w:val="BodyA"/>
        <w:spacing w:line="480" w:lineRule="auto"/>
        <w:jc w:val="both"/>
        <w:rPr>
          <w:rFonts w:cstheme="minorHAnsi"/>
        </w:rPr>
      </w:pPr>
      <w:r w:rsidRPr="00AD7B00">
        <w:rPr>
          <w:rFonts w:cstheme="minorHAnsi"/>
          <w:lang w:val="en-US"/>
        </w:rPr>
        <w:t>There is increasing prevalence of diabetes acro</w:t>
      </w:r>
      <w:r w:rsidR="001B3F98">
        <w:rPr>
          <w:rFonts w:cstheme="minorHAnsi"/>
          <w:lang w:val="en-US"/>
        </w:rPr>
        <w:t>ss the world due</w:t>
      </w:r>
      <w:r w:rsidR="001B3F98" w:rsidRPr="00AD7B00">
        <w:rPr>
          <w:rFonts w:cstheme="minorHAnsi"/>
          <w:lang w:val="en-US"/>
        </w:rPr>
        <w:t xml:space="preserve"> </w:t>
      </w:r>
      <w:r w:rsidR="001B3F98">
        <w:rPr>
          <w:rFonts w:cstheme="minorHAnsi"/>
          <w:lang w:val="en-US"/>
        </w:rPr>
        <w:t xml:space="preserve">in part </w:t>
      </w:r>
      <w:r w:rsidR="001B3F98" w:rsidRPr="00AD7B00">
        <w:rPr>
          <w:rFonts w:cstheme="minorHAnsi"/>
          <w:lang w:val="en-US"/>
        </w:rPr>
        <w:t>to</w:t>
      </w:r>
      <w:r w:rsidRPr="00AD7B00">
        <w:rPr>
          <w:rFonts w:cstheme="minorHAnsi"/>
          <w:lang w:val="en-US"/>
        </w:rPr>
        <w:t xml:space="preserve"> changing dietary habits and a sedentary life style. This has resulted in increasing incidence of micro-and macro-vascular complications, which has huge impact on physical, social, mental and financial wellbeing of diabetes patients. Studies have shown established neuropathy correlates well with the incidence of foot ulceration, amputation rates and even mortality. Hence there is need for early diagnosis of neuropathy, at a time when it is potentially treatable and reversible. New point-of-care neuropathy diagnostic devices could be extremely valuable in this clinical context.</w:t>
      </w:r>
    </w:p>
    <w:p w14:paraId="0EF092D8" w14:textId="4C4A2901" w:rsidR="00AF1A96" w:rsidRPr="00AD7B00" w:rsidRDefault="00AF1A96" w:rsidP="00AF1A96">
      <w:pPr>
        <w:pStyle w:val="BodyA"/>
        <w:spacing w:line="480" w:lineRule="auto"/>
        <w:jc w:val="both"/>
        <w:rPr>
          <w:rFonts w:cstheme="minorHAnsi"/>
        </w:rPr>
      </w:pPr>
      <w:r w:rsidRPr="00AD7B00">
        <w:rPr>
          <w:rFonts w:cstheme="minorHAnsi"/>
          <w:lang w:val="en-US"/>
        </w:rPr>
        <w:t xml:space="preserve">Painful </w:t>
      </w:r>
      <w:proofErr w:type="spellStart"/>
      <w:r w:rsidRPr="00AD7B00">
        <w:rPr>
          <w:rFonts w:cstheme="minorHAnsi"/>
          <w:lang w:val="en-US"/>
        </w:rPr>
        <w:t>DPN</w:t>
      </w:r>
      <w:proofErr w:type="spellEnd"/>
      <w:r w:rsidRPr="00AD7B00">
        <w:rPr>
          <w:rFonts w:cstheme="minorHAnsi"/>
          <w:lang w:val="en-US"/>
        </w:rPr>
        <w:t xml:space="preserve"> is an incapacitating condition affecting both physical and mental health.  We also </w:t>
      </w:r>
      <w:proofErr w:type="spellStart"/>
      <w:r w:rsidRPr="00AD7B00">
        <w:rPr>
          <w:rFonts w:cstheme="minorHAnsi"/>
          <w:lang w:val="en-US"/>
        </w:rPr>
        <w:t>recognise</w:t>
      </w:r>
      <w:proofErr w:type="spellEnd"/>
      <w:r w:rsidRPr="00AD7B00">
        <w:rPr>
          <w:rFonts w:cstheme="minorHAnsi"/>
          <w:lang w:val="en-US"/>
        </w:rPr>
        <w:t xml:space="preserve"> there is a strong relationship between the severity of painful </w:t>
      </w:r>
      <w:proofErr w:type="spellStart"/>
      <w:r w:rsidRPr="00AD7B00">
        <w:rPr>
          <w:rFonts w:cstheme="minorHAnsi"/>
          <w:lang w:val="en-US"/>
        </w:rPr>
        <w:t>DPN</w:t>
      </w:r>
      <w:proofErr w:type="spellEnd"/>
      <w:r w:rsidRPr="00AD7B00">
        <w:rPr>
          <w:rFonts w:cstheme="minorHAnsi"/>
          <w:lang w:val="en-US"/>
        </w:rPr>
        <w:t xml:space="preserve"> and psychological wellbeing, which has a negative impact on the overall quality of life and sleep. Treatment options for painful symptoms are limited and only partially effective. Unfortunately, despite considerable research, the pathogenesis of painful </w:t>
      </w:r>
      <w:proofErr w:type="spellStart"/>
      <w:r w:rsidRPr="00AD7B00">
        <w:rPr>
          <w:rFonts w:cstheme="minorHAnsi"/>
          <w:lang w:val="en-US"/>
        </w:rPr>
        <w:t>DPN</w:t>
      </w:r>
      <w:proofErr w:type="spellEnd"/>
      <w:r w:rsidRPr="00AD7B00">
        <w:rPr>
          <w:rFonts w:cstheme="minorHAnsi"/>
          <w:lang w:val="en-US"/>
        </w:rPr>
        <w:t xml:space="preserve"> remains far from being completely understood. We do not know why some patients with </w:t>
      </w:r>
      <w:proofErr w:type="spellStart"/>
      <w:r w:rsidRPr="00AD7B00">
        <w:rPr>
          <w:rFonts w:cstheme="minorHAnsi"/>
          <w:lang w:val="en-US"/>
        </w:rPr>
        <w:t>DPN</w:t>
      </w:r>
      <w:proofErr w:type="spellEnd"/>
      <w:r w:rsidRPr="00AD7B00">
        <w:rPr>
          <w:rFonts w:cstheme="minorHAnsi"/>
          <w:lang w:val="en-US"/>
        </w:rPr>
        <w:t xml:space="preserve"> will develop painful symptoms and others with the same degree of </w:t>
      </w:r>
      <w:r w:rsidR="0031383C" w:rsidRPr="00AD7B00">
        <w:rPr>
          <w:rFonts w:cstheme="minorHAnsi"/>
          <w:lang w:val="en-US"/>
        </w:rPr>
        <w:t>neuropathy do</w:t>
      </w:r>
      <w:r w:rsidRPr="00AD7B00">
        <w:rPr>
          <w:rFonts w:cstheme="minorHAnsi"/>
          <w:lang w:val="en-US"/>
        </w:rPr>
        <w:t xml:space="preserve"> not. </w:t>
      </w:r>
      <w:r w:rsidRPr="00AD7B00">
        <w:rPr>
          <w:rFonts w:cstheme="minorHAnsi"/>
          <w:lang w:val="en-US"/>
        </w:rPr>
        <w:lastRenderedPageBreak/>
        <w:t xml:space="preserve">Various previous studies, both in animal models and humans have produced inconsistent and sometimes non-reproducible results. The reasons for these inconsistent results could be many, but lack of careful </w:t>
      </w:r>
      <w:proofErr w:type="spellStart"/>
      <w:r w:rsidRPr="00AD7B00">
        <w:rPr>
          <w:rFonts w:cstheme="minorHAnsi"/>
          <w:lang w:val="en-US"/>
        </w:rPr>
        <w:t>standardised</w:t>
      </w:r>
      <w:proofErr w:type="spellEnd"/>
      <w:r w:rsidRPr="00AD7B00">
        <w:rPr>
          <w:rFonts w:cstheme="minorHAnsi"/>
          <w:lang w:val="en-US"/>
        </w:rPr>
        <w:t xml:space="preserve"> </w:t>
      </w:r>
      <w:proofErr w:type="spellStart"/>
      <w:r w:rsidRPr="00AD7B00">
        <w:rPr>
          <w:rFonts w:cstheme="minorHAnsi"/>
          <w:lang w:val="en-US"/>
        </w:rPr>
        <w:t>characterisation</w:t>
      </w:r>
      <w:proofErr w:type="spellEnd"/>
      <w:r w:rsidRPr="00AD7B00">
        <w:rPr>
          <w:rFonts w:cstheme="minorHAnsi"/>
          <w:lang w:val="en-US"/>
        </w:rPr>
        <w:t xml:space="preserve"> of the pain phenotype might be one. It is increasingly being </w:t>
      </w:r>
      <w:proofErr w:type="spellStart"/>
      <w:r w:rsidRPr="00AD7B00">
        <w:rPr>
          <w:rFonts w:cstheme="minorHAnsi"/>
          <w:lang w:val="en-US"/>
        </w:rPr>
        <w:t>recognised</w:t>
      </w:r>
      <w:proofErr w:type="spellEnd"/>
      <w:r w:rsidRPr="00AD7B00">
        <w:rPr>
          <w:rFonts w:cstheme="minorHAnsi"/>
          <w:lang w:val="en-US"/>
        </w:rPr>
        <w:t xml:space="preserve"> that there are various pain sub phenotypes and it might be important to delineate them </w:t>
      </w:r>
      <w:r w:rsidR="0031383C" w:rsidRPr="00AD7B00">
        <w:rPr>
          <w:rFonts w:cstheme="minorHAnsi"/>
          <w:lang w:val="en-US"/>
        </w:rPr>
        <w:t>before therapeutic</w:t>
      </w:r>
      <w:r w:rsidRPr="00AD7B00">
        <w:rPr>
          <w:rFonts w:cstheme="minorHAnsi"/>
          <w:lang w:val="en-US"/>
        </w:rPr>
        <w:t xml:space="preserve"> trials.  The Pain in Neuropathy Study (</w:t>
      </w:r>
      <w:proofErr w:type="spellStart"/>
      <w:r w:rsidRPr="00AD7B00">
        <w:rPr>
          <w:rFonts w:cstheme="minorHAnsi"/>
          <w:lang w:val="en-US"/>
        </w:rPr>
        <w:t>PiNS</w:t>
      </w:r>
      <w:proofErr w:type="spellEnd"/>
      <w:r w:rsidRPr="00AD7B00">
        <w:rPr>
          <w:rFonts w:cstheme="minorHAnsi"/>
          <w:lang w:val="en-US"/>
        </w:rPr>
        <w:t xml:space="preserve">), which was a cross-sectional observational study determining the somatosensory phenotype of painful and painless diabetic neuropathy identified this </w:t>
      </w:r>
      <w:r w:rsidRPr="00AD7B00">
        <w:rPr>
          <w:rFonts w:cstheme="minorHAnsi"/>
          <w:lang w:val="en-US"/>
        </w:rPr>
        <w:fldChar w:fldCharType="begin"/>
      </w:r>
      <w:r w:rsidRPr="00AD7B00">
        <w:rPr>
          <w:rFonts w:cstheme="minorHAnsi"/>
          <w:lang w:val="en-US"/>
        </w:rPr>
        <w:instrText xml:space="preserve"> ADDIN EN.CITE &lt;EndNote&gt;&lt;Cite  &gt;&lt;Author&gt;Themistocleous&lt;/Author&gt;&lt;Year&gt;2016&lt;/Year&gt;&lt;RecNum&gt;537&lt;/RecNum&gt;&lt;DisplayText&gt;(Themistocleous et al., 2016)&lt;/DisplayText&gt;&lt;record&gt;&lt;dates&gt;&lt;pub-dates&gt;&lt;date&gt;May&lt;/date&gt;&lt;/pub-dates&gt;&lt;year&gt;2016&lt;/year&gt;&lt;/dates&gt;&lt;keywords&gt;&lt;keyword&gt;Aged&lt;/keyword&gt;&lt;keyword&gt;Cross-Sectional Studies&lt;/keyword&gt;&lt;keyword&gt;Diabetic Neuropathies&lt;/keyword&gt;&lt;keyword&gt;Electric Stimulation&lt;/keyword&gt;&lt;keyword&gt;Female&lt;/keyword&gt;&lt;keyword&gt;Humans&lt;/keyword&gt;&lt;keyword&gt;Male&lt;/keyword&gt;&lt;keyword&gt;Middle Aged&lt;/keyword&gt;&lt;keyword&gt;Nerve Fibers&lt;/keyword&gt;&lt;keyword&gt;Neural Conduction&lt;/keyword&gt;&lt;keyword&gt;Neuralgia&lt;/keyword&gt;&lt;keyword&gt;Neurologic Examination&lt;/keyword&gt;&lt;keyword&gt;Phenotype&lt;/keyword&gt;&lt;keyword&gt;Sensation&lt;/keyword&gt;&lt;keyword&gt;Severity of Illness Index&lt;/keyword&gt;&lt;keyword&gt;Skin&lt;/keyword&gt;&lt;keyword&gt;Surveys and Questionnaires&lt;/keyword&gt;&lt;/keywords&gt;&lt;urls&gt;&lt;related-urls&gt;&lt;url&gt;https://www.ncbi.nlm.nih.gov/pubmed/27088890&lt;/url&gt;&lt;/related-urls&gt;&lt;/urls&gt;&lt;isbn&gt;1872-6623&lt;/isbn&gt;&lt;custom2&gt;PMC4834814&lt;/custom2&gt;&lt;titles&gt;&lt;title&gt;The Pain in Neuropathy Study (PiNS): a cross-sectional observational study determining the somatosensory phenotype of painful and painless diabetic neuropathy&lt;/title&gt;&lt;secondary-title&gt;Pain&lt;/secondary-title&gt;&lt;/titles&gt;&lt;pages&gt;1132-45&lt;/pages&gt;&lt;number&gt;5&lt;/number&gt;&lt;contributors&gt;&lt;authors&gt;&lt;author&gt;Themistocleous, A. C.&lt;/author&gt;&lt;author&gt;Ramirez, J. D.&lt;/author&gt;&lt;author&gt;Shillo, P. R.&lt;/author&gt;&lt;author&gt;Lees, J. G.&lt;/author&gt;&lt;author&gt;Selvarajah, D.&lt;/author&gt;&lt;author&gt;Orengo, C.&lt;/author&gt;&lt;author&gt;Tesfaye, S.&lt;/author&gt;&lt;author&gt;Rice, A. S.&lt;/author&gt;&lt;author&gt;Bennett, D. L.&lt;/author&gt;&lt;/authors&gt;&lt;/contributors&gt;&lt;language&gt;eng&lt;/language&gt;&lt;added-date format="utc"&gt;1511396470&lt;/added-date&gt;&lt;ref-type name="Journal Article"&gt;17&lt;/ref-type&gt;&lt;rec-number&gt;537&lt;/rec-number&gt;&lt;last-updated-date format="utc"&gt;1511396470&lt;/last-updated-date&gt;&lt;accession-num&gt;27088890&lt;/accession-num&gt;&lt;electronic-resource-num&gt;10.1097/j.pain.0000000000000491&lt;/electronic-resource-num&gt;&lt;volume&gt;157&lt;/volume&gt;&lt;/record&gt;&lt;/Cite&gt;&lt;/EndNote&gt;</w:instrText>
      </w:r>
      <w:r w:rsidRPr="00AD7B00">
        <w:rPr>
          <w:rFonts w:cstheme="minorHAnsi"/>
          <w:lang w:val="en-US"/>
        </w:rPr>
        <w:fldChar w:fldCharType="separate"/>
      </w:r>
      <w:r w:rsidRPr="00AD7B00">
        <w:rPr>
          <w:rFonts w:cstheme="minorHAnsi"/>
          <w:lang w:val="en-US"/>
        </w:rPr>
        <w:t>(Themistocleous et al., 2016)</w:t>
      </w:r>
      <w:r w:rsidRPr="00AD7B00">
        <w:rPr>
          <w:rFonts w:cstheme="minorHAnsi"/>
          <w:lang w:val="en-US"/>
        </w:rPr>
        <w:fldChar w:fldCharType="end"/>
      </w:r>
      <w:r w:rsidRPr="00AD7B00">
        <w:rPr>
          <w:rFonts w:cstheme="minorHAnsi"/>
          <w:lang w:val="en-US"/>
        </w:rPr>
        <w:t xml:space="preserve">. There is emerging evidence to support early involvement of central pain processing </w:t>
      </w:r>
      <w:proofErr w:type="spellStart"/>
      <w:r w:rsidRPr="00AD7B00">
        <w:rPr>
          <w:rFonts w:cstheme="minorHAnsi"/>
          <w:lang w:val="en-US"/>
        </w:rPr>
        <w:t>centres</w:t>
      </w:r>
      <w:proofErr w:type="spellEnd"/>
      <w:r w:rsidRPr="00AD7B00">
        <w:rPr>
          <w:rFonts w:cstheme="minorHAnsi"/>
          <w:lang w:val="en-US"/>
        </w:rPr>
        <w:t xml:space="preserve"> in painful </w:t>
      </w:r>
      <w:proofErr w:type="spellStart"/>
      <w:r w:rsidRPr="00AD7B00">
        <w:rPr>
          <w:rFonts w:cstheme="minorHAnsi"/>
          <w:lang w:val="en-US"/>
        </w:rPr>
        <w:t>DPN</w:t>
      </w:r>
      <w:proofErr w:type="spellEnd"/>
      <w:r w:rsidRPr="00AD7B00">
        <w:rPr>
          <w:rFonts w:cstheme="minorHAnsi"/>
          <w:lang w:val="en-US"/>
        </w:rPr>
        <w:t xml:space="preserve"> </w:t>
      </w:r>
      <w:r w:rsidR="0031383C" w:rsidRPr="00AD7B00">
        <w:rPr>
          <w:rFonts w:cstheme="minorHAnsi"/>
          <w:lang w:val="en-US"/>
        </w:rPr>
        <w:fldChar w:fldCharType="begin">
          <w:fldData xml:space="preserve">PEVuZE5vdGU+PENpdGU+PEF1dGhvcj5FYXRvbjwvQXV0aG9yPjxZZWFyPjIwMDE8L1llYXI+PElE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</w:fldData>
        </w:fldChar>
      </w:r>
      <w:r w:rsidR="0031383C" w:rsidRPr="00AD7B00">
        <w:rPr>
          <w:rFonts w:cstheme="minorHAnsi"/>
          <w:lang w:val="en-US"/>
        </w:rPr>
        <w:instrText xml:space="preserve"> ADDIN EN.CITE </w:instrText>
      </w:r>
      <w:r w:rsidR="0031383C" w:rsidRPr="00AD7B00">
        <w:rPr>
          <w:rFonts w:cstheme="minorHAnsi"/>
          <w:lang w:val="en-US"/>
        </w:rPr>
        <w:fldChar w:fldCharType="begin">
          <w:fldData xml:space="preserve">PEVuZE5vdGU+PENpdGU+PEF1dGhvcj5FYXRvbjwvQXV0aG9yPjxZZWFyPjIwMDE8L1llYXI+PElE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</w:fldData>
        </w:fldChar>
      </w:r>
      <w:r w:rsidR="0031383C" w:rsidRPr="00AD7B00">
        <w:rPr>
          <w:rFonts w:cstheme="minorHAnsi"/>
          <w:lang w:val="en-US"/>
        </w:rPr>
        <w:instrText xml:space="preserve"> ADDIN EN.CITE.DATA </w:instrText>
      </w:r>
      <w:r w:rsidR="0031383C" w:rsidRPr="00AD7B00">
        <w:rPr>
          <w:rFonts w:cstheme="minorHAnsi"/>
          <w:lang w:val="en-US"/>
        </w:rPr>
      </w:r>
      <w:r w:rsidR="0031383C" w:rsidRPr="00AD7B00">
        <w:rPr>
          <w:rFonts w:cstheme="minorHAnsi"/>
          <w:lang w:val="en-US"/>
        </w:rPr>
        <w:fldChar w:fldCharType="end"/>
      </w:r>
      <w:r w:rsidR="0031383C" w:rsidRPr="00AD7B00">
        <w:rPr>
          <w:rFonts w:cstheme="minorHAnsi"/>
          <w:lang w:val="en-US"/>
        </w:rPr>
      </w:r>
      <w:r w:rsidR="0031383C" w:rsidRPr="00AD7B00">
        <w:rPr>
          <w:rFonts w:cstheme="minorHAnsi"/>
          <w:lang w:val="en-US"/>
        </w:rPr>
        <w:fldChar w:fldCharType="separate"/>
      </w:r>
      <w:r w:rsidR="0031383C" w:rsidRPr="00AD7B00">
        <w:rPr>
          <w:rFonts w:cstheme="minorHAnsi"/>
          <w:noProof/>
          <w:lang w:val="en-US"/>
        </w:rPr>
        <w:t>(Eaton et al., 2001, Selvarajah et al., 2008)</w:t>
      </w:r>
      <w:r w:rsidR="0031383C" w:rsidRPr="00AD7B00">
        <w:rPr>
          <w:rFonts w:cstheme="minorHAnsi"/>
          <w:lang w:val="en-US"/>
        </w:rPr>
        <w:fldChar w:fldCharType="end"/>
      </w:r>
      <w:r w:rsidRPr="00AD7B00">
        <w:rPr>
          <w:rFonts w:cstheme="minorHAnsi"/>
          <w:lang w:val="en-US"/>
        </w:rPr>
        <w:t>. Future advances in the neuroimaging modalities hopefully will help us to ascertain early changes more accurately and to develop strategies to prevent them.</w:t>
      </w:r>
    </w:p>
    <w:p w14:paraId="3E3E2024" w14:textId="77777777" w:rsidR="00AF1A96" w:rsidRPr="00AD7B00" w:rsidRDefault="00AF1A96" w:rsidP="00AF1A96">
      <w:pPr>
        <w:pStyle w:val="BodyA"/>
        <w:spacing w:line="480" w:lineRule="auto"/>
        <w:jc w:val="both"/>
        <w:rPr>
          <w:rFonts w:cstheme="minorHAnsi"/>
        </w:rPr>
      </w:pPr>
      <w:r w:rsidRPr="00AD7B00">
        <w:rPr>
          <w:rFonts w:cstheme="minorHAnsi"/>
          <w:lang w:val="en-US"/>
        </w:rPr>
        <w:t xml:space="preserve">Painful symptoms are mainly assessed by clinical history and with the occasional use of questionnaires. Although, this is sufficient to diagnose painful </w:t>
      </w:r>
      <w:proofErr w:type="spellStart"/>
      <w:r w:rsidRPr="00AD7B00">
        <w:rPr>
          <w:rFonts w:cstheme="minorHAnsi"/>
          <w:lang w:val="en-US"/>
        </w:rPr>
        <w:t>DPN</w:t>
      </w:r>
      <w:proofErr w:type="spellEnd"/>
      <w:r w:rsidRPr="00AD7B00">
        <w:rPr>
          <w:rFonts w:cstheme="minorHAnsi"/>
          <w:lang w:val="en-US"/>
        </w:rPr>
        <w:t xml:space="preserve"> in the majority of patients, these assessments are not robust enough for use in clinical trials of new therapeutic agents. Hence there is need for validated objective biomarkers which might also give us a better insight into the unique pain pathogenic mechanisms in </w:t>
      </w:r>
      <w:proofErr w:type="spellStart"/>
      <w:r w:rsidRPr="00AD7B00">
        <w:rPr>
          <w:rFonts w:cstheme="minorHAnsi"/>
          <w:lang w:val="en-US"/>
        </w:rPr>
        <w:t>DPN</w:t>
      </w:r>
      <w:proofErr w:type="spellEnd"/>
      <w:r w:rsidRPr="00AD7B00">
        <w:rPr>
          <w:rFonts w:cstheme="minorHAnsi"/>
          <w:lang w:val="en-US"/>
        </w:rPr>
        <w:t xml:space="preserve">. This might provide us with more effective treatment options for painful </w:t>
      </w:r>
      <w:proofErr w:type="spellStart"/>
      <w:r w:rsidRPr="00AD7B00">
        <w:rPr>
          <w:rFonts w:cstheme="minorHAnsi"/>
          <w:lang w:val="en-US"/>
        </w:rPr>
        <w:t>DPN</w:t>
      </w:r>
      <w:proofErr w:type="spellEnd"/>
      <w:r w:rsidRPr="00AD7B00">
        <w:rPr>
          <w:rFonts w:cstheme="minorHAnsi"/>
          <w:lang w:val="en-US"/>
        </w:rPr>
        <w:t xml:space="preserve"> in the future.</w:t>
      </w:r>
    </w:p>
    <w:p w14:paraId="7063DD57" w14:textId="2A14FF7A" w:rsidR="00AF1A96" w:rsidRPr="00AD7B00" w:rsidRDefault="00305990" w:rsidP="00AF1A96">
      <w:pPr>
        <w:pStyle w:val="BodyA"/>
        <w:spacing w:line="480" w:lineRule="auto"/>
        <w:jc w:val="both"/>
        <w:rPr>
          <w:rFonts w:cstheme="minorHAnsi"/>
        </w:rPr>
      </w:pPr>
      <w:r>
        <w:rPr>
          <w:rFonts w:cstheme="minorHAnsi"/>
          <w:lang w:val="en-US"/>
        </w:rPr>
        <w:t>In this project I</w:t>
      </w:r>
      <w:r w:rsidR="00AF1A96" w:rsidRPr="00AD7B00">
        <w:rPr>
          <w:rFonts w:cstheme="minorHAnsi"/>
          <w:lang w:val="en-US"/>
        </w:rPr>
        <w:t xml:space="preserve"> have investigated a few potential </w:t>
      </w:r>
      <w:proofErr w:type="spellStart"/>
      <w:r>
        <w:rPr>
          <w:rFonts w:cstheme="minorHAnsi"/>
          <w:lang w:val="en-US"/>
        </w:rPr>
        <w:t>a</w:t>
      </w:r>
      <w:r w:rsidR="00AF1A96" w:rsidRPr="00AD7B00">
        <w:rPr>
          <w:rFonts w:cstheme="minorHAnsi"/>
          <w:lang w:val="en-US"/>
        </w:rPr>
        <w:t>etiological</w:t>
      </w:r>
      <w:proofErr w:type="spellEnd"/>
      <w:r w:rsidR="00AF1A96" w:rsidRPr="00AD7B00">
        <w:rPr>
          <w:rFonts w:cstheme="minorHAnsi"/>
          <w:lang w:val="en-US"/>
        </w:rPr>
        <w:t xml:space="preserve"> factors behind painful </w:t>
      </w:r>
      <w:proofErr w:type="spellStart"/>
      <w:r w:rsidR="00AF1A96" w:rsidRPr="00AD7B00">
        <w:rPr>
          <w:rFonts w:cstheme="minorHAnsi"/>
          <w:lang w:val="en-US"/>
        </w:rPr>
        <w:t>DPN</w:t>
      </w:r>
      <w:proofErr w:type="spellEnd"/>
      <w:r w:rsidR="00AF1A96" w:rsidRPr="00AD7B00">
        <w:rPr>
          <w:rFonts w:cstheme="minorHAnsi"/>
          <w:lang w:val="en-US"/>
        </w:rPr>
        <w:t xml:space="preserve"> and also studied the potential involvement of some upcoming peripheral and central biomarkers.</w:t>
      </w:r>
    </w:p>
    <w:p w14:paraId="422F51C2" w14:textId="77777777" w:rsidR="00AF1A96" w:rsidRPr="00AD7B00" w:rsidRDefault="00AF1A96" w:rsidP="00AF1A96">
      <w:pPr>
        <w:pStyle w:val="BodyA"/>
        <w:spacing w:line="480" w:lineRule="auto"/>
        <w:jc w:val="both"/>
        <w:rPr>
          <w:rFonts w:eastAsia="Arial" w:cstheme="minorHAnsi"/>
        </w:rPr>
      </w:pPr>
    </w:p>
    <w:p w14:paraId="2C6062C2" w14:textId="77777777" w:rsidR="00AF1A96" w:rsidRPr="00AD7B00" w:rsidRDefault="00AF1A96" w:rsidP="00AF1A96">
      <w:pPr>
        <w:pStyle w:val="BodyA"/>
        <w:spacing w:line="480" w:lineRule="auto"/>
        <w:jc w:val="both"/>
        <w:rPr>
          <w:rFonts w:eastAsia="Arial" w:cstheme="minorHAnsi"/>
        </w:rPr>
      </w:pPr>
    </w:p>
    <w:p w14:paraId="08B979CE" w14:textId="6FF6B9EE" w:rsidR="00AF1A96" w:rsidRPr="00876259" w:rsidRDefault="002B77AD" w:rsidP="00876259">
      <w:pPr>
        <w:pStyle w:val="Heading1"/>
        <w:spacing w:line="480" w:lineRule="auto"/>
        <w:rPr>
          <w:sz w:val="24"/>
          <w:szCs w:val="24"/>
        </w:rPr>
      </w:pPr>
      <w:bookmarkStart w:id="75" w:name="_Toc33"/>
      <w:bookmarkStart w:id="76" w:name="_Toc6093006"/>
      <w:r>
        <w:rPr>
          <w:sz w:val="24"/>
          <w:szCs w:val="24"/>
          <w:lang w:val="en-US"/>
        </w:rPr>
        <w:lastRenderedPageBreak/>
        <w:t>2 Aims and Hypothese</w:t>
      </w:r>
      <w:r w:rsidR="00AF1A96" w:rsidRPr="00876259">
        <w:rPr>
          <w:sz w:val="24"/>
          <w:szCs w:val="24"/>
          <w:lang w:val="en-US"/>
        </w:rPr>
        <w:t>s</w:t>
      </w:r>
      <w:bookmarkEnd w:id="75"/>
      <w:bookmarkEnd w:id="76"/>
    </w:p>
    <w:p w14:paraId="4E8298B2" w14:textId="77777777" w:rsidR="00AF1A96" w:rsidRPr="00AD7B00" w:rsidRDefault="00AF1A96" w:rsidP="00AF1A96">
      <w:pPr>
        <w:pStyle w:val="BodyA"/>
        <w:spacing w:line="480" w:lineRule="auto"/>
        <w:jc w:val="both"/>
        <w:rPr>
          <w:rFonts w:cstheme="minorHAnsi"/>
        </w:rPr>
      </w:pPr>
      <w:r w:rsidRPr="00AD7B00">
        <w:rPr>
          <w:rFonts w:cstheme="minorHAnsi"/>
          <w:lang w:val="en-US"/>
        </w:rPr>
        <w:t xml:space="preserve">1) To examine the role of vitamin D in Painful </w:t>
      </w:r>
      <w:proofErr w:type="spellStart"/>
      <w:r w:rsidRPr="00AD7B00">
        <w:rPr>
          <w:rFonts w:cstheme="minorHAnsi"/>
          <w:lang w:val="en-US"/>
        </w:rPr>
        <w:t>DPN</w:t>
      </w:r>
      <w:proofErr w:type="spellEnd"/>
      <w:r w:rsidRPr="00AD7B00">
        <w:rPr>
          <w:rFonts w:cstheme="minorHAnsi"/>
          <w:lang w:val="en-US"/>
        </w:rPr>
        <w:t xml:space="preserve">. </w:t>
      </w:r>
    </w:p>
    <w:p w14:paraId="0328BBBC" w14:textId="1C9ECD89" w:rsidR="00AF1A96" w:rsidRPr="00AD7B00" w:rsidRDefault="00AF1A96" w:rsidP="00AF1A96">
      <w:pPr>
        <w:pStyle w:val="BodyA"/>
        <w:spacing w:line="480" w:lineRule="auto"/>
        <w:jc w:val="both"/>
        <w:rPr>
          <w:rFonts w:cstheme="minorHAnsi"/>
        </w:rPr>
      </w:pPr>
      <w:r w:rsidRPr="00AD7B00">
        <w:rPr>
          <w:rFonts w:cstheme="minorHAnsi"/>
          <w:b/>
          <w:bCs/>
          <w:lang w:val="en-US"/>
        </w:rPr>
        <w:t>Rationale:</w:t>
      </w:r>
      <w:r w:rsidRPr="00AD7B00">
        <w:rPr>
          <w:rFonts w:cstheme="minorHAnsi"/>
          <w:lang w:val="en-US"/>
        </w:rPr>
        <w:t xml:space="preserve"> Recent studies have linked vitamin D to </w:t>
      </w:r>
      <w:proofErr w:type="spellStart"/>
      <w:r w:rsidRPr="00AD7B00">
        <w:rPr>
          <w:rFonts w:cstheme="minorHAnsi"/>
          <w:lang w:val="en-US"/>
        </w:rPr>
        <w:t>DPN</w:t>
      </w:r>
      <w:proofErr w:type="spellEnd"/>
      <w:r w:rsidRPr="00AD7B00">
        <w:rPr>
          <w:rFonts w:cstheme="minorHAnsi"/>
          <w:lang w:val="en-US"/>
        </w:rPr>
        <w:t xml:space="preserve"> and painful </w:t>
      </w:r>
      <w:proofErr w:type="spellStart"/>
      <w:r w:rsidRPr="00AD7B00">
        <w:rPr>
          <w:rFonts w:cstheme="minorHAnsi"/>
          <w:lang w:val="en-US"/>
        </w:rPr>
        <w:t>DPN</w:t>
      </w:r>
      <w:proofErr w:type="spellEnd"/>
      <w:r w:rsidRPr="00AD7B00">
        <w:rPr>
          <w:rFonts w:cstheme="minorHAnsi"/>
          <w:lang w:val="en-US"/>
        </w:rPr>
        <w:t xml:space="preserve">. </w:t>
      </w:r>
      <w:r w:rsidR="00B24949" w:rsidRPr="00AD7B00">
        <w:rPr>
          <w:rFonts w:cstheme="minorHAnsi"/>
          <w:lang w:val="en-US"/>
        </w:rPr>
        <w:t>However, almost</w:t>
      </w:r>
      <w:r w:rsidRPr="00AD7B00">
        <w:rPr>
          <w:rFonts w:cstheme="minorHAnsi"/>
          <w:lang w:val="en-US"/>
        </w:rPr>
        <w:t xml:space="preserve"> all the studies did not assess potential confounding factors including sunlight exposure and daily activity. Moreover, study subjects were not well </w:t>
      </w:r>
      <w:proofErr w:type="spellStart"/>
      <w:r w:rsidRPr="00AD7B00">
        <w:rPr>
          <w:rFonts w:cstheme="minorHAnsi"/>
          <w:lang w:val="en-US"/>
        </w:rPr>
        <w:t>characterised</w:t>
      </w:r>
      <w:proofErr w:type="spellEnd"/>
      <w:r w:rsidRPr="00AD7B00">
        <w:rPr>
          <w:rFonts w:cstheme="minorHAnsi"/>
          <w:lang w:val="en-US"/>
        </w:rPr>
        <w:t xml:space="preserve"> and </w:t>
      </w:r>
      <w:proofErr w:type="spellStart"/>
      <w:r w:rsidRPr="00AD7B00">
        <w:rPr>
          <w:rFonts w:cstheme="minorHAnsi"/>
          <w:lang w:val="en-US"/>
        </w:rPr>
        <w:t>phenotyped</w:t>
      </w:r>
      <w:proofErr w:type="spellEnd"/>
      <w:r w:rsidRPr="00AD7B00">
        <w:rPr>
          <w:rFonts w:cstheme="minorHAnsi"/>
          <w:lang w:val="en-US"/>
        </w:rPr>
        <w:t xml:space="preserve">. We have therefore designed a study that </w:t>
      </w:r>
      <w:r w:rsidR="00B24949" w:rsidRPr="00AD7B00">
        <w:rPr>
          <w:rFonts w:cstheme="minorHAnsi"/>
          <w:lang w:val="en-US"/>
        </w:rPr>
        <w:t>addresses</w:t>
      </w:r>
      <w:r w:rsidRPr="00AD7B00">
        <w:rPr>
          <w:rFonts w:cstheme="minorHAnsi"/>
          <w:lang w:val="en-US"/>
        </w:rPr>
        <w:t xml:space="preserve"> these limitations.</w:t>
      </w:r>
    </w:p>
    <w:p w14:paraId="4CB6D152" w14:textId="35EE7CB4" w:rsidR="00AF1A96" w:rsidRPr="00AD7B00" w:rsidRDefault="00AF1A96" w:rsidP="00AF1A96">
      <w:pPr>
        <w:pStyle w:val="BodyA"/>
        <w:spacing w:line="480" w:lineRule="auto"/>
        <w:jc w:val="both"/>
        <w:rPr>
          <w:rFonts w:cstheme="minorHAnsi"/>
          <w:b/>
          <w:bCs/>
        </w:rPr>
      </w:pPr>
      <w:r w:rsidRPr="00AD7B00">
        <w:rPr>
          <w:rFonts w:cstheme="minorHAnsi"/>
          <w:b/>
          <w:bCs/>
          <w:i/>
          <w:iCs/>
          <w:lang w:val="en-US"/>
        </w:rPr>
        <w:t>Hypothesis</w:t>
      </w:r>
      <w:r w:rsidR="002B77AD">
        <w:rPr>
          <w:rFonts w:cstheme="minorHAnsi"/>
          <w:b/>
          <w:bCs/>
          <w:i/>
          <w:iCs/>
          <w:lang w:val="en-US"/>
        </w:rPr>
        <w:t xml:space="preserve"> 1</w:t>
      </w:r>
    </w:p>
    <w:p w14:paraId="1C890F36" w14:textId="097AC91B" w:rsidR="00AF1A96" w:rsidRPr="00AD7B00" w:rsidRDefault="002B77AD" w:rsidP="00AF1A96">
      <w:pPr>
        <w:pStyle w:val="BodyA"/>
        <w:spacing w:line="480" w:lineRule="auto"/>
        <w:jc w:val="both"/>
        <w:rPr>
          <w:rFonts w:cstheme="minorHAnsi"/>
          <w:i/>
          <w:iCs/>
        </w:rPr>
      </w:pPr>
      <w:r>
        <w:rPr>
          <w:rFonts w:cstheme="minorHAnsi"/>
          <w:i/>
          <w:iCs/>
          <w:lang w:val="en-US"/>
        </w:rPr>
        <w:t>“Vitamin D will</w:t>
      </w:r>
      <w:r w:rsidR="00AF1A96" w:rsidRPr="00AD7B00">
        <w:rPr>
          <w:rFonts w:cstheme="minorHAnsi"/>
          <w:i/>
          <w:iCs/>
          <w:lang w:val="en-US"/>
        </w:rPr>
        <w:t xml:space="preserve"> be reduced in painful </w:t>
      </w:r>
      <w:proofErr w:type="spellStart"/>
      <w:r w:rsidR="00AF1A96" w:rsidRPr="00AD7B00">
        <w:rPr>
          <w:rFonts w:cstheme="minorHAnsi"/>
          <w:i/>
          <w:iCs/>
          <w:lang w:val="en-US"/>
        </w:rPr>
        <w:t>DPN</w:t>
      </w:r>
      <w:proofErr w:type="spellEnd"/>
      <w:r w:rsidR="00AF1A96" w:rsidRPr="00AD7B00">
        <w:rPr>
          <w:rFonts w:cstheme="minorHAnsi"/>
          <w:i/>
          <w:iCs/>
          <w:lang w:val="en-US"/>
        </w:rPr>
        <w:t>, even after adjusting for confounding factors including sunlight exposure and daily activity”</w:t>
      </w:r>
      <w:r w:rsidR="00AF1A96" w:rsidRPr="00AD7B00">
        <w:rPr>
          <w:rFonts w:cstheme="minorHAnsi"/>
          <w:i/>
          <w:iCs/>
        </w:rPr>
        <w:t xml:space="preserve">. </w:t>
      </w:r>
    </w:p>
    <w:p w14:paraId="51193B9F" w14:textId="77777777" w:rsidR="00AF1A96" w:rsidRPr="00AD7B00" w:rsidRDefault="00AF1A96" w:rsidP="00AF1A96">
      <w:pPr>
        <w:pStyle w:val="BodyA"/>
        <w:spacing w:line="480" w:lineRule="auto"/>
        <w:jc w:val="both"/>
        <w:rPr>
          <w:rFonts w:cstheme="minorHAnsi"/>
        </w:rPr>
      </w:pPr>
      <w:r w:rsidRPr="00AD7B00">
        <w:rPr>
          <w:rFonts w:cstheme="minorHAnsi"/>
          <w:lang w:val="en-US"/>
        </w:rPr>
        <w:t xml:space="preserve">2) To investigate whether a panel of skin nerve and vascular markers could differentiate painful from painless </w:t>
      </w:r>
      <w:proofErr w:type="spellStart"/>
      <w:r w:rsidRPr="00AD7B00">
        <w:rPr>
          <w:rFonts w:cstheme="minorHAnsi"/>
          <w:lang w:val="en-US"/>
        </w:rPr>
        <w:t>DPN</w:t>
      </w:r>
      <w:proofErr w:type="spellEnd"/>
      <w:r w:rsidRPr="00AD7B00">
        <w:rPr>
          <w:rFonts w:cstheme="minorHAnsi"/>
          <w:lang w:val="en-US"/>
        </w:rPr>
        <w:t xml:space="preserve"> and could be used as potential biomarkers. </w:t>
      </w:r>
    </w:p>
    <w:p w14:paraId="501114A8" w14:textId="0231E2F8" w:rsidR="00AF1A96" w:rsidRDefault="00AF1A96" w:rsidP="00AF1A96">
      <w:pPr>
        <w:pStyle w:val="BodyA"/>
        <w:spacing w:line="480" w:lineRule="auto"/>
        <w:jc w:val="both"/>
        <w:rPr>
          <w:rFonts w:cstheme="minorHAnsi"/>
          <w:lang w:val="en-US"/>
        </w:rPr>
      </w:pPr>
      <w:r w:rsidRPr="00AD7B00">
        <w:rPr>
          <w:rFonts w:cstheme="minorHAnsi"/>
          <w:b/>
          <w:bCs/>
          <w:lang w:val="en-US"/>
        </w:rPr>
        <w:t xml:space="preserve">Rationale: </w:t>
      </w:r>
      <w:r w:rsidRPr="00AD7B00">
        <w:rPr>
          <w:rFonts w:cstheme="minorHAnsi"/>
          <w:lang w:val="en-US"/>
        </w:rPr>
        <w:t>Painful-</w:t>
      </w:r>
      <w:proofErr w:type="spellStart"/>
      <w:r w:rsidRPr="00AD7B00">
        <w:rPr>
          <w:rFonts w:cstheme="minorHAnsi"/>
          <w:lang w:val="en-US"/>
        </w:rPr>
        <w:t>DPN</w:t>
      </w:r>
      <w:proofErr w:type="spellEnd"/>
      <w:r w:rsidRPr="00AD7B00">
        <w:rPr>
          <w:rFonts w:cstheme="minorHAnsi"/>
          <w:lang w:val="en-US"/>
        </w:rPr>
        <w:t xml:space="preserve"> can be severe in its impact, and yet the underlying pain mechanisms remain uncertain. The pathophysiology of painful-</w:t>
      </w:r>
      <w:proofErr w:type="spellStart"/>
      <w:r w:rsidRPr="00AD7B00">
        <w:rPr>
          <w:rFonts w:cstheme="minorHAnsi"/>
          <w:lang w:val="en-US"/>
        </w:rPr>
        <w:t>DPN</w:t>
      </w:r>
      <w:proofErr w:type="spellEnd"/>
      <w:r w:rsidRPr="00AD7B00">
        <w:rPr>
          <w:rFonts w:cstheme="minorHAnsi"/>
          <w:lang w:val="en-US"/>
        </w:rPr>
        <w:t xml:space="preserve"> is poorly understood, and there are no generally accepted disease modifying treatments. The mainstay of treatment is symptom control with pharmacotherapy, which has limited efficacy and often dose-limiting side effects. There is a clear need for advancing understanding of the underlying mechanisms and developing novel biomarkers. Our literature review has identified a few potential neural biomarkers including </w:t>
      </w:r>
      <w:proofErr w:type="spellStart"/>
      <w:r w:rsidRPr="00AD7B00">
        <w:rPr>
          <w:rFonts w:cstheme="minorHAnsi"/>
          <w:lang w:val="en-US"/>
        </w:rPr>
        <w:t>IENFD</w:t>
      </w:r>
      <w:proofErr w:type="spellEnd"/>
      <w:r w:rsidRPr="00AD7B00">
        <w:rPr>
          <w:rFonts w:cstheme="minorHAnsi"/>
          <w:lang w:val="en-US"/>
        </w:rPr>
        <w:t xml:space="preserve">, Subepidermal Nerve </w:t>
      </w:r>
      <w:proofErr w:type="spellStart"/>
      <w:r w:rsidRPr="00AD7B00">
        <w:rPr>
          <w:rFonts w:cstheme="minorHAnsi"/>
          <w:lang w:val="en-US"/>
        </w:rPr>
        <w:t>Fibre</w:t>
      </w:r>
      <w:proofErr w:type="spellEnd"/>
      <w:r w:rsidRPr="00AD7B00">
        <w:rPr>
          <w:rFonts w:cstheme="minorHAnsi"/>
          <w:lang w:val="en-US"/>
        </w:rPr>
        <w:t xml:space="preserve"> Density </w:t>
      </w:r>
      <w:r w:rsidR="008F1314">
        <w:rPr>
          <w:rFonts w:cstheme="minorHAnsi"/>
          <w:lang w:val="en-US"/>
        </w:rPr>
        <w:t>(</w:t>
      </w:r>
      <w:proofErr w:type="spellStart"/>
      <w:r w:rsidR="008F1314">
        <w:rPr>
          <w:rFonts w:cstheme="minorHAnsi"/>
          <w:lang w:val="en-US"/>
        </w:rPr>
        <w:t>SENFD</w:t>
      </w:r>
      <w:proofErr w:type="spellEnd"/>
      <w:r w:rsidR="008F1314">
        <w:rPr>
          <w:rFonts w:cstheme="minorHAnsi"/>
          <w:lang w:val="en-US"/>
        </w:rPr>
        <w:t xml:space="preserve">), </w:t>
      </w:r>
      <w:proofErr w:type="spellStart"/>
      <w:r w:rsidR="008F1314">
        <w:rPr>
          <w:rFonts w:cstheme="minorHAnsi"/>
          <w:lang w:val="en-US"/>
        </w:rPr>
        <w:t>peptidergic</w:t>
      </w:r>
      <w:proofErr w:type="spellEnd"/>
      <w:r w:rsidR="008F1314">
        <w:rPr>
          <w:rFonts w:cstheme="minorHAnsi"/>
          <w:lang w:val="en-US"/>
        </w:rPr>
        <w:t xml:space="preserve"> nerve </w:t>
      </w:r>
      <w:proofErr w:type="spellStart"/>
      <w:r w:rsidR="008F1314">
        <w:rPr>
          <w:rFonts w:cstheme="minorHAnsi"/>
          <w:lang w:val="en-US"/>
        </w:rPr>
        <w:t>fibre</w:t>
      </w:r>
      <w:r w:rsidRPr="00AD7B00">
        <w:rPr>
          <w:rFonts w:cstheme="minorHAnsi"/>
          <w:lang w:val="en-US"/>
        </w:rPr>
        <w:t>s</w:t>
      </w:r>
      <w:proofErr w:type="spellEnd"/>
      <w:r w:rsidRPr="00AD7B00">
        <w:rPr>
          <w:rFonts w:cstheme="minorHAnsi"/>
          <w:lang w:val="en-US"/>
        </w:rPr>
        <w:t xml:space="preserve"> stained using calcitonin gene-related peptide (</w:t>
      </w:r>
      <w:proofErr w:type="spellStart"/>
      <w:r w:rsidRPr="00AD7B00">
        <w:rPr>
          <w:rFonts w:cstheme="minorHAnsi"/>
          <w:lang w:val="en-US"/>
        </w:rPr>
        <w:t>CGRP</w:t>
      </w:r>
      <w:proofErr w:type="spellEnd"/>
      <w:r w:rsidRPr="00AD7B00">
        <w:rPr>
          <w:rFonts w:cstheme="minorHAnsi"/>
          <w:lang w:val="en-US"/>
        </w:rPr>
        <w:t>), nerve regeneration marker GAP 43 and vascular biomarker von Willebrand factor (</w:t>
      </w:r>
      <w:proofErr w:type="spellStart"/>
      <w:r w:rsidRPr="00AD7B00">
        <w:rPr>
          <w:rFonts w:cstheme="minorHAnsi"/>
          <w:lang w:val="en-US"/>
        </w:rPr>
        <w:t>vWF</w:t>
      </w:r>
      <w:proofErr w:type="spellEnd"/>
      <w:r w:rsidRPr="00AD7B00">
        <w:rPr>
          <w:rFonts w:cstheme="minorHAnsi"/>
          <w:lang w:val="en-US"/>
        </w:rPr>
        <w:t xml:space="preserve">). We have examined these biomarkers in greater detail in well </w:t>
      </w:r>
      <w:proofErr w:type="spellStart"/>
      <w:r w:rsidRPr="00AD7B00">
        <w:rPr>
          <w:rFonts w:cstheme="minorHAnsi"/>
          <w:lang w:val="en-US"/>
        </w:rPr>
        <w:t>characterised</w:t>
      </w:r>
      <w:proofErr w:type="spellEnd"/>
      <w:r w:rsidRPr="00AD7B00">
        <w:rPr>
          <w:rFonts w:cstheme="minorHAnsi"/>
          <w:lang w:val="en-US"/>
        </w:rPr>
        <w:t xml:space="preserve"> and </w:t>
      </w:r>
      <w:proofErr w:type="spellStart"/>
      <w:r w:rsidRPr="00AD7B00">
        <w:rPr>
          <w:rFonts w:cstheme="minorHAnsi"/>
          <w:lang w:val="en-US"/>
        </w:rPr>
        <w:t>phenotyped</w:t>
      </w:r>
      <w:proofErr w:type="spellEnd"/>
      <w:r w:rsidRPr="00AD7B00">
        <w:rPr>
          <w:rFonts w:cstheme="minorHAnsi"/>
          <w:lang w:val="en-US"/>
        </w:rPr>
        <w:t xml:space="preserve"> diabetes subjects.</w:t>
      </w:r>
    </w:p>
    <w:p w14:paraId="4EDCEF40" w14:textId="77777777" w:rsidR="008F1314" w:rsidRPr="00AD7B00" w:rsidRDefault="008F1314" w:rsidP="00AF1A96">
      <w:pPr>
        <w:pStyle w:val="BodyA"/>
        <w:spacing w:line="480" w:lineRule="auto"/>
        <w:jc w:val="both"/>
        <w:rPr>
          <w:rFonts w:cstheme="minorHAnsi"/>
        </w:rPr>
      </w:pPr>
    </w:p>
    <w:p w14:paraId="3A525F54" w14:textId="469261D2" w:rsidR="00AF1A96" w:rsidRPr="00AD7B00" w:rsidRDefault="00AF1A96" w:rsidP="00AF1A96">
      <w:pPr>
        <w:pStyle w:val="BodyA"/>
        <w:spacing w:line="480" w:lineRule="auto"/>
        <w:jc w:val="both"/>
        <w:rPr>
          <w:rFonts w:cstheme="minorHAnsi"/>
          <w:b/>
          <w:bCs/>
          <w:i/>
          <w:iCs/>
        </w:rPr>
      </w:pPr>
      <w:r w:rsidRPr="00AD7B00">
        <w:rPr>
          <w:rFonts w:cstheme="minorHAnsi"/>
          <w:b/>
          <w:bCs/>
          <w:i/>
          <w:iCs/>
          <w:lang w:val="en-US"/>
        </w:rPr>
        <w:lastRenderedPageBreak/>
        <w:t>Hypothesis</w:t>
      </w:r>
      <w:r w:rsidR="008F1314">
        <w:rPr>
          <w:rFonts w:cstheme="minorHAnsi"/>
          <w:b/>
          <w:bCs/>
          <w:i/>
          <w:iCs/>
          <w:lang w:val="en-US"/>
        </w:rPr>
        <w:t xml:space="preserve"> 2</w:t>
      </w:r>
    </w:p>
    <w:p w14:paraId="051FDB62" w14:textId="77777777" w:rsidR="00AF1A96" w:rsidRPr="00AD7B00" w:rsidRDefault="00AF1A96" w:rsidP="00AF1A96">
      <w:pPr>
        <w:pStyle w:val="BodyA"/>
        <w:spacing w:line="480" w:lineRule="auto"/>
        <w:jc w:val="both"/>
        <w:rPr>
          <w:rFonts w:cstheme="minorHAnsi"/>
          <w:i/>
          <w:iCs/>
        </w:rPr>
      </w:pPr>
      <w:r w:rsidRPr="00AD7B00">
        <w:rPr>
          <w:rFonts w:cstheme="minorHAnsi"/>
          <w:i/>
          <w:iCs/>
          <w:lang w:val="en-US"/>
        </w:rPr>
        <w:t xml:space="preserve">“Carefully </w:t>
      </w:r>
      <w:proofErr w:type="spellStart"/>
      <w:r w:rsidRPr="00AD7B00">
        <w:rPr>
          <w:rFonts w:cstheme="minorHAnsi"/>
          <w:i/>
          <w:iCs/>
          <w:lang w:val="en-US"/>
        </w:rPr>
        <w:t>phenotyped</w:t>
      </w:r>
      <w:proofErr w:type="spellEnd"/>
      <w:r w:rsidRPr="00AD7B00">
        <w:rPr>
          <w:rFonts w:cstheme="minorHAnsi"/>
          <w:i/>
          <w:iCs/>
          <w:lang w:val="en-US"/>
        </w:rPr>
        <w:t xml:space="preserve"> subjects with painful </w:t>
      </w:r>
      <w:proofErr w:type="spellStart"/>
      <w:r w:rsidRPr="00AD7B00">
        <w:rPr>
          <w:rFonts w:cstheme="minorHAnsi"/>
          <w:i/>
          <w:iCs/>
          <w:lang w:val="en-US"/>
        </w:rPr>
        <w:t>DPN</w:t>
      </w:r>
      <w:proofErr w:type="spellEnd"/>
      <w:r w:rsidRPr="00AD7B00">
        <w:rPr>
          <w:rFonts w:cstheme="minorHAnsi"/>
          <w:i/>
          <w:iCs/>
          <w:lang w:val="en-US"/>
        </w:rPr>
        <w:t xml:space="preserve"> will have unique peripheral neural and vascular biomarkers, which could be used to differentiate painful from painless </w:t>
      </w:r>
      <w:proofErr w:type="spellStart"/>
      <w:r w:rsidRPr="00AD7B00">
        <w:rPr>
          <w:rFonts w:cstheme="minorHAnsi"/>
          <w:i/>
          <w:iCs/>
          <w:lang w:val="en-US"/>
        </w:rPr>
        <w:t>DPN</w:t>
      </w:r>
      <w:proofErr w:type="spellEnd"/>
      <w:r w:rsidRPr="00AD7B00">
        <w:rPr>
          <w:rFonts w:cstheme="minorHAnsi"/>
          <w:i/>
          <w:iCs/>
          <w:lang w:val="en-US"/>
        </w:rPr>
        <w:t>”</w:t>
      </w:r>
    </w:p>
    <w:p w14:paraId="322FE51E" w14:textId="77777777" w:rsidR="00AF1A96" w:rsidRPr="00AD7B00" w:rsidRDefault="00AF1A96" w:rsidP="00AF1A96">
      <w:pPr>
        <w:pStyle w:val="BodyA"/>
        <w:spacing w:line="480" w:lineRule="auto"/>
        <w:jc w:val="both"/>
        <w:rPr>
          <w:rFonts w:cstheme="minorHAnsi"/>
        </w:rPr>
      </w:pPr>
      <w:r w:rsidRPr="00AD7B00">
        <w:rPr>
          <w:rFonts w:cstheme="minorHAnsi"/>
          <w:lang w:val="en-US"/>
        </w:rPr>
        <w:t xml:space="preserve">3) To </w:t>
      </w:r>
      <w:proofErr w:type="spellStart"/>
      <w:r w:rsidRPr="00AD7B00">
        <w:rPr>
          <w:rFonts w:cstheme="minorHAnsi"/>
          <w:lang w:val="en-US"/>
        </w:rPr>
        <w:t>analyse</w:t>
      </w:r>
      <w:proofErr w:type="spellEnd"/>
      <w:r w:rsidRPr="00AD7B00">
        <w:rPr>
          <w:rFonts w:cstheme="minorHAnsi"/>
          <w:lang w:val="en-US"/>
        </w:rPr>
        <w:t xml:space="preserve"> alteration of central inhibitory neurotransmitter GABA and excitatory neurotransmitter glutamate (</w:t>
      </w:r>
      <w:proofErr w:type="spellStart"/>
      <w:r w:rsidRPr="00AD7B00">
        <w:rPr>
          <w:rFonts w:cstheme="minorHAnsi"/>
          <w:lang w:val="en-US"/>
        </w:rPr>
        <w:t>Glx</w:t>
      </w:r>
      <w:proofErr w:type="spellEnd"/>
      <w:r w:rsidRPr="00AD7B00">
        <w:rPr>
          <w:rFonts w:cstheme="minorHAnsi"/>
          <w:lang w:val="en-US"/>
        </w:rPr>
        <w:t xml:space="preserve">) in painful </w:t>
      </w:r>
      <w:proofErr w:type="spellStart"/>
      <w:r w:rsidRPr="00AD7B00">
        <w:rPr>
          <w:rFonts w:cstheme="minorHAnsi"/>
          <w:lang w:val="en-US"/>
        </w:rPr>
        <w:t>DPN</w:t>
      </w:r>
      <w:proofErr w:type="spellEnd"/>
      <w:r w:rsidRPr="00AD7B00">
        <w:rPr>
          <w:rFonts w:cstheme="minorHAnsi"/>
          <w:lang w:val="en-US"/>
        </w:rPr>
        <w:t>.</w:t>
      </w:r>
    </w:p>
    <w:p w14:paraId="7275714F" w14:textId="77777777" w:rsidR="00AF1A96" w:rsidRPr="00AD7B00" w:rsidRDefault="00AF1A96" w:rsidP="00AF1A96">
      <w:pPr>
        <w:pStyle w:val="BodyA"/>
        <w:spacing w:line="480" w:lineRule="auto"/>
        <w:jc w:val="both"/>
        <w:rPr>
          <w:rFonts w:cstheme="minorHAnsi"/>
          <w:color w:val="FF0000"/>
          <w:u w:color="FF0000"/>
        </w:rPr>
      </w:pPr>
      <w:r w:rsidRPr="00AD7B00">
        <w:rPr>
          <w:rFonts w:cstheme="minorHAnsi"/>
          <w:b/>
          <w:bCs/>
          <w:lang w:val="en-US"/>
        </w:rPr>
        <w:t>Rationale:</w:t>
      </w:r>
      <w:r w:rsidRPr="00AD7B00">
        <w:rPr>
          <w:rFonts w:cstheme="minorHAnsi"/>
          <w:lang w:val="en-US"/>
        </w:rPr>
        <w:t xml:space="preserve"> There is now increasing evidence for early central nervous system involvement in painful </w:t>
      </w:r>
      <w:proofErr w:type="spellStart"/>
      <w:r w:rsidRPr="00AD7B00">
        <w:rPr>
          <w:rFonts w:cstheme="minorHAnsi"/>
          <w:lang w:val="en-US"/>
        </w:rPr>
        <w:t>DPN</w:t>
      </w:r>
      <w:proofErr w:type="spellEnd"/>
      <w:r w:rsidRPr="00AD7B00">
        <w:rPr>
          <w:rFonts w:cstheme="minorHAnsi"/>
          <w:lang w:val="en-US"/>
        </w:rPr>
        <w:t xml:space="preserve">, afforded by advances in functional magnetic resonance imaging (fMRI) and other modalities such as MR spectroscopy. They allow us to noninvasively measure endogenous metabolites in specific regions in the brain involved in pain processing (e.g. the thalamus, anterior cingulate cortex and insula). There is evidence to support an imbalance of inhibitory and excitatory neurotransmitters in chronic painful conditions such as fibromyalgia, migraine and endometriosis. So far only one study has been performed in </w:t>
      </w:r>
      <w:proofErr w:type="spellStart"/>
      <w:r w:rsidRPr="00AD7B00">
        <w:rPr>
          <w:rFonts w:cstheme="minorHAnsi"/>
          <w:lang w:val="en-US"/>
        </w:rPr>
        <w:t>DPN</w:t>
      </w:r>
      <w:proofErr w:type="spellEnd"/>
      <w:r w:rsidRPr="00AD7B00">
        <w:rPr>
          <w:rFonts w:cstheme="minorHAnsi"/>
          <w:lang w:val="en-US"/>
        </w:rPr>
        <w:t xml:space="preserve"> which reported significantly increased </w:t>
      </w:r>
      <w:proofErr w:type="spellStart"/>
      <w:r w:rsidRPr="00AD7B00">
        <w:rPr>
          <w:rFonts w:cstheme="minorHAnsi"/>
          <w:lang w:val="en-US"/>
        </w:rPr>
        <w:t>Glx</w:t>
      </w:r>
      <w:proofErr w:type="spellEnd"/>
      <w:r w:rsidRPr="00AD7B00">
        <w:rPr>
          <w:rFonts w:cstheme="minorHAnsi"/>
          <w:lang w:val="en-US"/>
        </w:rPr>
        <w:t xml:space="preserve"> and reduced GABA in posterior insula in patients with painful </w:t>
      </w:r>
      <w:proofErr w:type="spellStart"/>
      <w:r w:rsidRPr="00AD7B00">
        <w:rPr>
          <w:rFonts w:cstheme="minorHAnsi"/>
          <w:lang w:val="en-US"/>
        </w:rPr>
        <w:t>DPN</w:t>
      </w:r>
      <w:proofErr w:type="spellEnd"/>
      <w:r w:rsidRPr="00AD7B00">
        <w:rPr>
          <w:rFonts w:cstheme="minorHAnsi"/>
          <w:lang w:val="en-US"/>
        </w:rPr>
        <w:t>.</w:t>
      </w:r>
      <w:r w:rsidRPr="00AD7B00">
        <w:rPr>
          <w:rFonts w:cstheme="minorHAnsi"/>
          <w:color w:val="FF0000"/>
          <w:u w:color="FF0000"/>
        </w:rPr>
        <w:t xml:space="preserve"> </w:t>
      </w:r>
      <w:r w:rsidRPr="00AD7B00">
        <w:rPr>
          <w:rFonts w:cstheme="minorHAnsi"/>
          <w:lang w:val="en-US"/>
        </w:rPr>
        <w:t xml:space="preserve">However, this study had a small sample size and did not incorporate detailed neuropathy phenotyping. </w:t>
      </w:r>
    </w:p>
    <w:p w14:paraId="1E88D37F" w14:textId="77777777" w:rsidR="00AF1A96" w:rsidRPr="00AD7B00" w:rsidRDefault="00AF1A96" w:rsidP="00AF1A96">
      <w:pPr>
        <w:pStyle w:val="BodyA"/>
        <w:spacing w:line="480" w:lineRule="auto"/>
        <w:jc w:val="both"/>
        <w:rPr>
          <w:rFonts w:cstheme="minorHAnsi"/>
          <w:b/>
          <w:bCs/>
          <w:i/>
          <w:iCs/>
        </w:rPr>
      </w:pPr>
      <w:r w:rsidRPr="00AD7B00">
        <w:rPr>
          <w:rFonts w:cstheme="minorHAnsi"/>
          <w:b/>
          <w:bCs/>
          <w:i/>
          <w:iCs/>
          <w:lang w:val="en-US"/>
        </w:rPr>
        <w:t>Hypothesis 3</w:t>
      </w:r>
    </w:p>
    <w:p w14:paraId="022662EB" w14:textId="1C79DC57" w:rsidR="00AF1A96" w:rsidRDefault="00AF1A96" w:rsidP="00AF1A96">
      <w:pPr>
        <w:pStyle w:val="BodyA"/>
        <w:spacing w:line="480" w:lineRule="auto"/>
        <w:jc w:val="both"/>
        <w:rPr>
          <w:rFonts w:cstheme="minorHAnsi"/>
          <w:i/>
          <w:iCs/>
          <w:lang w:val="en-US"/>
        </w:rPr>
      </w:pPr>
      <w:r w:rsidRPr="00AD7B00">
        <w:rPr>
          <w:rFonts w:cstheme="minorHAnsi"/>
          <w:i/>
          <w:iCs/>
          <w:lang w:val="en-US"/>
        </w:rPr>
        <w:t xml:space="preserve">“Painful and painless </w:t>
      </w:r>
      <w:proofErr w:type="spellStart"/>
      <w:r w:rsidRPr="00AD7B00">
        <w:rPr>
          <w:rFonts w:cstheme="minorHAnsi"/>
          <w:i/>
          <w:iCs/>
          <w:lang w:val="en-US"/>
        </w:rPr>
        <w:t>DPN</w:t>
      </w:r>
      <w:proofErr w:type="spellEnd"/>
      <w:r w:rsidRPr="00AD7B00">
        <w:rPr>
          <w:rFonts w:cstheme="minorHAnsi"/>
          <w:i/>
          <w:iCs/>
          <w:lang w:val="en-US"/>
        </w:rPr>
        <w:t xml:space="preserve"> will be </w:t>
      </w:r>
      <w:proofErr w:type="spellStart"/>
      <w:r w:rsidRPr="00AD7B00">
        <w:rPr>
          <w:rFonts w:cstheme="minorHAnsi"/>
          <w:i/>
          <w:iCs/>
          <w:lang w:val="en-US"/>
        </w:rPr>
        <w:t>characterised</w:t>
      </w:r>
      <w:proofErr w:type="spellEnd"/>
      <w:r w:rsidRPr="00AD7B00">
        <w:rPr>
          <w:rFonts w:cstheme="minorHAnsi"/>
          <w:i/>
          <w:iCs/>
          <w:lang w:val="en-US"/>
        </w:rPr>
        <w:t xml:space="preserve"> by differing levels of excitatory and inhibitory neurotransmitters in the thalamus”</w:t>
      </w:r>
    </w:p>
    <w:p w14:paraId="0A06AF3B" w14:textId="6B9FE767" w:rsidR="007B0005" w:rsidRDefault="007B0005">
      <w:pPr>
        <w:spacing w:after="0"/>
        <w:rPr>
          <w:rFonts w:eastAsia="Cambria" w:cstheme="minorHAnsi"/>
          <w:i/>
          <w:iCs/>
          <w:color w:val="000000"/>
          <w:u w:color="000000"/>
          <w:bdr w:val="nil"/>
          <w:lang w:val="en-US" w:eastAsia="en-US"/>
        </w:rPr>
      </w:pPr>
      <w:r>
        <w:rPr>
          <w:rFonts w:cstheme="minorHAnsi"/>
          <w:i/>
          <w:iCs/>
          <w:lang w:val="en-US"/>
        </w:rPr>
        <w:br w:type="page"/>
      </w:r>
    </w:p>
    <w:p w14:paraId="47FED04E" w14:textId="1B08B275" w:rsidR="00876259" w:rsidRPr="00876259" w:rsidRDefault="00876259" w:rsidP="00876259">
      <w:pPr>
        <w:pStyle w:val="Heading1"/>
        <w:spacing w:line="480" w:lineRule="auto"/>
        <w:rPr>
          <w:sz w:val="24"/>
          <w:szCs w:val="24"/>
        </w:rPr>
      </w:pPr>
      <w:bookmarkStart w:id="77" w:name="_Toc34"/>
      <w:bookmarkStart w:id="78" w:name="_Toc6093007"/>
      <w:r w:rsidRPr="00876259">
        <w:rPr>
          <w:sz w:val="24"/>
          <w:szCs w:val="24"/>
          <w:lang w:val="en-US"/>
        </w:rPr>
        <w:lastRenderedPageBreak/>
        <w:t>3 General Methods</w:t>
      </w:r>
      <w:bookmarkEnd w:id="77"/>
      <w:bookmarkEnd w:id="78"/>
    </w:p>
    <w:p w14:paraId="158A1455" w14:textId="77777777" w:rsidR="00876259" w:rsidRDefault="00876259" w:rsidP="00876259">
      <w:pPr>
        <w:pStyle w:val="Heading2"/>
        <w:rPr>
          <w:i w:val="0"/>
          <w:iCs w:val="0"/>
          <w:sz w:val="24"/>
          <w:szCs w:val="24"/>
        </w:rPr>
      </w:pPr>
      <w:bookmarkStart w:id="79" w:name="_Toc35"/>
      <w:bookmarkStart w:id="80" w:name="_Toc6093008"/>
      <w:r>
        <w:rPr>
          <w:i w:val="0"/>
          <w:iCs w:val="0"/>
          <w:sz w:val="24"/>
          <w:szCs w:val="24"/>
          <w:lang w:val="en-US"/>
        </w:rPr>
        <w:t>3.1 Study design and participants</w:t>
      </w:r>
      <w:bookmarkEnd w:id="79"/>
      <w:bookmarkEnd w:id="80"/>
    </w:p>
    <w:p w14:paraId="6D3ACC1B" w14:textId="77777777" w:rsidR="00876259" w:rsidRDefault="00876259" w:rsidP="00876259">
      <w:pPr>
        <w:pStyle w:val="BodyA"/>
      </w:pPr>
    </w:p>
    <w:p w14:paraId="03B50FBD" w14:textId="77777777" w:rsidR="00876259" w:rsidRDefault="00876259" w:rsidP="00876259">
      <w:pPr>
        <w:pStyle w:val="BodyA"/>
        <w:spacing w:line="480" w:lineRule="auto"/>
        <w:jc w:val="both"/>
      </w:pPr>
      <w:r>
        <w:rPr>
          <w:lang w:val="en-US"/>
        </w:rPr>
        <w:t xml:space="preserve">Subjects with diabetes were recruited from the Sheffield Teaching Hospitals NHS Foundation Trust Diabetes Database and outpatient clinics.  All had type 2 diabetes (T2DM) diagnosed according to WHO criteria. Exclusion criteria included: non-diabetic neuropathies, history of alcohol consumption of more than 24 units a week, diabetic neuropathies other than </w:t>
      </w:r>
      <w:proofErr w:type="spellStart"/>
      <w:r>
        <w:rPr>
          <w:lang w:val="en-US"/>
        </w:rPr>
        <w:t>DPN</w:t>
      </w:r>
      <w:proofErr w:type="spellEnd"/>
      <w:r>
        <w:rPr>
          <w:lang w:val="en-US"/>
        </w:rPr>
        <w:t xml:space="preserve">, neurological or other systemic disorders.  All participants gave written, informed consent before their participation in the study, which had prior Ethics Approval by the Sheffield Research Ethics Committee (Study Number STH15701). </w:t>
      </w:r>
    </w:p>
    <w:p w14:paraId="542976BD" w14:textId="77777777" w:rsidR="00876259" w:rsidRDefault="00876259" w:rsidP="00876259">
      <w:pPr>
        <w:pStyle w:val="Heading2"/>
        <w:spacing w:line="480" w:lineRule="auto"/>
        <w:rPr>
          <w:i w:val="0"/>
          <w:iCs w:val="0"/>
          <w:sz w:val="24"/>
          <w:szCs w:val="24"/>
        </w:rPr>
      </w:pPr>
      <w:bookmarkStart w:id="81" w:name="_Toc36"/>
      <w:bookmarkStart w:id="82" w:name="_Toc6093009"/>
      <w:r>
        <w:rPr>
          <w:i w:val="0"/>
          <w:iCs w:val="0"/>
          <w:sz w:val="24"/>
          <w:szCs w:val="24"/>
          <w:lang w:val="en-US"/>
        </w:rPr>
        <w:t>3.2 Neuropathy assessment</w:t>
      </w:r>
      <w:bookmarkEnd w:id="81"/>
      <w:bookmarkEnd w:id="82"/>
    </w:p>
    <w:p w14:paraId="104B9944" w14:textId="212908D6" w:rsidR="005F7971" w:rsidRDefault="00876259" w:rsidP="00876259">
      <w:pPr>
        <w:pStyle w:val="BodyA"/>
        <w:spacing w:line="480" w:lineRule="auto"/>
        <w:jc w:val="both"/>
      </w:pPr>
      <w:r>
        <w:rPr>
          <w:lang w:val="en-US"/>
        </w:rPr>
        <w:t xml:space="preserve">All participants underwent: 1) evaluation of the </w:t>
      </w:r>
      <w:proofErr w:type="spellStart"/>
      <w:r>
        <w:rPr>
          <w:lang w:val="en-US"/>
        </w:rPr>
        <w:t>Douleur</w:t>
      </w:r>
      <w:proofErr w:type="spellEnd"/>
      <w:r>
        <w:rPr>
          <w:lang w:val="en-US"/>
        </w:rPr>
        <w:t xml:space="preserve"> Neuropathique-4 (DN4) questionnaire </w:t>
      </w:r>
      <w:r>
        <w:rPr>
          <w:lang w:val="it-IT"/>
        </w:rPr>
        <w:fldChar w:fldCharType="begin"/>
      </w:r>
      <w:r w:rsidRPr="005B5764">
        <w:instrText xml:space="preserve"> ADDIN EN.CITE &lt;EndNote&gt;&lt;Cite  &gt;&lt;Author&gt;Spallone&lt;/Author&gt;&lt;Year&gt;2012&lt;/Year&gt;&lt;RecNum&gt;411&lt;/RecNum&gt;&lt;DisplayText&gt;(Spallone et al., 2012)&lt;/DisplayText&gt;&lt;record&gt;&lt;dates&gt;&lt;pub-dates&gt;&lt;date&gt;May&lt;/date&gt;&lt;/pub-dates&gt;&lt;year&gt;2012&lt;/year&gt;&lt;/dates&gt;&lt;keywords&gt;&lt;keyword&gt;Cross-Sectional Studies&lt;/keyword&gt;&lt;keyword&gt;Diabetic Neuropathies&lt;/keyword&gt;&lt;keyword&gt;Female&lt;/keyword&gt;&lt;keyword&gt;Humans&lt;/keyword&gt;&lt;keyword&gt;Italy&lt;/keyword&gt;&lt;keyword&gt;Male&lt;/keyword&gt;&lt;keyword&gt;Mass Screening&lt;/keyword&gt;&lt;keyword&gt;Middle Aged&lt;/keyword&gt;&lt;keyword&gt;Neuralgia&lt;/keyword&gt;&lt;keyword&gt;Pain Measurement&lt;/keyword&gt;&lt;keyword&gt;Reproducibility of Results&lt;/keyword&gt;&lt;keyword&gt;Sensitivity and Specificity&lt;/keyword&gt;&lt;keyword&gt;Surveys and Questionnaires&lt;/keyword&gt;&lt;keyword&gt;Vibration&lt;/keyword&gt;&lt;/keywords&gt;&lt;urls&gt;&lt;related-urls&gt;&lt;url&gt;https://www.ncbi.nlm.nih.gov/pubmed/22023377&lt;/url&gt;&lt;/related-urls&gt;&lt;/urls&gt;&lt;isbn&gt;1464-5491&lt;/isbn&gt;&lt;titles&gt;&lt;title&gt;Validation of DN4 as a screening tool for neuropathic pain in painful diabetic polyneuropathy&lt;/title&gt;&lt;secondary-title&gt;Diabet Med&lt;/secondary-title&gt;&lt;/titles&gt;&lt;pages&gt;578-85&lt;/pages&gt;&lt;number&gt;5&lt;/number&gt;&lt;contributors&gt;&lt;authors&gt;&lt;author&gt;Spallone, V.&lt;/author&gt;&lt;author&gt;Morganti, R.&lt;/author&gt;&lt;author&gt;D'Amato, C.&lt;/author&gt;&lt;author&gt;Greco, C.&lt;/author&gt;&lt;author&gt;Cacciotti, L.&lt;/author&gt;&lt;author&gt;Marfia, G. A.&lt;/author&gt;&lt;/authors&gt;&lt;/contributors&gt;&lt;language&gt;ENG&lt;/language&gt;&lt;added-date format="utc"&gt;1480205480&lt;/added-date&gt;&lt;ref-type name="Journal Article"&gt;17&lt;/ref-type&gt;&lt;rec-number&gt;411&lt;/rec-number&gt;&lt;last-updated-date format="utc"&gt;1480205480&lt;/last-updated-date&gt;&lt;accession-num&gt;22023377&lt;/accession-num&gt;&lt;electronic-resource-num&gt;10.1111/j.1464-5491.2011.03500.x&lt;/electronic-resource-num&gt;&lt;volume&gt;29&lt;/volume&gt;&lt;/record&gt;&lt;/Cite&gt;&lt;/EndNote&gt;</w:instrText>
      </w:r>
      <w:r>
        <w:rPr>
          <w:lang w:val="it-IT"/>
        </w:rPr>
        <w:fldChar w:fldCharType="separate"/>
      </w:r>
      <w:r w:rsidRPr="005B5764">
        <w:t>(Spallone et al., 2012)</w:t>
      </w:r>
      <w:r>
        <w:rPr>
          <w:lang w:val="it-IT"/>
        </w:rPr>
        <w:fldChar w:fldCharType="end"/>
      </w:r>
      <w:r>
        <w:rPr>
          <w:lang w:val="en-US"/>
        </w:rPr>
        <w:t xml:space="preserve"> [and the Painful </w:t>
      </w:r>
      <w:proofErr w:type="spellStart"/>
      <w:r>
        <w:rPr>
          <w:lang w:val="en-US"/>
        </w:rPr>
        <w:t>DPN</w:t>
      </w:r>
      <w:proofErr w:type="spellEnd"/>
      <w:r>
        <w:rPr>
          <w:lang w:val="en-US"/>
        </w:rPr>
        <w:t xml:space="preserve"> group only also had Neuropathic Pain Symptom Inventory (</w:t>
      </w:r>
      <w:proofErr w:type="spellStart"/>
      <w:r>
        <w:rPr>
          <w:lang w:val="en-US"/>
        </w:rPr>
        <w:t>NPSI</w:t>
      </w:r>
      <w:proofErr w:type="spellEnd"/>
      <w:r>
        <w:rPr>
          <w:lang w:val="en-US"/>
        </w:rPr>
        <w:t xml:space="preserve">) assessed], 2) Neuropathy Impairment Score Lower Limb [NIS(LL)] to assess clinical peripheral neurological status </w:t>
      </w:r>
      <w:r>
        <w:rPr>
          <w:lang w:val="sv-SE"/>
        </w:rPr>
        <w:fldChar w:fldCharType="begin"/>
      </w:r>
      <w:r w:rsidRPr="005B5764">
        <w:instrText xml:space="preserve"> ADDIN EN.CITE &lt;EndNote&gt;&lt;Cite  &gt;&lt;Author&gt;Dyck&lt;/Author&gt;&lt;Year&gt;2003&lt;/Year&gt;&lt;RecNum&gt;58&lt;/RecNum&gt;&lt;DisplayText&gt;(Dyck et al., 2003)&lt;/DisplayText&gt;&lt;record&gt;&lt;keywords&gt;&lt;keyword&gt;Concordance Of Nerve Tests&lt;/keyword&gt;&lt;keyword&gt;Nerve Conductions&lt;/keyword&gt;&lt;keyword&gt;Neuropathic Abnormality Sensitivity&lt;/keyword&gt;&lt;keyword&gt;Representativeness&lt;/keyword&gt;&lt;keyword&gt;Reproducibility&lt;/keyword&gt;&lt;/keywords&gt;&lt;isbn&gt;0148-639X&lt;/isbn&gt;&lt;titles&gt;&lt;title&gt;Individual attributes versus composite scores of nerve conduction abnormality: Sensitivity, reproducibility, and concordance with impairment&lt;/title&gt;&lt;secondary-title&gt;Muscle &amp;amp; Nerve&lt;/secondary-title&gt;&lt;/titles&gt;&lt;pages&gt;202-210&lt;/pages&gt;&lt;number&gt;2&lt;/number&gt;&lt;contributors&gt;&lt;authors&gt;&lt;author&gt;Dyck, Peter J.&lt;/author&gt;&lt;author&gt;Litchy, William J.&lt;/author&gt;&lt;author&gt;Daube, Jasper R.&lt;/author&gt;&lt;author&gt;Harper, C. Michel&lt;/author&gt;&lt;author&gt;Dyck, P. James B.&lt;/author&gt;&lt;author&gt;Davies, Jenny&lt;/author&gt;&lt;author&gt;Brien, Peter C.&lt;/author&gt;&lt;/authors&gt;&lt;/contributors&gt;&lt;added-date format="utc"&gt;1382890213&lt;/added-date&gt;&lt;pub-location&gt;New York&lt;/pub-location&gt;&lt;ref-type name="Journal Article"&gt;17&lt;/ref-type&gt;&lt;dates&gt;&lt;year&gt;2003&lt;/year&gt;&lt;/dates&gt;&lt;rec-number&gt;58&lt;/rec-number&gt;&lt;last-updated-date format="utc"&gt;1382947390&lt;/last-updated-date&gt;&lt;electronic-resource-num&gt;10.1002/mus.10320&lt;/electronic-resource-num&gt;&lt;volume&gt;27&lt;/volume&gt;&lt;/record&gt;&lt;/Cite&gt;&lt;/EndNote&gt;</w:instrText>
      </w:r>
      <w:r>
        <w:rPr>
          <w:lang w:val="sv-SE"/>
        </w:rPr>
        <w:fldChar w:fldCharType="separate"/>
      </w:r>
      <w:r w:rsidRPr="005B5764">
        <w:t>(Dyck et al., 2003)</w:t>
      </w:r>
      <w:r>
        <w:rPr>
          <w:lang w:val="sv-SE"/>
        </w:rPr>
        <w:fldChar w:fldCharType="end"/>
      </w:r>
      <w:r>
        <w:rPr>
          <w:lang w:val="en-US"/>
        </w:rPr>
        <w:t>, 3) Cardiac Autonomic Function Tests (</w:t>
      </w:r>
      <w:proofErr w:type="spellStart"/>
      <w:r>
        <w:rPr>
          <w:lang w:val="en-US"/>
        </w:rPr>
        <w:t>CAFTs</w:t>
      </w:r>
      <w:proofErr w:type="spellEnd"/>
      <w:r>
        <w:rPr>
          <w:lang w:val="en-US"/>
        </w:rPr>
        <w:t>) using the O’</w:t>
      </w:r>
      <w:r w:rsidRPr="005B5764">
        <w:t xml:space="preserve">Brien protocol </w:t>
      </w:r>
      <w:r>
        <w:fldChar w:fldCharType="begin"/>
      </w:r>
      <w:r>
        <w:instrText xml:space="preserve"> ADDIN EN.CITE &lt;EndNote&gt;&lt;Cite  &gt;&lt;Author&gt;England&lt;/Author&gt;&lt;Year&gt;2009&lt;/Year&gt;&lt;RecNum&gt;23&lt;/RecNum&gt;&lt;DisplayText&gt;(England et al., 2009)&lt;/DisplayText&gt;&lt;record&gt;&lt;keywords&gt;&lt;keyword&gt;Peripheral Nerves -- Pathology&lt;/keyword&gt;&lt;keyword&gt;Polyneuropathies -- Diagnosis&lt;/keyword&gt;&lt;keyword&gt;Sensory Receptor Cells -- Pathology&lt;/keyword&gt;&lt;/keywords&gt;&lt;titles&gt;&lt;title&gt;Practice Parameter: evaluation of distal symmetric polyneuropathy: role of autonomic testing, nerve biopsy, and skin biopsy (an evidence- based review). Report of the American Academy of Neurology, American Association of Neuromuscular and Electrodiagnostic Medicine, and American Academy of Physical Medicine and Rehabilitation&lt;/title&gt;&lt;secondary-title&gt;Neurology&lt;/secondary-title&gt;&lt;/titles&gt;&lt;pages&gt;177&lt;/pages&gt;&lt;number&gt;2&lt;/number&gt;&lt;contributors&gt;&lt;authors&gt;&lt;author&gt;England, J. D.&lt;/author&gt;&lt;author&gt;Gronseth, G. S.&lt;/author&gt;&lt;author&gt;Franklin, G.&lt;/author&gt;&lt;author&gt;Carter, G. T.&lt;/author&gt;&lt;author&gt;Kinsella, L. J.&lt;/author&gt;&lt;author&gt;Cohen, J. A.&lt;/author&gt;&lt;author&gt;Asbury, A. K.&lt;/author&gt;&lt;author&gt;Szigeti, K.&lt;/author&gt;&lt;author&gt;Lupski, J. R.&lt;/author&gt;&lt;author&gt;Latov, N.&lt;/author&gt;&lt;author&gt;Lewis, R. A.&lt;/author&gt;&lt;author&gt;Low, P. A.&lt;/author&gt;&lt;author&gt;Fisher, M. A.&lt;/author&gt;&lt;author&gt;Herrmann, D. N.&lt;/author&gt;&lt;author&gt;Howard, J. F.&lt;/author&gt;&lt;author&gt;Lauria, G.&lt;/author&gt;&lt;author&gt;Miller, R. G.&lt;/author&gt;&lt;author&gt;Polydefkis, M.&lt;/author&gt;&lt;author&gt;Sumner, A. J.&lt;/author&gt;&lt;/authors&gt;&lt;/contributors&gt;&lt;added-date format="utc"&gt;1382388782&lt;/added-date&gt;&lt;ref-type name="Journal Article"&gt;17&lt;/ref-type&gt;&lt;dates&gt;&lt;year&gt;2009&lt;/year&gt;&lt;/dates&gt;&lt;rec-number&gt;23&lt;/rec-number&gt;&lt;last-updated-date format="utc"&gt;1382395001&lt;/last-updated-date&gt;&lt;electronic-resource-num&gt;10.1212/01.wnl.0000336345.70511.0f&lt;/electronic-resource-num&gt;&lt;volume&gt;72&lt;/volume&gt;&lt;/record&gt;&lt;/Cite&gt;&lt;/EndNote&gt;</w:instrText>
      </w:r>
      <w:r>
        <w:fldChar w:fldCharType="separate"/>
      </w:r>
      <w:r>
        <w:t>(England et al., 2009)</w:t>
      </w:r>
      <w:r>
        <w:fldChar w:fldCharType="end"/>
      </w:r>
      <w:r>
        <w:rPr>
          <w:lang w:val="en-US"/>
        </w:rPr>
        <w:t>, which included a total of five measurements [Heart rate variability (</w:t>
      </w:r>
      <w:proofErr w:type="spellStart"/>
      <w:r>
        <w:rPr>
          <w:lang w:val="en-US"/>
        </w:rPr>
        <w:t>HRV</w:t>
      </w:r>
      <w:proofErr w:type="spellEnd"/>
      <w:r>
        <w:rPr>
          <w:lang w:val="en-US"/>
        </w:rPr>
        <w:t xml:space="preserve">) during supine rest, standing, deep breathing, </w:t>
      </w:r>
      <w:proofErr w:type="spellStart"/>
      <w:r>
        <w:rPr>
          <w:lang w:val="en-US"/>
        </w:rPr>
        <w:t>valsalva</w:t>
      </w:r>
      <w:proofErr w:type="spellEnd"/>
      <w:r>
        <w:rPr>
          <w:lang w:val="en-US"/>
        </w:rPr>
        <w:t xml:space="preserve"> </w:t>
      </w:r>
      <w:proofErr w:type="spellStart"/>
      <w:r>
        <w:rPr>
          <w:lang w:val="en-US"/>
        </w:rPr>
        <w:t>manoeuvre</w:t>
      </w:r>
      <w:proofErr w:type="spellEnd"/>
      <w:r>
        <w:rPr>
          <w:lang w:val="en-US"/>
        </w:rPr>
        <w:t xml:space="preserve"> and postural drop in blood pressure], 4) nerve conduction studies (</w:t>
      </w:r>
      <w:proofErr w:type="spellStart"/>
      <w:r>
        <w:rPr>
          <w:lang w:val="en-US"/>
        </w:rPr>
        <w:t>NCS</w:t>
      </w:r>
      <w:proofErr w:type="spellEnd"/>
      <w:r>
        <w:rPr>
          <w:lang w:val="en-US"/>
        </w:rPr>
        <w:t>) of the sural, common peroneal and tibial nerves at a stable skin temperature of 31</w:t>
      </w:r>
      <w:r>
        <w:rPr>
          <w:vertAlign w:val="superscript"/>
        </w:rPr>
        <w:t>0</w:t>
      </w:r>
      <w:r>
        <w:rPr>
          <w:lang w:val="en-US"/>
        </w:rPr>
        <w:t>C and a room temperature of 24</w:t>
      </w:r>
      <w:r>
        <w:rPr>
          <w:vertAlign w:val="superscript"/>
        </w:rPr>
        <w:t>0</w:t>
      </w:r>
      <w:r>
        <w:rPr>
          <w:lang w:val="en-US"/>
        </w:rPr>
        <w:t xml:space="preserve">C, using a </w:t>
      </w:r>
      <w:proofErr w:type="spellStart"/>
      <w:r>
        <w:rPr>
          <w:lang w:val="en-US"/>
        </w:rPr>
        <w:t>Medelec</w:t>
      </w:r>
      <w:proofErr w:type="spellEnd"/>
      <w:r>
        <w:rPr>
          <w:lang w:val="en-US"/>
        </w:rPr>
        <w:t xml:space="preserve"> electrophysiological system (Synergy Oxford Instruments, Oxford, UK), and 5) detailed Quantitative Sensory Testing (</w:t>
      </w:r>
      <w:proofErr w:type="spellStart"/>
      <w:r>
        <w:rPr>
          <w:lang w:val="en-US"/>
        </w:rPr>
        <w:t>QST</w:t>
      </w:r>
      <w:proofErr w:type="spellEnd"/>
      <w:r>
        <w:rPr>
          <w:lang w:val="en-US"/>
        </w:rPr>
        <w:t xml:space="preserve">) to assess large and small </w:t>
      </w:r>
      <w:proofErr w:type="spellStart"/>
      <w:r>
        <w:rPr>
          <w:lang w:val="en-US"/>
        </w:rPr>
        <w:t>fibre</w:t>
      </w:r>
      <w:proofErr w:type="spellEnd"/>
      <w:r>
        <w:rPr>
          <w:lang w:val="en-US"/>
        </w:rPr>
        <w:t xml:space="preserve"> function according to the German Research Network on Neuropathic Pain (</w:t>
      </w:r>
      <w:proofErr w:type="spellStart"/>
      <w:r>
        <w:rPr>
          <w:lang w:val="en-US"/>
        </w:rPr>
        <w:t>DFNS</w:t>
      </w:r>
      <w:proofErr w:type="spellEnd"/>
      <w:r>
        <w:rPr>
          <w:lang w:val="en-US"/>
        </w:rPr>
        <w:t xml:space="preserve">) protocol </w:t>
      </w:r>
      <w:r>
        <w:rPr>
          <w:lang w:val="fr-FR"/>
        </w:rPr>
        <w:fldChar w:fldCharType="begin"/>
      </w:r>
      <w:r w:rsidRPr="005B5764">
        <w:instrText xml:space="preserve"> ADDIN EN.CITE &lt;EndNote&gt;&lt;Cite  &gt;&lt;Author&gt;Pfau&lt;/Author&gt;&lt;Year&gt;2012&lt;/Year&gt;&lt;RecNum&gt;339&lt;/RecNum&gt;&lt;DisplayText&gt;(Pfau et al., 2012)&lt;/DisplayText&gt;&lt;record&gt;&lt;keywords&gt;&lt;keyword&gt;Pain Threshold&lt;/keyword&gt;&lt;keyword&gt;Chronic Pain -- Diagnosis&lt;/keyword&gt;&lt;keyword&gt;Diagnostic Techniques, Neurological -- Instrumentation&lt;/keyword&gt;&lt;keyword&gt;Neuralgia -- Diagnosis&lt;/keyword&gt;&lt;keyword&gt;Pain Measurement -- Methods&lt;/keyword&gt;&lt;keyword&gt;Somatosensory Disorders -- Diagnosis&lt;/keyword&gt;&lt;/keywords&gt;&lt;titles&gt;&lt;title&gt;Quantitative sensory testing of neuropathic pain patients: potential mechanistic and therapeutic implications&lt;/title&gt;&lt;secondary-title&gt;Current pain and headache reports&lt;/secondary-title&gt;&lt;/titles&gt;&lt;pages&gt;199&lt;/pages&gt;&lt;number&gt;3&lt;/number&gt;&lt;contributors&gt;&lt;authors&gt;&lt;author&gt;Pfau, Doreen B.&lt;/author&gt;&lt;author&gt;Geber, Christian&lt;/author&gt;&lt;author&gt;Birklein, Frank&lt;/author&gt;&lt;author&gt;Treede, Rolf-detlef&lt;/author&gt;&lt;author&gt;Treede, Rolf-Detlef&lt;/auth</w:instrText>
      </w:r>
      <w:r w:rsidRPr="005B5764">
        <w:rPr>
          <w:lang w:val="en-US"/>
        </w:rPr>
        <w:instrText>or&gt;&lt;/authors&gt;&lt;/contributors&gt;&lt;added-date format="utc"&gt;1386724685&lt;/added-date&gt;&lt;ref-type name="Journal Article"&gt;17&lt;/ref-type&gt;&lt;dates&gt;&lt;year&gt;2012&lt;/year&gt;&lt;/dates&gt;&lt;rec-number&gt;339&lt;/rec-number&gt;&lt;last-updated-date format="utc"&gt;1387847341&lt;/last-updated-date&gt;&lt;electronic-resource-num&gt;10.1007/s11916-012-0261-3&lt;/electronic-resource-num&gt;&lt;volume&gt;16&lt;/volume&gt;&lt;/record&gt;&lt;/Cite&gt;&lt;/EndNote&gt;</w:instrText>
      </w:r>
      <w:r>
        <w:rPr>
          <w:lang w:val="fr-FR"/>
        </w:rPr>
        <w:fldChar w:fldCharType="separate"/>
      </w:r>
      <w:r w:rsidRPr="005B5764">
        <w:rPr>
          <w:lang w:val="en-US"/>
        </w:rPr>
        <w:t>(Pfau et al., 2012)</w:t>
      </w:r>
      <w:r>
        <w:rPr>
          <w:lang w:val="fr-FR"/>
        </w:rPr>
        <w:fldChar w:fldCharType="end"/>
      </w:r>
      <w:r>
        <w:rPr>
          <w:lang w:val="en-US"/>
        </w:rPr>
        <w:t xml:space="preserve"> </w:t>
      </w:r>
      <w:proofErr w:type="spellStart"/>
      <w:r>
        <w:rPr>
          <w:lang w:val="en-US"/>
        </w:rPr>
        <w:t>utilising</w:t>
      </w:r>
      <w:proofErr w:type="spellEnd"/>
      <w:r>
        <w:rPr>
          <w:lang w:val="en-US"/>
        </w:rPr>
        <w:t xml:space="preserve"> the Medoc TSA 2 Neurosensory </w:t>
      </w:r>
      <w:proofErr w:type="spellStart"/>
      <w:r>
        <w:rPr>
          <w:lang w:val="en-US"/>
        </w:rPr>
        <w:t>analyser</w:t>
      </w:r>
      <w:proofErr w:type="spellEnd"/>
      <w:r>
        <w:rPr>
          <w:lang w:val="en-US"/>
        </w:rPr>
        <w:t xml:space="preserve"> (Medoc Ltd., </w:t>
      </w:r>
      <w:r>
        <w:rPr>
          <w:shd w:val="clear" w:color="auto" w:fill="FFFFFF"/>
        </w:rPr>
        <w:t xml:space="preserve">Ramat </w:t>
      </w:r>
      <w:r>
        <w:rPr>
          <w:shd w:val="clear" w:color="auto" w:fill="FFFFFF"/>
        </w:rPr>
        <w:lastRenderedPageBreak/>
        <w:t>Yishai,</w:t>
      </w:r>
      <w:r>
        <w:rPr>
          <w:shd w:val="clear" w:color="auto" w:fill="FFFFFF"/>
          <w:lang w:val="en-US"/>
        </w:rPr>
        <w:t> </w:t>
      </w:r>
      <w:r>
        <w:rPr>
          <w:i/>
          <w:iCs/>
          <w:shd w:val="clear" w:color="auto" w:fill="FFFFFF"/>
        </w:rPr>
        <w:t>Israel)</w:t>
      </w:r>
      <w:r>
        <w:rPr>
          <w:lang w:val="en-US"/>
        </w:rPr>
        <w:t xml:space="preserve">. The </w:t>
      </w:r>
      <w:proofErr w:type="spellStart"/>
      <w:r>
        <w:rPr>
          <w:lang w:val="en-US"/>
        </w:rPr>
        <w:t>DFNS</w:t>
      </w:r>
      <w:proofErr w:type="spellEnd"/>
      <w:r>
        <w:rPr>
          <w:lang w:val="en-US"/>
        </w:rPr>
        <w:t xml:space="preserve"> protocol includes seven tests measuring 13 parameters. This extended </w:t>
      </w:r>
      <w:proofErr w:type="spellStart"/>
      <w:r>
        <w:rPr>
          <w:lang w:val="en-US"/>
        </w:rPr>
        <w:t>QST</w:t>
      </w:r>
      <w:proofErr w:type="spellEnd"/>
      <w:r>
        <w:rPr>
          <w:lang w:val="en-US"/>
        </w:rPr>
        <w:t xml:space="preserve"> protocol assesses the function of various somatosensory modalities corresponding to specific receptors, peripheral nerve </w:t>
      </w:r>
      <w:proofErr w:type="spellStart"/>
      <w:r>
        <w:rPr>
          <w:lang w:val="en-US"/>
        </w:rPr>
        <w:t>fibres</w:t>
      </w:r>
      <w:proofErr w:type="spellEnd"/>
      <w:r>
        <w:rPr>
          <w:lang w:val="en-US"/>
        </w:rPr>
        <w:t xml:space="preserve"> and their central pathways </w:t>
      </w:r>
      <w:r>
        <w:fldChar w:fldCharType="begin"/>
      </w:r>
      <w:r>
        <w:instrText xml:space="preserve"> ADDIN EN.CITE &lt;EndNote&gt;&lt;Cite  &gt;&lt;Author&gt;Rolke&lt;/Author&gt;&lt;Year&gt;2006&lt;/Year&gt;&lt;DisplayText&gt;(Rolke et al., 2006)&lt;/DisplayText&gt;&lt;record&gt;&lt;keywords&gt;&lt;keyword&gt;ALL&lt;/keyword&gt;&lt;keyword&gt;CDT&lt;/keyword&gt;&lt;keyword&gt;CPT&lt;/keyword&gt;&lt;keyword&gt;DFNS&lt;/keyword&gt;&lt;keyword&gt;HPT&lt;/keyword&gt;&lt;keyword&gt;MDT&lt;/keyword&gt;&lt;keyword&gt;MPS&lt;/keyword&gt;&lt;keyword&gt;MPT&lt;/keyword&gt;&lt;keyword&gt;PHS&lt;/keyword&gt;&lt;keyword&gt;PPT&lt;/keyword&gt;&lt;keyword&gt;QST&lt;/keyword&gt;&lt;keyword&gt;TSL&lt;/keyword&gt;&lt;keyword&gt;VDT&lt;/keyword&gt;&lt;keyword&gt;WDT&lt;/keyword&gt;&lt;keyword&gt;WUR&lt;/keyword&gt;&lt;keyword&gt;QST&lt;/keyword&gt;&lt;keyword&gt;Sensory profile&lt;/keyword&gt;&lt;keyword&gt;Allodynia&lt;/keyword&gt;&lt;keyword&gt;Hyperalgesia&lt;/keyword&gt;&lt;keyword&gt;Hypoesthesia&lt;/keyword&gt;&lt;keyword&gt;Hypoalgesia&lt;/keyword&gt;&lt;keyword&gt;Paradoxical heat sensation&lt;/keyword&gt;&lt;keyword&gt;Standardized instructions&lt;/keyword&gt;&lt;keyword&gt;Reference data&lt;/keyword&gt;&lt;keyword&gt;z -score&lt;/keyword&gt;&lt;keyword&gt;Sensory profiling&lt;/keyword&gt;&lt;/keywords&gt;&lt;isbn&gt;0304-3959&lt;/isbn&gt;&lt;titles&gt;&lt;title&gt;Quantitative sensory testing in the German Research Network on Neuropathic Pain (DFNS): Standardized protocol and reference values&lt;/title&gt;&lt;secondary-title&gt;Pain&lt;/secondary-title&gt;&lt;/titles&gt;&lt;pages&gt;231-243&lt;/pages&gt;&lt;number&gt;3&lt;/number&gt;&lt;contributors&gt;&lt;authors&gt;&lt;author&gt;Rolke, R.&lt;/author&gt;&lt;author&gt;Baron, R.&lt;/author&gt;&lt;author&gt;Maier, C.&lt;/author&gt;&lt;author&gt;Tölle, T. R.&lt;/author&gt;&lt;author&gt;Treede, R. D.&lt;/author&gt;&lt;author&gt;Beyer, A.&lt;/author&gt;&lt;author&gt;Binder, A.&lt;/author&gt;&lt;author&gt;Birbaumer, N.&lt;/author&gt;&lt;author&gt;Birklein, F.&lt;/author&gt;&lt;author&gt;Bötefür, I. C.&lt;/author&gt;&lt;author&gt;Braune, S.&lt;/author&gt;&lt;author&gt;Flor, H.&lt;/author&gt;&lt;author&gt;Huge, V.&lt;/author&gt;&lt;author&gt;Klug, R.&lt;/author&gt;&lt;author&gt;Landwehrmeyer, G. B.&lt;/author&gt;&lt;author&gt;Magerl, W.&lt;/author&gt;&lt;author&gt;Maihöfner, C.&lt;/author&gt;&lt;author&gt;Rolko, C.&lt;/author&gt;&lt;author&gt;Schaub, C.&lt;/author&gt;&lt;author&gt;Scherens, A.&lt;/author&gt;&lt;author&gt;Sprenger, T.&lt;/author&gt;&lt;author&gt;Valet, M.&lt;/author&gt;&lt;author&gt;Wasserka, B.&lt;/author&gt;&lt;/authors&gt;&lt;/contributors&gt;&lt;added-date format="utc"&gt;1386722985&lt;/added-date&gt;&lt;ref-type name="Journal Article"&gt;17&lt;/ref-type&gt;&lt;dates&gt;&lt;year&gt;2006&lt;/year&gt;&lt;/dates&gt;&lt;rec-number&gt;333&lt;/rec-number&gt;&lt;last-updated-date format="utc"&gt;1387847341&lt;/last-updated-date&gt;&lt;electronic-resource-num&gt;10.1016/j.pain.2006.01.041&lt;/electronic-resource-num&gt;&lt;volume&gt;123&lt;/volume&gt;&lt;/record&gt;&lt;/Cite&gt;&lt;/EndNote&gt;</w:instrText>
      </w:r>
      <w:r>
        <w:fldChar w:fldCharType="separate"/>
      </w:r>
      <w:r>
        <w:t>(Rolke et al., 2006)</w:t>
      </w:r>
      <w:r>
        <w:fldChar w:fldCharType="end"/>
      </w:r>
      <w:r>
        <w:rPr>
          <w:lang w:val="en-US"/>
        </w:rPr>
        <w:t>. Peripheral sudomotor function was assessed with measurement of foot Electrochemical Skin Conductan</w:t>
      </w:r>
      <w:r w:rsidR="00335BB4">
        <w:rPr>
          <w:lang w:val="en-US"/>
        </w:rPr>
        <w:t xml:space="preserve">ce (ESC) using the </w:t>
      </w:r>
      <w:proofErr w:type="spellStart"/>
      <w:r w:rsidR="00335BB4">
        <w:rPr>
          <w:lang w:val="en-US"/>
        </w:rPr>
        <w:t>SUDOSCAN</w:t>
      </w:r>
      <w:proofErr w:type="spellEnd"/>
      <w:r w:rsidR="00335BB4">
        <w:rPr>
          <w:lang w:val="en-US"/>
        </w:rPr>
        <w:t xml:space="preserve"> </w:t>
      </w:r>
      <w:r w:rsidR="00041678">
        <w:rPr>
          <w:lang w:val="en-US"/>
        </w:rPr>
        <w:fldChar w:fldCharType="begin"/>
      </w:r>
      <w:r w:rsidR="00041678">
        <w:rPr>
          <w:lang w:val="en-US"/>
        </w:rPr>
        <w:instrText xml:space="preserve"> ADDIN EN.CITE &lt;EndNote&gt;&lt;Cite&gt;&lt;Author&gt;Casellini&lt;/Author&gt;&lt;Year&gt;2013&lt;/Year&gt;&lt;IDText&gt;Sudoscan, a noninvasive tool for detecting diabetic small fiber neuropathy and autonomic dysfunction&lt;/IDText&gt;&lt;DisplayText&gt;(Casellini et al., 2013)&lt;/DisplayText&gt;&lt;record&gt;&lt;dates&gt;&lt;pub-dates&gt;&lt;date&gt;Nov&lt;/date&gt;&lt;/pub-dates&gt;&lt;year&gt;2013&lt;/year&gt;&lt;/dates&gt;&lt;keywords&gt;&lt;keyword&gt;Adult&lt;/keyword&gt;&lt;keyword&gt;Autonomic Nervous System&lt;/keyword&gt;&lt;keyword&gt;Diabetes Mellitus, Type 2&lt;/keyword&gt;&lt;keyword&gt;Diabetic Neuropathies&lt;/keyword&gt;&lt;keyword&gt;Female&lt;/keyword&gt;&lt;keyword&gt;Foot&lt;/keyword&gt;&lt;keyword&gt;Galvanic Skin Response&lt;/keyword&gt;&lt;keyword&gt;Hand&lt;/keyword&gt;&lt;keyword&gt;Humans&lt;/keyword&gt;&lt;keyword&gt;Male&lt;/keyword&gt;&lt;keyword&gt;Predictive Value of Tests&lt;/keyword&gt;&lt;keyword&gt;ROC Curve&lt;/keyword&gt;&lt;keyword&gt;Reproducibility of Results&lt;/keyword&gt;&lt;keyword&gt;Sensory Thresholds&lt;/keyword&gt;&lt;keyword&gt;Skin&lt;/keyword&gt;&lt;keyword&gt;Visual Analog Scale&lt;/keyword&gt;&lt;/keywords&gt;&lt;urls&gt;&lt;related-urls&gt;&lt;url&gt;https://www.ncbi.nlm.nih.gov/pubmed/23889506&lt;/url&gt;&lt;/related-urls&gt;&lt;/urls&gt;&lt;isbn&gt;1557-8593&lt;/isbn&gt;&lt;custom2&gt;PMC3817891&lt;/custom2&gt;&lt;titles&gt;&lt;title&gt;Sudoscan, a noninvasive tool for detecting diabetic small fiber neuropathy and autonomic dysfunction&lt;/title&gt;&lt;secondary-title&gt;Diabetes Technol Ther&lt;/secondary-title&gt;&lt;/titles&gt;&lt;pages&gt;948-53&lt;/pages&gt;&lt;number&gt;11&lt;/number&gt;&lt;contributors&gt;&lt;authors&gt;&lt;author&gt;Casellini, C. M.&lt;/author&gt;&lt;author&gt;Parson, H. K.&lt;/author&gt;&lt;author&gt;Richardson, M. S.&lt;/author&gt;&lt;author&gt;Nevoret, M. L.&lt;/author&gt;&lt;author&gt;Vinik, A. I.&lt;/author&gt;&lt;/authors&gt;&lt;/contributors&gt;&lt;edition&gt;2013/07/27&lt;/edition&gt;&lt;language&gt;eng&lt;/language&gt;&lt;added-date format="utc"&gt;1566165057&lt;/added-date&gt;&lt;ref-type name="Journal Article"&gt;17&lt;/ref-type&gt;&lt;rec-number&gt;587&lt;/rec-number&gt;&lt;last-updated-date format="utc"&gt;1566165057&lt;/last-updated-date&gt;&lt;accession-num&gt;23889506&lt;/accession-num&gt;&lt;electronic-resource-num&gt;10.1089/dia.2013.0129&lt;/electronic-resource-num&gt;&lt;volume&gt;15&lt;/volume&gt;&lt;/record&gt;&lt;/Cite&gt;&lt;/EndNote&gt;</w:instrText>
      </w:r>
      <w:r w:rsidR="00041678">
        <w:rPr>
          <w:lang w:val="en-US"/>
        </w:rPr>
        <w:fldChar w:fldCharType="separate"/>
      </w:r>
      <w:r w:rsidR="00041678">
        <w:rPr>
          <w:noProof/>
          <w:lang w:val="en-US"/>
        </w:rPr>
        <w:t>(Casellini et al., 2013)</w:t>
      </w:r>
      <w:r w:rsidR="00041678">
        <w:rPr>
          <w:lang w:val="en-US"/>
        </w:rPr>
        <w:fldChar w:fldCharType="end"/>
      </w:r>
      <w:r>
        <w:rPr>
          <w:lang w:val="en-US"/>
        </w:rPr>
        <w:t>.</w:t>
      </w:r>
    </w:p>
    <w:p w14:paraId="502343DA" w14:textId="4534A931" w:rsidR="00876259" w:rsidRDefault="00876259" w:rsidP="00876259">
      <w:pPr>
        <w:pStyle w:val="BodyA"/>
        <w:spacing w:line="480" w:lineRule="auto"/>
        <w:jc w:val="both"/>
      </w:pPr>
      <w:r>
        <w:rPr>
          <w:lang w:val="en-US"/>
        </w:rPr>
        <w:t xml:space="preserve">An overall Neuropathy Composite Score of NIS(LL)+7 was obtained by combining the NIS(LL) plus seven tests of nerve function </w:t>
      </w:r>
      <w:r>
        <w:rPr>
          <w:lang w:val="sv-SE"/>
        </w:rPr>
        <w:fldChar w:fldCharType="begin"/>
      </w:r>
      <w:r w:rsidRPr="005B5764">
        <w:instrText xml:space="preserve"> ADDIN EN.CITE &lt;EndNote&gt;&lt;Cite  &gt;&lt;Author&gt;Dyck&lt;/Author&gt;&lt;Year&gt;1997&lt;/Year&gt;&lt;RecNum&gt;113&lt;/RecNum&gt;&lt;DisplayText&gt;(Dyck et al., 1997)&lt;/DisplayText&gt;&lt;record&gt;&lt;isbn&gt;0028-3878&lt;/isbn&gt;&lt;titles&gt;&lt;title&gt;Intradermal recombinant human nerve growth factor induces pressure allodynia and lowered heat- pain threshold in humans&lt;/title&gt;&lt;secondary-title&gt;Neurology&lt;/secondary-title&gt;&lt;/titles&gt;&lt;pages&gt;501-505&lt;/pages&gt;&lt;number&gt;2&lt;/number&gt;&lt;contributors&gt;&lt;authors&gt;&lt;author&gt;Dyck, P. J.&lt;/author&gt;&lt;author&gt;Peroutka, S.&lt;/author&gt;&lt;author&gt;Rask, C.&lt;/author&gt;&lt;author&gt;Burton, E.&lt;/author&gt;&lt;author&gt;Baker, M. K.&lt;/author&gt;&lt;author&gt;Lehman, K. A.&lt;/author&gt;&lt;author&gt;Gillen, D. A.&lt;/author&gt;&lt;author&gt;Hokanson, J. L.&lt;/author&gt;&lt;author&gt;Obrien, P. C.&lt;/author&gt;&lt;/authors&gt;&lt;/contributors&gt;&lt;added-date format="utc"&gt;1383260895&lt;/added-date&gt;&lt;ref-type name="Journal Article"&gt;17&lt;/ref-type&gt;&lt;dates&gt;&lt;year&gt;1997&lt;/year&gt;&lt;/dates&gt;&lt;rec-number&gt;113&lt;/rec-number&gt;&lt;last-updated-date format="utc"&gt;1383261973&lt;/last-updated-date&gt;&lt;volume&gt;48&lt;/volume&gt;&lt;/record&gt;&lt;/Cite&gt;&lt;/EndNote&gt;</w:instrText>
      </w:r>
      <w:r>
        <w:rPr>
          <w:lang w:val="sv-SE"/>
        </w:rPr>
        <w:fldChar w:fldCharType="separate"/>
      </w:r>
      <w:r w:rsidRPr="005B5764">
        <w:t>(Dyck et al., 1997)</w:t>
      </w:r>
      <w:r>
        <w:rPr>
          <w:lang w:val="sv-SE"/>
        </w:rPr>
        <w:fldChar w:fldCharType="end"/>
      </w:r>
      <w:r>
        <w:rPr>
          <w:lang w:val="en-US"/>
        </w:rPr>
        <w:t xml:space="preserve">.  This is a validated, composite measure of neuropathy severity which has been used in epidemiological and </w:t>
      </w:r>
      <w:r w:rsidR="005F7971">
        <w:rPr>
          <w:lang w:val="en-US"/>
        </w:rPr>
        <w:t>population-based</w:t>
      </w:r>
      <w:r>
        <w:rPr>
          <w:lang w:val="en-US"/>
        </w:rPr>
        <w:t xml:space="preserve"> studies.  Based on these assessments and the DN4 questionnaire score, participants with T2DM were divided into three groups: </w:t>
      </w:r>
    </w:p>
    <w:p w14:paraId="73EEEACB" w14:textId="77777777" w:rsidR="00876259" w:rsidRDefault="00876259" w:rsidP="00876259">
      <w:pPr>
        <w:pStyle w:val="BodyA"/>
        <w:spacing w:line="480" w:lineRule="auto"/>
        <w:jc w:val="both"/>
      </w:pPr>
      <w:r>
        <w:rPr>
          <w:lang w:val="en-US"/>
        </w:rPr>
        <w:t xml:space="preserve">1) No </w:t>
      </w:r>
      <w:proofErr w:type="spellStart"/>
      <w:r>
        <w:rPr>
          <w:lang w:val="en-US"/>
        </w:rPr>
        <w:t>DPN</w:t>
      </w:r>
      <w:proofErr w:type="spellEnd"/>
      <w:r>
        <w:rPr>
          <w:lang w:val="en-US"/>
        </w:rPr>
        <w:t xml:space="preserve">; T2DM consisting of asymptomatic participants with normal clinical and neurophysiological assessments; </w:t>
      </w:r>
    </w:p>
    <w:p w14:paraId="2FB25D77" w14:textId="77777777" w:rsidR="00876259" w:rsidRDefault="00876259" w:rsidP="00876259">
      <w:pPr>
        <w:pStyle w:val="BodyA"/>
        <w:spacing w:line="480" w:lineRule="auto"/>
        <w:jc w:val="both"/>
      </w:pPr>
      <w:r>
        <w:rPr>
          <w:lang w:val="en-US"/>
        </w:rPr>
        <w:t xml:space="preserve">2) Painless </w:t>
      </w:r>
      <w:proofErr w:type="spellStart"/>
      <w:r>
        <w:rPr>
          <w:lang w:val="en-US"/>
        </w:rPr>
        <w:t>DPN</w:t>
      </w:r>
      <w:proofErr w:type="spellEnd"/>
      <w:r>
        <w:rPr>
          <w:lang w:val="en-US"/>
        </w:rPr>
        <w:t xml:space="preserve">; comprising of pain-free participants with distal symmetrical polyneuropathy </w:t>
      </w:r>
      <w:r>
        <w:rPr>
          <w:lang w:val="sv-SE"/>
        </w:rPr>
        <w:fldChar w:fldCharType="begin"/>
      </w:r>
      <w:r w:rsidRPr="005B5764">
        <w:instrText xml:space="preserve"> ADDIN EN.CITE &lt;EndNote&gt;&lt;Cite  &gt;&lt;Author&gt;Dyck&lt;/Author&gt;&lt;Year&gt;1997&lt;/Year&gt;&lt;RecNum&gt;113&lt;/RecNum&gt;&lt;DisplayText&gt;(Dyck et al., 1997)&lt;/DisplayText&gt;&lt;record&gt;&lt;isbn&gt;0028-3878&lt;/isbn&gt;&lt;titles&gt;&lt;title&gt;Intradermal recombinant human nerve growth factor induces pressure allodynia and lowered heat- pain threshold in humans&lt;/title&gt;&lt;secondary-title&gt;Neurology&lt;/secondary-title&gt;&lt;/titles&gt;&lt;pages&gt;501-505&lt;/pages&gt;&lt;number&gt;2&lt;/number&gt;&lt;contributors&gt;&lt;authors&gt;&lt;author&gt;Dyck, P. J.&lt;/author&gt;&lt;author&gt;Peroutka, S.&lt;/author&gt;&lt;author&gt;Rask, C.&lt;/author&gt;&lt;author&gt;Burton, E.&lt;/author&gt;&lt;author&gt;Baker, M. K.&lt;/author&gt;&lt;author&gt;Lehman, K. A.&lt;/author&gt;&lt;author&gt;Gillen, D. A.&lt;/author&gt;&lt;author&gt;Hokanson, J. L.&lt;/author&gt;&lt;author&gt;Obrien, P. C.&lt;/author&gt;&lt;/authors&gt;&lt;/contributors&gt;&lt;added-date format="utc"&gt;1383260895&lt;/added-date&gt;&lt;ref-type name="Journal Article"&gt;17&lt;/ref-type&gt;&lt;dates&gt;&lt;year&gt;1997&lt;/year&gt;&lt;/dates&gt;&lt;rec-number&gt;113&lt;/rec-number&gt;&lt;last-updated-date format="utc"&gt;1383261973&lt;/last-updated-date&gt;&lt;volume&gt;48&lt;/volume&gt;&lt;/record&gt;&lt;/Cite&gt;&lt;/EndNote&gt;</w:instrText>
      </w:r>
      <w:r>
        <w:rPr>
          <w:lang w:val="sv-SE"/>
        </w:rPr>
        <w:fldChar w:fldCharType="separate"/>
      </w:r>
      <w:r w:rsidRPr="005B5764">
        <w:t>(Dyck et al., 1997)</w:t>
      </w:r>
      <w:r>
        <w:rPr>
          <w:lang w:val="sv-SE"/>
        </w:rPr>
        <w:fldChar w:fldCharType="end"/>
      </w:r>
      <w:r>
        <w:t xml:space="preserve">; </w:t>
      </w:r>
    </w:p>
    <w:p w14:paraId="68B87179" w14:textId="77777777" w:rsidR="00876259" w:rsidRDefault="00876259" w:rsidP="00876259">
      <w:pPr>
        <w:pStyle w:val="BodyA"/>
        <w:spacing w:line="480" w:lineRule="auto"/>
        <w:jc w:val="both"/>
      </w:pPr>
      <w:r>
        <w:rPr>
          <w:lang w:val="en-US"/>
        </w:rPr>
        <w:t xml:space="preserve">3) Painful </w:t>
      </w:r>
      <w:proofErr w:type="spellStart"/>
      <w:r>
        <w:rPr>
          <w:lang w:val="en-US"/>
        </w:rPr>
        <w:t>DPN</w:t>
      </w:r>
      <w:proofErr w:type="spellEnd"/>
      <w:r>
        <w:rPr>
          <w:lang w:val="en-US"/>
        </w:rPr>
        <w:t xml:space="preserve">; participants with painful neuropathic symptoms involving the feet and or legs in a distal symmetrical fashion together with evidence of peripheral neuropathy </w:t>
      </w:r>
      <w:r>
        <w:rPr>
          <w:lang w:val="sv-SE"/>
        </w:rPr>
        <w:fldChar w:fldCharType="begin"/>
      </w:r>
      <w:r w:rsidRPr="005B5764">
        <w:instrText xml:space="preserve"> ADDIN EN.CITE &lt;EndNote&gt;&lt;Cite  &gt;&lt;Author&gt;Dyck&lt;/Author&gt;&lt;Year&gt;1997&lt;/Year&gt;&lt;RecNum&gt;113&lt;/RecNum&gt;&lt;DisplayText&gt;(Dyck et al., 1997)&lt;/DisplayText&gt;&lt;record&gt;&lt;isbn&gt;0028-3878&lt;/isbn&gt;&lt;titles&gt;&lt;title&gt;Intradermal recombinant human nerve growth factor induces pressure allodynia and lowered heat- pain threshold in humans&lt;/title&gt;&lt;secondary-title&gt;Neurology&lt;/secondary-title&gt;&lt;/titles&gt;&lt;pages&gt;501-505&lt;/pages&gt;&lt;number&gt;2&lt;/number&gt;&lt;contributors&gt;&lt;authors&gt;&lt;author&gt;Dyck, P. J.&lt;/author&gt;&lt;author&gt;Peroutka, S.&lt;/author&gt;&lt;author&gt;Rask, C.&lt;/author&gt;&lt;author&gt;Burton, E.&lt;/author&gt;&lt;author&gt;Baker, M. K.&lt;/author&gt;&lt;author&gt;Lehman, K. A.&lt;/author&gt;&lt;author&gt;Gillen, D. A.&lt;/author&gt;&lt;author&gt;Hokanson, J. L.&lt;/author&gt;&lt;author&gt;Obrien, P. C.&lt;/author&gt;&lt;/authors&gt;&lt;/contributors&gt;&lt;added-date format="utc"&gt;1383260895&lt;/added-date&gt;&lt;ref-type name="Journal Article"&gt;17&lt;/ref-type&gt;&lt;dates&gt;&lt;year&gt;1997&lt;/year&gt;&lt;/dates&gt;&lt;rec-number&gt;113&lt;/rec-number&gt;&lt;last-updated-date format="utc"&gt;1383261973&lt;/last-updated-date&gt;&lt;volume&gt;48&lt;/volume&gt;&lt;/record&gt;&lt;/Cite&gt;&lt;/EndNote&gt;</w:instrText>
      </w:r>
      <w:r>
        <w:rPr>
          <w:lang w:val="sv-SE"/>
        </w:rPr>
        <w:fldChar w:fldCharType="separate"/>
      </w:r>
      <w:r w:rsidRPr="005B5764">
        <w:t>(Dyck et al., 1997)</w:t>
      </w:r>
      <w:r>
        <w:rPr>
          <w:lang w:val="sv-SE"/>
        </w:rPr>
        <w:fldChar w:fldCharType="end"/>
      </w:r>
      <w:r>
        <w:t>.</w:t>
      </w:r>
    </w:p>
    <w:p w14:paraId="06E62798" w14:textId="77777777" w:rsidR="00876259" w:rsidRDefault="00876259" w:rsidP="00876259">
      <w:pPr>
        <w:pStyle w:val="Heading2"/>
        <w:spacing w:line="480" w:lineRule="auto"/>
        <w:rPr>
          <w:i w:val="0"/>
          <w:iCs w:val="0"/>
          <w:sz w:val="24"/>
          <w:szCs w:val="24"/>
        </w:rPr>
      </w:pPr>
      <w:bookmarkStart w:id="83" w:name="_Toc37"/>
      <w:bookmarkStart w:id="84" w:name="_Toc6093010"/>
      <w:r>
        <w:rPr>
          <w:i w:val="0"/>
          <w:iCs w:val="0"/>
          <w:sz w:val="24"/>
          <w:szCs w:val="24"/>
          <w:lang w:val="en-US"/>
        </w:rPr>
        <w:t>3.3 Skin Biopsy Procedure</w:t>
      </w:r>
      <w:bookmarkEnd w:id="83"/>
      <w:bookmarkEnd w:id="84"/>
    </w:p>
    <w:p w14:paraId="4689B6A1" w14:textId="77777777" w:rsidR="00876259" w:rsidRDefault="00876259" w:rsidP="00876259">
      <w:pPr>
        <w:pStyle w:val="BodyA"/>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480" w:lineRule="auto"/>
        <w:jc w:val="both"/>
      </w:pPr>
      <w:r>
        <w:rPr>
          <w:lang w:val="en-US"/>
        </w:rPr>
        <w:t>Skin biopsy specimens were obtained from the distal calf (10cm above the lateral malleolus), in accord with the guidelines published by the European Federation of Neurological Societies (</w:t>
      </w:r>
      <w:proofErr w:type="spellStart"/>
      <w:r>
        <w:rPr>
          <w:lang w:val="en-US"/>
        </w:rPr>
        <w:t>EFNS</w:t>
      </w:r>
      <w:proofErr w:type="spellEnd"/>
      <w:r>
        <w:rPr>
          <w:lang w:val="en-US"/>
        </w:rPr>
        <w:t xml:space="preserve">) on the use of skin biopsy in the diagnosis of peripheral neuropathy </w:t>
      </w:r>
      <w:r>
        <w:fldChar w:fldCharType="begin"/>
      </w:r>
      <w:r>
        <w:instrText xml:space="preserve"> ADDIN EN.CITE &lt;EndNote&gt;&lt;Cite  &gt;&lt;Author&gt;Lauria&lt;/Author&gt;&lt;Year&gt;2010&lt;/Year&gt;&lt;RecNum&gt;36&lt;/RecNum&gt;&lt;DisplayText&gt;(Lauria et al., 2010a)&lt;/DisplayText&gt;&lt;record&gt;&lt;isbn&gt;1085-9489&lt;/isbn&gt;&lt;titles&gt;&lt;title&gt;European Federation of Neurological Societies/ Peripheral Nerve Society Guideline on the use of skin biopsy in the diagnosis of small fiber neuropathy. Report of a joint task force of the European Federation of Neurological Societies and the Peripheral Nerve Society&lt;/title&gt;&lt;secondary-title&gt;J. Peripher. Nerv. Syst.&lt;/secondary-title&gt;&lt;/titles&gt;&lt;pages&gt;79-92&lt;/pages&gt;&lt;number&gt;2&lt;/number&gt;&lt;contributors&gt;&lt;authors&gt;&lt;author&gt;Lauria, G.&lt;/author&gt;&lt;author&gt;Hsieh, S. T.&lt;/author&gt;&lt;author&gt;Johansson, O.&lt;/author&gt;&lt;author&gt;Kennedy, W. R.&lt;/author&gt;&lt;author&gt;Leger, J. M.&lt;/author&gt;&lt;author&gt;Mellgren, S. I.&lt;/author&gt;&lt;author&gt;Noland, M.&lt;/author&gt;&lt;author&gt;Merkies, I. S. J.&lt;/author&gt;&lt;author&gt;Polydefkis, M.&lt;/author&gt;&lt;author&gt;Smith, A. G.&lt;/author&gt;&lt;author&gt;Sommer, C.&lt;/author&gt;&lt;author&gt;Valls-Sole, J.&lt;/author&gt;&lt;/authors&gt;&lt;/contributors&gt;&lt;added-date format="utc"&gt;1382548568&lt;/added-date&gt;&lt;ref-type name="Journal Article"&gt;17&lt;/ref-type&gt;&lt;dates&gt;&lt;year&gt;2010&lt;/year&gt;&lt;/dates&gt;&lt;rec-number&gt;36&lt;/rec-number&gt;&lt;last-updated-date format="utc"&gt;1382548585&lt;/last-updated-date&gt;&lt;volume&gt;15&lt;/volume&gt;&lt;/record&gt;&lt;/Cite&gt;&lt;/EndNote&gt;</w:instrText>
      </w:r>
      <w:r>
        <w:fldChar w:fldCharType="separate"/>
      </w:r>
      <w:r>
        <w:t>(Lauria et al., 2010a)</w:t>
      </w:r>
      <w:r>
        <w:fldChar w:fldCharType="end"/>
      </w:r>
      <w:r>
        <w:t xml:space="preserve">. </w:t>
      </w:r>
      <w:r>
        <w:rPr>
          <w:lang w:val="en-US"/>
        </w:rPr>
        <w:t xml:space="preserve">The biopsy was fixed in fresh periodate-lysine-paraformaldehyde (2%) for 12 to 24 hours.  Tissue was then washed in 0.1 M phosphate </w:t>
      </w:r>
      <w:r>
        <w:rPr>
          <w:lang w:val="en-US"/>
        </w:rPr>
        <w:lastRenderedPageBreak/>
        <w:t xml:space="preserve">buffer and stored for 2 to 3 days in 15% sucrose in 0.1 M phosphate buffer.  After embedding in </w:t>
      </w:r>
      <w:proofErr w:type="spellStart"/>
      <w:r>
        <w:rPr>
          <w:lang w:val="en-US"/>
        </w:rPr>
        <w:t>O.C.T</w:t>
      </w:r>
      <w:proofErr w:type="spellEnd"/>
      <w:r>
        <w:rPr>
          <w:lang w:val="en-US"/>
        </w:rPr>
        <w:t xml:space="preserve">. (Fisher Scientific UK Ltd), the tissue was snap-frozen and stored at -80 ̊C.  </w:t>
      </w:r>
      <w:r>
        <w:t>15</w:t>
      </w:r>
      <w:proofErr w:type="spellStart"/>
      <w:r>
        <w:rPr>
          <w:lang w:val="en-US"/>
        </w:rPr>
        <w:t>μm</w:t>
      </w:r>
      <w:proofErr w:type="spellEnd"/>
      <w:r>
        <w:rPr>
          <w:lang w:val="en-US"/>
        </w:rPr>
        <w:t xml:space="preserve"> sections were cut with a freezing microtome for assessment of intra-epidermal (</w:t>
      </w:r>
      <w:proofErr w:type="spellStart"/>
      <w:r>
        <w:rPr>
          <w:lang w:val="en-US"/>
        </w:rPr>
        <w:t>IENF</w:t>
      </w:r>
      <w:proofErr w:type="spellEnd"/>
      <w:r>
        <w:rPr>
          <w:lang w:val="en-US"/>
        </w:rPr>
        <w:t>) and sub-epidermal (</w:t>
      </w:r>
      <w:proofErr w:type="spellStart"/>
      <w:r>
        <w:rPr>
          <w:lang w:val="en-US"/>
        </w:rPr>
        <w:t>SENF</w:t>
      </w:r>
      <w:proofErr w:type="spellEnd"/>
      <w:r>
        <w:rPr>
          <w:lang w:val="en-US"/>
        </w:rPr>
        <w:t xml:space="preserve">) nerve </w:t>
      </w:r>
      <w:proofErr w:type="spellStart"/>
      <w:r>
        <w:rPr>
          <w:lang w:val="en-US"/>
        </w:rPr>
        <w:t>fibre</w:t>
      </w:r>
      <w:proofErr w:type="spellEnd"/>
      <w:r>
        <w:rPr>
          <w:lang w:val="en-US"/>
        </w:rPr>
        <w:t xml:space="preserve"> density.  Sections were incubated overnight with primary antibodies to the structural nerve marker PGP9.5 (1: 40,000; </w:t>
      </w:r>
      <w:proofErr w:type="spellStart"/>
      <w:r>
        <w:rPr>
          <w:lang w:val="en-US"/>
        </w:rPr>
        <w:t>Ultraclone</w:t>
      </w:r>
      <w:proofErr w:type="spellEnd"/>
      <w:r>
        <w:rPr>
          <w:lang w:val="en-US"/>
        </w:rPr>
        <w:t xml:space="preserve">, Isle of Wight, UK), detected using avidin–biotin peroxidase methods (ABC; Vector Laboratories, Peterborough, UK) giving black, positive immunostaining as previously described </w:t>
      </w:r>
      <w:r>
        <w:rPr>
          <w:lang w:val="fr-FR"/>
        </w:rPr>
        <w:fldChar w:fldCharType="begin"/>
      </w:r>
      <w:r w:rsidRPr="005B5764">
        <w:instrText xml:space="preserve"> ADDIN EN.CITE &lt;EndNote&gt;&lt;Cite  &gt;&lt;Author&gt;Facer&lt;/Author&gt;&lt;Year&gt;2000&lt;/Year&gt;&lt;RecNum&gt;412&lt;/RecNum&gt;&lt;DisplayText&gt;(Facer et al., 2000)&lt;/DisplayText&gt;&lt;record&gt;&lt;dates&gt;&lt;pub-dates&gt;&lt;date&gt;Mar&lt;/date&gt;&lt;/pub-dates&gt;&lt;year&gt;2000&lt;/year&gt;&lt;/dates&gt;&lt;keywords&gt;&lt;keyword&gt;Adult&lt;/keyword&gt;&lt;keyword&gt;Aged&lt;/keyword&gt;&lt;keyword&gt;Axons&lt;/keyword&gt;&lt;keyword&gt;Female&lt;/keyword&gt;&lt;keyword&gt;Hot Temperature&lt;/keyword&gt;&lt;keyword&gt;Humans&lt;/keyword&gt;&lt;keyword&gt;Immunohistochemistry&lt;/keyword&gt;&lt;keyword&gt;In Situ Hybridization&lt;/keyword&gt;&lt;keyword&gt;Keratinocytes&lt;/keyword&gt;&lt;keyword&gt;Leprosy&lt;/keyword&gt;&lt;keyword&gt;Male&lt;/keyword&gt;&lt;keyword&gt;Middle Aged&lt;/keyword&gt;&lt;keyword&gt;Nerve Growth Factors&lt;/keyword&gt;&lt;keyword&gt;Nociceptors&lt;/keyword&gt;&lt;keyword&gt;Pain&lt;/keyword&gt;&lt;keyword&gt;Pain Threshold&lt;/keyword&gt;&lt;keyword&gt;Physical Stimulation&lt;/keyword&gt;&lt;keyword&gt;Receptor Protein-Tyrosine Kinases&lt;/keyword&gt;&lt;keyword&gt;Reflex&lt;/keyword&gt;&lt;keyword&gt;Skin&lt;/keyword&gt;&lt;keyword&gt;Sodium Channels&lt;/keyword&gt;&lt;keyword&gt;Thiolester Hydrolases&lt;/keyword&gt;&lt;keyword&gt;Ubiquitin Thiolesterase&lt;/keyword&gt;&lt;keyword&gt;Vasodilation&lt;/keyword&gt;&lt;/keywords&gt;&lt;urls&gt;&lt;related-urls&gt;&lt;url&gt;https://www.ncbi.nlm.nih.gov/pubmed/10692623&lt;/url&gt;&lt;/related-urls&gt;&lt;/urls&gt;&lt;isbn&gt;0304-3959&lt;/isbn&gt;&lt;titles&gt;&lt;title&gt;Do nerve growth factor-related mechanisms contribute to loss of cutaneous nociception in leprosy?&lt;/title&gt;&lt;secondary-title&gt;Pain&lt;/secondary-title&gt;&lt;/titles&gt;&lt;pages&gt;231-8&lt;/pages&gt;&lt;number&gt;1-2&lt;/number&gt;&lt;contributors&gt;&lt;authors&gt;&lt;author&gt;Facer, P.&lt;/author&gt;&lt;author&gt;Mann, D.&lt;/author&gt;&lt;author&gt;Mathur, R.&lt;/author&gt;&lt;author&gt;Pandya, S.&lt;/author&gt;&lt;author&gt;Ladiwala, U.&lt;/author&gt;&lt;author&gt;Singhal, B.&lt;/author&gt;&lt;author&gt;Hongo, J.&lt;/author&gt;&lt;author&gt;Sinicropi, D. V.&lt;/author&gt;&lt;author&gt;Terenghi, G.&lt;/author&gt;&lt;author&gt;Anand, P.&lt;/author&gt;&lt;/authors&gt;&lt;/contributors&gt;&lt;language&gt;ENG&lt;/language&gt;&lt;added-date format="utc"&gt;1480208477&lt;/added-date&gt;&lt;ref-type name="Journal Article"&gt;17&lt;/ref-type&gt;&lt;rec-number&gt;412&lt;/rec-number&gt;&lt;last-updated-date format="utc"&gt;1480208477&lt;/last-updated-date&gt;&lt;accession-num&gt;10692623&lt;/accession-num&gt;&lt;volume&gt;85&lt;/volume&gt;&lt;/record&gt;&lt;/Cite&gt;&lt;/EndNote&gt;</w:instrText>
      </w:r>
      <w:r>
        <w:rPr>
          <w:lang w:val="fr-FR"/>
        </w:rPr>
        <w:fldChar w:fldCharType="separate"/>
      </w:r>
      <w:r w:rsidRPr="005B5764">
        <w:t>(Facer et al., 2000)</w:t>
      </w:r>
      <w:r>
        <w:rPr>
          <w:lang w:val="fr-FR"/>
        </w:rPr>
        <w:fldChar w:fldCharType="end"/>
      </w:r>
      <w:r>
        <w:rPr>
          <w:lang w:val="en-US"/>
        </w:rPr>
        <w:t xml:space="preserve">.  Tissue sections were counterstained for nuclei in 0.1% w/v aqueous neutral red.  Omission of primary antibodies and sequential dilution of antibodies gave appropriate results for specificity.  </w:t>
      </w:r>
    </w:p>
    <w:p w14:paraId="4B338AEC" w14:textId="77777777" w:rsidR="00876259" w:rsidRDefault="00876259" w:rsidP="00876259">
      <w:pPr>
        <w:pStyle w:val="BodyA"/>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480" w:lineRule="auto"/>
        <w:jc w:val="both"/>
      </w:pPr>
      <w:proofErr w:type="spellStart"/>
      <w:r>
        <w:rPr>
          <w:lang w:val="en-US"/>
        </w:rPr>
        <w:t>IENF</w:t>
      </w:r>
      <w:proofErr w:type="spellEnd"/>
      <w:r>
        <w:rPr>
          <w:lang w:val="en-US"/>
        </w:rPr>
        <w:t xml:space="preserve"> were counted along the length of four non-consecutive sections as described and validated in previous publications </w:t>
      </w:r>
      <w:r>
        <w:fldChar w:fldCharType="begin"/>
      </w:r>
      <w:r>
        <w:instrText xml:space="preserve"> ADDIN EN.CITE &lt;EndNote&gt;&lt;Cite  &gt;&lt;Author&gt;Narayanaswamy&lt;/Author&gt;&lt;Year&gt;2012&lt;/Year&gt;&lt;RecNum&gt;220&lt;/RecNum&gt;&lt;DisplayText&gt;(Narayanaswamy et al., 2012)&lt;/DisplayText&gt;&lt;record&gt;&lt;keywords&gt;&lt;keyword&gt;Biological Markers&lt;/keyword&gt;&lt;keyword&gt;Biopsy -- Methods&lt;/keyword&gt;&lt;keyword&gt;Diabetic Neuropathies -- Pathology&lt;/keyword&gt;&lt;keyword&gt;Peripheral Nervous System Diseases -- Pathology&lt;/keyword&gt;&lt;keyword&gt;Sensation -- Physiology&lt;/keyword&gt;&lt;keyword&gt;Skin -- Pathology&lt;/keyword&gt;&lt;/keywords&gt;&lt;titles&gt;&lt;title&gt;A longitudinal study of sensory biomarkers of progression in patients with diabetic peripheral neuropathy using skin biopsies&lt;/title&gt;&lt;secondary-title&gt;Journal of clinical neuroscience : official journal of the Neurosurgical Society of Australasia&lt;/secondary-title&gt;&lt;/titles&gt;&lt;pages&gt;1490&lt;/pages&gt;&lt;number&gt;11&lt;/number&gt;&lt;contributors&gt;&lt;authors&gt;&lt;author&gt;Narayanaswamy, H.&lt;/author&gt;&lt;author&gt;Facer, P.&lt;/author&gt;&lt;author&gt;Misra, V. P.&lt;/author&gt;&lt;author&gt;Timmers, M.&lt;/author&gt;&lt;author&gt;Byttebier, G.&lt;/author&gt;&lt;author&gt;Meert, T.&lt;/author&gt;&lt;author&gt;Anand, P.&lt;/author&gt;&lt;/authors&gt;&lt;/contributors&gt;&lt;added-date format="utc"&gt;1385467298&lt;/added-date&gt;&lt;ref-type name="Journal Article"&gt;17&lt;/ref-type&gt;&lt;dates&gt;&lt;year&gt;2012&lt;/year&gt;&lt;/dates&gt;&lt;rec-number&gt;220&lt;/rec-number&gt;&lt;last-updated-date format="utc"&gt;1386076332&lt;/last-updated-date&gt;&lt;electronic-resource-num&gt;10.1016/j.jocn.2011.12.026&lt;/electronic-resource-num&gt;&lt;volume&gt;19&lt;/volume&gt;&lt;/record&gt;&lt;/Cite&gt;&lt;/EndNote&gt;</w:instrText>
      </w:r>
      <w:r>
        <w:fldChar w:fldCharType="separate"/>
      </w:r>
      <w:r>
        <w:t>(Narayanaswamy et al., 2012)</w:t>
      </w:r>
      <w:r>
        <w:fldChar w:fldCharType="end"/>
      </w:r>
      <w:r>
        <w:rPr>
          <w:lang w:val="en-US"/>
        </w:rPr>
        <w:t xml:space="preserve">. The length of epithelium in each counted section was measured using </w:t>
      </w:r>
      <w:proofErr w:type="spellStart"/>
      <w:r>
        <w:rPr>
          <w:lang w:val="en-US"/>
        </w:rPr>
        <w:t>computerised</w:t>
      </w:r>
      <w:proofErr w:type="spellEnd"/>
      <w:r>
        <w:rPr>
          <w:lang w:val="en-US"/>
        </w:rPr>
        <w:t xml:space="preserve"> microscopy software (Olympus ANALYSIS 5.0 Soft, Olympus UK, </w:t>
      </w:r>
      <w:proofErr w:type="spellStart"/>
      <w:r>
        <w:rPr>
          <w:lang w:val="en-US"/>
        </w:rPr>
        <w:t>Southend</w:t>
      </w:r>
      <w:proofErr w:type="spellEnd"/>
      <w:r>
        <w:rPr>
          <w:lang w:val="en-US"/>
        </w:rPr>
        <w:t xml:space="preserve">, Essex, UK) and results expressed as </w:t>
      </w:r>
      <w:proofErr w:type="spellStart"/>
      <w:r>
        <w:rPr>
          <w:lang w:val="en-US"/>
        </w:rPr>
        <w:t>fibres</w:t>
      </w:r>
      <w:proofErr w:type="spellEnd"/>
      <w:r>
        <w:rPr>
          <w:lang w:val="en-US"/>
        </w:rPr>
        <w:t xml:space="preserve">/mm length of section.  </w:t>
      </w:r>
      <w:proofErr w:type="spellStart"/>
      <w:r>
        <w:rPr>
          <w:lang w:val="en-US"/>
        </w:rPr>
        <w:t>SENF</w:t>
      </w:r>
      <w:proofErr w:type="spellEnd"/>
      <w:r>
        <w:rPr>
          <w:lang w:val="en-US"/>
        </w:rPr>
        <w:t xml:space="preserve"> were measured by image analysis where digital photomicrographs were captured via video link to an Olympus BX50 microscope with a depth of 200 </w:t>
      </w:r>
      <w:proofErr w:type="spellStart"/>
      <w:r>
        <w:rPr>
          <w:lang w:val="en-US"/>
        </w:rPr>
        <w:t>μm</w:t>
      </w:r>
      <w:proofErr w:type="spellEnd"/>
      <w:r>
        <w:rPr>
          <w:lang w:val="en-US"/>
        </w:rPr>
        <w:t xml:space="preserve"> below the basal epidermis </w:t>
      </w:r>
      <w:r>
        <w:fldChar w:fldCharType="begin"/>
      </w:r>
      <w:r>
        <w:instrText xml:space="preserve"> ADDIN EN.CITE &lt;EndNote&gt;&lt;Cite  &gt;&lt;Author&gt;Narayanaswamy&lt;/Author&gt;&lt;Year&gt;2012&lt;/Year&gt;&lt;RecNum&gt;220&lt;/RecNum&gt;&lt;DisplayText&gt;(Narayanaswamy et al., 2012)&lt;/DisplayText&gt;&lt;record&gt;&lt;keywords&gt;&lt;keyword&gt;Biological Markers&lt;/keyword&gt;&lt;keyword&gt;Biopsy -- Methods&lt;/keyword&gt;&lt;keyword&gt;Diabetic Neuropathies -- Pathology&lt;/keyword&gt;&lt;keyword&gt;Peripheral Nervous System Diseases -- Pathology&lt;/keyword&gt;&lt;keyword&gt;Sensation -- Physiology&lt;/keyword&gt;&lt;keyword&gt;Skin -- Pathology&lt;/keyword&gt;&lt;/keywords&gt;&lt;titles&gt;&lt;title&gt;A longitudinal study of sensory biomarkers of progression in patients with diabetic peripheral neuropathy using skin biopsies&lt;/title&gt;&lt;secondary-title&gt;Journal of clinical neuroscience : official journal of the Neurosurgical Society of Australasia&lt;/secondary-title&gt;&lt;/titles&gt;&lt;pages&gt;1490&lt;/pages&gt;&lt;number&gt;11&lt;/number&gt;&lt;contributors&gt;&lt;authors&gt;&lt;author&gt;Narayanaswamy, H.&lt;/author&gt;&lt;author&gt;Facer, P.&lt;/author&gt;&lt;author&gt;Misra, V. P.&lt;/author&gt;&lt;author&gt;Timmers, M.&lt;/author&gt;&lt;author&gt;Byttebier, G.&lt;/author&gt;&lt;author&gt;Meert, T.&lt;/author&gt;&lt;author&gt;Anand, P.&lt;/author&gt;&lt;/authors&gt;&lt;/contributors&gt;&lt;added-date format="utc"&gt;1385467298&lt;/added-date&gt;&lt;ref-type name="Journal Article"&gt;17&lt;/ref-type&gt;&lt;dates&gt;&lt;year&gt;2012&lt;/year&gt;&lt;/dates&gt;&lt;rec-number&gt;220&lt;/rec-number&gt;&lt;last-updated-date format="utc"&gt;1386076332&lt;/last-updated-date&gt;&lt;electronic-resource-num&gt;10.1016/j.jocn.2011.12.026&lt;/electronic-resource-num&gt;&lt;volume&gt;19&lt;/volume&gt;&lt;/record&gt;&lt;/Cite&gt;&lt;/EndNote&gt;</w:instrText>
      </w:r>
      <w:r>
        <w:fldChar w:fldCharType="separate"/>
      </w:r>
      <w:r>
        <w:t>(Narayanaswamy et al., 2012)</w:t>
      </w:r>
      <w:r>
        <w:fldChar w:fldCharType="end"/>
      </w:r>
      <w:r>
        <w:rPr>
          <w:lang w:val="en-US"/>
        </w:rPr>
        <w:t>. The grey-shade detection threshold was set at a constant level to allow detection of positive immunostaining and the area of highlighted immunoreactivity was obtained as a percentage (% area) of the field scanned.  Images were captured (×40 objective magnification) along the entire length and the mean values were used for statistical analysis.  Quantification was performed by two independent blinded observers and there was no significant difference between observers.</w:t>
      </w:r>
    </w:p>
    <w:p w14:paraId="136555E8" w14:textId="77777777" w:rsidR="00876259" w:rsidRDefault="00876259" w:rsidP="00876259">
      <w:pPr>
        <w:pStyle w:val="Heading2"/>
        <w:spacing w:line="480" w:lineRule="auto"/>
        <w:rPr>
          <w:i w:val="0"/>
          <w:iCs w:val="0"/>
          <w:sz w:val="24"/>
          <w:szCs w:val="24"/>
        </w:rPr>
      </w:pPr>
      <w:bookmarkStart w:id="85" w:name="_Toc38"/>
      <w:bookmarkStart w:id="86" w:name="_Toc6093011"/>
      <w:r>
        <w:rPr>
          <w:i w:val="0"/>
          <w:iCs w:val="0"/>
          <w:sz w:val="24"/>
          <w:szCs w:val="24"/>
          <w:lang w:val="en-US"/>
        </w:rPr>
        <w:lastRenderedPageBreak/>
        <w:t>3.4 Statistical Analysis</w:t>
      </w:r>
      <w:bookmarkEnd w:id="85"/>
      <w:bookmarkEnd w:id="86"/>
    </w:p>
    <w:p w14:paraId="319D546A" w14:textId="77777777" w:rsidR="00876259" w:rsidRDefault="00876259" w:rsidP="00876259">
      <w:pPr>
        <w:pStyle w:val="BodyA"/>
        <w:spacing w:line="480" w:lineRule="auto"/>
        <w:jc w:val="both"/>
      </w:pPr>
      <w:r>
        <w:rPr>
          <w:lang w:val="en-US"/>
        </w:rPr>
        <w:t xml:space="preserve">All analyses were performed using the statistical package SPSS Version 24.0 (SPSS, IBM Corp, NY, USA).  Baseline characteristics were described as mean and standard deviations and percentages for categorical variables.  One-way analysis of variance (ANOVA) was used to compare mean of baseline characteristics and post hoc analysis to make comparisons between the group means.  We also examined the relationship between variables using Pearson’s correlation for parametric variables, and Spearman Rank correlation for non-parametric variables. </w:t>
      </w:r>
    </w:p>
    <w:p w14:paraId="79D06E75" w14:textId="2AAB9D06" w:rsidR="005F7971" w:rsidRDefault="005F7971">
      <w:pPr>
        <w:spacing w:after="0"/>
        <w:rPr>
          <w:rFonts w:cs="Arial"/>
          <w:color w:val="000000" w:themeColor="text1"/>
        </w:rPr>
      </w:pPr>
      <w:r>
        <w:rPr>
          <w:rFonts w:cs="Arial"/>
          <w:color w:val="000000" w:themeColor="text1"/>
        </w:rPr>
        <w:br w:type="page"/>
      </w:r>
    </w:p>
    <w:p w14:paraId="42383B24" w14:textId="60573686" w:rsidR="00876259" w:rsidRPr="006234F3" w:rsidRDefault="00876259" w:rsidP="006234F3">
      <w:pPr>
        <w:pStyle w:val="Heading1"/>
        <w:spacing w:line="480" w:lineRule="auto"/>
        <w:rPr>
          <w:sz w:val="24"/>
          <w:szCs w:val="24"/>
        </w:rPr>
      </w:pPr>
      <w:bookmarkStart w:id="87" w:name="_Toc39"/>
      <w:bookmarkStart w:id="88" w:name="_Toc6093012"/>
      <w:r w:rsidRPr="006234F3">
        <w:rPr>
          <w:sz w:val="24"/>
          <w:szCs w:val="24"/>
          <w:lang w:val="en-US"/>
        </w:rPr>
        <w:lastRenderedPageBreak/>
        <w:t>4 Reduced Vitamin D Level in Painful Diabetic Peripheral Neuropathy</w:t>
      </w:r>
      <w:bookmarkEnd w:id="87"/>
      <w:bookmarkEnd w:id="88"/>
    </w:p>
    <w:p w14:paraId="0241B603" w14:textId="77777777" w:rsidR="00876259" w:rsidRDefault="00876259" w:rsidP="00876259">
      <w:pPr>
        <w:pStyle w:val="Heading2"/>
        <w:spacing w:line="480" w:lineRule="auto"/>
        <w:rPr>
          <w:i w:val="0"/>
          <w:iCs w:val="0"/>
          <w:sz w:val="24"/>
          <w:szCs w:val="24"/>
        </w:rPr>
      </w:pPr>
      <w:bookmarkStart w:id="89" w:name="_Toc6093013"/>
      <w:bookmarkStart w:id="90" w:name="_Toc40"/>
      <w:r w:rsidRPr="005B5764">
        <w:rPr>
          <w:i w:val="0"/>
          <w:iCs w:val="0"/>
          <w:sz w:val="24"/>
          <w:szCs w:val="24"/>
        </w:rPr>
        <w:t>4.1 Introduction</w:t>
      </w:r>
      <w:bookmarkEnd w:id="89"/>
      <w:r w:rsidRPr="005B5764">
        <w:rPr>
          <w:i w:val="0"/>
          <w:iCs w:val="0"/>
          <w:sz w:val="24"/>
          <w:szCs w:val="24"/>
        </w:rPr>
        <w:t xml:space="preserve"> </w:t>
      </w:r>
      <w:bookmarkEnd w:id="90"/>
    </w:p>
    <w:p w14:paraId="2DF05414" w14:textId="49947262" w:rsidR="00876259" w:rsidRDefault="00876259" w:rsidP="00876259">
      <w:pPr>
        <w:pStyle w:val="BodyA"/>
        <w:spacing w:after="0" w:line="480" w:lineRule="auto"/>
        <w:jc w:val="both"/>
      </w:pPr>
      <w:r>
        <w:rPr>
          <w:lang w:val="en-US"/>
        </w:rPr>
        <w:t xml:space="preserve">A recent meta-analysis of 6 observational studies found an association between serum vitamin D levels and </w:t>
      </w:r>
      <w:proofErr w:type="spellStart"/>
      <w:r>
        <w:rPr>
          <w:lang w:val="en-US"/>
        </w:rPr>
        <w:t>DPN</w:t>
      </w:r>
      <w:proofErr w:type="spellEnd"/>
      <w:r>
        <w:rPr>
          <w:lang w:val="en-US"/>
        </w:rPr>
        <w:t xml:space="preserve"> in subjects with type 2 diabetes (T2DM) </w:t>
      </w:r>
      <w:r>
        <w:fldChar w:fldCharType="begin"/>
      </w:r>
      <w:r>
        <w:instrText xml:space="preserve"> ADDIN EN.CITE &lt;EndNote&gt;&lt;Cite  &gt;&lt;Author&gt;Lv&lt;/Author&gt;&lt;Year&gt;2015&lt;/Year&gt;&lt;RecNum&gt;404&lt;/RecNum&gt;&lt;DisplayText&gt;(Lv et al., 2015)&lt;/DisplayText&gt;&lt;record&gt;&lt;dates&gt;&lt;pub-dates&gt;&lt;date&gt;May&lt;/date&gt;&lt;/pub-dates&gt;&lt;year&gt;2015&lt;/year&gt;&lt;/dates&gt;&lt;keywords&gt;&lt;keyword&gt;Diabetes Mellitus, Type 2&lt;/keyword&gt;&lt;keyword&gt;Diabetic Neuropathies&lt;/keyword&gt;&lt;keyword&gt;Humans&lt;/keyword&gt;&lt;keyword&gt;Vitamin D&lt;/keyword&gt;&lt;/keywords&gt;&lt;urls&gt;&lt;related-urls&gt;&lt;url&gt;https://www.ncbi.nlm.nih.gov/pubmed/25527161&lt;/url&gt;&lt;/related-urls&gt;&lt;/urls&gt;&lt;isbn&gt;1720-8386&lt;/isbn&gt;&lt;titles&gt;&lt;title&gt;Serum 25-hydroxyvitamin D levels and peripheral neuropathy in patients with type 2 diabetes: a systematic review and meta-analysis&lt;/title&gt;&lt;secondary-title&gt;J Endocrinol Invest&lt;/secondary-title&gt;&lt;/titles&gt;&lt;pages&gt;513-8&lt;/pages&gt;&lt;number&gt;5&lt;/number&gt;&lt;contributors&gt;&lt;authors&gt;&lt;author&gt;Lv, W. S.&lt;/author&gt;&lt;author&gt;Zhao, W. J.&lt;/author&gt;&lt;author&gt;Gong, S. L.&lt;/author&gt;&lt;author&gt;Fang, D. D.&lt;/author&gt;&lt;author&gt;Wang, B.&lt;/author&gt;&lt;author&gt;Fu, Z. J.&lt;/author&gt;&lt;author&gt;Yan, S. L.&lt;/author&gt;&lt;author&gt;Wang, Y. G.&lt;/author&gt;&lt;/authors&gt;&lt;/contributors&gt;&lt;language&gt;eng&lt;/language&gt;&lt;added-date format="utc"&gt;1471289232&lt;/added-date&gt;&lt;ref-type name="Journal Article"&gt;17&lt;/ref-type&gt;&lt;rec-number&gt;404&lt;/rec-number&gt;&lt;last-updated-date format="utc"&gt;1471289232&lt;/last-updated-date&gt;&lt;accession-num&gt;25527161&lt;/accession-num&gt;&lt;electronic-resource-num&gt;10.1007/s40618-014-0210-6&lt;/electronic-resource-num&gt;&lt;volume&gt;38&lt;/volume&gt;&lt;/record&gt;&lt;/Cite&gt;&lt;/EndNote&gt;</w:instrText>
      </w:r>
      <w:r>
        <w:fldChar w:fldCharType="separate"/>
      </w:r>
      <w:r>
        <w:t>(Lv et al., 2015)</w:t>
      </w:r>
      <w:r>
        <w:fldChar w:fldCharType="end"/>
      </w:r>
      <w:r>
        <w:rPr>
          <w:lang w:val="en-US"/>
        </w:rPr>
        <w:t xml:space="preserve">.  A number of clinical and animal studies have also examined the role of vitamin D in the pathogenesis of </w:t>
      </w:r>
      <w:proofErr w:type="spellStart"/>
      <w:r>
        <w:rPr>
          <w:lang w:val="en-US"/>
        </w:rPr>
        <w:t>DPN</w:t>
      </w:r>
      <w:proofErr w:type="spellEnd"/>
      <w:r>
        <w:rPr>
          <w:lang w:val="en-US"/>
        </w:rPr>
        <w:t xml:space="preserve">. Although the findings have been inconsistent and occasionally contradictory, they have linked serum vitamin D levels with </w:t>
      </w:r>
      <w:proofErr w:type="spellStart"/>
      <w:r>
        <w:rPr>
          <w:lang w:val="en-US"/>
        </w:rPr>
        <w:t>DPN</w:t>
      </w:r>
      <w:proofErr w:type="spellEnd"/>
      <w:r>
        <w:rPr>
          <w:lang w:val="en-US"/>
        </w:rPr>
        <w:t xml:space="preserve"> </w:t>
      </w:r>
      <w:r>
        <w:fldChar w:fldCharType="begin"/>
      </w:r>
      <w:r>
        <w:instrText xml:space="preserve"> ADDIN EN.CITE &lt;EndNote&gt;&lt;Cite  &gt;&lt;Author&gt;Soderstrom&lt;/Author&gt;&lt;Year&gt;2012&lt;/Year&gt;&lt;RecNum&gt;369&lt;/RecNum&gt;&lt;DisplayText&gt;(Soderstrom et al., 2012, Putz et al., 2014)&lt;/DisplayText&gt;&lt;record&gt;&lt;dates&gt;&lt;pub-dates&gt;&lt;date&gt;Jan&lt;/date&gt;&lt;/pub-dates&gt;&lt;year&gt;2012&lt;/year&gt;&lt;/dates&gt;&lt;urls&gt;&lt;related-urls&gt;&lt;url&gt;&amp;lt;Go to ISI&amp;gt;://WOS:000297792600009&lt;/url&gt;&lt;/related-urls&gt;&lt;/urls&gt;&lt;isbn&gt;0742-3071&lt;/isbn&gt;&lt;titles&gt;&lt;title&gt;Association between vitamin D and diabetic neuropathy in a nationally representative sample: results from 2001-2004 NHANES&lt;/title&gt;&lt;secondary-title&gt;Diabetic Medicine&lt;/secondary-title&gt;&lt;/titles&gt;&lt;pages&gt;50-55&lt;/pages&gt;&lt;number&gt;1&lt;/number&gt;&lt;contributors&gt;&lt;authors&gt;&lt;author&gt;Soderstrom, L. H.&lt;/author&gt;&lt;author&gt;Johnson, S. P.&lt;/author&gt;&lt;author&gt;Diaz, V. A.&lt;/author&gt;&lt;author&gt;Mainous, A. G., III&lt;/author&gt;&lt;/authors&gt;&lt;/contributors&gt;&lt;added-date format="utc"&gt;1428505086&lt;/added-date&gt;&lt;ref-type name="Journal Article"&gt;17&lt;/ref-type&gt;&lt;rec-number&gt;369&lt;/rec-number&gt;&lt;last-updated-date format="utc"&gt;1428505297&lt;/last-updated-date&gt;&lt;accession-num&gt;WOS:000297792600009&lt;/accession-num&gt;&lt;electronic-resource-num&gt;10.1111/j.1464-5491.2011.03379.x&lt;/electronic-resource-num&gt;&lt;volume&gt;29&lt;/volume&gt;&lt;/record&gt;&lt;/Cite&gt;&lt;Cite  &gt;&lt;Author&gt;Putz&lt;/Author&gt;&lt;Year&gt;2014&lt;/Year&gt;&lt;RecNum&gt;365&lt;/RecNum&gt;&lt;record&gt;&lt;dates&gt;&lt;pub-dates&gt;&lt;date&gt;Oct&lt;/date&gt;&lt;/pub-dates&gt;&lt;year&gt;2014&lt;/year&gt;&lt;/dates&gt;&lt;urls&gt;&lt;related-urls&gt;&lt;url&gt;&amp;lt;Go to ISI&amp;gt;://WOS:000341810900009&lt;/url&gt;&lt;/related-urls&gt;&lt;/urls&gt;&lt;isbn&gt;1534-4827&lt;/isbn&gt;&lt;titles&gt;&lt;title&gt;Is There an Association Between Diabetic Neuropathy and Low Vitamin D Levels?&lt;/title&gt;&lt;secondary-title&gt;Current Diabetes Reports&lt;/secondary-title&gt;&lt;/titles&gt;&lt;number&gt;10&lt;/number&gt;&lt;contributors&gt;&lt;authors&gt;&lt;author&gt;Putz, Zsuzsanna&lt;/author&gt;&lt;author&gt;Martos, Timea&lt;/author&gt;&lt;author&gt;Nemeth, Nora&lt;/author&gt;&lt;author&gt;Koerei, Anna Erzsebet&lt;/author&gt;&lt;author&gt;Vagi, Orsolya Erzsebet&lt;/author&gt;&lt;author&gt;Kempler, Miklos Soma&lt;/author&gt;&lt;author&gt;Kempler, Peter&lt;/author&gt;&lt;/authors&gt;&lt;/contributors&gt;&lt;custom7&gt;537&lt;/custom7&gt;&lt;added-date format="utc"&gt;1428504664&lt;/added-date&gt;&lt;ref-type name="Journal Article"&gt;17&lt;/ref-type&gt;&lt;rec-number&gt;365&lt;/rec-number&gt;&lt;last-updated-date format="utc"&gt;1428504743&lt;/last-updated-date&gt;&lt;accession-num&gt;WOS:000341810900009&lt;/accession-num&gt;&lt;electronic-resource-num&gt;10.1007/s11892-014-0537-6&lt;/electronic-resource-num&gt;&lt;volume&gt;14&lt;/volume&gt;&lt;/record&gt;&lt;/Cite&gt;&lt;/EndNote&gt;</w:instrText>
      </w:r>
      <w:r>
        <w:fldChar w:fldCharType="separate"/>
      </w:r>
      <w:r>
        <w:t>(Soderstrom et al., 2012, Putz et al., 2014)</w:t>
      </w:r>
      <w:r>
        <w:fldChar w:fldCharType="end"/>
      </w:r>
      <w:r>
        <w:rPr>
          <w:lang w:val="en-US"/>
        </w:rPr>
        <w:t xml:space="preserve">. The mechanisms that underpin the associations between vitamin D levels and </w:t>
      </w:r>
      <w:proofErr w:type="spellStart"/>
      <w:r>
        <w:rPr>
          <w:lang w:val="en-US"/>
        </w:rPr>
        <w:t>DPN</w:t>
      </w:r>
      <w:proofErr w:type="spellEnd"/>
      <w:r>
        <w:rPr>
          <w:lang w:val="en-US"/>
        </w:rPr>
        <w:t xml:space="preserve"> are not fully understood </w:t>
      </w:r>
      <w:r>
        <w:fldChar w:fldCharType="begin"/>
      </w:r>
      <w:r>
        <w:instrText xml:space="preserve"> ADDIN EN.CITE &lt;EndNote&gt;&lt;Cite  &gt;&lt;Author&gt;Soderstrom&lt;/Author&gt;&lt;Year&gt;2012&lt;/Year&gt;&lt;RecNum&gt;369&lt;/RecNum&gt;&lt;DisplayText&gt;(Soderstrom et al., 2012, Putz et al., 2014)&lt;/DisplayText&gt;&lt;record&gt;&lt;dates&gt;&lt;pub-dates&gt;&lt;date&gt;Jan&lt;/date&gt;&lt;/pub-dates&gt;&lt;year&gt;2012&lt;/year&gt;&lt;/dates&gt;&lt;urls&gt;&lt;related-urls&gt;&lt;url&gt;&amp;lt;Go to ISI&amp;gt;://WOS:000297792600009&lt;/url&gt;&lt;/related-urls&gt;&lt;/urls&gt;&lt;isbn&gt;0742-3071&lt;/isbn&gt;&lt;titles&gt;&lt;title&gt;Association between vitamin D and diabetic neuropathy in a nationally representative sample: results from 2001-2004 NHANES&lt;/title&gt;&lt;secondary-title&gt;Diabetic Medicine&lt;/secondary-title&gt;&lt;/titles&gt;&lt;pages&gt;50-55&lt;/pages&gt;&lt;number&gt;1&lt;/number&gt;&lt;contributors&gt;&lt;authors&gt;&lt;author&gt;Soderstrom, L. H.&lt;/author&gt;&lt;author&gt;Johnson, S. P.&lt;/author&gt;&lt;author&gt;Diaz, V. A.&lt;/author&gt;&lt;author&gt;Mainous, A. G., III&lt;/author&gt;&lt;/authors&gt;&lt;/contributors&gt;&lt;added-date format="utc"&gt;1428505086&lt;/added-date&gt;&lt;ref-type name="Journal Article"&gt;17&lt;/ref-type&gt;&lt;rec-number&gt;369&lt;/rec-number&gt;&lt;last-updated-date format="utc"&gt;1428505297&lt;/last-updated-date&gt;&lt;accession-num&gt;WOS:000297792600009&lt;/accession-num&gt;&lt;electronic-resource-num&gt;10.1111/j.1464-5491.2011.03379.x&lt;/electronic-resource-num&gt;&lt;volume&gt;29&lt;/volume&gt;&lt;/record&gt;&lt;/Cite&gt;&lt;Cite  &gt;&lt;Author&gt;Putz&lt;/Author&gt;&lt;Year&gt;2014&lt;/Year&gt;&lt;RecNum&gt;365&lt;/RecNum&gt;&lt;record&gt;&lt;dates&gt;&lt;pub-dates&gt;&lt;date&gt;Oct&lt;/date&gt;&lt;/pub-dates&gt;&lt;year&gt;2014&lt;/year&gt;&lt;/dates&gt;&lt;urls&gt;&lt;related-urls&gt;&lt;url&gt;&amp;lt;Go to ISI&amp;gt;://WOS:000341810900009&lt;/url&gt;&lt;/related-urls&gt;&lt;/urls&gt;&lt;isbn&gt;1534-4827&lt;/isbn&gt;&lt;titles&gt;&lt;title&gt;Is There an Association Between Diabetic Neuropathy and Low Vitamin D Levels?&lt;/title&gt;&lt;secondary-title&gt;Current Diabetes Reports&lt;/secondary-title&gt;&lt;/titles&gt;&lt;number&gt;10&lt;/number&gt;&lt;contributors&gt;&lt;authors&gt;&lt;author&gt;Putz, Zsuzsanna&lt;/author&gt;&lt;author&gt;Martos, Timea&lt;/author&gt;&lt;author&gt;Nemeth, Nora&lt;/author&gt;&lt;author&gt;Koerei, Anna Erzsebet&lt;/author&gt;&lt;author&gt;Vagi, Orsolya Erzsebet&lt;/author&gt;&lt;author&gt;Kempler, Miklos Soma&lt;/author&gt;&lt;author&gt;Kempler, Peter&lt;/author&gt;&lt;/authors&gt;&lt;/contributors&gt;&lt;custom7&gt;537&lt;/custom7&gt;&lt;added-date format="utc"&gt;1428504664&lt;/added-date&gt;&lt;ref-type name="Journal Article"&gt;17&lt;/ref-type&gt;&lt;rec-number&gt;365&lt;/rec-number&gt;&lt;last-updated-date format="utc"&gt;1428504743&lt;/last-updated-date&gt;&lt;accession-num&gt;WOS:000341810900009&lt;/accession-num&gt;&lt;electronic-resource-num&gt;10.1007/s11892-014-0537-6&lt;/electronic-resource-num&gt;&lt;volume&gt;14&lt;/volume&gt;&lt;/record&gt;&lt;/Cite&gt;&lt;/EndNote&gt;</w:instrText>
      </w:r>
      <w:r>
        <w:fldChar w:fldCharType="separate"/>
      </w:r>
      <w:r>
        <w:t>(Soderstrom et al., 2012, Putz et al., 2014)</w:t>
      </w:r>
      <w:r>
        <w:fldChar w:fldCharType="end"/>
      </w:r>
      <w:r>
        <w:rPr>
          <w:lang w:val="en-US"/>
        </w:rPr>
        <w:t>. Pain sensitivity associated with low vitamin D levels may be directly mediated by its action on the dorsal root ganglia and</w:t>
      </w:r>
      <w:r w:rsidR="005F11DF">
        <w:rPr>
          <w:lang w:val="en-US"/>
        </w:rPr>
        <w:t xml:space="preserve"> specifically small nerve </w:t>
      </w:r>
      <w:proofErr w:type="spellStart"/>
      <w:r w:rsidR="005F11DF">
        <w:rPr>
          <w:lang w:val="en-US"/>
        </w:rPr>
        <w:t>fibres</w:t>
      </w:r>
      <w:proofErr w:type="spellEnd"/>
      <w:r>
        <w:rPr>
          <w:lang w:val="en-US"/>
        </w:rPr>
        <w:t xml:space="preserve"> </w:t>
      </w:r>
      <w:r>
        <w:fldChar w:fldCharType="begin"/>
      </w:r>
      <w:r>
        <w:instrText xml:space="preserve"> ADDIN EN.CITE &lt;EndNote&gt;&lt;Cite  &gt;&lt;Author&gt;Filipovic&lt;/Author&gt;&lt;Year&gt;2013&lt;/Year&gt;&lt;RecNum&gt;372&lt;/RecNum&gt;&lt;DisplayText&gt;(Filipovic et al., 2013)&lt;/DisplayText&gt;&lt;record&gt;&lt;dates&gt;&lt;pub-dates&gt;&lt;date&gt;Aug 9&lt;/date&gt;&lt;/pub-dates&gt;&lt;year&gt;2013&lt;/year&gt;&lt;/dates&gt;&lt;urls&gt;&lt;related-urls&gt;&lt;url&gt;&amp;lt;Go to ISI&amp;gt;://WOS:000323140000028&lt;/url&gt;&lt;/related-urls&gt;&lt;/urls&gt;&lt;isbn&gt;0304-3940&lt;/isbn&gt;&lt;titles&gt;&lt;title&gt;Increased vitamin D receptor expression in dorsal root ganglia neurons of diabetic rats&lt;/title&gt;&lt;secondary-title&gt;Neuroscience Letters&lt;/secondary-title&gt;&lt;/titles&gt;&lt;pages&gt;140-145&lt;/pages&gt;&lt;contributors&gt;&lt;authors&gt;&lt;author&gt;Filipovic, Natalija&lt;/author&gt;&lt;author&gt;Ferhatovic, Lejla&lt;/author&gt;&lt;author&gt;Marelja, Ivana&lt;/author&gt;&lt;author&gt;Puljak, Livia&lt;/author&gt;&lt;author&gt;Grkovic, Ivica&lt;/author&gt;&lt;/authors&gt;&lt;/contributors&gt;&lt;added-date format="utc"&gt;1428586630&lt;/added-date&gt;&lt;ref-type name="Journal Article"&gt;17&lt;/ref-type&gt;&lt;rec-number&gt;372&lt;/rec-number&gt;&lt;last-updated-date format="utc"&gt;1428586630&lt;/last-updated-date&gt;&lt;accession-num&gt;WOS:000323140000028&lt;/accession-num&gt;&lt;electronic-resource-num&gt;10.1016/j.neulet.2013.05.023&lt;/electronic-resource-num&gt;&lt;volume&gt;549&lt;/volume&gt;&lt;/record&gt;&lt;/Cite&gt;&lt;/EndNote&gt;</w:instrText>
      </w:r>
      <w:r>
        <w:fldChar w:fldCharType="separate"/>
      </w:r>
      <w:r>
        <w:t>(Filipovic et al., 2013)</w:t>
      </w:r>
      <w:r>
        <w:fldChar w:fldCharType="end"/>
      </w:r>
      <w:r>
        <w:rPr>
          <w:lang w:val="en-US"/>
        </w:rPr>
        <w:t xml:space="preserve">.  Vitamin D deficiency has also been linked to hypertension </w:t>
      </w:r>
      <w:r>
        <w:fldChar w:fldCharType="begin"/>
      </w:r>
      <w:r>
        <w:instrText xml:space="preserve"> ADDIN EN.CITE &lt;EndNote&gt;&lt;Cite  &gt;&lt;Author&gt;Kunutsor&lt;/Author&gt;&lt;Year&gt;2013&lt;/Year&gt;&lt;RecNum&gt;395&lt;/RecNum&gt;&lt;DisplayText&gt;(Kunutsor et al., 2013)&lt;/DisplayText&gt;&lt;record&gt;&lt;dates&gt;&lt;pub-dates&gt;&lt;date&gt;Mar&lt;/date&gt;&lt;/pub-dates&gt;&lt;year&gt;2013&lt;/year&gt;&lt;/dates&gt;&lt;keywords&gt;&lt;keyword&gt;Biomarkers&lt;/keyword&gt;&lt;keyword&gt;Blood Pressure&lt;/keyword&gt;&lt;keyword&gt;Dietary Supplements&lt;/keyword&gt;&lt;keyword&gt;Dose-Response Relationship, Drug&lt;/keyword&gt;&lt;keyword&gt;Humans&lt;/keyword&gt;&lt;keyword&gt;Hypertension&lt;/keyword&gt;&lt;keyword&gt;Odds Ratio&lt;/keyword&gt;&lt;keyword&gt;Predictive Value of Tests&lt;/keyword&gt;&lt;keyword&gt;Prospective Studies&lt;/keyword&gt;&lt;keyword&gt;Risk Factors&lt;/keyword&gt;&lt;keyword&gt;Vitamin D&lt;/keyword&gt;&lt;/keywords&gt;&lt;urls&gt;&lt;related-urls&gt;&lt;url&gt;https://www.ncbi.nlm.nih.gov/pubmed/23456138&lt;/url&gt;&lt;/related-urls&gt;&lt;/urls&gt;&lt;isbn&gt;1573-7284&lt;/isbn&gt;&lt;titles&gt;&lt;title&gt;Vitamin D and risk of future hypertension: meta-analysis of 283,537 participants&lt;/title&gt;&lt;secondary-title&gt;Eur J Epidemiol&lt;/secondary-title&gt;&lt;/titles&gt;&lt;pages&gt;205-21&lt;/pages&gt;&lt;number&gt;3&lt;/number&gt;&lt;contributors&gt;&lt;authors&gt;&lt;author&gt;Kunutsor, S. K.&lt;/author&gt;&lt;author&gt;Apekey, T. A.&lt;/author&gt;&lt;author&gt;Steur, M.&lt;/author&gt;&lt;/authors&gt;&lt;/contributors&gt;&lt;language&gt;eng&lt;/language&gt;&lt;added-date format="utc"&gt;1468341881&lt;/added-date&gt;&lt;ref-type name="Journal Article"&gt;17&lt;/ref-type&gt;&lt;rec-number&gt;395&lt;/rec-number&gt;&lt;last-updated-date format="utc"&gt;1468341881&lt;/last-updated-date&gt;&lt;accession-num&gt;23456138&lt;/accession-num&gt;&lt;electronic-resource-num&gt;10.1007/s10654-013-9790-2&lt;/electronic-resource-num&gt;&lt;volume&gt;28&lt;/volume&gt;&lt;/record&gt;&lt;/Cite&gt;&lt;/EndNote&gt;</w:instrText>
      </w:r>
      <w:r>
        <w:fldChar w:fldCharType="separate"/>
      </w:r>
      <w:r>
        <w:t>(Kunutsor et al., 2013)</w:t>
      </w:r>
      <w:r>
        <w:fldChar w:fldCharType="end"/>
      </w:r>
      <w:r>
        <w:t xml:space="preserve">, </w:t>
      </w:r>
      <w:proofErr w:type="spellStart"/>
      <w:r>
        <w:t>dysglycaemia</w:t>
      </w:r>
      <w:proofErr w:type="spellEnd"/>
      <w:r>
        <w:t xml:space="preserve"> </w:t>
      </w:r>
      <w:r>
        <w:fldChar w:fldCharType="begin"/>
      </w:r>
      <w:r>
        <w:instrText xml:space="preserve"> ADDIN EN.CITE &lt;EndNote&gt;&lt;Cite  &gt;&lt;Author&gt;Forouhi&lt;/Author&gt;&lt;Year&gt;2012&lt;/Year&gt;&lt;RecNum&gt;397&lt;/RecNum&gt;&lt;DisplayText&gt;(Forouhi et al., 2012)&lt;/DisplayText&gt;&lt;record&gt;&lt;dates&gt;&lt;pub-dates&gt;&lt;date&gt;Aug&lt;/date&gt;&lt;/pub-dates&gt;&lt;year&gt;2012&lt;/year&gt;&lt;/dates&gt;&lt;keywords&gt;&lt;keyword&gt;Adult&lt;/keyword&gt;&lt;keyword&gt;Aged&lt;/keyword&gt;&lt;keyword&gt;Cohort Studies&lt;/keyword&gt;&lt;keyword&gt;Diabetes Mellitus, Type 2&lt;/keyword&gt;&lt;keyword&gt;England&lt;/keyword&gt;&lt;keyword&gt;European Continental Ancestry Group&lt;/keyword&gt;&lt;keyword&gt;Female&lt;/keyword&gt;&lt;keyword&gt;Humans&lt;/keyword&gt;&lt;keyword&gt;Incidence&lt;/keyword&gt;&lt;keyword&gt;Male&lt;/keyword&gt;&lt;keyword&gt;Middle Aged&lt;/keyword&gt;&lt;keyword&gt;Prospective Studies&lt;/keyword&gt;&lt;keyword&gt;Risk Factors&lt;/keyword&gt;&lt;keyword&gt;Vitamin D&lt;/keyword&gt;&lt;/keywords&gt;&lt;urls&gt;&lt;related-urls&gt;&lt;url&gt;https://www.ncbi.nlm.nih.gov/pubmed/22526608&lt;/url&gt;&lt;/related-urls&gt;&lt;/urls&gt;&lt;isbn&gt;1432-0428&lt;/isbn&gt;&lt;titles&gt;&lt;title&gt;Circulating 25-hydroxyvitamin D concentration and the risk of type 2 diabetes: results from the European Prospective Investigation into Cancer (EPIC)-Norfolk cohort and updated meta-analysis of prospective studies&lt;/title&gt;&lt;secondary-title&gt;Diabetologia&lt;/secondary-title&gt;&lt;/titles&gt;&lt;pages&gt;2173-82&lt;/pages&gt;&lt;number&gt;8&lt;/number&gt;&lt;contributors&gt;&lt;authors&gt;&lt;author&gt;Forouhi, N. G.&lt;/author&gt;&lt;author&gt;Ye, Z.&lt;/author&gt;&lt;author&gt;Rickard, A. P.&lt;/author&gt;&lt;author&gt;Khaw, K. T.&lt;/author&gt;&lt;author&gt;Luben, R.&lt;/author&gt;&lt;author&gt;Langenberg, C.&lt;/author&gt;&lt;author&gt;Wareham, N. J.&lt;/author&gt;&lt;/authors&gt;&lt;/contributors&gt;&lt;language&gt;eng&lt;/language&gt;&lt;added-date format="utc"&gt;1468342159&lt;/added-date&gt;&lt;ref-type name="Journal Article"&gt;17&lt;/ref-type&gt;&lt;rec-number&gt;397&lt;/rec-number&gt;&lt;last-updated-date format="utc"&gt;1468342159&lt;/last-updated-date&gt;&lt;accession-num&gt;22526608&lt;/accession-num&gt;&lt;electronic-resource-num&gt;10.1007/s00125-012-2544-y&lt;/electronic-resource-num&gt;&lt;volume&gt;55&lt;/volume&gt;&lt;/record&gt;&lt;/Cite&gt;&lt;/EndNote&gt;</w:instrText>
      </w:r>
      <w:r>
        <w:fldChar w:fldCharType="separate"/>
      </w:r>
      <w:r>
        <w:t>(Forouhi et al., 2012)</w:t>
      </w:r>
      <w:r>
        <w:fldChar w:fldCharType="end"/>
      </w:r>
      <w:r>
        <w:rPr>
          <w:lang w:val="en-US"/>
        </w:rPr>
        <w:t xml:space="preserve"> and </w:t>
      </w:r>
      <w:proofErr w:type="spellStart"/>
      <w:r>
        <w:rPr>
          <w:lang w:val="en-US"/>
        </w:rPr>
        <w:t>dyslipidaemia</w:t>
      </w:r>
      <w:proofErr w:type="spellEnd"/>
      <w:r>
        <w:rPr>
          <w:lang w:val="en-US"/>
        </w:rPr>
        <w:t xml:space="preserve"> </w:t>
      </w:r>
      <w:r>
        <w:rPr>
          <w:lang w:val="en-US"/>
        </w:rPr>
        <w:fldChar w:fldCharType="begin"/>
      </w:r>
      <w:r>
        <w:rPr>
          <w:lang w:val="en-US"/>
        </w:rPr>
        <w:instrText xml:space="preserve"> ADDIN EN.CITE &lt;EndNote&gt;&lt;Cite  &gt;&lt;Author&gt;Jorde&lt;/Author&gt;&lt;Year&gt;2011&lt;/Year&gt;&lt;RecNum&gt;398&lt;/RecNum&gt;&lt;DisplayText&gt;(Jorde and Grimnes, 2011)&lt;/DisplayText&gt;&lt;record&gt;&lt;dates&gt;&lt;pub-dates&gt;&lt;date&gt;Oct&lt;/date&gt;&lt;/pub-dates&gt;&lt;year&gt;2011&lt;/year&gt;&lt;/dates&gt;&lt;keywords&gt;&lt;keyword&gt;25-Hydroxyvitamin D3 1-alpha-Hydroxylase&lt;/keyword&gt;&lt;keyword&gt;Cardiovascular Diseases&lt;/keyword&gt;&lt;keyword&gt;Cholesterol, HDL&lt;/keyword&gt;&lt;keyword&gt;Cholesterol, LDL&lt;/keyword&gt;&lt;keyword&gt;Cross-Sectional Studies&lt;/keyword&gt;&lt;keyword&gt;Diabetes Mellitus, Type 2&lt;/keyword&gt;&lt;keyword&gt;Double-Blind Method&lt;/keyword&gt;&lt;keyword&gt;Female&lt;/keyword&gt;&lt;keyword&gt;Humans&lt;/keyword&gt;&lt;keyword&gt;Hypertension&lt;/keyword&gt;&lt;keyword&gt;Male&lt;/keyword&gt;&lt;keyword&gt;Obesity&lt;/keyword&gt;&lt;keyword&gt;Randomized Controlled Trials as Topic&lt;/keyword&gt;&lt;keyword&gt;Triglycerides&lt;/keyword&gt;&lt;keyword&gt;Vitamin D&lt;/keyword&gt;&lt;keyword&gt;Vitamin D Deficiency&lt;/keyword&gt;&lt;/keywords&gt;&lt;urls&gt;&lt;related-urls&gt;&lt;url&gt;https://www.ncbi.nlm.nih.gov/pubmed/21640757&lt;/url&gt;&lt;/related-urls&gt;&lt;/urls&gt;&lt;isbn&gt;1873-2194&lt;/isbn&gt;&lt;titles&gt;&lt;title&gt;Vitamin D and metabolic health with special reference to the effect of vitamin D on serum lipids&lt;/title&gt;&lt;secondary-title&gt;Prog Lipid Res&lt;/secondary-title&gt;&lt;/titles&gt;&lt;pages&gt;303-12&lt;/pages&gt;&lt;number&gt;4&lt;/number&gt;&lt;contributors&gt;&lt;authors&gt;&lt;author&gt;Jorde, R.&lt;/author&gt;&lt;author&gt;Grimnes, G.&lt;/author&gt;&lt;/authors&gt;&lt;/contributors&gt;&lt;language&gt;eng&lt;/language&gt;&lt;added-date format="utc"&gt;1468342311&lt;/added-date&gt;&lt;ref-type name="Journal Article"&gt;17&lt;/ref-type&gt;&lt;rec-number&gt;398&lt;/rec-number&gt;&lt;last-updated-date format="utc"&gt;1468342311&lt;/last-updated-date&gt;&lt;accession-num&gt;21640757&lt;/accession-num&gt;&lt;electronic-resource-num&gt;10.1016/j.plipres.2011.05.001&lt;/electronic-resource-num&gt;&lt;volume&gt;50&lt;/volume&gt;&lt;/record&gt;&lt;/Cite&gt;&lt;/EndNote&gt;</w:instrText>
      </w:r>
      <w:r>
        <w:rPr>
          <w:lang w:val="en-US"/>
        </w:rPr>
        <w:fldChar w:fldCharType="separate"/>
      </w:r>
      <w:r>
        <w:rPr>
          <w:lang w:val="en-US"/>
        </w:rPr>
        <w:t>(Jorde and Grimnes, 2011)</w:t>
      </w:r>
      <w:r>
        <w:rPr>
          <w:lang w:val="en-US"/>
        </w:rPr>
        <w:fldChar w:fldCharType="end"/>
      </w:r>
      <w:r>
        <w:rPr>
          <w:lang w:val="en-US"/>
        </w:rPr>
        <w:t xml:space="preserve">, that have been implicated as independent risk factors for </w:t>
      </w:r>
      <w:proofErr w:type="spellStart"/>
      <w:r>
        <w:rPr>
          <w:lang w:val="en-US"/>
        </w:rPr>
        <w:t>DPN</w:t>
      </w:r>
      <w:proofErr w:type="spellEnd"/>
      <w:r>
        <w:rPr>
          <w:lang w:val="en-US"/>
        </w:rPr>
        <w:t xml:space="preserve"> </w:t>
      </w:r>
      <w:r>
        <w:rPr>
          <w:lang w:val="fr-FR"/>
        </w:rPr>
        <w:fldChar w:fldCharType="begin"/>
      </w:r>
      <w:r w:rsidRPr="005B5764">
        <w:instrText xml:space="preserve"> ADDIN EN.CITE &lt;EndNote&gt;&lt;Cite  &gt;&lt;Author&gt;Tesfaye&lt;/Author&gt;&lt;Year&gt;2005&lt;/Year&gt;&lt;RecNum&gt;246&lt;/RecNum&gt;&lt;DisplayText&gt;(Tesfaye et al., 2005)&lt;/DisplayText&gt;&lt;record&gt;&lt;keywords&gt;&lt;keyword&gt;Cardiovascular Diseases -- Complications&lt;/keyword&gt;&lt;keyword&gt;Diabetes Mellitus, Type 1 -- Complications&lt;/keyword&gt;&lt;keyword&gt;Diabetic Neuropathies -- Etiology&lt;/keyword&gt;&lt;keyword&gt;Hemoglobin A, Glycosylated -- Metabolism&lt;/keyword&gt;&lt;/keywords&gt;&lt;titles&gt;&lt;title&gt;Vascular risk factors and diabetic neuropathy&lt;/title&gt;&lt;secondary-title&gt;The New England journal of medicine&lt;/secondary-title&gt;&lt;/titles&gt;&lt;pages&gt;341&lt;/pages&gt;&lt;number&gt;4&lt;/number&gt;&lt;contributors&gt;&lt;authors&gt;&lt;author&gt;Tesfaye, Solomon&lt;/author&gt;&lt;author&gt;Chaturvedi, Nish&lt;/author&gt;&lt;author&gt;Eaton, Simon E. M.&lt;/author&gt;&lt;author&gt;Ward, John D.&lt;/author&gt;&lt;author&gt;Manes, Christos&lt;/author&gt;&lt;author&gt;Ionescu-tirgoviste, Constantin&lt;/author&gt;&lt;author&gt;Witte, Daniel R.&lt;/author&gt;&lt;author&gt;Fuller, John H.&lt;/author&gt;&lt;author&gt;Ionescu-Tirgoviste, Constantin&lt;/author&gt;&lt;/authors&gt;&lt;/contributors&gt;&lt;added-date format="utc"&gt;1386078510&lt;/added-date&gt;&lt;ref-type name="Journal Article"&gt;17&lt;/ref-type&gt;&lt;dates&gt;&lt;year&gt;2005&lt;/year&gt;&lt;/dates&gt;&lt;rec-number&gt;246&lt;/rec-number&gt;&lt;last-updated-date format="utc"&gt;1387847341&lt;/last-updated-date&gt;&lt;volume&gt;352&lt;/volume&gt;&lt;/record&gt;&lt;/Cite&gt;&lt;/EndNote&gt;</w:instrText>
      </w:r>
      <w:r>
        <w:rPr>
          <w:lang w:val="fr-FR"/>
        </w:rPr>
        <w:fldChar w:fldCharType="separate"/>
      </w:r>
      <w:r w:rsidRPr="005B5764">
        <w:t>(Tesfaye et al., 2005)</w:t>
      </w:r>
      <w:r>
        <w:rPr>
          <w:lang w:val="fr-FR"/>
        </w:rPr>
        <w:fldChar w:fldCharType="end"/>
      </w:r>
      <w:r>
        <w:t xml:space="preserve">.  </w:t>
      </w:r>
    </w:p>
    <w:p w14:paraId="77D64594" w14:textId="62643D77" w:rsidR="00876259" w:rsidRDefault="00876259" w:rsidP="00876259">
      <w:pPr>
        <w:pStyle w:val="BodyA"/>
        <w:spacing w:after="0" w:line="480" w:lineRule="auto"/>
        <w:jc w:val="both"/>
      </w:pPr>
      <w:r>
        <w:rPr>
          <w:lang w:val="en-US"/>
        </w:rPr>
        <w:t xml:space="preserve">Many of the studies reporting an association between low vitamin D levels and </w:t>
      </w:r>
      <w:proofErr w:type="spellStart"/>
      <w:r>
        <w:rPr>
          <w:lang w:val="en-US"/>
        </w:rPr>
        <w:t>DPN</w:t>
      </w:r>
      <w:proofErr w:type="spellEnd"/>
      <w:r>
        <w:rPr>
          <w:lang w:val="en-US"/>
        </w:rPr>
        <w:t xml:space="preserve"> did not differentiate subjects with painful </w:t>
      </w:r>
      <w:proofErr w:type="spellStart"/>
      <w:r>
        <w:rPr>
          <w:lang w:val="en-US"/>
        </w:rPr>
        <w:t>DPN</w:t>
      </w:r>
      <w:proofErr w:type="spellEnd"/>
      <w:r>
        <w:rPr>
          <w:lang w:val="en-US"/>
        </w:rPr>
        <w:t xml:space="preserve"> and painless </w:t>
      </w:r>
      <w:proofErr w:type="spellStart"/>
      <w:r>
        <w:rPr>
          <w:lang w:val="en-US"/>
        </w:rPr>
        <w:t>DPN</w:t>
      </w:r>
      <w:proofErr w:type="spellEnd"/>
      <w:r>
        <w:rPr>
          <w:lang w:val="en-US"/>
        </w:rPr>
        <w:t xml:space="preserve"> or assess small </w:t>
      </w:r>
      <w:proofErr w:type="spellStart"/>
      <w:r>
        <w:rPr>
          <w:lang w:val="en-US"/>
        </w:rPr>
        <w:t>fibre</w:t>
      </w:r>
      <w:proofErr w:type="spellEnd"/>
      <w:r>
        <w:rPr>
          <w:lang w:val="en-US"/>
        </w:rPr>
        <w:t xml:space="preserve"> function and morphology on skin biopsy. Moreover, studies did not evaluate major confounding factors including seasonal sunlight exposure and daily activity. Vitamin D may have differing </w:t>
      </w:r>
      <w:proofErr w:type="spellStart"/>
      <w:r>
        <w:rPr>
          <w:lang w:val="en-US"/>
        </w:rPr>
        <w:t>aetiological</w:t>
      </w:r>
      <w:proofErr w:type="spellEnd"/>
      <w:r>
        <w:rPr>
          <w:lang w:val="en-US"/>
        </w:rPr>
        <w:t xml:space="preserve"> roles in painful and painless </w:t>
      </w:r>
      <w:proofErr w:type="spellStart"/>
      <w:r>
        <w:rPr>
          <w:lang w:val="en-US"/>
        </w:rPr>
        <w:t>DPN</w:t>
      </w:r>
      <w:proofErr w:type="spellEnd"/>
      <w:r>
        <w:rPr>
          <w:lang w:val="en-US"/>
        </w:rPr>
        <w:t xml:space="preserve"> subtypes and there is thus a clear rational for measuring vitamin D levels in carefully </w:t>
      </w:r>
      <w:proofErr w:type="spellStart"/>
      <w:r>
        <w:rPr>
          <w:lang w:val="en-US"/>
        </w:rPr>
        <w:t>phenotyped</w:t>
      </w:r>
      <w:proofErr w:type="spellEnd"/>
      <w:r>
        <w:rPr>
          <w:lang w:val="en-US"/>
        </w:rPr>
        <w:t xml:space="preserve"> subjects with </w:t>
      </w:r>
      <w:proofErr w:type="spellStart"/>
      <w:r>
        <w:rPr>
          <w:lang w:val="en-US"/>
        </w:rPr>
        <w:t>DPN</w:t>
      </w:r>
      <w:proofErr w:type="spellEnd"/>
      <w:r>
        <w:rPr>
          <w:lang w:val="en-US"/>
        </w:rPr>
        <w:t xml:space="preserve">, whilst accounting for potential confounding factors. </w:t>
      </w:r>
    </w:p>
    <w:p w14:paraId="72382617" w14:textId="34910062" w:rsidR="00876259" w:rsidRDefault="00876259" w:rsidP="00876259">
      <w:pPr>
        <w:pStyle w:val="Heading2"/>
        <w:spacing w:line="480" w:lineRule="auto"/>
        <w:rPr>
          <w:i w:val="0"/>
          <w:iCs w:val="0"/>
          <w:sz w:val="24"/>
          <w:szCs w:val="24"/>
        </w:rPr>
      </w:pPr>
      <w:bookmarkStart w:id="91" w:name="_Toc41"/>
      <w:bookmarkStart w:id="92" w:name="_Toc6093014"/>
      <w:r>
        <w:rPr>
          <w:i w:val="0"/>
          <w:iCs w:val="0"/>
          <w:sz w:val="24"/>
          <w:szCs w:val="24"/>
          <w:lang w:val="en-US"/>
        </w:rPr>
        <w:lastRenderedPageBreak/>
        <w:t>4.2 Methods</w:t>
      </w:r>
      <w:bookmarkEnd w:id="91"/>
      <w:bookmarkEnd w:id="92"/>
    </w:p>
    <w:p w14:paraId="6F1A2CC6" w14:textId="77777777" w:rsidR="00876259" w:rsidRDefault="00876259" w:rsidP="00876259">
      <w:pPr>
        <w:pStyle w:val="Heading3"/>
        <w:spacing w:line="480" w:lineRule="auto"/>
        <w:rPr>
          <w:sz w:val="24"/>
          <w:szCs w:val="24"/>
        </w:rPr>
      </w:pPr>
      <w:bookmarkStart w:id="93" w:name="_Toc42"/>
      <w:bookmarkStart w:id="94" w:name="_Toc6093015"/>
      <w:r>
        <w:rPr>
          <w:sz w:val="24"/>
          <w:szCs w:val="24"/>
          <w:lang w:val="en-US"/>
        </w:rPr>
        <w:t>4.2.1 Study Design and Participants</w:t>
      </w:r>
      <w:bookmarkEnd w:id="93"/>
      <w:bookmarkEnd w:id="94"/>
    </w:p>
    <w:p w14:paraId="5A34A1D6" w14:textId="3214609B" w:rsidR="00876259" w:rsidRDefault="00876259" w:rsidP="00876259">
      <w:pPr>
        <w:pStyle w:val="BodyA"/>
        <w:spacing w:line="480" w:lineRule="auto"/>
        <w:jc w:val="both"/>
      </w:pPr>
      <w:r>
        <w:rPr>
          <w:lang w:val="en-US"/>
        </w:rPr>
        <w:t xml:space="preserve">Fifty-Nine white European participants, [Healthy Volunteers (subjects without diabetes, </w:t>
      </w:r>
      <w:proofErr w:type="spellStart"/>
      <w:r>
        <w:rPr>
          <w:lang w:val="en-US"/>
        </w:rPr>
        <w:t>HV</w:t>
      </w:r>
      <w:proofErr w:type="spellEnd"/>
      <w:r>
        <w:rPr>
          <w:lang w:val="en-US"/>
        </w:rPr>
        <w:t xml:space="preserve"> n=14), T2DM with no neuropathy (No </w:t>
      </w:r>
      <w:proofErr w:type="spellStart"/>
      <w:r>
        <w:rPr>
          <w:lang w:val="en-US"/>
        </w:rPr>
        <w:t>DPN</w:t>
      </w:r>
      <w:proofErr w:type="spellEnd"/>
      <w:r>
        <w:rPr>
          <w:lang w:val="en-US"/>
        </w:rPr>
        <w:t xml:space="preserve"> n=14), </w:t>
      </w:r>
      <w:r w:rsidR="004E3E3F">
        <w:rPr>
          <w:lang w:val="en-US"/>
        </w:rPr>
        <w:t>p</w:t>
      </w:r>
      <w:r>
        <w:rPr>
          <w:lang w:val="en-US"/>
        </w:rPr>
        <w:t xml:space="preserve">ainless </w:t>
      </w:r>
      <w:proofErr w:type="spellStart"/>
      <w:r>
        <w:rPr>
          <w:lang w:val="en-US"/>
        </w:rPr>
        <w:t>DPN</w:t>
      </w:r>
      <w:proofErr w:type="spellEnd"/>
      <w:r>
        <w:rPr>
          <w:lang w:val="en-US"/>
        </w:rPr>
        <w:t xml:space="preserve"> (n=14) and </w:t>
      </w:r>
      <w:r w:rsidR="004E3E3F">
        <w:rPr>
          <w:lang w:val="en-US"/>
        </w:rPr>
        <w:t>p</w:t>
      </w:r>
      <w:r>
        <w:rPr>
          <w:lang w:val="en-US"/>
        </w:rPr>
        <w:t xml:space="preserve">ainful </w:t>
      </w:r>
      <w:proofErr w:type="spellStart"/>
      <w:r>
        <w:rPr>
          <w:lang w:val="en-US"/>
        </w:rPr>
        <w:t>DPN</w:t>
      </w:r>
      <w:proofErr w:type="spellEnd"/>
      <w:r>
        <w:rPr>
          <w:lang w:val="en-US"/>
        </w:rPr>
        <w:t xml:space="preserve"> (n=17)] participated in this study.  Subjects with diabetes were recruited from the Sheffield Teaching Hospitals NHS Foundation Trust Diabetes Database and outpatient clinics between August/2013 and September/2014.  All had T2DM diagnosed according to WHO criteria. Exclusion criteria included: non-diabetic neuropathies, history of alcohol consumption of more than 24 units a week, diabetic neuropathies other than </w:t>
      </w:r>
      <w:proofErr w:type="spellStart"/>
      <w:r>
        <w:rPr>
          <w:lang w:val="en-US"/>
        </w:rPr>
        <w:t>DPN</w:t>
      </w:r>
      <w:proofErr w:type="spellEnd"/>
      <w:r>
        <w:rPr>
          <w:lang w:val="en-US"/>
        </w:rPr>
        <w:t xml:space="preserve">, neurological or other systemic disorders.  Subjects on either maintenance or high dose vitamin D supplementation were excluded as were those using sunbeds. </w:t>
      </w:r>
    </w:p>
    <w:p w14:paraId="30317CF7" w14:textId="77777777" w:rsidR="00876259" w:rsidRPr="006234F3" w:rsidRDefault="00876259" w:rsidP="006234F3">
      <w:pPr>
        <w:pStyle w:val="Heading3"/>
        <w:spacing w:line="480" w:lineRule="auto"/>
        <w:rPr>
          <w:sz w:val="24"/>
          <w:szCs w:val="24"/>
        </w:rPr>
      </w:pPr>
      <w:bookmarkStart w:id="95" w:name="_Toc6093016"/>
      <w:r w:rsidRPr="006234F3">
        <w:rPr>
          <w:sz w:val="24"/>
          <w:szCs w:val="24"/>
          <w:lang w:val="en-US"/>
        </w:rPr>
        <w:t>4.2.2 Neuropathy Assessment</w:t>
      </w:r>
      <w:bookmarkEnd w:id="95"/>
    </w:p>
    <w:p w14:paraId="41D12D1F" w14:textId="007E0637" w:rsidR="00876259" w:rsidRDefault="00876259" w:rsidP="00876259">
      <w:pPr>
        <w:pStyle w:val="BodyA"/>
        <w:spacing w:line="480" w:lineRule="auto"/>
        <w:jc w:val="both"/>
      </w:pPr>
      <w:r>
        <w:rPr>
          <w:lang w:val="en-US"/>
        </w:rPr>
        <w:t xml:space="preserve">Neuropathy assessment was done as described in detail in general method sub section 3.2. Based on these assessments and the DN4 questionnaire score, participants with T2DM were divided into three groups: </w:t>
      </w:r>
    </w:p>
    <w:p w14:paraId="10BCE5BE" w14:textId="77777777" w:rsidR="00876259" w:rsidRDefault="00876259" w:rsidP="00876259">
      <w:pPr>
        <w:pStyle w:val="BodyA"/>
        <w:spacing w:line="480" w:lineRule="auto"/>
        <w:jc w:val="both"/>
      </w:pPr>
      <w:r>
        <w:rPr>
          <w:lang w:val="en-US"/>
        </w:rPr>
        <w:t xml:space="preserve">1) No </w:t>
      </w:r>
      <w:proofErr w:type="spellStart"/>
      <w:r>
        <w:rPr>
          <w:lang w:val="en-US"/>
        </w:rPr>
        <w:t>DPN</w:t>
      </w:r>
      <w:proofErr w:type="spellEnd"/>
      <w:r>
        <w:rPr>
          <w:lang w:val="en-US"/>
        </w:rPr>
        <w:t>; T2DM consisting of asymptomatic participants with normal clinical and neurophysiological assessments.</w:t>
      </w:r>
    </w:p>
    <w:p w14:paraId="39C65795" w14:textId="77777777" w:rsidR="00876259" w:rsidRDefault="00876259" w:rsidP="00876259">
      <w:pPr>
        <w:pStyle w:val="BodyA"/>
        <w:spacing w:line="480" w:lineRule="auto"/>
        <w:jc w:val="both"/>
      </w:pPr>
      <w:r>
        <w:rPr>
          <w:lang w:val="en-US"/>
        </w:rPr>
        <w:t xml:space="preserve">2) Painless </w:t>
      </w:r>
      <w:proofErr w:type="spellStart"/>
      <w:r>
        <w:rPr>
          <w:lang w:val="en-US"/>
        </w:rPr>
        <w:t>DPN</w:t>
      </w:r>
      <w:proofErr w:type="spellEnd"/>
      <w:r>
        <w:rPr>
          <w:lang w:val="en-US"/>
        </w:rPr>
        <w:t>; comprising of pain-free participants with distal symmetrical polyneuropathy.</w:t>
      </w:r>
    </w:p>
    <w:p w14:paraId="091AB364" w14:textId="77777777" w:rsidR="00876259" w:rsidRDefault="00876259" w:rsidP="00876259">
      <w:pPr>
        <w:pStyle w:val="BodyA"/>
        <w:spacing w:line="480" w:lineRule="auto"/>
        <w:jc w:val="both"/>
      </w:pPr>
      <w:r>
        <w:rPr>
          <w:lang w:val="en-US"/>
        </w:rPr>
        <w:t xml:space="preserve">3) Painful </w:t>
      </w:r>
      <w:proofErr w:type="spellStart"/>
      <w:r>
        <w:rPr>
          <w:lang w:val="en-US"/>
        </w:rPr>
        <w:t>DPN</w:t>
      </w:r>
      <w:proofErr w:type="spellEnd"/>
      <w:r>
        <w:rPr>
          <w:lang w:val="en-US"/>
        </w:rPr>
        <w:t>; participants with painful neuropathic symptoms involving the feet and or legs in a distal symmetrical fashion together with evidence of peripheral neuropathy.</w:t>
      </w:r>
    </w:p>
    <w:p w14:paraId="6060C903" w14:textId="059BECC6" w:rsidR="00876259" w:rsidRPr="006234F3" w:rsidRDefault="00876259" w:rsidP="006234F3">
      <w:pPr>
        <w:pStyle w:val="Heading3"/>
        <w:spacing w:line="480" w:lineRule="auto"/>
        <w:rPr>
          <w:sz w:val="24"/>
          <w:szCs w:val="24"/>
        </w:rPr>
      </w:pPr>
      <w:bookmarkStart w:id="96" w:name="_Toc6093017"/>
      <w:r w:rsidRPr="006234F3">
        <w:rPr>
          <w:sz w:val="24"/>
          <w:szCs w:val="24"/>
          <w:lang w:val="en-US"/>
        </w:rPr>
        <w:lastRenderedPageBreak/>
        <w:t xml:space="preserve">4.2.3 Sunlight </w:t>
      </w:r>
      <w:r w:rsidRPr="006234F3">
        <w:rPr>
          <w:sz w:val="24"/>
          <w:szCs w:val="24"/>
        </w:rPr>
        <w:t>E</w:t>
      </w:r>
      <w:proofErr w:type="spellStart"/>
      <w:r w:rsidR="006234F3" w:rsidRPr="006234F3">
        <w:rPr>
          <w:sz w:val="24"/>
          <w:szCs w:val="24"/>
          <w:lang w:val="en-US"/>
        </w:rPr>
        <w:t>xposure</w:t>
      </w:r>
      <w:proofErr w:type="spellEnd"/>
      <w:r w:rsidRPr="006234F3">
        <w:rPr>
          <w:sz w:val="24"/>
          <w:szCs w:val="24"/>
          <w:lang w:val="en-US"/>
        </w:rPr>
        <w:t xml:space="preserve"> and </w:t>
      </w:r>
      <w:r w:rsidRPr="006234F3">
        <w:rPr>
          <w:sz w:val="24"/>
          <w:szCs w:val="24"/>
        </w:rPr>
        <w:t>A</w:t>
      </w:r>
      <w:proofErr w:type="spellStart"/>
      <w:r w:rsidR="006234F3" w:rsidRPr="006234F3">
        <w:rPr>
          <w:sz w:val="24"/>
          <w:szCs w:val="24"/>
          <w:lang w:val="en-US"/>
        </w:rPr>
        <w:t>ctivity</w:t>
      </w:r>
      <w:proofErr w:type="spellEnd"/>
      <w:r w:rsidRPr="006234F3">
        <w:rPr>
          <w:sz w:val="24"/>
          <w:szCs w:val="24"/>
          <w:lang w:val="en-US"/>
        </w:rPr>
        <w:t xml:space="preserve"> </w:t>
      </w:r>
      <w:r w:rsidR="006234F3">
        <w:rPr>
          <w:sz w:val="24"/>
          <w:szCs w:val="24"/>
          <w:lang w:val="en-US"/>
        </w:rPr>
        <w:t>M</w:t>
      </w:r>
      <w:r w:rsidR="006234F3" w:rsidRPr="006234F3">
        <w:rPr>
          <w:sz w:val="24"/>
          <w:szCs w:val="24"/>
          <w:lang w:val="en-US"/>
        </w:rPr>
        <w:t>easurement</w:t>
      </w:r>
      <w:bookmarkEnd w:id="96"/>
    </w:p>
    <w:p w14:paraId="7C0C4F14" w14:textId="77777777" w:rsidR="00876259" w:rsidRDefault="00876259" w:rsidP="00876259">
      <w:pPr>
        <w:pStyle w:val="BodyA"/>
        <w:spacing w:line="480" w:lineRule="auto"/>
        <w:jc w:val="both"/>
      </w:pPr>
      <w:r>
        <w:rPr>
          <w:lang w:val="en-US"/>
        </w:rPr>
        <w:t xml:space="preserve">All participants completed a validated sunlight exposure and activity questionnaire </w:t>
      </w:r>
      <w:r>
        <w:fldChar w:fldCharType="begin"/>
      </w:r>
      <w:r>
        <w:instrText xml:space="preserve"> ADDIN EN.CITE &lt;EndNote&gt;&lt;Cite  &gt;&lt;Author&gt;Macdonald&lt;/Author&gt;&lt;Year&gt;2008&lt;/Year&gt;&lt;RecNum&gt;387&lt;/RecNum&gt;&lt;DisplayText&gt;(Macdonald et al., 2008)&lt;/DisplayText&gt;&lt;record&gt;&lt;isbn&gt;8756-3282&lt;/isbn&gt;&lt;titles&gt;&lt;title&gt;Vitamin D status in postmenopausal women living at higher latitudes in the UK in relation to bone health, overweight, sunlight exposure and dietary vitamin D&lt;/title&gt;&lt;secondary-title&gt;Bone&lt;/secondary-title&gt;&lt;/titles&gt;&lt;pages&gt;996-1003&lt;/pages&gt;&lt;number&gt;5&lt;/number&gt;&lt;contributors&gt;&lt;authors&gt;&lt;author&gt;Macdonald, H. M.&lt;/author&gt;&lt;author&gt;Mavroeidi, A.&lt;/author&gt;&lt;author&gt;Barr, Rj&lt;/author&gt;&lt;author&gt;Black, Aj&lt;/author&gt;&lt;author&gt;Fraser, Wd&lt;/author&gt;&lt;author&gt;Reid, D. M.&lt;/author&gt;&lt;/authors&gt;&lt;/contributors&gt;&lt;added-date format="utc"&gt;1428945449&lt;/added-date&gt;&lt;ref-type name="Journal Article"&gt;17&lt;/ref-type&gt;&lt;dates&gt;&lt;year&gt;2008&lt;/year&gt;&lt;/dates&gt;&lt;rec-number&gt;387&lt;/rec-number&gt;&lt;last-updated-date format="utc"&gt;1428945449&lt;/last-updated-date&gt;&lt;electronic-resource-num&gt;10.1016/j.bone.2008.01.011&lt;/electronic-resource-num&gt;&lt;volume&gt;42&lt;/volume&gt;&lt;/record&gt;&lt;/Cite&gt;&lt;/EndNote&gt;</w:instrText>
      </w:r>
      <w:r>
        <w:fldChar w:fldCharType="separate"/>
      </w:r>
      <w:r>
        <w:t>(Macdonald et al., 2008)</w:t>
      </w:r>
      <w:r>
        <w:fldChar w:fldCharType="end"/>
      </w:r>
      <w:r>
        <w:rPr>
          <w:lang w:val="en-US"/>
        </w:rPr>
        <w:t xml:space="preserve">. This had been measured for each month over the preceding 12 months </w:t>
      </w:r>
      <w:r>
        <w:fldChar w:fldCharType="begin"/>
      </w:r>
      <w:r>
        <w:instrText xml:space="preserve"> ADDIN EN.CITE &lt;EndNote&gt;&lt;Cite  &gt;&lt;Author&gt;Macdonald&lt;/Author&gt;&lt;Year&gt;2008&lt;/Year&gt;&lt;RecNum&gt;387&lt;/RecNum&gt;&lt;DisplayText&gt;(Macdonald et al., 2008)&lt;/DisplayText&gt;&lt;record&gt;&lt;isbn&gt;8756-3282&lt;/isbn&gt;&lt;titles&gt;&lt;title&gt;Vitamin D status in postmenopausal women living at higher latitudes in the UK in relation to bone health, overweight, sunlight exposure and dietary vitamin D&lt;/title&gt;&lt;secondary-title&gt;Bone&lt;/secondary-title&gt;&lt;/titles&gt;&lt;pages&gt;996-1003&lt;/pages&gt;&lt;number&gt;5&lt;/number&gt;&lt;contributors&gt;&lt;authors&gt;&lt;author&gt;Macdonald, H. M.&lt;/author&gt;&lt;author&gt;Mavroeidi, A.&lt;/author&gt;&lt;author&gt;Barr, Rj&lt;/author&gt;&lt;author&gt;Black, Aj&lt;/author&gt;&lt;author&gt;Fraser, Wd&lt;/author&gt;&lt;author&gt;Reid, D. M.&lt;/author&gt;&lt;/authors&gt;&lt;/contributors&gt;&lt;added-date format="utc"&gt;1428945449&lt;/added-date&gt;&lt;ref-type name="Journal Article"&gt;17&lt;/ref-type&gt;&lt;dates&gt;&lt;year&gt;2008&lt;/year&gt;&lt;/dates&gt;&lt;rec-number&gt;387&lt;/rec-number&gt;&lt;last-updated-date format="utc"&gt;1428945449&lt;/last-updated-date&gt;&lt;electronic-resource-num&gt;10.1016/j.bone.2008.01.011&lt;/electronic-resource-num&gt;&lt;volume&gt;42&lt;/volume&gt;&lt;/record&gt;&lt;/Cite&gt;&lt;/EndNote&gt;</w:instrText>
      </w:r>
      <w:r>
        <w:fldChar w:fldCharType="separate"/>
      </w:r>
      <w:r>
        <w:t>(Macdonald et al., 2008)</w:t>
      </w:r>
      <w:r>
        <w:fldChar w:fldCharType="end"/>
      </w:r>
      <w:r>
        <w:rPr>
          <w:lang w:val="en-US"/>
        </w:rPr>
        <w:t>. The final sunlight exposure score was calculated based on: 1) which parts of the body were exposed as a percentage of total body surface area using the “rule of nine” (face 9%, plus hands 4%, plus arms 18%, plus legs 36%, plus some or all trunk 36%, and 2) duration of outdoor exposure (‘</w:t>
      </w:r>
      <w:r w:rsidRPr="005B5764">
        <w:t>seldom</w:t>
      </w:r>
      <w:r>
        <w:rPr>
          <w:lang w:val="en-US"/>
        </w:rPr>
        <w:t xml:space="preserve">’ </w:t>
      </w:r>
      <w:r>
        <w:t xml:space="preserve">10 min, </w:t>
      </w:r>
      <w:r>
        <w:rPr>
          <w:lang w:val="en-US"/>
        </w:rPr>
        <w:t xml:space="preserve">‘occasionally’ 20 min and ‘often’ </w:t>
      </w:r>
      <w:r>
        <w:t xml:space="preserve">80 min). </w:t>
      </w:r>
    </w:p>
    <w:p w14:paraId="7F42AE0B" w14:textId="77777777" w:rsidR="00876259" w:rsidRDefault="00876259" w:rsidP="00876259">
      <w:pPr>
        <w:pStyle w:val="Heading3"/>
        <w:spacing w:line="480" w:lineRule="auto"/>
        <w:rPr>
          <w:sz w:val="24"/>
          <w:szCs w:val="24"/>
        </w:rPr>
      </w:pPr>
      <w:bookmarkStart w:id="97" w:name="_Toc43"/>
      <w:bookmarkStart w:id="98" w:name="_Toc6093018"/>
      <w:r>
        <w:rPr>
          <w:sz w:val="24"/>
          <w:szCs w:val="24"/>
        </w:rPr>
        <w:t>4.2.4 Vitamin D Assay</w:t>
      </w:r>
      <w:bookmarkEnd w:id="97"/>
      <w:bookmarkEnd w:id="98"/>
    </w:p>
    <w:p w14:paraId="3C1BDEE5" w14:textId="77777777" w:rsidR="00876259" w:rsidRDefault="00876259" w:rsidP="00876259">
      <w:pPr>
        <w:pStyle w:val="BodyA"/>
        <w:spacing w:line="480" w:lineRule="auto"/>
        <w:jc w:val="both"/>
      </w:pPr>
      <w:r>
        <w:rPr>
          <w:lang w:val="en-US"/>
        </w:rPr>
        <w:t xml:space="preserve">Vitamin D is a </w:t>
      </w:r>
      <w:proofErr w:type="gramStart"/>
      <w:r>
        <w:rPr>
          <w:lang w:val="en-US"/>
        </w:rPr>
        <w:t>fat soluble</w:t>
      </w:r>
      <w:proofErr w:type="gramEnd"/>
      <w:r>
        <w:rPr>
          <w:lang w:val="en-US"/>
        </w:rPr>
        <w:t xml:space="preserve"> steroid precursor that is mainly produced in skin by direct sunlight exposure. The two most important forms of vitamin D are cholecalciferol (D3) and ergocalciferol (D2). Human body cannot produce D2 but is ingested in fortified foods or supplements. Vitamin D is not biologically active and undergoes successive hydroxylation in liver and kidney to form active 1,25-dihydroxy vitamin D. The major storage form is 25-hydroxyvitamin D with levels approximately 1000-fold greater than the active 1,25 dihydroxy vitamin D. Hence 25-hydroxy vitamin D measurement is considered to be adequate to work out the overall vitamin D status.</w:t>
      </w:r>
    </w:p>
    <w:p w14:paraId="1442DD9F" w14:textId="77777777" w:rsidR="00876259" w:rsidRDefault="00876259" w:rsidP="00876259">
      <w:pPr>
        <w:pStyle w:val="BodyA"/>
        <w:spacing w:line="480" w:lineRule="auto"/>
        <w:jc w:val="both"/>
      </w:pPr>
      <w:r>
        <w:rPr>
          <w:lang w:val="en-US"/>
        </w:rPr>
        <w:t>We used an electrochemiluminescence binding assay for the quantitative determination of total serum 25(OH)D (Roche Diagnostics, USA).  Blood samples were collected only during summer months (July, August and September) to avoid seasonal variation in sunlight exposure. This assay technique has got 100% cross reactivity for 25-hydroxy vitamin D3 and 92% cross reactivity for 25-hydroxy vitamin D2. The inter-assay variability was 7.1% and intra-assay variability 5.2% at 50 nmol/L and 3.4% at 120 nmol/L.</w:t>
      </w:r>
    </w:p>
    <w:p w14:paraId="643CDBD9" w14:textId="77777777" w:rsidR="00876259" w:rsidRDefault="00876259" w:rsidP="00876259">
      <w:pPr>
        <w:pStyle w:val="Heading3"/>
        <w:spacing w:line="480" w:lineRule="auto"/>
        <w:rPr>
          <w:sz w:val="24"/>
          <w:szCs w:val="24"/>
        </w:rPr>
      </w:pPr>
      <w:bookmarkStart w:id="99" w:name="_Toc44"/>
      <w:bookmarkStart w:id="100" w:name="_Toc6093019"/>
      <w:r w:rsidRPr="005B5764">
        <w:rPr>
          <w:sz w:val="24"/>
          <w:szCs w:val="24"/>
        </w:rPr>
        <w:lastRenderedPageBreak/>
        <w:t>4.2.5 Skin Biopsy Procedure</w:t>
      </w:r>
      <w:bookmarkEnd w:id="99"/>
      <w:bookmarkEnd w:id="100"/>
    </w:p>
    <w:p w14:paraId="0DCB11CA" w14:textId="77777777" w:rsidR="00876259" w:rsidRDefault="00876259" w:rsidP="00876259">
      <w:pPr>
        <w:pStyle w:val="BodyA"/>
        <w:spacing w:line="480" w:lineRule="auto"/>
        <w:jc w:val="both"/>
      </w:pPr>
      <w:r>
        <w:rPr>
          <w:lang w:val="en-US"/>
        </w:rPr>
        <w:t xml:space="preserve">Skin biopsy was done as described in detail in general method sub section </w:t>
      </w:r>
      <w:proofErr w:type="spellStart"/>
      <w:r>
        <w:rPr>
          <w:lang w:val="en-US"/>
        </w:rPr>
        <w:t>section</w:t>
      </w:r>
      <w:proofErr w:type="spellEnd"/>
      <w:r>
        <w:rPr>
          <w:lang w:val="en-US"/>
        </w:rPr>
        <w:t xml:space="preserve"> 3.3. </w:t>
      </w:r>
    </w:p>
    <w:p w14:paraId="427632D2" w14:textId="77777777" w:rsidR="00876259" w:rsidRDefault="00876259" w:rsidP="00876259">
      <w:pPr>
        <w:pStyle w:val="Heading3"/>
        <w:spacing w:line="480" w:lineRule="auto"/>
        <w:rPr>
          <w:sz w:val="24"/>
          <w:szCs w:val="24"/>
        </w:rPr>
      </w:pPr>
      <w:bookmarkStart w:id="101" w:name="_Toc45"/>
      <w:bookmarkStart w:id="102" w:name="_Toc6093020"/>
      <w:r>
        <w:rPr>
          <w:sz w:val="24"/>
          <w:szCs w:val="24"/>
          <w:lang w:val="en-US"/>
        </w:rPr>
        <w:t>4.2.6 Statistical Analysis</w:t>
      </w:r>
      <w:bookmarkEnd w:id="101"/>
      <w:bookmarkEnd w:id="102"/>
    </w:p>
    <w:p w14:paraId="4B888438" w14:textId="4C1F88D8" w:rsidR="00876259" w:rsidRDefault="00876259" w:rsidP="00876259">
      <w:pPr>
        <w:pStyle w:val="BodyA"/>
        <w:spacing w:line="480" w:lineRule="auto"/>
        <w:jc w:val="both"/>
      </w:pPr>
      <w:r>
        <w:rPr>
          <w:lang w:val="en-US"/>
        </w:rPr>
        <w:t>Analysis of covariance (</w:t>
      </w:r>
      <w:proofErr w:type="spellStart"/>
      <w:r>
        <w:rPr>
          <w:lang w:val="en-US"/>
        </w:rPr>
        <w:t>ANCOVA</w:t>
      </w:r>
      <w:proofErr w:type="spellEnd"/>
      <w:r>
        <w:rPr>
          <w:lang w:val="en-US"/>
        </w:rPr>
        <w:t xml:space="preserve">) was performed to examine differences in mean serum vitamin D levels between the study groups using sunlight exposure score, activity score, age and BMI as covariates. Direct logistic regression was performed, and odds ratio calculated to assess the impact of various independent factors on </w:t>
      </w:r>
      <w:r w:rsidR="004E3E3F">
        <w:rPr>
          <w:lang w:val="en-US"/>
        </w:rPr>
        <w:t>p</w:t>
      </w:r>
      <w:r>
        <w:rPr>
          <w:lang w:val="en-US"/>
        </w:rPr>
        <w:t xml:space="preserve">ainful </w:t>
      </w:r>
      <w:proofErr w:type="spellStart"/>
      <w:r>
        <w:rPr>
          <w:lang w:val="en-US"/>
        </w:rPr>
        <w:t>DPN</w:t>
      </w:r>
      <w:proofErr w:type="spellEnd"/>
      <w:r>
        <w:rPr>
          <w:lang w:val="en-US"/>
        </w:rPr>
        <w:t xml:space="preserve">.  We also examined the relationship between serum vitamin D levels and demographic variables, markers of </w:t>
      </w:r>
      <w:proofErr w:type="spellStart"/>
      <w:r>
        <w:rPr>
          <w:lang w:val="en-US"/>
        </w:rPr>
        <w:t>DPN</w:t>
      </w:r>
      <w:proofErr w:type="spellEnd"/>
      <w:r>
        <w:rPr>
          <w:lang w:val="en-US"/>
        </w:rPr>
        <w:t xml:space="preserve"> severity, pain severity, </w:t>
      </w:r>
      <w:proofErr w:type="spellStart"/>
      <w:r>
        <w:rPr>
          <w:lang w:val="en-US"/>
        </w:rPr>
        <w:t>IENFD</w:t>
      </w:r>
      <w:proofErr w:type="spellEnd"/>
      <w:r>
        <w:rPr>
          <w:lang w:val="en-US"/>
        </w:rPr>
        <w:t xml:space="preserve"> and autonomic function scores using Pearson’s correlation for parametric variables, and Spearman Rank correlation for non-parametric variables. </w:t>
      </w:r>
    </w:p>
    <w:p w14:paraId="4F4541B1" w14:textId="77777777" w:rsidR="00876259" w:rsidRDefault="00876259" w:rsidP="00876259">
      <w:pPr>
        <w:pStyle w:val="Heading2"/>
        <w:spacing w:line="480" w:lineRule="auto"/>
        <w:rPr>
          <w:i w:val="0"/>
          <w:iCs w:val="0"/>
          <w:sz w:val="24"/>
          <w:szCs w:val="24"/>
        </w:rPr>
      </w:pPr>
      <w:bookmarkStart w:id="103" w:name="_Toc6093021"/>
      <w:bookmarkStart w:id="104" w:name="_Toc46"/>
      <w:r>
        <w:rPr>
          <w:i w:val="0"/>
          <w:iCs w:val="0"/>
          <w:sz w:val="24"/>
          <w:szCs w:val="24"/>
          <w:lang w:val="en-US"/>
        </w:rPr>
        <w:t>4.3 Results</w:t>
      </w:r>
      <w:bookmarkEnd w:id="103"/>
      <w:r>
        <w:rPr>
          <w:i w:val="0"/>
          <w:iCs w:val="0"/>
          <w:sz w:val="24"/>
          <w:szCs w:val="24"/>
          <w:lang w:val="en-US"/>
        </w:rPr>
        <w:t xml:space="preserve"> </w:t>
      </w:r>
      <w:bookmarkEnd w:id="104"/>
    </w:p>
    <w:p w14:paraId="46585FB8" w14:textId="77777777" w:rsidR="005E38F9" w:rsidRDefault="00876259" w:rsidP="00876259">
      <w:pPr>
        <w:pStyle w:val="BodyA"/>
        <w:spacing w:line="480" w:lineRule="auto"/>
        <w:jc w:val="both"/>
        <w:rPr>
          <w:lang w:val="en-US"/>
        </w:rPr>
      </w:pPr>
      <w:r>
        <w:rPr>
          <w:lang w:val="en-US"/>
        </w:rPr>
        <w:t xml:space="preserve">Table 4.1 </w:t>
      </w:r>
      <w:proofErr w:type="spellStart"/>
      <w:r>
        <w:rPr>
          <w:lang w:val="en-US"/>
        </w:rPr>
        <w:t>summarises</w:t>
      </w:r>
      <w:proofErr w:type="spellEnd"/>
      <w:r>
        <w:rPr>
          <w:lang w:val="en-US"/>
        </w:rPr>
        <w:t xml:space="preserve"> demographic details and study assessments performed for each group. </w:t>
      </w:r>
      <w:proofErr w:type="spellStart"/>
      <w:r>
        <w:rPr>
          <w:lang w:val="en-US"/>
        </w:rPr>
        <w:t>DPN</w:t>
      </w:r>
      <w:proofErr w:type="spellEnd"/>
      <w:r>
        <w:rPr>
          <w:lang w:val="en-US"/>
        </w:rPr>
        <w:t xml:space="preserve"> groups had higher body mass index (BMI, ANOVA p=0·02) and were older (p=0·009) compared to </w:t>
      </w:r>
      <w:proofErr w:type="spellStart"/>
      <w:r>
        <w:rPr>
          <w:lang w:val="en-US"/>
        </w:rPr>
        <w:t>HV</w:t>
      </w:r>
      <w:proofErr w:type="spellEnd"/>
      <w:r>
        <w:rPr>
          <w:lang w:val="en-US"/>
        </w:rPr>
        <w:t xml:space="preserve"> and No </w:t>
      </w:r>
      <w:proofErr w:type="spellStart"/>
      <w:r>
        <w:rPr>
          <w:lang w:val="en-US"/>
        </w:rPr>
        <w:t>DPN</w:t>
      </w:r>
      <w:proofErr w:type="spellEnd"/>
      <w:r>
        <w:rPr>
          <w:lang w:val="en-US"/>
        </w:rPr>
        <w:t xml:space="preserve"> groups. </w:t>
      </w:r>
    </w:p>
    <w:p w14:paraId="54B9EEDB" w14:textId="77777777" w:rsidR="005E38F9" w:rsidRDefault="00876259" w:rsidP="00876259">
      <w:pPr>
        <w:pStyle w:val="BodyA"/>
        <w:spacing w:line="480" w:lineRule="auto"/>
        <w:jc w:val="both"/>
        <w:rPr>
          <w:lang w:val="en-US"/>
        </w:rPr>
      </w:pPr>
      <w:r>
        <w:rPr>
          <w:lang w:val="en-US"/>
        </w:rPr>
        <w:t xml:space="preserve">There were no significant differences in estimates of sunlight exposure (p=0·65) or outdoor activity between study groups (p=0·46; Table 4.1). The </w:t>
      </w:r>
      <w:proofErr w:type="spellStart"/>
      <w:r>
        <w:rPr>
          <w:lang w:val="en-US"/>
        </w:rPr>
        <w:t>DPN</w:t>
      </w:r>
      <w:proofErr w:type="spellEnd"/>
      <w:r>
        <w:rPr>
          <w:lang w:val="en-US"/>
        </w:rPr>
        <w:t xml:space="preserve"> groups had longer duration of diabetes but there was no significant difference in HbA1c between them (p=0·63). </w:t>
      </w:r>
    </w:p>
    <w:p w14:paraId="1FF4EA26" w14:textId="77777777" w:rsidR="005E38F9" w:rsidRDefault="005E38F9" w:rsidP="00876259">
      <w:pPr>
        <w:pStyle w:val="BodyA"/>
        <w:spacing w:line="480" w:lineRule="auto"/>
        <w:jc w:val="both"/>
        <w:rPr>
          <w:lang w:val="en-US"/>
        </w:rPr>
      </w:pPr>
    </w:p>
    <w:p w14:paraId="2DE857C1" w14:textId="77777777" w:rsidR="005E38F9" w:rsidRDefault="005E38F9" w:rsidP="00876259">
      <w:pPr>
        <w:pStyle w:val="BodyA"/>
        <w:spacing w:line="480" w:lineRule="auto"/>
        <w:jc w:val="both"/>
        <w:rPr>
          <w:lang w:val="en-US"/>
        </w:rPr>
      </w:pPr>
    </w:p>
    <w:p w14:paraId="289C89D1" w14:textId="77777777" w:rsidR="005E38F9" w:rsidRDefault="005E38F9" w:rsidP="00876259">
      <w:pPr>
        <w:pStyle w:val="BodyA"/>
        <w:spacing w:line="480" w:lineRule="auto"/>
        <w:jc w:val="both"/>
        <w:rPr>
          <w:lang w:val="en-US"/>
        </w:rPr>
      </w:pPr>
    </w:p>
    <w:tbl>
      <w:tblPr>
        <w:tblStyle w:val="TableGrid2"/>
        <w:tblpPr w:leftFromText="180" w:rightFromText="180" w:vertAnchor="text" w:horzAnchor="page" w:tblpX="1459" w:tblpY="5"/>
        <w:tblW w:w="5000" w:type="pct"/>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shd w:val="clear" w:color="auto" w:fill="D9D9D9" w:themeFill="background1" w:themeFillShade="D9"/>
        <w:tblLook w:val="0000" w:firstRow="0" w:lastRow="0" w:firstColumn="0" w:lastColumn="0" w:noHBand="0" w:noVBand="0"/>
      </w:tblPr>
      <w:tblGrid>
        <w:gridCol w:w="1973"/>
        <w:gridCol w:w="1257"/>
        <w:gridCol w:w="1269"/>
        <w:gridCol w:w="1406"/>
        <w:gridCol w:w="1273"/>
        <w:gridCol w:w="1812"/>
      </w:tblGrid>
      <w:tr w:rsidR="005E38F9" w14:paraId="14838090" w14:textId="77777777" w:rsidTr="003C5716">
        <w:trPr>
          <w:trHeight w:val="827"/>
        </w:trPr>
        <w:tc>
          <w:tcPr>
            <w:tcW w:w="5000" w:type="pct"/>
            <w:gridSpan w:val="6"/>
            <w:tcBorders>
              <w:bottom w:val="single" w:sz="12" w:space="0" w:color="auto"/>
            </w:tcBorders>
            <w:shd w:val="clear" w:color="auto" w:fill="D9D9D9" w:themeFill="background1" w:themeFillShade="D9"/>
          </w:tcPr>
          <w:p w14:paraId="76388D9A" w14:textId="77777777" w:rsidR="005E38F9" w:rsidRDefault="005E38F9" w:rsidP="004E68BB">
            <w:pPr>
              <w:spacing w:line="360" w:lineRule="auto"/>
              <w:jc w:val="both"/>
              <w:rPr>
                <w:rFonts w:ascii="Arial" w:hAnsi="Arial" w:cs="Arial"/>
                <w:b/>
                <w:color w:val="000000" w:themeColor="text1"/>
                <w:lang w:eastAsia="en-US"/>
              </w:rPr>
            </w:pPr>
            <w:r w:rsidRPr="00DC11DE">
              <w:rPr>
                <w:rFonts w:ascii="Arial" w:hAnsi="Arial" w:cs="Arial"/>
                <w:b/>
                <w:color w:val="000000" w:themeColor="text1"/>
                <w:lang w:eastAsia="en-US"/>
              </w:rPr>
              <w:lastRenderedPageBreak/>
              <w:t xml:space="preserve">  </w:t>
            </w:r>
          </w:p>
          <w:p w14:paraId="729D383D" w14:textId="77777777" w:rsidR="005E38F9" w:rsidRPr="003847F1" w:rsidRDefault="005E38F9" w:rsidP="004E68BB">
            <w:pPr>
              <w:spacing w:line="360" w:lineRule="auto"/>
              <w:jc w:val="both"/>
              <w:rPr>
                <w:rFonts w:ascii="Cambria" w:hAnsi="Cambria" w:cs="Arial"/>
                <w:b/>
                <w:color w:val="000000" w:themeColor="text1"/>
                <w:lang w:eastAsia="en-US"/>
              </w:rPr>
            </w:pPr>
            <w:r w:rsidRPr="003847F1">
              <w:rPr>
                <w:rFonts w:ascii="Cambria" w:hAnsi="Cambria" w:cs="Arial"/>
                <w:b/>
                <w:color w:val="000000" w:themeColor="text1"/>
                <w:lang w:eastAsia="en-US"/>
              </w:rPr>
              <w:t>Table 4.1 Demographic characteristics, sunlight exposure and activity scores of subjects (mean/SD)</w:t>
            </w:r>
          </w:p>
        </w:tc>
      </w:tr>
      <w:tr w:rsidR="005E38F9" w:rsidRPr="00DC11DE" w14:paraId="13CBE31A" w14:textId="77777777" w:rsidTr="003C5716">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val="1283"/>
        </w:trPr>
        <w:tc>
          <w:tcPr>
            <w:tcW w:w="1097" w:type="pct"/>
            <w:tcBorders>
              <w:bottom w:val="nil"/>
              <w:right w:val="nil"/>
            </w:tcBorders>
            <w:shd w:val="clear" w:color="auto" w:fill="D9D9D9" w:themeFill="background1" w:themeFillShade="D9"/>
            <w:vAlign w:val="center"/>
          </w:tcPr>
          <w:p w14:paraId="13E7C64B" w14:textId="77777777" w:rsidR="005E38F9" w:rsidRPr="003847F1" w:rsidRDefault="005E38F9" w:rsidP="004E68BB">
            <w:pPr>
              <w:spacing w:after="0" w:line="360" w:lineRule="auto"/>
              <w:rPr>
                <w:rFonts w:ascii="Cambria" w:hAnsi="Cambria" w:cs="Arial"/>
                <w:color w:val="000000" w:themeColor="text1"/>
                <w:sz w:val="20"/>
                <w:szCs w:val="20"/>
              </w:rPr>
            </w:pPr>
          </w:p>
        </w:tc>
        <w:tc>
          <w:tcPr>
            <w:tcW w:w="699" w:type="pct"/>
            <w:tcBorders>
              <w:left w:val="nil"/>
              <w:bottom w:val="nil"/>
              <w:right w:val="nil"/>
            </w:tcBorders>
            <w:shd w:val="clear" w:color="auto" w:fill="D9D9D9" w:themeFill="background1" w:themeFillShade="D9"/>
            <w:vAlign w:val="center"/>
          </w:tcPr>
          <w:p w14:paraId="3DAEE4A4" w14:textId="77777777" w:rsidR="005E38F9" w:rsidRPr="003847F1" w:rsidRDefault="005E38F9" w:rsidP="004E68BB">
            <w:pPr>
              <w:spacing w:after="0"/>
              <w:jc w:val="center"/>
              <w:rPr>
                <w:rFonts w:ascii="Cambria" w:hAnsi="Cambria" w:cs="Arial"/>
                <w:b/>
                <w:color w:val="000000" w:themeColor="text1"/>
                <w:sz w:val="20"/>
                <w:szCs w:val="20"/>
              </w:rPr>
            </w:pPr>
            <w:proofErr w:type="spellStart"/>
            <w:r w:rsidRPr="003847F1">
              <w:rPr>
                <w:rFonts w:ascii="Cambria" w:hAnsi="Cambria" w:cs="Arial"/>
                <w:b/>
                <w:color w:val="000000" w:themeColor="text1"/>
                <w:sz w:val="20"/>
                <w:szCs w:val="20"/>
              </w:rPr>
              <w:t>HV</w:t>
            </w:r>
            <w:proofErr w:type="spellEnd"/>
          </w:p>
        </w:tc>
        <w:tc>
          <w:tcPr>
            <w:tcW w:w="706" w:type="pct"/>
            <w:tcBorders>
              <w:left w:val="nil"/>
              <w:bottom w:val="nil"/>
              <w:right w:val="nil"/>
            </w:tcBorders>
            <w:shd w:val="clear" w:color="auto" w:fill="D9D9D9" w:themeFill="background1" w:themeFillShade="D9"/>
            <w:vAlign w:val="center"/>
          </w:tcPr>
          <w:p w14:paraId="798646A9" w14:textId="77777777" w:rsidR="005E38F9" w:rsidRPr="003847F1" w:rsidRDefault="005E38F9" w:rsidP="004E68BB">
            <w:pPr>
              <w:spacing w:after="0"/>
              <w:jc w:val="center"/>
              <w:rPr>
                <w:rFonts w:ascii="Cambria" w:hAnsi="Cambria" w:cs="Arial"/>
                <w:b/>
                <w:color w:val="000000" w:themeColor="text1"/>
                <w:sz w:val="20"/>
                <w:szCs w:val="20"/>
              </w:rPr>
            </w:pPr>
            <w:r w:rsidRPr="003847F1">
              <w:rPr>
                <w:rFonts w:ascii="Cambria" w:hAnsi="Cambria" w:cs="Arial"/>
                <w:b/>
                <w:color w:val="000000" w:themeColor="text1"/>
                <w:sz w:val="20"/>
                <w:szCs w:val="20"/>
              </w:rPr>
              <w:t xml:space="preserve">No </w:t>
            </w:r>
            <w:proofErr w:type="spellStart"/>
            <w:r w:rsidRPr="003847F1">
              <w:rPr>
                <w:rFonts w:ascii="Cambria" w:hAnsi="Cambria" w:cs="Arial"/>
                <w:b/>
                <w:color w:val="000000" w:themeColor="text1"/>
                <w:sz w:val="20"/>
                <w:szCs w:val="20"/>
              </w:rPr>
              <w:t>DPN</w:t>
            </w:r>
            <w:proofErr w:type="spellEnd"/>
          </w:p>
        </w:tc>
        <w:tc>
          <w:tcPr>
            <w:tcW w:w="782" w:type="pct"/>
            <w:tcBorders>
              <w:left w:val="nil"/>
              <w:bottom w:val="nil"/>
              <w:right w:val="nil"/>
            </w:tcBorders>
            <w:shd w:val="clear" w:color="auto" w:fill="D9D9D9" w:themeFill="background1" w:themeFillShade="D9"/>
            <w:vAlign w:val="center"/>
          </w:tcPr>
          <w:p w14:paraId="2F51AE7E" w14:textId="77777777" w:rsidR="005E38F9" w:rsidRPr="003847F1" w:rsidRDefault="005E38F9" w:rsidP="004E68BB">
            <w:pPr>
              <w:spacing w:after="0"/>
              <w:jc w:val="center"/>
              <w:rPr>
                <w:rFonts w:ascii="Cambria" w:hAnsi="Cambria" w:cs="Arial"/>
                <w:b/>
                <w:color w:val="000000" w:themeColor="text1"/>
                <w:sz w:val="20"/>
                <w:szCs w:val="20"/>
              </w:rPr>
            </w:pPr>
            <w:r w:rsidRPr="003847F1">
              <w:rPr>
                <w:rFonts w:ascii="Cambria" w:hAnsi="Cambria" w:cs="Arial"/>
                <w:b/>
                <w:color w:val="000000" w:themeColor="text1"/>
                <w:sz w:val="20"/>
                <w:szCs w:val="20"/>
              </w:rPr>
              <w:t>Painless</w:t>
            </w:r>
          </w:p>
          <w:p w14:paraId="6B9FDD3B" w14:textId="77777777" w:rsidR="005E38F9" w:rsidRPr="003847F1" w:rsidRDefault="005E38F9" w:rsidP="004E68BB">
            <w:pPr>
              <w:spacing w:after="0"/>
              <w:jc w:val="center"/>
              <w:rPr>
                <w:rFonts w:ascii="Cambria" w:hAnsi="Cambria" w:cs="Arial"/>
                <w:b/>
                <w:color w:val="000000" w:themeColor="text1"/>
                <w:sz w:val="20"/>
                <w:szCs w:val="20"/>
              </w:rPr>
            </w:pPr>
            <w:proofErr w:type="spellStart"/>
            <w:r w:rsidRPr="003847F1">
              <w:rPr>
                <w:rFonts w:ascii="Cambria" w:hAnsi="Cambria" w:cs="Arial"/>
                <w:b/>
                <w:color w:val="000000" w:themeColor="text1"/>
                <w:sz w:val="20"/>
                <w:szCs w:val="20"/>
              </w:rPr>
              <w:t>DPN</w:t>
            </w:r>
            <w:proofErr w:type="spellEnd"/>
          </w:p>
        </w:tc>
        <w:tc>
          <w:tcPr>
            <w:tcW w:w="708" w:type="pct"/>
            <w:tcBorders>
              <w:left w:val="nil"/>
              <w:bottom w:val="nil"/>
              <w:right w:val="nil"/>
            </w:tcBorders>
            <w:shd w:val="clear" w:color="auto" w:fill="D9D9D9" w:themeFill="background1" w:themeFillShade="D9"/>
            <w:vAlign w:val="center"/>
          </w:tcPr>
          <w:p w14:paraId="6EF708E2" w14:textId="77777777" w:rsidR="005E38F9" w:rsidRPr="003847F1" w:rsidRDefault="005E38F9" w:rsidP="004E68BB">
            <w:pPr>
              <w:spacing w:after="0"/>
              <w:jc w:val="center"/>
              <w:rPr>
                <w:rFonts w:ascii="Cambria" w:hAnsi="Cambria" w:cs="Arial"/>
                <w:b/>
                <w:color w:val="000000" w:themeColor="text1"/>
                <w:sz w:val="20"/>
                <w:szCs w:val="20"/>
              </w:rPr>
            </w:pPr>
            <w:r w:rsidRPr="003847F1">
              <w:rPr>
                <w:rFonts w:ascii="Cambria" w:hAnsi="Cambria" w:cs="Arial"/>
                <w:b/>
                <w:color w:val="000000" w:themeColor="text1"/>
                <w:sz w:val="20"/>
                <w:szCs w:val="20"/>
              </w:rPr>
              <w:t>Painful</w:t>
            </w:r>
          </w:p>
          <w:p w14:paraId="161CA809" w14:textId="77777777" w:rsidR="005E38F9" w:rsidRPr="003847F1" w:rsidRDefault="005E38F9" w:rsidP="004E68BB">
            <w:pPr>
              <w:spacing w:after="0"/>
              <w:jc w:val="center"/>
              <w:rPr>
                <w:rFonts w:ascii="Cambria" w:hAnsi="Cambria" w:cs="Arial"/>
                <w:b/>
                <w:color w:val="000000" w:themeColor="text1"/>
                <w:sz w:val="20"/>
                <w:szCs w:val="20"/>
              </w:rPr>
            </w:pPr>
            <w:proofErr w:type="spellStart"/>
            <w:r w:rsidRPr="003847F1">
              <w:rPr>
                <w:rFonts w:ascii="Cambria" w:hAnsi="Cambria" w:cs="Arial"/>
                <w:b/>
                <w:color w:val="000000" w:themeColor="text1"/>
                <w:sz w:val="20"/>
                <w:szCs w:val="20"/>
              </w:rPr>
              <w:t>DPN</w:t>
            </w:r>
            <w:proofErr w:type="spellEnd"/>
          </w:p>
        </w:tc>
        <w:tc>
          <w:tcPr>
            <w:tcW w:w="1008" w:type="pct"/>
            <w:tcBorders>
              <w:left w:val="nil"/>
              <w:bottom w:val="nil"/>
            </w:tcBorders>
            <w:shd w:val="clear" w:color="auto" w:fill="D9D9D9" w:themeFill="background1" w:themeFillShade="D9"/>
            <w:vAlign w:val="center"/>
          </w:tcPr>
          <w:p w14:paraId="64672454" w14:textId="77777777" w:rsidR="005E38F9" w:rsidRPr="003847F1" w:rsidRDefault="005E38F9" w:rsidP="004E68BB">
            <w:pPr>
              <w:spacing w:after="0"/>
              <w:jc w:val="center"/>
              <w:rPr>
                <w:rFonts w:ascii="Cambria" w:hAnsi="Cambria" w:cs="Arial"/>
                <w:b/>
                <w:sz w:val="20"/>
                <w:szCs w:val="20"/>
              </w:rPr>
            </w:pPr>
            <w:r w:rsidRPr="003847F1">
              <w:rPr>
                <w:rFonts w:ascii="Cambria" w:hAnsi="Cambria" w:cs="Arial"/>
                <w:b/>
                <w:sz w:val="20"/>
                <w:szCs w:val="20"/>
              </w:rPr>
              <w:t xml:space="preserve">Post Hoc p Value Comparing Painful and Painless </w:t>
            </w:r>
            <w:proofErr w:type="spellStart"/>
            <w:r w:rsidRPr="003847F1">
              <w:rPr>
                <w:rFonts w:ascii="Cambria" w:hAnsi="Cambria" w:cs="Arial"/>
                <w:b/>
                <w:sz w:val="20"/>
                <w:szCs w:val="20"/>
              </w:rPr>
              <w:t>DPN</w:t>
            </w:r>
            <w:proofErr w:type="spellEnd"/>
          </w:p>
          <w:p w14:paraId="63E99A28" w14:textId="77777777" w:rsidR="005E38F9" w:rsidRPr="003847F1" w:rsidRDefault="005E38F9" w:rsidP="004E68BB">
            <w:pPr>
              <w:spacing w:after="0" w:line="360" w:lineRule="auto"/>
              <w:jc w:val="center"/>
              <w:rPr>
                <w:rFonts w:ascii="Cambria" w:hAnsi="Cambria" w:cs="Arial"/>
                <w:b/>
                <w:color w:val="000000" w:themeColor="text1"/>
                <w:sz w:val="20"/>
                <w:szCs w:val="20"/>
              </w:rPr>
            </w:pPr>
          </w:p>
        </w:tc>
      </w:tr>
      <w:tr w:rsidR="005E38F9" w:rsidRPr="00DC11DE" w14:paraId="74166AB6" w14:textId="77777777" w:rsidTr="003C5716">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hRule="exact" w:val="703"/>
        </w:trPr>
        <w:tc>
          <w:tcPr>
            <w:tcW w:w="1097" w:type="pct"/>
            <w:tcBorders>
              <w:top w:val="nil"/>
              <w:bottom w:val="nil"/>
              <w:right w:val="nil"/>
            </w:tcBorders>
            <w:shd w:val="clear" w:color="auto" w:fill="D9D9D9" w:themeFill="background1" w:themeFillShade="D9"/>
            <w:vAlign w:val="center"/>
          </w:tcPr>
          <w:p w14:paraId="0FD40582" w14:textId="77777777" w:rsidR="005E38F9" w:rsidRPr="003847F1" w:rsidRDefault="005E38F9" w:rsidP="004E68BB">
            <w:pPr>
              <w:spacing w:after="0"/>
              <w:rPr>
                <w:rFonts w:ascii="Cambria" w:hAnsi="Cambria" w:cs="Arial"/>
                <w:b/>
                <w:color w:val="000000" w:themeColor="text1"/>
                <w:sz w:val="20"/>
                <w:szCs w:val="20"/>
              </w:rPr>
            </w:pPr>
            <w:r w:rsidRPr="003847F1">
              <w:rPr>
                <w:rFonts w:ascii="Cambria" w:hAnsi="Cambria" w:cs="Arial"/>
                <w:b/>
                <w:color w:val="000000" w:themeColor="text1"/>
                <w:sz w:val="20"/>
                <w:szCs w:val="20"/>
              </w:rPr>
              <w:t>n</w:t>
            </w:r>
          </w:p>
        </w:tc>
        <w:tc>
          <w:tcPr>
            <w:tcW w:w="699" w:type="pct"/>
            <w:tcBorders>
              <w:top w:val="nil"/>
              <w:left w:val="nil"/>
              <w:bottom w:val="nil"/>
              <w:right w:val="nil"/>
            </w:tcBorders>
            <w:shd w:val="clear" w:color="auto" w:fill="D9D9D9" w:themeFill="background1" w:themeFillShade="D9"/>
            <w:vAlign w:val="center"/>
          </w:tcPr>
          <w:p w14:paraId="53E41462"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14</w:t>
            </w:r>
          </w:p>
        </w:tc>
        <w:tc>
          <w:tcPr>
            <w:tcW w:w="706" w:type="pct"/>
            <w:tcBorders>
              <w:top w:val="nil"/>
              <w:left w:val="nil"/>
              <w:bottom w:val="nil"/>
              <w:right w:val="nil"/>
            </w:tcBorders>
            <w:shd w:val="clear" w:color="auto" w:fill="D9D9D9" w:themeFill="background1" w:themeFillShade="D9"/>
            <w:vAlign w:val="center"/>
          </w:tcPr>
          <w:p w14:paraId="6FEECA5E"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14</w:t>
            </w:r>
          </w:p>
        </w:tc>
        <w:tc>
          <w:tcPr>
            <w:tcW w:w="782" w:type="pct"/>
            <w:tcBorders>
              <w:top w:val="nil"/>
              <w:left w:val="nil"/>
              <w:bottom w:val="nil"/>
              <w:right w:val="nil"/>
            </w:tcBorders>
            <w:shd w:val="clear" w:color="auto" w:fill="D9D9D9" w:themeFill="background1" w:themeFillShade="D9"/>
            <w:vAlign w:val="center"/>
          </w:tcPr>
          <w:p w14:paraId="36D65F07"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14</w:t>
            </w:r>
          </w:p>
        </w:tc>
        <w:tc>
          <w:tcPr>
            <w:tcW w:w="708" w:type="pct"/>
            <w:tcBorders>
              <w:top w:val="nil"/>
              <w:left w:val="nil"/>
              <w:bottom w:val="nil"/>
              <w:right w:val="nil"/>
            </w:tcBorders>
            <w:shd w:val="clear" w:color="auto" w:fill="D9D9D9" w:themeFill="background1" w:themeFillShade="D9"/>
            <w:vAlign w:val="center"/>
          </w:tcPr>
          <w:p w14:paraId="59085227"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17</w:t>
            </w:r>
          </w:p>
        </w:tc>
        <w:tc>
          <w:tcPr>
            <w:tcW w:w="1008" w:type="pct"/>
            <w:tcBorders>
              <w:top w:val="nil"/>
              <w:left w:val="nil"/>
              <w:bottom w:val="nil"/>
            </w:tcBorders>
            <w:shd w:val="clear" w:color="auto" w:fill="D9D9D9" w:themeFill="background1" w:themeFillShade="D9"/>
            <w:vAlign w:val="center"/>
          </w:tcPr>
          <w:p w14:paraId="2F448E5E" w14:textId="77777777" w:rsidR="005E38F9" w:rsidRPr="003847F1" w:rsidRDefault="005E38F9" w:rsidP="004E68BB">
            <w:pPr>
              <w:spacing w:after="0" w:line="360" w:lineRule="auto"/>
              <w:jc w:val="center"/>
              <w:rPr>
                <w:rFonts w:ascii="Cambria" w:hAnsi="Cambria" w:cs="Arial"/>
                <w:color w:val="000000" w:themeColor="text1"/>
                <w:sz w:val="20"/>
                <w:szCs w:val="20"/>
              </w:rPr>
            </w:pPr>
          </w:p>
        </w:tc>
      </w:tr>
      <w:tr w:rsidR="005E38F9" w:rsidRPr="00DC11DE" w14:paraId="2D24E3F7" w14:textId="77777777" w:rsidTr="003C5716">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hRule="exact" w:val="703"/>
        </w:trPr>
        <w:tc>
          <w:tcPr>
            <w:tcW w:w="1097" w:type="pct"/>
            <w:tcBorders>
              <w:top w:val="nil"/>
              <w:bottom w:val="nil"/>
              <w:right w:val="nil"/>
            </w:tcBorders>
            <w:shd w:val="clear" w:color="auto" w:fill="D9D9D9" w:themeFill="background1" w:themeFillShade="D9"/>
            <w:vAlign w:val="center"/>
          </w:tcPr>
          <w:p w14:paraId="1B08BBA9" w14:textId="77777777" w:rsidR="005E38F9" w:rsidRPr="003847F1" w:rsidRDefault="005E38F9" w:rsidP="004E68BB">
            <w:pPr>
              <w:spacing w:after="0"/>
              <w:rPr>
                <w:rFonts w:ascii="Cambria" w:hAnsi="Cambria" w:cs="Arial"/>
                <w:b/>
                <w:color w:val="000000" w:themeColor="text1"/>
                <w:sz w:val="20"/>
                <w:szCs w:val="20"/>
              </w:rPr>
            </w:pPr>
            <w:r w:rsidRPr="003847F1">
              <w:rPr>
                <w:rFonts w:ascii="Cambria" w:hAnsi="Cambria" w:cs="Arial"/>
                <w:b/>
                <w:color w:val="000000" w:themeColor="text1"/>
                <w:sz w:val="20"/>
                <w:szCs w:val="20"/>
              </w:rPr>
              <w:t>Age (years)</w:t>
            </w:r>
          </w:p>
        </w:tc>
        <w:tc>
          <w:tcPr>
            <w:tcW w:w="699" w:type="pct"/>
            <w:tcBorders>
              <w:top w:val="nil"/>
              <w:left w:val="nil"/>
              <w:bottom w:val="nil"/>
              <w:right w:val="nil"/>
            </w:tcBorders>
            <w:shd w:val="clear" w:color="auto" w:fill="D9D9D9" w:themeFill="background1" w:themeFillShade="D9"/>
            <w:vAlign w:val="center"/>
          </w:tcPr>
          <w:p w14:paraId="3913F978"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52·1 (11·8)</w:t>
            </w:r>
          </w:p>
        </w:tc>
        <w:tc>
          <w:tcPr>
            <w:tcW w:w="706" w:type="pct"/>
            <w:tcBorders>
              <w:top w:val="nil"/>
              <w:left w:val="nil"/>
              <w:bottom w:val="nil"/>
              <w:right w:val="nil"/>
            </w:tcBorders>
            <w:shd w:val="clear" w:color="auto" w:fill="D9D9D9" w:themeFill="background1" w:themeFillShade="D9"/>
            <w:vAlign w:val="center"/>
          </w:tcPr>
          <w:p w14:paraId="4E56377A"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55·4 (8·2)</w:t>
            </w:r>
          </w:p>
        </w:tc>
        <w:tc>
          <w:tcPr>
            <w:tcW w:w="782" w:type="pct"/>
            <w:tcBorders>
              <w:top w:val="nil"/>
              <w:left w:val="nil"/>
              <w:bottom w:val="nil"/>
              <w:right w:val="nil"/>
            </w:tcBorders>
            <w:shd w:val="clear" w:color="auto" w:fill="D9D9D9" w:themeFill="background1" w:themeFillShade="D9"/>
            <w:vAlign w:val="center"/>
          </w:tcPr>
          <w:p w14:paraId="5C9B16B7"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63·2 (8·4)</w:t>
            </w:r>
          </w:p>
        </w:tc>
        <w:tc>
          <w:tcPr>
            <w:tcW w:w="708" w:type="pct"/>
            <w:tcBorders>
              <w:top w:val="nil"/>
              <w:left w:val="nil"/>
              <w:bottom w:val="nil"/>
              <w:right w:val="nil"/>
            </w:tcBorders>
            <w:shd w:val="clear" w:color="auto" w:fill="D9D9D9" w:themeFill="background1" w:themeFillShade="D9"/>
            <w:vAlign w:val="center"/>
          </w:tcPr>
          <w:p w14:paraId="44C34AB0"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61·8 (9·7)</w:t>
            </w:r>
          </w:p>
        </w:tc>
        <w:tc>
          <w:tcPr>
            <w:tcW w:w="1008" w:type="pct"/>
            <w:tcBorders>
              <w:top w:val="nil"/>
              <w:left w:val="nil"/>
              <w:bottom w:val="nil"/>
            </w:tcBorders>
            <w:shd w:val="clear" w:color="auto" w:fill="D9D9D9" w:themeFill="background1" w:themeFillShade="D9"/>
            <w:vAlign w:val="center"/>
          </w:tcPr>
          <w:p w14:paraId="13152479"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0·70</w:t>
            </w:r>
          </w:p>
        </w:tc>
      </w:tr>
      <w:tr w:rsidR="005E38F9" w:rsidRPr="00DC11DE" w14:paraId="0C549568" w14:textId="77777777" w:rsidTr="003C5716">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hRule="exact" w:val="703"/>
        </w:trPr>
        <w:tc>
          <w:tcPr>
            <w:tcW w:w="1097" w:type="pct"/>
            <w:tcBorders>
              <w:top w:val="nil"/>
              <w:bottom w:val="nil"/>
              <w:right w:val="nil"/>
            </w:tcBorders>
            <w:shd w:val="clear" w:color="auto" w:fill="D9D9D9" w:themeFill="background1" w:themeFillShade="D9"/>
            <w:vAlign w:val="center"/>
          </w:tcPr>
          <w:p w14:paraId="7B4A426F" w14:textId="77777777" w:rsidR="005E38F9" w:rsidRPr="003847F1" w:rsidRDefault="005E38F9" w:rsidP="004E68BB">
            <w:pPr>
              <w:spacing w:after="0"/>
              <w:rPr>
                <w:rFonts w:ascii="Cambria" w:hAnsi="Cambria" w:cs="Arial"/>
                <w:b/>
                <w:color w:val="000000" w:themeColor="text1"/>
                <w:sz w:val="20"/>
                <w:szCs w:val="20"/>
              </w:rPr>
            </w:pPr>
            <w:r w:rsidRPr="003847F1">
              <w:rPr>
                <w:rFonts w:ascii="Cambria" w:hAnsi="Cambria" w:cs="Arial"/>
                <w:b/>
                <w:color w:val="000000" w:themeColor="text1"/>
                <w:sz w:val="20"/>
                <w:szCs w:val="20"/>
              </w:rPr>
              <w:t>BMI (kg/m</w:t>
            </w:r>
            <w:r w:rsidRPr="003847F1">
              <w:rPr>
                <w:rFonts w:ascii="Cambria" w:hAnsi="Cambria" w:cs="Arial"/>
                <w:b/>
                <w:color w:val="000000" w:themeColor="text1"/>
                <w:sz w:val="20"/>
                <w:szCs w:val="20"/>
                <w:vertAlign w:val="superscript"/>
              </w:rPr>
              <w:t>2</w:t>
            </w:r>
            <w:r w:rsidRPr="003847F1">
              <w:rPr>
                <w:rFonts w:ascii="Cambria" w:hAnsi="Cambria" w:cs="Arial"/>
                <w:b/>
                <w:color w:val="000000" w:themeColor="text1"/>
                <w:sz w:val="20"/>
                <w:szCs w:val="20"/>
              </w:rPr>
              <w:t>)</w:t>
            </w:r>
          </w:p>
        </w:tc>
        <w:tc>
          <w:tcPr>
            <w:tcW w:w="699" w:type="pct"/>
            <w:tcBorders>
              <w:top w:val="nil"/>
              <w:left w:val="nil"/>
              <w:bottom w:val="nil"/>
              <w:right w:val="nil"/>
            </w:tcBorders>
            <w:shd w:val="clear" w:color="auto" w:fill="D9D9D9" w:themeFill="background1" w:themeFillShade="D9"/>
            <w:vAlign w:val="center"/>
          </w:tcPr>
          <w:p w14:paraId="6AE39601"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26·1 (4·6)</w:t>
            </w:r>
          </w:p>
        </w:tc>
        <w:tc>
          <w:tcPr>
            <w:tcW w:w="706" w:type="pct"/>
            <w:tcBorders>
              <w:top w:val="nil"/>
              <w:left w:val="nil"/>
              <w:bottom w:val="nil"/>
              <w:right w:val="nil"/>
            </w:tcBorders>
            <w:shd w:val="clear" w:color="auto" w:fill="D9D9D9" w:themeFill="background1" w:themeFillShade="D9"/>
            <w:vAlign w:val="center"/>
          </w:tcPr>
          <w:p w14:paraId="37FEA3F8"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30·1 (6·7)</w:t>
            </w:r>
          </w:p>
        </w:tc>
        <w:tc>
          <w:tcPr>
            <w:tcW w:w="782" w:type="pct"/>
            <w:tcBorders>
              <w:top w:val="nil"/>
              <w:left w:val="nil"/>
              <w:bottom w:val="nil"/>
              <w:right w:val="nil"/>
            </w:tcBorders>
            <w:shd w:val="clear" w:color="auto" w:fill="D9D9D9" w:themeFill="background1" w:themeFillShade="D9"/>
            <w:vAlign w:val="center"/>
          </w:tcPr>
          <w:p w14:paraId="3EE52175"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31·1 (5·5)</w:t>
            </w:r>
          </w:p>
        </w:tc>
        <w:tc>
          <w:tcPr>
            <w:tcW w:w="708" w:type="pct"/>
            <w:tcBorders>
              <w:top w:val="nil"/>
              <w:left w:val="nil"/>
              <w:bottom w:val="nil"/>
              <w:right w:val="nil"/>
            </w:tcBorders>
            <w:shd w:val="clear" w:color="auto" w:fill="D9D9D9" w:themeFill="background1" w:themeFillShade="D9"/>
            <w:vAlign w:val="center"/>
          </w:tcPr>
          <w:p w14:paraId="77416077"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32·8 (5·6)</w:t>
            </w:r>
          </w:p>
        </w:tc>
        <w:tc>
          <w:tcPr>
            <w:tcW w:w="1008" w:type="pct"/>
            <w:tcBorders>
              <w:top w:val="nil"/>
              <w:left w:val="nil"/>
              <w:bottom w:val="nil"/>
            </w:tcBorders>
            <w:shd w:val="clear" w:color="auto" w:fill="D9D9D9" w:themeFill="background1" w:themeFillShade="D9"/>
            <w:vAlign w:val="center"/>
          </w:tcPr>
          <w:p w14:paraId="221EA2B4"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0·41</w:t>
            </w:r>
          </w:p>
        </w:tc>
      </w:tr>
      <w:tr w:rsidR="005E38F9" w:rsidRPr="00DC11DE" w14:paraId="49D4B98F" w14:textId="77777777" w:rsidTr="003C5716">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hRule="exact" w:val="703"/>
        </w:trPr>
        <w:tc>
          <w:tcPr>
            <w:tcW w:w="1097" w:type="pct"/>
            <w:tcBorders>
              <w:top w:val="nil"/>
              <w:bottom w:val="nil"/>
              <w:right w:val="nil"/>
            </w:tcBorders>
            <w:shd w:val="clear" w:color="auto" w:fill="D9D9D9" w:themeFill="background1" w:themeFillShade="D9"/>
            <w:vAlign w:val="center"/>
          </w:tcPr>
          <w:p w14:paraId="23F46B3C" w14:textId="77777777" w:rsidR="005E38F9" w:rsidRPr="003847F1" w:rsidRDefault="005E38F9" w:rsidP="004E68BB">
            <w:pPr>
              <w:spacing w:after="0"/>
              <w:rPr>
                <w:rFonts w:ascii="Cambria" w:hAnsi="Cambria" w:cs="Arial"/>
                <w:b/>
                <w:color w:val="000000" w:themeColor="text1"/>
                <w:sz w:val="20"/>
                <w:szCs w:val="20"/>
              </w:rPr>
            </w:pPr>
            <w:r w:rsidRPr="003847F1">
              <w:rPr>
                <w:rFonts w:ascii="Cambria" w:hAnsi="Cambria" w:cs="Arial"/>
                <w:b/>
                <w:color w:val="000000" w:themeColor="text1"/>
                <w:sz w:val="20"/>
                <w:szCs w:val="20"/>
              </w:rPr>
              <w:t>Diabetes duration (years)</w:t>
            </w:r>
          </w:p>
          <w:p w14:paraId="72C295F7" w14:textId="77777777" w:rsidR="005E38F9" w:rsidRPr="003847F1" w:rsidRDefault="005E38F9" w:rsidP="004E68BB">
            <w:pPr>
              <w:spacing w:after="0"/>
              <w:rPr>
                <w:rFonts w:ascii="Cambria" w:hAnsi="Cambria" w:cs="Arial"/>
                <w:b/>
                <w:color w:val="000000" w:themeColor="text1"/>
                <w:sz w:val="20"/>
                <w:szCs w:val="20"/>
              </w:rPr>
            </w:pPr>
          </w:p>
        </w:tc>
        <w:tc>
          <w:tcPr>
            <w:tcW w:w="699" w:type="pct"/>
            <w:tcBorders>
              <w:top w:val="nil"/>
              <w:left w:val="nil"/>
              <w:bottom w:val="nil"/>
              <w:right w:val="nil"/>
            </w:tcBorders>
            <w:shd w:val="clear" w:color="auto" w:fill="D9D9D9" w:themeFill="background1" w:themeFillShade="D9"/>
            <w:vAlign w:val="center"/>
          </w:tcPr>
          <w:p w14:paraId="2E001546"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w:t>
            </w:r>
          </w:p>
        </w:tc>
        <w:tc>
          <w:tcPr>
            <w:tcW w:w="706" w:type="pct"/>
            <w:tcBorders>
              <w:top w:val="nil"/>
              <w:left w:val="nil"/>
              <w:bottom w:val="nil"/>
              <w:right w:val="nil"/>
            </w:tcBorders>
            <w:shd w:val="clear" w:color="auto" w:fill="D9D9D9" w:themeFill="background1" w:themeFillShade="D9"/>
            <w:vAlign w:val="center"/>
          </w:tcPr>
          <w:p w14:paraId="543CF1AD"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9·7 (10·6)</w:t>
            </w:r>
          </w:p>
        </w:tc>
        <w:tc>
          <w:tcPr>
            <w:tcW w:w="782" w:type="pct"/>
            <w:tcBorders>
              <w:top w:val="nil"/>
              <w:left w:val="nil"/>
              <w:bottom w:val="nil"/>
              <w:right w:val="nil"/>
            </w:tcBorders>
            <w:shd w:val="clear" w:color="auto" w:fill="D9D9D9" w:themeFill="background1" w:themeFillShade="D9"/>
            <w:vAlign w:val="center"/>
          </w:tcPr>
          <w:p w14:paraId="41104C1F"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14·4 (7·6)</w:t>
            </w:r>
          </w:p>
        </w:tc>
        <w:tc>
          <w:tcPr>
            <w:tcW w:w="708" w:type="pct"/>
            <w:tcBorders>
              <w:top w:val="nil"/>
              <w:left w:val="nil"/>
              <w:bottom w:val="nil"/>
              <w:right w:val="nil"/>
            </w:tcBorders>
            <w:shd w:val="clear" w:color="auto" w:fill="D9D9D9" w:themeFill="background1" w:themeFillShade="D9"/>
            <w:vAlign w:val="center"/>
          </w:tcPr>
          <w:p w14:paraId="294505AC"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15·7 (9·7)</w:t>
            </w:r>
          </w:p>
        </w:tc>
        <w:tc>
          <w:tcPr>
            <w:tcW w:w="1008" w:type="pct"/>
            <w:tcBorders>
              <w:top w:val="nil"/>
              <w:left w:val="nil"/>
              <w:bottom w:val="nil"/>
            </w:tcBorders>
            <w:shd w:val="clear" w:color="auto" w:fill="D9D9D9" w:themeFill="background1" w:themeFillShade="D9"/>
            <w:vAlign w:val="center"/>
          </w:tcPr>
          <w:p w14:paraId="57F76B1A"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0·70</w:t>
            </w:r>
          </w:p>
        </w:tc>
      </w:tr>
      <w:tr w:rsidR="005E38F9" w:rsidRPr="00DC11DE" w14:paraId="3D3117D4" w14:textId="77777777" w:rsidTr="003C5716">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hRule="exact" w:val="703"/>
        </w:trPr>
        <w:tc>
          <w:tcPr>
            <w:tcW w:w="1097" w:type="pct"/>
            <w:tcBorders>
              <w:top w:val="nil"/>
              <w:bottom w:val="nil"/>
              <w:right w:val="nil"/>
            </w:tcBorders>
            <w:shd w:val="clear" w:color="auto" w:fill="D9D9D9" w:themeFill="background1" w:themeFillShade="D9"/>
            <w:vAlign w:val="center"/>
          </w:tcPr>
          <w:p w14:paraId="00DF791F" w14:textId="77777777" w:rsidR="005E38F9" w:rsidRPr="003847F1" w:rsidRDefault="005E38F9" w:rsidP="004E68BB">
            <w:pPr>
              <w:spacing w:after="0"/>
              <w:rPr>
                <w:rFonts w:ascii="Cambria" w:hAnsi="Cambria" w:cs="Arial"/>
                <w:b/>
                <w:color w:val="000000" w:themeColor="text1"/>
                <w:sz w:val="20"/>
                <w:szCs w:val="20"/>
              </w:rPr>
            </w:pPr>
            <w:r w:rsidRPr="003847F1">
              <w:rPr>
                <w:rFonts w:ascii="Cambria" w:hAnsi="Cambria" w:cs="Arial"/>
                <w:b/>
                <w:color w:val="000000" w:themeColor="text1"/>
                <w:sz w:val="20"/>
                <w:szCs w:val="20"/>
              </w:rPr>
              <w:t>HbA1c (mmol/mol)</w:t>
            </w:r>
          </w:p>
          <w:p w14:paraId="18364965" w14:textId="77777777" w:rsidR="005E38F9" w:rsidRPr="003847F1" w:rsidRDefault="005E38F9" w:rsidP="004E68BB">
            <w:pPr>
              <w:spacing w:after="0"/>
              <w:rPr>
                <w:rFonts w:ascii="Cambria" w:hAnsi="Cambria" w:cs="Arial"/>
                <w:b/>
                <w:color w:val="000000" w:themeColor="text1"/>
                <w:sz w:val="20"/>
                <w:szCs w:val="20"/>
              </w:rPr>
            </w:pPr>
            <w:r w:rsidRPr="003847F1">
              <w:rPr>
                <w:rFonts w:ascii="Cambria" w:hAnsi="Cambria" w:cs="Arial"/>
                <w:b/>
                <w:color w:val="000000" w:themeColor="text1"/>
                <w:sz w:val="20"/>
                <w:szCs w:val="20"/>
              </w:rPr>
              <w:t xml:space="preserve">              (%)</w:t>
            </w:r>
          </w:p>
        </w:tc>
        <w:tc>
          <w:tcPr>
            <w:tcW w:w="699" w:type="pct"/>
            <w:tcBorders>
              <w:top w:val="nil"/>
              <w:left w:val="nil"/>
              <w:bottom w:val="nil"/>
              <w:right w:val="nil"/>
            </w:tcBorders>
            <w:shd w:val="clear" w:color="auto" w:fill="D9D9D9" w:themeFill="background1" w:themeFillShade="D9"/>
            <w:vAlign w:val="center"/>
          </w:tcPr>
          <w:p w14:paraId="75AA64D5"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w:t>
            </w:r>
          </w:p>
        </w:tc>
        <w:tc>
          <w:tcPr>
            <w:tcW w:w="706" w:type="pct"/>
            <w:tcBorders>
              <w:top w:val="nil"/>
              <w:left w:val="nil"/>
              <w:bottom w:val="nil"/>
              <w:right w:val="nil"/>
            </w:tcBorders>
            <w:shd w:val="clear" w:color="auto" w:fill="D9D9D9" w:themeFill="background1" w:themeFillShade="D9"/>
            <w:vAlign w:val="center"/>
          </w:tcPr>
          <w:p w14:paraId="24EB2D1D"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62·5 (21·1)</w:t>
            </w:r>
          </w:p>
          <w:p w14:paraId="6D2E78CA"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7.9 (4.1)</w:t>
            </w:r>
          </w:p>
        </w:tc>
        <w:tc>
          <w:tcPr>
            <w:tcW w:w="782" w:type="pct"/>
            <w:tcBorders>
              <w:top w:val="nil"/>
              <w:left w:val="nil"/>
              <w:bottom w:val="nil"/>
              <w:right w:val="nil"/>
            </w:tcBorders>
            <w:shd w:val="clear" w:color="auto" w:fill="D9D9D9" w:themeFill="background1" w:themeFillShade="D9"/>
            <w:vAlign w:val="center"/>
          </w:tcPr>
          <w:p w14:paraId="2ADCD39F"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62·8 (6·7)</w:t>
            </w:r>
          </w:p>
          <w:p w14:paraId="74AF4683"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7.9 (2.8)</w:t>
            </w:r>
          </w:p>
        </w:tc>
        <w:tc>
          <w:tcPr>
            <w:tcW w:w="708" w:type="pct"/>
            <w:tcBorders>
              <w:top w:val="nil"/>
              <w:left w:val="nil"/>
              <w:bottom w:val="nil"/>
              <w:right w:val="nil"/>
            </w:tcBorders>
            <w:shd w:val="clear" w:color="auto" w:fill="D9D9D9" w:themeFill="background1" w:themeFillShade="D9"/>
            <w:vAlign w:val="center"/>
          </w:tcPr>
          <w:p w14:paraId="033101EF"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67·5 (17·9)</w:t>
            </w:r>
          </w:p>
          <w:p w14:paraId="0A23E87F"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8.3 (3.8)</w:t>
            </w:r>
          </w:p>
        </w:tc>
        <w:tc>
          <w:tcPr>
            <w:tcW w:w="1008" w:type="pct"/>
            <w:tcBorders>
              <w:top w:val="nil"/>
              <w:left w:val="nil"/>
              <w:bottom w:val="nil"/>
            </w:tcBorders>
            <w:shd w:val="clear" w:color="auto" w:fill="D9D9D9" w:themeFill="background1" w:themeFillShade="D9"/>
            <w:vAlign w:val="center"/>
          </w:tcPr>
          <w:p w14:paraId="1E9B0C3C"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0·43</w:t>
            </w:r>
          </w:p>
        </w:tc>
      </w:tr>
      <w:tr w:rsidR="005E38F9" w:rsidRPr="00DC11DE" w14:paraId="6863B7C1" w14:textId="77777777" w:rsidTr="003C5716">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hRule="exact" w:val="703"/>
        </w:trPr>
        <w:tc>
          <w:tcPr>
            <w:tcW w:w="1097" w:type="pct"/>
            <w:tcBorders>
              <w:top w:val="nil"/>
              <w:bottom w:val="nil"/>
              <w:right w:val="nil"/>
            </w:tcBorders>
            <w:shd w:val="clear" w:color="auto" w:fill="D9D9D9" w:themeFill="background1" w:themeFillShade="D9"/>
            <w:vAlign w:val="center"/>
          </w:tcPr>
          <w:p w14:paraId="1F6BF9E5" w14:textId="77777777" w:rsidR="005E38F9" w:rsidRPr="003847F1" w:rsidRDefault="005E38F9" w:rsidP="004E68BB">
            <w:pPr>
              <w:spacing w:after="0"/>
              <w:rPr>
                <w:rFonts w:ascii="Cambria" w:hAnsi="Cambria" w:cs="Arial"/>
                <w:b/>
                <w:color w:val="000000" w:themeColor="text1"/>
                <w:sz w:val="20"/>
                <w:szCs w:val="20"/>
                <w:lang w:val="en-US"/>
              </w:rPr>
            </w:pPr>
            <w:r w:rsidRPr="003847F1">
              <w:rPr>
                <w:rFonts w:ascii="Cambria" w:hAnsi="Cambria" w:cs="Arial"/>
                <w:b/>
                <w:color w:val="000000" w:themeColor="text1"/>
                <w:sz w:val="20"/>
                <w:szCs w:val="20"/>
              </w:rPr>
              <w:t>Total Cholesterol (</w:t>
            </w:r>
            <w:r w:rsidRPr="003847F1">
              <w:rPr>
                <w:rFonts w:ascii="Cambria" w:hAnsi="Cambria" w:cs="Arial"/>
                <w:b/>
                <w:color w:val="000000" w:themeColor="text1"/>
                <w:sz w:val="20"/>
                <w:szCs w:val="20"/>
                <w:lang w:val="en-US"/>
              </w:rPr>
              <w:t>mmol/L)</w:t>
            </w:r>
          </w:p>
          <w:p w14:paraId="0C5E8822" w14:textId="77777777" w:rsidR="005E38F9" w:rsidRPr="003847F1" w:rsidRDefault="005E38F9" w:rsidP="004E68BB">
            <w:pPr>
              <w:spacing w:after="0"/>
              <w:rPr>
                <w:rFonts w:ascii="Cambria" w:hAnsi="Cambria" w:cs="Arial"/>
                <w:b/>
                <w:color w:val="000000" w:themeColor="text1"/>
                <w:sz w:val="20"/>
                <w:szCs w:val="20"/>
              </w:rPr>
            </w:pPr>
          </w:p>
        </w:tc>
        <w:tc>
          <w:tcPr>
            <w:tcW w:w="699" w:type="pct"/>
            <w:tcBorders>
              <w:top w:val="nil"/>
              <w:left w:val="nil"/>
              <w:bottom w:val="nil"/>
              <w:right w:val="nil"/>
            </w:tcBorders>
            <w:shd w:val="clear" w:color="auto" w:fill="D9D9D9" w:themeFill="background1" w:themeFillShade="D9"/>
            <w:vAlign w:val="center"/>
          </w:tcPr>
          <w:p w14:paraId="21992DD6"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w:t>
            </w:r>
          </w:p>
        </w:tc>
        <w:tc>
          <w:tcPr>
            <w:tcW w:w="706" w:type="pct"/>
            <w:tcBorders>
              <w:top w:val="nil"/>
              <w:left w:val="nil"/>
              <w:bottom w:val="nil"/>
              <w:right w:val="nil"/>
            </w:tcBorders>
            <w:shd w:val="clear" w:color="auto" w:fill="D9D9D9" w:themeFill="background1" w:themeFillShade="D9"/>
            <w:vAlign w:val="center"/>
          </w:tcPr>
          <w:p w14:paraId="0C802809"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4·4 (0·9)</w:t>
            </w:r>
          </w:p>
        </w:tc>
        <w:tc>
          <w:tcPr>
            <w:tcW w:w="782" w:type="pct"/>
            <w:tcBorders>
              <w:top w:val="nil"/>
              <w:left w:val="nil"/>
              <w:bottom w:val="nil"/>
              <w:right w:val="nil"/>
            </w:tcBorders>
            <w:shd w:val="clear" w:color="auto" w:fill="D9D9D9" w:themeFill="background1" w:themeFillShade="D9"/>
            <w:vAlign w:val="center"/>
          </w:tcPr>
          <w:p w14:paraId="2B8CAB13"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3·4 (0·4)</w:t>
            </w:r>
          </w:p>
        </w:tc>
        <w:tc>
          <w:tcPr>
            <w:tcW w:w="708" w:type="pct"/>
            <w:tcBorders>
              <w:top w:val="nil"/>
              <w:left w:val="nil"/>
              <w:bottom w:val="nil"/>
              <w:right w:val="nil"/>
            </w:tcBorders>
            <w:shd w:val="clear" w:color="auto" w:fill="D9D9D9" w:themeFill="background1" w:themeFillShade="D9"/>
            <w:vAlign w:val="center"/>
          </w:tcPr>
          <w:p w14:paraId="4E8BCE85"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4·2 (1·0)</w:t>
            </w:r>
          </w:p>
        </w:tc>
        <w:tc>
          <w:tcPr>
            <w:tcW w:w="1008" w:type="pct"/>
            <w:tcBorders>
              <w:top w:val="nil"/>
              <w:left w:val="nil"/>
              <w:bottom w:val="nil"/>
            </w:tcBorders>
            <w:shd w:val="clear" w:color="auto" w:fill="D9D9D9" w:themeFill="background1" w:themeFillShade="D9"/>
            <w:vAlign w:val="center"/>
          </w:tcPr>
          <w:p w14:paraId="647E9D41" w14:textId="77777777" w:rsidR="005E38F9" w:rsidRPr="003847F1" w:rsidRDefault="005E38F9" w:rsidP="004E68BB">
            <w:pPr>
              <w:spacing w:after="0" w:line="360" w:lineRule="auto"/>
              <w:jc w:val="center"/>
              <w:rPr>
                <w:rFonts w:ascii="Cambria" w:hAnsi="Cambria" w:cs="Arial"/>
                <w:b/>
                <w:color w:val="000000" w:themeColor="text1"/>
                <w:sz w:val="20"/>
                <w:szCs w:val="20"/>
              </w:rPr>
            </w:pPr>
            <w:r w:rsidRPr="003847F1">
              <w:rPr>
                <w:rFonts w:ascii="Cambria" w:hAnsi="Cambria" w:cs="Arial"/>
                <w:b/>
                <w:color w:val="000000" w:themeColor="text1"/>
                <w:sz w:val="20"/>
                <w:szCs w:val="20"/>
              </w:rPr>
              <w:t>0·01</w:t>
            </w:r>
          </w:p>
        </w:tc>
      </w:tr>
      <w:tr w:rsidR="005E38F9" w:rsidRPr="00DC11DE" w14:paraId="1143B881" w14:textId="77777777" w:rsidTr="003C5716">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hRule="exact" w:val="703"/>
        </w:trPr>
        <w:tc>
          <w:tcPr>
            <w:tcW w:w="1097" w:type="pct"/>
            <w:tcBorders>
              <w:top w:val="nil"/>
              <w:bottom w:val="nil"/>
              <w:right w:val="nil"/>
            </w:tcBorders>
            <w:shd w:val="clear" w:color="auto" w:fill="D9D9D9" w:themeFill="background1" w:themeFillShade="D9"/>
            <w:vAlign w:val="center"/>
          </w:tcPr>
          <w:p w14:paraId="548D4B97" w14:textId="77777777" w:rsidR="005E38F9" w:rsidRPr="003847F1" w:rsidRDefault="005E38F9" w:rsidP="004E68BB">
            <w:pPr>
              <w:spacing w:after="0"/>
              <w:rPr>
                <w:rFonts w:ascii="Cambria" w:hAnsi="Cambria" w:cs="Arial"/>
                <w:b/>
                <w:color w:val="000000" w:themeColor="text1"/>
                <w:sz w:val="20"/>
                <w:szCs w:val="20"/>
                <w:lang w:val="en-US" w:eastAsia="en-US"/>
              </w:rPr>
            </w:pPr>
            <w:r w:rsidRPr="003847F1">
              <w:rPr>
                <w:rFonts w:ascii="Cambria" w:hAnsi="Cambria" w:cs="Arial"/>
                <w:b/>
                <w:color w:val="000000" w:themeColor="text1"/>
                <w:sz w:val="20"/>
                <w:szCs w:val="20"/>
              </w:rPr>
              <w:t xml:space="preserve">Urine </w:t>
            </w:r>
            <w:proofErr w:type="spellStart"/>
            <w:r w:rsidRPr="003847F1">
              <w:rPr>
                <w:rFonts w:ascii="Cambria" w:hAnsi="Cambria" w:cs="Arial"/>
                <w:b/>
                <w:color w:val="000000" w:themeColor="text1"/>
                <w:sz w:val="20"/>
                <w:szCs w:val="20"/>
              </w:rPr>
              <w:t>ACR</w:t>
            </w:r>
            <w:proofErr w:type="spellEnd"/>
            <w:r w:rsidRPr="003847F1">
              <w:rPr>
                <w:rFonts w:ascii="Cambria" w:hAnsi="Cambria" w:cs="Arial"/>
                <w:b/>
                <w:color w:val="000000" w:themeColor="text1"/>
                <w:sz w:val="20"/>
                <w:szCs w:val="20"/>
              </w:rPr>
              <w:t xml:space="preserve"> (</w:t>
            </w:r>
            <w:r w:rsidRPr="003847F1">
              <w:rPr>
                <w:rFonts w:ascii="Cambria" w:hAnsi="Cambria" w:cs="Arial"/>
                <w:b/>
                <w:color w:val="000000" w:themeColor="text1"/>
                <w:sz w:val="20"/>
                <w:szCs w:val="20"/>
                <w:lang w:val="en-US" w:eastAsia="en-US"/>
              </w:rPr>
              <w:t>mg/mmol)</w:t>
            </w:r>
          </w:p>
          <w:p w14:paraId="4B99CFF3" w14:textId="77777777" w:rsidR="005E38F9" w:rsidRPr="003847F1" w:rsidRDefault="005E38F9" w:rsidP="004E68BB">
            <w:pPr>
              <w:spacing w:after="0"/>
              <w:rPr>
                <w:rFonts w:ascii="Cambria" w:hAnsi="Cambria" w:cs="Arial"/>
                <w:b/>
                <w:color w:val="000000" w:themeColor="text1"/>
                <w:sz w:val="20"/>
                <w:szCs w:val="20"/>
              </w:rPr>
            </w:pPr>
          </w:p>
        </w:tc>
        <w:tc>
          <w:tcPr>
            <w:tcW w:w="699" w:type="pct"/>
            <w:tcBorders>
              <w:top w:val="nil"/>
              <w:left w:val="nil"/>
              <w:bottom w:val="nil"/>
              <w:right w:val="nil"/>
            </w:tcBorders>
            <w:shd w:val="clear" w:color="auto" w:fill="D9D9D9" w:themeFill="background1" w:themeFillShade="D9"/>
            <w:vAlign w:val="center"/>
          </w:tcPr>
          <w:p w14:paraId="66CB6CED"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w:t>
            </w:r>
          </w:p>
        </w:tc>
        <w:tc>
          <w:tcPr>
            <w:tcW w:w="706" w:type="pct"/>
            <w:tcBorders>
              <w:top w:val="nil"/>
              <w:left w:val="nil"/>
              <w:bottom w:val="nil"/>
              <w:right w:val="nil"/>
            </w:tcBorders>
            <w:shd w:val="clear" w:color="auto" w:fill="D9D9D9" w:themeFill="background1" w:themeFillShade="D9"/>
            <w:vAlign w:val="center"/>
          </w:tcPr>
          <w:p w14:paraId="251E9D29"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0·8 (0·6)</w:t>
            </w:r>
          </w:p>
        </w:tc>
        <w:tc>
          <w:tcPr>
            <w:tcW w:w="782" w:type="pct"/>
            <w:tcBorders>
              <w:top w:val="nil"/>
              <w:left w:val="nil"/>
              <w:bottom w:val="nil"/>
              <w:right w:val="nil"/>
            </w:tcBorders>
            <w:shd w:val="clear" w:color="auto" w:fill="D9D9D9" w:themeFill="background1" w:themeFillShade="D9"/>
            <w:vAlign w:val="center"/>
          </w:tcPr>
          <w:p w14:paraId="227FF84D"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7·1 (11·4)</w:t>
            </w:r>
          </w:p>
        </w:tc>
        <w:tc>
          <w:tcPr>
            <w:tcW w:w="708" w:type="pct"/>
            <w:tcBorders>
              <w:top w:val="nil"/>
              <w:left w:val="nil"/>
              <w:bottom w:val="nil"/>
              <w:right w:val="nil"/>
            </w:tcBorders>
            <w:shd w:val="clear" w:color="auto" w:fill="D9D9D9" w:themeFill="background1" w:themeFillShade="D9"/>
            <w:vAlign w:val="center"/>
          </w:tcPr>
          <w:p w14:paraId="2265639D"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38·0 (87·7)</w:t>
            </w:r>
          </w:p>
        </w:tc>
        <w:tc>
          <w:tcPr>
            <w:tcW w:w="1008" w:type="pct"/>
            <w:tcBorders>
              <w:top w:val="nil"/>
              <w:left w:val="nil"/>
              <w:bottom w:val="nil"/>
            </w:tcBorders>
            <w:shd w:val="clear" w:color="auto" w:fill="D9D9D9" w:themeFill="background1" w:themeFillShade="D9"/>
            <w:vAlign w:val="center"/>
          </w:tcPr>
          <w:p w14:paraId="26AB3602"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0·14</w:t>
            </w:r>
          </w:p>
        </w:tc>
      </w:tr>
      <w:tr w:rsidR="005E38F9" w:rsidRPr="00DC11DE" w14:paraId="0A8041AC" w14:textId="77777777" w:rsidTr="003C5716">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hRule="exact" w:val="703"/>
        </w:trPr>
        <w:tc>
          <w:tcPr>
            <w:tcW w:w="1097" w:type="pct"/>
            <w:tcBorders>
              <w:top w:val="nil"/>
              <w:bottom w:val="nil"/>
              <w:right w:val="nil"/>
            </w:tcBorders>
            <w:shd w:val="clear" w:color="auto" w:fill="D9D9D9" w:themeFill="background1" w:themeFillShade="D9"/>
            <w:vAlign w:val="center"/>
          </w:tcPr>
          <w:p w14:paraId="6E09F52B" w14:textId="77777777" w:rsidR="005E38F9" w:rsidRPr="003847F1" w:rsidRDefault="005E38F9" w:rsidP="004E68BB">
            <w:pPr>
              <w:spacing w:after="0"/>
              <w:rPr>
                <w:rFonts w:ascii="Cambria" w:hAnsi="Cambria" w:cs="Arial"/>
                <w:b/>
                <w:color w:val="000000" w:themeColor="text1"/>
                <w:sz w:val="20"/>
                <w:szCs w:val="20"/>
                <w:lang w:val="en-US"/>
              </w:rPr>
            </w:pPr>
            <w:r w:rsidRPr="003847F1">
              <w:rPr>
                <w:rFonts w:ascii="Cambria" w:hAnsi="Cambria" w:cs="Arial"/>
                <w:b/>
                <w:color w:val="000000" w:themeColor="text1"/>
                <w:sz w:val="20"/>
                <w:szCs w:val="20"/>
              </w:rPr>
              <w:t>eGFR (</w:t>
            </w:r>
            <w:proofErr w:type="spellStart"/>
            <w:r w:rsidRPr="003847F1">
              <w:rPr>
                <w:rFonts w:ascii="Cambria" w:hAnsi="Cambria" w:cs="Arial"/>
                <w:b/>
                <w:color w:val="000000" w:themeColor="text1"/>
                <w:sz w:val="20"/>
                <w:szCs w:val="20"/>
                <w:lang w:val="en-US"/>
              </w:rPr>
              <w:t>mls</w:t>
            </w:r>
            <w:proofErr w:type="spellEnd"/>
            <w:r w:rsidRPr="003847F1">
              <w:rPr>
                <w:rFonts w:ascii="Cambria" w:hAnsi="Cambria" w:cs="Arial"/>
                <w:b/>
                <w:color w:val="000000" w:themeColor="text1"/>
                <w:sz w:val="20"/>
                <w:szCs w:val="20"/>
                <w:lang w:val="en-US"/>
              </w:rPr>
              <w:t>/min/1.73m</w:t>
            </w:r>
            <w:r w:rsidRPr="003847F1">
              <w:rPr>
                <w:rFonts w:ascii="Cambria" w:hAnsi="Cambria" w:cs="Arial"/>
                <w:b/>
                <w:color w:val="000000" w:themeColor="text1"/>
                <w:sz w:val="20"/>
                <w:szCs w:val="20"/>
                <w:vertAlign w:val="superscript"/>
                <w:lang w:val="en-US"/>
              </w:rPr>
              <w:t>2</w:t>
            </w:r>
            <w:r w:rsidRPr="003847F1">
              <w:rPr>
                <w:rFonts w:ascii="Cambria" w:hAnsi="Cambria" w:cs="Arial"/>
                <w:b/>
                <w:color w:val="000000" w:themeColor="text1"/>
                <w:sz w:val="20"/>
                <w:szCs w:val="20"/>
                <w:lang w:val="en-US"/>
              </w:rPr>
              <w:t>)</w:t>
            </w:r>
          </w:p>
          <w:p w14:paraId="0F0F5754" w14:textId="77777777" w:rsidR="005E38F9" w:rsidRPr="003847F1" w:rsidRDefault="005E38F9" w:rsidP="004E68BB">
            <w:pPr>
              <w:spacing w:after="0"/>
              <w:rPr>
                <w:rFonts w:ascii="Cambria" w:hAnsi="Cambria" w:cs="Arial"/>
                <w:b/>
                <w:color w:val="000000" w:themeColor="text1"/>
                <w:sz w:val="20"/>
                <w:szCs w:val="20"/>
              </w:rPr>
            </w:pPr>
          </w:p>
        </w:tc>
        <w:tc>
          <w:tcPr>
            <w:tcW w:w="699" w:type="pct"/>
            <w:tcBorders>
              <w:top w:val="nil"/>
              <w:left w:val="nil"/>
              <w:bottom w:val="nil"/>
              <w:right w:val="nil"/>
            </w:tcBorders>
            <w:shd w:val="clear" w:color="auto" w:fill="D9D9D9" w:themeFill="background1" w:themeFillShade="D9"/>
            <w:vAlign w:val="center"/>
          </w:tcPr>
          <w:p w14:paraId="5A95E9C9"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w:t>
            </w:r>
          </w:p>
        </w:tc>
        <w:tc>
          <w:tcPr>
            <w:tcW w:w="706" w:type="pct"/>
            <w:tcBorders>
              <w:top w:val="nil"/>
              <w:left w:val="nil"/>
              <w:bottom w:val="nil"/>
              <w:right w:val="nil"/>
            </w:tcBorders>
            <w:shd w:val="clear" w:color="auto" w:fill="D9D9D9" w:themeFill="background1" w:themeFillShade="D9"/>
            <w:vAlign w:val="center"/>
          </w:tcPr>
          <w:p w14:paraId="4436ADAB"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79·5 (15·0)</w:t>
            </w:r>
          </w:p>
        </w:tc>
        <w:tc>
          <w:tcPr>
            <w:tcW w:w="782" w:type="pct"/>
            <w:tcBorders>
              <w:top w:val="nil"/>
              <w:left w:val="nil"/>
              <w:bottom w:val="nil"/>
              <w:right w:val="nil"/>
            </w:tcBorders>
            <w:shd w:val="clear" w:color="auto" w:fill="D9D9D9" w:themeFill="background1" w:themeFillShade="D9"/>
            <w:vAlign w:val="center"/>
          </w:tcPr>
          <w:p w14:paraId="00B1574F"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72·4 (21·0)</w:t>
            </w:r>
          </w:p>
        </w:tc>
        <w:tc>
          <w:tcPr>
            <w:tcW w:w="708" w:type="pct"/>
            <w:tcBorders>
              <w:top w:val="nil"/>
              <w:left w:val="nil"/>
              <w:bottom w:val="nil"/>
              <w:right w:val="nil"/>
            </w:tcBorders>
            <w:shd w:val="clear" w:color="auto" w:fill="D9D9D9" w:themeFill="background1" w:themeFillShade="D9"/>
            <w:vAlign w:val="center"/>
          </w:tcPr>
          <w:p w14:paraId="2E6F318A"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66·1 (22·2)</w:t>
            </w:r>
          </w:p>
        </w:tc>
        <w:tc>
          <w:tcPr>
            <w:tcW w:w="1008" w:type="pct"/>
            <w:tcBorders>
              <w:top w:val="nil"/>
              <w:left w:val="nil"/>
              <w:bottom w:val="nil"/>
            </w:tcBorders>
            <w:shd w:val="clear" w:color="auto" w:fill="D9D9D9" w:themeFill="background1" w:themeFillShade="D9"/>
            <w:vAlign w:val="center"/>
          </w:tcPr>
          <w:p w14:paraId="7ACC4BAE"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0·38</w:t>
            </w:r>
          </w:p>
        </w:tc>
      </w:tr>
      <w:tr w:rsidR="005E38F9" w:rsidRPr="00DC11DE" w14:paraId="74408DDD" w14:textId="77777777" w:rsidTr="003C5716">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hRule="exact" w:val="703"/>
        </w:trPr>
        <w:tc>
          <w:tcPr>
            <w:tcW w:w="1097" w:type="pct"/>
            <w:tcBorders>
              <w:top w:val="nil"/>
              <w:bottom w:val="nil"/>
              <w:right w:val="nil"/>
            </w:tcBorders>
            <w:shd w:val="clear" w:color="auto" w:fill="D9D9D9" w:themeFill="background1" w:themeFillShade="D9"/>
            <w:vAlign w:val="center"/>
          </w:tcPr>
          <w:p w14:paraId="75640B1E" w14:textId="77777777" w:rsidR="005E38F9" w:rsidRPr="003847F1" w:rsidRDefault="005E38F9" w:rsidP="004E68BB">
            <w:pPr>
              <w:spacing w:after="0"/>
              <w:rPr>
                <w:rFonts w:ascii="Cambria" w:hAnsi="Cambria" w:cs="Arial"/>
                <w:b/>
                <w:color w:val="000000" w:themeColor="text1"/>
                <w:sz w:val="20"/>
                <w:szCs w:val="20"/>
              </w:rPr>
            </w:pPr>
            <w:r w:rsidRPr="003847F1">
              <w:rPr>
                <w:rFonts w:ascii="Cambria" w:hAnsi="Cambria" w:cs="Arial"/>
                <w:b/>
                <w:color w:val="000000" w:themeColor="text1"/>
                <w:sz w:val="20"/>
                <w:szCs w:val="20"/>
              </w:rPr>
              <w:t>MAP (mm of Hg)</w:t>
            </w:r>
          </w:p>
        </w:tc>
        <w:tc>
          <w:tcPr>
            <w:tcW w:w="699" w:type="pct"/>
            <w:tcBorders>
              <w:top w:val="nil"/>
              <w:left w:val="nil"/>
              <w:bottom w:val="nil"/>
              <w:right w:val="nil"/>
            </w:tcBorders>
            <w:shd w:val="clear" w:color="auto" w:fill="D9D9D9" w:themeFill="background1" w:themeFillShade="D9"/>
            <w:vAlign w:val="center"/>
          </w:tcPr>
          <w:p w14:paraId="1A0B817A"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91·1 (12·8)</w:t>
            </w:r>
          </w:p>
        </w:tc>
        <w:tc>
          <w:tcPr>
            <w:tcW w:w="706" w:type="pct"/>
            <w:tcBorders>
              <w:top w:val="nil"/>
              <w:left w:val="nil"/>
              <w:bottom w:val="nil"/>
              <w:right w:val="nil"/>
            </w:tcBorders>
            <w:shd w:val="clear" w:color="auto" w:fill="D9D9D9" w:themeFill="background1" w:themeFillShade="D9"/>
            <w:vAlign w:val="center"/>
          </w:tcPr>
          <w:p w14:paraId="4672D74C"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101·49 (7·4)</w:t>
            </w:r>
          </w:p>
        </w:tc>
        <w:tc>
          <w:tcPr>
            <w:tcW w:w="782" w:type="pct"/>
            <w:tcBorders>
              <w:top w:val="nil"/>
              <w:left w:val="nil"/>
              <w:bottom w:val="nil"/>
              <w:right w:val="nil"/>
            </w:tcBorders>
            <w:shd w:val="clear" w:color="auto" w:fill="D9D9D9" w:themeFill="background1" w:themeFillShade="D9"/>
            <w:vAlign w:val="center"/>
          </w:tcPr>
          <w:p w14:paraId="3EBA5E5E"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95 (11·0)</w:t>
            </w:r>
          </w:p>
        </w:tc>
        <w:tc>
          <w:tcPr>
            <w:tcW w:w="708" w:type="pct"/>
            <w:tcBorders>
              <w:top w:val="nil"/>
              <w:left w:val="nil"/>
              <w:bottom w:val="nil"/>
              <w:right w:val="nil"/>
            </w:tcBorders>
            <w:shd w:val="clear" w:color="auto" w:fill="D9D9D9" w:themeFill="background1" w:themeFillShade="D9"/>
            <w:vAlign w:val="center"/>
          </w:tcPr>
          <w:p w14:paraId="0EC31B3C"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102 (10·7)</w:t>
            </w:r>
          </w:p>
        </w:tc>
        <w:tc>
          <w:tcPr>
            <w:tcW w:w="1008" w:type="pct"/>
            <w:tcBorders>
              <w:top w:val="nil"/>
              <w:left w:val="nil"/>
              <w:bottom w:val="nil"/>
            </w:tcBorders>
            <w:shd w:val="clear" w:color="auto" w:fill="D9D9D9" w:themeFill="background1" w:themeFillShade="D9"/>
            <w:vAlign w:val="center"/>
          </w:tcPr>
          <w:p w14:paraId="6DF89387" w14:textId="77777777" w:rsidR="005E38F9" w:rsidRPr="003847F1" w:rsidRDefault="005E38F9" w:rsidP="004E68BB">
            <w:pPr>
              <w:spacing w:after="0" w:line="360" w:lineRule="auto"/>
              <w:jc w:val="center"/>
              <w:rPr>
                <w:rFonts w:ascii="Cambria" w:hAnsi="Cambria" w:cs="Arial"/>
                <w:b/>
                <w:color w:val="000000" w:themeColor="text1"/>
                <w:sz w:val="20"/>
                <w:szCs w:val="20"/>
              </w:rPr>
            </w:pPr>
            <w:r w:rsidRPr="003847F1">
              <w:rPr>
                <w:rFonts w:ascii="Cambria" w:hAnsi="Cambria" w:cs="Arial"/>
                <w:b/>
                <w:color w:val="000000" w:themeColor="text1"/>
                <w:sz w:val="20"/>
                <w:szCs w:val="20"/>
              </w:rPr>
              <w:t>0·09</w:t>
            </w:r>
          </w:p>
        </w:tc>
      </w:tr>
      <w:tr w:rsidR="005E38F9" w:rsidRPr="00DC11DE" w14:paraId="4EF45464" w14:textId="77777777" w:rsidTr="003C5716">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hRule="exact" w:val="703"/>
        </w:trPr>
        <w:tc>
          <w:tcPr>
            <w:tcW w:w="1097" w:type="pct"/>
            <w:tcBorders>
              <w:top w:val="nil"/>
              <w:bottom w:val="nil"/>
              <w:right w:val="nil"/>
            </w:tcBorders>
            <w:shd w:val="clear" w:color="auto" w:fill="D9D9D9" w:themeFill="background1" w:themeFillShade="D9"/>
            <w:vAlign w:val="center"/>
          </w:tcPr>
          <w:p w14:paraId="6B8F3FCF" w14:textId="77777777" w:rsidR="005E38F9" w:rsidRPr="003847F1" w:rsidRDefault="005E38F9" w:rsidP="004E68BB">
            <w:pPr>
              <w:spacing w:after="0"/>
              <w:rPr>
                <w:rFonts w:ascii="Cambria" w:hAnsi="Cambria" w:cs="Arial"/>
                <w:b/>
                <w:color w:val="000000" w:themeColor="text1"/>
                <w:sz w:val="20"/>
                <w:szCs w:val="20"/>
              </w:rPr>
            </w:pPr>
            <w:r w:rsidRPr="003847F1">
              <w:rPr>
                <w:rFonts w:ascii="Cambria" w:hAnsi="Cambria" w:cs="Arial"/>
                <w:b/>
                <w:color w:val="000000" w:themeColor="text1"/>
                <w:sz w:val="20"/>
                <w:szCs w:val="20"/>
              </w:rPr>
              <w:t>Sunlight exposure score</w:t>
            </w:r>
          </w:p>
          <w:p w14:paraId="718FD105" w14:textId="77777777" w:rsidR="005E38F9" w:rsidRPr="003847F1" w:rsidRDefault="005E38F9" w:rsidP="004E68BB">
            <w:pPr>
              <w:spacing w:after="0"/>
              <w:rPr>
                <w:rFonts w:ascii="Cambria" w:hAnsi="Cambria" w:cs="Arial"/>
                <w:b/>
                <w:color w:val="000000" w:themeColor="text1"/>
                <w:sz w:val="20"/>
                <w:szCs w:val="20"/>
              </w:rPr>
            </w:pPr>
          </w:p>
        </w:tc>
        <w:tc>
          <w:tcPr>
            <w:tcW w:w="699" w:type="pct"/>
            <w:tcBorders>
              <w:top w:val="nil"/>
              <w:left w:val="nil"/>
              <w:bottom w:val="nil"/>
              <w:right w:val="nil"/>
            </w:tcBorders>
            <w:shd w:val="clear" w:color="auto" w:fill="D9D9D9" w:themeFill="background1" w:themeFillShade="D9"/>
            <w:vAlign w:val="center"/>
          </w:tcPr>
          <w:p w14:paraId="3552B184"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347·3 (176)</w:t>
            </w:r>
          </w:p>
        </w:tc>
        <w:tc>
          <w:tcPr>
            <w:tcW w:w="706" w:type="pct"/>
            <w:tcBorders>
              <w:top w:val="nil"/>
              <w:left w:val="nil"/>
              <w:bottom w:val="nil"/>
              <w:right w:val="nil"/>
            </w:tcBorders>
            <w:shd w:val="clear" w:color="auto" w:fill="D9D9D9" w:themeFill="background1" w:themeFillShade="D9"/>
            <w:vAlign w:val="center"/>
          </w:tcPr>
          <w:p w14:paraId="4070E2CE"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305·1 (125·1)</w:t>
            </w:r>
          </w:p>
        </w:tc>
        <w:tc>
          <w:tcPr>
            <w:tcW w:w="782" w:type="pct"/>
            <w:tcBorders>
              <w:top w:val="nil"/>
              <w:left w:val="nil"/>
              <w:bottom w:val="nil"/>
              <w:right w:val="nil"/>
            </w:tcBorders>
            <w:shd w:val="clear" w:color="auto" w:fill="D9D9D9" w:themeFill="background1" w:themeFillShade="D9"/>
            <w:vAlign w:val="center"/>
          </w:tcPr>
          <w:p w14:paraId="45B9C81C"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384·9 (149·6)</w:t>
            </w:r>
          </w:p>
        </w:tc>
        <w:tc>
          <w:tcPr>
            <w:tcW w:w="708" w:type="pct"/>
            <w:tcBorders>
              <w:top w:val="nil"/>
              <w:left w:val="nil"/>
              <w:bottom w:val="nil"/>
              <w:right w:val="nil"/>
            </w:tcBorders>
            <w:shd w:val="clear" w:color="auto" w:fill="D9D9D9" w:themeFill="background1" w:themeFillShade="D9"/>
            <w:vAlign w:val="center"/>
          </w:tcPr>
          <w:p w14:paraId="033EBAC2"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389·2 (296·2)</w:t>
            </w:r>
          </w:p>
        </w:tc>
        <w:tc>
          <w:tcPr>
            <w:tcW w:w="1008" w:type="pct"/>
            <w:tcBorders>
              <w:top w:val="nil"/>
              <w:left w:val="nil"/>
              <w:bottom w:val="nil"/>
            </w:tcBorders>
            <w:shd w:val="clear" w:color="auto" w:fill="D9D9D9" w:themeFill="background1" w:themeFillShade="D9"/>
            <w:vAlign w:val="center"/>
          </w:tcPr>
          <w:p w14:paraId="188F5D20"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0·95</w:t>
            </w:r>
          </w:p>
        </w:tc>
      </w:tr>
      <w:tr w:rsidR="005E38F9" w:rsidRPr="00DC11DE" w14:paraId="1D275459" w14:textId="77777777" w:rsidTr="003C5716">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hRule="exact" w:val="703"/>
        </w:trPr>
        <w:tc>
          <w:tcPr>
            <w:tcW w:w="1097" w:type="pct"/>
            <w:tcBorders>
              <w:top w:val="nil"/>
              <w:bottom w:val="single" w:sz="12" w:space="0" w:color="auto"/>
              <w:right w:val="nil"/>
            </w:tcBorders>
            <w:shd w:val="clear" w:color="auto" w:fill="D9D9D9" w:themeFill="background1" w:themeFillShade="D9"/>
            <w:vAlign w:val="center"/>
          </w:tcPr>
          <w:p w14:paraId="0E5660EA" w14:textId="77777777" w:rsidR="005E38F9" w:rsidRPr="003847F1" w:rsidRDefault="005E38F9" w:rsidP="004E68BB">
            <w:pPr>
              <w:spacing w:after="0"/>
              <w:rPr>
                <w:rFonts w:ascii="Cambria" w:hAnsi="Cambria" w:cs="Arial"/>
                <w:b/>
                <w:color w:val="000000" w:themeColor="text1"/>
                <w:sz w:val="20"/>
                <w:szCs w:val="20"/>
              </w:rPr>
            </w:pPr>
            <w:r w:rsidRPr="003847F1">
              <w:rPr>
                <w:rFonts w:ascii="Cambria" w:hAnsi="Cambria" w:cs="Arial"/>
                <w:b/>
                <w:color w:val="000000" w:themeColor="text1"/>
                <w:sz w:val="20"/>
                <w:szCs w:val="20"/>
              </w:rPr>
              <w:t>Activity score</w:t>
            </w:r>
          </w:p>
        </w:tc>
        <w:tc>
          <w:tcPr>
            <w:tcW w:w="699" w:type="pct"/>
            <w:tcBorders>
              <w:top w:val="nil"/>
              <w:left w:val="nil"/>
              <w:bottom w:val="single" w:sz="12" w:space="0" w:color="auto"/>
              <w:right w:val="nil"/>
            </w:tcBorders>
            <w:shd w:val="clear" w:color="auto" w:fill="D9D9D9" w:themeFill="background1" w:themeFillShade="D9"/>
            <w:vAlign w:val="center"/>
          </w:tcPr>
          <w:p w14:paraId="22D0A9A8"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10·3 (1·7)</w:t>
            </w:r>
          </w:p>
        </w:tc>
        <w:tc>
          <w:tcPr>
            <w:tcW w:w="706" w:type="pct"/>
            <w:tcBorders>
              <w:top w:val="nil"/>
              <w:left w:val="nil"/>
              <w:bottom w:val="single" w:sz="12" w:space="0" w:color="auto"/>
              <w:right w:val="nil"/>
            </w:tcBorders>
            <w:shd w:val="clear" w:color="auto" w:fill="D9D9D9" w:themeFill="background1" w:themeFillShade="D9"/>
            <w:vAlign w:val="center"/>
          </w:tcPr>
          <w:p w14:paraId="3A0951CC"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10·04 (2·1)</w:t>
            </w:r>
          </w:p>
        </w:tc>
        <w:tc>
          <w:tcPr>
            <w:tcW w:w="782" w:type="pct"/>
            <w:tcBorders>
              <w:top w:val="nil"/>
              <w:left w:val="nil"/>
              <w:bottom w:val="single" w:sz="12" w:space="0" w:color="auto"/>
              <w:right w:val="nil"/>
            </w:tcBorders>
            <w:shd w:val="clear" w:color="auto" w:fill="D9D9D9" w:themeFill="background1" w:themeFillShade="D9"/>
            <w:vAlign w:val="center"/>
          </w:tcPr>
          <w:p w14:paraId="1293C8B1"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10·0 (1·7)</w:t>
            </w:r>
          </w:p>
        </w:tc>
        <w:tc>
          <w:tcPr>
            <w:tcW w:w="708" w:type="pct"/>
            <w:tcBorders>
              <w:top w:val="nil"/>
              <w:left w:val="nil"/>
              <w:bottom w:val="single" w:sz="12" w:space="0" w:color="auto"/>
              <w:right w:val="nil"/>
            </w:tcBorders>
            <w:shd w:val="clear" w:color="auto" w:fill="D9D9D9" w:themeFill="background1" w:themeFillShade="D9"/>
            <w:vAlign w:val="center"/>
          </w:tcPr>
          <w:p w14:paraId="4A86F003"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9·2 (2·4)</w:t>
            </w:r>
          </w:p>
        </w:tc>
        <w:tc>
          <w:tcPr>
            <w:tcW w:w="1008" w:type="pct"/>
            <w:tcBorders>
              <w:top w:val="nil"/>
              <w:left w:val="nil"/>
              <w:bottom w:val="single" w:sz="12" w:space="0" w:color="auto"/>
            </w:tcBorders>
            <w:shd w:val="clear" w:color="auto" w:fill="D9D9D9" w:themeFill="background1" w:themeFillShade="D9"/>
            <w:vAlign w:val="center"/>
          </w:tcPr>
          <w:p w14:paraId="35B28865" w14:textId="77777777" w:rsidR="005E38F9" w:rsidRPr="003847F1" w:rsidRDefault="005E38F9" w:rsidP="004E68BB">
            <w:pPr>
              <w:spacing w:after="0" w:line="360" w:lineRule="auto"/>
              <w:jc w:val="center"/>
              <w:rPr>
                <w:rFonts w:ascii="Cambria" w:hAnsi="Cambria" w:cs="Arial"/>
                <w:color w:val="000000" w:themeColor="text1"/>
                <w:sz w:val="20"/>
                <w:szCs w:val="20"/>
              </w:rPr>
            </w:pPr>
            <w:r w:rsidRPr="003847F1">
              <w:rPr>
                <w:rFonts w:ascii="Cambria" w:hAnsi="Cambria" w:cs="Arial"/>
                <w:color w:val="000000" w:themeColor="text1"/>
                <w:sz w:val="20"/>
                <w:szCs w:val="20"/>
              </w:rPr>
              <w:t>0·31</w:t>
            </w:r>
          </w:p>
        </w:tc>
      </w:tr>
    </w:tbl>
    <w:p w14:paraId="2F26949B" w14:textId="77777777" w:rsidR="005E38F9" w:rsidRDefault="005E38F9" w:rsidP="00876259">
      <w:pPr>
        <w:pStyle w:val="BodyA"/>
        <w:spacing w:line="480" w:lineRule="auto"/>
        <w:jc w:val="both"/>
        <w:rPr>
          <w:lang w:val="en-US"/>
        </w:rPr>
      </w:pPr>
    </w:p>
    <w:p w14:paraId="47C81446" w14:textId="2FEDFAE7" w:rsidR="00876259" w:rsidRDefault="00876259" w:rsidP="00876259">
      <w:pPr>
        <w:pStyle w:val="BodyA"/>
        <w:spacing w:line="480" w:lineRule="auto"/>
        <w:jc w:val="both"/>
        <w:rPr>
          <w:lang w:val="en-US"/>
        </w:rPr>
      </w:pPr>
      <w:r>
        <w:rPr>
          <w:lang w:val="en-US"/>
        </w:rPr>
        <w:t xml:space="preserve">Table 4.2 shows clinical, neurophysiological and skin biopsy data of the different groups. Neuropathy groups had significantly high NISLL+7 scores and very low </w:t>
      </w:r>
      <w:proofErr w:type="spellStart"/>
      <w:r>
        <w:rPr>
          <w:lang w:val="en-US"/>
        </w:rPr>
        <w:t>IENFD</w:t>
      </w:r>
      <w:proofErr w:type="spellEnd"/>
      <w:r>
        <w:rPr>
          <w:lang w:val="en-US"/>
        </w:rPr>
        <w:t xml:space="preserve"> (p&lt;0·01) indicating well established </w:t>
      </w:r>
      <w:proofErr w:type="spellStart"/>
      <w:r>
        <w:rPr>
          <w:lang w:val="en-US"/>
        </w:rPr>
        <w:t>DPN</w:t>
      </w:r>
      <w:proofErr w:type="spellEnd"/>
      <w:r>
        <w:rPr>
          <w:lang w:val="en-US"/>
        </w:rPr>
        <w:t xml:space="preserve">. </w:t>
      </w:r>
      <w:proofErr w:type="spellStart"/>
      <w:r>
        <w:rPr>
          <w:lang w:val="en-US"/>
        </w:rPr>
        <w:t>QST</w:t>
      </w:r>
      <w:proofErr w:type="spellEnd"/>
      <w:r>
        <w:rPr>
          <w:lang w:val="en-US"/>
        </w:rPr>
        <w:t xml:space="preserve"> parameters were abnormal in the neuropathy groups; however, cold detection threshold (CDT) was significantly lower in the </w:t>
      </w:r>
      <w:r w:rsidR="004E3E3F">
        <w:rPr>
          <w:lang w:val="en-US"/>
        </w:rPr>
        <w:t>p</w:t>
      </w:r>
      <w:r>
        <w:rPr>
          <w:lang w:val="en-US"/>
        </w:rPr>
        <w:t xml:space="preserve">ainful </w:t>
      </w:r>
      <w:r>
        <w:rPr>
          <w:lang w:val="en-US"/>
        </w:rPr>
        <w:lastRenderedPageBreak/>
        <w:t xml:space="preserve">compared to </w:t>
      </w:r>
      <w:r w:rsidR="004E3E3F">
        <w:rPr>
          <w:lang w:val="en-US"/>
        </w:rPr>
        <w:t>p</w:t>
      </w:r>
      <w:r>
        <w:rPr>
          <w:lang w:val="en-US"/>
        </w:rPr>
        <w:t xml:space="preserve">ainless </w:t>
      </w:r>
      <w:proofErr w:type="spellStart"/>
      <w:r>
        <w:rPr>
          <w:lang w:val="en-US"/>
        </w:rPr>
        <w:t>DPN</w:t>
      </w:r>
      <w:proofErr w:type="spellEnd"/>
      <w:r>
        <w:rPr>
          <w:lang w:val="en-US"/>
        </w:rPr>
        <w:t xml:space="preserve"> group. Post-hoc analysis revealed no significant differences in mean neurophysiological measures between </w:t>
      </w:r>
      <w:proofErr w:type="spellStart"/>
      <w:r>
        <w:rPr>
          <w:lang w:val="en-US"/>
        </w:rPr>
        <w:t>HV</w:t>
      </w:r>
      <w:proofErr w:type="spellEnd"/>
      <w:r>
        <w:rPr>
          <w:lang w:val="en-US"/>
        </w:rPr>
        <w:t xml:space="preserve"> and No </w:t>
      </w:r>
      <w:proofErr w:type="spellStart"/>
      <w:r>
        <w:rPr>
          <w:lang w:val="en-US"/>
        </w:rPr>
        <w:t>DPN</w:t>
      </w:r>
      <w:proofErr w:type="spellEnd"/>
      <w:r>
        <w:rPr>
          <w:lang w:val="en-US"/>
        </w:rPr>
        <w:t xml:space="preserve">, (p&gt;0.05), except for </w:t>
      </w:r>
      <w:proofErr w:type="spellStart"/>
      <w:r>
        <w:rPr>
          <w:lang w:val="en-US"/>
        </w:rPr>
        <w:t>SENFD</w:t>
      </w:r>
      <w:proofErr w:type="spellEnd"/>
      <w:r>
        <w:rPr>
          <w:lang w:val="en-US"/>
        </w:rPr>
        <w:t xml:space="preserve">, (p= &lt;0.01). Significant differences in post-hoc analysis was between </w:t>
      </w:r>
      <w:proofErr w:type="spellStart"/>
      <w:r>
        <w:rPr>
          <w:lang w:val="en-US"/>
        </w:rPr>
        <w:t>HV</w:t>
      </w:r>
      <w:proofErr w:type="spellEnd"/>
      <w:r>
        <w:rPr>
          <w:lang w:val="en-US"/>
        </w:rPr>
        <w:t xml:space="preserve"> and No </w:t>
      </w:r>
      <w:proofErr w:type="spellStart"/>
      <w:r>
        <w:rPr>
          <w:lang w:val="en-US"/>
        </w:rPr>
        <w:t>DPN</w:t>
      </w:r>
      <w:proofErr w:type="spellEnd"/>
      <w:r>
        <w:rPr>
          <w:lang w:val="en-US"/>
        </w:rPr>
        <w:t xml:space="preserve"> with neuropathy groups (</w:t>
      </w:r>
      <w:r w:rsidR="004E3E3F">
        <w:rPr>
          <w:lang w:val="en-US"/>
        </w:rPr>
        <w:t>p</w:t>
      </w:r>
      <w:r>
        <w:rPr>
          <w:lang w:val="en-US"/>
        </w:rPr>
        <w:t>ainless</w:t>
      </w:r>
      <w:r w:rsidR="004E3E3F">
        <w:rPr>
          <w:lang w:val="en-US"/>
        </w:rPr>
        <w:t xml:space="preserve"> </w:t>
      </w:r>
      <w:r>
        <w:rPr>
          <w:lang w:val="en-US"/>
        </w:rPr>
        <w:t xml:space="preserve">and </w:t>
      </w:r>
      <w:r w:rsidR="004E3E3F">
        <w:rPr>
          <w:lang w:val="en-US"/>
        </w:rPr>
        <w:t>p</w:t>
      </w:r>
      <w:r>
        <w:rPr>
          <w:lang w:val="en-US"/>
        </w:rPr>
        <w:t xml:space="preserve">ainful </w:t>
      </w:r>
      <w:proofErr w:type="spellStart"/>
      <w:r>
        <w:rPr>
          <w:lang w:val="en-US"/>
        </w:rPr>
        <w:t>DPN</w:t>
      </w:r>
      <w:proofErr w:type="spellEnd"/>
      <w:r>
        <w:rPr>
          <w:lang w:val="en-US"/>
        </w:rPr>
        <w:t>; p&lt;0.01)</w:t>
      </w:r>
    </w:p>
    <w:tbl>
      <w:tblPr>
        <w:tblStyle w:val="TableGrid3"/>
        <w:tblpPr w:leftFromText="180" w:rightFromText="180" w:vertAnchor="text" w:horzAnchor="page" w:tblpX="1473" w:tblpY="-7"/>
        <w:tblW w:w="5037" w:type="pct"/>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shd w:val="clear" w:color="auto" w:fill="D9D9D9" w:themeFill="background1" w:themeFillShade="D9"/>
        <w:tblLook w:val="0000" w:firstRow="0" w:lastRow="0" w:firstColumn="0" w:lastColumn="0" w:noHBand="0" w:noVBand="0"/>
      </w:tblPr>
      <w:tblGrid>
        <w:gridCol w:w="2320"/>
        <w:gridCol w:w="1161"/>
        <w:gridCol w:w="908"/>
        <w:gridCol w:w="1221"/>
        <w:gridCol w:w="1357"/>
        <w:gridCol w:w="2090"/>
      </w:tblGrid>
      <w:tr w:rsidR="00900416" w:rsidRPr="00900416" w14:paraId="318C3A86" w14:textId="77777777" w:rsidTr="00EF2C71">
        <w:trPr>
          <w:trHeight w:val="387"/>
        </w:trPr>
        <w:tc>
          <w:tcPr>
            <w:tcW w:w="5000" w:type="pct"/>
            <w:gridSpan w:val="6"/>
            <w:tcBorders>
              <w:bottom w:val="single" w:sz="12" w:space="0" w:color="auto"/>
            </w:tcBorders>
            <w:shd w:val="clear" w:color="auto" w:fill="D9D9D9" w:themeFill="background1" w:themeFillShade="D9"/>
          </w:tcPr>
          <w:p w14:paraId="5AC21B75" w14:textId="77777777" w:rsidR="00900416" w:rsidRPr="00900416" w:rsidRDefault="00900416" w:rsidP="00EF2C71">
            <w:pPr>
              <w:keepNext/>
              <w:spacing w:line="360" w:lineRule="auto"/>
              <w:rPr>
                <w:rFonts w:ascii="Cambria" w:hAnsi="Cambria" w:cs="Arial"/>
                <w:b/>
                <w:color w:val="000000" w:themeColor="text1"/>
              </w:rPr>
            </w:pPr>
          </w:p>
          <w:p w14:paraId="63A44F8A" w14:textId="77777777" w:rsidR="00900416" w:rsidRPr="00900416" w:rsidRDefault="00900416" w:rsidP="00EF2C71">
            <w:pPr>
              <w:keepNext/>
              <w:spacing w:line="360" w:lineRule="auto"/>
              <w:jc w:val="both"/>
              <w:rPr>
                <w:rFonts w:ascii="Cambria" w:hAnsi="Cambria" w:cs="Arial"/>
                <w:b/>
                <w:color w:val="000000" w:themeColor="text1"/>
              </w:rPr>
            </w:pPr>
            <w:r w:rsidRPr="00900416">
              <w:rPr>
                <w:rFonts w:ascii="Cambria" w:hAnsi="Cambria" w:cs="Arial"/>
                <w:b/>
                <w:color w:val="000000" w:themeColor="text1"/>
              </w:rPr>
              <w:t>Table 4.2 Neuropathy parameters of study subjects [</w:t>
            </w:r>
            <w:proofErr w:type="gramStart"/>
            <w:r w:rsidRPr="00900416">
              <w:rPr>
                <w:rFonts w:ascii="Cambria" w:hAnsi="Cambria" w:cs="Arial"/>
                <w:b/>
                <w:color w:val="000000" w:themeColor="text1"/>
              </w:rPr>
              <w:t>mean(</w:t>
            </w:r>
            <w:proofErr w:type="gramEnd"/>
            <w:r w:rsidRPr="00900416">
              <w:rPr>
                <w:rFonts w:ascii="Cambria" w:hAnsi="Cambria" w:cs="Arial"/>
                <w:b/>
                <w:color w:val="000000" w:themeColor="text1"/>
              </w:rPr>
              <w:t>SD)]</w:t>
            </w:r>
          </w:p>
        </w:tc>
      </w:tr>
      <w:tr w:rsidR="00900416" w:rsidRPr="00900416" w14:paraId="6FBDC23B" w14:textId="77777777" w:rsidTr="00EF2C71">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hRule="exact" w:val="749"/>
        </w:trPr>
        <w:tc>
          <w:tcPr>
            <w:tcW w:w="1281" w:type="pct"/>
            <w:tcBorders>
              <w:bottom w:val="nil"/>
              <w:right w:val="nil"/>
            </w:tcBorders>
            <w:shd w:val="clear" w:color="auto" w:fill="D9D9D9" w:themeFill="background1" w:themeFillShade="D9"/>
            <w:vAlign w:val="center"/>
          </w:tcPr>
          <w:p w14:paraId="6BADF4E7" w14:textId="77777777" w:rsidR="00900416" w:rsidRPr="00CD14C8" w:rsidRDefault="00900416" w:rsidP="00EF2C71">
            <w:pPr>
              <w:spacing w:line="360" w:lineRule="auto"/>
              <w:rPr>
                <w:rFonts w:ascii="Cambria" w:hAnsi="Cambria" w:cs="Arial"/>
                <w:sz w:val="20"/>
                <w:szCs w:val="20"/>
              </w:rPr>
            </w:pPr>
          </w:p>
        </w:tc>
        <w:tc>
          <w:tcPr>
            <w:tcW w:w="641" w:type="pct"/>
            <w:tcBorders>
              <w:left w:val="nil"/>
              <w:bottom w:val="nil"/>
              <w:right w:val="nil"/>
            </w:tcBorders>
            <w:shd w:val="clear" w:color="auto" w:fill="D9D9D9" w:themeFill="background1" w:themeFillShade="D9"/>
            <w:vAlign w:val="center"/>
          </w:tcPr>
          <w:p w14:paraId="0B99340A" w14:textId="77777777" w:rsidR="00900416" w:rsidRPr="00CD14C8" w:rsidRDefault="00900416" w:rsidP="00EF2C71">
            <w:pPr>
              <w:jc w:val="center"/>
              <w:rPr>
                <w:rFonts w:ascii="Cambria" w:hAnsi="Cambria" w:cs="Arial"/>
                <w:b/>
                <w:sz w:val="20"/>
                <w:szCs w:val="20"/>
              </w:rPr>
            </w:pPr>
            <w:proofErr w:type="spellStart"/>
            <w:r w:rsidRPr="00CD14C8">
              <w:rPr>
                <w:rFonts w:ascii="Cambria" w:hAnsi="Cambria" w:cs="Arial"/>
                <w:b/>
                <w:sz w:val="20"/>
                <w:szCs w:val="20"/>
              </w:rPr>
              <w:t>HV</w:t>
            </w:r>
            <w:proofErr w:type="spellEnd"/>
          </w:p>
        </w:tc>
        <w:tc>
          <w:tcPr>
            <w:tcW w:w="501" w:type="pct"/>
            <w:tcBorders>
              <w:left w:val="nil"/>
              <w:bottom w:val="nil"/>
              <w:right w:val="nil"/>
            </w:tcBorders>
            <w:shd w:val="clear" w:color="auto" w:fill="D9D9D9" w:themeFill="background1" w:themeFillShade="D9"/>
            <w:vAlign w:val="center"/>
          </w:tcPr>
          <w:p w14:paraId="0F6E0953" w14:textId="77777777" w:rsidR="00900416" w:rsidRPr="00CD14C8" w:rsidRDefault="00900416" w:rsidP="00EF2C71">
            <w:pPr>
              <w:jc w:val="center"/>
              <w:rPr>
                <w:rFonts w:ascii="Cambria" w:hAnsi="Cambria" w:cs="Arial"/>
                <w:b/>
                <w:sz w:val="20"/>
                <w:szCs w:val="20"/>
              </w:rPr>
            </w:pPr>
            <w:r w:rsidRPr="00CD14C8">
              <w:rPr>
                <w:rFonts w:ascii="Cambria" w:hAnsi="Cambria" w:cs="Arial"/>
                <w:b/>
                <w:sz w:val="20"/>
                <w:szCs w:val="20"/>
              </w:rPr>
              <w:t xml:space="preserve">No </w:t>
            </w:r>
            <w:proofErr w:type="spellStart"/>
            <w:r w:rsidRPr="00CD14C8">
              <w:rPr>
                <w:rFonts w:ascii="Cambria" w:hAnsi="Cambria" w:cs="Arial"/>
                <w:b/>
                <w:sz w:val="20"/>
                <w:szCs w:val="20"/>
              </w:rPr>
              <w:t>DPN</w:t>
            </w:r>
            <w:proofErr w:type="spellEnd"/>
          </w:p>
        </w:tc>
        <w:tc>
          <w:tcPr>
            <w:tcW w:w="674" w:type="pct"/>
            <w:tcBorders>
              <w:left w:val="nil"/>
              <w:bottom w:val="nil"/>
              <w:right w:val="nil"/>
            </w:tcBorders>
            <w:shd w:val="clear" w:color="auto" w:fill="D9D9D9" w:themeFill="background1" w:themeFillShade="D9"/>
            <w:vAlign w:val="center"/>
          </w:tcPr>
          <w:p w14:paraId="0B6876A5" w14:textId="77777777" w:rsidR="00900416" w:rsidRPr="00CD14C8" w:rsidRDefault="00900416" w:rsidP="00EF2C71">
            <w:pPr>
              <w:jc w:val="center"/>
              <w:rPr>
                <w:rFonts w:ascii="Cambria" w:hAnsi="Cambria" w:cs="Arial"/>
                <w:b/>
                <w:sz w:val="20"/>
                <w:szCs w:val="20"/>
              </w:rPr>
            </w:pPr>
            <w:r w:rsidRPr="00CD14C8">
              <w:rPr>
                <w:rFonts w:ascii="Cambria" w:hAnsi="Cambria" w:cs="Arial"/>
                <w:b/>
                <w:sz w:val="20"/>
                <w:szCs w:val="20"/>
              </w:rPr>
              <w:t>Painless</w:t>
            </w:r>
          </w:p>
          <w:p w14:paraId="419C41FA" w14:textId="77777777" w:rsidR="00900416" w:rsidRPr="00CD14C8" w:rsidRDefault="00900416" w:rsidP="00EF2C71">
            <w:pPr>
              <w:jc w:val="center"/>
              <w:rPr>
                <w:rFonts w:ascii="Cambria" w:hAnsi="Cambria" w:cs="Arial"/>
                <w:b/>
                <w:sz w:val="20"/>
                <w:szCs w:val="20"/>
              </w:rPr>
            </w:pPr>
            <w:proofErr w:type="spellStart"/>
            <w:r w:rsidRPr="00CD14C8">
              <w:rPr>
                <w:rFonts w:ascii="Cambria" w:hAnsi="Cambria" w:cs="Arial"/>
                <w:b/>
                <w:sz w:val="20"/>
                <w:szCs w:val="20"/>
              </w:rPr>
              <w:t>DPN</w:t>
            </w:r>
            <w:proofErr w:type="spellEnd"/>
          </w:p>
        </w:tc>
        <w:tc>
          <w:tcPr>
            <w:tcW w:w="749" w:type="pct"/>
            <w:tcBorders>
              <w:left w:val="nil"/>
              <w:bottom w:val="nil"/>
              <w:right w:val="nil"/>
            </w:tcBorders>
            <w:shd w:val="clear" w:color="auto" w:fill="D9D9D9" w:themeFill="background1" w:themeFillShade="D9"/>
            <w:vAlign w:val="center"/>
          </w:tcPr>
          <w:p w14:paraId="229BE9D7" w14:textId="77777777" w:rsidR="00900416" w:rsidRPr="00CD14C8" w:rsidRDefault="00900416" w:rsidP="00EF2C71">
            <w:pPr>
              <w:jc w:val="center"/>
              <w:rPr>
                <w:rFonts w:ascii="Cambria" w:hAnsi="Cambria" w:cs="Arial"/>
                <w:b/>
                <w:sz w:val="20"/>
                <w:szCs w:val="20"/>
              </w:rPr>
            </w:pPr>
            <w:r w:rsidRPr="00CD14C8">
              <w:rPr>
                <w:rFonts w:ascii="Cambria" w:hAnsi="Cambria" w:cs="Arial"/>
                <w:b/>
                <w:sz w:val="20"/>
                <w:szCs w:val="20"/>
              </w:rPr>
              <w:t>Painful</w:t>
            </w:r>
          </w:p>
          <w:p w14:paraId="5266A4A9" w14:textId="77777777" w:rsidR="00900416" w:rsidRPr="00CD14C8" w:rsidRDefault="00900416" w:rsidP="00EF2C71">
            <w:pPr>
              <w:jc w:val="center"/>
              <w:rPr>
                <w:rFonts w:ascii="Cambria" w:hAnsi="Cambria" w:cs="Arial"/>
                <w:b/>
                <w:sz w:val="20"/>
                <w:szCs w:val="20"/>
              </w:rPr>
            </w:pPr>
            <w:proofErr w:type="spellStart"/>
            <w:r w:rsidRPr="00CD14C8">
              <w:rPr>
                <w:rFonts w:ascii="Cambria" w:hAnsi="Cambria" w:cs="Arial"/>
                <w:b/>
                <w:sz w:val="20"/>
                <w:szCs w:val="20"/>
              </w:rPr>
              <w:t>DPN</w:t>
            </w:r>
            <w:proofErr w:type="spellEnd"/>
          </w:p>
        </w:tc>
        <w:tc>
          <w:tcPr>
            <w:tcW w:w="1154" w:type="pct"/>
            <w:tcBorders>
              <w:left w:val="nil"/>
              <w:bottom w:val="nil"/>
            </w:tcBorders>
            <w:shd w:val="clear" w:color="auto" w:fill="D9D9D9" w:themeFill="background1" w:themeFillShade="D9"/>
            <w:vAlign w:val="center"/>
          </w:tcPr>
          <w:p w14:paraId="46C7D324" w14:textId="77777777" w:rsidR="00900416" w:rsidRPr="00CD14C8" w:rsidRDefault="00900416" w:rsidP="00EF2C71">
            <w:pPr>
              <w:spacing w:after="0"/>
              <w:jc w:val="center"/>
              <w:rPr>
                <w:rFonts w:ascii="Cambria" w:hAnsi="Cambria" w:cs="Arial"/>
                <w:b/>
                <w:sz w:val="20"/>
                <w:szCs w:val="20"/>
              </w:rPr>
            </w:pPr>
            <w:r w:rsidRPr="00CD14C8">
              <w:rPr>
                <w:rFonts w:ascii="Cambria" w:hAnsi="Cambria" w:cs="Arial"/>
                <w:b/>
                <w:sz w:val="20"/>
                <w:szCs w:val="20"/>
              </w:rPr>
              <w:t xml:space="preserve">Post Hoc p Value Comparing Painful and Painless </w:t>
            </w:r>
            <w:proofErr w:type="spellStart"/>
            <w:r w:rsidRPr="00CD14C8">
              <w:rPr>
                <w:rFonts w:ascii="Cambria" w:hAnsi="Cambria" w:cs="Arial"/>
                <w:b/>
                <w:sz w:val="20"/>
                <w:szCs w:val="20"/>
              </w:rPr>
              <w:t>DPN</w:t>
            </w:r>
            <w:proofErr w:type="spellEnd"/>
          </w:p>
          <w:p w14:paraId="7AFBED8E" w14:textId="77777777" w:rsidR="00900416" w:rsidRPr="00CD14C8" w:rsidRDefault="00900416" w:rsidP="00EF2C71">
            <w:pPr>
              <w:jc w:val="center"/>
              <w:rPr>
                <w:rFonts w:ascii="Cambria" w:hAnsi="Cambria" w:cs="Arial"/>
                <w:b/>
                <w:sz w:val="20"/>
                <w:szCs w:val="20"/>
              </w:rPr>
            </w:pPr>
          </w:p>
          <w:p w14:paraId="2DD56CDA" w14:textId="77777777" w:rsidR="00900416" w:rsidRPr="00CD14C8" w:rsidRDefault="00900416" w:rsidP="00EF2C71">
            <w:pPr>
              <w:jc w:val="center"/>
              <w:rPr>
                <w:rFonts w:ascii="Cambria" w:hAnsi="Cambria" w:cs="Arial"/>
                <w:b/>
                <w:sz w:val="20"/>
                <w:szCs w:val="20"/>
              </w:rPr>
            </w:pPr>
          </w:p>
        </w:tc>
      </w:tr>
      <w:tr w:rsidR="00900416" w:rsidRPr="00900416" w14:paraId="38A3687D" w14:textId="77777777" w:rsidTr="00EF2C71">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hRule="exact" w:val="749"/>
        </w:trPr>
        <w:tc>
          <w:tcPr>
            <w:tcW w:w="1281" w:type="pct"/>
            <w:tcBorders>
              <w:top w:val="nil"/>
              <w:bottom w:val="nil"/>
              <w:right w:val="nil"/>
            </w:tcBorders>
            <w:shd w:val="clear" w:color="auto" w:fill="D9D9D9" w:themeFill="background1" w:themeFillShade="D9"/>
            <w:vAlign w:val="center"/>
          </w:tcPr>
          <w:p w14:paraId="5DD145DF" w14:textId="77777777" w:rsidR="00900416" w:rsidRPr="00CD14C8" w:rsidRDefault="00900416" w:rsidP="00EF2C71">
            <w:pPr>
              <w:spacing w:line="276" w:lineRule="auto"/>
              <w:rPr>
                <w:rFonts w:ascii="Cambria" w:hAnsi="Cambria" w:cs="Arial"/>
                <w:b/>
                <w:sz w:val="20"/>
                <w:szCs w:val="20"/>
              </w:rPr>
            </w:pPr>
            <w:r w:rsidRPr="00CD14C8">
              <w:rPr>
                <w:rFonts w:ascii="Cambria" w:hAnsi="Cambria" w:cs="Arial"/>
                <w:b/>
                <w:sz w:val="20"/>
                <w:szCs w:val="20"/>
              </w:rPr>
              <w:t>NISLL+7 score</w:t>
            </w:r>
          </w:p>
        </w:tc>
        <w:tc>
          <w:tcPr>
            <w:tcW w:w="641" w:type="pct"/>
            <w:tcBorders>
              <w:top w:val="nil"/>
              <w:left w:val="nil"/>
              <w:bottom w:val="nil"/>
              <w:right w:val="nil"/>
            </w:tcBorders>
            <w:shd w:val="clear" w:color="auto" w:fill="D9D9D9" w:themeFill="background1" w:themeFillShade="D9"/>
            <w:vAlign w:val="center"/>
          </w:tcPr>
          <w:p w14:paraId="40726057"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0·9 (1·3)</w:t>
            </w:r>
          </w:p>
        </w:tc>
        <w:tc>
          <w:tcPr>
            <w:tcW w:w="501" w:type="pct"/>
            <w:tcBorders>
              <w:top w:val="nil"/>
              <w:left w:val="nil"/>
              <w:bottom w:val="nil"/>
              <w:right w:val="nil"/>
            </w:tcBorders>
            <w:shd w:val="clear" w:color="auto" w:fill="D9D9D9" w:themeFill="background1" w:themeFillShade="D9"/>
            <w:vAlign w:val="center"/>
          </w:tcPr>
          <w:p w14:paraId="7EE6CBC2"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1·5 (1·1)</w:t>
            </w:r>
          </w:p>
        </w:tc>
        <w:tc>
          <w:tcPr>
            <w:tcW w:w="674" w:type="pct"/>
            <w:tcBorders>
              <w:top w:val="nil"/>
              <w:left w:val="nil"/>
              <w:bottom w:val="nil"/>
              <w:right w:val="nil"/>
            </w:tcBorders>
            <w:shd w:val="clear" w:color="auto" w:fill="D9D9D9" w:themeFill="background1" w:themeFillShade="D9"/>
            <w:vAlign w:val="center"/>
          </w:tcPr>
          <w:p w14:paraId="7723CFBA"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19 (18·6)</w:t>
            </w:r>
          </w:p>
        </w:tc>
        <w:tc>
          <w:tcPr>
            <w:tcW w:w="749" w:type="pct"/>
            <w:tcBorders>
              <w:top w:val="nil"/>
              <w:left w:val="nil"/>
              <w:bottom w:val="nil"/>
              <w:right w:val="nil"/>
            </w:tcBorders>
            <w:shd w:val="clear" w:color="auto" w:fill="D9D9D9" w:themeFill="background1" w:themeFillShade="D9"/>
            <w:vAlign w:val="center"/>
          </w:tcPr>
          <w:p w14:paraId="33E51552"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25·5 (13·0)</w:t>
            </w:r>
          </w:p>
        </w:tc>
        <w:tc>
          <w:tcPr>
            <w:tcW w:w="1154" w:type="pct"/>
            <w:tcBorders>
              <w:top w:val="nil"/>
              <w:left w:val="nil"/>
              <w:bottom w:val="nil"/>
            </w:tcBorders>
            <w:shd w:val="clear" w:color="auto" w:fill="D9D9D9" w:themeFill="background1" w:themeFillShade="D9"/>
            <w:vAlign w:val="center"/>
          </w:tcPr>
          <w:p w14:paraId="766FC347" w14:textId="77777777" w:rsidR="00900416" w:rsidRPr="00CD14C8" w:rsidRDefault="00900416" w:rsidP="00EF2C71">
            <w:pPr>
              <w:spacing w:line="360" w:lineRule="auto"/>
              <w:jc w:val="center"/>
              <w:rPr>
                <w:rFonts w:ascii="Cambria" w:hAnsi="Cambria" w:cs="Arial"/>
                <w:b/>
                <w:sz w:val="20"/>
                <w:szCs w:val="20"/>
              </w:rPr>
            </w:pPr>
            <w:r w:rsidRPr="00CD14C8">
              <w:rPr>
                <w:rFonts w:ascii="Cambria" w:hAnsi="Cambria" w:cs="Arial"/>
                <w:b/>
                <w:sz w:val="20"/>
                <w:szCs w:val="20"/>
              </w:rPr>
              <w:t>0·03</w:t>
            </w:r>
          </w:p>
        </w:tc>
      </w:tr>
      <w:tr w:rsidR="00900416" w:rsidRPr="00900416" w14:paraId="69EFCC0E" w14:textId="77777777" w:rsidTr="00EF2C71">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hRule="exact" w:val="749"/>
        </w:trPr>
        <w:tc>
          <w:tcPr>
            <w:tcW w:w="1281" w:type="pct"/>
            <w:tcBorders>
              <w:top w:val="nil"/>
              <w:bottom w:val="nil"/>
              <w:right w:val="nil"/>
            </w:tcBorders>
            <w:shd w:val="clear" w:color="auto" w:fill="D9D9D9" w:themeFill="background1" w:themeFillShade="D9"/>
            <w:vAlign w:val="center"/>
          </w:tcPr>
          <w:p w14:paraId="6FEC5A40" w14:textId="77777777" w:rsidR="00900416" w:rsidRPr="00CD14C8" w:rsidRDefault="00900416" w:rsidP="00EF2C71">
            <w:pPr>
              <w:spacing w:line="276" w:lineRule="auto"/>
              <w:rPr>
                <w:rFonts w:ascii="Cambria" w:hAnsi="Cambria" w:cs="Arial"/>
                <w:b/>
                <w:sz w:val="20"/>
                <w:szCs w:val="20"/>
              </w:rPr>
            </w:pPr>
            <w:r w:rsidRPr="00CD14C8">
              <w:rPr>
                <w:rFonts w:ascii="Cambria" w:hAnsi="Cambria" w:cs="Arial"/>
                <w:b/>
                <w:sz w:val="20"/>
                <w:szCs w:val="20"/>
              </w:rPr>
              <w:t>DN4 score</w:t>
            </w:r>
          </w:p>
        </w:tc>
        <w:tc>
          <w:tcPr>
            <w:tcW w:w="641" w:type="pct"/>
            <w:tcBorders>
              <w:top w:val="nil"/>
              <w:left w:val="nil"/>
              <w:bottom w:val="nil"/>
              <w:right w:val="nil"/>
            </w:tcBorders>
            <w:shd w:val="clear" w:color="auto" w:fill="D9D9D9" w:themeFill="background1" w:themeFillShade="D9"/>
            <w:vAlign w:val="center"/>
          </w:tcPr>
          <w:p w14:paraId="594F3718"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0 (0)</w:t>
            </w:r>
          </w:p>
        </w:tc>
        <w:tc>
          <w:tcPr>
            <w:tcW w:w="501" w:type="pct"/>
            <w:tcBorders>
              <w:top w:val="nil"/>
              <w:left w:val="nil"/>
              <w:bottom w:val="nil"/>
              <w:right w:val="nil"/>
            </w:tcBorders>
            <w:shd w:val="clear" w:color="auto" w:fill="D9D9D9" w:themeFill="background1" w:themeFillShade="D9"/>
            <w:vAlign w:val="center"/>
          </w:tcPr>
          <w:p w14:paraId="4F0178A6"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0·21 (0·5)</w:t>
            </w:r>
          </w:p>
        </w:tc>
        <w:tc>
          <w:tcPr>
            <w:tcW w:w="674" w:type="pct"/>
            <w:tcBorders>
              <w:top w:val="nil"/>
              <w:left w:val="nil"/>
              <w:bottom w:val="nil"/>
              <w:right w:val="nil"/>
            </w:tcBorders>
            <w:shd w:val="clear" w:color="auto" w:fill="D9D9D9" w:themeFill="background1" w:themeFillShade="D9"/>
            <w:vAlign w:val="center"/>
          </w:tcPr>
          <w:p w14:paraId="067E457C"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1·9 (0·8)</w:t>
            </w:r>
          </w:p>
        </w:tc>
        <w:tc>
          <w:tcPr>
            <w:tcW w:w="749" w:type="pct"/>
            <w:tcBorders>
              <w:top w:val="nil"/>
              <w:left w:val="nil"/>
              <w:bottom w:val="nil"/>
              <w:right w:val="nil"/>
            </w:tcBorders>
            <w:shd w:val="clear" w:color="auto" w:fill="D9D9D9" w:themeFill="background1" w:themeFillShade="D9"/>
            <w:vAlign w:val="center"/>
          </w:tcPr>
          <w:p w14:paraId="353C5CF8"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5·8 (1·7)</w:t>
            </w:r>
          </w:p>
        </w:tc>
        <w:tc>
          <w:tcPr>
            <w:tcW w:w="1154" w:type="pct"/>
            <w:tcBorders>
              <w:top w:val="nil"/>
              <w:left w:val="nil"/>
              <w:bottom w:val="nil"/>
            </w:tcBorders>
            <w:shd w:val="clear" w:color="auto" w:fill="D9D9D9" w:themeFill="background1" w:themeFillShade="D9"/>
            <w:vAlign w:val="center"/>
          </w:tcPr>
          <w:p w14:paraId="67C77567" w14:textId="77777777" w:rsidR="00900416" w:rsidRPr="00CD14C8" w:rsidRDefault="00900416" w:rsidP="00EF2C71">
            <w:pPr>
              <w:spacing w:line="360" w:lineRule="auto"/>
              <w:jc w:val="center"/>
              <w:rPr>
                <w:rFonts w:ascii="Cambria" w:hAnsi="Cambria" w:cs="Arial"/>
                <w:b/>
                <w:sz w:val="20"/>
                <w:szCs w:val="20"/>
              </w:rPr>
            </w:pPr>
            <w:r w:rsidRPr="00CD14C8">
              <w:rPr>
                <w:rFonts w:ascii="Cambria" w:hAnsi="Cambria" w:cs="Arial"/>
                <w:b/>
                <w:sz w:val="20"/>
                <w:szCs w:val="20"/>
              </w:rPr>
              <w:t>&lt;0·01</w:t>
            </w:r>
          </w:p>
        </w:tc>
      </w:tr>
      <w:tr w:rsidR="00900416" w:rsidRPr="00900416" w14:paraId="467E58F9" w14:textId="77777777" w:rsidTr="00EF2C71">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hRule="exact" w:val="749"/>
        </w:trPr>
        <w:tc>
          <w:tcPr>
            <w:tcW w:w="1281" w:type="pct"/>
            <w:tcBorders>
              <w:top w:val="nil"/>
              <w:bottom w:val="nil"/>
              <w:right w:val="nil"/>
            </w:tcBorders>
            <w:shd w:val="clear" w:color="auto" w:fill="D9D9D9" w:themeFill="background1" w:themeFillShade="D9"/>
            <w:vAlign w:val="center"/>
          </w:tcPr>
          <w:p w14:paraId="2F74148C" w14:textId="77777777" w:rsidR="00900416" w:rsidRPr="00CD14C8" w:rsidRDefault="00900416" w:rsidP="00EF2C71">
            <w:pPr>
              <w:spacing w:line="276" w:lineRule="auto"/>
              <w:rPr>
                <w:rFonts w:ascii="Cambria" w:hAnsi="Cambria" w:cs="Arial"/>
                <w:b/>
                <w:sz w:val="20"/>
                <w:szCs w:val="20"/>
              </w:rPr>
            </w:pPr>
            <w:r w:rsidRPr="00CD14C8">
              <w:rPr>
                <w:rFonts w:ascii="Cambria" w:hAnsi="Cambria" w:cs="Arial"/>
                <w:b/>
                <w:sz w:val="20"/>
                <w:szCs w:val="20"/>
              </w:rPr>
              <w:t>CDT (</w:t>
            </w:r>
            <w:r w:rsidRPr="00CD14C8">
              <w:rPr>
                <w:rFonts w:ascii="Cambria" w:hAnsi="Cambria" w:cs="Arial"/>
                <w:b/>
                <w:sz w:val="20"/>
                <w:szCs w:val="20"/>
                <w:lang w:val="en-US"/>
              </w:rPr>
              <w:t>°C)</w:t>
            </w:r>
          </w:p>
        </w:tc>
        <w:tc>
          <w:tcPr>
            <w:tcW w:w="641" w:type="pct"/>
            <w:tcBorders>
              <w:top w:val="nil"/>
              <w:left w:val="nil"/>
              <w:bottom w:val="nil"/>
              <w:right w:val="nil"/>
            </w:tcBorders>
            <w:shd w:val="clear" w:color="auto" w:fill="D9D9D9" w:themeFill="background1" w:themeFillShade="D9"/>
            <w:vAlign w:val="center"/>
          </w:tcPr>
          <w:p w14:paraId="13450213"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28·3 (1·7)</w:t>
            </w:r>
          </w:p>
        </w:tc>
        <w:tc>
          <w:tcPr>
            <w:tcW w:w="501" w:type="pct"/>
            <w:tcBorders>
              <w:top w:val="nil"/>
              <w:left w:val="nil"/>
              <w:bottom w:val="nil"/>
              <w:right w:val="nil"/>
            </w:tcBorders>
            <w:shd w:val="clear" w:color="auto" w:fill="D9D9D9" w:themeFill="background1" w:themeFillShade="D9"/>
            <w:vAlign w:val="center"/>
          </w:tcPr>
          <w:p w14:paraId="596D43C1"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lang w:val="it-IT"/>
              </w:rPr>
              <w:t>25·7 (2·8)</w:t>
            </w:r>
          </w:p>
        </w:tc>
        <w:tc>
          <w:tcPr>
            <w:tcW w:w="674" w:type="pct"/>
            <w:tcBorders>
              <w:top w:val="nil"/>
              <w:left w:val="nil"/>
              <w:bottom w:val="nil"/>
              <w:right w:val="nil"/>
            </w:tcBorders>
            <w:shd w:val="clear" w:color="auto" w:fill="D9D9D9" w:themeFill="background1" w:themeFillShade="D9"/>
            <w:vAlign w:val="center"/>
          </w:tcPr>
          <w:p w14:paraId="4FCD2D70"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20·6 (11·3)</w:t>
            </w:r>
          </w:p>
        </w:tc>
        <w:tc>
          <w:tcPr>
            <w:tcW w:w="749" w:type="pct"/>
            <w:tcBorders>
              <w:top w:val="nil"/>
              <w:left w:val="nil"/>
              <w:bottom w:val="nil"/>
              <w:right w:val="nil"/>
            </w:tcBorders>
            <w:shd w:val="clear" w:color="auto" w:fill="D9D9D9" w:themeFill="background1" w:themeFillShade="D9"/>
            <w:vAlign w:val="center"/>
          </w:tcPr>
          <w:p w14:paraId="0D54F1DD"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11·2 (10·3)</w:t>
            </w:r>
          </w:p>
        </w:tc>
        <w:tc>
          <w:tcPr>
            <w:tcW w:w="1154" w:type="pct"/>
            <w:tcBorders>
              <w:top w:val="nil"/>
              <w:left w:val="nil"/>
              <w:bottom w:val="nil"/>
            </w:tcBorders>
            <w:shd w:val="clear" w:color="auto" w:fill="D9D9D9" w:themeFill="background1" w:themeFillShade="D9"/>
            <w:vAlign w:val="center"/>
          </w:tcPr>
          <w:p w14:paraId="0ECF6C67" w14:textId="77777777" w:rsidR="00900416" w:rsidRPr="00CD14C8" w:rsidRDefault="00900416" w:rsidP="00EF2C71">
            <w:pPr>
              <w:spacing w:line="360" w:lineRule="auto"/>
              <w:jc w:val="center"/>
              <w:rPr>
                <w:rFonts w:ascii="Cambria" w:hAnsi="Cambria" w:cs="Arial"/>
                <w:b/>
                <w:sz w:val="20"/>
                <w:szCs w:val="20"/>
                <w:lang w:val="it-IT"/>
              </w:rPr>
            </w:pPr>
            <w:r w:rsidRPr="00CD14C8">
              <w:rPr>
                <w:rFonts w:ascii="Cambria" w:hAnsi="Cambria" w:cs="Arial"/>
                <w:b/>
                <w:sz w:val="20"/>
                <w:szCs w:val="20"/>
                <w:lang w:val="it-IT"/>
              </w:rPr>
              <w:t>&lt;0·01</w:t>
            </w:r>
          </w:p>
        </w:tc>
      </w:tr>
      <w:tr w:rsidR="00900416" w:rsidRPr="00900416" w14:paraId="2481F301" w14:textId="77777777" w:rsidTr="00EF2C71">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hRule="exact" w:val="749"/>
        </w:trPr>
        <w:tc>
          <w:tcPr>
            <w:tcW w:w="1281" w:type="pct"/>
            <w:tcBorders>
              <w:top w:val="nil"/>
              <w:bottom w:val="nil"/>
              <w:right w:val="nil"/>
            </w:tcBorders>
            <w:shd w:val="clear" w:color="auto" w:fill="D9D9D9" w:themeFill="background1" w:themeFillShade="D9"/>
            <w:vAlign w:val="center"/>
          </w:tcPr>
          <w:p w14:paraId="78283314" w14:textId="77777777" w:rsidR="00900416" w:rsidRPr="00CD14C8" w:rsidRDefault="00900416" w:rsidP="00EF2C71">
            <w:pPr>
              <w:spacing w:line="276" w:lineRule="auto"/>
              <w:rPr>
                <w:rFonts w:ascii="Cambria" w:hAnsi="Cambria" w:cs="Arial"/>
                <w:b/>
                <w:sz w:val="20"/>
                <w:szCs w:val="20"/>
              </w:rPr>
            </w:pPr>
            <w:proofErr w:type="spellStart"/>
            <w:r w:rsidRPr="00CD14C8">
              <w:rPr>
                <w:rFonts w:ascii="Cambria" w:hAnsi="Cambria" w:cs="Arial"/>
                <w:b/>
                <w:sz w:val="20"/>
                <w:szCs w:val="20"/>
              </w:rPr>
              <w:t>WDT</w:t>
            </w:r>
            <w:proofErr w:type="spellEnd"/>
            <w:r w:rsidRPr="00CD14C8">
              <w:rPr>
                <w:rFonts w:ascii="Cambria" w:hAnsi="Cambria" w:cs="Arial"/>
                <w:b/>
                <w:sz w:val="20"/>
                <w:szCs w:val="20"/>
              </w:rPr>
              <w:t xml:space="preserve"> (</w:t>
            </w:r>
            <w:r w:rsidRPr="00CD14C8">
              <w:rPr>
                <w:rFonts w:ascii="Cambria" w:hAnsi="Cambria" w:cs="Arial"/>
                <w:b/>
                <w:sz w:val="20"/>
                <w:szCs w:val="20"/>
                <w:lang w:val="en-US"/>
              </w:rPr>
              <w:t>°C)</w:t>
            </w:r>
          </w:p>
        </w:tc>
        <w:tc>
          <w:tcPr>
            <w:tcW w:w="641" w:type="pct"/>
            <w:tcBorders>
              <w:top w:val="nil"/>
              <w:left w:val="nil"/>
              <w:bottom w:val="nil"/>
              <w:right w:val="nil"/>
            </w:tcBorders>
            <w:shd w:val="clear" w:color="auto" w:fill="D9D9D9" w:themeFill="background1" w:themeFillShade="D9"/>
            <w:vAlign w:val="center"/>
          </w:tcPr>
          <w:p w14:paraId="393C7250"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lang w:val="it-IT"/>
              </w:rPr>
              <w:t>38·2 (3·4)</w:t>
            </w:r>
          </w:p>
        </w:tc>
        <w:tc>
          <w:tcPr>
            <w:tcW w:w="501" w:type="pct"/>
            <w:tcBorders>
              <w:top w:val="nil"/>
              <w:left w:val="nil"/>
              <w:bottom w:val="nil"/>
              <w:right w:val="nil"/>
            </w:tcBorders>
            <w:shd w:val="clear" w:color="auto" w:fill="D9D9D9" w:themeFill="background1" w:themeFillShade="D9"/>
            <w:vAlign w:val="center"/>
          </w:tcPr>
          <w:p w14:paraId="5EFA3E34"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lang w:val="it-IT"/>
              </w:rPr>
              <w:t>39·3 (3·6)</w:t>
            </w:r>
          </w:p>
        </w:tc>
        <w:tc>
          <w:tcPr>
            <w:tcW w:w="674" w:type="pct"/>
            <w:tcBorders>
              <w:top w:val="nil"/>
              <w:left w:val="nil"/>
              <w:bottom w:val="nil"/>
              <w:right w:val="nil"/>
            </w:tcBorders>
            <w:shd w:val="clear" w:color="auto" w:fill="D9D9D9" w:themeFill="background1" w:themeFillShade="D9"/>
            <w:vAlign w:val="center"/>
          </w:tcPr>
          <w:p w14:paraId="4131343F"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46·2 (3·3)</w:t>
            </w:r>
          </w:p>
        </w:tc>
        <w:tc>
          <w:tcPr>
            <w:tcW w:w="749" w:type="pct"/>
            <w:tcBorders>
              <w:top w:val="nil"/>
              <w:left w:val="nil"/>
              <w:bottom w:val="nil"/>
              <w:right w:val="nil"/>
            </w:tcBorders>
            <w:shd w:val="clear" w:color="auto" w:fill="D9D9D9" w:themeFill="background1" w:themeFillShade="D9"/>
            <w:vAlign w:val="center"/>
          </w:tcPr>
          <w:p w14:paraId="17AE292F"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47·0 (2·8)</w:t>
            </w:r>
          </w:p>
        </w:tc>
        <w:tc>
          <w:tcPr>
            <w:tcW w:w="1154" w:type="pct"/>
            <w:tcBorders>
              <w:top w:val="nil"/>
              <w:left w:val="nil"/>
              <w:bottom w:val="nil"/>
            </w:tcBorders>
            <w:shd w:val="clear" w:color="auto" w:fill="D9D9D9" w:themeFill="background1" w:themeFillShade="D9"/>
            <w:vAlign w:val="center"/>
          </w:tcPr>
          <w:p w14:paraId="0F6EB0D1" w14:textId="77777777" w:rsidR="00900416" w:rsidRPr="00CD14C8" w:rsidRDefault="00900416" w:rsidP="00EF2C71">
            <w:pPr>
              <w:spacing w:line="360" w:lineRule="auto"/>
              <w:jc w:val="center"/>
              <w:rPr>
                <w:rFonts w:ascii="Cambria" w:hAnsi="Cambria" w:cs="Arial"/>
                <w:sz w:val="20"/>
                <w:szCs w:val="20"/>
                <w:lang w:val="it-IT"/>
              </w:rPr>
            </w:pPr>
            <w:r w:rsidRPr="00CD14C8">
              <w:rPr>
                <w:rFonts w:ascii="Cambria" w:hAnsi="Cambria" w:cs="Arial"/>
                <w:sz w:val="20"/>
                <w:szCs w:val="20"/>
                <w:lang w:val="it-IT"/>
              </w:rPr>
              <w:t>0.50</w:t>
            </w:r>
          </w:p>
        </w:tc>
      </w:tr>
      <w:tr w:rsidR="00900416" w:rsidRPr="00900416" w14:paraId="43E43A0F" w14:textId="77777777" w:rsidTr="00EF2C71">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hRule="exact" w:val="749"/>
        </w:trPr>
        <w:tc>
          <w:tcPr>
            <w:tcW w:w="1281" w:type="pct"/>
            <w:tcBorders>
              <w:top w:val="nil"/>
              <w:bottom w:val="nil"/>
              <w:right w:val="nil"/>
            </w:tcBorders>
            <w:shd w:val="clear" w:color="auto" w:fill="D9D9D9" w:themeFill="background1" w:themeFillShade="D9"/>
            <w:vAlign w:val="center"/>
          </w:tcPr>
          <w:p w14:paraId="2854463B" w14:textId="77777777" w:rsidR="00900416" w:rsidRPr="00CD14C8" w:rsidRDefault="00900416" w:rsidP="00EF2C71">
            <w:pPr>
              <w:spacing w:line="276" w:lineRule="auto"/>
              <w:rPr>
                <w:rFonts w:ascii="Cambria" w:hAnsi="Cambria" w:cs="Arial"/>
                <w:b/>
                <w:sz w:val="20"/>
                <w:szCs w:val="20"/>
              </w:rPr>
            </w:pPr>
            <w:proofErr w:type="spellStart"/>
            <w:r w:rsidRPr="00CD14C8">
              <w:rPr>
                <w:rFonts w:ascii="Cambria" w:hAnsi="Cambria" w:cs="Arial"/>
                <w:b/>
                <w:sz w:val="20"/>
                <w:szCs w:val="20"/>
              </w:rPr>
              <w:t>TSL</w:t>
            </w:r>
            <w:proofErr w:type="spellEnd"/>
            <w:r w:rsidRPr="00CD14C8">
              <w:rPr>
                <w:rFonts w:ascii="Cambria" w:hAnsi="Cambria" w:cs="Arial"/>
                <w:b/>
                <w:sz w:val="20"/>
                <w:szCs w:val="20"/>
              </w:rPr>
              <w:t xml:space="preserve"> (</w:t>
            </w:r>
            <w:r w:rsidRPr="00CD14C8">
              <w:rPr>
                <w:rFonts w:ascii="Cambria" w:hAnsi="Cambria" w:cs="Arial"/>
                <w:b/>
                <w:sz w:val="20"/>
                <w:szCs w:val="20"/>
                <w:lang w:val="en-US"/>
              </w:rPr>
              <w:t>°C)</w:t>
            </w:r>
          </w:p>
        </w:tc>
        <w:tc>
          <w:tcPr>
            <w:tcW w:w="641" w:type="pct"/>
            <w:tcBorders>
              <w:top w:val="nil"/>
              <w:left w:val="nil"/>
              <w:bottom w:val="nil"/>
              <w:right w:val="nil"/>
            </w:tcBorders>
            <w:shd w:val="clear" w:color="auto" w:fill="D9D9D9" w:themeFill="background1" w:themeFillShade="D9"/>
            <w:vAlign w:val="center"/>
          </w:tcPr>
          <w:p w14:paraId="4417093E"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lang w:val="it-IT"/>
              </w:rPr>
              <w:t>10·6 (5·7)</w:t>
            </w:r>
          </w:p>
        </w:tc>
        <w:tc>
          <w:tcPr>
            <w:tcW w:w="501" w:type="pct"/>
            <w:tcBorders>
              <w:top w:val="nil"/>
              <w:left w:val="nil"/>
              <w:bottom w:val="nil"/>
              <w:right w:val="nil"/>
            </w:tcBorders>
            <w:shd w:val="clear" w:color="auto" w:fill="D9D9D9" w:themeFill="background1" w:themeFillShade="D9"/>
            <w:vAlign w:val="center"/>
          </w:tcPr>
          <w:p w14:paraId="42CA7820"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lang w:val="it-IT"/>
              </w:rPr>
              <w:t>15·7 (8·5)</w:t>
            </w:r>
          </w:p>
        </w:tc>
        <w:tc>
          <w:tcPr>
            <w:tcW w:w="674" w:type="pct"/>
            <w:tcBorders>
              <w:top w:val="nil"/>
              <w:left w:val="nil"/>
              <w:bottom w:val="nil"/>
              <w:right w:val="nil"/>
            </w:tcBorders>
            <w:shd w:val="clear" w:color="auto" w:fill="D9D9D9" w:themeFill="background1" w:themeFillShade="D9"/>
            <w:vAlign w:val="center"/>
          </w:tcPr>
          <w:p w14:paraId="6C6F2CFA"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30·8 (12·1)</w:t>
            </w:r>
          </w:p>
        </w:tc>
        <w:tc>
          <w:tcPr>
            <w:tcW w:w="749" w:type="pct"/>
            <w:tcBorders>
              <w:top w:val="nil"/>
              <w:left w:val="nil"/>
              <w:bottom w:val="nil"/>
              <w:right w:val="nil"/>
            </w:tcBorders>
            <w:shd w:val="clear" w:color="auto" w:fill="D9D9D9" w:themeFill="background1" w:themeFillShade="D9"/>
            <w:vAlign w:val="center"/>
          </w:tcPr>
          <w:p w14:paraId="001D6C5C"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38·5 (11·4)</w:t>
            </w:r>
          </w:p>
        </w:tc>
        <w:tc>
          <w:tcPr>
            <w:tcW w:w="1154" w:type="pct"/>
            <w:tcBorders>
              <w:top w:val="nil"/>
              <w:left w:val="nil"/>
              <w:bottom w:val="nil"/>
            </w:tcBorders>
            <w:shd w:val="clear" w:color="auto" w:fill="D9D9D9" w:themeFill="background1" w:themeFillShade="D9"/>
            <w:vAlign w:val="center"/>
          </w:tcPr>
          <w:p w14:paraId="03D2AA84" w14:textId="77777777" w:rsidR="00900416" w:rsidRPr="00CD14C8" w:rsidRDefault="00900416" w:rsidP="00EF2C71">
            <w:pPr>
              <w:spacing w:line="360" w:lineRule="auto"/>
              <w:jc w:val="center"/>
              <w:rPr>
                <w:rFonts w:ascii="Cambria" w:hAnsi="Cambria" w:cs="Arial"/>
                <w:b/>
                <w:sz w:val="20"/>
                <w:szCs w:val="20"/>
                <w:lang w:val="it-IT"/>
              </w:rPr>
            </w:pPr>
            <w:r w:rsidRPr="00CD14C8">
              <w:rPr>
                <w:rFonts w:ascii="Cambria" w:hAnsi="Cambria" w:cs="Arial"/>
                <w:b/>
                <w:sz w:val="20"/>
                <w:szCs w:val="20"/>
                <w:lang w:val="it-IT"/>
              </w:rPr>
              <w:t>0.03</w:t>
            </w:r>
          </w:p>
        </w:tc>
      </w:tr>
      <w:tr w:rsidR="00900416" w:rsidRPr="00900416" w14:paraId="2605BACA" w14:textId="77777777" w:rsidTr="00EF2C71">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hRule="exact" w:val="749"/>
        </w:trPr>
        <w:tc>
          <w:tcPr>
            <w:tcW w:w="1281" w:type="pct"/>
            <w:tcBorders>
              <w:top w:val="nil"/>
              <w:bottom w:val="nil"/>
              <w:right w:val="nil"/>
            </w:tcBorders>
            <w:shd w:val="clear" w:color="auto" w:fill="D9D9D9" w:themeFill="background1" w:themeFillShade="D9"/>
            <w:vAlign w:val="center"/>
          </w:tcPr>
          <w:p w14:paraId="25942AD4" w14:textId="77777777" w:rsidR="00900416" w:rsidRPr="00CD14C8" w:rsidRDefault="00900416" w:rsidP="00EF2C71">
            <w:pPr>
              <w:spacing w:line="276" w:lineRule="auto"/>
              <w:rPr>
                <w:rFonts w:ascii="Cambria" w:hAnsi="Cambria" w:cs="Arial"/>
                <w:b/>
                <w:sz w:val="20"/>
                <w:szCs w:val="20"/>
              </w:rPr>
            </w:pPr>
            <w:proofErr w:type="spellStart"/>
            <w:r w:rsidRPr="00CD14C8">
              <w:rPr>
                <w:rFonts w:ascii="Cambria" w:hAnsi="Cambria" w:cs="Arial"/>
                <w:b/>
                <w:sz w:val="20"/>
                <w:szCs w:val="20"/>
              </w:rPr>
              <w:t>IENFD</w:t>
            </w:r>
            <w:proofErr w:type="spellEnd"/>
            <w:r w:rsidRPr="00CD14C8">
              <w:rPr>
                <w:rFonts w:ascii="Cambria" w:hAnsi="Cambria" w:cs="Arial"/>
                <w:b/>
                <w:sz w:val="20"/>
                <w:szCs w:val="20"/>
              </w:rPr>
              <w:t xml:space="preserve"> (fibres/mm)</w:t>
            </w:r>
          </w:p>
        </w:tc>
        <w:tc>
          <w:tcPr>
            <w:tcW w:w="641" w:type="pct"/>
            <w:tcBorders>
              <w:top w:val="nil"/>
              <w:left w:val="nil"/>
              <w:bottom w:val="nil"/>
              <w:right w:val="nil"/>
            </w:tcBorders>
            <w:shd w:val="clear" w:color="auto" w:fill="D9D9D9" w:themeFill="background1" w:themeFillShade="D9"/>
            <w:vAlign w:val="center"/>
          </w:tcPr>
          <w:p w14:paraId="403BBE63"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5·7 (1.4)</w:t>
            </w:r>
          </w:p>
        </w:tc>
        <w:tc>
          <w:tcPr>
            <w:tcW w:w="501" w:type="pct"/>
            <w:tcBorders>
              <w:top w:val="nil"/>
              <w:left w:val="nil"/>
              <w:bottom w:val="nil"/>
              <w:right w:val="nil"/>
            </w:tcBorders>
            <w:shd w:val="clear" w:color="auto" w:fill="D9D9D9" w:themeFill="background1" w:themeFillShade="D9"/>
            <w:vAlign w:val="center"/>
          </w:tcPr>
          <w:p w14:paraId="4F03BEB8"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6·2 (3·1)</w:t>
            </w:r>
          </w:p>
        </w:tc>
        <w:tc>
          <w:tcPr>
            <w:tcW w:w="674" w:type="pct"/>
            <w:tcBorders>
              <w:top w:val="nil"/>
              <w:left w:val="nil"/>
              <w:bottom w:val="nil"/>
              <w:right w:val="nil"/>
            </w:tcBorders>
            <w:shd w:val="clear" w:color="auto" w:fill="D9D9D9" w:themeFill="background1" w:themeFillShade="D9"/>
            <w:vAlign w:val="center"/>
          </w:tcPr>
          <w:p w14:paraId="5DB8821E"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0.85 (1.6)</w:t>
            </w:r>
          </w:p>
        </w:tc>
        <w:tc>
          <w:tcPr>
            <w:tcW w:w="749" w:type="pct"/>
            <w:tcBorders>
              <w:top w:val="nil"/>
              <w:left w:val="nil"/>
              <w:bottom w:val="nil"/>
              <w:right w:val="nil"/>
            </w:tcBorders>
            <w:shd w:val="clear" w:color="auto" w:fill="D9D9D9" w:themeFill="background1" w:themeFillShade="D9"/>
            <w:vAlign w:val="center"/>
          </w:tcPr>
          <w:p w14:paraId="0A649A9C"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0·77 (1.7)</w:t>
            </w:r>
          </w:p>
        </w:tc>
        <w:tc>
          <w:tcPr>
            <w:tcW w:w="1154" w:type="pct"/>
            <w:tcBorders>
              <w:top w:val="nil"/>
              <w:left w:val="nil"/>
              <w:bottom w:val="nil"/>
            </w:tcBorders>
            <w:shd w:val="clear" w:color="auto" w:fill="D9D9D9" w:themeFill="background1" w:themeFillShade="D9"/>
            <w:vAlign w:val="center"/>
          </w:tcPr>
          <w:p w14:paraId="508C00C1"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0.91</w:t>
            </w:r>
          </w:p>
        </w:tc>
      </w:tr>
      <w:tr w:rsidR="00900416" w:rsidRPr="00900416" w14:paraId="1E6010E2" w14:textId="77777777" w:rsidTr="00EF2C71">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hRule="exact" w:val="741"/>
        </w:trPr>
        <w:tc>
          <w:tcPr>
            <w:tcW w:w="1281" w:type="pct"/>
            <w:tcBorders>
              <w:top w:val="nil"/>
              <w:bottom w:val="nil"/>
              <w:right w:val="nil"/>
            </w:tcBorders>
            <w:shd w:val="clear" w:color="auto" w:fill="D9D9D9" w:themeFill="background1" w:themeFillShade="D9"/>
            <w:vAlign w:val="center"/>
          </w:tcPr>
          <w:p w14:paraId="44DBA695" w14:textId="77777777" w:rsidR="00900416" w:rsidRPr="00CD14C8" w:rsidRDefault="00900416" w:rsidP="00EF2C71">
            <w:pPr>
              <w:spacing w:line="276" w:lineRule="auto"/>
              <w:rPr>
                <w:rFonts w:ascii="Cambria" w:hAnsi="Cambria" w:cs="Arial"/>
                <w:b/>
                <w:sz w:val="20"/>
                <w:szCs w:val="20"/>
              </w:rPr>
            </w:pPr>
            <w:proofErr w:type="spellStart"/>
            <w:r w:rsidRPr="00CD14C8">
              <w:rPr>
                <w:rFonts w:ascii="Cambria" w:hAnsi="Cambria" w:cs="Arial"/>
                <w:b/>
                <w:sz w:val="20"/>
                <w:szCs w:val="20"/>
              </w:rPr>
              <w:t>SENFD</w:t>
            </w:r>
            <w:proofErr w:type="spellEnd"/>
            <w:r w:rsidRPr="00CD14C8">
              <w:rPr>
                <w:rFonts w:ascii="Cambria" w:hAnsi="Cambria" w:cs="Arial"/>
                <w:b/>
                <w:sz w:val="20"/>
                <w:szCs w:val="20"/>
              </w:rPr>
              <w:t xml:space="preserve"> (% area)</w:t>
            </w:r>
          </w:p>
        </w:tc>
        <w:tc>
          <w:tcPr>
            <w:tcW w:w="641" w:type="pct"/>
            <w:tcBorders>
              <w:top w:val="nil"/>
              <w:left w:val="nil"/>
              <w:bottom w:val="nil"/>
              <w:right w:val="nil"/>
            </w:tcBorders>
            <w:shd w:val="clear" w:color="auto" w:fill="D9D9D9" w:themeFill="background1" w:themeFillShade="D9"/>
            <w:vAlign w:val="center"/>
          </w:tcPr>
          <w:p w14:paraId="39927BBE"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lang w:val="it-IT"/>
              </w:rPr>
              <w:t>1·1 (0·5)</w:t>
            </w:r>
          </w:p>
        </w:tc>
        <w:tc>
          <w:tcPr>
            <w:tcW w:w="501" w:type="pct"/>
            <w:tcBorders>
              <w:top w:val="nil"/>
              <w:left w:val="nil"/>
              <w:bottom w:val="nil"/>
              <w:right w:val="nil"/>
            </w:tcBorders>
            <w:shd w:val="clear" w:color="auto" w:fill="D9D9D9" w:themeFill="background1" w:themeFillShade="D9"/>
            <w:vAlign w:val="center"/>
          </w:tcPr>
          <w:p w14:paraId="43A20B27"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lang w:val="it-IT"/>
              </w:rPr>
              <w:t>1·9 (1·0)</w:t>
            </w:r>
          </w:p>
        </w:tc>
        <w:tc>
          <w:tcPr>
            <w:tcW w:w="674" w:type="pct"/>
            <w:tcBorders>
              <w:top w:val="nil"/>
              <w:left w:val="nil"/>
              <w:bottom w:val="nil"/>
              <w:right w:val="nil"/>
            </w:tcBorders>
            <w:shd w:val="clear" w:color="auto" w:fill="D9D9D9" w:themeFill="background1" w:themeFillShade="D9"/>
            <w:vAlign w:val="center"/>
          </w:tcPr>
          <w:p w14:paraId="3A92BCEC"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0·43 (0·6)</w:t>
            </w:r>
          </w:p>
        </w:tc>
        <w:tc>
          <w:tcPr>
            <w:tcW w:w="749" w:type="pct"/>
            <w:tcBorders>
              <w:top w:val="nil"/>
              <w:left w:val="nil"/>
              <w:bottom w:val="nil"/>
              <w:right w:val="nil"/>
            </w:tcBorders>
            <w:shd w:val="clear" w:color="auto" w:fill="D9D9D9" w:themeFill="background1" w:themeFillShade="D9"/>
            <w:vAlign w:val="center"/>
          </w:tcPr>
          <w:p w14:paraId="2A6676D6"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0·16 (0·2)</w:t>
            </w:r>
          </w:p>
        </w:tc>
        <w:tc>
          <w:tcPr>
            <w:tcW w:w="1154" w:type="pct"/>
            <w:tcBorders>
              <w:top w:val="nil"/>
              <w:left w:val="nil"/>
              <w:bottom w:val="nil"/>
            </w:tcBorders>
            <w:shd w:val="clear" w:color="auto" w:fill="D9D9D9" w:themeFill="background1" w:themeFillShade="D9"/>
            <w:vAlign w:val="center"/>
          </w:tcPr>
          <w:p w14:paraId="37E9C60F"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lang w:val="it-IT"/>
              </w:rPr>
              <w:t>0.28</w:t>
            </w:r>
          </w:p>
        </w:tc>
      </w:tr>
      <w:tr w:rsidR="00900416" w:rsidRPr="00900416" w14:paraId="25335A6D" w14:textId="77777777" w:rsidTr="00EF2C71">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hRule="exact" w:val="727"/>
        </w:trPr>
        <w:tc>
          <w:tcPr>
            <w:tcW w:w="1281" w:type="pct"/>
            <w:tcBorders>
              <w:top w:val="nil"/>
              <w:bottom w:val="nil"/>
              <w:right w:val="nil"/>
            </w:tcBorders>
            <w:shd w:val="clear" w:color="auto" w:fill="D9D9D9" w:themeFill="background1" w:themeFillShade="D9"/>
            <w:vAlign w:val="center"/>
          </w:tcPr>
          <w:p w14:paraId="66746300" w14:textId="77777777" w:rsidR="00900416" w:rsidRPr="00CD14C8" w:rsidRDefault="00900416" w:rsidP="00EF2C71">
            <w:pPr>
              <w:spacing w:line="276" w:lineRule="auto"/>
              <w:rPr>
                <w:rFonts w:ascii="Cambria" w:hAnsi="Cambria" w:cs="Arial"/>
                <w:b/>
                <w:sz w:val="20"/>
                <w:szCs w:val="20"/>
              </w:rPr>
            </w:pPr>
            <w:r w:rsidRPr="00CD14C8">
              <w:rPr>
                <w:rFonts w:ascii="Cambria" w:hAnsi="Cambria" w:cs="Arial"/>
                <w:b/>
                <w:sz w:val="20"/>
                <w:szCs w:val="20"/>
              </w:rPr>
              <w:t>O’Brien Autonomic Function Score</w:t>
            </w:r>
          </w:p>
          <w:p w14:paraId="1A06D9FC" w14:textId="77777777" w:rsidR="00900416" w:rsidRPr="00CD14C8" w:rsidRDefault="00900416" w:rsidP="00EF2C71">
            <w:pPr>
              <w:spacing w:line="276" w:lineRule="auto"/>
              <w:rPr>
                <w:rFonts w:ascii="Cambria" w:hAnsi="Cambria" w:cs="Arial"/>
                <w:b/>
                <w:sz w:val="20"/>
                <w:szCs w:val="20"/>
              </w:rPr>
            </w:pPr>
          </w:p>
          <w:p w14:paraId="13E54A01" w14:textId="77777777" w:rsidR="00900416" w:rsidRPr="00CD14C8" w:rsidRDefault="00900416" w:rsidP="00EF2C71">
            <w:pPr>
              <w:spacing w:line="276" w:lineRule="auto"/>
              <w:rPr>
                <w:rFonts w:ascii="Cambria" w:hAnsi="Cambria" w:cs="Arial"/>
                <w:b/>
                <w:sz w:val="20"/>
                <w:szCs w:val="20"/>
              </w:rPr>
            </w:pPr>
          </w:p>
        </w:tc>
        <w:tc>
          <w:tcPr>
            <w:tcW w:w="641" w:type="pct"/>
            <w:tcBorders>
              <w:top w:val="nil"/>
              <w:left w:val="nil"/>
              <w:bottom w:val="nil"/>
              <w:right w:val="nil"/>
            </w:tcBorders>
            <w:shd w:val="clear" w:color="auto" w:fill="D9D9D9" w:themeFill="background1" w:themeFillShade="D9"/>
            <w:vAlign w:val="center"/>
          </w:tcPr>
          <w:p w14:paraId="5E54B758" w14:textId="77777777" w:rsidR="00900416" w:rsidRPr="00CD14C8" w:rsidRDefault="00900416" w:rsidP="00EF2C71">
            <w:pPr>
              <w:spacing w:line="360" w:lineRule="auto"/>
              <w:jc w:val="center"/>
              <w:rPr>
                <w:rFonts w:ascii="Cambria" w:hAnsi="Cambria" w:cs="Arial"/>
                <w:sz w:val="20"/>
                <w:szCs w:val="20"/>
                <w:lang w:val="it-IT"/>
              </w:rPr>
            </w:pPr>
            <w:r w:rsidRPr="00CD14C8">
              <w:rPr>
                <w:rFonts w:ascii="Cambria" w:hAnsi="Cambria" w:cs="Arial"/>
                <w:sz w:val="20"/>
                <w:szCs w:val="20"/>
                <w:lang w:val="it-IT"/>
              </w:rPr>
              <w:t>0 (0)</w:t>
            </w:r>
          </w:p>
        </w:tc>
        <w:tc>
          <w:tcPr>
            <w:tcW w:w="501" w:type="pct"/>
            <w:tcBorders>
              <w:top w:val="nil"/>
              <w:left w:val="nil"/>
              <w:bottom w:val="nil"/>
              <w:right w:val="nil"/>
            </w:tcBorders>
            <w:shd w:val="clear" w:color="auto" w:fill="D9D9D9" w:themeFill="background1" w:themeFillShade="D9"/>
            <w:vAlign w:val="center"/>
          </w:tcPr>
          <w:p w14:paraId="730A8089" w14:textId="77777777" w:rsidR="00900416" w:rsidRPr="00CD14C8" w:rsidRDefault="00900416" w:rsidP="00EF2C71">
            <w:pPr>
              <w:spacing w:line="360" w:lineRule="auto"/>
              <w:jc w:val="center"/>
              <w:rPr>
                <w:rFonts w:ascii="Cambria" w:hAnsi="Cambria" w:cs="Arial"/>
                <w:sz w:val="20"/>
                <w:szCs w:val="20"/>
                <w:lang w:val="it-IT"/>
              </w:rPr>
            </w:pPr>
            <w:r w:rsidRPr="00CD14C8">
              <w:rPr>
                <w:rFonts w:ascii="Cambria" w:hAnsi="Cambria" w:cs="Arial"/>
                <w:sz w:val="20"/>
                <w:szCs w:val="20"/>
                <w:lang w:val="it-IT"/>
              </w:rPr>
              <w:t>0.15 (0.55)</w:t>
            </w:r>
          </w:p>
        </w:tc>
        <w:tc>
          <w:tcPr>
            <w:tcW w:w="674" w:type="pct"/>
            <w:tcBorders>
              <w:top w:val="nil"/>
              <w:left w:val="nil"/>
              <w:bottom w:val="nil"/>
              <w:right w:val="nil"/>
            </w:tcBorders>
            <w:shd w:val="clear" w:color="auto" w:fill="D9D9D9" w:themeFill="background1" w:themeFillShade="D9"/>
            <w:vAlign w:val="center"/>
          </w:tcPr>
          <w:p w14:paraId="74F1F23D"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1.3 (1.3)</w:t>
            </w:r>
          </w:p>
        </w:tc>
        <w:tc>
          <w:tcPr>
            <w:tcW w:w="749" w:type="pct"/>
            <w:tcBorders>
              <w:top w:val="nil"/>
              <w:left w:val="nil"/>
              <w:bottom w:val="nil"/>
              <w:right w:val="nil"/>
            </w:tcBorders>
            <w:shd w:val="clear" w:color="auto" w:fill="D9D9D9" w:themeFill="background1" w:themeFillShade="D9"/>
            <w:vAlign w:val="center"/>
          </w:tcPr>
          <w:p w14:paraId="00E712B6"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1.6 (2.2)</w:t>
            </w:r>
          </w:p>
        </w:tc>
        <w:tc>
          <w:tcPr>
            <w:tcW w:w="1154" w:type="pct"/>
            <w:tcBorders>
              <w:top w:val="nil"/>
              <w:left w:val="nil"/>
              <w:bottom w:val="nil"/>
            </w:tcBorders>
            <w:shd w:val="clear" w:color="auto" w:fill="D9D9D9" w:themeFill="background1" w:themeFillShade="D9"/>
            <w:vAlign w:val="center"/>
          </w:tcPr>
          <w:p w14:paraId="3BC59008" w14:textId="77777777" w:rsidR="00900416" w:rsidRPr="00CD14C8" w:rsidRDefault="00900416" w:rsidP="00EF2C71">
            <w:pPr>
              <w:spacing w:line="360" w:lineRule="auto"/>
              <w:jc w:val="center"/>
              <w:rPr>
                <w:rFonts w:ascii="Cambria" w:hAnsi="Cambria" w:cs="Arial"/>
                <w:sz w:val="20"/>
                <w:szCs w:val="20"/>
                <w:lang w:val="it-IT"/>
              </w:rPr>
            </w:pPr>
            <w:r w:rsidRPr="00CD14C8">
              <w:rPr>
                <w:rFonts w:ascii="Cambria" w:hAnsi="Cambria" w:cs="Arial"/>
                <w:sz w:val="20"/>
                <w:szCs w:val="20"/>
                <w:lang w:val="it-IT"/>
              </w:rPr>
              <w:t>0.50</w:t>
            </w:r>
          </w:p>
        </w:tc>
      </w:tr>
      <w:tr w:rsidR="00900416" w:rsidRPr="00900416" w14:paraId="2FC6A117" w14:textId="77777777" w:rsidTr="00EF2C71">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hRule="exact" w:val="741"/>
        </w:trPr>
        <w:tc>
          <w:tcPr>
            <w:tcW w:w="1281" w:type="pct"/>
            <w:tcBorders>
              <w:top w:val="nil"/>
              <w:right w:val="nil"/>
            </w:tcBorders>
            <w:shd w:val="clear" w:color="auto" w:fill="D9D9D9" w:themeFill="background1" w:themeFillShade="D9"/>
            <w:vAlign w:val="center"/>
          </w:tcPr>
          <w:p w14:paraId="3E20CC88" w14:textId="77777777" w:rsidR="00900416" w:rsidRPr="00CD14C8" w:rsidRDefault="00900416" w:rsidP="00EF2C71">
            <w:pPr>
              <w:spacing w:line="276" w:lineRule="auto"/>
              <w:rPr>
                <w:rFonts w:ascii="Cambria" w:hAnsi="Cambria" w:cs="Arial"/>
                <w:b/>
                <w:sz w:val="20"/>
                <w:szCs w:val="20"/>
              </w:rPr>
            </w:pPr>
            <w:proofErr w:type="spellStart"/>
            <w:r w:rsidRPr="00CD14C8">
              <w:rPr>
                <w:rFonts w:ascii="Cambria" w:hAnsi="Cambria" w:cs="Arial"/>
                <w:b/>
                <w:sz w:val="20"/>
                <w:szCs w:val="20"/>
              </w:rPr>
              <w:t>HRV</w:t>
            </w:r>
            <w:proofErr w:type="spellEnd"/>
            <w:r w:rsidRPr="00CD14C8">
              <w:rPr>
                <w:rFonts w:ascii="Cambria" w:hAnsi="Cambria" w:cs="Arial"/>
                <w:b/>
                <w:sz w:val="20"/>
                <w:szCs w:val="20"/>
              </w:rPr>
              <w:t xml:space="preserve"> With Deep Breath</w:t>
            </w:r>
          </w:p>
        </w:tc>
        <w:tc>
          <w:tcPr>
            <w:tcW w:w="641" w:type="pct"/>
            <w:tcBorders>
              <w:top w:val="nil"/>
              <w:left w:val="nil"/>
              <w:right w:val="nil"/>
            </w:tcBorders>
            <w:shd w:val="clear" w:color="auto" w:fill="D9D9D9" w:themeFill="background1" w:themeFillShade="D9"/>
            <w:vAlign w:val="center"/>
          </w:tcPr>
          <w:p w14:paraId="0B535B72" w14:textId="77777777" w:rsidR="00900416" w:rsidRPr="00CD14C8" w:rsidRDefault="00900416" w:rsidP="00EF2C71">
            <w:pPr>
              <w:spacing w:line="360" w:lineRule="auto"/>
              <w:jc w:val="center"/>
              <w:rPr>
                <w:rFonts w:ascii="Cambria" w:hAnsi="Cambria" w:cs="Arial"/>
                <w:sz w:val="20"/>
                <w:szCs w:val="20"/>
                <w:lang w:val="it-IT"/>
              </w:rPr>
            </w:pPr>
            <w:r w:rsidRPr="00CD14C8">
              <w:rPr>
                <w:rFonts w:ascii="Cambria" w:hAnsi="Cambria" w:cs="Arial"/>
                <w:sz w:val="20"/>
                <w:szCs w:val="20"/>
                <w:lang w:val="it-IT"/>
              </w:rPr>
              <w:t>1.4 (0.09)</w:t>
            </w:r>
          </w:p>
        </w:tc>
        <w:tc>
          <w:tcPr>
            <w:tcW w:w="501" w:type="pct"/>
            <w:tcBorders>
              <w:top w:val="nil"/>
              <w:left w:val="nil"/>
              <w:right w:val="nil"/>
            </w:tcBorders>
            <w:shd w:val="clear" w:color="auto" w:fill="D9D9D9" w:themeFill="background1" w:themeFillShade="D9"/>
            <w:vAlign w:val="center"/>
          </w:tcPr>
          <w:p w14:paraId="17E7D652" w14:textId="77777777" w:rsidR="00900416" w:rsidRPr="00CD14C8" w:rsidRDefault="00900416" w:rsidP="00EF2C71">
            <w:pPr>
              <w:spacing w:line="360" w:lineRule="auto"/>
              <w:jc w:val="center"/>
              <w:rPr>
                <w:rFonts w:ascii="Cambria" w:hAnsi="Cambria" w:cs="Arial"/>
                <w:sz w:val="20"/>
                <w:szCs w:val="20"/>
                <w:lang w:val="it-IT"/>
              </w:rPr>
            </w:pPr>
            <w:r w:rsidRPr="00CD14C8">
              <w:rPr>
                <w:rFonts w:ascii="Cambria" w:hAnsi="Cambria" w:cs="Arial"/>
                <w:sz w:val="20"/>
                <w:szCs w:val="20"/>
                <w:lang w:val="it-IT"/>
              </w:rPr>
              <w:t>1.4 (0.17)</w:t>
            </w:r>
          </w:p>
        </w:tc>
        <w:tc>
          <w:tcPr>
            <w:tcW w:w="674" w:type="pct"/>
            <w:tcBorders>
              <w:top w:val="nil"/>
              <w:left w:val="nil"/>
              <w:right w:val="nil"/>
            </w:tcBorders>
            <w:shd w:val="clear" w:color="auto" w:fill="D9D9D9" w:themeFill="background1" w:themeFillShade="D9"/>
            <w:vAlign w:val="center"/>
          </w:tcPr>
          <w:p w14:paraId="3415BA38"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1.19 (0.07)</w:t>
            </w:r>
          </w:p>
        </w:tc>
        <w:tc>
          <w:tcPr>
            <w:tcW w:w="749" w:type="pct"/>
            <w:tcBorders>
              <w:top w:val="nil"/>
              <w:left w:val="nil"/>
              <w:right w:val="nil"/>
            </w:tcBorders>
            <w:shd w:val="clear" w:color="auto" w:fill="D9D9D9" w:themeFill="background1" w:themeFillShade="D9"/>
            <w:vAlign w:val="center"/>
          </w:tcPr>
          <w:p w14:paraId="4095B330" w14:textId="77777777" w:rsidR="00900416" w:rsidRPr="00CD14C8" w:rsidRDefault="00900416" w:rsidP="00EF2C71">
            <w:pPr>
              <w:spacing w:line="360" w:lineRule="auto"/>
              <w:jc w:val="center"/>
              <w:rPr>
                <w:rFonts w:ascii="Cambria" w:hAnsi="Cambria" w:cs="Arial"/>
                <w:sz w:val="20"/>
                <w:szCs w:val="20"/>
              </w:rPr>
            </w:pPr>
            <w:r w:rsidRPr="00CD14C8">
              <w:rPr>
                <w:rFonts w:ascii="Cambria" w:hAnsi="Cambria" w:cs="Arial"/>
                <w:sz w:val="20"/>
                <w:szCs w:val="20"/>
              </w:rPr>
              <w:t>1.19 (0.09)</w:t>
            </w:r>
          </w:p>
        </w:tc>
        <w:tc>
          <w:tcPr>
            <w:tcW w:w="1154" w:type="pct"/>
            <w:tcBorders>
              <w:top w:val="nil"/>
              <w:left w:val="nil"/>
            </w:tcBorders>
            <w:shd w:val="clear" w:color="auto" w:fill="D9D9D9" w:themeFill="background1" w:themeFillShade="D9"/>
            <w:vAlign w:val="center"/>
          </w:tcPr>
          <w:p w14:paraId="4A07FECB" w14:textId="77777777" w:rsidR="00900416" w:rsidRPr="00CD14C8" w:rsidRDefault="00900416" w:rsidP="00EF2C71">
            <w:pPr>
              <w:spacing w:line="360" w:lineRule="auto"/>
              <w:jc w:val="center"/>
              <w:rPr>
                <w:rFonts w:ascii="Cambria" w:hAnsi="Cambria" w:cs="Arial"/>
                <w:sz w:val="20"/>
                <w:szCs w:val="20"/>
                <w:lang w:val="it-IT"/>
              </w:rPr>
            </w:pPr>
            <w:r w:rsidRPr="00CD14C8">
              <w:rPr>
                <w:rFonts w:ascii="Cambria" w:hAnsi="Cambria" w:cs="Arial"/>
                <w:sz w:val="20"/>
                <w:szCs w:val="20"/>
                <w:lang w:val="it-IT"/>
              </w:rPr>
              <w:t>0.97</w:t>
            </w:r>
          </w:p>
        </w:tc>
      </w:tr>
    </w:tbl>
    <w:p w14:paraId="2BDD102B" w14:textId="77777777" w:rsidR="00900416" w:rsidRPr="005E38F9" w:rsidRDefault="00900416" w:rsidP="00876259">
      <w:pPr>
        <w:pStyle w:val="BodyA"/>
        <w:spacing w:line="480" w:lineRule="auto"/>
        <w:jc w:val="both"/>
        <w:rPr>
          <w:lang w:val="en-US"/>
        </w:rPr>
      </w:pPr>
    </w:p>
    <w:p w14:paraId="3C3958BC" w14:textId="19ABC881" w:rsidR="00876259" w:rsidRDefault="00876259" w:rsidP="00876259">
      <w:pPr>
        <w:pStyle w:val="BodyA"/>
        <w:spacing w:line="480" w:lineRule="auto"/>
        <w:jc w:val="both"/>
      </w:pPr>
      <w:r>
        <w:rPr>
          <w:lang w:val="en-US"/>
        </w:rPr>
        <w:t xml:space="preserve">After adjusting for age, BMI, activity score and sunlight exposure, 25(OH)D levels (nmol/l) (SE) were significantly lower in </w:t>
      </w:r>
      <w:r w:rsidR="004E3E3F">
        <w:rPr>
          <w:lang w:val="en-US"/>
        </w:rPr>
        <w:t>p</w:t>
      </w:r>
      <w:r>
        <w:rPr>
          <w:lang w:val="en-US"/>
        </w:rPr>
        <w:t xml:space="preserve">ainful </w:t>
      </w:r>
      <w:proofErr w:type="spellStart"/>
      <w:r>
        <w:rPr>
          <w:lang w:val="en-US"/>
        </w:rPr>
        <w:t>DPN</w:t>
      </w:r>
      <w:proofErr w:type="spellEnd"/>
      <w:r>
        <w:rPr>
          <w:lang w:val="en-US"/>
        </w:rPr>
        <w:t xml:space="preserve"> participants [34·</w:t>
      </w:r>
      <w:r>
        <w:t xml:space="preserve">9(5.8), </w:t>
      </w:r>
      <w:proofErr w:type="spellStart"/>
      <w:r>
        <w:t>HV</w:t>
      </w:r>
      <w:proofErr w:type="spellEnd"/>
      <w:r>
        <w:t xml:space="preserve"> 62.05(6</w:t>
      </w:r>
      <w:r>
        <w:rPr>
          <w:lang w:val="en-US"/>
        </w:rPr>
        <w:t>·</w:t>
      </w:r>
      <w:r w:rsidRPr="005B5764">
        <w:t xml:space="preserve">7), No </w:t>
      </w:r>
      <w:proofErr w:type="spellStart"/>
      <w:r w:rsidRPr="005B5764">
        <w:t>DPN</w:t>
      </w:r>
      <w:proofErr w:type="spellEnd"/>
      <w:r w:rsidRPr="005B5764">
        <w:t xml:space="preserve"> 49.6(6</w:t>
      </w:r>
      <w:r>
        <w:rPr>
          <w:lang w:val="en-US"/>
        </w:rPr>
        <w:t xml:space="preserve">·1), </w:t>
      </w:r>
      <w:r w:rsidR="004E3E3F">
        <w:rPr>
          <w:lang w:val="en-US"/>
        </w:rPr>
        <w:t>p</w:t>
      </w:r>
      <w:r>
        <w:rPr>
          <w:lang w:val="en-US"/>
        </w:rPr>
        <w:t xml:space="preserve">ainless </w:t>
      </w:r>
      <w:proofErr w:type="spellStart"/>
      <w:r>
        <w:rPr>
          <w:lang w:val="en-US"/>
        </w:rPr>
        <w:t>DPN</w:t>
      </w:r>
      <w:proofErr w:type="spellEnd"/>
      <w:r>
        <w:rPr>
          <w:lang w:val="en-US"/>
        </w:rPr>
        <w:t xml:space="preserve"> 53·</w:t>
      </w:r>
      <w:r>
        <w:t>1(6</w:t>
      </w:r>
      <w:r>
        <w:rPr>
          <w:lang w:val="en-US"/>
        </w:rPr>
        <w:t>·</w:t>
      </w:r>
      <w:r>
        <w:t xml:space="preserve">2); </w:t>
      </w:r>
      <w:proofErr w:type="spellStart"/>
      <w:r>
        <w:t>ANCOVA</w:t>
      </w:r>
      <w:proofErr w:type="spellEnd"/>
      <w:r>
        <w:t xml:space="preserve"> p=0</w:t>
      </w:r>
      <w:r>
        <w:rPr>
          <w:lang w:val="en-US"/>
        </w:rPr>
        <w:t>·</w:t>
      </w:r>
      <w:r>
        <w:t xml:space="preserve">03; Figure 4.1]. </w:t>
      </w:r>
    </w:p>
    <w:p w14:paraId="7F0DED33" w14:textId="68C5732A" w:rsidR="00876259" w:rsidRDefault="00876259" w:rsidP="0008544C">
      <w:pPr>
        <w:pStyle w:val="BodyA"/>
        <w:spacing w:line="360" w:lineRule="auto"/>
        <w:jc w:val="both"/>
      </w:pPr>
      <w:r>
        <w:rPr>
          <w:noProof/>
          <w:lang w:eastAsia="zh-CN"/>
        </w:rPr>
        <w:lastRenderedPageBreak/>
        <w:drawing>
          <wp:inline distT="0" distB="0" distL="0" distR="0" wp14:anchorId="1CF3A054" wp14:editId="495A87AA">
            <wp:extent cx="5727700" cy="4260850"/>
            <wp:effectExtent l="0" t="0" r="0" b="0"/>
            <wp:docPr id="1073741829" name="officeArt object" descr="image5.tif"/>
            <wp:cNvGraphicFramePr/>
            <a:graphic xmlns:a="http://schemas.openxmlformats.org/drawingml/2006/main">
              <a:graphicData uri="http://schemas.openxmlformats.org/drawingml/2006/picture">
                <pic:pic xmlns:pic="http://schemas.openxmlformats.org/drawingml/2006/picture">
                  <pic:nvPicPr>
                    <pic:cNvPr id="1073741829" name="image5.tif" descr="image5.tif"/>
                    <pic:cNvPicPr>
                      <a:picLocks noChangeAspect="1"/>
                    </pic:cNvPicPr>
                  </pic:nvPicPr>
                  <pic:blipFill>
                    <a:blip r:embed="rId12"/>
                    <a:stretch>
                      <a:fillRect/>
                    </a:stretch>
                  </pic:blipFill>
                  <pic:spPr>
                    <a:xfrm>
                      <a:off x="0" y="0"/>
                      <a:ext cx="5727700" cy="4260850"/>
                    </a:xfrm>
                    <a:prstGeom prst="rect">
                      <a:avLst/>
                    </a:prstGeom>
                    <a:ln w="12700" cap="flat">
                      <a:noFill/>
                      <a:miter lim="400000"/>
                    </a:ln>
                    <a:effectLst/>
                  </pic:spPr>
                </pic:pic>
              </a:graphicData>
            </a:graphic>
          </wp:inline>
        </w:drawing>
      </w:r>
      <w:r>
        <w:rPr>
          <w:b/>
          <w:bCs/>
          <w:lang w:val="en-US"/>
        </w:rPr>
        <w:t xml:space="preserve">Figure 4.1 Mean 25(OH)D (nmol/l) levels of groups with 95% confidence interval, showing significant reduction in 25(OH)D in the </w:t>
      </w:r>
      <w:r w:rsidR="004E3E3F">
        <w:rPr>
          <w:b/>
          <w:bCs/>
          <w:lang w:val="en-US"/>
        </w:rPr>
        <w:t>p</w:t>
      </w:r>
      <w:r>
        <w:rPr>
          <w:b/>
          <w:bCs/>
          <w:lang w:val="en-US"/>
        </w:rPr>
        <w:t xml:space="preserve">ainful </w:t>
      </w:r>
      <w:proofErr w:type="spellStart"/>
      <w:r>
        <w:rPr>
          <w:b/>
          <w:bCs/>
          <w:lang w:val="en-US"/>
        </w:rPr>
        <w:t>DPN</w:t>
      </w:r>
      <w:proofErr w:type="spellEnd"/>
      <w:r>
        <w:rPr>
          <w:b/>
          <w:bCs/>
          <w:lang w:val="en-US"/>
        </w:rPr>
        <w:t xml:space="preserve"> group. ANOVA, p&lt;0.001.</w:t>
      </w:r>
    </w:p>
    <w:p w14:paraId="5451B39D" w14:textId="0567D74C" w:rsidR="00876259" w:rsidRDefault="00876259" w:rsidP="00876259">
      <w:pPr>
        <w:pStyle w:val="BodyA"/>
        <w:spacing w:line="480" w:lineRule="auto"/>
        <w:jc w:val="both"/>
        <w:rPr>
          <w:lang w:val="en-US"/>
        </w:rPr>
      </w:pPr>
      <w:r>
        <w:rPr>
          <w:lang w:val="en-US"/>
        </w:rPr>
        <w:t xml:space="preserve">Pairwise comparisons revealed main group difference between </w:t>
      </w:r>
      <w:r w:rsidR="004E3E3F">
        <w:rPr>
          <w:lang w:val="en-US"/>
        </w:rPr>
        <w:t>p</w:t>
      </w:r>
      <w:r>
        <w:rPr>
          <w:lang w:val="en-US"/>
        </w:rPr>
        <w:t xml:space="preserve">ainful </w:t>
      </w:r>
      <w:proofErr w:type="spellStart"/>
      <w:r>
        <w:rPr>
          <w:lang w:val="en-US"/>
        </w:rPr>
        <w:t>DPN</w:t>
      </w:r>
      <w:proofErr w:type="spellEnd"/>
      <w:r>
        <w:rPr>
          <w:lang w:val="en-US"/>
        </w:rPr>
        <w:t xml:space="preserve"> vs </w:t>
      </w:r>
      <w:r w:rsidR="004E3E3F">
        <w:rPr>
          <w:lang w:val="en-US"/>
        </w:rPr>
        <w:t>p</w:t>
      </w:r>
      <w:r>
        <w:rPr>
          <w:lang w:val="en-US"/>
        </w:rPr>
        <w:t xml:space="preserve">ainless </w:t>
      </w:r>
      <w:proofErr w:type="spellStart"/>
      <w:r>
        <w:rPr>
          <w:lang w:val="en-US"/>
        </w:rPr>
        <w:t>DPN</w:t>
      </w:r>
      <w:proofErr w:type="spellEnd"/>
      <w:r>
        <w:rPr>
          <w:lang w:val="en-US"/>
        </w:rPr>
        <w:t xml:space="preserve"> (p=0·02) and </w:t>
      </w:r>
      <w:r w:rsidR="004E3E3F">
        <w:rPr>
          <w:lang w:val="en-US"/>
        </w:rPr>
        <w:t>p</w:t>
      </w:r>
      <w:r>
        <w:rPr>
          <w:lang w:val="en-US"/>
        </w:rPr>
        <w:t xml:space="preserve">ainful </w:t>
      </w:r>
      <w:proofErr w:type="spellStart"/>
      <w:r>
        <w:rPr>
          <w:lang w:val="en-US"/>
        </w:rPr>
        <w:t>DPN</w:t>
      </w:r>
      <w:proofErr w:type="spellEnd"/>
      <w:r>
        <w:rPr>
          <w:lang w:val="en-US"/>
        </w:rPr>
        <w:t xml:space="preserve"> vs. </w:t>
      </w:r>
      <w:proofErr w:type="spellStart"/>
      <w:r>
        <w:rPr>
          <w:lang w:val="en-US"/>
        </w:rPr>
        <w:t>HV</w:t>
      </w:r>
      <w:proofErr w:type="spellEnd"/>
      <w:r>
        <w:rPr>
          <w:lang w:val="en-US"/>
        </w:rPr>
        <w:t xml:space="preserve"> (p = 0·002).  Direct logistic regression was performed to assess the impact of seven independent variables (age, BMI, sunlight exposure score, activity score, diabetes duration, mean arterial blood pressure and vitamin D level) on painful </w:t>
      </w:r>
      <w:proofErr w:type="spellStart"/>
      <w:r>
        <w:rPr>
          <w:lang w:val="en-US"/>
        </w:rPr>
        <w:t>DPN</w:t>
      </w:r>
      <w:proofErr w:type="spellEnd"/>
      <w:r>
        <w:rPr>
          <w:lang w:val="en-US"/>
        </w:rPr>
        <w:t>. The full model containing all predictors was statistically significant [x</w:t>
      </w:r>
      <w:r>
        <w:rPr>
          <w:vertAlign w:val="superscript"/>
        </w:rPr>
        <w:t>2</w:t>
      </w:r>
      <w:r>
        <w:rPr>
          <w:lang w:val="en-US"/>
        </w:rPr>
        <w:t xml:space="preserve"> (7, N = 40) = 17.3, p=0.01]. As shown in table 4.3, vitamin D was the only independent variable which made statistically significant contribution to the model with an inverted odds ratio of 1.11. This suggests that for each unit reduction in vitamin D the odds of </w:t>
      </w:r>
      <w:r w:rsidR="004E3E3F">
        <w:rPr>
          <w:lang w:val="en-US"/>
        </w:rPr>
        <w:t>p</w:t>
      </w:r>
      <w:r>
        <w:rPr>
          <w:lang w:val="en-US"/>
        </w:rPr>
        <w:t xml:space="preserve">ainful </w:t>
      </w:r>
      <w:proofErr w:type="spellStart"/>
      <w:r>
        <w:rPr>
          <w:lang w:val="en-US"/>
        </w:rPr>
        <w:t>DPN</w:t>
      </w:r>
      <w:proofErr w:type="spellEnd"/>
      <w:r>
        <w:rPr>
          <w:lang w:val="en-US"/>
        </w:rPr>
        <w:t xml:space="preserve"> increased by a factor of 1.11.</w:t>
      </w:r>
    </w:p>
    <w:p w14:paraId="08E15433" w14:textId="4767E046" w:rsidR="004E3E3F" w:rsidRDefault="004E3E3F">
      <w:pPr>
        <w:spacing w:after="0"/>
        <w:rPr>
          <w:rFonts w:eastAsia="Cambria" w:cs="Cambria"/>
          <w:color w:val="000000"/>
          <w:u w:color="000000"/>
          <w:bdr w:val="nil"/>
          <w:lang w:val="en-US" w:eastAsia="en-US"/>
        </w:rPr>
      </w:pPr>
      <w:r>
        <w:rPr>
          <w:lang w:val="en-US"/>
        </w:rPr>
        <w:br w:type="page"/>
      </w:r>
    </w:p>
    <w:tbl>
      <w:tblPr>
        <w:tblStyle w:val="TableGrid12"/>
        <w:tblpPr w:leftFromText="180" w:rightFromText="180" w:vertAnchor="page" w:horzAnchor="margin" w:tblpY="1375"/>
        <w:tblW w:w="5000" w:type="pct"/>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shd w:val="clear" w:color="auto" w:fill="D9D9D9" w:themeFill="background1" w:themeFillShade="D9"/>
        <w:tblLook w:val="0000" w:firstRow="0" w:lastRow="0" w:firstColumn="0" w:lastColumn="0" w:noHBand="0" w:noVBand="0"/>
      </w:tblPr>
      <w:tblGrid>
        <w:gridCol w:w="1369"/>
        <w:gridCol w:w="1370"/>
        <w:gridCol w:w="1366"/>
        <w:gridCol w:w="1370"/>
        <w:gridCol w:w="1370"/>
        <w:gridCol w:w="2145"/>
      </w:tblGrid>
      <w:tr w:rsidR="004E3E3F" w:rsidRPr="008B2A48" w14:paraId="594B8D78" w14:textId="77777777" w:rsidTr="00FD2D3D">
        <w:trPr>
          <w:trHeight w:val="560"/>
        </w:trPr>
        <w:tc>
          <w:tcPr>
            <w:tcW w:w="5000" w:type="pct"/>
            <w:gridSpan w:val="6"/>
            <w:tcBorders>
              <w:bottom w:val="single" w:sz="12" w:space="0" w:color="auto"/>
            </w:tcBorders>
            <w:shd w:val="clear" w:color="auto" w:fill="D9D9D9" w:themeFill="background1" w:themeFillShade="D9"/>
          </w:tcPr>
          <w:p w14:paraId="65B7872B" w14:textId="77777777" w:rsidR="004E3E3F" w:rsidRPr="008B2A48" w:rsidRDefault="004E3E3F" w:rsidP="004E3E3F">
            <w:pPr>
              <w:spacing w:after="0" w:line="360" w:lineRule="auto"/>
              <w:rPr>
                <w:rFonts w:ascii="Cambria" w:eastAsia="Calibri" w:hAnsi="Cambria" w:cs="Arial"/>
                <w:b/>
                <w:lang w:eastAsia="en-US"/>
              </w:rPr>
            </w:pPr>
          </w:p>
          <w:p w14:paraId="4CC966F2" w14:textId="77777777" w:rsidR="004E3E3F" w:rsidRPr="008B2A48" w:rsidRDefault="004E3E3F" w:rsidP="004E3E3F">
            <w:pPr>
              <w:spacing w:after="0" w:line="360" w:lineRule="auto"/>
              <w:rPr>
                <w:rFonts w:ascii="Cambria" w:eastAsia="Calibri" w:hAnsi="Cambria" w:cs="Arial"/>
                <w:b/>
                <w:lang w:eastAsia="en-US"/>
              </w:rPr>
            </w:pPr>
            <w:r w:rsidRPr="008B2A48">
              <w:rPr>
                <w:rFonts w:ascii="Cambria" w:eastAsia="Calibri" w:hAnsi="Cambria" w:cs="Arial"/>
                <w:b/>
                <w:lang w:eastAsia="en-US"/>
              </w:rPr>
              <w:t xml:space="preserve">Table 4.3 Logistic regression predicting likelihood of painful </w:t>
            </w:r>
            <w:proofErr w:type="spellStart"/>
            <w:r w:rsidRPr="008B2A48">
              <w:rPr>
                <w:rFonts w:ascii="Cambria" w:eastAsia="Calibri" w:hAnsi="Cambria" w:cs="Arial"/>
                <w:b/>
                <w:lang w:eastAsia="en-US"/>
              </w:rPr>
              <w:t>DPN</w:t>
            </w:r>
            <w:proofErr w:type="spellEnd"/>
          </w:p>
          <w:p w14:paraId="657F2216" w14:textId="77777777" w:rsidR="004E3E3F" w:rsidRPr="008B2A48" w:rsidRDefault="004E3E3F" w:rsidP="004E3E3F">
            <w:pPr>
              <w:spacing w:after="0"/>
              <w:jc w:val="center"/>
              <w:rPr>
                <w:rFonts w:ascii="Cambria" w:eastAsia="Calibri" w:hAnsi="Cambria" w:cs="Arial"/>
                <w:lang w:eastAsia="en-US"/>
              </w:rPr>
            </w:pPr>
          </w:p>
        </w:tc>
      </w:tr>
      <w:tr w:rsidR="004E3E3F" w:rsidRPr="008B2A48" w14:paraId="587A4096" w14:textId="77777777" w:rsidTr="00FD2D3D">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Ex>
        <w:trPr>
          <w:trHeight w:val="720"/>
        </w:trPr>
        <w:tc>
          <w:tcPr>
            <w:tcW w:w="761" w:type="pct"/>
            <w:tcBorders>
              <w:bottom w:val="nil"/>
              <w:right w:val="nil"/>
            </w:tcBorders>
            <w:shd w:val="clear" w:color="auto" w:fill="D9D9D9" w:themeFill="background1" w:themeFillShade="D9"/>
            <w:vAlign w:val="center"/>
          </w:tcPr>
          <w:p w14:paraId="427F0883" w14:textId="77777777" w:rsidR="004E3E3F" w:rsidRPr="00CD14C8" w:rsidRDefault="004E3E3F" w:rsidP="004E3E3F">
            <w:pPr>
              <w:spacing w:after="0"/>
              <w:jc w:val="center"/>
              <w:rPr>
                <w:rFonts w:ascii="Cambria" w:eastAsia="Calibri" w:hAnsi="Cambria" w:cs="Arial"/>
                <w:sz w:val="20"/>
                <w:szCs w:val="20"/>
                <w:lang w:eastAsia="en-US"/>
              </w:rPr>
            </w:pPr>
          </w:p>
        </w:tc>
        <w:tc>
          <w:tcPr>
            <w:tcW w:w="762" w:type="pct"/>
            <w:tcBorders>
              <w:left w:val="nil"/>
              <w:bottom w:val="nil"/>
              <w:right w:val="nil"/>
            </w:tcBorders>
            <w:shd w:val="clear" w:color="auto" w:fill="D9D9D9" w:themeFill="background1" w:themeFillShade="D9"/>
            <w:vAlign w:val="center"/>
          </w:tcPr>
          <w:p w14:paraId="1E767437" w14:textId="77777777" w:rsidR="004E3E3F" w:rsidRPr="00CD14C8" w:rsidRDefault="004E3E3F" w:rsidP="004E3E3F">
            <w:pPr>
              <w:spacing w:after="0"/>
              <w:jc w:val="center"/>
              <w:rPr>
                <w:rFonts w:ascii="Cambria" w:eastAsia="Calibri" w:hAnsi="Cambria" w:cs="Arial"/>
                <w:b/>
                <w:sz w:val="20"/>
                <w:szCs w:val="20"/>
                <w:lang w:eastAsia="en-US"/>
              </w:rPr>
            </w:pPr>
            <w:r w:rsidRPr="00CD14C8">
              <w:rPr>
                <w:rFonts w:ascii="Cambria" w:eastAsia="Calibri" w:hAnsi="Cambria" w:cs="Arial"/>
                <w:b/>
                <w:sz w:val="20"/>
                <w:szCs w:val="20"/>
                <w:lang w:eastAsia="en-US"/>
              </w:rPr>
              <w:t>B</w:t>
            </w:r>
          </w:p>
        </w:tc>
        <w:tc>
          <w:tcPr>
            <w:tcW w:w="760" w:type="pct"/>
            <w:tcBorders>
              <w:left w:val="nil"/>
              <w:bottom w:val="nil"/>
              <w:right w:val="nil"/>
            </w:tcBorders>
            <w:shd w:val="clear" w:color="auto" w:fill="D9D9D9" w:themeFill="background1" w:themeFillShade="D9"/>
            <w:vAlign w:val="center"/>
          </w:tcPr>
          <w:p w14:paraId="415527AA" w14:textId="77777777" w:rsidR="004E3E3F" w:rsidRPr="00CD14C8" w:rsidRDefault="004E3E3F" w:rsidP="004E3E3F">
            <w:pPr>
              <w:spacing w:after="0"/>
              <w:jc w:val="center"/>
              <w:rPr>
                <w:rFonts w:ascii="Cambria" w:eastAsia="Calibri" w:hAnsi="Cambria" w:cs="Arial"/>
                <w:b/>
                <w:sz w:val="20"/>
                <w:szCs w:val="20"/>
                <w:lang w:eastAsia="en-US"/>
              </w:rPr>
            </w:pPr>
            <w:proofErr w:type="spellStart"/>
            <w:proofErr w:type="gramStart"/>
            <w:r w:rsidRPr="00CD14C8">
              <w:rPr>
                <w:rFonts w:ascii="Cambria" w:eastAsia="Calibri" w:hAnsi="Cambria" w:cs="Arial"/>
                <w:b/>
                <w:sz w:val="20"/>
                <w:szCs w:val="20"/>
                <w:lang w:eastAsia="en-US"/>
              </w:rPr>
              <w:t>S.E</w:t>
            </w:r>
            <w:proofErr w:type="spellEnd"/>
            <w:proofErr w:type="gramEnd"/>
          </w:p>
        </w:tc>
        <w:tc>
          <w:tcPr>
            <w:tcW w:w="762" w:type="pct"/>
            <w:tcBorders>
              <w:left w:val="nil"/>
              <w:bottom w:val="nil"/>
              <w:right w:val="nil"/>
            </w:tcBorders>
            <w:shd w:val="clear" w:color="auto" w:fill="D9D9D9" w:themeFill="background1" w:themeFillShade="D9"/>
            <w:vAlign w:val="center"/>
          </w:tcPr>
          <w:p w14:paraId="7ADF7BBF" w14:textId="77777777" w:rsidR="004E3E3F" w:rsidRPr="00CD14C8" w:rsidRDefault="004E3E3F" w:rsidP="004E3E3F">
            <w:pPr>
              <w:spacing w:after="0"/>
              <w:jc w:val="center"/>
              <w:rPr>
                <w:rFonts w:ascii="Cambria" w:eastAsia="Calibri" w:hAnsi="Cambria" w:cs="Arial"/>
                <w:b/>
                <w:sz w:val="20"/>
                <w:szCs w:val="20"/>
                <w:lang w:eastAsia="en-US"/>
              </w:rPr>
            </w:pPr>
            <w:r w:rsidRPr="00CD14C8">
              <w:rPr>
                <w:rFonts w:ascii="Cambria" w:eastAsia="Calibri" w:hAnsi="Cambria" w:cs="Arial"/>
                <w:b/>
                <w:sz w:val="20"/>
                <w:szCs w:val="20"/>
                <w:lang w:eastAsia="en-US"/>
              </w:rPr>
              <w:t>Wald</w:t>
            </w:r>
          </w:p>
        </w:tc>
        <w:tc>
          <w:tcPr>
            <w:tcW w:w="762" w:type="pct"/>
            <w:tcBorders>
              <w:left w:val="nil"/>
              <w:bottom w:val="nil"/>
              <w:right w:val="nil"/>
            </w:tcBorders>
            <w:shd w:val="clear" w:color="auto" w:fill="D9D9D9" w:themeFill="background1" w:themeFillShade="D9"/>
            <w:vAlign w:val="center"/>
          </w:tcPr>
          <w:p w14:paraId="6A9B4A2A" w14:textId="77777777" w:rsidR="004E3E3F" w:rsidRPr="00CD14C8" w:rsidRDefault="004E3E3F" w:rsidP="004E3E3F">
            <w:pPr>
              <w:spacing w:after="0"/>
              <w:jc w:val="center"/>
              <w:rPr>
                <w:rFonts w:ascii="Cambria" w:eastAsia="Calibri" w:hAnsi="Cambria" w:cs="Arial"/>
                <w:b/>
                <w:sz w:val="20"/>
                <w:szCs w:val="20"/>
                <w:lang w:eastAsia="en-US"/>
              </w:rPr>
            </w:pPr>
            <w:r w:rsidRPr="00CD14C8">
              <w:rPr>
                <w:rFonts w:ascii="Cambria" w:eastAsia="Calibri" w:hAnsi="Cambria" w:cs="Arial"/>
                <w:b/>
                <w:sz w:val="20"/>
                <w:szCs w:val="20"/>
                <w:lang w:eastAsia="en-US"/>
              </w:rPr>
              <w:t>p</w:t>
            </w:r>
          </w:p>
        </w:tc>
        <w:tc>
          <w:tcPr>
            <w:tcW w:w="1193" w:type="pct"/>
            <w:tcBorders>
              <w:left w:val="nil"/>
              <w:bottom w:val="nil"/>
            </w:tcBorders>
            <w:shd w:val="clear" w:color="auto" w:fill="D9D9D9" w:themeFill="background1" w:themeFillShade="D9"/>
            <w:vAlign w:val="center"/>
          </w:tcPr>
          <w:p w14:paraId="62793028" w14:textId="77777777" w:rsidR="004E3E3F" w:rsidRPr="00CD14C8" w:rsidRDefault="004E3E3F" w:rsidP="004E3E3F">
            <w:pPr>
              <w:spacing w:after="0"/>
              <w:jc w:val="center"/>
              <w:rPr>
                <w:rFonts w:ascii="Cambria" w:eastAsia="Calibri" w:hAnsi="Cambria" w:cs="Arial"/>
                <w:b/>
                <w:sz w:val="20"/>
                <w:szCs w:val="20"/>
                <w:lang w:eastAsia="en-US"/>
              </w:rPr>
            </w:pPr>
            <w:r w:rsidRPr="00CD14C8">
              <w:rPr>
                <w:rFonts w:ascii="Cambria" w:eastAsia="Calibri" w:hAnsi="Cambria" w:cs="Arial"/>
                <w:b/>
                <w:sz w:val="20"/>
                <w:szCs w:val="20"/>
                <w:lang w:eastAsia="en-US"/>
              </w:rPr>
              <w:t>Odds</w:t>
            </w:r>
          </w:p>
          <w:p w14:paraId="5E3954E2" w14:textId="77777777" w:rsidR="004E3E3F" w:rsidRPr="00CD14C8" w:rsidRDefault="004E3E3F" w:rsidP="004E3E3F">
            <w:pPr>
              <w:spacing w:after="0"/>
              <w:jc w:val="center"/>
              <w:rPr>
                <w:rFonts w:ascii="Cambria" w:eastAsia="Calibri" w:hAnsi="Cambria" w:cs="Arial"/>
                <w:b/>
                <w:sz w:val="20"/>
                <w:szCs w:val="20"/>
                <w:lang w:eastAsia="en-US"/>
              </w:rPr>
            </w:pPr>
            <w:r w:rsidRPr="00CD14C8">
              <w:rPr>
                <w:rFonts w:ascii="Cambria" w:eastAsia="Calibri" w:hAnsi="Cambria" w:cs="Arial"/>
                <w:b/>
                <w:sz w:val="20"/>
                <w:szCs w:val="20"/>
                <w:lang w:eastAsia="en-US"/>
              </w:rPr>
              <w:t>Ratio</w:t>
            </w:r>
          </w:p>
        </w:tc>
      </w:tr>
      <w:tr w:rsidR="004E3E3F" w:rsidRPr="008B2A48" w14:paraId="13C2586A" w14:textId="77777777" w:rsidTr="00FD2D3D">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Ex>
        <w:trPr>
          <w:trHeight w:val="720"/>
        </w:trPr>
        <w:tc>
          <w:tcPr>
            <w:tcW w:w="761" w:type="pct"/>
            <w:tcBorders>
              <w:top w:val="nil"/>
              <w:bottom w:val="nil"/>
              <w:right w:val="nil"/>
            </w:tcBorders>
            <w:shd w:val="clear" w:color="auto" w:fill="D9D9D9" w:themeFill="background1" w:themeFillShade="D9"/>
            <w:vAlign w:val="center"/>
          </w:tcPr>
          <w:p w14:paraId="650C9634" w14:textId="77777777" w:rsidR="004E3E3F" w:rsidRPr="00CD14C8" w:rsidRDefault="004E3E3F" w:rsidP="004E3E3F">
            <w:pPr>
              <w:spacing w:after="0"/>
              <w:jc w:val="center"/>
              <w:rPr>
                <w:rFonts w:ascii="Cambria" w:eastAsia="Calibri" w:hAnsi="Cambria" w:cs="Arial"/>
                <w:b/>
                <w:sz w:val="20"/>
                <w:szCs w:val="20"/>
                <w:lang w:eastAsia="en-US"/>
              </w:rPr>
            </w:pPr>
            <w:r w:rsidRPr="00CD14C8">
              <w:rPr>
                <w:rFonts w:ascii="Cambria" w:eastAsia="Calibri" w:hAnsi="Cambria" w:cs="Arial"/>
                <w:b/>
                <w:sz w:val="20"/>
                <w:szCs w:val="20"/>
                <w:lang w:eastAsia="en-US"/>
              </w:rPr>
              <w:t>Age</w:t>
            </w:r>
          </w:p>
        </w:tc>
        <w:tc>
          <w:tcPr>
            <w:tcW w:w="762" w:type="pct"/>
            <w:tcBorders>
              <w:top w:val="nil"/>
              <w:left w:val="nil"/>
              <w:bottom w:val="nil"/>
              <w:right w:val="nil"/>
            </w:tcBorders>
            <w:shd w:val="clear" w:color="auto" w:fill="D9D9D9" w:themeFill="background1" w:themeFillShade="D9"/>
            <w:vAlign w:val="center"/>
          </w:tcPr>
          <w:p w14:paraId="2EEB2F52"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.10</w:t>
            </w:r>
          </w:p>
        </w:tc>
        <w:tc>
          <w:tcPr>
            <w:tcW w:w="760" w:type="pct"/>
            <w:tcBorders>
              <w:top w:val="nil"/>
              <w:left w:val="nil"/>
              <w:bottom w:val="nil"/>
              <w:right w:val="nil"/>
            </w:tcBorders>
            <w:shd w:val="clear" w:color="auto" w:fill="D9D9D9" w:themeFill="background1" w:themeFillShade="D9"/>
            <w:vAlign w:val="center"/>
          </w:tcPr>
          <w:p w14:paraId="0F831BE2"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.06</w:t>
            </w:r>
          </w:p>
        </w:tc>
        <w:tc>
          <w:tcPr>
            <w:tcW w:w="762" w:type="pct"/>
            <w:tcBorders>
              <w:top w:val="nil"/>
              <w:left w:val="nil"/>
              <w:bottom w:val="nil"/>
              <w:right w:val="nil"/>
            </w:tcBorders>
            <w:shd w:val="clear" w:color="auto" w:fill="D9D9D9" w:themeFill="background1" w:themeFillShade="D9"/>
            <w:vAlign w:val="center"/>
          </w:tcPr>
          <w:p w14:paraId="33D15E55"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2.8</w:t>
            </w:r>
          </w:p>
        </w:tc>
        <w:tc>
          <w:tcPr>
            <w:tcW w:w="762" w:type="pct"/>
            <w:tcBorders>
              <w:top w:val="nil"/>
              <w:left w:val="nil"/>
              <w:bottom w:val="nil"/>
              <w:right w:val="nil"/>
            </w:tcBorders>
            <w:shd w:val="clear" w:color="auto" w:fill="D9D9D9" w:themeFill="background1" w:themeFillShade="D9"/>
            <w:vAlign w:val="center"/>
          </w:tcPr>
          <w:p w14:paraId="021CA352"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.09</w:t>
            </w:r>
          </w:p>
        </w:tc>
        <w:tc>
          <w:tcPr>
            <w:tcW w:w="1193" w:type="pct"/>
            <w:tcBorders>
              <w:top w:val="nil"/>
              <w:left w:val="nil"/>
              <w:bottom w:val="nil"/>
            </w:tcBorders>
            <w:shd w:val="clear" w:color="auto" w:fill="D9D9D9" w:themeFill="background1" w:themeFillShade="D9"/>
            <w:vAlign w:val="center"/>
          </w:tcPr>
          <w:p w14:paraId="1FB23C5C"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1.11</w:t>
            </w:r>
          </w:p>
        </w:tc>
      </w:tr>
      <w:tr w:rsidR="004E3E3F" w:rsidRPr="008B2A48" w14:paraId="01EE64C7" w14:textId="77777777" w:rsidTr="00FD2D3D">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Ex>
        <w:trPr>
          <w:trHeight w:val="720"/>
        </w:trPr>
        <w:tc>
          <w:tcPr>
            <w:tcW w:w="761" w:type="pct"/>
            <w:tcBorders>
              <w:top w:val="nil"/>
              <w:bottom w:val="nil"/>
              <w:right w:val="nil"/>
            </w:tcBorders>
            <w:shd w:val="clear" w:color="auto" w:fill="D9D9D9" w:themeFill="background1" w:themeFillShade="D9"/>
            <w:vAlign w:val="center"/>
          </w:tcPr>
          <w:p w14:paraId="21C68D76" w14:textId="77777777" w:rsidR="004E3E3F" w:rsidRPr="00CD14C8" w:rsidRDefault="004E3E3F" w:rsidP="004E3E3F">
            <w:pPr>
              <w:spacing w:after="0"/>
              <w:jc w:val="center"/>
              <w:rPr>
                <w:rFonts w:ascii="Cambria" w:eastAsia="Calibri" w:hAnsi="Cambria" w:cs="Arial"/>
                <w:b/>
                <w:sz w:val="20"/>
                <w:szCs w:val="20"/>
                <w:lang w:eastAsia="en-US"/>
              </w:rPr>
            </w:pPr>
            <w:r w:rsidRPr="00CD14C8">
              <w:rPr>
                <w:rFonts w:ascii="Cambria" w:eastAsia="Calibri" w:hAnsi="Cambria" w:cs="Arial"/>
                <w:b/>
                <w:sz w:val="20"/>
                <w:szCs w:val="20"/>
                <w:lang w:eastAsia="en-US"/>
              </w:rPr>
              <w:t>BMI</w:t>
            </w:r>
          </w:p>
        </w:tc>
        <w:tc>
          <w:tcPr>
            <w:tcW w:w="762" w:type="pct"/>
            <w:tcBorders>
              <w:top w:val="nil"/>
              <w:left w:val="nil"/>
              <w:bottom w:val="nil"/>
              <w:right w:val="nil"/>
            </w:tcBorders>
            <w:shd w:val="clear" w:color="auto" w:fill="D9D9D9" w:themeFill="background1" w:themeFillShade="D9"/>
            <w:vAlign w:val="center"/>
          </w:tcPr>
          <w:p w14:paraId="592DAF1F"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.02</w:t>
            </w:r>
          </w:p>
        </w:tc>
        <w:tc>
          <w:tcPr>
            <w:tcW w:w="760" w:type="pct"/>
            <w:tcBorders>
              <w:top w:val="nil"/>
              <w:left w:val="nil"/>
              <w:bottom w:val="nil"/>
              <w:right w:val="nil"/>
            </w:tcBorders>
            <w:shd w:val="clear" w:color="auto" w:fill="D9D9D9" w:themeFill="background1" w:themeFillShade="D9"/>
            <w:vAlign w:val="center"/>
          </w:tcPr>
          <w:p w14:paraId="48A42E80"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.06</w:t>
            </w:r>
          </w:p>
        </w:tc>
        <w:tc>
          <w:tcPr>
            <w:tcW w:w="762" w:type="pct"/>
            <w:tcBorders>
              <w:top w:val="nil"/>
              <w:left w:val="nil"/>
              <w:bottom w:val="nil"/>
              <w:right w:val="nil"/>
            </w:tcBorders>
            <w:shd w:val="clear" w:color="auto" w:fill="D9D9D9" w:themeFill="background1" w:themeFillShade="D9"/>
            <w:vAlign w:val="center"/>
          </w:tcPr>
          <w:p w14:paraId="5D98B01A"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.13</w:t>
            </w:r>
          </w:p>
        </w:tc>
        <w:tc>
          <w:tcPr>
            <w:tcW w:w="762" w:type="pct"/>
            <w:tcBorders>
              <w:top w:val="nil"/>
              <w:left w:val="nil"/>
              <w:bottom w:val="nil"/>
              <w:right w:val="nil"/>
            </w:tcBorders>
            <w:shd w:val="clear" w:color="auto" w:fill="D9D9D9" w:themeFill="background1" w:themeFillShade="D9"/>
            <w:vAlign w:val="center"/>
          </w:tcPr>
          <w:p w14:paraId="45A8B9D9"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.70</w:t>
            </w:r>
          </w:p>
        </w:tc>
        <w:tc>
          <w:tcPr>
            <w:tcW w:w="1193" w:type="pct"/>
            <w:tcBorders>
              <w:top w:val="nil"/>
              <w:left w:val="nil"/>
              <w:bottom w:val="nil"/>
            </w:tcBorders>
            <w:shd w:val="clear" w:color="auto" w:fill="D9D9D9" w:themeFill="background1" w:themeFillShade="D9"/>
            <w:vAlign w:val="center"/>
          </w:tcPr>
          <w:p w14:paraId="74EEA2F4"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1.02</w:t>
            </w:r>
          </w:p>
        </w:tc>
      </w:tr>
      <w:tr w:rsidR="004E3E3F" w:rsidRPr="008B2A48" w14:paraId="428DA8F2" w14:textId="77777777" w:rsidTr="00FD2D3D">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Ex>
        <w:trPr>
          <w:trHeight w:val="720"/>
        </w:trPr>
        <w:tc>
          <w:tcPr>
            <w:tcW w:w="761" w:type="pct"/>
            <w:tcBorders>
              <w:top w:val="nil"/>
              <w:bottom w:val="nil"/>
              <w:right w:val="nil"/>
            </w:tcBorders>
            <w:shd w:val="clear" w:color="auto" w:fill="D9D9D9" w:themeFill="background1" w:themeFillShade="D9"/>
            <w:vAlign w:val="center"/>
          </w:tcPr>
          <w:p w14:paraId="319CDCC4" w14:textId="77777777" w:rsidR="004E3E3F" w:rsidRPr="00CD14C8" w:rsidRDefault="004E3E3F" w:rsidP="004E3E3F">
            <w:pPr>
              <w:spacing w:after="0"/>
              <w:jc w:val="center"/>
              <w:rPr>
                <w:rFonts w:ascii="Cambria" w:eastAsia="Calibri" w:hAnsi="Cambria" w:cs="Arial"/>
                <w:b/>
                <w:sz w:val="20"/>
                <w:szCs w:val="20"/>
                <w:lang w:eastAsia="en-US"/>
              </w:rPr>
            </w:pPr>
            <w:r w:rsidRPr="00CD14C8">
              <w:rPr>
                <w:rFonts w:ascii="Cambria" w:eastAsia="Calibri" w:hAnsi="Cambria" w:cs="Arial"/>
                <w:b/>
                <w:sz w:val="20"/>
                <w:szCs w:val="20"/>
                <w:lang w:eastAsia="en-US"/>
              </w:rPr>
              <w:t>Sunlight Exposure</w:t>
            </w:r>
          </w:p>
        </w:tc>
        <w:tc>
          <w:tcPr>
            <w:tcW w:w="762" w:type="pct"/>
            <w:tcBorders>
              <w:top w:val="nil"/>
              <w:left w:val="nil"/>
              <w:bottom w:val="nil"/>
              <w:right w:val="nil"/>
            </w:tcBorders>
            <w:shd w:val="clear" w:color="auto" w:fill="D9D9D9" w:themeFill="background1" w:themeFillShade="D9"/>
            <w:vAlign w:val="center"/>
          </w:tcPr>
          <w:p w14:paraId="69CE2711"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.002</w:t>
            </w:r>
          </w:p>
        </w:tc>
        <w:tc>
          <w:tcPr>
            <w:tcW w:w="760" w:type="pct"/>
            <w:tcBorders>
              <w:top w:val="nil"/>
              <w:left w:val="nil"/>
              <w:bottom w:val="nil"/>
              <w:right w:val="nil"/>
            </w:tcBorders>
            <w:shd w:val="clear" w:color="auto" w:fill="D9D9D9" w:themeFill="background1" w:themeFillShade="D9"/>
            <w:vAlign w:val="center"/>
          </w:tcPr>
          <w:p w14:paraId="24BD9C2E"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.002</w:t>
            </w:r>
          </w:p>
        </w:tc>
        <w:tc>
          <w:tcPr>
            <w:tcW w:w="762" w:type="pct"/>
            <w:tcBorders>
              <w:top w:val="nil"/>
              <w:left w:val="nil"/>
              <w:bottom w:val="nil"/>
              <w:right w:val="nil"/>
            </w:tcBorders>
            <w:shd w:val="clear" w:color="auto" w:fill="D9D9D9" w:themeFill="background1" w:themeFillShade="D9"/>
            <w:vAlign w:val="center"/>
          </w:tcPr>
          <w:p w14:paraId="191D64DC"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.66</w:t>
            </w:r>
          </w:p>
        </w:tc>
        <w:tc>
          <w:tcPr>
            <w:tcW w:w="762" w:type="pct"/>
            <w:tcBorders>
              <w:top w:val="nil"/>
              <w:left w:val="nil"/>
              <w:bottom w:val="nil"/>
              <w:right w:val="nil"/>
            </w:tcBorders>
            <w:shd w:val="clear" w:color="auto" w:fill="D9D9D9" w:themeFill="background1" w:themeFillShade="D9"/>
            <w:vAlign w:val="center"/>
          </w:tcPr>
          <w:p w14:paraId="17B2FEBA"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.41</w:t>
            </w:r>
          </w:p>
        </w:tc>
        <w:tc>
          <w:tcPr>
            <w:tcW w:w="1193" w:type="pct"/>
            <w:tcBorders>
              <w:top w:val="nil"/>
              <w:left w:val="nil"/>
              <w:bottom w:val="nil"/>
            </w:tcBorders>
            <w:shd w:val="clear" w:color="auto" w:fill="D9D9D9" w:themeFill="background1" w:themeFillShade="D9"/>
            <w:vAlign w:val="center"/>
          </w:tcPr>
          <w:p w14:paraId="48E2DEE4"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1.00</w:t>
            </w:r>
          </w:p>
        </w:tc>
      </w:tr>
      <w:tr w:rsidR="004E3E3F" w:rsidRPr="008B2A48" w14:paraId="049DB97C" w14:textId="77777777" w:rsidTr="00FD2D3D">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Ex>
        <w:trPr>
          <w:trHeight w:val="720"/>
        </w:trPr>
        <w:tc>
          <w:tcPr>
            <w:tcW w:w="761" w:type="pct"/>
            <w:tcBorders>
              <w:top w:val="nil"/>
              <w:bottom w:val="nil"/>
              <w:right w:val="nil"/>
            </w:tcBorders>
            <w:shd w:val="clear" w:color="auto" w:fill="D9D9D9" w:themeFill="background1" w:themeFillShade="D9"/>
            <w:vAlign w:val="center"/>
          </w:tcPr>
          <w:p w14:paraId="4F9716C4" w14:textId="77777777" w:rsidR="004E3E3F" w:rsidRPr="00CD14C8" w:rsidRDefault="004E3E3F" w:rsidP="004E3E3F">
            <w:pPr>
              <w:spacing w:after="0"/>
              <w:jc w:val="center"/>
              <w:rPr>
                <w:rFonts w:ascii="Cambria" w:eastAsia="Calibri" w:hAnsi="Cambria" w:cs="Arial"/>
                <w:b/>
                <w:sz w:val="20"/>
                <w:szCs w:val="20"/>
                <w:lang w:eastAsia="en-US"/>
              </w:rPr>
            </w:pPr>
            <w:r w:rsidRPr="00CD14C8">
              <w:rPr>
                <w:rFonts w:ascii="Cambria" w:eastAsia="Calibri" w:hAnsi="Cambria" w:cs="Arial"/>
                <w:b/>
                <w:sz w:val="20"/>
                <w:szCs w:val="20"/>
                <w:lang w:eastAsia="en-US"/>
              </w:rPr>
              <w:t>Activity Score</w:t>
            </w:r>
          </w:p>
        </w:tc>
        <w:tc>
          <w:tcPr>
            <w:tcW w:w="762" w:type="pct"/>
            <w:tcBorders>
              <w:top w:val="nil"/>
              <w:left w:val="nil"/>
              <w:bottom w:val="nil"/>
              <w:right w:val="nil"/>
            </w:tcBorders>
            <w:shd w:val="clear" w:color="auto" w:fill="D9D9D9" w:themeFill="background1" w:themeFillShade="D9"/>
            <w:vAlign w:val="center"/>
          </w:tcPr>
          <w:p w14:paraId="725148A6"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-.34</w:t>
            </w:r>
          </w:p>
        </w:tc>
        <w:tc>
          <w:tcPr>
            <w:tcW w:w="760" w:type="pct"/>
            <w:tcBorders>
              <w:top w:val="nil"/>
              <w:left w:val="nil"/>
              <w:bottom w:val="nil"/>
              <w:right w:val="nil"/>
            </w:tcBorders>
            <w:shd w:val="clear" w:color="auto" w:fill="D9D9D9" w:themeFill="background1" w:themeFillShade="D9"/>
            <w:vAlign w:val="center"/>
          </w:tcPr>
          <w:p w14:paraId="335CF447"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.20</w:t>
            </w:r>
          </w:p>
        </w:tc>
        <w:tc>
          <w:tcPr>
            <w:tcW w:w="762" w:type="pct"/>
            <w:tcBorders>
              <w:top w:val="nil"/>
              <w:left w:val="nil"/>
              <w:bottom w:val="nil"/>
              <w:right w:val="nil"/>
            </w:tcBorders>
            <w:shd w:val="clear" w:color="auto" w:fill="D9D9D9" w:themeFill="background1" w:themeFillShade="D9"/>
            <w:vAlign w:val="center"/>
          </w:tcPr>
          <w:p w14:paraId="101417E5"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2.7</w:t>
            </w:r>
          </w:p>
        </w:tc>
        <w:tc>
          <w:tcPr>
            <w:tcW w:w="762" w:type="pct"/>
            <w:tcBorders>
              <w:top w:val="nil"/>
              <w:left w:val="nil"/>
              <w:bottom w:val="nil"/>
              <w:right w:val="nil"/>
            </w:tcBorders>
            <w:shd w:val="clear" w:color="auto" w:fill="D9D9D9" w:themeFill="background1" w:themeFillShade="D9"/>
            <w:vAlign w:val="center"/>
          </w:tcPr>
          <w:p w14:paraId="6DE56655"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.10</w:t>
            </w:r>
          </w:p>
        </w:tc>
        <w:tc>
          <w:tcPr>
            <w:tcW w:w="1193" w:type="pct"/>
            <w:tcBorders>
              <w:top w:val="nil"/>
              <w:left w:val="nil"/>
              <w:bottom w:val="nil"/>
            </w:tcBorders>
            <w:shd w:val="clear" w:color="auto" w:fill="D9D9D9" w:themeFill="background1" w:themeFillShade="D9"/>
            <w:vAlign w:val="center"/>
          </w:tcPr>
          <w:p w14:paraId="1493C949"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1.40</w:t>
            </w:r>
          </w:p>
        </w:tc>
      </w:tr>
      <w:tr w:rsidR="004E3E3F" w:rsidRPr="008B2A48" w14:paraId="39FE5668" w14:textId="77777777" w:rsidTr="00FD2D3D">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Ex>
        <w:trPr>
          <w:trHeight w:val="720"/>
        </w:trPr>
        <w:tc>
          <w:tcPr>
            <w:tcW w:w="761" w:type="pct"/>
            <w:tcBorders>
              <w:top w:val="nil"/>
              <w:bottom w:val="nil"/>
              <w:right w:val="nil"/>
            </w:tcBorders>
            <w:shd w:val="clear" w:color="auto" w:fill="D9D9D9" w:themeFill="background1" w:themeFillShade="D9"/>
            <w:vAlign w:val="center"/>
          </w:tcPr>
          <w:p w14:paraId="31E173DC" w14:textId="77777777" w:rsidR="004E3E3F" w:rsidRPr="00CD14C8" w:rsidRDefault="004E3E3F" w:rsidP="004E3E3F">
            <w:pPr>
              <w:spacing w:after="0"/>
              <w:jc w:val="center"/>
              <w:rPr>
                <w:rFonts w:ascii="Cambria" w:eastAsia="Calibri" w:hAnsi="Cambria" w:cs="Arial"/>
                <w:b/>
                <w:sz w:val="20"/>
                <w:szCs w:val="20"/>
                <w:lang w:eastAsia="en-US"/>
              </w:rPr>
            </w:pPr>
            <w:r w:rsidRPr="00CD14C8">
              <w:rPr>
                <w:rFonts w:ascii="Cambria" w:eastAsia="Calibri" w:hAnsi="Cambria" w:cs="Arial"/>
                <w:b/>
                <w:sz w:val="20"/>
                <w:szCs w:val="20"/>
                <w:lang w:eastAsia="en-US"/>
              </w:rPr>
              <w:t>Vitamin D</w:t>
            </w:r>
          </w:p>
        </w:tc>
        <w:tc>
          <w:tcPr>
            <w:tcW w:w="762" w:type="pct"/>
            <w:tcBorders>
              <w:top w:val="nil"/>
              <w:left w:val="nil"/>
              <w:bottom w:val="nil"/>
              <w:right w:val="nil"/>
            </w:tcBorders>
            <w:shd w:val="clear" w:color="auto" w:fill="D9D9D9" w:themeFill="background1" w:themeFillShade="D9"/>
            <w:vAlign w:val="center"/>
          </w:tcPr>
          <w:p w14:paraId="31268009"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-.05</w:t>
            </w:r>
          </w:p>
        </w:tc>
        <w:tc>
          <w:tcPr>
            <w:tcW w:w="760" w:type="pct"/>
            <w:tcBorders>
              <w:top w:val="nil"/>
              <w:left w:val="nil"/>
              <w:bottom w:val="nil"/>
              <w:right w:val="nil"/>
            </w:tcBorders>
            <w:shd w:val="clear" w:color="auto" w:fill="D9D9D9" w:themeFill="background1" w:themeFillShade="D9"/>
            <w:vAlign w:val="center"/>
          </w:tcPr>
          <w:p w14:paraId="2D0AAD31"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.02</w:t>
            </w:r>
          </w:p>
        </w:tc>
        <w:tc>
          <w:tcPr>
            <w:tcW w:w="762" w:type="pct"/>
            <w:tcBorders>
              <w:top w:val="nil"/>
              <w:left w:val="nil"/>
              <w:bottom w:val="nil"/>
              <w:right w:val="nil"/>
            </w:tcBorders>
            <w:shd w:val="clear" w:color="auto" w:fill="D9D9D9" w:themeFill="background1" w:themeFillShade="D9"/>
            <w:vAlign w:val="center"/>
          </w:tcPr>
          <w:p w14:paraId="0DA2F510"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4.9</w:t>
            </w:r>
          </w:p>
        </w:tc>
        <w:tc>
          <w:tcPr>
            <w:tcW w:w="762" w:type="pct"/>
            <w:tcBorders>
              <w:top w:val="nil"/>
              <w:left w:val="nil"/>
              <w:bottom w:val="nil"/>
              <w:right w:val="nil"/>
            </w:tcBorders>
            <w:shd w:val="clear" w:color="auto" w:fill="D9D9D9" w:themeFill="background1" w:themeFillShade="D9"/>
            <w:vAlign w:val="center"/>
          </w:tcPr>
          <w:p w14:paraId="3FA02C7F"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.02</w:t>
            </w:r>
          </w:p>
        </w:tc>
        <w:tc>
          <w:tcPr>
            <w:tcW w:w="1193" w:type="pct"/>
            <w:tcBorders>
              <w:top w:val="nil"/>
              <w:left w:val="nil"/>
              <w:bottom w:val="nil"/>
            </w:tcBorders>
            <w:shd w:val="clear" w:color="auto" w:fill="D9D9D9" w:themeFill="background1" w:themeFillShade="D9"/>
            <w:vAlign w:val="center"/>
          </w:tcPr>
          <w:p w14:paraId="7ED7DB20"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1.11</w:t>
            </w:r>
          </w:p>
        </w:tc>
      </w:tr>
      <w:tr w:rsidR="004E3E3F" w:rsidRPr="008B2A48" w14:paraId="387CC0F1" w14:textId="77777777" w:rsidTr="00FD2D3D">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Ex>
        <w:trPr>
          <w:trHeight w:val="720"/>
        </w:trPr>
        <w:tc>
          <w:tcPr>
            <w:tcW w:w="761" w:type="pct"/>
            <w:tcBorders>
              <w:top w:val="nil"/>
              <w:bottom w:val="nil"/>
              <w:right w:val="nil"/>
            </w:tcBorders>
            <w:shd w:val="clear" w:color="auto" w:fill="D9D9D9" w:themeFill="background1" w:themeFillShade="D9"/>
            <w:vAlign w:val="center"/>
          </w:tcPr>
          <w:p w14:paraId="6D45B051" w14:textId="77777777" w:rsidR="004E3E3F" w:rsidRPr="00CD14C8" w:rsidRDefault="004E3E3F" w:rsidP="004E3E3F">
            <w:pPr>
              <w:spacing w:after="0"/>
              <w:jc w:val="center"/>
              <w:rPr>
                <w:rFonts w:ascii="Cambria" w:eastAsia="Calibri" w:hAnsi="Cambria" w:cs="Arial"/>
                <w:b/>
                <w:sz w:val="20"/>
                <w:szCs w:val="20"/>
                <w:lang w:eastAsia="en-US"/>
              </w:rPr>
            </w:pPr>
            <w:r w:rsidRPr="00CD14C8">
              <w:rPr>
                <w:rFonts w:ascii="Cambria" w:eastAsia="Calibri" w:hAnsi="Cambria" w:cs="Arial"/>
                <w:b/>
                <w:sz w:val="20"/>
                <w:szCs w:val="20"/>
                <w:lang w:eastAsia="en-US"/>
              </w:rPr>
              <w:t>Diabetes Duration</w:t>
            </w:r>
          </w:p>
        </w:tc>
        <w:tc>
          <w:tcPr>
            <w:tcW w:w="762" w:type="pct"/>
            <w:tcBorders>
              <w:top w:val="nil"/>
              <w:left w:val="nil"/>
              <w:bottom w:val="nil"/>
              <w:right w:val="nil"/>
            </w:tcBorders>
            <w:shd w:val="clear" w:color="auto" w:fill="D9D9D9" w:themeFill="background1" w:themeFillShade="D9"/>
            <w:vAlign w:val="center"/>
          </w:tcPr>
          <w:p w14:paraId="2589F9C8"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.08</w:t>
            </w:r>
          </w:p>
        </w:tc>
        <w:tc>
          <w:tcPr>
            <w:tcW w:w="760" w:type="pct"/>
            <w:tcBorders>
              <w:top w:val="nil"/>
              <w:left w:val="nil"/>
              <w:bottom w:val="nil"/>
              <w:right w:val="nil"/>
            </w:tcBorders>
            <w:shd w:val="clear" w:color="auto" w:fill="D9D9D9" w:themeFill="background1" w:themeFillShade="D9"/>
            <w:vAlign w:val="center"/>
          </w:tcPr>
          <w:p w14:paraId="394025EE"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.05</w:t>
            </w:r>
          </w:p>
        </w:tc>
        <w:tc>
          <w:tcPr>
            <w:tcW w:w="762" w:type="pct"/>
            <w:tcBorders>
              <w:top w:val="nil"/>
              <w:left w:val="nil"/>
              <w:bottom w:val="nil"/>
              <w:right w:val="nil"/>
            </w:tcBorders>
            <w:shd w:val="clear" w:color="auto" w:fill="D9D9D9" w:themeFill="background1" w:themeFillShade="D9"/>
            <w:vAlign w:val="center"/>
          </w:tcPr>
          <w:p w14:paraId="6CFBDEBE"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2.5</w:t>
            </w:r>
          </w:p>
        </w:tc>
        <w:tc>
          <w:tcPr>
            <w:tcW w:w="762" w:type="pct"/>
            <w:tcBorders>
              <w:top w:val="nil"/>
              <w:left w:val="nil"/>
              <w:bottom w:val="nil"/>
              <w:right w:val="nil"/>
            </w:tcBorders>
            <w:shd w:val="clear" w:color="auto" w:fill="D9D9D9" w:themeFill="background1" w:themeFillShade="D9"/>
            <w:vAlign w:val="center"/>
          </w:tcPr>
          <w:p w14:paraId="159D2393"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.11</w:t>
            </w:r>
          </w:p>
        </w:tc>
        <w:tc>
          <w:tcPr>
            <w:tcW w:w="1193" w:type="pct"/>
            <w:tcBorders>
              <w:top w:val="nil"/>
              <w:left w:val="nil"/>
              <w:bottom w:val="nil"/>
            </w:tcBorders>
            <w:shd w:val="clear" w:color="auto" w:fill="D9D9D9" w:themeFill="background1" w:themeFillShade="D9"/>
            <w:vAlign w:val="center"/>
          </w:tcPr>
          <w:p w14:paraId="486A7E51"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1.08</w:t>
            </w:r>
          </w:p>
        </w:tc>
      </w:tr>
      <w:tr w:rsidR="004E3E3F" w:rsidRPr="008B2A48" w14:paraId="6ED48D92" w14:textId="77777777" w:rsidTr="00FD2D3D">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Ex>
        <w:trPr>
          <w:trHeight w:val="720"/>
        </w:trPr>
        <w:tc>
          <w:tcPr>
            <w:tcW w:w="761" w:type="pct"/>
            <w:tcBorders>
              <w:top w:val="nil"/>
              <w:bottom w:val="nil"/>
              <w:right w:val="nil"/>
            </w:tcBorders>
            <w:shd w:val="clear" w:color="auto" w:fill="D9D9D9" w:themeFill="background1" w:themeFillShade="D9"/>
            <w:vAlign w:val="center"/>
          </w:tcPr>
          <w:p w14:paraId="2502BD63" w14:textId="77777777" w:rsidR="004E3E3F" w:rsidRPr="00CD14C8" w:rsidRDefault="004E3E3F" w:rsidP="004E3E3F">
            <w:pPr>
              <w:spacing w:after="0"/>
              <w:jc w:val="center"/>
              <w:rPr>
                <w:rFonts w:ascii="Cambria" w:eastAsia="Calibri" w:hAnsi="Cambria" w:cs="Arial"/>
                <w:b/>
                <w:sz w:val="20"/>
                <w:szCs w:val="20"/>
                <w:lang w:eastAsia="en-US"/>
              </w:rPr>
            </w:pPr>
            <w:r w:rsidRPr="00CD14C8">
              <w:rPr>
                <w:rFonts w:ascii="Cambria" w:eastAsia="Calibri" w:hAnsi="Cambria" w:cs="Arial"/>
                <w:b/>
                <w:sz w:val="20"/>
                <w:szCs w:val="20"/>
                <w:lang w:eastAsia="en-US"/>
              </w:rPr>
              <w:t>MAP</w:t>
            </w:r>
          </w:p>
        </w:tc>
        <w:tc>
          <w:tcPr>
            <w:tcW w:w="762" w:type="pct"/>
            <w:tcBorders>
              <w:top w:val="nil"/>
              <w:left w:val="nil"/>
              <w:bottom w:val="nil"/>
              <w:right w:val="nil"/>
            </w:tcBorders>
            <w:shd w:val="clear" w:color="auto" w:fill="D9D9D9" w:themeFill="background1" w:themeFillShade="D9"/>
            <w:vAlign w:val="center"/>
          </w:tcPr>
          <w:p w14:paraId="75283EA7"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.07</w:t>
            </w:r>
          </w:p>
        </w:tc>
        <w:tc>
          <w:tcPr>
            <w:tcW w:w="760" w:type="pct"/>
            <w:tcBorders>
              <w:top w:val="nil"/>
              <w:left w:val="nil"/>
              <w:bottom w:val="nil"/>
              <w:right w:val="nil"/>
            </w:tcBorders>
            <w:shd w:val="clear" w:color="auto" w:fill="D9D9D9" w:themeFill="background1" w:themeFillShade="D9"/>
            <w:vAlign w:val="center"/>
          </w:tcPr>
          <w:p w14:paraId="23F875A5"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.04</w:t>
            </w:r>
          </w:p>
        </w:tc>
        <w:tc>
          <w:tcPr>
            <w:tcW w:w="762" w:type="pct"/>
            <w:tcBorders>
              <w:top w:val="nil"/>
              <w:left w:val="nil"/>
              <w:bottom w:val="nil"/>
              <w:right w:val="nil"/>
            </w:tcBorders>
            <w:shd w:val="clear" w:color="auto" w:fill="D9D9D9" w:themeFill="background1" w:themeFillShade="D9"/>
            <w:vAlign w:val="center"/>
          </w:tcPr>
          <w:p w14:paraId="0DC600DA"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2.9</w:t>
            </w:r>
          </w:p>
        </w:tc>
        <w:tc>
          <w:tcPr>
            <w:tcW w:w="762" w:type="pct"/>
            <w:tcBorders>
              <w:top w:val="nil"/>
              <w:left w:val="nil"/>
              <w:bottom w:val="nil"/>
              <w:right w:val="nil"/>
            </w:tcBorders>
            <w:shd w:val="clear" w:color="auto" w:fill="D9D9D9" w:themeFill="background1" w:themeFillShade="D9"/>
            <w:vAlign w:val="center"/>
          </w:tcPr>
          <w:p w14:paraId="001B70BC"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.08</w:t>
            </w:r>
          </w:p>
        </w:tc>
        <w:tc>
          <w:tcPr>
            <w:tcW w:w="1193" w:type="pct"/>
            <w:tcBorders>
              <w:top w:val="nil"/>
              <w:left w:val="nil"/>
              <w:bottom w:val="nil"/>
            </w:tcBorders>
            <w:shd w:val="clear" w:color="auto" w:fill="D9D9D9" w:themeFill="background1" w:themeFillShade="D9"/>
            <w:vAlign w:val="center"/>
          </w:tcPr>
          <w:p w14:paraId="37C07EFD"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1.07</w:t>
            </w:r>
          </w:p>
        </w:tc>
      </w:tr>
      <w:tr w:rsidR="004E3E3F" w:rsidRPr="008B2A48" w14:paraId="3A9B4509" w14:textId="77777777" w:rsidTr="00FD2D3D">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Ex>
        <w:trPr>
          <w:trHeight w:val="720"/>
        </w:trPr>
        <w:tc>
          <w:tcPr>
            <w:tcW w:w="761" w:type="pct"/>
            <w:tcBorders>
              <w:top w:val="nil"/>
              <w:bottom w:val="nil"/>
              <w:right w:val="nil"/>
            </w:tcBorders>
            <w:shd w:val="clear" w:color="auto" w:fill="D9D9D9" w:themeFill="background1" w:themeFillShade="D9"/>
            <w:vAlign w:val="center"/>
          </w:tcPr>
          <w:p w14:paraId="6B480436" w14:textId="77777777" w:rsidR="004E3E3F" w:rsidRPr="00CD14C8" w:rsidRDefault="004E3E3F" w:rsidP="004E3E3F">
            <w:pPr>
              <w:spacing w:after="0"/>
              <w:jc w:val="center"/>
              <w:rPr>
                <w:rFonts w:ascii="Cambria" w:eastAsia="Calibri" w:hAnsi="Cambria" w:cs="Arial"/>
                <w:b/>
                <w:sz w:val="20"/>
                <w:szCs w:val="20"/>
                <w:lang w:eastAsia="en-US"/>
              </w:rPr>
            </w:pPr>
            <w:r w:rsidRPr="00CD14C8">
              <w:rPr>
                <w:rFonts w:ascii="Cambria" w:eastAsia="Calibri" w:hAnsi="Cambria" w:cs="Arial"/>
                <w:b/>
                <w:sz w:val="20"/>
                <w:szCs w:val="20"/>
                <w:lang w:eastAsia="en-US"/>
              </w:rPr>
              <w:t>Constant</w:t>
            </w:r>
          </w:p>
        </w:tc>
        <w:tc>
          <w:tcPr>
            <w:tcW w:w="762" w:type="pct"/>
            <w:tcBorders>
              <w:top w:val="nil"/>
              <w:left w:val="nil"/>
              <w:bottom w:val="nil"/>
              <w:right w:val="nil"/>
            </w:tcBorders>
            <w:shd w:val="clear" w:color="auto" w:fill="D9D9D9" w:themeFill="background1" w:themeFillShade="D9"/>
            <w:vAlign w:val="center"/>
          </w:tcPr>
          <w:p w14:paraId="44D6744B"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-11.18</w:t>
            </w:r>
          </w:p>
        </w:tc>
        <w:tc>
          <w:tcPr>
            <w:tcW w:w="760" w:type="pct"/>
            <w:tcBorders>
              <w:top w:val="nil"/>
              <w:left w:val="nil"/>
              <w:bottom w:val="nil"/>
              <w:right w:val="nil"/>
            </w:tcBorders>
            <w:shd w:val="clear" w:color="auto" w:fill="D9D9D9" w:themeFill="background1" w:themeFillShade="D9"/>
            <w:vAlign w:val="center"/>
          </w:tcPr>
          <w:p w14:paraId="723831A4"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6.9</w:t>
            </w:r>
          </w:p>
        </w:tc>
        <w:tc>
          <w:tcPr>
            <w:tcW w:w="762" w:type="pct"/>
            <w:tcBorders>
              <w:top w:val="nil"/>
              <w:left w:val="nil"/>
              <w:bottom w:val="nil"/>
              <w:right w:val="nil"/>
            </w:tcBorders>
            <w:shd w:val="clear" w:color="auto" w:fill="D9D9D9" w:themeFill="background1" w:themeFillShade="D9"/>
            <w:vAlign w:val="center"/>
          </w:tcPr>
          <w:p w14:paraId="70D55CF5"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2.6</w:t>
            </w:r>
          </w:p>
        </w:tc>
        <w:tc>
          <w:tcPr>
            <w:tcW w:w="762" w:type="pct"/>
            <w:tcBorders>
              <w:top w:val="nil"/>
              <w:left w:val="nil"/>
              <w:bottom w:val="nil"/>
              <w:right w:val="nil"/>
            </w:tcBorders>
            <w:shd w:val="clear" w:color="auto" w:fill="D9D9D9" w:themeFill="background1" w:themeFillShade="D9"/>
            <w:vAlign w:val="center"/>
          </w:tcPr>
          <w:p w14:paraId="445C10EC"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.10</w:t>
            </w:r>
          </w:p>
        </w:tc>
        <w:tc>
          <w:tcPr>
            <w:tcW w:w="1193" w:type="pct"/>
            <w:tcBorders>
              <w:top w:val="nil"/>
              <w:left w:val="nil"/>
              <w:bottom w:val="nil"/>
            </w:tcBorders>
            <w:shd w:val="clear" w:color="auto" w:fill="D9D9D9" w:themeFill="background1" w:themeFillShade="D9"/>
            <w:vAlign w:val="center"/>
          </w:tcPr>
          <w:p w14:paraId="1B02198F" w14:textId="77777777" w:rsidR="004E3E3F" w:rsidRPr="00CD14C8" w:rsidRDefault="004E3E3F" w:rsidP="004E3E3F">
            <w:pPr>
              <w:spacing w:after="0"/>
              <w:jc w:val="center"/>
              <w:rPr>
                <w:rFonts w:ascii="Cambria" w:eastAsia="Calibri" w:hAnsi="Cambria" w:cs="Arial"/>
                <w:sz w:val="20"/>
                <w:szCs w:val="20"/>
                <w:lang w:eastAsia="en-US"/>
              </w:rPr>
            </w:pPr>
            <w:r w:rsidRPr="00CD14C8">
              <w:rPr>
                <w:rFonts w:ascii="Cambria" w:eastAsia="Calibri" w:hAnsi="Cambria" w:cs="Arial"/>
                <w:sz w:val="20"/>
                <w:szCs w:val="20"/>
                <w:lang w:eastAsia="en-US"/>
              </w:rPr>
              <w:t>0.00</w:t>
            </w:r>
          </w:p>
        </w:tc>
      </w:tr>
      <w:tr w:rsidR="004E3E3F" w:rsidRPr="008B2A48" w14:paraId="2CD66A23" w14:textId="77777777" w:rsidTr="00FD2D3D">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val="665"/>
        </w:trPr>
        <w:tc>
          <w:tcPr>
            <w:tcW w:w="5000" w:type="pct"/>
            <w:gridSpan w:val="6"/>
            <w:tcBorders>
              <w:top w:val="nil"/>
            </w:tcBorders>
            <w:shd w:val="clear" w:color="auto" w:fill="D9D9D9" w:themeFill="background1" w:themeFillShade="D9"/>
          </w:tcPr>
          <w:p w14:paraId="71B44C0C" w14:textId="77777777" w:rsidR="004E3E3F" w:rsidRPr="00CD14C8" w:rsidRDefault="004E3E3F" w:rsidP="004E3E3F">
            <w:pPr>
              <w:spacing w:after="0"/>
              <w:rPr>
                <w:rFonts w:ascii="Cambria" w:eastAsia="Calibri" w:hAnsi="Cambria" w:cs="Arial"/>
                <w:sz w:val="20"/>
                <w:szCs w:val="20"/>
                <w:lang w:eastAsia="en-US"/>
              </w:rPr>
            </w:pPr>
            <w:r w:rsidRPr="00CD14C8">
              <w:rPr>
                <w:rFonts w:ascii="Cambria" w:eastAsia="Calibri" w:hAnsi="Cambria" w:cs="Arial"/>
                <w:sz w:val="20"/>
                <w:szCs w:val="20"/>
                <w:lang w:eastAsia="en-US"/>
              </w:rPr>
              <w:t>BMI, body mass index; MAP, mean arterial blood pressure</w:t>
            </w:r>
          </w:p>
        </w:tc>
      </w:tr>
    </w:tbl>
    <w:p w14:paraId="7713BCA9" w14:textId="77777777" w:rsidR="004E3E3F" w:rsidRDefault="004E3E3F" w:rsidP="00876259">
      <w:pPr>
        <w:pStyle w:val="BodyA"/>
        <w:spacing w:line="480" w:lineRule="auto"/>
        <w:jc w:val="both"/>
        <w:rPr>
          <w:lang w:val="en-US"/>
        </w:rPr>
      </w:pPr>
    </w:p>
    <w:p w14:paraId="372DD5E7" w14:textId="4D1F3A72" w:rsidR="00876259" w:rsidRDefault="00876259" w:rsidP="00876259">
      <w:pPr>
        <w:pStyle w:val="BodyA"/>
        <w:spacing w:line="480" w:lineRule="auto"/>
        <w:jc w:val="both"/>
      </w:pPr>
      <w:r>
        <w:rPr>
          <w:lang w:val="en-US"/>
        </w:rPr>
        <w:t>There was also a significant negative correlation between serum 25(OH)D levels and pain scores (DN4; r=-0·</w:t>
      </w:r>
      <w:r>
        <w:t>30, p=0</w:t>
      </w:r>
      <w:r>
        <w:rPr>
          <w:lang w:val="en-US"/>
        </w:rPr>
        <w:t>·02; Figure 4.2).  However, there was no significant correlation between 25(OH)D and nerve conduction studies (</w:t>
      </w:r>
      <w:proofErr w:type="spellStart"/>
      <w:r>
        <w:rPr>
          <w:lang w:val="en-US"/>
        </w:rPr>
        <w:t>NCS</w:t>
      </w:r>
      <w:proofErr w:type="spellEnd"/>
      <w:r>
        <w:rPr>
          <w:lang w:val="en-US"/>
        </w:rPr>
        <w:t xml:space="preserve">), markers of large </w:t>
      </w:r>
      <w:proofErr w:type="spellStart"/>
      <w:r>
        <w:rPr>
          <w:lang w:val="en-US"/>
        </w:rPr>
        <w:t>fibre</w:t>
      </w:r>
      <w:proofErr w:type="spellEnd"/>
      <w:r>
        <w:rPr>
          <w:lang w:val="en-US"/>
        </w:rPr>
        <w:t xml:space="preserve"> neuropathy.  There were significant correlations between 25(OH)D and both cold detection threshold (r=0·</w:t>
      </w:r>
      <w:r>
        <w:t>39, p=0</w:t>
      </w:r>
      <w:r>
        <w:rPr>
          <w:lang w:val="en-US"/>
        </w:rPr>
        <w:t>·02) and thermal sensory limen (r=-0·</w:t>
      </w:r>
      <w:r w:rsidRPr="005B5764">
        <w:t>34, p=0</w:t>
      </w:r>
      <w:r>
        <w:rPr>
          <w:lang w:val="en-US"/>
        </w:rPr>
        <w:t>·04).  There was a significant negative correlation between HbA1c and serum 25(OH)D levels (r=-0·</w:t>
      </w:r>
      <w:r>
        <w:t>36, p = 0</w:t>
      </w:r>
      <w:r>
        <w:rPr>
          <w:lang w:val="en-US"/>
        </w:rPr>
        <w:t>·</w:t>
      </w:r>
      <w:r>
        <w:t xml:space="preserve">01). </w:t>
      </w:r>
    </w:p>
    <w:p w14:paraId="7473C02D" w14:textId="77777777" w:rsidR="00876259" w:rsidRDefault="00876259" w:rsidP="00876259">
      <w:pPr>
        <w:pStyle w:val="BodyA"/>
        <w:spacing w:line="360" w:lineRule="auto"/>
        <w:jc w:val="both"/>
      </w:pPr>
      <w:r>
        <w:rPr>
          <w:noProof/>
          <w:lang w:eastAsia="zh-CN"/>
        </w:rPr>
        <w:lastRenderedPageBreak/>
        <w:drawing>
          <wp:inline distT="0" distB="0" distL="0" distR="0" wp14:anchorId="311353BC" wp14:editId="4D801801">
            <wp:extent cx="5727700" cy="4697730"/>
            <wp:effectExtent l="0" t="0" r="0" b="0"/>
            <wp:docPr id="1073741830" name="officeArt object" descr="image6.tif"/>
            <wp:cNvGraphicFramePr/>
            <a:graphic xmlns:a="http://schemas.openxmlformats.org/drawingml/2006/main">
              <a:graphicData uri="http://schemas.openxmlformats.org/drawingml/2006/picture">
                <pic:pic xmlns:pic="http://schemas.openxmlformats.org/drawingml/2006/picture">
                  <pic:nvPicPr>
                    <pic:cNvPr id="1073741830" name="image6.tif" descr="image6.tif"/>
                    <pic:cNvPicPr>
                      <a:picLocks noChangeAspect="1"/>
                    </pic:cNvPicPr>
                  </pic:nvPicPr>
                  <pic:blipFill>
                    <a:blip r:embed="rId13"/>
                    <a:stretch>
                      <a:fillRect/>
                    </a:stretch>
                  </pic:blipFill>
                  <pic:spPr>
                    <a:xfrm>
                      <a:off x="0" y="0"/>
                      <a:ext cx="5727700" cy="4697730"/>
                    </a:xfrm>
                    <a:prstGeom prst="rect">
                      <a:avLst/>
                    </a:prstGeom>
                    <a:ln w="12700" cap="flat">
                      <a:noFill/>
                      <a:miter lim="400000"/>
                    </a:ln>
                    <a:effectLst/>
                  </pic:spPr>
                </pic:pic>
              </a:graphicData>
            </a:graphic>
          </wp:inline>
        </w:drawing>
      </w:r>
    </w:p>
    <w:p w14:paraId="17A08692" w14:textId="762C68BA" w:rsidR="00876259" w:rsidRDefault="00876259" w:rsidP="00876259">
      <w:pPr>
        <w:pStyle w:val="BodyA"/>
        <w:spacing w:line="360" w:lineRule="auto"/>
        <w:jc w:val="both"/>
        <w:rPr>
          <w:b/>
          <w:bCs/>
          <w:lang w:val="en-US"/>
        </w:rPr>
      </w:pPr>
      <w:r>
        <w:rPr>
          <w:b/>
          <w:bCs/>
          <w:lang w:val="en-US"/>
        </w:rPr>
        <w:t>Figure 4.2 Nonparametric Correlation between pain score DN4 and vitamin D [25(OH)D] levels (nmol/l) showing significant negative correlation</w:t>
      </w:r>
    </w:p>
    <w:p w14:paraId="04574B36" w14:textId="77777777" w:rsidR="00876259" w:rsidRDefault="00876259" w:rsidP="00876259">
      <w:pPr>
        <w:pStyle w:val="BodyA"/>
        <w:spacing w:line="480" w:lineRule="auto"/>
        <w:jc w:val="both"/>
      </w:pPr>
      <w:r>
        <w:rPr>
          <w:lang w:val="en-US"/>
        </w:rPr>
        <w:t xml:space="preserve">Autonomic function test showed significant reduction in the total O’Brien score and </w:t>
      </w:r>
      <w:proofErr w:type="spellStart"/>
      <w:r>
        <w:rPr>
          <w:lang w:val="en-US"/>
        </w:rPr>
        <w:t>HRV</w:t>
      </w:r>
      <w:proofErr w:type="spellEnd"/>
      <w:r>
        <w:rPr>
          <w:lang w:val="en-US"/>
        </w:rPr>
        <w:t xml:space="preserve"> during deep breathing in the neuropathy groups but was reduced equally in both groups (Table 4.2). Hence pair wise comparison showed, there was no difference between painful </w:t>
      </w:r>
      <w:proofErr w:type="spellStart"/>
      <w:r>
        <w:rPr>
          <w:lang w:val="en-US"/>
        </w:rPr>
        <w:t>DPN</w:t>
      </w:r>
      <w:proofErr w:type="spellEnd"/>
      <w:r>
        <w:rPr>
          <w:lang w:val="en-US"/>
        </w:rPr>
        <w:t xml:space="preserve"> and painless </w:t>
      </w:r>
      <w:proofErr w:type="spellStart"/>
      <w:r>
        <w:rPr>
          <w:lang w:val="en-US"/>
        </w:rPr>
        <w:t>DPN</w:t>
      </w:r>
      <w:proofErr w:type="spellEnd"/>
      <w:r>
        <w:rPr>
          <w:lang w:val="en-US"/>
        </w:rPr>
        <w:t xml:space="preserve"> (Total O’Brien autonomic score; post hoc p=0.5 and </w:t>
      </w:r>
      <w:proofErr w:type="spellStart"/>
      <w:r>
        <w:rPr>
          <w:lang w:val="en-US"/>
        </w:rPr>
        <w:t>HRV</w:t>
      </w:r>
      <w:proofErr w:type="spellEnd"/>
      <w:r>
        <w:rPr>
          <w:lang w:val="en-US"/>
        </w:rPr>
        <w:t xml:space="preserve">; p=0.97). There was positive correlation between </w:t>
      </w:r>
      <w:proofErr w:type="spellStart"/>
      <w:r>
        <w:rPr>
          <w:lang w:val="en-US"/>
        </w:rPr>
        <w:t>HRV</w:t>
      </w:r>
      <w:proofErr w:type="spellEnd"/>
      <w:r>
        <w:rPr>
          <w:lang w:val="en-US"/>
        </w:rPr>
        <w:t xml:space="preserve"> during deep breathing and vitamin D (r=0.29, p=0.03) but this was not prominent with total O’Brien score that includes five autonomic measurements (r=-0.26, p=0.052).</w:t>
      </w:r>
    </w:p>
    <w:p w14:paraId="23ED04A0" w14:textId="3359F6AD" w:rsidR="00876259" w:rsidRDefault="00876259" w:rsidP="00876259">
      <w:pPr>
        <w:pStyle w:val="BodyA"/>
        <w:spacing w:before="240" w:line="480" w:lineRule="auto"/>
        <w:jc w:val="both"/>
      </w:pPr>
      <w:r>
        <w:rPr>
          <w:lang w:val="en-US"/>
        </w:rPr>
        <w:t xml:space="preserve">Both </w:t>
      </w:r>
      <w:proofErr w:type="spellStart"/>
      <w:r>
        <w:rPr>
          <w:lang w:val="en-US"/>
        </w:rPr>
        <w:t>IENF</w:t>
      </w:r>
      <w:proofErr w:type="spellEnd"/>
      <w:r>
        <w:rPr>
          <w:lang w:val="en-US"/>
        </w:rPr>
        <w:t xml:space="preserve"> and </w:t>
      </w:r>
      <w:proofErr w:type="spellStart"/>
      <w:r>
        <w:rPr>
          <w:lang w:val="en-US"/>
        </w:rPr>
        <w:t>SENF</w:t>
      </w:r>
      <w:proofErr w:type="spellEnd"/>
      <w:r>
        <w:rPr>
          <w:lang w:val="en-US"/>
        </w:rPr>
        <w:t xml:space="preserve"> were significantly lower in </w:t>
      </w:r>
      <w:r w:rsidR="006C14E5">
        <w:rPr>
          <w:lang w:val="en-US"/>
        </w:rPr>
        <w:t>p</w:t>
      </w:r>
      <w:r>
        <w:rPr>
          <w:lang w:val="en-US"/>
        </w:rPr>
        <w:t xml:space="preserve">ainful </w:t>
      </w:r>
      <w:proofErr w:type="spellStart"/>
      <w:r>
        <w:rPr>
          <w:lang w:val="en-US"/>
        </w:rPr>
        <w:t>DPN</w:t>
      </w:r>
      <w:proofErr w:type="spellEnd"/>
      <w:r>
        <w:rPr>
          <w:lang w:val="en-US"/>
        </w:rPr>
        <w:t xml:space="preserve"> and </w:t>
      </w:r>
      <w:r w:rsidR="006C14E5">
        <w:rPr>
          <w:lang w:val="en-US"/>
        </w:rPr>
        <w:t>p</w:t>
      </w:r>
      <w:r>
        <w:rPr>
          <w:lang w:val="en-US"/>
        </w:rPr>
        <w:t xml:space="preserve">ainless </w:t>
      </w:r>
      <w:proofErr w:type="spellStart"/>
      <w:r>
        <w:rPr>
          <w:lang w:val="en-US"/>
        </w:rPr>
        <w:t>DPN</w:t>
      </w:r>
      <w:proofErr w:type="spellEnd"/>
      <w:r>
        <w:rPr>
          <w:lang w:val="en-US"/>
        </w:rPr>
        <w:t xml:space="preserve"> groups compared to No </w:t>
      </w:r>
      <w:proofErr w:type="spellStart"/>
      <w:r>
        <w:rPr>
          <w:lang w:val="en-US"/>
        </w:rPr>
        <w:t>DPN</w:t>
      </w:r>
      <w:proofErr w:type="spellEnd"/>
      <w:r>
        <w:rPr>
          <w:lang w:val="en-US"/>
        </w:rPr>
        <w:t xml:space="preserve"> and </w:t>
      </w:r>
      <w:proofErr w:type="spellStart"/>
      <w:r>
        <w:rPr>
          <w:lang w:val="en-US"/>
        </w:rPr>
        <w:t>HV</w:t>
      </w:r>
      <w:proofErr w:type="spellEnd"/>
      <w:r>
        <w:rPr>
          <w:lang w:val="en-US"/>
        </w:rPr>
        <w:t xml:space="preserve"> groups (</w:t>
      </w:r>
      <w:proofErr w:type="spellStart"/>
      <w:r>
        <w:rPr>
          <w:lang w:val="en-US"/>
        </w:rPr>
        <w:t>ANCOVA</w:t>
      </w:r>
      <w:proofErr w:type="spellEnd"/>
      <w:r>
        <w:rPr>
          <w:lang w:val="en-US"/>
        </w:rPr>
        <w:t xml:space="preserve"> p&lt;0·01; Table 4.2; Figure 4.3).  Due to well </w:t>
      </w:r>
      <w:r>
        <w:rPr>
          <w:lang w:val="en-US"/>
        </w:rPr>
        <w:lastRenderedPageBreak/>
        <w:t xml:space="preserve">established </w:t>
      </w:r>
      <w:proofErr w:type="spellStart"/>
      <w:r>
        <w:rPr>
          <w:lang w:val="en-US"/>
        </w:rPr>
        <w:t>DPN</w:t>
      </w:r>
      <w:proofErr w:type="spellEnd"/>
      <w:r>
        <w:rPr>
          <w:lang w:val="en-US"/>
        </w:rPr>
        <w:t xml:space="preserve"> and hence severely reduced </w:t>
      </w:r>
      <w:proofErr w:type="spellStart"/>
      <w:r>
        <w:rPr>
          <w:lang w:val="en-US"/>
        </w:rPr>
        <w:t>IENF</w:t>
      </w:r>
      <w:proofErr w:type="spellEnd"/>
      <w:r>
        <w:rPr>
          <w:lang w:val="en-US"/>
        </w:rPr>
        <w:t xml:space="preserve"> counts, we were unable to perform correlation analyses for </w:t>
      </w:r>
      <w:proofErr w:type="spellStart"/>
      <w:r>
        <w:rPr>
          <w:lang w:val="en-US"/>
        </w:rPr>
        <w:t>IENF</w:t>
      </w:r>
      <w:proofErr w:type="spellEnd"/>
      <w:r>
        <w:rPr>
          <w:lang w:val="en-US"/>
        </w:rPr>
        <w:t xml:space="preserve">, but correlations with </w:t>
      </w:r>
      <w:proofErr w:type="spellStart"/>
      <w:r>
        <w:rPr>
          <w:lang w:val="en-US"/>
        </w:rPr>
        <w:t>SENF</w:t>
      </w:r>
      <w:proofErr w:type="spellEnd"/>
      <w:r>
        <w:rPr>
          <w:lang w:val="en-US"/>
        </w:rPr>
        <w:t xml:space="preserve"> showed a significant positive correlation between </w:t>
      </w:r>
      <w:proofErr w:type="spellStart"/>
      <w:r>
        <w:rPr>
          <w:lang w:val="en-US"/>
        </w:rPr>
        <w:t>SENF</w:t>
      </w:r>
      <w:proofErr w:type="spellEnd"/>
      <w:r>
        <w:rPr>
          <w:lang w:val="en-US"/>
        </w:rPr>
        <w:t xml:space="preserve"> density and 25(OH)D levels (r=0·</w:t>
      </w:r>
      <w:r>
        <w:t>42, p=0</w:t>
      </w:r>
      <w:r>
        <w:rPr>
          <w:lang w:val="en-US"/>
        </w:rPr>
        <w:t>·</w:t>
      </w:r>
      <w:r>
        <w:t xml:space="preserve">01). </w:t>
      </w:r>
    </w:p>
    <w:p w14:paraId="56D735D5" w14:textId="77777777" w:rsidR="00876259" w:rsidRDefault="00876259" w:rsidP="00876259">
      <w:pPr>
        <w:pStyle w:val="BodyA"/>
        <w:spacing w:before="240" w:line="360" w:lineRule="auto"/>
        <w:rPr>
          <w:b/>
          <w:bCs/>
        </w:rPr>
      </w:pPr>
      <w:r>
        <w:rPr>
          <w:b/>
          <w:bCs/>
          <w:noProof/>
          <w:lang w:eastAsia="zh-CN"/>
        </w:rPr>
        <w:drawing>
          <wp:inline distT="0" distB="0" distL="0" distR="0" wp14:anchorId="4625CDDB" wp14:editId="33572F30">
            <wp:extent cx="5727066" cy="6112934"/>
            <wp:effectExtent l="0" t="0" r="0" b="0"/>
            <wp:docPr id="1073741831" name="officeArt object" descr="image7.tif"/>
            <wp:cNvGraphicFramePr/>
            <a:graphic xmlns:a="http://schemas.openxmlformats.org/drawingml/2006/main">
              <a:graphicData uri="http://schemas.openxmlformats.org/drawingml/2006/picture">
                <pic:pic xmlns:pic="http://schemas.openxmlformats.org/drawingml/2006/picture">
                  <pic:nvPicPr>
                    <pic:cNvPr id="1073741831" name="image7.tif" descr="image7.tif"/>
                    <pic:cNvPicPr>
                      <a:picLocks noChangeAspect="1"/>
                    </pic:cNvPicPr>
                  </pic:nvPicPr>
                  <pic:blipFill>
                    <a:blip r:embed="rId14"/>
                    <a:stretch>
                      <a:fillRect/>
                    </a:stretch>
                  </pic:blipFill>
                  <pic:spPr>
                    <a:xfrm>
                      <a:off x="0" y="0"/>
                      <a:ext cx="5727066" cy="6112934"/>
                    </a:xfrm>
                    <a:prstGeom prst="rect">
                      <a:avLst/>
                    </a:prstGeom>
                    <a:ln w="12700" cap="flat">
                      <a:noFill/>
                      <a:miter lim="400000"/>
                    </a:ln>
                    <a:effectLst/>
                  </pic:spPr>
                </pic:pic>
              </a:graphicData>
            </a:graphic>
          </wp:inline>
        </w:drawing>
      </w:r>
      <w:r>
        <w:rPr>
          <w:b/>
          <w:bCs/>
          <w:lang w:val="en-US"/>
        </w:rPr>
        <w:t xml:space="preserve">Figure 4.3 Skin biopsy showing </w:t>
      </w:r>
      <w:proofErr w:type="spellStart"/>
      <w:r>
        <w:rPr>
          <w:b/>
          <w:bCs/>
          <w:lang w:val="en-US"/>
        </w:rPr>
        <w:t>IENFD</w:t>
      </w:r>
      <w:proofErr w:type="spellEnd"/>
      <w:r>
        <w:rPr>
          <w:b/>
          <w:bCs/>
          <w:lang w:val="en-US"/>
        </w:rPr>
        <w:t xml:space="preserve"> AND </w:t>
      </w:r>
      <w:proofErr w:type="spellStart"/>
      <w:r>
        <w:rPr>
          <w:b/>
          <w:bCs/>
          <w:lang w:val="en-US"/>
        </w:rPr>
        <w:t>SENFD</w:t>
      </w:r>
      <w:proofErr w:type="spellEnd"/>
      <w:r>
        <w:rPr>
          <w:b/>
          <w:bCs/>
          <w:lang w:val="en-US"/>
        </w:rPr>
        <w:t xml:space="preserve"> among four groups (A; </w:t>
      </w:r>
      <w:proofErr w:type="spellStart"/>
      <w:r>
        <w:rPr>
          <w:b/>
          <w:bCs/>
          <w:lang w:val="en-US"/>
        </w:rPr>
        <w:t>HV</w:t>
      </w:r>
      <w:proofErr w:type="spellEnd"/>
      <w:r>
        <w:rPr>
          <w:b/>
          <w:bCs/>
          <w:lang w:val="en-US"/>
        </w:rPr>
        <w:t xml:space="preserve">, B; painful </w:t>
      </w:r>
      <w:proofErr w:type="spellStart"/>
      <w:r>
        <w:rPr>
          <w:b/>
          <w:bCs/>
          <w:lang w:val="en-US"/>
        </w:rPr>
        <w:t>DPN</w:t>
      </w:r>
      <w:proofErr w:type="spellEnd"/>
      <w:r>
        <w:rPr>
          <w:b/>
          <w:bCs/>
          <w:lang w:val="en-US"/>
        </w:rPr>
        <w:t xml:space="preserve">, C; painless </w:t>
      </w:r>
      <w:proofErr w:type="spellStart"/>
      <w:r>
        <w:rPr>
          <w:b/>
          <w:bCs/>
          <w:lang w:val="en-US"/>
        </w:rPr>
        <w:t>DPN</w:t>
      </w:r>
      <w:proofErr w:type="spellEnd"/>
      <w:r>
        <w:rPr>
          <w:b/>
          <w:bCs/>
          <w:lang w:val="en-US"/>
        </w:rPr>
        <w:t xml:space="preserve">, D; no </w:t>
      </w:r>
      <w:proofErr w:type="spellStart"/>
      <w:r>
        <w:rPr>
          <w:b/>
          <w:bCs/>
          <w:lang w:val="en-US"/>
        </w:rPr>
        <w:t>DPN</w:t>
      </w:r>
      <w:proofErr w:type="spellEnd"/>
      <w:r>
        <w:rPr>
          <w:b/>
          <w:bCs/>
          <w:lang w:val="en-US"/>
        </w:rPr>
        <w:t>)</w:t>
      </w:r>
    </w:p>
    <w:p w14:paraId="1938FFB4" w14:textId="70648225" w:rsidR="00876259" w:rsidRDefault="00876259" w:rsidP="00876259">
      <w:pPr>
        <w:pStyle w:val="BodyA"/>
        <w:spacing w:before="240" w:line="480" w:lineRule="auto"/>
        <w:jc w:val="both"/>
      </w:pPr>
      <w:r>
        <w:rPr>
          <w:lang w:val="en-US"/>
        </w:rPr>
        <w:t xml:space="preserve">Skin biopsy showed comparable nerve </w:t>
      </w:r>
      <w:proofErr w:type="spellStart"/>
      <w:r>
        <w:rPr>
          <w:lang w:val="en-US"/>
        </w:rPr>
        <w:t>fibres</w:t>
      </w:r>
      <w:proofErr w:type="spellEnd"/>
      <w:r>
        <w:rPr>
          <w:lang w:val="en-US"/>
        </w:rPr>
        <w:t xml:space="preserve"> in healthy volunteer controls (</w:t>
      </w:r>
      <w:proofErr w:type="spellStart"/>
      <w:r>
        <w:rPr>
          <w:lang w:val="en-US"/>
        </w:rPr>
        <w:t>HV</w:t>
      </w:r>
      <w:proofErr w:type="spellEnd"/>
      <w:r>
        <w:rPr>
          <w:lang w:val="en-US"/>
        </w:rPr>
        <w:t xml:space="preserve">, A) and type 2 diabetes without neuropathy (No </w:t>
      </w:r>
      <w:proofErr w:type="spellStart"/>
      <w:r>
        <w:rPr>
          <w:lang w:val="en-US"/>
        </w:rPr>
        <w:t>DPN</w:t>
      </w:r>
      <w:proofErr w:type="spellEnd"/>
      <w:r>
        <w:rPr>
          <w:lang w:val="en-US"/>
        </w:rPr>
        <w:t xml:space="preserve">, D). </w:t>
      </w:r>
      <w:r w:rsidR="00B85D8F">
        <w:rPr>
          <w:lang w:val="en-US"/>
        </w:rPr>
        <w:t>P</w:t>
      </w:r>
      <w:r>
        <w:rPr>
          <w:lang w:val="en-US"/>
        </w:rPr>
        <w:t xml:space="preserve">ainful </w:t>
      </w:r>
      <w:proofErr w:type="spellStart"/>
      <w:r>
        <w:rPr>
          <w:lang w:val="en-US"/>
        </w:rPr>
        <w:t>DPN</w:t>
      </w:r>
      <w:proofErr w:type="spellEnd"/>
      <w:r>
        <w:rPr>
          <w:lang w:val="en-US"/>
        </w:rPr>
        <w:t xml:space="preserve"> (B) and painless </w:t>
      </w:r>
      <w:proofErr w:type="spellStart"/>
      <w:r>
        <w:rPr>
          <w:lang w:val="en-US"/>
        </w:rPr>
        <w:t>DPN</w:t>
      </w:r>
      <w:proofErr w:type="spellEnd"/>
      <w:r>
        <w:rPr>
          <w:lang w:val="en-US"/>
        </w:rPr>
        <w:t xml:space="preserve"> (C) </w:t>
      </w:r>
      <w:r>
        <w:rPr>
          <w:lang w:val="en-US"/>
        </w:rPr>
        <w:lastRenderedPageBreak/>
        <w:t>groups had significant and comparable reduction in intra-epidermal (</w:t>
      </w:r>
      <w:proofErr w:type="spellStart"/>
      <w:r>
        <w:rPr>
          <w:lang w:val="en-US"/>
        </w:rPr>
        <w:t>IENFD</w:t>
      </w:r>
      <w:proofErr w:type="spellEnd"/>
      <w:r>
        <w:rPr>
          <w:lang w:val="en-US"/>
        </w:rPr>
        <w:t xml:space="preserve">) and sub-epidermal nerve </w:t>
      </w:r>
      <w:proofErr w:type="spellStart"/>
      <w:r>
        <w:rPr>
          <w:lang w:val="en-US"/>
        </w:rPr>
        <w:t>fibre</w:t>
      </w:r>
      <w:proofErr w:type="spellEnd"/>
      <w:r>
        <w:rPr>
          <w:lang w:val="en-US"/>
        </w:rPr>
        <w:t xml:space="preserve"> density (</w:t>
      </w:r>
      <w:proofErr w:type="spellStart"/>
      <w:r>
        <w:rPr>
          <w:lang w:val="en-US"/>
        </w:rPr>
        <w:t>SENFD</w:t>
      </w:r>
      <w:proofErr w:type="spellEnd"/>
      <w:r>
        <w:rPr>
          <w:lang w:val="en-US"/>
        </w:rPr>
        <w:t xml:space="preserve">).  Box chart E in figure 4.3 shows mean </w:t>
      </w:r>
      <w:proofErr w:type="spellStart"/>
      <w:r>
        <w:rPr>
          <w:lang w:val="en-US"/>
        </w:rPr>
        <w:t>IENFD</w:t>
      </w:r>
      <w:proofErr w:type="spellEnd"/>
      <w:r>
        <w:rPr>
          <w:lang w:val="en-US"/>
        </w:rPr>
        <w:t xml:space="preserve"> and box chart F shows mean </w:t>
      </w:r>
      <w:proofErr w:type="spellStart"/>
      <w:r>
        <w:rPr>
          <w:lang w:val="en-US"/>
        </w:rPr>
        <w:t>SENFD</w:t>
      </w:r>
      <w:proofErr w:type="spellEnd"/>
      <w:r>
        <w:rPr>
          <w:lang w:val="en-US"/>
        </w:rPr>
        <w:t xml:space="preserve"> based on immunoreactivity for PGP9·5 antibody, with 95% confidence interval. Figure E (</w:t>
      </w:r>
      <w:proofErr w:type="spellStart"/>
      <w:r>
        <w:rPr>
          <w:lang w:val="en-US"/>
        </w:rPr>
        <w:t>IENFD</w:t>
      </w:r>
      <w:proofErr w:type="spellEnd"/>
      <w:r>
        <w:rPr>
          <w:lang w:val="en-US"/>
        </w:rPr>
        <w:t xml:space="preserve">) showed ANOVA, p&lt;0.001; but post-hoc pairwise comparisons showed no group differences between painful </w:t>
      </w:r>
      <w:proofErr w:type="spellStart"/>
      <w:r>
        <w:rPr>
          <w:lang w:val="en-US"/>
        </w:rPr>
        <w:t>DPN</w:t>
      </w:r>
      <w:proofErr w:type="spellEnd"/>
      <w:r>
        <w:rPr>
          <w:lang w:val="en-US"/>
        </w:rPr>
        <w:t xml:space="preserve"> vs painless </w:t>
      </w:r>
      <w:proofErr w:type="spellStart"/>
      <w:r>
        <w:rPr>
          <w:lang w:val="en-US"/>
        </w:rPr>
        <w:t>DPN</w:t>
      </w:r>
      <w:proofErr w:type="spellEnd"/>
      <w:r>
        <w:rPr>
          <w:lang w:val="en-US"/>
        </w:rPr>
        <w:t xml:space="preserve"> (p=0·91) but both neuropathy groups (</w:t>
      </w:r>
      <w:r w:rsidR="006C14E5">
        <w:rPr>
          <w:lang w:val="en-US"/>
        </w:rPr>
        <w:t>p</w:t>
      </w:r>
      <w:r>
        <w:rPr>
          <w:lang w:val="en-US"/>
        </w:rPr>
        <w:t xml:space="preserve">ainful and </w:t>
      </w:r>
      <w:r w:rsidR="006C14E5">
        <w:rPr>
          <w:lang w:val="en-US"/>
        </w:rPr>
        <w:t>p</w:t>
      </w:r>
      <w:r>
        <w:rPr>
          <w:lang w:val="en-US"/>
        </w:rPr>
        <w:t xml:space="preserve">ainless </w:t>
      </w:r>
      <w:proofErr w:type="spellStart"/>
      <w:r>
        <w:rPr>
          <w:lang w:val="en-US"/>
        </w:rPr>
        <w:t>DPN</w:t>
      </w:r>
      <w:proofErr w:type="spellEnd"/>
      <w:r>
        <w:rPr>
          <w:lang w:val="en-US"/>
        </w:rPr>
        <w:t xml:space="preserve">) had significant reduction in </w:t>
      </w:r>
      <w:proofErr w:type="spellStart"/>
      <w:r>
        <w:rPr>
          <w:lang w:val="en-US"/>
        </w:rPr>
        <w:t>IENFD</w:t>
      </w:r>
      <w:proofErr w:type="spellEnd"/>
      <w:r>
        <w:rPr>
          <w:lang w:val="en-US"/>
        </w:rPr>
        <w:t xml:space="preserve"> compared to </w:t>
      </w:r>
      <w:proofErr w:type="spellStart"/>
      <w:r>
        <w:rPr>
          <w:lang w:val="en-US"/>
        </w:rPr>
        <w:t>HV</w:t>
      </w:r>
      <w:proofErr w:type="spellEnd"/>
      <w:r>
        <w:rPr>
          <w:lang w:val="en-US"/>
        </w:rPr>
        <w:t xml:space="preserve"> (p = &lt;0.001)). Figure F (</w:t>
      </w:r>
      <w:proofErr w:type="spellStart"/>
      <w:r>
        <w:rPr>
          <w:lang w:val="en-US"/>
        </w:rPr>
        <w:t>SENFD</w:t>
      </w:r>
      <w:proofErr w:type="spellEnd"/>
      <w:r>
        <w:rPr>
          <w:lang w:val="en-US"/>
        </w:rPr>
        <w:t xml:space="preserve">) ANOVA, p&lt;0.001 and post-hoc pairwise comparisons between Painful </w:t>
      </w:r>
      <w:proofErr w:type="spellStart"/>
      <w:r>
        <w:rPr>
          <w:lang w:val="en-US"/>
        </w:rPr>
        <w:t>DPN</w:t>
      </w:r>
      <w:proofErr w:type="spellEnd"/>
      <w:r>
        <w:rPr>
          <w:lang w:val="en-US"/>
        </w:rPr>
        <w:t xml:space="preserve"> vs Painless </w:t>
      </w:r>
      <w:proofErr w:type="spellStart"/>
      <w:r>
        <w:rPr>
          <w:lang w:val="en-US"/>
        </w:rPr>
        <w:t>DPN</w:t>
      </w:r>
      <w:proofErr w:type="spellEnd"/>
      <w:r>
        <w:rPr>
          <w:lang w:val="en-US"/>
        </w:rPr>
        <w:t xml:space="preserve"> (p=0·</w:t>
      </w:r>
      <w:r>
        <w:t xml:space="preserve">28) </w:t>
      </w:r>
    </w:p>
    <w:p w14:paraId="3AB64F45" w14:textId="77777777" w:rsidR="00876259" w:rsidRDefault="00876259" w:rsidP="00876259">
      <w:pPr>
        <w:pStyle w:val="Heading2"/>
        <w:spacing w:line="480" w:lineRule="auto"/>
        <w:rPr>
          <w:i w:val="0"/>
          <w:iCs w:val="0"/>
          <w:sz w:val="24"/>
          <w:szCs w:val="24"/>
        </w:rPr>
      </w:pPr>
      <w:bookmarkStart w:id="105" w:name="_Toc47"/>
      <w:bookmarkStart w:id="106" w:name="_Toc6093022"/>
      <w:r>
        <w:rPr>
          <w:i w:val="0"/>
          <w:iCs w:val="0"/>
          <w:sz w:val="24"/>
          <w:szCs w:val="24"/>
          <w:lang w:val="en-US"/>
        </w:rPr>
        <w:t>4.3 Discussion</w:t>
      </w:r>
      <w:bookmarkEnd w:id="105"/>
      <w:bookmarkEnd w:id="106"/>
    </w:p>
    <w:p w14:paraId="7F0BCA5A" w14:textId="0D3A9B0E" w:rsidR="00876259" w:rsidRDefault="00876259" w:rsidP="00876259">
      <w:pPr>
        <w:pStyle w:val="BodyA"/>
        <w:spacing w:line="480" w:lineRule="auto"/>
        <w:jc w:val="both"/>
      </w:pPr>
      <w:r>
        <w:rPr>
          <w:lang w:val="en-US"/>
        </w:rPr>
        <w:t xml:space="preserve">A number of recent studies have reported reduced vitamin D levels in </w:t>
      </w:r>
      <w:proofErr w:type="spellStart"/>
      <w:r>
        <w:rPr>
          <w:lang w:val="en-US"/>
        </w:rPr>
        <w:t>DPN</w:t>
      </w:r>
      <w:proofErr w:type="spellEnd"/>
      <w:r>
        <w:rPr>
          <w:lang w:val="en-US"/>
        </w:rPr>
        <w:t xml:space="preserve"> </w:t>
      </w:r>
      <w:r>
        <w:fldChar w:fldCharType="begin"/>
      </w:r>
      <w:r>
        <w:instrText xml:space="preserve"> ADDIN EN.CITE &lt;EndNote&gt;&lt;Cite  &gt;&lt;Author&gt;Lv&lt;/Author&gt;&lt;Year&gt;2015&lt;/Year&gt;&lt;RecNum&gt;404&lt;/RecNum&gt;&lt;DisplayText&gt;(Lv et al., 2015)&lt;/DisplayText&gt;&lt;record&gt;&lt;dates&gt;&lt;pub-dates&gt;&lt;date&gt;May&lt;/date&gt;&lt;/pub-dates&gt;&lt;year&gt;2015&lt;/year&gt;&lt;/dates&gt;&lt;keywords&gt;&lt;keyword&gt;Diabetes Mellitus, Type 2&lt;/keyword&gt;&lt;keyword&gt;Diabetic Neuropathies&lt;/keyword&gt;&lt;keyword&gt;Humans&lt;/keyword&gt;&lt;keyword&gt;Vitamin D&lt;/keyword&gt;&lt;/keywords&gt;&lt;urls&gt;&lt;related-urls&gt;&lt;url&gt;https://www.ncbi.nlm.nih.gov/pubmed/25527161&lt;/url&gt;&lt;/related-urls&gt;&lt;/urls&gt;&lt;isbn&gt;1720-8386&lt;/isbn&gt;&lt;titles&gt;&lt;title&gt;Serum 25-hydroxyvitamin D levels and peripheral neuropathy in patients with type 2 diabetes: a systematic review and meta-analysis&lt;/title&gt;&lt;secondary-title&gt;J Endocrinol Invest&lt;/secondary-title&gt;&lt;/titles&gt;&lt;pages&gt;513-8&lt;/pages&gt;&lt;number&gt;5&lt;/number&gt;&lt;contributors&gt;&lt;authors&gt;&lt;author&gt;Lv, W. S.&lt;/author&gt;&lt;author&gt;Zhao, W. J.&lt;/author&gt;&lt;author&gt;Gong, S. L.&lt;/author&gt;&lt;author&gt;Fang, D. D.&lt;/author&gt;&lt;author&gt;Wang, B.&lt;/author&gt;&lt;author&gt;Fu, Z. J.&lt;/author&gt;&lt;author&gt;Yan, S. L.&lt;/author&gt;&lt;author&gt;Wang, Y. G.&lt;/author&gt;&lt;/authors&gt;&lt;/contributors&gt;&lt;language&gt;eng&lt;/language&gt;&lt;added-date format="utc"&gt;1471289232&lt;/added-date&gt;&lt;ref-type name="Journal Article"&gt;17&lt;/ref-type&gt;&lt;rec-number&gt;404&lt;/rec-number&gt;&lt;last-updated-date format="utc"&gt;1471289232&lt;/last-updated-date&gt;&lt;accession-num&gt;25527161&lt;/accession-num&gt;&lt;electronic-resource-num&gt;10.1007/s40618-014-0210-6&lt;/electronic-resource-num&gt;&lt;volume&gt;38&lt;/volume&gt;&lt;/record&gt;&lt;/Cite&gt;&lt;/EndNote&gt;</w:instrText>
      </w:r>
      <w:r>
        <w:fldChar w:fldCharType="separate"/>
      </w:r>
      <w:r>
        <w:t>(Lv et al., 2015)</w:t>
      </w:r>
      <w:r>
        <w:fldChar w:fldCharType="end"/>
      </w:r>
      <w:r>
        <w:rPr>
          <w:lang w:val="en-US"/>
        </w:rPr>
        <w:t xml:space="preserve"> although many of these did not assess major confounding factors including seasonal sunlight exposure and daily activity. In addition, most studies did not differentiate between </w:t>
      </w:r>
      <w:r w:rsidR="006C14E5">
        <w:rPr>
          <w:lang w:val="en-US"/>
        </w:rPr>
        <w:t>p</w:t>
      </w:r>
      <w:r>
        <w:rPr>
          <w:lang w:val="en-US"/>
        </w:rPr>
        <w:t xml:space="preserve">ainful </w:t>
      </w:r>
      <w:proofErr w:type="spellStart"/>
      <w:r>
        <w:rPr>
          <w:lang w:val="en-US"/>
        </w:rPr>
        <w:t>DPN</w:t>
      </w:r>
      <w:proofErr w:type="spellEnd"/>
      <w:r>
        <w:rPr>
          <w:lang w:val="en-US"/>
        </w:rPr>
        <w:t xml:space="preserve"> and </w:t>
      </w:r>
      <w:r w:rsidR="006C14E5">
        <w:rPr>
          <w:lang w:val="en-US"/>
        </w:rPr>
        <w:t>p</w:t>
      </w:r>
      <w:r>
        <w:rPr>
          <w:lang w:val="en-US"/>
        </w:rPr>
        <w:t xml:space="preserve">ainless </w:t>
      </w:r>
      <w:proofErr w:type="spellStart"/>
      <w:r>
        <w:rPr>
          <w:lang w:val="en-US"/>
        </w:rPr>
        <w:t>DPN</w:t>
      </w:r>
      <w:proofErr w:type="spellEnd"/>
      <w:r>
        <w:rPr>
          <w:lang w:val="en-US"/>
        </w:rPr>
        <w:t xml:space="preserve"> </w:t>
      </w:r>
      <w:r>
        <w:rPr>
          <w:lang w:val="de-DE"/>
        </w:rPr>
        <w:fldChar w:fldCharType="begin"/>
      </w:r>
      <w:r w:rsidRPr="005B5764">
        <w:instrText xml:space="preserve"> ADDIN EN.CITE &lt;EndNote&gt;&lt;Cite  &gt;&lt;Author&gt;Straube&lt;/Author&gt;&lt;Year&gt;2010&lt;/Year&gt;&lt;RecNum&gt;378&lt;/RecNum&gt;&lt;DisplayText&gt;(Straube et al., 2010)&lt;/DisplayText&gt;&lt;record&gt;&lt;dates&gt;&lt;pub-dates&gt;&lt;date&gt;2010&lt;/date&gt;&lt;/pub-dates&gt;&lt;year&gt;2010&lt;/year&gt;&lt;/dates&gt;&lt;urls&gt;&lt;related-urls&gt;&lt;url&gt;&amp;lt;Go to ISI&amp;gt;://WOS:000274653900040&lt;/url&gt;&lt;/related-urls&gt;&lt;/urls&gt;&lt;isbn&gt;1469-493X&lt;/isbn&gt;&lt;titles&gt;&lt;title&gt;Vitamin D for the treatment of chronic painful conditions in adults&lt;/title&gt;&lt;secondary-title&gt;Cochrane Database of Systematic Reviews&lt;/secondary-title&gt;&lt;/titles&gt;&lt;number&gt;1&lt;/number&gt;&lt;contributors&gt;&lt;authors&gt;&lt;author&gt;Straube, Sebastian&lt;/author&gt;&lt;author&gt;Derry, Sheena&lt;/author&gt;&lt;author&gt;Moore, R. Andrew&lt;/author&gt;&lt;author&gt;McQuay, Henry J.&lt;/author&gt;&lt;/authors&gt;&lt;/contributors&gt;&lt;custom7&gt;Cd007771&lt;/custom7&gt;&lt;added-date format="utc"&gt;1428587228&lt;/added-date&gt;&lt;ref-type name="Journal Article"&gt;17&lt;/ref-type&gt;&lt;rec-number&gt;378&lt;/rec-number&gt;&lt;last-updated-date format="utc"&gt;1428587228&lt;/last-updated-date&gt;&lt;accession-num&gt;WOS:000274653900040&lt;/accession-num&gt;&lt;electronic-resource-num&gt;10.1002/14651858.CD007771.pub2&lt;/electronic-resource-num&gt;&lt;/record&gt;&lt;/Cite&gt;&lt;/EndNote&gt;</w:instrText>
      </w:r>
      <w:r>
        <w:rPr>
          <w:lang w:val="de-DE"/>
        </w:rPr>
        <w:fldChar w:fldCharType="separate"/>
      </w:r>
      <w:r w:rsidRPr="005B5764">
        <w:t>(Straube et al., 2010)</w:t>
      </w:r>
      <w:r>
        <w:rPr>
          <w:lang w:val="de-DE"/>
        </w:rPr>
        <w:fldChar w:fldCharType="end"/>
      </w:r>
      <w:r>
        <w:rPr>
          <w:lang w:val="en-US"/>
        </w:rPr>
        <w:t xml:space="preserve">. There is some evidence, although not consistent, that vitamin D supplementation improves painful neuropathic symptoms </w:t>
      </w:r>
      <w:r>
        <w:rPr>
          <w:lang w:val="fr-FR"/>
        </w:rPr>
        <w:fldChar w:fldCharType="begin"/>
      </w:r>
      <w:r w:rsidRPr="005B5764">
        <w:instrText xml:space="preserve"> ADDIN EN.CITE &lt;EndNote&gt;&lt;Cite  &gt;&lt;Author&gt;Basit&lt;/Author&gt;&lt;Year&gt;2016&lt;/Year&gt;&lt;RecNum&gt;402&lt;/RecNum&gt;&lt;DisplayText&gt;(Basit et al., 2016)&lt;/DisplayText&gt;&lt;record&gt;&lt;urls&gt;&lt;related-urls&gt;&lt;url&gt;https://www.ncbi.nlm.nih.gov/pubmed/27026808&lt;/url&gt;&lt;/related-urls&gt;&lt;/urls&gt;&lt;isbn&gt;2052-4897&lt;/isbn&gt;&lt;custom2&gt;PMC4800070&lt;/custom2&gt;&lt;titles&gt;&lt;title&gt;Vitamin D for the treatment of painful diabetic neuropathy&lt;/title&gt;&lt;secondary-title&gt;BMJ Open Diabetes Res Care&lt;/secondary-title&gt;&lt;/titles&gt;&lt;pages&gt;e000148&lt;/pages&gt;&lt;number&gt;1&lt;/number&gt;&lt;contributors&gt;&lt;authors&gt;&lt;author&gt;Basit, A.&lt;/author&gt;&lt;author&gt;Basit, K. A.&lt;/author&gt;&lt;author&gt;Fawwad, A.&lt;/author&gt;&lt;author&gt;Shaheen, F.&lt;/author&gt;&lt;author&gt;Fatima, N.&lt;/author&gt;&lt;author&gt;Petropoulos, I. N.&lt;/author&gt;&lt;author&gt;Alam, U.&lt;/author&gt;&lt;author&gt;Malik, R. A.&lt;/author&gt;&lt;/authors&gt;&lt;/contributors&gt;&lt;language&gt;eng&lt;/language&gt;&lt;added-date format="utc"&gt;1471288440&lt;/added-date&gt;&lt;ref-type name="Journal Article"&gt;17&lt;/ref-type&gt;&lt;dates&gt;&lt;year&gt;2016&lt;/year&gt;&lt;/dates&gt;&lt;rec-number&gt;402&lt;/rec-number&gt;&lt;last-updated-date format="utc"&gt;1471288440&lt;/last-updated-date&gt;&lt;accession-num&gt;27026808&lt;/accession-num&gt;&lt;electronic-resource-num&gt;10.1136/bmjdrc-2015-000148&lt;/electronic-resource-num&gt;&lt;volume&gt;4&lt;/volume&gt;&lt;/record&gt;&lt;/Cite&gt;&lt;/EndNote&gt;</w:instrText>
      </w:r>
      <w:r>
        <w:rPr>
          <w:lang w:val="fr-FR"/>
        </w:rPr>
        <w:fldChar w:fldCharType="separate"/>
      </w:r>
      <w:r w:rsidRPr="005B5764">
        <w:t>(Basit et al., 2016)</w:t>
      </w:r>
      <w:r>
        <w:rPr>
          <w:lang w:val="fr-FR"/>
        </w:rPr>
        <w:fldChar w:fldCharType="end"/>
      </w:r>
      <w:r>
        <w:rPr>
          <w:lang w:val="en-US"/>
        </w:rPr>
        <w:t xml:space="preserve">, suggesting vitamin D may have a role in the pathogenesis of </w:t>
      </w:r>
      <w:r w:rsidR="006C14E5">
        <w:rPr>
          <w:lang w:val="en-US"/>
        </w:rPr>
        <w:t>p</w:t>
      </w:r>
      <w:r>
        <w:rPr>
          <w:lang w:val="en-US"/>
        </w:rPr>
        <w:t xml:space="preserve">ainful </w:t>
      </w:r>
      <w:proofErr w:type="spellStart"/>
      <w:r>
        <w:rPr>
          <w:lang w:val="en-US"/>
        </w:rPr>
        <w:t>DPN</w:t>
      </w:r>
      <w:proofErr w:type="spellEnd"/>
      <w:r>
        <w:rPr>
          <w:lang w:val="en-US"/>
        </w:rPr>
        <w:t xml:space="preserve">.  </w:t>
      </w:r>
      <w:r w:rsidR="006C14E5">
        <w:rPr>
          <w:lang w:val="en-US"/>
        </w:rPr>
        <w:t>0</w:t>
      </w:r>
      <w:r>
        <w:rPr>
          <w:lang w:val="en-US"/>
        </w:rPr>
        <w:t xml:space="preserve">ur study was designed to address these limitations by: 1) careful </w:t>
      </w:r>
      <w:proofErr w:type="spellStart"/>
      <w:r>
        <w:rPr>
          <w:lang w:val="en-US"/>
        </w:rPr>
        <w:t>characterisation</w:t>
      </w:r>
      <w:proofErr w:type="spellEnd"/>
      <w:r>
        <w:rPr>
          <w:lang w:val="en-US"/>
        </w:rPr>
        <w:t xml:space="preserve"> and detailed phenotyping of </w:t>
      </w:r>
      <w:proofErr w:type="spellStart"/>
      <w:r>
        <w:rPr>
          <w:lang w:val="en-US"/>
        </w:rPr>
        <w:t>DPN</w:t>
      </w:r>
      <w:proofErr w:type="spellEnd"/>
      <w:r>
        <w:rPr>
          <w:lang w:val="en-US"/>
        </w:rPr>
        <w:t xml:space="preserve">, using internationally </w:t>
      </w:r>
      <w:proofErr w:type="spellStart"/>
      <w:r>
        <w:rPr>
          <w:lang w:val="en-US"/>
        </w:rPr>
        <w:t>recognised</w:t>
      </w:r>
      <w:proofErr w:type="spellEnd"/>
      <w:r>
        <w:rPr>
          <w:lang w:val="en-US"/>
        </w:rPr>
        <w:t xml:space="preserve"> standards; 2) restricting the collection of vitamin D blood samples during the summer months (July to September); 3) quantifying sunlight exposure and activity levels, using validated questionnaires to estimate exposure to UV radiation, and 4) Examining the relationship of vitamin D with measures of small and large nerve </w:t>
      </w:r>
      <w:proofErr w:type="spellStart"/>
      <w:r>
        <w:rPr>
          <w:lang w:val="en-US"/>
        </w:rPr>
        <w:t>fibre</w:t>
      </w:r>
      <w:proofErr w:type="spellEnd"/>
      <w:r>
        <w:rPr>
          <w:lang w:val="en-US"/>
        </w:rPr>
        <w:t xml:space="preserve"> function using quantitative sensory testing (</w:t>
      </w:r>
      <w:proofErr w:type="spellStart"/>
      <w:r>
        <w:rPr>
          <w:lang w:val="en-US"/>
        </w:rPr>
        <w:t>QST</w:t>
      </w:r>
      <w:proofErr w:type="spellEnd"/>
      <w:r>
        <w:rPr>
          <w:lang w:val="en-US"/>
        </w:rPr>
        <w:t>), skin biopsy and nerve conduction studies.</w:t>
      </w:r>
    </w:p>
    <w:p w14:paraId="025ED90F" w14:textId="3E8CBAC9" w:rsidR="00876259" w:rsidRDefault="00876259" w:rsidP="00876259">
      <w:pPr>
        <w:pStyle w:val="BodyA"/>
        <w:spacing w:line="480" w:lineRule="auto"/>
        <w:jc w:val="both"/>
      </w:pPr>
      <w:r>
        <w:rPr>
          <w:lang w:val="en-US"/>
        </w:rPr>
        <w:t xml:space="preserve">After adjusting for age, BMI, activity score and sunlight exposure, we demonstrated significantly lower serum 25(OH)D levels in participants with </w:t>
      </w:r>
      <w:r w:rsidR="006C14E5">
        <w:rPr>
          <w:lang w:val="en-US"/>
        </w:rPr>
        <w:t>p</w:t>
      </w:r>
      <w:r>
        <w:rPr>
          <w:lang w:val="en-US"/>
        </w:rPr>
        <w:t xml:space="preserve">ainful </w:t>
      </w:r>
      <w:proofErr w:type="spellStart"/>
      <w:r>
        <w:rPr>
          <w:lang w:val="en-US"/>
        </w:rPr>
        <w:t>DPN</w:t>
      </w:r>
      <w:proofErr w:type="spellEnd"/>
      <w:r>
        <w:rPr>
          <w:lang w:val="en-US"/>
        </w:rPr>
        <w:t xml:space="preserve"> compared to </w:t>
      </w:r>
      <w:r w:rsidR="006C14E5">
        <w:rPr>
          <w:lang w:val="en-US"/>
        </w:rPr>
        <w:lastRenderedPageBreak/>
        <w:t>p</w:t>
      </w:r>
      <w:r>
        <w:rPr>
          <w:lang w:val="en-US"/>
        </w:rPr>
        <w:t xml:space="preserve">ainless </w:t>
      </w:r>
      <w:proofErr w:type="spellStart"/>
      <w:r>
        <w:rPr>
          <w:lang w:val="en-US"/>
        </w:rPr>
        <w:t>DPN</w:t>
      </w:r>
      <w:proofErr w:type="spellEnd"/>
      <w:r>
        <w:rPr>
          <w:lang w:val="en-US"/>
        </w:rPr>
        <w:t xml:space="preserve">, No </w:t>
      </w:r>
      <w:proofErr w:type="spellStart"/>
      <w:r>
        <w:rPr>
          <w:lang w:val="en-US"/>
        </w:rPr>
        <w:t>DPN</w:t>
      </w:r>
      <w:proofErr w:type="spellEnd"/>
      <w:r>
        <w:rPr>
          <w:lang w:val="en-US"/>
        </w:rPr>
        <w:t xml:space="preserve"> and </w:t>
      </w:r>
      <w:proofErr w:type="spellStart"/>
      <w:r>
        <w:rPr>
          <w:lang w:val="en-US"/>
        </w:rPr>
        <w:t>HVs</w:t>
      </w:r>
      <w:proofErr w:type="spellEnd"/>
      <w:r>
        <w:rPr>
          <w:lang w:val="en-US"/>
        </w:rPr>
        <w:t xml:space="preserve">. In our study cohort with established </w:t>
      </w:r>
      <w:proofErr w:type="spellStart"/>
      <w:r>
        <w:rPr>
          <w:lang w:val="en-US"/>
        </w:rPr>
        <w:t>DPN</w:t>
      </w:r>
      <w:proofErr w:type="spellEnd"/>
      <w:r w:rsidR="00B17210">
        <w:rPr>
          <w:lang w:val="en-US"/>
        </w:rPr>
        <w:t>,</w:t>
      </w:r>
      <w:r>
        <w:rPr>
          <w:lang w:val="en-US"/>
        </w:rPr>
        <w:t xml:space="preserve"> comprehensive cardiac autonomic function test</w:t>
      </w:r>
      <w:r w:rsidR="00B17210">
        <w:rPr>
          <w:lang w:val="en-US"/>
        </w:rPr>
        <w:t>ing</w:t>
      </w:r>
      <w:r>
        <w:rPr>
          <w:lang w:val="en-US"/>
        </w:rPr>
        <w:t xml:space="preserve"> showed equally reduced scores in both </w:t>
      </w:r>
      <w:r w:rsidR="006C14E5">
        <w:rPr>
          <w:lang w:val="en-US"/>
        </w:rPr>
        <w:t>p</w:t>
      </w:r>
      <w:r>
        <w:rPr>
          <w:lang w:val="en-US"/>
        </w:rPr>
        <w:t xml:space="preserve">ainful and </w:t>
      </w:r>
      <w:r w:rsidR="006C14E5">
        <w:rPr>
          <w:lang w:val="en-US"/>
        </w:rPr>
        <w:t>p</w:t>
      </w:r>
      <w:r>
        <w:rPr>
          <w:lang w:val="en-US"/>
        </w:rPr>
        <w:t xml:space="preserve">ainless </w:t>
      </w:r>
      <w:proofErr w:type="spellStart"/>
      <w:r>
        <w:rPr>
          <w:lang w:val="en-US"/>
        </w:rPr>
        <w:t>DPN</w:t>
      </w:r>
      <w:proofErr w:type="spellEnd"/>
      <w:r>
        <w:rPr>
          <w:lang w:val="en-US"/>
        </w:rPr>
        <w:t xml:space="preserve">, without any statistically significant difference between those groups. Though there was no significant correlation between vitamin D and total O’Brien autonomic score, there was a trend towards this. The serum 25(OH)D levels were lowest in participants with the highest reported pain scores.  As pain and thermal perception are mediated by small sensory </w:t>
      </w:r>
      <w:proofErr w:type="spellStart"/>
      <w:r>
        <w:rPr>
          <w:lang w:val="en-US"/>
        </w:rPr>
        <w:t>fibres</w:t>
      </w:r>
      <w:proofErr w:type="spellEnd"/>
      <w:r>
        <w:rPr>
          <w:lang w:val="en-US"/>
        </w:rPr>
        <w:t>, our findings suggest that vitamin D deficiency may have a role in the pathogenesis of small-</w:t>
      </w:r>
      <w:proofErr w:type="spellStart"/>
      <w:r>
        <w:rPr>
          <w:lang w:val="en-US"/>
        </w:rPr>
        <w:t>fibre</w:t>
      </w:r>
      <w:proofErr w:type="spellEnd"/>
      <w:r>
        <w:rPr>
          <w:lang w:val="en-US"/>
        </w:rPr>
        <w:t xml:space="preserve"> neuropathy particularly affecting nociceptors, contributing to the development of </w:t>
      </w:r>
      <w:r w:rsidR="006C14E5">
        <w:rPr>
          <w:lang w:val="en-US"/>
        </w:rPr>
        <w:t>p</w:t>
      </w:r>
      <w:r>
        <w:rPr>
          <w:lang w:val="en-US"/>
        </w:rPr>
        <w:t xml:space="preserve">ainful </w:t>
      </w:r>
      <w:proofErr w:type="spellStart"/>
      <w:r>
        <w:rPr>
          <w:lang w:val="en-US"/>
        </w:rPr>
        <w:t>DPN</w:t>
      </w:r>
      <w:proofErr w:type="spellEnd"/>
      <w:r>
        <w:rPr>
          <w:lang w:val="en-US"/>
        </w:rPr>
        <w:t xml:space="preserve">.  This view is supported by the marked reduction of cold detection threshold, considered to be mediated by </w:t>
      </w:r>
      <w:proofErr w:type="spellStart"/>
      <w:r>
        <w:rPr>
          <w:lang w:val="en-US"/>
        </w:rPr>
        <w:t>Aδ</w:t>
      </w:r>
      <w:proofErr w:type="spellEnd"/>
      <w:r>
        <w:rPr>
          <w:lang w:val="en-US"/>
        </w:rPr>
        <w:t xml:space="preserve"> </w:t>
      </w:r>
      <w:proofErr w:type="spellStart"/>
      <w:r>
        <w:rPr>
          <w:lang w:val="en-US"/>
        </w:rPr>
        <w:t>fibres</w:t>
      </w:r>
      <w:proofErr w:type="spellEnd"/>
      <w:r>
        <w:rPr>
          <w:lang w:val="en-US"/>
        </w:rPr>
        <w:t xml:space="preserve">, in the </w:t>
      </w:r>
      <w:r w:rsidR="006C14E5">
        <w:rPr>
          <w:lang w:val="en-US"/>
        </w:rPr>
        <w:t>p</w:t>
      </w:r>
      <w:r>
        <w:rPr>
          <w:lang w:val="en-US"/>
        </w:rPr>
        <w:t xml:space="preserve">ainful </w:t>
      </w:r>
      <w:proofErr w:type="spellStart"/>
      <w:r>
        <w:rPr>
          <w:lang w:val="en-US"/>
        </w:rPr>
        <w:t>DPN</w:t>
      </w:r>
      <w:proofErr w:type="spellEnd"/>
      <w:r>
        <w:rPr>
          <w:lang w:val="en-US"/>
        </w:rPr>
        <w:t xml:space="preserve"> group, and the significant correlation between vitamin D levels and cold detection threshold.  Further, there was a significant relationship between </w:t>
      </w:r>
      <w:proofErr w:type="spellStart"/>
      <w:r>
        <w:rPr>
          <w:lang w:val="en-US"/>
        </w:rPr>
        <w:t>SENF</w:t>
      </w:r>
      <w:proofErr w:type="spellEnd"/>
      <w:r>
        <w:rPr>
          <w:lang w:val="en-US"/>
        </w:rPr>
        <w:t xml:space="preserve"> density and vitamin D levels, but not nerve conduction studies (</w:t>
      </w:r>
      <w:proofErr w:type="spellStart"/>
      <w:r>
        <w:rPr>
          <w:lang w:val="en-US"/>
        </w:rPr>
        <w:t>NCS</w:t>
      </w:r>
      <w:proofErr w:type="spellEnd"/>
      <w:r>
        <w:rPr>
          <w:lang w:val="en-US"/>
        </w:rPr>
        <w:t xml:space="preserve">).  The </w:t>
      </w:r>
      <w:proofErr w:type="spellStart"/>
      <w:r>
        <w:rPr>
          <w:lang w:val="en-US"/>
        </w:rPr>
        <w:t>NCS</w:t>
      </w:r>
      <w:proofErr w:type="spellEnd"/>
      <w:r>
        <w:rPr>
          <w:lang w:val="en-US"/>
        </w:rPr>
        <w:t xml:space="preserve">, included in the NIS(LL)+7 test, are predominantly a measure of large nerve </w:t>
      </w:r>
      <w:proofErr w:type="spellStart"/>
      <w:r>
        <w:rPr>
          <w:lang w:val="en-US"/>
        </w:rPr>
        <w:t>fibre</w:t>
      </w:r>
      <w:proofErr w:type="spellEnd"/>
      <w:r>
        <w:rPr>
          <w:lang w:val="en-US"/>
        </w:rPr>
        <w:t xml:space="preserve"> function, whereas skin biopsy is considered to be the gold standard for diagnosing and assessing small </w:t>
      </w:r>
      <w:proofErr w:type="spellStart"/>
      <w:r>
        <w:rPr>
          <w:lang w:val="en-US"/>
        </w:rPr>
        <w:t>fibre</w:t>
      </w:r>
      <w:proofErr w:type="spellEnd"/>
      <w:r>
        <w:rPr>
          <w:lang w:val="en-US"/>
        </w:rPr>
        <w:t xml:space="preserve"> neuropathy.  </w:t>
      </w:r>
    </w:p>
    <w:p w14:paraId="0BB9B964" w14:textId="77777777" w:rsidR="00876259" w:rsidRDefault="00876259" w:rsidP="00876259">
      <w:pPr>
        <w:pStyle w:val="BodyA"/>
        <w:spacing w:line="480" w:lineRule="auto"/>
        <w:jc w:val="both"/>
      </w:pPr>
      <w:r>
        <w:rPr>
          <w:lang w:val="en-US"/>
        </w:rPr>
        <w:t>Vitamin D has an important role in promoting nerve growth factor (</w:t>
      </w:r>
      <w:proofErr w:type="spellStart"/>
      <w:r>
        <w:rPr>
          <w:lang w:val="en-US"/>
        </w:rPr>
        <w:t>NGF</w:t>
      </w:r>
      <w:proofErr w:type="spellEnd"/>
      <w:r>
        <w:rPr>
          <w:lang w:val="en-US"/>
        </w:rPr>
        <w:t>) secretion. Nerve growth factor (</w:t>
      </w:r>
      <w:proofErr w:type="spellStart"/>
      <w:r>
        <w:rPr>
          <w:lang w:val="en-US"/>
        </w:rPr>
        <w:t>NGF</w:t>
      </w:r>
      <w:proofErr w:type="spellEnd"/>
      <w:r>
        <w:rPr>
          <w:lang w:val="en-US"/>
        </w:rPr>
        <w:t xml:space="preserve">) is a target-derived protein which regulates the phenotype and sensitivity of nociceptor </w:t>
      </w:r>
      <w:proofErr w:type="spellStart"/>
      <w:r>
        <w:rPr>
          <w:lang w:val="en-US"/>
        </w:rPr>
        <w:t>fibres</w:t>
      </w:r>
      <w:proofErr w:type="spellEnd"/>
      <w:r>
        <w:rPr>
          <w:lang w:val="en-US"/>
        </w:rPr>
        <w:t xml:space="preserve">, and its deficiency may lead to the development of clinical diabetic small </w:t>
      </w:r>
      <w:proofErr w:type="spellStart"/>
      <w:r>
        <w:rPr>
          <w:lang w:val="en-US"/>
        </w:rPr>
        <w:t>fibre</w:t>
      </w:r>
      <w:proofErr w:type="spellEnd"/>
      <w:r>
        <w:rPr>
          <w:lang w:val="en-US"/>
        </w:rPr>
        <w:t xml:space="preserve"> neuropathy </w:t>
      </w:r>
      <w:r>
        <w:fldChar w:fldCharType="begin"/>
      </w:r>
      <w:r>
        <w:instrText xml:space="preserve"> ADDIN EN.CITE &lt;EndNote&gt;&lt;Cite  &gt;&lt;Author&gt;Anand&lt;/Author&gt;&lt;Year&gt;1996&lt;/Year&gt;&lt;RecNum&gt;417&lt;/RecNum&gt;&lt;DisplayText&gt;(Anand et al., 1996)&lt;/DisplayText&gt;&lt;record&gt;&lt;dates&gt;&lt;pub-dates&gt;&lt;date&gt;Jun&lt;/date&gt;&lt;/pub-dates&gt;&lt;year&gt;1996&lt;/year&gt;&lt;/dates&gt;&lt;keywords&gt;&lt;keyword&gt;Adolescent&lt;/keyword&gt;&lt;keyword&gt;Adult&lt;/keyword&gt;&lt;keyword&gt;Axons&lt;/keyword&gt;&lt;keyword&gt;Diabetic Neuropathies&lt;/keyword&gt;&lt;keyword&gt;Female&lt;/keyword&gt;&lt;keyword&gt;Foot&lt;/keyword&gt;&lt;keyword&gt;Humans&lt;/keyword&gt;&lt;keyword&gt;Male&lt;/keyword&gt;&lt;keyword&gt;Nerve Growth Factors&lt;/keyword&gt;&lt;keyword&gt;Reflex&lt;/keyword&gt;&lt;keyword&gt;Sensation&lt;/keyword&gt;&lt;keyword&gt;Skin&lt;/keyword&gt;&lt;keyword&gt;Substance P&lt;/keyword&gt;&lt;/keywords&gt;&lt;urls&gt;&lt;related-urls&gt;&lt;url&gt;https://www.ncbi.nlm.nih.gov/pubmed/8640566&lt;/url&gt;&lt;/related-urls&gt;&lt;/urls&gt;&lt;isbn&gt;1078-8956&lt;/isbn&gt;&lt;titles&gt;&lt;title&gt;The role of endogenous nerve growth factor in human diabetic neuropathy&lt;/title&gt;&lt;secondary-title&gt;Nat Med&lt;/secondary-title&gt;&lt;/titles&gt;&lt;pages&gt;703-7&lt;/pages&gt;&lt;number&gt;6&lt;/number&gt;&lt;contributors&gt;&lt;authors&gt;&lt;author&gt;Anand, P.&lt;/author&gt;&lt;author&gt;Terenghi, G.&lt;/author&gt;&lt;author&gt;Warner, G.&lt;/author&gt;&lt;author&gt;Kopelman, P.&lt;/author&gt;&lt;author&gt;Williams-Chestnut, R. E.&lt;/author&gt;&lt;author&gt;Sinicropi, D. V.&lt;/author&gt;&lt;/authors&gt;&lt;/contributors&gt;&lt;language&gt;eng&lt;/language&gt;&lt;added-date format="utc"&gt;1481225634&lt;/added-date&gt;&lt;ref-type name="Journal Article"&gt;17&lt;/ref-type&gt;&lt;rec-number&gt;417&lt;/rec-number&gt;&lt;last-updated-date format="utc"&gt;1481225634&lt;/last-updated-date&gt;&lt;accession-num&gt;8640566&lt;/accession-num&gt;&lt;volume&gt;2&lt;/volume&gt;&lt;/record&gt;&lt;/Cite&gt;&lt;/EndNote&gt;</w:instrText>
      </w:r>
      <w:r>
        <w:fldChar w:fldCharType="separate"/>
      </w:r>
      <w:r>
        <w:t>(Anand et al., 1996)</w:t>
      </w:r>
      <w:r>
        <w:fldChar w:fldCharType="end"/>
      </w:r>
      <w:r>
        <w:rPr>
          <w:lang w:val="en-US"/>
        </w:rPr>
        <w:t xml:space="preserve">. A vitamin D3 derivative, induced </w:t>
      </w:r>
      <w:proofErr w:type="spellStart"/>
      <w:r>
        <w:rPr>
          <w:lang w:val="en-US"/>
        </w:rPr>
        <w:t>NGF</w:t>
      </w:r>
      <w:proofErr w:type="spellEnd"/>
      <w:r>
        <w:rPr>
          <w:lang w:val="en-US"/>
        </w:rPr>
        <w:t xml:space="preserve"> and prevented neurotrophic deficits in streptozotocin-diabetic rats </w:t>
      </w:r>
      <w:r>
        <w:rPr>
          <w:lang w:val="en-US"/>
        </w:rPr>
        <w:fldChar w:fldCharType="begin"/>
      </w:r>
      <w:r>
        <w:rPr>
          <w:lang w:val="en-US"/>
        </w:rPr>
        <w:instrText xml:space="preserve"> ADDIN EN.CITE &lt;EndNote&gt;&lt;Cite  &gt;&lt;Author&gt;Riaz&lt;/Author&gt;&lt;Year&gt;1999&lt;/Year&gt;&lt;RecNum&gt;415&lt;/RecNum&gt;&lt;DisplayText&gt;(Riaz and Tomlinson, 1999)&lt;/DisplayText&gt;&lt;record&gt;&lt;dates&gt;&lt;pub-dates&gt;&lt;date&gt;Jan&lt;/date&gt;&lt;/pub-dates&gt;&lt;year&gt;1999&lt;/year&gt;&lt;/dates&gt;&lt;keywords&gt;&lt;keyword&gt;Animals&lt;/keyword&gt;&lt;keyword&gt;Biological Transport, Active&lt;/keyword&gt;&lt;keyword&gt;Calcitonin Gene-Related Peptide&lt;/keyword&gt;&lt;keyword&gt;Clenbuterol&lt;/keyword&gt;&lt;keyword&gt;Diabetes Mellitus, Experimental&lt;/keyword&gt;&lt;keyword&gt;Hindlimb&lt;/keyword&gt;&lt;keyword&gt;Homeostasis&lt;/keyword&gt;&lt;keyword&gt;Male&lt;/keyword&gt;&lt;keyword&gt;Muscle, Skeletal&lt;/keyword&gt;&lt;keyword&gt;Nerve Growth Factors&lt;/keyword&gt;&lt;keyword&gt;Rats&lt;/keyword&gt;&lt;keyword&gt;Rats, Wistar&lt;/keyword&gt;&lt;keyword&gt;Sciatic Nerve&lt;/keyword&gt;&lt;keyword&gt;Substance P&lt;/keyword&gt;&lt;/keywords&gt;&lt;urls&gt;&lt;related-urls&gt;&lt;url&gt;https://www.ncbi.nlm.nih.gov/pubmed/11221812&lt;/url&gt;&lt;/related-urls&gt;&lt;/urls&gt;&lt;isbn&gt;1462-8902&lt;/isbn&gt;&lt;titles&gt;&lt;title&gt;Clenbuterol stimulates neurotrophic support in streptozotocin-diabetic rats&lt;/title&gt;&lt;secondary-title&gt;Diabetes Obes Metab&lt;/secondary-title&gt;&lt;/titles&gt;&lt;pages&gt;43-51&lt;/pages&gt;&lt;number&gt;1&lt;/number&gt;&lt;contributors&gt;&lt;authors&gt;&lt;author&gt;Riaz, S. S.&lt;/author&gt;&lt;author&gt;Tomlinson, D. R.&lt;/author&gt;&lt;/authors&gt;&lt;/contributors&gt;&lt;language&gt;ENG&lt;/language&gt;&lt;added-date format="utc"&gt;1480283382&lt;/added-date&gt;&lt;ref-type name="Journal Article"&gt;17&lt;/ref-type&gt;&lt;rec-number&gt;415&lt;/rec-number&gt;&lt;last-updated-date format="utc"&gt;1480283382&lt;/last-updated-date&gt;&lt;accession-num&gt;11221812&lt;/accession-num&gt;&lt;volume&gt;1&lt;/volume&gt;&lt;/record&gt;&lt;/Cite&gt;&lt;/EndNote&gt;</w:instrText>
      </w:r>
      <w:r>
        <w:rPr>
          <w:lang w:val="en-US"/>
        </w:rPr>
        <w:fldChar w:fldCharType="separate"/>
      </w:r>
      <w:r>
        <w:rPr>
          <w:lang w:val="en-US"/>
        </w:rPr>
        <w:t>(Riaz and Tomlinson, 1999)</w:t>
      </w:r>
      <w:r>
        <w:rPr>
          <w:lang w:val="en-US"/>
        </w:rPr>
        <w:fldChar w:fldCharType="end"/>
      </w:r>
      <w:r>
        <w:rPr>
          <w:lang w:val="en-US"/>
        </w:rPr>
        <w:t xml:space="preserve">. A recent study has shown positive correlation between vitamin D and serum </w:t>
      </w:r>
      <w:proofErr w:type="spellStart"/>
      <w:r>
        <w:rPr>
          <w:lang w:val="en-US"/>
        </w:rPr>
        <w:t>NGF</w:t>
      </w:r>
      <w:proofErr w:type="spellEnd"/>
      <w:r>
        <w:rPr>
          <w:lang w:val="en-US"/>
        </w:rPr>
        <w:t xml:space="preserve"> in subjects with T1DM and neuropathy </w:t>
      </w:r>
      <w:r>
        <w:fldChar w:fldCharType="begin"/>
      </w:r>
      <w:r>
        <w:instrText xml:space="preserve"> ADDIN EN.CITE &lt;EndNote&gt;&lt;Cite  &gt;&lt;Author&gt;Ozuguz&lt;/Author&gt;&lt;Year&gt;2016&lt;/Year&gt;&lt;DisplayText&gt;(Ozuguz et al., 2016)&lt;/DisplayText&gt;&lt;record&gt;&lt;dates&gt;&lt;pub-dates&gt;&lt;date&gt;Jul&lt;/date&gt;&lt;/pub-dates&gt;&lt;year&gt;2016&lt;/year&gt;&lt;/dates&gt;&lt;urls&gt;&lt;related-urls&gt;&lt;url&gt;https://www.ncbi.nlm.nih.gov/pubmed/27436228&lt;/url&gt;&lt;/related-urls&gt;&lt;/urls&gt;&lt;isbn&gt;1720-8386&lt;/isbn&gt;&lt;titles&gt;&lt;title&gt;Does vitamin D have any role in the improvement of diabetic peripheral neuropathy in type 1 diabetic patients?&lt;/title&gt;&lt;secondary-title&gt;J Endocrinol Invest&lt;/secondary-title&gt;&lt;/titles&gt;&lt;contributors&gt;&lt;authors&gt;&lt;author&gt;Ozuguz, U.&lt;/author&gt;&lt;author&gt;Oruc, S.&lt;/author&gt;&lt;author&gt;Ulu, M. S.&lt;/author&gt;&lt;author&gt;Demirbas, H.&lt;/author&gt;&lt;author&gt;Acay, A.&lt;/author&gt;&lt;author&gt;Coker, B.&lt;/author&gt;&lt;author&gt;Beyazıt, B.&lt;/author&gt;&lt;author&gt;Yaman, M.&lt;/author&gt;&lt;author&gt;Koken, T.&lt;/author&gt;&lt;/authors&gt;&lt;/contributors&gt;&lt;language&gt;ENG&lt;/language&gt;&lt;added-date format="utc"&gt;1471288056&lt;/added-date&gt;&lt;ref-type name="Journal Article"&gt;17&lt;/ref-type&gt;&lt;rec-number&gt;401&lt;/rec-number&gt;&lt;last-updated-date format="utc"&gt;1471288056&lt;/last-updated-date&gt;&lt;accession-num&gt;27436228&lt;/accession-num&gt;&lt;electronic-resource-num&gt;10.1007/s40618-016-0509-6&lt;/electronic-resource-num&gt;&lt;/record&gt;&lt;/Cite&gt;&lt;/EndNote&gt;</w:instrText>
      </w:r>
      <w:r>
        <w:fldChar w:fldCharType="separate"/>
      </w:r>
      <w:r>
        <w:t>(Ozuguz et al., 2016)</w:t>
      </w:r>
      <w:r>
        <w:fldChar w:fldCharType="end"/>
      </w:r>
      <w:r>
        <w:rPr>
          <w:lang w:val="en-US"/>
        </w:rPr>
        <w:t xml:space="preserve">. A study in rodents reported deactivation of vitamin D by the CYP24A1 enzyme in the presence of </w:t>
      </w:r>
      <w:r>
        <w:rPr>
          <w:lang w:val="en-US"/>
        </w:rPr>
        <w:lastRenderedPageBreak/>
        <w:t xml:space="preserve">glucotoxicity </w:t>
      </w:r>
      <w:r>
        <w:fldChar w:fldCharType="begin"/>
      </w:r>
      <w:r>
        <w:instrText xml:space="preserve"> ADDIN EN.CITE &lt;EndNote&gt;&lt;Cite  &gt;&lt;Author&gt;Zhou&lt;/Author&gt;&lt;Year&gt;2015&lt;/Year&gt;&lt;RecNum&gt;364&lt;/RecNum&gt;&lt;DisplayText&gt;(Zhou et al., 2015)&lt;/DisplayText&gt;&lt;record&gt;&lt;keywords&gt;&lt;keyword&gt;Cyp24a1&lt;/keyword&gt;&lt;keyword&gt;1,25( Oh) 2 D 3&lt;/keyword&gt;&lt;keyword&gt;High Glucose&lt;/keyword&gt;&lt;/keywords&gt;&lt;isbn&gt;0303-7207&lt;/isbn&gt;&lt;titles&gt;&lt;title&gt;High glucose upregulates CYP24A1 expression which attenuates the ability of 1,25( OH) 2D3 to increase NGF secretion in a rat Schwann cell line RSC96&lt;/title&gt;&lt;secondary-title&gt;Molecular and Cellular Endocrinology&lt;/secondary-title&gt;&lt;/titles&gt;&lt;pages&gt;75-81&lt;/pages&gt;&lt;contributors&gt;&lt;authors&gt;&lt;author&gt;Zhou, Yi-Kun&lt;/author&gt;&lt;author&gt;Liang, Zhi&lt;/author&gt;&lt;author&gt;Guo, Yan&lt;/author&gt;&lt;author&gt;Zhang, Hua-Tang&lt;/author&gt;&lt;author&gt;Wang, Kun-Hua&lt;/author&gt;&lt;/authors&gt;&lt;/contributors&gt;&lt;added-date format="utc"&gt;1428504275&lt;/added-date&gt;&lt;ref-type name="Journal Article"&gt;17&lt;/ref-type&gt;&lt;dates&gt;&lt;year&gt;2015&lt;/year&gt;&lt;/dates&gt;&lt;rec-number&gt;364&lt;/rec-number&gt;&lt;last-updated-date format="utc"&gt;1428504743&lt;/last-updated-date&gt;&lt;electronic-resource-num&gt;10.1016/j.mce.2015.01.005&lt;/electronic-resource-num&gt;&lt;volume&gt;404&lt;/volume&gt;&lt;/record&gt;&lt;/Cite&gt;&lt;/EndNote&gt;</w:instrText>
      </w:r>
      <w:r>
        <w:fldChar w:fldCharType="separate"/>
      </w:r>
      <w:r>
        <w:t>(Zhou et al., 2015)</w:t>
      </w:r>
      <w:r>
        <w:fldChar w:fldCharType="end"/>
      </w:r>
      <w:r>
        <w:rPr>
          <w:lang w:val="en-US"/>
        </w:rPr>
        <w:t xml:space="preserve">. This may result in decreased vitamin D mediated </w:t>
      </w:r>
      <w:proofErr w:type="spellStart"/>
      <w:r>
        <w:rPr>
          <w:lang w:val="en-US"/>
        </w:rPr>
        <w:t>NGF</w:t>
      </w:r>
      <w:proofErr w:type="spellEnd"/>
      <w:r>
        <w:rPr>
          <w:lang w:val="en-US"/>
        </w:rPr>
        <w:t xml:space="preserve"> secretion, which in turn could lead to a predominantly small nerve </w:t>
      </w:r>
      <w:proofErr w:type="spellStart"/>
      <w:r>
        <w:rPr>
          <w:lang w:val="en-US"/>
        </w:rPr>
        <w:t>fibre</w:t>
      </w:r>
      <w:proofErr w:type="spellEnd"/>
      <w:r>
        <w:rPr>
          <w:lang w:val="en-US"/>
        </w:rPr>
        <w:t xml:space="preserve"> neuropathy.  We evaluated the relationship between vitamin D and HbA1c and found a significant negative correlation, suggesting higher glucose load was associated with lower vitamin D levels.  This suggests a possible mechanistic link between diabetes, vitamin D and neuropathy.  The relationship between degeneration of nociceptor </w:t>
      </w:r>
      <w:proofErr w:type="spellStart"/>
      <w:r>
        <w:rPr>
          <w:lang w:val="en-US"/>
        </w:rPr>
        <w:t>fibres</w:t>
      </w:r>
      <w:proofErr w:type="spellEnd"/>
      <w:r>
        <w:rPr>
          <w:lang w:val="en-US"/>
        </w:rPr>
        <w:t xml:space="preserve"> and neuropathic pain is complex and future studies will need to examine this further; however, the disproportion between surviving nociceptor </w:t>
      </w:r>
      <w:proofErr w:type="spellStart"/>
      <w:r>
        <w:rPr>
          <w:lang w:val="en-US"/>
        </w:rPr>
        <w:t>fibres</w:t>
      </w:r>
      <w:proofErr w:type="spellEnd"/>
      <w:r>
        <w:rPr>
          <w:lang w:val="en-US"/>
        </w:rPr>
        <w:t xml:space="preserve"> and exposure to “relative excess” of </w:t>
      </w:r>
      <w:proofErr w:type="spellStart"/>
      <w:r>
        <w:rPr>
          <w:lang w:val="en-US"/>
        </w:rPr>
        <w:t>NGF</w:t>
      </w:r>
      <w:proofErr w:type="spellEnd"/>
      <w:r>
        <w:rPr>
          <w:lang w:val="en-US"/>
        </w:rPr>
        <w:t xml:space="preserve"> might contribute to neuropathic pain in </w:t>
      </w:r>
      <w:proofErr w:type="spellStart"/>
      <w:r>
        <w:rPr>
          <w:lang w:val="en-US"/>
        </w:rPr>
        <w:t>DPN</w:t>
      </w:r>
      <w:proofErr w:type="spellEnd"/>
      <w:r>
        <w:rPr>
          <w:lang w:val="en-US"/>
        </w:rPr>
        <w:t xml:space="preserve"> </w:t>
      </w:r>
      <w:r>
        <w:rPr>
          <w:lang w:val="en-US"/>
        </w:rPr>
        <w:fldChar w:fldCharType="begin"/>
      </w:r>
      <w:r>
        <w:rPr>
          <w:lang w:val="en-US"/>
        </w:rPr>
        <w:instrText xml:space="preserve"> ADDIN EN.CITE &lt;EndNote&gt;&lt;Cite  &gt;&lt;Author&gt;Anand&lt;/Author&gt;&lt;Year&gt;2011&lt;/Year&gt;&lt;RecNum&gt;416&lt;/RecNum&gt;&lt;DisplayText&gt;(Anand and Bley, 2011, Anand et al., 1996)&lt;/DisplayText&gt;&lt;record&gt;&lt;dates&gt;&lt;pub-dates&gt;&lt;date&gt;Oct&lt;/date&gt;&lt;/pub-dates&gt;&lt;year&gt;2011&lt;/year&gt;&lt;/dates&gt;&lt;keywords&gt;&lt;keyword&gt;Administration, Topical&lt;/keyword&gt;&lt;keyword&gt;Analgesics&lt;/keyword&gt;&lt;keyword&gt;Animals&lt;/keyword&gt;&lt;keyword&gt;Capsaicin&lt;/keyword&gt;&lt;keyword&gt;Humans&lt;/keyword&gt;&lt;keyword&gt;Hyperalgesia&lt;/keyword&gt;&lt;keyword&gt;Nociceptors&lt;/keyword&gt;&lt;keyword&gt;Pain&lt;/keyword&gt;&lt;/keywords&gt;&lt;urls&gt;&lt;related-urls&gt;&lt;url&gt;https://www.ncbi.nlm.nih.gov/pubmed/21852280&lt;/url&gt;&lt;/related-urls&gt;&lt;/urls&gt;&lt;isbn&gt;1471-6771&lt;/isbn&gt;&lt;custom2&gt;PMC3169333&lt;/custom2&gt;&lt;titles&gt;&lt;title&gt;Topical capsaicin for pain management: therapeutic potential and mechanisms of action of the new high-concentration capsaicin 8% patch&lt;/title&gt;&lt;secondary-title&gt;Br J Anaesth&lt;/secondary-title&gt;&lt;/titles&gt;&lt;pages&gt;490-502&lt;/pages&gt;&lt;number&gt;4&lt;/number&gt;&lt;contributors&gt;&lt;authors&gt;&lt;author&gt;Anand, P.&lt;/author&gt;&lt;author&gt;Bley, K.&lt;/author&gt;&lt;/authors&gt;&lt;/contributors&gt;&lt;language&gt;ENG&lt;/language&gt;&lt;added-date format="utc"&gt;1480284103&lt;/added-date&gt;&lt;ref-type name="Journal Article"&gt;17&lt;/ref-type&gt;&lt;rec-number&gt;416&lt;/rec-number&gt;&lt;last-updated-date format="utc"&gt;1480284103&lt;/last-updated-date&gt;&lt;accession-num&gt;21852280&lt;/accession-num&gt;&lt;electronic-resource-num&gt;10.1093/bja/aer260&lt;/electronic-resource-num&gt;&lt;volume&gt;107&lt;/volume&gt;&lt;/record&gt;&lt;/Cite&gt;&lt;Cite  &gt;&lt;Author&gt;Anand&lt;/Author&gt;&lt;Year&gt;1996&lt;/Year&gt;&lt;RecNum&gt;417&lt;/RecNum&gt;&lt;record&gt;&lt;dates&gt;&lt;pub-dates&gt;&lt;date&gt;Jun&lt;/date&gt;&lt;/pub-dates&gt;&lt;year&gt;1996&lt;/year&gt;&lt;/dates&gt;&lt;keywords&gt;&lt;keyword&gt;Adolescent&lt;/keyword&gt;&lt;keyword&gt;Adult&lt;/keyword&gt;&lt;keyword&gt;Axons&lt;/keyword&gt;&lt;keyword&gt;Diabetic Neuropathies&lt;/keyword&gt;&lt;keyword&gt;Female&lt;/keyword&gt;&lt;keyword&gt;Foot&lt;/keyword&gt;&lt;keyword&gt;Humans&lt;/keyword&gt;&lt;keyword&gt;Male&lt;/keyword&gt;&lt;keyword&gt;Nerve Growth Factors&lt;/keyword&gt;&lt;keyword&gt;Reflex&lt;/keyword&gt;&lt;keyword&gt;Sensation&lt;/keyword&gt;&lt;keyword&gt;Skin&lt;/keyword&gt;&lt;keyword&gt;Substance P&lt;/keyword&gt;&lt;/keywords&gt;&lt;urls&gt;&lt;related-urls&gt;&lt;url&gt;https://www.ncbi.nlm.nih.gov/pubmed/8640566&lt;/url&gt;&lt;/related-urls&gt;&lt;/urls&gt;&lt;isbn&gt;1078-8956&lt;/isbn&gt;&lt;titles&gt;&lt;title&gt;The role of endogenous nerve growth factor in human diabetic neuropathy&lt;/title&gt;&lt;secondary-title&gt;Nat Med&lt;/secondary-title&gt;&lt;/titles&gt;&lt;pages&gt;703-7&lt;/pages&gt;&lt;number&gt;6&lt;/number&gt;&lt;contributors&gt;&lt;authors&gt;&lt;author&gt;Anand, P.&lt;/author&gt;&lt;author&gt;Terenghi, G.&lt;/author&gt;&lt;author&gt;Warner, G.&lt;/author&gt;&lt;author&gt;Kopelman, P.&lt;/author&gt;&lt;author&gt;Williams-Chestnut, R. E.&lt;/author&gt;&lt;author&gt;Sinicropi, D. V.&lt;/author&gt;&lt;/authors&gt;&lt;/contributors&gt;&lt;language&gt;eng&lt;/language&gt;&lt;added-date format="utc"&gt;1481225634&lt;/added-date&gt;&lt;ref-type name="Journal Article"&gt;17&lt;/ref-type&gt;&lt;rec-number&gt;417&lt;/rec-number&gt;&lt;last-updated-date format="utc"&gt;1481225634&lt;/last-updated-date&gt;&lt;accession-num&gt;8640566&lt;/accession-num&gt;&lt;volume&gt;2&lt;/volume&gt;&lt;/record&gt;&lt;/Cite&gt;&lt;/EndNote&gt;</w:instrText>
      </w:r>
      <w:r>
        <w:rPr>
          <w:lang w:val="en-US"/>
        </w:rPr>
        <w:fldChar w:fldCharType="separate"/>
      </w:r>
      <w:r>
        <w:rPr>
          <w:lang w:val="en-US"/>
        </w:rPr>
        <w:t>(Anand and Bley, 2011, Anand et al., 1996)</w:t>
      </w:r>
      <w:r>
        <w:rPr>
          <w:lang w:val="en-US"/>
        </w:rPr>
        <w:fldChar w:fldCharType="end"/>
      </w:r>
      <w:r>
        <w:t>.</w:t>
      </w:r>
    </w:p>
    <w:p w14:paraId="6F09F9DC" w14:textId="02404073" w:rsidR="00876259" w:rsidRDefault="00876259" w:rsidP="00876259">
      <w:pPr>
        <w:pStyle w:val="BodyA"/>
        <w:spacing w:line="480" w:lineRule="auto"/>
        <w:jc w:val="both"/>
      </w:pPr>
      <w:r>
        <w:rPr>
          <w:lang w:val="en-US"/>
        </w:rPr>
        <w:t>Limitations of the study include the relatively small cohort size and the cross-sectional design.</w:t>
      </w:r>
      <w:r>
        <w:t xml:space="preserve"> </w:t>
      </w:r>
      <w:r>
        <w:rPr>
          <w:lang w:val="en-US"/>
        </w:rPr>
        <w:t xml:space="preserve">To </w:t>
      </w:r>
      <w:proofErr w:type="spellStart"/>
      <w:r>
        <w:rPr>
          <w:lang w:val="en-US"/>
        </w:rPr>
        <w:t>minimise</w:t>
      </w:r>
      <w:proofErr w:type="spellEnd"/>
      <w:r>
        <w:rPr>
          <w:lang w:val="en-US"/>
        </w:rPr>
        <w:t xml:space="preserve"> the impact of sample size, we have carefully </w:t>
      </w:r>
      <w:proofErr w:type="spellStart"/>
      <w:r>
        <w:rPr>
          <w:lang w:val="en-US"/>
        </w:rPr>
        <w:t>characterised</w:t>
      </w:r>
      <w:proofErr w:type="spellEnd"/>
      <w:r>
        <w:rPr>
          <w:lang w:val="en-US"/>
        </w:rPr>
        <w:t xml:space="preserve"> and matched study participants in the different cohorts.  The only statistically significant difference between subgroups was higher body mass index (BMI) and age of participants in the Painful </w:t>
      </w:r>
      <w:proofErr w:type="spellStart"/>
      <w:r>
        <w:rPr>
          <w:lang w:val="en-US"/>
        </w:rPr>
        <w:t>DPN</w:t>
      </w:r>
      <w:proofErr w:type="spellEnd"/>
      <w:r>
        <w:rPr>
          <w:lang w:val="en-US"/>
        </w:rPr>
        <w:t xml:space="preserve"> cohort.  This was expected, as age, duration of diabetes and features of the metabolic syndrome are risk factors for </w:t>
      </w:r>
      <w:proofErr w:type="spellStart"/>
      <w:r>
        <w:rPr>
          <w:lang w:val="en-US"/>
        </w:rPr>
        <w:t>DPN</w:t>
      </w:r>
      <w:proofErr w:type="spellEnd"/>
      <w:r>
        <w:rPr>
          <w:lang w:val="en-US"/>
        </w:rPr>
        <w:t xml:space="preserve"> in T2DM </w:t>
      </w:r>
      <w:r>
        <w:fldChar w:fldCharType="begin"/>
      </w:r>
      <w:r>
        <w:instrText xml:space="preserve"> ADDIN EN.CITE &lt;EndNote&gt;&lt;Cite  &gt;&lt;Author&gt;Ziegler&lt;/Author&gt;&lt;Year&gt;1993&lt;/Year&gt;&lt;DisplayText&gt;(Ziegler et al., 1993)&lt;/DisplayText&gt;&lt;record&gt;&lt;keywords&gt;&lt;keyword&gt;Adolescent&lt;/keyword&gt;&lt;keyword&gt;Adult&lt;/keyword&gt;&lt;keyword&gt;Aged&lt;/keyword&gt;&lt;keyword&gt;Autonomic Nervous System&lt;/keyword&gt;&lt;keyword&gt;Cardiovascular System&lt;/keyword&gt;&lt;keyword&gt;Child&lt;/keyword&gt;&lt;keyword&gt;Diabetes Mellitus, Type 1&lt;/keyword&gt;&lt;keyword&gt;Diabetes Mellitus, Type 2&lt;/keyword&gt;&lt;keyword&gt;Diabetic Neuropathies&lt;/keyword&gt;&lt;keyword&gt;Female&lt;/keyword&gt;&lt;keyword&gt;Humans&lt;/keyword&gt;&lt;keyword&gt;Male&lt;/keyword&gt;&lt;keyword&gt;Middle Aged&lt;/keyword&gt;&lt;keyword&gt;Peripheral Nerves&lt;/keyword&gt;&lt;keyword&gt;Prevalence&lt;/keyword&gt;&lt;keyword&gt;Sex Factors&lt;/keyword&gt;&lt;/keywords&gt;&lt;urls&gt;&lt;related-urls&gt;&lt;url&gt;https://www.ncbi.nlm.nih.gov/pubmed/8334851&lt;/url&gt;&lt;/related-urls&gt;&lt;/urls&gt;&lt;isbn&gt;0742-3071&lt;/isbn&gt;&lt;titles&gt;&lt;title&gt;The epidemiology of diabetic neuropathy. DiaCAN Multicenter Study Group&lt;/title&gt;&lt;secondary-title&gt;Diabet Med&lt;/secondary-title&gt;&lt;/titles&gt;&lt;pages&gt;82S-86S&lt;/pages&gt;&lt;contributors&gt;&lt;authors&gt;&lt;author&gt;Ziegler, D.&lt;/author&gt;&lt;author&gt;Gries, F. A.&lt;/author&gt;&lt;author&gt;Spüler, M.&lt;/author&gt;&lt;author&gt;Lessmann, F.&lt;/author&gt;&lt;/authors&gt;&lt;/contributors&gt;&lt;language&gt;eng&lt;/language&gt;&lt;added-date format="utc"&gt;1471291573&lt;/added-date&gt;&lt;ref-type name="Journal Article"&gt;17&lt;/ref-type&gt;&lt;dates&gt;&lt;year&gt;1993&lt;/year&gt;&lt;/dates&gt;&lt;rec-number&gt;406&lt;/rec-number&gt;&lt;last-updated-date format="utc"&gt;1471291573&lt;/last-updated-date&gt;&lt;accession-num&gt;8334851&lt;/accession-num&gt;&lt;volume&gt;10 Suppl 2&lt;/volume&gt;&lt;/record&gt;&lt;/Cite&gt;&lt;/EndNote&gt;</w:instrText>
      </w:r>
      <w:r>
        <w:fldChar w:fldCharType="separate"/>
      </w:r>
      <w:r>
        <w:t>(Ziegler et al., 1993)</w:t>
      </w:r>
      <w:r>
        <w:fldChar w:fldCharType="end"/>
      </w:r>
      <w:r>
        <w:rPr>
          <w:lang w:val="en-US"/>
        </w:rPr>
        <w:t xml:space="preserve">.  To address this, we included BMI and age as covariates in the </w:t>
      </w:r>
      <w:proofErr w:type="spellStart"/>
      <w:r>
        <w:rPr>
          <w:lang w:val="en-US"/>
        </w:rPr>
        <w:t>ANCOVA</w:t>
      </w:r>
      <w:proofErr w:type="spellEnd"/>
      <w:r>
        <w:rPr>
          <w:lang w:val="en-US"/>
        </w:rPr>
        <w:t xml:space="preserve">, and still found mean serum 25(OH)D levels were significantly lower in participants with </w:t>
      </w:r>
      <w:r w:rsidR="006C14E5">
        <w:rPr>
          <w:lang w:val="en-US"/>
        </w:rPr>
        <w:t>p</w:t>
      </w:r>
      <w:r>
        <w:rPr>
          <w:lang w:val="en-US"/>
        </w:rPr>
        <w:t xml:space="preserve">ainful </w:t>
      </w:r>
      <w:proofErr w:type="spellStart"/>
      <w:r>
        <w:rPr>
          <w:lang w:val="en-US"/>
        </w:rPr>
        <w:t>DPN</w:t>
      </w:r>
      <w:proofErr w:type="spellEnd"/>
      <w:r>
        <w:rPr>
          <w:lang w:val="en-US"/>
        </w:rPr>
        <w:t xml:space="preserve">.  Another limitation is that our neuropathy cohort had advanced neuropathy with high NISLL+7 scores, and a few participants had </w:t>
      </w:r>
      <w:r w:rsidR="004E3E3F">
        <w:rPr>
          <w:lang w:val="en-US"/>
        </w:rPr>
        <w:t xml:space="preserve">absent </w:t>
      </w:r>
      <w:proofErr w:type="spellStart"/>
      <w:r w:rsidR="004E3E3F">
        <w:rPr>
          <w:lang w:val="en-US"/>
        </w:rPr>
        <w:t>IENFD</w:t>
      </w:r>
      <w:proofErr w:type="spellEnd"/>
      <w:r>
        <w:rPr>
          <w:lang w:val="en-US"/>
        </w:rPr>
        <w:t xml:space="preserve"> and </w:t>
      </w:r>
      <w:proofErr w:type="spellStart"/>
      <w:r>
        <w:rPr>
          <w:lang w:val="en-US"/>
        </w:rPr>
        <w:t>SENFD</w:t>
      </w:r>
      <w:proofErr w:type="spellEnd"/>
      <w:r>
        <w:rPr>
          <w:lang w:val="en-US"/>
        </w:rPr>
        <w:t xml:space="preserve"> on distal calf skin biopsy; however, these participants were similar in number in the </w:t>
      </w:r>
      <w:r w:rsidR="006C14E5">
        <w:rPr>
          <w:lang w:val="en-US"/>
        </w:rPr>
        <w:t>p</w:t>
      </w:r>
      <w:r>
        <w:rPr>
          <w:lang w:val="en-US"/>
        </w:rPr>
        <w:t xml:space="preserve">ainful </w:t>
      </w:r>
      <w:proofErr w:type="spellStart"/>
      <w:r>
        <w:rPr>
          <w:lang w:val="en-US"/>
        </w:rPr>
        <w:t>DPN</w:t>
      </w:r>
      <w:proofErr w:type="spellEnd"/>
      <w:r>
        <w:rPr>
          <w:lang w:val="en-US"/>
        </w:rPr>
        <w:t xml:space="preserve"> and </w:t>
      </w:r>
      <w:r w:rsidR="006C14E5">
        <w:rPr>
          <w:lang w:val="en-US"/>
        </w:rPr>
        <w:t>p</w:t>
      </w:r>
      <w:r>
        <w:rPr>
          <w:lang w:val="en-US"/>
        </w:rPr>
        <w:t xml:space="preserve">ainless </w:t>
      </w:r>
      <w:proofErr w:type="spellStart"/>
      <w:r>
        <w:rPr>
          <w:lang w:val="en-US"/>
        </w:rPr>
        <w:t>DPN</w:t>
      </w:r>
      <w:proofErr w:type="spellEnd"/>
      <w:r>
        <w:rPr>
          <w:lang w:val="en-US"/>
        </w:rPr>
        <w:t xml:space="preserve"> groups. </w:t>
      </w:r>
    </w:p>
    <w:p w14:paraId="6CC35729" w14:textId="78CB9F70" w:rsidR="00876259" w:rsidRDefault="00876259" w:rsidP="00876259">
      <w:pPr>
        <w:pStyle w:val="BodyA"/>
        <w:spacing w:line="480" w:lineRule="auto"/>
        <w:jc w:val="both"/>
        <w:rPr>
          <w:lang w:val="en-US"/>
        </w:rPr>
      </w:pPr>
      <w:r>
        <w:rPr>
          <w:lang w:val="en-US"/>
        </w:rPr>
        <w:t xml:space="preserve">In conclusion, we have conducted a carefully designed study which included detailed clinical, neurophysiological and skin biopsy assessment of all participants, in order to accurately stratify the presence of peripheral neuropathy and neuropathic pain. We also </w:t>
      </w:r>
      <w:r>
        <w:rPr>
          <w:lang w:val="en-US"/>
        </w:rPr>
        <w:lastRenderedPageBreak/>
        <w:t xml:space="preserve">quantified sunlight exposure and levels of outdoor physical activity, potentially important confounding factors which have not been examined in previous studies. Our study included groups of appropriately matched disease controls (T2DM with no </w:t>
      </w:r>
      <w:proofErr w:type="spellStart"/>
      <w:r>
        <w:rPr>
          <w:lang w:val="en-US"/>
        </w:rPr>
        <w:t>DPN</w:t>
      </w:r>
      <w:proofErr w:type="spellEnd"/>
      <w:r>
        <w:rPr>
          <w:lang w:val="en-US"/>
        </w:rPr>
        <w:t xml:space="preserve">), and </w:t>
      </w:r>
      <w:proofErr w:type="spellStart"/>
      <w:r>
        <w:rPr>
          <w:lang w:val="en-US"/>
        </w:rPr>
        <w:t>HVs</w:t>
      </w:r>
      <w:proofErr w:type="spellEnd"/>
      <w:r>
        <w:rPr>
          <w:lang w:val="en-US"/>
        </w:rPr>
        <w:t xml:space="preserve">. The findings suggest a role for vitamin D in </w:t>
      </w:r>
      <w:r w:rsidR="006C14E5">
        <w:rPr>
          <w:lang w:val="en-US"/>
        </w:rPr>
        <w:t>p</w:t>
      </w:r>
      <w:r>
        <w:rPr>
          <w:lang w:val="en-US"/>
        </w:rPr>
        <w:t xml:space="preserve">ainful </w:t>
      </w:r>
      <w:proofErr w:type="spellStart"/>
      <w:r>
        <w:rPr>
          <w:lang w:val="en-US"/>
        </w:rPr>
        <w:t>DPN</w:t>
      </w:r>
      <w:proofErr w:type="spellEnd"/>
      <w:r>
        <w:rPr>
          <w:lang w:val="en-US"/>
        </w:rPr>
        <w:t xml:space="preserve"> compared to </w:t>
      </w:r>
      <w:r w:rsidR="006C14E5">
        <w:rPr>
          <w:lang w:val="en-US"/>
        </w:rPr>
        <w:t>p</w:t>
      </w:r>
      <w:r>
        <w:rPr>
          <w:lang w:val="en-US"/>
        </w:rPr>
        <w:t xml:space="preserve">ainless </w:t>
      </w:r>
      <w:proofErr w:type="spellStart"/>
      <w:r>
        <w:rPr>
          <w:lang w:val="en-US"/>
        </w:rPr>
        <w:t>DPN</w:t>
      </w:r>
      <w:proofErr w:type="spellEnd"/>
      <w:r>
        <w:rPr>
          <w:lang w:val="en-US"/>
        </w:rPr>
        <w:t xml:space="preserve">.  Further </w:t>
      </w:r>
      <w:proofErr w:type="gramStart"/>
      <w:r>
        <w:rPr>
          <w:lang w:val="en-US"/>
        </w:rPr>
        <w:t>long term</w:t>
      </w:r>
      <w:proofErr w:type="gramEnd"/>
      <w:r>
        <w:rPr>
          <w:lang w:val="en-US"/>
        </w:rPr>
        <w:t xml:space="preserve"> prospective cohort or interventional studies are required to examine causality i.e. if low serum vitamin D levels cause </w:t>
      </w:r>
      <w:r w:rsidR="006C14E5">
        <w:rPr>
          <w:lang w:val="en-US"/>
        </w:rPr>
        <w:t>p</w:t>
      </w:r>
      <w:r>
        <w:rPr>
          <w:lang w:val="en-US"/>
        </w:rPr>
        <w:t xml:space="preserve">ainful </w:t>
      </w:r>
      <w:proofErr w:type="spellStart"/>
      <w:r>
        <w:rPr>
          <w:lang w:val="en-US"/>
        </w:rPr>
        <w:t>DPN</w:t>
      </w:r>
      <w:proofErr w:type="spellEnd"/>
      <w:r>
        <w:rPr>
          <w:lang w:val="en-US"/>
        </w:rPr>
        <w:t xml:space="preserve">, or if they are a risk factor/surrogate marker for the development of </w:t>
      </w:r>
      <w:r w:rsidR="006C14E5">
        <w:rPr>
          <w:lang w:val="en-US"/>
        </w:rPr>
        <w:t>p</w:t>
      </w:r>
      <w:r>
        <w:rPr>
          <w:lang w:val="en-US"/>
        </w:rPr>
        <w:t xml:space="preserve">ainful </w:t>
      </w:r>
      <w:proofErr w:type="spellStart"/>
      <w:r>
        <w:rPr>
          <w:lang w:val="en-US"/>
        </w:rPr>
        <w:t>DPN</w:t>
      </w:r>
      <w:proofErr w:type="spellEnd"/>
      <w:r>
        <w:rPr>
          <w:lang w:val="en-US"/>
        </w:rPr>
        <w:t xml:space="preserve">. </w:t>
      </w:r>
    </w:p>
    <w:p w14:paraId="081F2DFB" w14:textId="2F339EF2" w:rsidR="00ED5137" w:rsidRDefault="00ED5137" w:rsidP="00876259">
      <w:pPr>
        <w:pStyle w:val="BodyA"/>
        <w:spacing w:line="480" w:lineRule="auto"/>
        <w:jc w:val="both"/>
        <w:rPr>
          <w:lang w:val="en-US"/>
        </w:rPr>
      </w:pPr>
    </w:p>
    <w:p w14:paraId="6A657C8F" w14:textId="208C82E8" w:rsidR="00ED5137" w:rsidRDefault="00ED5137" w:rsidP="00876259">
      <w:pPr>
        <w:pStyle w:val="BodyA"/>
        <w:spacing w:line="480" w:lineRule="auto"/>
        <w:jc w:val="both"/>
        <w:rPr>
          <w:lang w:val="en-US"/>
        </w:rPr>
      </w:pPr>
    </w:p>
    <w:p w14:paraId="4986C2D7" w14:textId="0B8BB2A0" w:rsidR="00ED5137" w:rsidRDefault="00ED5137" w:rsidP="00876259">
      <w:pPr>
        <w:pStyle w:val="BodyA"/>
        <w:spacing w:line="480" w:lineRule="auto"/>
        <w:jc w:val="both"/>
        <w:rPr>
          <w:lang w:val="en-US"/>
        </w:rPr>
      </w:pPr>
    </w:p>
    <w:p w14:paraId="09504C37" w14:textId="3FCDA2CA" w:rsidR="00ED5137" w:rsidRDefault="00ED5137">
      <w:pPr>
        <w:spacing w:after="0"/>
        <w:rPr>
          <w:rFonts w:eastAsia="Cambria" w:cs="Cambria"/>
          <w:color w:val="000000"/>
          <w:u w:color="000000"/>
          <w:bdr w:val="nil"/>
          <w:lang w:val="en-US" w:eastAsia="en-US"/>
        </w:rPr>
      </w:pPr>
      <w:r>
        <w:rPr>
          <w:lang w:val="en-US"/>
        </w:rPr>
        <w:br w:type="page"/>
      </w:r>
    </w:p>
    <w:p w14:paraId="6CF5FD78" w14:textId="6EBFFBEE" w:rsidR="00AC0FDB" w:rsidRPr="00724A07" w:rsidRDefault="00AC0FDB" w:rsidP="00724A07">
      <w:pPr>
        <w:pStyle w:val="Heading1"/>
        <w:spacing w:line="480" w:lineRule="auto"/>
        <w:rPr>
          <w:sz w:val="24"/>
          <w:szCs w:val="24"/>
        </w:rPr>
      </w:pPr>
      <w:bookmarkStart w:id="107" w:name="_Toc48"/>
      <w:bookmarkStart w:id="108" w:name="_Toc6093023"/>
      <w:r w:rsidRPr="00724A07">
        <w:rPr>
          <w:sz w:val="24"/>
          <w:szCs w:val="24"/>
          <w:lang w:val="en-US"/>
        </w:rPr>
        <w:lastRenderedPageBreak/>
        <w:t xml:space="preserve">5 Neural and </w:t>
      </w:r>
      <w:r w:rsidR="00ED5137">
        <w:rPr>
          <w:sz w:val="24"/>
          <w:szCs w:val="24"/>
          <w:lang w:val="en-US"/>
        </w:rPr>
        <w:t>V</w:t>
      </w:r>
      <w:r w:rsidRPr="00724A07">
        <w:rPr>
          <w:sz w:val="24"/>
          <w:szCs w:val="24"/>
          <w:lang w:val="en-US"/>
        </w:rPr>
        <w:t xml:space="preserve">ascular </w:t>
      </w:r>
      <w:r w:rsidR="00ED5137">
        <w:rPr>
          <w:sz w:val="24"/>
          <w:szCs w:val="24"/>
          <w:lang w:val="en-US"/>
        </w:rPr>
        <w:t>S</w:t>
      </w:r>
      <w:r w:rsidRPr="00724A07">
        <w:rPr>
          <w:sz w:val="24"/>
          <w:szCs w:val="24"/>
          <w:lang w:val="en-US"/>
        </w:rPr>
        <w:t xml:space="preserve">kin </w:t>
      </w:r>
      <w:r w:rsidR="00ED5137">
        <w:rPr>
          <w:sz w:val="24"/>
          <w:szCs w:val="24"/>
          <w:lang w:val="en-US"/>
        </w:rPr>
        <w:t>B</w:t>
      </w:r>
      <w:r w:rsidRPr="00724A07">
        <w:rPr>
          <w:sz w:val="24"/>
          <w:szCs w:val="24"/>
          <w:lang w:val="en-US"/>
        </w:rPr>
        <w:t xml:space="preserve">iomarkers to </w:t>
      </w:r>
      <w:r w:rsidR="00ED5137">
        <w:rPr>
          <w:sz w:val="24"/>
          <w:szCs w:val="24"/>
          <w:lang w:val="en-US"/>
        </w:rPr>
        <w:t>D</w:t>
      </w:r>
      <w:r w:rsidRPr="00724A07">
        <w:rPr>
          <w:sz w:val="24"/>
          <w:szCs w:val="24"/>
          <w:lang w:val="en-US"/>
        </w:rPr>
        <w:t xml:space="preserve">ifferentiate </w:t>
      </w:r>
      <w:r w:rsidR="00ED5137">
        <w:rPr>
          <w:sz w:val="24"/>
          <w:szCs w:val="24"/>
          <w:lang w:val="en-US"/>
        </w:rPr>
        <w:t>P</w:t>
      </w:r>
      <w:r w:rsidRPr="00724A07">
        <w:rPr>
          <w:sz w:val="24"/>
          <w:szCs w:val="24"/>
          <w:lang w:val="en-US"/>
        </w:rPr>
        <w:t xml:space="preserve">ainful from </w:t>
      </w:r>
      <w:r w:rsidR="00ED5137">
        <w:rPr>
          <w:sz w:val="24"/>
          <w:szCs w:val="24"/>
          <w:lang w:val="en-US"/>
        </w:rPr>
        <w:t>P</w:t>
      </w:r>
      <w:r w:rsidRPr="00724A07">
        <w:rPr>
          <w:sz w:val="24"/>
          <w:szCs w:val="24"/>
          <w:lang w:val="en-US"/>
        </w:rPr>
        <w:t xml:space="preserve">ainless </w:t>
      </w:r>
      <w:r w:rsidR="00ED5137">
        <w:rPr>
          <w:sz w:val="24"/>
          <w:szCs w:val="24"/>
          <w:lang w:val="en-US"/>
        </w:rPr>
        <w:t>D</w:t>
      </w:r>
      <w:r w:rsidRPr="00724A07">
        <w:rPr>
          <w:sz w:val="24"/>
          <w:szCs w:val="24"/>
          <w:lang w:val="en-US"/>
        </w:rPr>
        <w:t xml:space="preserve">iabetic </w:t>
      </w:r>
      <w:r w:rsidR="00ED5137">
        <w:rPr>
          <w:sz w:val="24"/>
          <w:szCs w:val="24"/>
          <w:lang w:val="en-US"/>
        </w:rPr>
        <w:t>N</w:t>
      </w:r>
      <w:r w:rsidRPr="00724A07">
        <w:rPr>
          <w:sz w:val="24"/>
          <w:szCs w:val="24"/>
          <w:lang w:val="en-US"/>
        </w:rPr>
        <w:t>europathy</w:t>
      </w:r>
      <w:bookmarkEnd w:id="107"/>
      <w:bookmarkEnd w:id="108"/>
    </w:p>
    <w:p w14:paraId="3409C541" w14:textId="77777777" w:rsidR="00AC0FDB" w:rsidRDefault="00AC0FDB" w:rsidP="00AC0FDB">
      <w:pPr>
        <w:pStyle w:val="Heading2"/>
        <w:spacing w:line="480" w:lineRule="auto"/>
        <w:rPr>
          <w:i w:val="0"/>
          <w:iCs w:val="0"/>
          <w:sz w:val="24"/>
          <w:szCs w:val="24"/>
        </w:rPr>
      </w:pPr>
      <w:bookmarkStart w:id="109" w:name="_Toc49"/>
      <w:bookmarkStart w:id="110" w:name="_Toc6093024"/>
      <w:r w:rsidRPr="005B5764">
        <w:rPr>
          <w:i w:val="0"/>
          <w:iCs w:val="0"/>
          <w:sz w:val="24"/>
          <w:szCs w:val="24"/>
        </w:rPr>
        <w:t>5.1 Introduction</w:t>
      </w:r>
      <w:bookmarkEnd w:id="109"/>
      <w:bookmarkEnd w:id="110"/>
    </w:p>
    <w:p w14:paraId="75E10E60" w14:textId="77777777" w:rsidR="00AC0FDB" w:rsidRDefault="00AC0FDB" w:rsidP="00AC0FDB">
      <w:pPr>
        <w:pStyle w:val="BodyA"/>
        <w:spacing w:line="480" w:lineRule="auto"/>
        <w:jc w:val="both"/>
      </w:pPr>
      <w:r>
        <w:rPr>
          <w:lang w:val="en-US"/>
        </w:rPr>
        <w:t xml:space="preserve">Skin biopsy and quantification of intra-epidermal nerve </w:t>
      </w:r>
      <w:proofErr w:type="spellStart"/>
      <w:r>
        <w:rPr>
          <w:lang w:val="en-US"/>
        </w:rPr>
        <w:t>fibre</w:t>
      </w:r>
      <w:proofErr w:type="spellEnd"/>
      <w:r>
        <w:rPr>
          <w:lang w:val="en-US"/>
        </w:rPr>
        <w:t xml:space="preserve"> density (</w:t>
      </w:r>
      <w:proofErr w:type="spellStart"/>
      <w:r>
        <w:rPr>
          <w:lang w:val="en-US"/>
        </w:rPr>
        <w:t>IENFD</w:t>
      </w:r>
      <w:proofErr w:type="spellEnd"/>
      <w:r>
        <w:rPr>
          <w:lang w:val="en-US"/>
        </w:rPr>
        <w:t xml:space="preserve">) using anti-protein gene product 9.5 (PGP9.5) antibodies is the gold-standard method to diagnose small </w:t>
      </w:r>
      <w:proofErr w:type="spellStart"/>
      <w:r>
        <w:rPr>
          <w:lang w:val="en-US"/>
        </w:rPr>
        <w:t>fibre</w:t>
      </w:r>
      <w:proofErr w:type="spellEnd"/>
      <w:r>
        <w:rPr>
          <w:lang w:val="en-US"/>
        </w:rPr>
        <w:t xml:space="preserve"> neuropathy (</w:t>
      </w:r>
      <w:proofErr w:type="spellStart"/>
      <w:r>
        <w:rPr>
          <w:lang w:val="en-US"/>
        </w:rPr>
        <w:t>SFN</w:t>
      </w:r>
      <w:proofErr w:type="spellEnd"/>
      <w:r>
        <w:rPr>
          <w:lang w:val="en-US"/>
        </w:rPr>
        <w:t xml:space="preserve">) </w:t>
      </w:r>
      <w:r>
        <w:fldChar w:fldCharType="begin"/>
      </w:r>
      <w:r>
        <w:instrText xml:space="preserve"> ADDIN EN.CITE &lt;EndNote&gt;&lt;Cite  &gt;&lt;Author&gt;Lauria&lt;/Author&gt;&lt;Year&gt;2010&lt;/Year&gt;&lt;RecNum&gt;133&lt;/RecNum&gt;&lt;DisplayText&gt;(Lauria et al., 2010b)&lt;/DisplayText&gt;&lt;record&gt;&lt;isbn&gt;1351-5101&lt;/isbn&gt;&lt;titles&gt;&lt;title&gt;European Federation of Neurological Societies/ Peripheral Nerve Society Guideline on the use of skin biopsy in the diagnosis of small fiber neuropathy. Report of a joint task force of the European Fe-deration of Neurological Societies and the Peripheral Nerve Society&lt;/title&gt;&lt;secondary-title&gt;Eur. J. Neurol.&lt;/secondary-title&gt;&lt;/titles&gt;&lt;pages&gt;903-E49&lt;/pages&gt;&lt;number&gt;7&lt;/number&gt;&lt;contributors&gt;&lt;authors&gt;&lt;author&gt;Lauria, G.&lt;/author&gt;&lt;author&gt;Hsieh, S. T.&lt;/author&gt;&lt;author&gt;Johansson, O.&lt;/author&gt;&lt;author&gt;Kennedy, W. R.&lt;/author&gt;&lt;author&gt;Leger, J. M.&lt;/author&gt;&lt;author&gt;Mellgren, S. I.&lt;/author&gt;&lt;author&gt;Nolano, M.&lt;/author&gt;&lt;author&gt;Merkies, I. S. J.&lt;/author&gt;&lt;author&gt;Polydefkis, M.&lt;/author&gt;&lt;author&gt;Smith, A. G.&lt;/author&gt;&lt;author&gt;Sommer, C.&lt;/author&gt;&lt;author&gt;Valls-Sole, J.&lt;/author&gt;&lt;/authors&gt;&lt;/contributors&gt;&lt;added-date format="utc"&gt;1383261954&lt;/added-date&gt;&lt;ref-type name="Journal Article"&gt;17&lt;/ref-type&gt;&lt;dates&gt;&lt;year&gt;2010&lt;/year&gt;&lt;/dates&gt;&lt;rec-number&gt;133&lt;/rec-number&gt;&lt;last-updated-date format="utc"&gt;1383261973&lt;/last-updated-date&gt;&lt;electronic-resource-num&gt;10.1111/j.1468-1331.2010.03023.x&lt;/electronic-resource-num&gt;&lt;volume&gt;17&lt;/volume&gt;&lt;/record&gt;&lt;/Cite&gt;&lt;/EndNote&gt;</w:instrText>
      </w:r>
      <w:r>
        <w:fldChar w:fldCharType="separate"/>
      </w:r>
      <w:r>
        <w:t>(Lauria et al., 2010b)</w:t>
      </w:r>
      <w:r>
        <w:fldChar w:fldCharType="end"/>
      </w:r>
      <w:r>
        <w:rPr>
          <w:lang w:val="en-US"/>
        </w:rPr>
        <w:t xml:space="preserve">. Both animal and human studies have demonstrated a decrease in </w:t>
      </w:r>
      <w:proofErr w:type="spellStart"/>
      <w:r>
        <w:rPr>
          <w:lang w:val="en-US"/>
        </w:rPr>
        <w:t>IENFD</w:t>
      </w:r>
      <w:proofErr w:type="spellEnd"/>
      <w:r>
        <w:rPr>
          <w:lang w:val="en-US"/>
        </w:rPr>
        <w:t xml:space="preserve"> in </w:t>
      </w:r>
      <w:proofErr w:type="spellStart"/>
      <w:r>
        <w:rPr>
          <w:lang w:val="en-US"/>
        </w:rPr>
        <w:t>DPN</w:t>
      </w:r>
      <w:proofErr w:type="spellEnd"/>
      <w:r>
        <w:rPr>
          <w:lang w:val="en-US"/>
        </w:rPr>
        <w:t xml:space="preserve"> </w:t>
      </w:r>
      <w:r>
        <w:fldChar w:fldCharType="begin"/>
      </w:r>
      <w:r>
        <w:instrText xml:space="preserve"> ADDIN EN.CITE &lt;EndNote&gt;&lt;Cite  &gt;&lt;Author&gt;Kennedy&lt;/Author&gt;&lt;Year&gt;1996&lt;/Year&gt;&lt;RecNum&gt;140&lt;/RecNum&gt;&lt;DisplayText&gt;(Kennedy et al., 1996, Shun et al., 2004)&lt;/DisplayText&gt;&lt;record&gt;&lt;isbn&gt;0028-3878&lt;/isbn&gt;&lt;titles&gt;&lt;title&gt;Quantitation of epidermal nerves in diabetic neuropathy&lt;/title&gt;&lt;secondary-title&gt;Neurology&lt;/secondary-title&gt;&lt;/titles&gt;&lt;pages&gt;1042&lt;/pages&gt;&lt;number&gt;4&lt;/number&gt;&lt;contributors&gt;&lt;authors&gt;&lt;author&gt;Kennedy, W. R.&lt;/author&gt;&lt;author&gt;Wendelschafer-crabb, G.&lt;/author&gt;&lt;author&gt;Johnson, T.&lt;/author&gt;&lt;author&gt;Wendelschafer-Crabb, G.&lt;/author&gt;&lt;/authors&gt;&lt;/contributors&gt;&lt;added-date format="utc"&gt;1383264093&lt;/added-date&gt;&lt;ref-type name="Journal Article"&gt;17&lt;/ref-type&gt;&lt;dates&gt;&lt;year&gt;1996&lt;/year&gt;&lt;/dates&gt;&lt;rec-number&gt;140&lt;/rec-number&gt;&lt;last-updated-date format="utc"&gt;1383265024&lt;/last-updated-date&gt;&lt;volume&gt;47&lt;/volume&gt;&lt;/record&gt;&lt;/Cite&gt;&lt;Cite  &gt;&lt;Author&gt;Shun&lt;/Author&gt;&lt;Year&gt;2004&lt;/Year&gt;&lt;RecNum&gt;28&lt;/RecNum&gt;&lt;record&gt;&lt;isbn&gt;0006-8950&lt;/isbn&gt;&lt;titles&gt;&lt;title&gt;Skin denervation in type 2 diabetes: correlations with diabetic duration and functional impairments&lt;/title&gt;&lt;secondary-title&gt;Brain : a journal of neurology&lt;/secondary-title&gt;&lt;/titles&gt;&lt;pages&gt;1593&lt;/pages&gt;&lt;number&gt;Pt 7&lt;/number&gt;&lt;contributors&gt;&lt;authors&gt;&lt;author&gt;Shun, Chia-tung&lt;/author&gt;&lt;author&gt;Chang, Yang-chyuan&lt;/author&gt;&lt;author&gt;Wu, Huey-peir&lt;/author&gt;&lt;author&gt;Hsieh, Song-chou&lt;/author&gt;&lt;author&gt;Lin, Whei-min&lt;/author&gt;&lt;author&gt;Lin, Yea-hui&lt;/author&gt;&lt;author&gt;Tai, Tong-yuan&lt;/author&gt;&lt;author&gt;Hsieh, Sung-tsang&lt;/author&gt;&lt;author&gt;Shun, Chia-Tung&lt;/author&gt;&lt;author&gt;Chang, Yang-Chyuan&lt;/author&gt;&lt;author&gt;Wu, Huey-Peir&lt;/author&gt;&lt;author&gt;Hsieh, Song-Chou&lt;/author&gt;&lt;author&gt;Lin, Whei-Min&lt;/author&gt;&lt;author&gt;Lin, Yea-Hui&lt;/author&gt;&lt;author&gt;Tai, Tong-Yuan&lt;/author&gt;&lt;author&gt;Hsieh, Sung-Tsang&lt;/author&gt;&lt;/authors&gt;&lt;/contributors&gt;&lt;added-date format="utc"&gt;1382437589&lt;/added-date&gt;&lt;ref-type name="Journal Article"&gt;17&lt;/ref-type&gt;&lt;dates&gt;&lt;year&gt;2004&lt;/year&gt;&lt;/dates&gt;&lt;rec-number&gt;28&lt;/rec-number&gt;&lt;last-updated-date format="utc"&gt;1382548585&lt;/last-updated-date&gt;&lt;volume&gt;127&lt;/volume&gt;&lt;/record&gt;&lt;/Cite&gt;&lt;/EndNote&gt;</w:instrText>
      </w:r>
      <w:r>
        <w:fldChar w:fldCharType="separate"/>
      </w:r>
      <w:r>
        <w:t>(Kennedy et al., 1996, Shun et al., 2004)</w:t>
      </w:r>
      <w:r>
        <w:fldChar w:fldCharType="end"/>
      </w:r>
      <w:r>
        <w:rPr>
          <w:lang w:val="en-US"/>
        </w:rPr>
        <w:t xml:space="preserve">. However, there does not appear to be a difference in </w:t>
      </w:r>
      <w:proofErr w:type="spellStart"/>
      <w:r>
        <w:rPr>
          <w:lang w:val="en-US"/>
        </w:rPr>
        <w:t>IENFD</w:t>
      </w:r>
      <w:proofErr w:type="spellEnd"/>
      <w:r>
        <w:rPr>
          <w:lang w:val="en-US"/>
        </w:rPr>
        <w:t xml:space="preserve"> between painful- and painless-</w:t>
      </w:r>
      <w:proofErr w:type="spellStart"/>
      <w:r>
        <w:rPr>
          <w:lang w:val="en-US"/>
        </w:rPr>
        <w:t>DPN</w:t>
      </w:r>
      <w:proofErr w:type="spellEnd"/>
      <w:r>
        <w:rPr>
          <w:lang w:val="en-US"/>
        </w:rPr>
        <w:t xml:space="preserve"> </w:t>
      </w:r>
      <w:r>
        <w:fldChar w:fldCharType="begin"/>
      </w:r>
      <w:r>
        <w:instrText xml:space="preserve"> ADDIN EN.CITE &lt;EndNote&gt;&lt;Cite  &gt;&lt;Author&gt;Sorensen&lt;/Author&gt;&lt;Year&gt;2006&lt;/Year&gt;&lt;RecNum&gt;142&lt;/RecNum&gt;&lt;DisplayText&gt;(Sorensen et al., 2006a)&lt;/DisplayText&gt;&lt;record&gt;&lt;keywords&gt;&lt;keyword&gt;Nerve Fibers&lt;/keyword&gt;&lt;keyword&gt;Pain Threshold&lt;/keyword&gt;&lt;keyword&gt;Diabetic Neuropathies -- Diagnosis&lt;/keyword&gt;&lt;keyword&gt;Hyperalgesia -- Diagnosis&lt;/keyword&gt;&lt;keyword&gt;Neurologic Examination -- Methods&lt;/keyword&gt;&lt;keyword&gt;Pain Measurement -- Methods&lt;/keyword&gt;&lt;/keywords&gt;&lt;isbn&gt;0749-8047&lt;/isbn&gt;&lt;titles&gt;&lt;title&gt;The level of small nerve fiber dysfunction does not predict pain in diabetic Neuropathy: a study using quantitative sensory testing&lt;/title&gt;&lt;secondary-title&gt;The Clinical journal of pain&lt;/secondary-title&gt;&lt;/titles&gt;&lt;pages&gt;261&lt;/pages&gt;&lt;number&gt;3&lt;/number&gt;&lt;contributors&gt;&lt;authors&gt;&lt;author&gt;Sorensen, Lea&lt;/author&gt;&lt;author&gt;Molyneaux, Lynda&lt;/author&gt;&lt;author&gt;Yue, Dennis K.&lt;/author&gt;&lt;/authors&gt;&lt;/contributors&gt;&lt;added-date format="utc"&gt;1383264188&lt;/added-date&gt;&lt;ref-type name="Journal Article"&gt;17&lt;/ref-type&gt;&lt;dates&gt;&lt;year&gt;2006&lt;/year&gt;&lt;/dates&gt;&lt;rec-number&gt;142&lt;/rec-number&gt;&lt;last-updated-date format="utc"&gt;1383265024&lt;/last-updated-date&gt;&lt;volume&gt;22&lt;/volume&gt;&lt;/record&gt;&lt;/Cite&gt;&lt;/EndNote&gt;</w:instrText>
      </w:r>
      <w:r>
        <w:fldChar w:fldCharType="separate"/>
      </w:r>
      <w:r>
        <w:t>(Sorensen et al., 2006a)</w:t>
      </w:r>
      <w:r>
        <w:fldChar w:fldCharType="end"/>
      </w:r>
      <w:r>
        <w:rPr>
          <w:lang w:val="en-US"/>
        </w:rPr>
        <w:t>. Similarly, psychophysical tests such as Quantitative Sensory Testing (</w:t>
      </w:r>
      <w:proofErr w:type="spellStart"/>
      <w:r>
        <w:rPr>
          <w:lang w:val="en-US"/>
        </w:rPr>
        <w:t>QST</w:t>
      </w:r>
      <w:proofErr w:type="spellEnd"/>
      <w:r>
        <w:rPr>
          <w:lang w:val="en-US"/>
        </w:rPr>
        <w:t xml:space="preserve">) of small nerve </w:t>
      </w:r>
      <w:proofErr w:type="spellStart"/>
      <w:r>
        <w:rPr>
          <w:lang w:val="en-US"/>
        </w:rPr>
        <w:t>fibre</w:t>
      </w:r>
      <w:proofErr w:type="spellEnd"/>
      <w:r>
        <w:rPr>
          <w:lang w:val="en-US"/>
        </w:rPr>
        <w:t xml:space="preserve"> function do not correlate with the presence of neuropathic pain </w:t>
      </w:r>
      <w:r>
        <w:fldChar w:fldCharType="begin"/>
      </w:r>
      <w:r>
        <w:instrText xml:space="preserve"> ADDIN EN.CITE &lt;EndNote&gt;&lt;Cite  &gt;&lt;Author&gt;Sorensen&lt;/Author&gt;&lt;Year&gt;2006&lt;/Year&gt;&lt;RecNum&gt;77&lt;/RecNum&gt;&lt;DisplayText&gt;(Sorensen et al., 2006b)&lt;/DisplayText&gt;&lt;record&gt;&lt;keywords&gt;&lt;keyword&gt;Diabetic Neuropathies -- Pathology&lt;/keyword&gt;&lt;keyword&gt;Epidermis -- Innervation&lt;/keyword&gt;&lt;keyword&gt;Nerve Fibers -- Pathology&lt;/keyword&gt;&lt;keyword&gt;Pain -- Pathology&lt;/keyword&gt;&lt;/keywords&gt;&lt;isbn&gt;0149-5992&lt;/isbn&gt;&lt;titles&gt;&lt;title&gt;The relationship among pain, sensory loss, and small nerve fibers in diabetes&lt;/title&gt;&lt;secondary-title&gt;Diabetes care&lt;/secondary-title&gt;&lt;/titles&gt;&lt;pages&gt;883&lt;/pages&gt;&lt;number&gt;4&lt;/number&gt;&lt;contributors&gt;&lt;authors&gt;&lt;author&gt;Sorensen, Lea&lt;/author&gt;&lt;author&gt;Molyneaux, Lynda&lt;/author&gt;&lt;author&gt;Yue, Dennis K.&lt;/author&gt;&lt;/authors&gt;&lt;/contributors&gt;&lt;added-date format="utc"&gt;1383239382&lt;/added-date&gt;&lt;ref-type name="Journal Article"&gt;17&lt;/ref-type&gt;&lt;dates&gt;&lt;year&gt;2006&lt;/year&gt;&lt;/dates&gt;&lt;rec-number&gt;77&lt;/rec-number&gt;&lt;last-updated-date format="utc"&gt;1383240559&lt;/last-updated-date&gt;&lt;volume&gt;29&lt;/volume&gt;&lt;/record&gt;&lt;/Cite&gt;&lt;/EndNote&gt;</w:instrText>
      </w:r>
      <w:r>
        <w:fldChar w:fldCharType="separate"/>
      </w:r>
      <w:r>
        <w:t>(Sorensen et al., 2006b)</w:t>
      </w:r>
      <w:r>
        <w:fldChar w:fldCharType="end"/>
      </w:r>
      <w:r>
        <w:rPr>
          <w:lang w:val="en-US"/>
        </w:rPr>
        <w:t xml:space="preserve">.  However, as expected, more severe small </w:t>
      </w:r>
      <w:proofErr w:type="spellStart"/>
      <w:r>
        <w:rPr>
          <w:lang w:val="en-US"/>
        </w:rPr>
        <w:t>fibre</w:t>
      </w:r>
      <w:proofErr w:type="spellEnd"/>
      <w:r>
        <w:rPr>
          <w:lang w:val="en-US"/>
        </w:rPr>
        <w:t xml:space="preserve"> sensory (nociceptor) dysfunction was found in patients with painful-</w:t>
      </w:r>
      <w:proofErr w:type="spellStart"/>
      <w:r>
        <w:rPr>
          <w:lang w:val="en-US"/>
        </w:rPr>
        <w:t>DPN</w:t>
      </w:r>
      <w:proofErr w:type="spellEnd"/>
      <w:r>
        <w:rPr>
          <w:lang w:val="en-US"/>
        </w:rPr>
        <w:t xml:space="preserve"> in recent cross-sectional studies </w:t>
      </w:r>
      <w:r>
        <w:fldChar w:fldCharType="begin"/>
      </w:r>
      <w:r>
        <w:instrText xml:space="preserve"> ADDIN EN.CITE &lt;EndNote&gt;&lt;Cite  &gt;&lt;Author&gt;Themistocleous&lt;/Author&gt;&lt;Year&gt;2016&lt;/Year&gt;&lt;RecNum&gt;537&lt;/RecNum&gt;&lt;DisplayText&gt;(Themistocleous et al., 2016, Raputova et al., 2017)&lt;/DisplayText&gt;&lt;record&gt;&lt;dates&gt;&lt;pub-dates&gt;&lt;date&gt;May&lt;/date&gt;&lt;/pub-dates&gt;&lt;year&gt;2016&lt;/year&gt;&lt;/dates&gt;&lt;keywords&gt;&lt;keyword&gt;Aged&lt;/keyword&gt;&lt;keyword&gt;Cross-Sectional Studies&lt;/keyword&gt;&lt;keyword&gt;Diabetic Neuropathies&lt;/keyword&gt;&lt;keyword&gt;Electric Stimulation&lt;/keyword&gt;&lt;keyword&gt;Female&lt;/keyword&gt;&lt;keyword&gt;Humans&lt;/keyword&gt;&lt;keyword&gt;Male&lt;/keyword&gt;&lt;keyword&gt;Middle Aged&lt;/keyword&gt;&lt;keyword&gt;Nerve Fibers&lt;/keyword&gt;&lt;keyword&gt;Neural Conduction&lt;/keyword&gt;&lt;keyword&gt;Neuralgia&lt;/keyword&gt;&lt;keyword&gt;Neurologic Examination&lt;/keyword&gt;&lt;keyword&gt;Phenotype&lt;/keyword&gt;&lt;keyword&gt;Sensation&lt;/keyword&gt;&lt;keyword&gt;Severity of Illness Index&lt;/keyword&gt;&lt;keyword&gt;Skin&lt;/keyword&gt;&lt;keyword&gt;Surveys and Questionnaires&lt;/keyword&gt;&lt;/keywords&gt;&lt;urls&gt;&lt;related-urls&gt;&lt;url&gt;https://www.ncbi.nlm.nih.gov/pubmed/27088890&lt;/url&gt;&lt;/related-urls&gt;&lt;/urls&gt;&lt;isbn&gt;1872-6623&lt;/isbn&gt;&lt;custom2&gt;PMC4834814&lt;/custom2&gt;&lt;titles&gt;&lt;title&gt;The Pain in Neuropathy Study (PiNS): a cross-sectional observational study determining the somatosensory phenotype of painful and painless diabetic neuropathy&lt;/title&gt;&lt;secondary-title&gt;Pain&lt;/secondary-title&gt;&lt;/titles&gt;&lt;pages&gt;1132-45&lt;/pages&gt;&lt;number&gt;5&lt;/number&gt;&lt;contributors&gt;&lt;authors&gt;&lt;author&gt;Themistocleous, A. C.&lt;/author&gt;&lt;author&gt;Ramirez, J. D.&lt;/author&gt;&lt;author&gt;Shillo, P. R.&lt;/author&gt;&lt;author&gt;Lees, J. G.&lt;/author&gt;&lt;author&gt;Selvarajah, D.&lt;/author&gt;&lt;author&gt;Orengo, C.&lt;/author&gt;&lt;author&gt;Tesfaye, S.&lt;/author&gt;&lt;author&gt;Rice, A. S.&lt;/author&gt;&lt;author&gt;Bennett, D. L.&lt;/author&gt;&lt;/authors&gt;&lt;/contributors&gt;&lt;language&gt;eng&lt;/language&gt;&lt;added-date format="utc"&gt;1511396470&lt;/added-date&gt;&lt;ref-type name="Journal Article"&gt;17&lt;/ref-type&gt;&lt;rec-number&gt;537&lt;/rec-number&gt;&lt;last-updated-date format="utc"&gt;1511396470&lt;/last-updated-date&gt;&lt;accession-num&gt;27088890&lt;/accession-num&gt;&lt;electronic-resource-num&gt;10.1097/j.pain.0000000000000491&lt;/electronic-resource-num&gt;&lt;volume&gt;157&lt;/volume&gt;&lt;/record&gt;&lt;/Cite&gt;&lt;Cite  &gt;&lt;Author&gt;Raputova&lt;/Author&gt;&lt;Year&gt;2017&lt;/Year&gt;&lt;record&gt;&lt;dates&gt;&lt;pub-dates&gt;&lt;date&gt;Dec&lt;/date&gt;&lt;/pub-dates&gt;&lt;year&gt;2017&lt;/year&gt;&lt;/dates&gt;&lt;urls&gt;&lt;related-urls&gt;&lt;url&gt;https://www.ncbi.nlm.nih.gov/pubmed/28858986&lt;/url&gt;&lt;/related-urls&gt;&lt;/urls&gt;&lt;isbn&gt;1872-6623&lt;/isbn&gt;&lt;titles&gt;&lt;title&gt;Sensory phenotype and risk factors for painful diabetic neuropathy: a cross-sectional observational study&lt;/title&gt;&lt;secondary-title&gt;Pain&lt;/secondary-title&gt;&lt;/titles&gt;&lt;pages&gt;2340-2353&lt;/pages&gt;&lt;number&gt;12&lt;/number&gt;&lt;contributors&gt;&lt;authors&gt;&lt;author&gt;Raputova, J.&lt;/author&gt;&lt;author&gt;Srotova, I.&lt;/author&gt;&lt;author&gt;Vlckova, E.&lt;/author&gt;&lt;author&gt;Sommer, C.&lt;/author&gt;&lt;author&gt;Üçeyler, N.&lt;/author&gt;&lt;author&gt;Birklein, F.&lt;/author&gt;&lt;author&gt;Rittner, H. L.&lt;/author&gt;&lt;author&gt;Rebhorn, C.&lt;/author&gt;&lt;author&gt;Adamova, B.&lt;/author&gt;&lt;author&gt;Kovalova, I.&lt;/author&gt;&lt;author&gt;Kralickova Nekvapilova, E.&lt;/author&gt;&lt;author&gt;Forer, L.&lt;/author&gt;&lt;author&gt;Belobradkova, J.&lt;/author&gt;&lt;author&gt;Olsovsky, J.&lt;/author&gt;&lt;author&gt;Weber, P.&lt;/author&gt;&lt;author&gt;Dusek, L.&lt;/author&gt;&lt;author&gt;Jarkovsky, J.&lt;/author&gt;&lt;author&gt;Bednarik, J.&lt;/author&gt;&lt;/authors&gt;&lt;/contributors&gt;&lt;language&gt;eng&lt;/language&gt;&lt;added-date format="utc"&gt;1511396590&lt;/added-date&gt;&lt;ref-type name="Journal Article"&gt;17&lt;/ref-type&gt;&lt;rec-number&gt;538&lt;/rec-number&gt;&lt;last-updated-date format="utc"&gt;1511396590&lt;/last-updated-date&gt;&lt;accession-num&gt;28858986&lt;/accession-num&gt;&lt;electronic-resource-num&gt;10.1097/j.pain.0000000000001034&lt;/electronic-resource-num&gt;&lt;volume&gt;158&lt;/volume&gt;&lt;/record&gt;&lt;/Cite&gt;&lt;/EndNote&gt;</w:instrText>
      </w:r>
      <w:r>
        <w:fldChar w:fldCharType="separate"/>
      </w:r>
      <w:r>
        <w:t>(Themistocleous et al., 2016, Raputova et al., 2017)</w:t>
      </w:r>
      <w:r>
        <w:fldChar w:fldCharType="end"/>
      </w:r>
      <w:r>
        <w:t xml:space="preserve">. </w:t>
      </w:r>
    </w:p>
    <w:p w14:paraId="55F168D1" w14:textId="64F702AB" w:rsidR="00AC0FDB" w:rsidRDefault="00AC0FDB" w:rsidP="00AC0FDB">
      <w:pPr>
        <w:pStyle w:val="BodyA"/>
        <w:spacing w:line="480" w:lineRule="auto"/>
        <w:jc w:val="both"/>
        <w:rPr>
          <w:b/>
          <w:bCs/>
        </w:rPr>
      </w:pPr>
      <w:r>
        <w:rPr>
          <w:lang w:val="en-US"/>
        </w:rPr>
        <w:t xml:space="preserve">Several mechanisms may contribute to the development and persistence of chronic pain in </w:t>
      </w:r>
      <w:proofErr w:type="spellStart"/>
      <w:r>
        <w:rPr>
          <w:lang w:val="en-US"/>
        </w:rPr>
        <w:t>DPN</w:t>
      </w:r>
      <w:proofErr w:type="spellEnd"/>
      <w:r>
        <w:rPr>
          <w:lang w:val="en-US"/>
        </w:rPr>
        <w:t xml:space="preserve">, and at different stages of the condition </w:t>
      </w:r>
      <w:r>
        <w:fldChar w:fldCharType="begin"/>
      </w:r>
      <w:r>
        <w:instrText xml:space="preserve"> ADDIN EN.CITE &lt;EndNote&gt;&lt;Cite  &gt;&lt;Author&gt;Tesfaye&lt;/Author&gt;&lt;Year&gt;2013&lt;/Year&gt;&lt;RecNum&gt;471&lt;/RecNum&gt;&lt;DisplayText&gt;(Tesfaye et al., 2013, Anand et al., 1996)&lt;/DisplayText&gt;&lt;record&gt;&lt;isbn&gt;0149-5992&lt;/isbn&gt;&lt;titles&gt;&lt;title&gt;Mechanisms and management of diabetic painful distal symmetrical polyneuropathy&lt;/title&gt;&lt;secondary-title&gt;Diabetes care&lt;/secondary-title&gt;&lt;/titles&gt;&lt;pages&gt;2456&lt;/pages&gt;&lt;number&gt;9&lt;/number&gt;&lt;contributors&gt;&lt;authors&gt;&lt;author&gt;Tesfaye, Solomon&lt;/author&gt;&lt;author&gt;Boulton, Andrew J. M.&lt;/author&gt;&lt;author&gt;Dickenson, Anthony H.&lt;/author&gt;&lt;/authors&gt;&lt;/contributors&gt;&lt;added-date format="utc"&gt;1508463234&lt;/added-date&gt;&lt;ref-type name="Journal Article"&gt;17&lt;/ref-type&gt;&lt;dates&gt;&lt;year&gt;2013&lt;/year&gt;&lt;/dates&gt;&lt;rec-number&gt;471&lt;/rec-number&gt;&lt;last-updated-date format="utc"&gt;1508463234&lt;/last-updated-date&gt;&lt;electronic-resource-num&gt;10.2337/dc12-1964&lt;/electronic-resource-num&gt;&lt;volume&gt;36&lt;/volume&gt;&lt;/record&gt;&lt;/Cite&gt;&lt;Cite  &gt;&lt;Author&gt;Anand&lt;/Author&gt;&lt;Year&gt;1996&lt;/Year&gt;&lt;RecNum&gt;417&lt;/RecNum&gt;&lt;record&gt;&lt;dates&gt;&lt;pub-dates&gt;&lt;date&gt;Jun&lt;/date&gt;&lt;/pub-dates&gt;&lt;year&gt;1996&lt;/year&gt;&lt;/dates&gt;&lt;keywords&gt;&lt;keyword&gt;Adolescent&lt;/keyword&gt;&lt;keyword&gt;Adult&lt;/keyword&gt;&lt;keyword&gt;Axons&lt;/keyword&gt;&lt;keyword&gt;Diabetic Neuropathies&lt;/keyword&gt;&lt;keyword&gt;Female&lt;/keyword&gt;&lt;keyword&gt;Foot&lt;/keyword&gt;&lt;keyword&gt;Humans&lt;/keyword&gt;&lt;keyword&gt;Male&lt;/keyword&gt;&lt;keyword&gt;Nerve Growth Factors&lt;/keyword&gt;&lt;keyword&gt;Reflex&lt;/keyword&gt;&lt;keyword&gt;Sensation&lt;/keyword&gt;&lt;keyword&gt;Skin&lt;/keyword&gt;&lt;keyword&gt;Substance P&lt;/keyword&gt;&lt;/keywords&gt;&lt;urls&gt;&lt;related-urls&gt;&lt;url&gt;https://www.ncbi.nlm.nih.gov/pubmed/8640566&lt;/url&gt;&lt;/related-urls&gt;&lt;/urls&gt;&lt;isbn&gt;1078-8956&lt;/isbn&gt;&lt;titles&gt;&lt;title&gt;The role of endogenous nerve growth factor in human diabetic neuropathy&lt;/title&gt;&lt;secondary-title&gt;Nat Med&lt;/secondary-title&gt;&lt;/titles&gt;&lt;pages&gt;703-7&lt;/pages&gt;&lt;number&gt;6&lt;/number&gt;&lt;contributors&gt;&lt;authors&gt;&lt;author&gt;Anand, P.&lt;/author&gt;&lt;author&gt;Terenghi, G.&lt;/author&gt;&lt;author&gt;Warner, G.&lt;/author&gt;&lt;author&gt;Kopelman, P.&lt;/author&gt;&lt;author&gt;Williams-Chestnut, R. E.&lt;/author&gt;&lt;author&gt;Sinicropi, D. V.&lt;/author&gt;&lt;/authors&gt;&lt;/contributors&gt;&lt;language&gt;eng&lt;/language&gt;&lt;added-date format="utc"&gt;1481243634&lt;/added-date&gt;&lt;ref-type name="Journal Article"&gt;17&lt;/ref-type&gt;&lt;rec-number&gt;417&lt;/rec-number&gt;&lt;last-updated-date format="utc"&gt;1481243634&lt;/last-updated-date&gt;&lt;accession-num&gt;8640566&lt;/accession-num&gt;&lt;volume&gt;2&lt;/volume&gt;&lt;/record&gt;&lt;/Cite&gt;&lt;/EndNote&gt;</w:instrText>
      </w:r>
      <w:r>
        <w:fldChar w:fldCharType="separate"/>
      </w:r>
      <w:r>
        <w:t>(Tesfaye et al., 2013, Anand et al., 1996)</w:t>
      </w:r>
      <w:r>
        <w:fldChar w:fldCharType="end"/>
      </w:r>
      <w:r>
        <w:rPr>
          <w:lang w:val="en-US"/>
        </w:rPr>
        <w:t>.  The key neurotrophic factor, nerve growth factor (</w:t>
      </w:r>
      <w:proofErr w:type="spellStart"/>
      <w:r>
        <w:rPr>
          <w:lang w:val="en-US"/>
        </w:rPr>
        <w:t>NGF</w:t>
      </w:r>
      <w:proofErr w:type="spellEnd"/>
      <w:r>
        <w:rPr>
          <w:lang w:val="en-US"/>
        </w:rPr>
        <w:t xml:space="preserve">) regulates the maintenance, regeneration and sensitivity of small sensory nerve </w:t>
      </w:r>
      <w:proofErr w:type="spellStart"/>
      <w:r>
        <w:rPr>
          <w:lang w:val="en-US"/>
        </w:rPr>
        <w:t>fibres</w:t>
      </w:r>
      <w:proofErr w:type="spellEnd"/>
      <w:r>
        <w:rPr>
          <w:lang w:val="en-US"/>
        </w:rPr>
        <w:t xml:space="preserve">, and has been implicated in the pathogenesis of chronic pain in </w:t>
      </w:r>
      <w:proofErr w:type="spellStart"/>
      <w:r>
        <w:rPr>
          <w:lang w:val="en-US"/>
        </w:rPr>
        <w:t>DPN</w:t>
      </w:r>
      <w:proofErr w:type="spellEnd"/>
      <w:r>
        <w:rPr>
          <w:lang w:val="en-US"/>
        </w:rPr>
        <w:t xml:space="preserve"> </w:t>
      </w:r>
      <w:r>
        <w:fldChar w:fldCharType="begin"/>
      </w:r>
      <w:r>
        <w:instrText xml:space="preserve"> ADDIN EN.CITE &lt;EndNote&gt;&lt;Cite  &gt;&lt;Author&gt;Anand&lt;/Author&gt;&lt;Year&gt;1996&lt;/Year&gt;&lt;RecNum&gt;417&lt;/RecNum&gt;&lt;DisplayText&gt;(Anand et al., 1996)&lt;/DisplayText&gt;&lt;record&gt;&lt;dates&gt;&lt;pub-dates&gt;&lt;date&gt;Jun&lt;/date&gt;&lt;/pub-dates&gt;&lt;year&gt;1996&lt;/year&gt;&lt;/dates&gt;&lt;keywords&gt;&lt;keyword&gt;Adolescent&lt;/keyword&gt;&lt;keyword&gt;Adult&lt;/keyword&gt;&lt;keyword&gt;Axons&lt;/keyword&gt;&lt;keyword&gt;Diabetic Neuropathies&lt;/keyword&gt;&lt;keyword&gt;Female&lt;/keyword&gt;&lt;keyword&gt;Foot&lt;/keyword&gt;&lt;keyword&gt;Humans&lt;/keyword&gt;&lt;keyword&gt;Male&lt;/keyword&gt;&lt;keyword&gt;Nerve Growth Factors&lt;/keyword&gt;&lt;keyword&gt;Reflex&lt;/keyword&gt;&lt;keyword&gt;Sensation&lt;/keyword&gt;&lt;keyword&gt;Skin&lt;/keyword&gt;&lt;keyword&gt;Substance P&lt;/keyword&gt;&lt;/keywords&gt;&lt;urls&gt;&lt;related-urls&gt;&lt;url&gt;https://www.ncbi.nlm.nih.gov/pubmed/8640566&lt;/url&gt;&lt;/related-urls&gt;&lt;/urls&gt;&lt;isbn&gt;1078-8956&lt;/isbn&gt;&lt;titles&gt;&lt;title&gt;The role of endogenous nerve growth factor in human diabetic neuropathy&lt;/title&gt;&lt;secondary-title&gt;Nat Med&lt;/secondary-title&gt;&lt;/titles&gt;&lt;pages&gt;703-7&lt;/pages&gt;&lt;number&gt;6&lt;/number&gt;&lt;contributors&gt;&lt;authors&gt;&lt;author&gt;Anand, P.&lt;/author&gt;&lt;author&gt;Terenghi, G.&lt;/author&gt;&lt;author&gt;Warner, G.&lt;/author&gt;&lt;author&gt;Kopelman, P.&lt;/author&gt;&lt;author&gt;Williams-Chestnut, R. E.&lt;/author&gt;&lt;author&gt;Sinicropi, D. V.&lt;/author&gt;&lt;/authors&gt;&lt;/contributors&gt;&lt;language&gt;eng&lt;/language&gt;&lt;added-date format="utc"&gt;1481243634&lt;/added-date&gt;&lt;ref-type name="Journal Article"&gt;17&lt;/ref-type&gt;&lt;rec-number&gt;417&lt;/rec-number&gt;&lt;last-updated-date format="utc"&gt;1481243634&lt;/last-updated-date&gt;&lt;accession-num&gt;8640566&lt;/accession-num&gt;&lt;volume&gt;2&lt;/volume&gt;&lt;/record&gt;&lt;/Cite&gt;&lt;/EndNote&gt;</w:instrText>
      </w:r>
      <w:r>
        <w:fldChar w:fldCharType="separate"/>
      </w:r>
      <w:r>
        <w:t>(Anand et al., 1996)</w:t>
      </w:r>
      <w:r>
        <w:fldChar w:fldCharType="end"/>
      </w:r>
      <w:r>
        <w:rPr>
          <w:lang w:val="en-US"/>
        </w:rPr>
        <w:t xml:space="preserve">. In accord, recent studies have reported the effect of </w:t>
      </w:r>
      <w:proofErr w:type="spellStart"/>
      <w:r>
        <w:rPr>
          <w:lang w:val="en-US"/>
        </w:rPr>
        <w:t>NGF</w:t>
      </w:r>
      <w:proofErr w:type="spellEnd"/>
      <w:r>
        <w:rPr>
          <w:lang w:val="en-US"/>
        </w:rPr>
        <w:t xml:space="preserve"> on pain and its signaling pathways in animal models of T2DM, involving the </w:t>
      </w:r>
      <w:proofErr w:type="spellStart"/>
      <w:r>
        <w:rPr>
          <w:lang w:val="en-US"/>
        </w:rPr>
        <w:t>NGF</w:t>
      </w:r>
      <w:proofErr w:type="spellEnd"/>
      <w:r>
        <w:rPr>
          <w:lang w:val="en-US"/>
        </w:rPr>
        <w:t xml:space="preserve"> receptor tropomyosin-receptor-kinase A (</w:t>
      </w:r>
      <w:proofErr w:type="spellStart"/>
      <w:r>
        <w:rPr>
          <w:lang w:val="en-US"/>
        </w:rPr>
        <w:t>TrkA</w:t>
      </w:r>
      <w:proofErr w:type="spellEnd"/>
      <w:r>
        <w:rPr>
          <w:lang w:val="en-US"/>
        </w:rPr>
        <w:t xml:space="preserve">), and the </w:t>
      </w:r>
      <w:proofErr w:type="spellStart"/>
      <w:r>
        <w:rPr>
          <w:lang w:val="en-US"/>
        </w:rPr>
        <w:t>NGF</w:t>
      </w:r>
      <w:proofErr w:type="spellEnd"/>
      <w:r>
        <w:rPr>
          <w:lang w:val="en-US"/>
        </w:rPr>
        <w:t>-dependent calcitonin gene-related peptide (</w:t>
      </w:r>
      <w:proofErr w:type="spellStart"/>
      <w:r>
        <w:rPr>
          <w:lang w:val="en-US"/>
        </w:rPr>
        <w:t>CGRP</w:t>
      </w:r>
      <w:proofErr w:type="spellEnd"/>
      <w:r>
        <w:rPr>
          <w:lang w:val="en-US"/>
        </w:rPr>
        <w:t xml:space="preserve">) </w:t>
      </w:r>
      <w:r>
        <w:fldChar w:fldCharType="begin"/>
      </w:r>
      <w:r>
        <w:instrText xml:space="preserve"> ADDIN EN.CITE &lt;EndNote&gt;&lt;Cite  &gt;&lt;Author&gt;Cheng&lt;/Author&gt;&lt;Year&gt;2012&lt;/Year&gt;&lt;RecNum&gt;146&lt;/RecNum&gt;&lt;DisplayText&gt;(Cheng et al., 2012, Cheng et al., 2009)&lt;/DisplayText&gt;&lt;record&gt;&lt;keywords&gt;&lt;keyword&gt;Diabetes Mellitus, Type 2 -- Metabolism&lt;/keyword&gt;&lt;keyword&gt;Diabetic Neuropathies -- Metabolism&lt;/keyword&gt;&lt;keyword&gt;Nerve Fibers -- Metabolism&lt;/keyword&gt;&lt;keyword&gt;Nerve Growth Factor -- Metabolism&lt;/keyword&gt;&lt;keyword&gt;Signal Transduction -- Physiology&lt;/keyword&gt;&lt;/keywords&gt;&lt;isbn&gt;0969-9961&lt;/isbn&gt;&lt;titles&gt;&lt;title&gt;Nerve growth factor/ p38 signaling increases intraepidermal nerve fiber densities in painful neuropathy of type 2 diabetes&lt;/title&gt;&lt;secondary-title&gt;Neurobiology of disease&lt;/secondary-title&gt;&lt;/titles&gt;&lt;pages&gt;280&lt;/pages&gt;&lt;number&gt;1&lt;/number&gt;&lt;contributors&gt;&lt;authors&gt;&lt;author&gt;Cheng, Hsinlin T.&lt;/author&gt;&lt;author&gt;Dauch, Jacqueline R.&lt;/author&gt;&lt;author&gt;Hayes, John M.&lt;/author&gt;&lt;author&gt;Yanik, Brandon M.&lt;/author&gt;&lt;author&gt;Feldman, Eva L.&lt;/author&gt;&lt;/authors&gt;&lt;/contributors&gt;&lt;added-date format="utc"&gt;1383264441&lt;/added-date&gt;&lt;ref-type name="Journal Article"&gt;17&lt;/ref-type&gt;&lt;dates&gt;&lt;year&gt;2012&lt;/year&gt;&lt;/dates&gt;&lt;rec-number&gt;146&lt;/rec-number&gt;&lt;last-updated-date format="utc"&gt;1383265024&lt;/last-updated-date&gt;&lt;electronic-resource-num&gt;10.1016/j.nbd.2011.08.011&lt;/electronic-resource-num&gt;&lt;volume&gt;45&lt;/volume&gt;&lt;/record&gt;&lt;/Cite&gt;&lt;Cite  &gt;&lt;Author&gt;Cheng&lt;/Author&gt;&lt;Year&gt;2009&lt;/Year&gt;&lt;RecNum&gt;105&lt;/RecNum&gt;&lt;record&gt;&lt;isbn&gt;0022-3069&lt;/isbn&gt;&lt;titles&gt;&lt;title&gt;Nerve Growth Factor Mediates Mechanical Allodynia in a Mouse Model of Type 2 Diabetes&lt;/title&gt;&lt;secondary-title&gt;J. Neuropathol. Exp. Neurol.&lt;/secondary-title&gt;&lt;/titles&gt;&lt;pages&gt;1229-1243&lt;/pages&gt;&lt;number&gt;11&lt;/number&gt;&lt;contributors&gt;&lt;authors&gt;&lt;author&gt;Cheng, H. T.&lt;/author&gt;&lt;author&gt;Dauch, J. R.&lt;/author&gt;&lt;author&gt;Hayes, J. M.&lt;/author&gt;&lt;author&gt;Hong, Y.&lt;/author&gt;&lt;author&gt;Feldman, E. L.&lt;/author&gt;&lt;/authors&gt;&lt;/contributors&gt;&lt;added-date format="utc"&gt;1383260308&lt;/added-date&gt;&lt;ref-type name="Journal Article"&gt;17&lt;/ref-type&gt;&lt;dates&gt;&lt;year&gt;2009&lt;/year&gt;&lt;/dates&gt;&lt;rec-number&gt;105&lt;/rec-number&gt;&lt;last-updated-date format="utc"&gt;1383260643&lt;/last-updated-date&gt;&lt;volume&gt;68&lt;/volume&gt;&lt;/record&gt;&lt;/Cite&gt;&lt;/EndNote&gt;</w:instrText>
      </w:r>
      <w:r>
        <w:fldChar w:fldCharType="separate"/>
      </w:r>
      <w:r>
        <w:t>(Cheng et al., 2012, Cheng et al., 2009)</w:t>
      </w:r>
      <w:r>
        <w:fldChar w:fldCharType="end"/>
      </w:r>
      <w:r>
        <w:rPr>
          <w:lang w:val="en-US"/>
        </w:rPr>
        <w:t xml:space="preserve">. Increased regenerating and dysmorphic cutaneous nerve </w:t>
      </w:r>
      <w:proofErr w:type="spellStart"/>
      <w:r>
        <w:rPr>
          <w:lang w:val="en-US"/>
        </w:rPr>
        <w:t>fibres</w:t>
      </w:r>
      <w:proofErr w:type="spellEnd"/>
      <w:r>
        <w:rPr>
          <w:lang w:val="en-US"/>
        </w:rPr>
        <w:t xml:space="preserve"> have been shown to be associated with painful</w:t>
      </w:r>
      <w:r w:rsidR="006057A7">
        <w:rPr>
          <w:lang w:val="en-US"/>
        </w:rPr>
        <w:t xml:space="preserve"> </w:t>
      </w:r>
      <w:proofErr w:type="spellStart"/>
      <w:r>
        <w:rPr>
          <w:lang w:val="en-US"/>
        </w:rPr>
        <w:t>DPN</w:t>
      </w:r>
      <w:proofErr w:type="spellEnd"/>
      <w:r>
        <w:rPr>
          <w:lang w:val="en-US"/>
        </w:rPr>
        <w:t xml:space="preserve"> </w:t>
      </w:r>
      <w:r>
        <w:rPr>
          <w:lang w:val="sv-SE"/>
        </w:rPr>
        <w:fldChar w:fldCharType="begin"/>
      </w:r>
      <w:r w:rsidRPr="005B5764">
        <w:instrText xml:space="preserve"> ADDIN EN.CITE &lt;EndNote&gt;&lt;Cite  &gt;&lt;Author&gt;Cheng&lt;/Author&gt;&lt;Year&gt;2013&lt;/Year&gt;&lt;RecNum&gt;78&lt;/RecNum&gt;&lt;DisplayText&gt;(Cheng et al., 2013, Bönhof et al., 2017)&lt;/DisplayText&gt;&lt;record&gt;&lt;keywords&gt;&lt;keyword&gt;Diabetic Pain&lt;/keyword&gt;&lt;keyword&gt;Intraepidermal Nerve Fiber&lt;/keyword&gt;&lt;keyword&gt;Peripheral Neuropathy&lt;/keyword&gt;&lt;/keywords&gt;&lt;isbn&gt;1526-5900&lt;/isbn&gt;&lt;titles&gt;&lt;title&gt;Increased axonal regeneration and swellings in intraepidermal nerve fibers characterize painful phenotypes of diabetic neuropathy&lt;/title&gt;&lt;secondary-title&gt;The journal of pain : official journal of the American Pain Society&lt;/secondary-title&gt;&lt;/titles&gt;&lt;pages&gt;941&lt;/pages&gt;&lt;number&gt;9&lt;/number&gt;&lt;contributors&gt;&lt;authors&gt;&lt;author&gt;Cheng, Hsinlin T.&lt;/author&gt;&lt;author&gt;Dauch, Jacqueline R.&lt;/author&gt;&lt;author&gt;Porzio, Michael T.&lt;/author&gt;&lt;author&gt;Yanik, Brandon M.&lt;/author&gt;&lt;author&gt;Hsieh, Wilson&lt;/author&gt;&lt;author&gt;Smith, A. Gordon&lt;/author&gt;&lt;author&gt;Singleton, J. Robinson&lt;/author&gt;&lt;author&gt;Feldman, Eva L.&lt;/author&gt;&lt;/authors&gt;&lt;/contributors&gt;&lt;added-date format="utc"&gt;1383239500&lt;/added-date&gt;&lt;ref-type name="Journal Article"&gt;17&lt;/ref-type&gt;&lt;dates&gt;&lt;year&gt;2013&lt;/year&gt;&lt;/dates&gt;&lt;rec-number&gt;78&lt;/rec-number&gt;&lt;last-updated-date format="utc"&gt;1383240559&lt;/last-updated-date&gt;&lt;electronic-resource-num&gt;10.1016/j.jpain.2013.03.005&lt;/electronic-resource-num&gt;&lt;volume&gt;14&lt;/volume&gt;&lt;/record&gt;&lt;/Cite&gt;&lt;Cite  &gt;&lt;Author&gt;Bönhof&lt;/Author&gt;&lt;Year&gt;2017&lt;/Year&gt;&lt;record&gt;&lt;dates&gt;&lt;pub-dates&gt;&lt;date&gt;Dec&lt;/date&gt;&lt;/pub-dates&gt;&lt;year&gt;2017&lt;/year&gt;&lt;/dates&gt;&lt;keywords&gt;&lt;keyword&gt;Nerve regeneration&lt;/keyword&gt;&lt;keyword&gt;Neuropathic pain&lt;/keyword&gt;&lt;keyword&gt;Neuropathy&lt;/keyword&gt;&lt;keyword&gt;Skin biopsy&lt;/keyword&gt;&lt;keyword&gt;Type 2 diabetes&lt;/keyword&gt;&lt;/keywords&gt;&lt;urls&gt;&lt;related-urls&gt;&lt;url&gt;https://www.ncbi.nlm.nih.gov/pubmed/28914336&lt;/url&gt;&lt;/related-urls&gt;&lt;/urls&gt;&lt;isbn&gt;1432-0428&lt;/isbn&gt;&lt;titles&gt;&lt;title&gt;Patterns of cutaneous nerve fibre loss and regeneration in type 2 diabetes with painful and painless polyneuropathy&lt;/title&gt;&lt;secondary-title&gt;Diabetologia&lt;/secondary-title&gt;&lt;/titles&gt;&lt;pages&gt;2495-2503&lt;/pages&gt;&lt;number&gt;12&lt;/number&gt;&lt;contributors&gt;&lt;authors&gt;&lt;author&gt;Bönhof, G. J.&lt;/author&gt;&lt;author&gt;Strom, A.&lt;/author&gt;&lt;author&gt;Püttgen, S.&lt;/author&gt;&lt;author&gt;Ringel, B.&lt;/author&gt;&lt;author&gt;Brüggemann, J.&lt;/author&gt;&lt;author&gt;Bódis, K.&lt;/author&gt;&lt;author&gt;Müssig, K.&lt;/author&gt;&lt;author&gt;Szendroedi, J.&lt;/author&gt;&lt;author&gt;Roden, M.&lt;/author&gt;&lt;author&gt;Ziegler, D.&lt;/author&gt;&lt;/authors&gt;&lt;/contributors&gt;&lt;edition&gt;2017/09/15&lt;/edition&gt;&lt;language&gt;eng&lt;/language&gt;&lt;added-date format="utc"&gt;1511452927&lt;/added-date&gt;&lt;ref-type name="Journal Article"&gt;17&lt;/ref-type&gt;&lt;rec-number&gt;539&lt;/rec-number&gt;&lt;last-updated-date format="utc"&gt;1511452927&lt;/last-updated-date&gt;&lt;accession-num&gt;28914336&lt;/accession-num&gt;&lt;electronic-resource-num&gt;10.1007/s00125-017-4438-5&lt;/electronic-resource-num&gt;&lt;volume&gt;60&lt;/volume&gt;&lt;/record&gt;&lt;/Cite&gt;&lt;/EndNote&gt;</w:instrText>
      </w:r>
      <w:r>
        <w:rPr>
          <w:lang w:val="sv-SE"/>
        </w:rPr>
        <w:fldChar w:fldCharType="separate"/>
      </w:r>
      <w:r w:rsidRPr="005B5764">
        <w:t>(Cheng et al., 2013, Bönhof et al., 2017)</w:t>
      </w:r>
      <w:r>
        <w:rPr>
          <w:lang w:val="sv-SE"/>
        </w:rPr>
        <w:fldChar w:fldCharType="end"/>
      </w:r>
      <w:r>
        <w:rPr>
          <w:lang w:val="en-US"/>
        </w:rPr>
        <w:t xml:space="preserve">. Peripheral nerve and skin </w:t>
      </w:r>
      <w:proofErr w:type="spellStart"/>
      <w:r>
        <w:rPr>
          <w:lang w:val="en-US"/>
        </w:rPr>
        <w:t>haemodynamic</w:t>
      </w:r>
      <w:proofErr w:type="spellEnd"/>
      <w:r>
        <w:rPr>
          <w:lang w:val="en-US"/>
        </w:rPr>
        <w:t xml:space="preserve"> factors, both structural and functional, have also been </w:t>
      </w:r>
      <w:r>
        <w:rPr>
          <w:lang w:val="en-US"/>
        </w:rPr>
        <w:lastRenderedPageBreak/>
        <w:t>implicated in the pathogenesis of painful-</w:t>
      </w:r>
      <w:proofErr w:type="spellStart"/>
      <w:r>
        <w:rPr>
          <w:lang w:val="en-US"/>
        </w:rPr>
        <w:t>DPN</w:t>
      </w:r>
      <w:proofErr w:type="spellEnd"/>
      <w:r>
        <w:rPr>
          <w:lang w:val="en-US"/>
        </w:rPr>
        <w:t xml:space="preserve"> </w:t>
      </w:r>
      <w:r>
        <w:fldChar w:fldCharType="begin"/>
      </w:r>
      <w:r>
        <w:instrText xml:space="preserve"> ADDIN EN.CITE &lt;EndNote&gt;&lt;Cite  &gt;&lt;Author&gt;Eaton&lt;/Author&gt;&lt;Year&gt;2003&lt;/Year&gt;&lt;RecNum&gt;311&lt;/RecNum&gt;&lt;DisplayText&gt;(Eaton et al., 2003, Tesfaye et al., 1996a, Quattrini et al., 2007)&lt;/DisplayText&gt;&lt;record&gt;&lt;keywords&gt;&lt;keyword&gt;Diabetic Neuropathies -- Physiopathology&lt;/keyword&gt;&lt;keyword&gt;Neuralgia -- Physiopathology&lt;/keyword&gt;&lt;keyword&gt;Peroneal Nerve -- Physiopathology&lt;/keyword&gt;&lt;keyword&gt;Sural Nerve -- Blood Supply&lt;/keyword&gt;&lt;/keywords&gt;&lt;isbn&gt;0012-186X&lt;/isbn&gt;&lt;titles&gt;&lt;title&gt;Increased sural nerve epineurial blood flow in human subjects with painful diabetic neuropathy&lt;/title&gt;&lt;secondary-title&gt;Diabetologia&lt;/secondary-title&gt;&lt;/titles&gt;&lt;pages&gt;934&lt;/pages&gt;&lt;number&gt;7&lt;/number&gt;&lt;contributors&gt;&lt;authors&gt;&lt;author&gt;Eaton, S. E. M.&lt;/author&gt;&lt;author&gt;Harris, N. D.&lt;/author&gt;&lt;author&gt;Ibrahim, S.&lt;/author&gt;&lt;author&gt;Patel, K. A.&lt;/author&gt;&lt;author&gt;Selmi, F.&lt;/author&gt;&lt;author&gt;Radatz, M.&lt;/author&gt;&lt;author&gt;Ward, J. D.&lt;/author&gt;&lt;author&gt;Tesfaye, S.&lt;/author&gt;&lt;/authors&gt;&lt;/contributors&gt;&lt;added-date format="utc"&gt;1386481765&lt;/added-date&gt;&lt;ref-type name="Journal Article"&gt;17&lt;/ref-type&gt;&lt;dates&gt;&lt;year&gt;2003&lt;/year&gt;&lt;/dates&gt;&lt;rec-number&gt;311&lt;/rec-number&gt;&lt;last-updated-date format="utc"&gt;1387865341&lt;/last-updated-date&gt;&lt;volume&gt;46&lt;/volume&gt;&lt;/record&gt;&lt;/Cite&gt;&lt;Cite  &gt;&lt;Author&gt;Tesfaye&lt;/Author&gt;&lt;Year&gt;1996&lt;/Year&gt;&lt;RecNum&gt;437&lt;/RecNum&gt;&lt;record&gt;&lt;dates&gt;&lt;pub-dates&gt;&lt;date&gt;Mar&lt;/date&gt;&lt;/pub-dates&gt;&lt;year&gt;1996&lt;/year&gt;&lt;/dates&gt;&lt;keywords&gt;&lt;keyword&gt;Acute Disease&lt;/keyword&gt;&lt;keyword&gt;Adult&lt;/keyword&gt;&lt;keyword&gt;Arteries&lt;/keyword&gt;&lt;keyword&gt;Blood Glucose&lt;/keyword&gt;&lt;keyword&gt;Diabetes Mellitus, Type 1&lt;/keyword&gt;&lt;keyword&gt;Diabetes Mellitus, Type 2&lt;/keyword&gt;&lt;keyword&gt;Diabetic Neuropathies&lt;/keyword&gt;&lt;keyword&gt;Electrophysiology&lt;/keyword&gt;&lt;keyword&gt;Female&lt;/keyword&gt;&lt;keyword&gt;Fluorescein Angiography&lt;/keyword&gt;&lt;keyword&gt;Humans&lt;/keyword&gt;&lt;keyword&gt;Insulin&lt;/keyword&gt;&lt;keyword&gt;Male&lt;/keyword&gt;&lt;keyword&gt;Middle Aged&lt;/keyword&gt;&lt;keyword&gt;Optic Nerve&lt;/keyword&gt;&lt;keyword&gt;Pain&lt;/keyword&gt;&lt;keyword&gt;Sural Nerve&lt;/keyword&gt;&lt;keyword&gt;Veins&lt;/keyword&gt;&lt;/keywords&gt;&lt;urls&gt;&lt;related-urls&gt;&lt;url&gt;https://www.ncbi.nlm.nih.gov/pubmed/8721779&lt;/url&gt;&lt;/related-urls&gt;&lt;/urls&gt;&lt;isbn&gt;0012-186X&lt;/isbn&gt;&lt;titles&gt;&lt;title&gt;Arterio-venous shunting and proliferating new vessels in acute painful neuropathy of rapid glycaemic control (insulin neuritis)&lt;/title&gt;&lt;secondary-title&gt;Diabetologia&lt;/secondary-title&gt;&lt;/titles&gt;&lt;pages&gt;329-35&lt;/pages&gt;&lt;number&gt;3&lt;/number&gt;&lt;contributors&gt;&lt;authors&gt;&lt;author&gt;Tesfaye, S.&lt;/author&gt;&lt;author&gt;Malik, R.&lt;/author&gt;&lt;author&gt;Harris, N.&lt;/author&gt;&lt;author&gt;Jakubowski, J. J.&lt;/author&gt;&lt;author&gt;Mody, C.&lt;/author&gt;&lt;author&gt;Rennie, I. G.&lt;/author&gt;&lt;author&gt;Ward, J. D.&lt;/author&gt;&lt;/authors&gt;&lt;/contributors&gt;&lt;language&gt;eng&lt;/language&gt;&lt;added-date format="utc"&gt;1503364215&lt;/added-date&gt;&lt;ref-type name="Journal Article"&gt;17&lt;/ref-type&gt;&lt;rec-number&gt;437&lt;/rec-number&gt;&lt;last-updated-date format="utc"&gt;1503364215&lt;/last-updated-date&gt;&lt;accession-num&gt;8721779&lt;/accession-num&gt;&lt;volume&gt;39&lt;/volume&gt;&lt;/record&gt;&lt;/Cite&gt;&lt;Cite  &gt;&lt;Author&gt;Quattrini&lt;/Author&gt;&lt;Year&gt;2007&lt;/Year&gt;&lt;RecNum&gt;530&lt;/RecNum&gt;&lt;record&gt;&lt;keywords&gt;&lt;keyword&gt;Diabetic Neuropathies -- Physiopathology&lt;/keyword&gt;&lt;keyword&gt;Microcirculation -- Pathology&lt;/keyword&gt;&lt;keyword&gt;Neuritis -- Physiopathology&lt;/keyword&gt;&lt;keyword&gt;Skin -- Blood Supply&lt;/keyword&gt;&lt;keyword&gt;Skin -- Physiopathology&lt;/keyword&gt;&lt;/keywords&gt;&lt;titles&gt;&lt;title&gt;Impaired skin microvascular reactivity in painful diabetic neuropathy&lt;/title&gt;&lt;secondary-title&gt;Diabetes care&lt;/secondary-title&gt;&lt;/titles&gt;&lt;pages&gt;655&lt;/pages&gt;&lt;number&gt;3&lt;/number&gt;&lt;contributors&gt;&lt;authors&gt;&lt;author&gt;Quattrini, Cristian&lt;/author&gt;&lt;author&gt;Harris, Nigel D.&lt;/author&gt;&lt;author&gt;Malik, Rayaz A.&lt;/author&gt;&lt;author&gt;Tesfaye, Solomon&lt;/author&gt;&lt;/authors&gt;&lt;/contributors&gt;&lt;added-date format="utc"&gt;1508463235&lt;/added-date&gt;&lt;ref-type name="Journal Article"&gt;17&lt;/ref-type&gt;&lt;dates&gt;&lt;year&gt;2007&lt;/year&gt;&lt;/dates&gt;&lt;rec-number&gt;530&lt;/rec-number&gt;&lt;last-updated-date format="utc"&gt;1508463235&lt;/last-updated-date&gt;&lt;volume&gt;30&lt;/volume&gt;&lt;/record&gt;&lt;/Cite&gt;&lt;/EndNote&gt;</w:instrText>
      </w:r>
      <w:r>
        <w:fldChar w:fldCharType="separate"/>
      </w:r>
      <w:r>
        <w:t>(Eaton et al., 2003, Tesfaye et al., 1996a, Quattrini et al., 2007)</w:t>
      </w:r>
      <w:r>
        <w:fldChar w:fldCharType="end"/>
      </w:r>
      <w:r>
        <w:t xml:space="preserve">. </w:t>
      </w:r>
    </w:p>
    <w:p w14:paraId="294F0227" w14:textId="51F93A70" w:rsidR="00AC0FDB" w:rsidRDefault="00AC0FDB" w:rsidP="00AC0FDB">
      <w:pPr>
        <w:pStyle w:val="BodyA"/>
        <w:spacing w:line="480" w:lineRule="auto"/>
        <w:jc w:val="both"/>
      </w:pPr>
      <w:r>
        <w:rPr>
          <w:lang w:val="en-US"/>
        </w:rPr>
        <w:t xml:space="preserve">In this study, we have </w:t>
      </w:r>
      <w:proofErr w:type="spellStart"/>
      <w:r>
        <w:rPr>
          <w:lang w:val="en-US"/>
        </w:rPr>
        <w:t>analysed</w:t>
      </w:r>
      <w:proofErr w:type="spellEnd"/>
      <w:r>
        <w:rPr>
          <w:lang w:val="en-US"/>
        </w:rPr>
        <w:t xml:space="preserve"> skin biopsies in </w:t>
      </w:r>
      <w:bookmarkStart w:id="111" w:name="_Hlk4182009"/>
      <w:r>
        <w:rPr>
          <w:lang w:val="en-US"/>
        </w:rPr>
        <w:t xml:space="preserve">carefully </w:t>
      </w:r>
      <w:proofErr w:type="spellStart"/>
      <w:r>
        <w:rPr>
          <w:lang w:val="en-US"/>
        </w:rPr>
        <w:t>characterised</w:t>
      </w:r>
      <w:proofErr w:type="spellEnd"/>
      <w:r>
        <w:rPr>
          <w:lang w:val="en-US"/>
        </w:rPr>
        <w:t xml:space="preserve"> cohorts</w:t>
      </w:r>
      <w:bookmarkEnd w:id="111"/>
      <w:r>
        <w:rPr>
          <w:lang w:val="en-US"/>
        </w:rPr>
        <w:t>. Our aim was to investigate whether a panel of skin nerve and vascular markers could differentiate painful from painless</w:t>
      </w:r>
      <w:r w:rsidR="006057A7">
        <w:rPr>
          <w:lang w:val="en-US"/>
        </w:rPr>
        <w:t xml:space="preserve"> </w:t>
      </w:r>
      <w:proofErr w:type="spellStart"/>
      <w:r>
        <w:rPr>
          <w:lang w:val="en-US"/>
        </w:rPr>
        <w:t>DPN</w:t>
      </w:r>
      <w:proofErr w:type="spellEnd"/>
      <w:r>
        <w:rPr>
          <w:lang w:val="en-US"/>
        </w:rPr>
        <w:t>.</w:t>
      </w:r>
    </w:p>
    <w:p w14:paraId="57125F0B" w14:textId="77777777" w:rsidR="00AC0FDB" w:rsidRDefault="00AC0FDB" w:rsidP="00AC0FDB">
      <w:pPr>
        <w:pStyle w:val="Heading2"/>
        <w:spacing w:line="480" w:lineRule="auto"/>
        <w:rPr>
          <w:i w:val="0"/>
          <w:iCs w:val="0"/>
          <w:sz w:val="24"/>
          <w:szCs w:val="24"/>
        </w:rPr>
      </w:pPr>
      <w:bookmarkStart w:id="112" w:name="_Toc50"/>
      <w:bookmarkStart w:id="113" w:name="_Toc6093025"/>
      <w:r>
        <w:rPr>
          <w:i w:val="0"/>
          <w:iCs w:val="0"/>
          <w:sz w:val="24"/>
          <w:szCs w:val="24"/>
          <w:lang w:val="en-US"/>
        </w:rPr>
        <w:t>5.2 Methods</w:t>
      </w:r>
      <w:bookmarkEnd w:id="112"/>
      <w:bookmarkEnd w:id="113"/>
    </w:p>
    <w:p w14:paraId="76D510C5" w14:textId="77777777" w:rsidR="00AC0FDB" w:rsidRDefault="00AC0FDB" w:rsidP="00AC0FDB">
      <w:pPr>
        <w:pStyle w:val="Heading3"/>
        <w:spacing w:line="480" w:lineRule="auto"/>
        <w:rPr>
          <w:sz w:val="24"/>
          <w:szCs w:val="24"/>
        </w:rPr>
      </w:pPr>
      <w:bookmarkStart w:id="114" w:name="_Toc51"/>
      <w:bookmarkStart w:id="115" w:name="_Toc6093026"/>
      <w:r>
        <w:rPr>
          <w:sz w:val="24"/>
          <w:szCs w:val="24"/>
          <w:lang w:val="en-US"/>
        </w:rPr>
        <w:t>5.2.1 Study Design and Participants</w:t>
      </w:r>
      <w:bookmarkEnd w:id="114"/>
      <w:bookmarkEnd w:id="115"/>
    </w:p>
    <w:p w14:paraId="66F1455B" w14:textId="77777777" w:rsidR="00AC0FDB" w:rsidRDefault="00AC0FDB" w:rsidP="00AC0FDB">
      <w:pPr>
        <w:pStyle w:val="BodyA"/>
        <w:spacing w:line="480" w:lineRule="auto"/>
        <w:jc w:val="both"/>
      </w:pPr>
      <w:r>
        <w:rPr>
          <w:lang w:val="en-US"/>
        </w:rPr>
        <w:t>A total of eighty subjects [Healthy Volunteers (</w:t>
      </w:r>
      <w:proofErr w:type="spellStart"/>
      <w:r>
        <w:rPr>
          <w:lang w:val="en-US"/>
        </w:rPr>
        <w:t>HV</w:t>
      </w:r>
      <w:proofErr w:type="spellEnd"/>
      <w:r>
        <w:rPr>
          <w:lang w:val="en-US"/>
        </w:rPr>
        <w:t xml:space="preserve"> n=19); T2DM subjects without neuropathy (No-</w:t>
      </w:r>
      <w:proofErr w:type="spellStart"/>
      <w:r>
        <w:rPr>
          <w:lang w:val="en-US"/>
        </w:rPr>
        <w:t>DPN</w:t>
      </w:r>
      <w:proofErr w:type="spellEnd"/>
      <w:r>
        <w:rPr>
          <w:lang w:val="en-US"/>
        </w:rPr>
        <w:t xml:space="preserve">, n=19); T2DM subjects with painless neuropathy (painless </w:t>
      </w:r>
      <w:proofErr w:type="spellStart"/>
      <w:r>
        <w:rPr>
          <w:lang w:val="en-US"/>
        </w:rPr>
        <w:t>DPN</w:t>
      </w:r>
      <w:proofErr w:type="spellEnd"/>
      <w:r>
        <w:rPr>
          <w:lang w:val="en-US"/>
        </w:rPr>
        <w:t xml:space="preserve">, n=19), and T2DM subjects with painful neuropathy (painful </w:t>
      </w:r>
      <w:proofErr w:type="spellStart"/>
      <w:r>
        <w:rPr>
          <w:lang w:val="en-US"/>
        </w:rPr>
        <w:t>DPN</w:t>
      </w:r>
      <w:proofErr w:type="spellEnd"/>
      <w:r>
        <w:rPr>
          <w:lang w:val="en-US"/>
        </w:rPr>
        <w:t xml:space="preserve">, n=23)] participated in this study. Adult patients were recruited from Sheffield Teaching Hospitals NHS Foundation Trust.  Exclusion criteria included: non-diabetic neuropathies, history of alcohol consumption of more than 24 units a week, diabetic neuropathies other than distal symmetrical polyneuropathy, peripheral vascular disease identified by an absence of foot pulses and confounding neurological or systemic disorders. The sample size required to complete this study has been based on a previous investigation with a similar design </w:t>
      </w:r>
      <w:r>
        <w:fldChar w:fldCharType="begin"/>
      </w:r>
      <w:r>
        <w:instrText xml:space="preserve"> ADDIN EN.CITE &lt;EndNote&gt;&lt;Cite  &gt;&lt;Author&gt;Cheng&lt;/Author&gt;&lt;Year&gt;2013&lt;/Year&gt;&lt;RecNum&gt;149&lt;/RecNum&gt;&lt;DisplayText&gt;(Cheng et al., 2013)&lt;/DisplayText&gt;&lt;record&gt;&lt;keywords&gt;&lt;keyword&gt;Diabetic Pain&lt;/keyword&gt;&lt;keyword&gt;Intraepidermal Nerve Fiber&lt;/keyword&gt;&lt;keyword&gt;Peripheral Neuropathy&lt;/keyword&gt;&lt;/keywords&gt;&lt;isbn&gt;1526-5900&lt;/isbn&gt;&lt;titles&gt;&lt;title&gt;Increased axonal regeneration and swellings in intraepidermal nerve fibers characterize painful phenotypes of diabetic neuropathy&lt;/title&gt;&lt;secondary-title&gt;The journal of pain : official journal of the American Pain Society&lt;/secondary-title&gt;&lt;/titles&gt;&lt;pages&gt;941&lt;/pages&gt;&lt;number&gt;9&lt;/number&gt;&lt;contributors&gt;&lt;authors&gt;&lt;author&gt;Cheng, Hsinlin T.&lt;/author&gt;&lt;author&gt;Dauch, Jacqueline R.&lt;/author&gt;&lt;author&gt;Porzio, Michael T.&lt;/author&gt;&lt;author&gt;Yanik, Brandon M.&lt;/author&gt;&lt;author&gt;Hsieh, Wilson&lt;/author&gt;&lt;author&gt;Smith, A. Gordon&lt;/author&gt;&lt;author&gt;Singleton, J. Robinson&lt;/author&gt;&lt;author&gt;Feldman, Eva L.&lt;/author&gt;&lt;/authors&gt;&lt;/contributors&gt;&lt;added-date format="utc"&gt;1383279008&lt;/added-date&gt;&lt;ref-type name="Journal Article"&gt;17&lt;/ref-type&gt;&lt;dates&gt;&lt;year&gt;2013&lt;/year&gt;&lt;/dates&gt;&lt;rec-number&gt;149&lt;/rec-number&gt;&lt;last-updated-date format="utc"&gt;1383279424&lt;/last-updated-date&gt;&lt;electronic-resource-num&gt;10.1016/j.jpain.2013.03.005&lt;/electronic-resource-num&gt;&lt;volume&gt;14&lt;/volume&gt;&lt;/record&gt;&lt;/Cite&gt;&lt;/EndNote&gt;</w:instrText>
      </w:r>
      <w:r>
        <w:fldChar w:fldCharType="separate"/>
      </w:r>
      <w:r>
        <w:t>(Cheng et al., 2013)</w:t>
      </w:r>
      <w:r>
        <w:fldChar w:fldCharType="end"/>
      </w:r>
      <w:r>
        <w:t xml:space="preserve">. </w:t>
      </w:r>
    </w:p>
    <w:p w14:paraId="50FEB48F" w14:textId="3EF99CB4" w:rsidR="00AC0FDB" w:rsidRDefault="00AC0FDB" w:rsidP="00AC0FDB">
      <w:pPr>
        <w:pStyle w:val="Heading3"/>
        <w:spacing w:line="480" w:lineRule="auto"/>
        <w:rPr>
          <w:sz w:val="24"/>
          <w:szCs w:val="24"/>
        </w:rPr>
      </w:pPr>
      <w:bookmarkStart w:id="116" w:name="_Toc52"/>
      <w:bookmarkStart w:id="117" w:name="_Toc6093027"/>
      <w:r>
        <w:rPr>
          <w:sz w:val="24"/>
          <w:szCs w:val="24"/>
        </w:rPr>
        <w:t>5.2.</w:t>
      </w:r>
      <w:r w:rsidR="00724A07">
        <w:rPr>
          <w:sz w:val="24"/>
          <w:szCs w:val="24"/>
        </w:rPr>
        <w:t>2</w:t>
      </w:r>
      <w:r>
        <w:rPr>
          <w:sz w:val="24"/>
          <w:szCs w:val="24"/>
        </w:rPr>
        <w:t xml:space="preserve"> </w:t>
      </w:r>
      <w:r>
        <w:rPr>
          <w:sz w:val="24"/>
          <w:szCs w:val="24"/>
          <w:lang w:val="en-US"/>
        </w:rPr>
        <w:t>Neuropathy Assessment</w:t>
      </w:r>
      <w:bookmarkEnd w:id="116"/>
      <w:bookmarkEnd w:id="117"/>
    </w:p>
    <w:p w14:paraId="5661BF7E" w14:textId="77777777" w:rsidR="00AC0FDB" w:rsidRDefault="00AC0FDB" w:rsidP="00AC0FDB">
      <w:pPr>
        <w:pStyle w:val="BodyA"/>
        <w:spacing w:after="0" w:line="480" w:lineRule="auto"/>
        <w:jc w:val="both"/>
        <w:rPr>
          <w:rFonts w:ascii="Calibri" w:eastAsia="Calibri" w:hAnsi="Calibri" w:cs="Calibri"/>
        </w:rPr>
      </w:pPr>
      <w:r>
        <w:rPr>
          <w:rFonts w:ascii="Calibri" w:eastAsia="Calibri" w:hAnsi="Calibri" w:cs="Calibri"/>
          <w:lang w:val="en-US"/>
        </w:rPr>
        <w:t>Neuropathy assessment was done as described in the general method sub section 3.2.</w:t>
      </w:r>
    </w:p>
    <w:p w14:paraId="7EFC340A" w14:textId="77777777" w:rsidR="00AC0FDB" w:rsidRDefault="00AC0FDB" w:rsidP="00AC0FDB">
      <w:pPr>
        <w:pStyle w:val="BodyA"/>
        <w:spacing w:after="0" w:line="480" w:lineRule="auto"/>
        <w:jc w:val="both"/>
        <w:rPr>
          <w:rFonts w:ascii="Calibri" w:eastAsia="Calibri" w:hAnsi="Calibri" w:cs="Calibri"/>
        </w:rPr>
      </w:pPr>
      <w:r>
        <w:rPr>
          <w:rFonts w:ascii="Calibri" w:eastAsia="Calibri" w:hAnsi="Calibri" w:cs="Calibri"/>
          <w:lang w:val="en-US"/>
        </w:rPr>
        <w:t xml:space="preserve">Based on these assessments and the DN4 questionnaire score, patients with T2DM were divided into three groups: </w:t>
      </w:r>
    </w:p>
    <w:p w14:paraId="2C6559B9" w14:textId="77777777" w:rsidR="00AC0FDB" w:rsidRDefault="00AC0FDB" w:rsidP="00AC0FDB">
      <w:pPr>
        <w:pStyle w:val="BodyA"/>
        <w:spacing w:after="0" w:line="480" w:lineRule="auto"/>
        <w:jc w:val="both"/>
        <w:rPr>
          <w:rFonts w:ascii="Calibri" w:eastAsia="Calibri" w:hAnsi="Calibri" w:cs="Calibri"/>
        </w:rPr>
      </w:pPr>
      <w:r>
        <w:rPr>
          <w:rFonts w:ascii="Calibri" w:eastAsia="Calibri" w:hAnsi="Calibri" w:cs="Calibri"/>
          <w:lang w:val="en-US"/>
        </w:rPr>
        <w:t xml:space="preserve">1) No </w:t>
      </w:r>
      <w:proofErr w:type="spellStart"/>
      <w:r>
        <w:rPr>
          <w:rFonts w:ascii="Calibri" w:eastAsia="Calibri" w:hAnsi="Calibri" w:cs="Calibri"/>
          <w:lang w:val="en-US"/>
        </w:rPr>
        <w:t>DPN</w:t>
      </w:r>
      <w:proofErr w:type="spellEnd"/>
      <w:r>
        <w:rPr>
          <w:rFonts w:ascii="Calibri" w:eastAsia="Calibri" w:hAnsi="Calibri" w:cs="Calibri"/>
          <w:lang w:val="en-US"/>
        </w:rPr>
        <w:t xml:space="preserve">; consisting of asymptomatic patients with normal clinical and neurophysiological assessments and an NRS pain score of 0; </w:t>
      </w:r>
    </w:p>
    <w:p w14:paraId="472FCBDF" w14:textId="77777777" w:rsidR="00AC0FDB" w:rsidRDefault="00AC0FDB" w:rsidP="00AC0FDB">
      <w:pPr>
        <w:pStyle w:val="BodyA"/>
        <w:spacing w:after="0" w:line="480" w:lineRule="auto"/>
        <w:jc w:val="both"/>
        <w:rPr>
          <w:rFonts w:ascii="Calibri" w:eastAsia="Calibri" w:hAnsi="Calibri" w:cs="Calibri"/>
        </w:rPr>
      </w:pPr>
      <w:r>
        <w:rPr>
          <w:rFonts w:ascii="Calibri" w:eastAsia="Calibri" w:hAnsi="Calibri" w:cs="Calibri"/>
          <w:lang w:val="en-US"/>
        </w:rPr>
        <w:lastRenderedPageBreak/>
        <w:t xml:space="preserve">2) Painless </w:t>
      </w:r>
      <w:proofErr w:type="spellStart"/>
      <w:r>
        <w:rPr>
          <w:rFonts w:ascii="Calibri" w:eastAsia="Calibri" w:hAnsi="Calibri" w:cs="Calibri"/>
          <w:lang w:val="en-US"/>
        </w:rPr>
        <w:t>DPN</w:t>
      </w:r>
      <w:proofErr w:type="spellEnd"/>
      <w:r>
        <w:rPr>
          <w:rFonts w:ascii="Calibri" w:eastAsia="Calibri" w:hAnsi="Calibri" w:cs="Calibri"/>
          <w:lang w:val="en-US"/>
        </w:rPr>
        <w:t xml:space="preserve">; comprising of pain-free patients (NRS score of 0) with distal symmetrical polyneuropathy; </w:t>
      </w:r>
    </w:p>
    <w:p w14:paraId="0FAD16A9" w14:textId="77777777" w:rsidR="00AC0FDB" w:rsidRDefault="00AC0FDB" w:rsidP="00AC0FDB">
      <w:pPr>
        <w:pStyle w:val="BodyA"/>
        <w:spacing w:after="0" w:line="480" w:lineRule="auto"/>
        <w:jc w:val="both"/>
        <w:rPr>
          <w:rFonts w:ascii="Calibri" w:eastAsia="Calibri" w:hAnsi="Calibri" w:cs="Calibri"/>
        </w:rPr>
      </w:pPr>
      <w:r>
        <w:rPr>
          <w:rFonts w:ascii="Calibri" w:eastAsia="Calibri" w:hAnsi="Calibri" w:cs="Calibri"/>
          <w:lang w:val="en-US"/>
        </w:rPr>
        <w:t xml:space="preserve">3) Painful </w:t>
      </w:r>
      <w:proofErr w:type="spellStart"/>
      <w:r>
        <w:rPr>
          <w:rFonts w:ascii="Calibri" w:eastAsia="Calibri" w:hAnsi="Calibri" w:cs="Calibri"/>
          <w:lang w:val="en-US"/>
        </w:rPr>
        <w:t>DPN</w:t>
      </w:r>
      <w:proofErr w:type="spellEnd"/>
      <w:r>
        <w:rPr>
          <w:rFonts w:ascii="Calibri" w:eastAsia="Calibri" w:hAnsi="Calibri" w:cs="Calibri"/>
          <w:lang w:val="en-US"/>
        </w:rPr>
        <w:t>; patients with daily painful neuropathic symptoms for over 1 year (NRS</w:t>
      </w:r>
      <w:r>
        <w:rPr>
          <w:rFonts w:ascii="Calibri" w:eastAsia="Calibri" w:hAnsi="Calibri" w:cs="Calibri"/>
          <w:u w:val="single"/>
        </w:rPr>
        <w:t>&gt;</w:t>
      </w:r>
      <w:r>
        <w:rPr>
          <w:rFonts w:ascii="Calibri" w:eastAsia="Calibri" w:hAnsi="Calibri" w:cs="Calibri"/>
          <w:lang w:val="en-US"/>
        </w:rPr>
        <w:t>4) involving the feet and or legs in a distal symmetrical fashion together with evidence of neuropathy.</w:t>
      </w:r>
    </w:p>
    <w:p w14:paraId="7E4B1367" w14:textId="77777777" w:rsidR="00AC0FDB" w:rsidRPr="00724A07" w:rsidRDefault="00AC0FDB" w:rsidP="00724A07">
      <w:pPr>
        <w:pStyle w:val="Heading3"/>
        <w:spacing w:line="480" w:lineRule="auto"/>
        <w:rPr>
          <w:rFonts w:ascii="Calibri" w:eastAsia="Calibri" w:hAnsi="Calibri" w:cs="Calibri"/>
          <w:sz w:val="24"/>
          <w:szCs w:val="24"/>
        </w:rPr>
      </w:pPr>
      <w:bookmarkStart w:id="118" w:name="_Toc6093028"/>
      <w:r w:rsidRPr="00724A07">
        <w:rPr>
          <w:sz w:val="24"/>
          <w:szCs w:val="24"/>
        </w:rPr>
        <w:t>5.2.3 Skin Biopsy</w:t>
      </w:r>
      <w:bookmarkEnd w:id="118"/>
      <w:r w:rsidRPr="00724A07">
        <w:rPr>
          <w:rFonts w:ascii="Calibri" w:eastAsia="Calibri" w:hAnsi="Calibri" w:cs="Calibri"/>
          <w:sz w:val="24"/>
          <w:szCs w:val="24"/>
        </w:rPr>
        <w:t xml:space="preserve"> </w:t>
      </w:r>
    </w:p>
    <w:p w14:paraId="21345799" w14:textId="77777777" w:rsidR="00AC0FDB" w:rsidRDefault="00AC0FDB" w:rsidP="00AC0FDB">
      <w:pPr>
        <w:pStyle w:val="BodyA"/>
        <w:spacing w:after="0" w:line="480" w:lineRule="auto"/>
        <w:jc w:val="both"/>
        <w:rPr>
          <w:rFonts w:ascii="Calibri" w:eastAsia="Calibri" w:hAnsi="Calibri" w:cs="Calibri"/>
        </w:rPr>
      </w:pPr>
      <w:r>
        <w:rPr>
          <w:rFonts w:ascii="Calibri" w:eastAsia="Calibri" w:hAnsi="Calibri" w:cs="Calibri"/>
          <w:lang w:val="en-US"/>
        </w:rPr>
        <w:t>As described in general method sub section 3.3</w:t>
      </w:r>
    </w:p>
    <w:p w14:paraId="701141C0" w14:textId="77777777" w:rsidR="00AC0FDB" w:rsidRDefault="00AC0FDB" w:rsidP="00AC0FDB">
      <w:pPr>
        <w:pStyle w:val="Heading3"/>
        <w:spacing w:line="480" w:lineRule="auto"/>
        <w:rPr>
          <w:sz w:val="24"/>
          <w:szCs w:val="24"/>
        </w:rPr>
      </w:pPr>
      <w:bookmarkStart w:id="119" w:name="_Toc6093029"/>
      <w:bookmarkStart w:id="120" w:name="_Toc53"/>
      <w:r>
        <w:rPr>
          <w:sz w:val="24"/>
          <w:szCs w:val="24"/>
          <w:lang w:val="en-US"/>
        </w:rPr>
        <w:t>5.2.4 Immunohistochemistry</w:t>
      </w:r>
      <w:bookmarkEnd w:id="119"/>
      <w:r>
        <w:rPr>
          <w:sz w:val="24"/>
          <w:szCs w:val="24"/>
          <w:lang w:val="en-US"/>
        </w:rPr>
        <w:t xml:space="preserve"> </w:t>
      </w:r>
      <w:bookmarkEnd w:id="120"/>
    </w:p>
    <w:p w14:paraId="6114534A" w14:textId="631FC326" w:rsidR="00AC0FDB" w:rsidRDefault="00AC0FDB" w:rsidP="00AC0FDB">
      <w:pPr>
        <w:pStyle w:val="BodyA"/>
        <w:spacing w:after="0" w:line="480" w:lineRule="auto"/>
        <w:jc w:val="both"/>
        <w:rPr>
          <w:rFonts w:ascii="Calibri" w:eastAsia="Calibri" w:hAnsi="Calibri" w:cs="Calibri"/>
        </w:rPr>
      </w:pPr>
      <w:r>
        <w:rPr>
          <w:rFonts w:ascii="Calibri" w:eastAsia="Calibri" w:hAnsi="Calibri" w:cs="Calibri"/>
          <w:lang w:val="en-US"/>
        </w:rPr>
        <w:t>The skin biopsy specimen was fixed for 12-18 hours in paraformaldehyde-lysine-periodate and cry</w:t>
      </w:r>
      <w:r w:rsidR="00CD14C8">
        <w:rPr>
          <w:rFonts w:ascii="Calibri" w:eastAsia="Calibri" w:hAnsi="Calibri" w:cs="Calibri"/>
          <w:lang w:val="en-US"/>
        </w:rPr>
        <w:t>o</w:t>
      </w:r>
      <w:r>
        <w:rPr>
          <w:rFonts w:ascii="Calibri" w:eastAsia="Calibri" w:hAnsi="Calibri" w:cs="Calibri"/>
          <w:lang w:val="en-US"/>
        </w:rPr>
        <w:t>protected overnight (15% sucrose in 0.1M Phosphate buffer) at 4</w:t>
      </w:r>
      <w:r w:rsidRPr="005B5764">
        <w:rPr>
          <w:rFonts w:ascii="Calibri" w:eastAsia="Calibri" w:hAnsi="Calibri" w:cs="Calibri"/>
        </w:rPr>
        <w:t>°</w:t>
      </w:r>
      <w:r>
        <w:rPr>
          <w:rFonts w:ascii="Calibri" w:eastAsia="Calibri" w:hAnsi="Calibri" w:cs="Calibri"/>
          <w:lang w:val="en-US"/>
        </w:rPr>
        <w:t>C, snap frozen in liquid nitrogen and cut into 15</w:t>
      </w:r>
      <w:r>
        <w:rPr>
          <w:rFonts w:ascii="Calibri" w:eastAsia="Calibri" w:hAnsi="Calibri" w:cs="Calibri"/>
        </w:rPr>
        <w:t>μ</w:t>
      </w:r>
      <w:r>
        <w:rPr>
          <w:rFonts w:ascii="Calibri" w:eastAsia="Calibri" w:hAnsi="Calibri" w:cs="Calibri"/>
          <w:lang w:val="en-US"/>
        </w:rPr>
        <w:t>m sections with a freezing microtome for assessment of intraepidermal (</w:t>
      </w:r>
      <w:proofErr w:type="spellStart"/>
      <w:r>
        <w:rPr>
          <w:rFonts w:ascii="Calibri" w:eastAsia="Calibri" w:hAnsi="Calibri" w:cs="Calibri"/>
          <w:lang w:val="en-US"/>
        </w:rPr>
        <w:t>IENF</w:t>
      </w:r>
      <w:proofErr w:type="spellEnd"/>
      <w:r>
        <w:rPr>
          <w:rFonts w:ascii="Calibri" w:eastAsia="Calibri" w:hAnsi="Calibri" w:cs="Calibri"/>
          <w:lang w:val="en-US"/>
        </w:rPr>
        <w:t>) and subepidermal (</w:t>
      </w:r>
      <w:proofErr w:type="spellStart"/>
      <w:r>
        <w:rPr>
          <w:rFonts w:ascii="Calibri" w:eastAsia="Calibri" w:hAnsi="Calibri" w:cs="Calibri"/>
          <w:lang w:val="en-US"/>
        </w:rPr>
        <w:t>SENF</w:t>
      </w:r>
      <w:proofErr w:type="spellEnd"/>
      <w:r>
        <w:rPr>
          <w:rFonts w:ascii="Calibri" w:eastAsia="Calibri" w:hAnsi="Calibri" w:cs="Calibri"/>
          <w:lang w:val="en-US"/>
        </w:rPr>
        <w:t xml:space="preserve">) nerve </w:t>
      </w:r>
      <w:proofErr w:type="spellStart"/>
      <w:r>
        <w:rPr>
          <w:rFonts w:ascii="Calibri" w:eastAsia="Calibri" w:hAnsi="Calibri" w:cs="Calibri"/>
          <w:lang w:val="en-US"/>
        </w:rPr>
        <w:t>fibre</w:t>
      </w:r>
      <w:proofErr w:type="spellEnd"/>
      <w:r>
        <w:rPr>
          <w:rFonts w:ascii="Calibri" w:eastAsia="Calibri" w:hAnsi="Calibri" w:cs="Calibri"/>
          <w:lang w:val="en-US"/>
        </w:rPr>
        <w:t xml:space="preserve"> density (30</w:t>
      </w:r>
      <w:r>
        <w:rPr>
          <w:rFonts w:ascii="Calibri" w:eastAsia="Calibri" w:hAnsi="Calibri" w:cs="Calibri"/>
        </w:rPr>
        <w:t>μ</w:t>
      </w:r>
      <w:r>
        <w:rPr>
          <w:rFonts w:ascii="Calibri" w:eastAsia="Calibri" w:hAnsi="Calibri" w:cs="Calibri"/>
          <w:lang w:val="en-US"/>
        </w:rPr>
        <w:t xml:space="preserve">m thickness for GAP-43 to increase the sensitivity of this marker in the epidermis). Sections were incubated overnight with primary antibodies to the structural nerve marker PGP9.5 (1:40,000; </w:t>
      </w:r>
      <w:proofErr w:type="spellStart"/>
      <w:r>
        <w:rPr>
          <w:rFonts w:ascii="Calibri" w:eastAsia="Calibri" w:hAnsi="Calibri" w:cs="Calibri"/>
          <w:lang w:val="en-US"/>
        </w:rPr>
        <w:t>Ultraclone</w:t>
      </w:r>
      <w:proofErr w:type="spellEnd"/>
      <w:r>
        <w:rPr>
          <w:rFonts w:ascii="Calibri" w:eastAsia="Calibri" w:hAnsi="Calibri" w:cs="Calibri"/>
          <w:lang w:val="en-US"/>
        </w:rPr>
        <w:t xml:space="preserve">, Isle of Wight, UK), the marker of regenerating nerve </w:t>
      </w:r>
      <w:proofErr w:type="spellStart"/>
      <w:r>
        <w:rPr>
          <w:rFonts w:ascii="Calibri" w:eastAsia="Calibri" w:hAnsi="Calibri" w:cs="Calibri"/>
          <w:lang w:val="en-US"/>
        </w:rPr>
        <w:t>fibres</w:t>
      </w:r>
      <w:proofErr w:type="spellEnd"/>
      <w:r>
        <w:rPr>
          <w:rFonts w:ascii="Calibri" w:eastAsia="Calibri" w:hAnsi="Calibri" w:cs="Calibri"/>
          <w:lang w:val="en-US"/>
        </w:rPr>
        <w:t xml:space="preserve"> GAP-43 (1:80,000; Sigma-Aldrich, Dorset, UK), the sensory neuropeptide </w:t>
      </w:r>
      <w:proofErr w:type="spellStart"/>
      <w:r>
        <w:rPr>
          <w:rFonts w:ascii="Calibri" w:eastAsia="Calibri" w:hAnsi="Calibri" w:cs="Calibri"/>
          <w:lang w:val="en-US"/>
        </w:rPr>
        <w:t>CGRP</w:t>
      </w:r>
      <w:proofErr w:type="spellEnd"/>
      <w:r>
        <w:rPr>
          <w:rFonts w:ascii="Calibri" w:eastAsia="Calibri" w:hAnsi="Calibri" w:cs="Calibri"/>
          <w:lang w:val="en-US"/>
        </w:rPr>
        <w:t xml:space="preserve"> (1:2000; </w:t>
      </w:r>
      <w:proofErr w:type="spellStart"/>
      <w:r>
        <w:rPr>
          <w:rFonts w:ascii="Calibri" w:eastAsia="Calibri" w:hAnsi="Calibri" w:cs="Calibri"/>
          <w:lang w:val="en-US"/>
        </w:rPr>
        <w:t>Novocastra</w:t>
      </w:r>
      <w:proofErr w:type="spellEnd"/>
      <w:r>
        <w:rPr>
          <w:rFonts w:ascii="Calibri" w:eastAsia="Calibri" w:hAnsi="Calibri" w:cs="Calibri"/>
          <w:lang w:val="en-US"/>
        </w:rPr>
        <w:t xml:space="preserve"> Ltd, Newcastle Upon Tyne, UK) and to the vascular marker Von Willebrand Factor, </w:t>
      </w:r>
      <w:proofErr w:type="spellStart"/>
      <w:r>
        <w:rPr>
          <w:rFonts w:ascii="Calibri" w:eastAsia="Calibri" w:hAnsi="Calibri" w:cs="Calibri"/>
          <w:lang w:val="en-US"/>
        </w:rPr>
        <w:t>vWF</w:t>
      </w:r>
      <w:proofErr w:type="spellEnd"/>
      <w:r>
        <w:rPr>
          <w:rFonts w:ascii="Calibri" w:eastAsia="Calibri" w:hAnsi="Calibri" w:cs="Calibri"/>
          <w:lang w:val="en-US"/>
        </w:rPr>
        <w:t xml:space="preserve"> (1:10,000; </w:t>
      </w:r>
      <w:proofErr w:type="spellStart"/>
      <w:r>
        <w:rPr>
          <w:rFonts w:ascii="Calibri" w:eastAsia="Calibri" w:hAnsi="Calibri" w:cs="Calibri"/>
          <w:lang w:val="en-US"/>
        </w:rPr>
        <w:t>Novocastra</w:t>
      </w:r>
      <w:proofErr w:type="spellEnd"/>
      <w:r>
        <w:rPr>
          <w:rFonts w:ascii="Calibri" w:eastAsia="Calibri" w:hAnsi="Calibri" w:cs="Calibri"/>
          <w:lang w:val="en-US"/>
        </w:rPr>
        <w:t xml:space="preserve"> Laboratories, Milton Keynes, UK). They were then detected using avidin</w:t>
      </w:r>
      <w:r>
        <w:rPr>
          <w:rFonts w:ascii="Calibri" w:eastAsia="Calibri" w:hAnsi="Calibri" w:cs="Calibri"/>
        </w:rPr>
        <w:t>–</w:t>
      </w:r>
      <w:r>
        <w:rPr>
          <w:rFonts w:ascii="Calibri" w:eastAsia="Calibri" w:hAnsi="Calibri" w:cs="Calibri"/>
          <w:lang w:val="en-US"/>
        </w:rPr>
        <w:t xml:space="preserve">biotin peroxidase methods (ABC; Vector Laboratories, Peterborough, UK) giving black, positive immunostaining as previously described </w:t>
      </w:r>
      <w:r>
        <w:rPr>
          <w:rFonts w:ascii="Calibri" w:eastAsia="Calibri" w:hAnsi="Calibri" w:cs="Calibri"/>
        </w:rPr>
        <w:fldChar w:fldCharType="begin"/>
      </w:r>
      <w:r>
        <w:rPr>
          <w:rFonts w:ascii="Calibri" w:eastAsia="Calibri" w:hAnsi="Calibri" w:cs="Calibri"/>
        </w:rPr>
        <w:instrText xml:space="preserve"> ADDIN EN.CITE &lt;EndNote&gt;&lt;Cite  &gt;&lt;Author&gt;Facer&lt;/Author&gt;&lt;Year&gt;2000&lt;/Year&gt;&lt;RecNum&gt;412&lt;/RecNum&gt;&lt;DisplayText&gt;(Facer et al., 2000, Narayanaswamy et al., 2012, Anand et al., 2017)&lt;/DisplayText&gt;&lt;record&gt;&lt;dates&gt;&lt;pub-dates&gt;&lt;date&gt;Mar&lt;/date&gt;&lt;/pub-dates&gt;&lt;year&gt;2000&lt;/year&gt;&lt;/dates&gt;&lt;keywords&gt;&lt;keyword&gt;Adult&lt;/keyword&gt;&lt;keyword&gt;Aged&lt;/keyword&gt;&lt;keyword&gt;Axons&lt;/keyword&gt;&lt;keyword&gt;Female&lt;/keyword&gt;&lt;keyword&gt;Hot Temperature&lt;/keyword&gt;&lt;keyword&gt;Humans&lt;/keyword&gt;&lt;keyword&gt;Immunohistochemistry&lt;/keyword&gt;&lt;keyword&gt;In Situ Hybridization&lt;/keyword&gt;&lt;keyword&gt;Keratinocytes&lt;/keyword&gt;&lt;keyword&gt;Leprosy&lt;/keyword&gt;&lt;keyword&gt;Male&lt;/keyword&gt;&lt;keyword&gt;Middle Aged&lt;/keyword&gt;&lt;keyword&gt;Nerve Growth Factors&lt;/keyword&gt;&lt;keyword&gt;Nociceptors&lt;/keyword&gt;&lt;keyword&gt;Pain&lt;/keyword&gt;&lt;keyword&gt;Pain Threshold&lt;/keyword&gt;&lt;keyword&gt;Physical Stimulation&lt;/keyword&gt;&lt;keyword&gt;Receptor Protein-Tyrosine Kinases&lt;/keyword&gt;&lt;keyword&gt;Reflex&lt;/keyword&gt;&lt;keyword&gt;Skin&lt;/keyword&gt;&lt;keyword&gt;Sodium Channels&lt;/keyword&gt;&lt;keyword&gt;Thiolester Hydrolases&lt;/keyword&gt;&lt;keyword&gt;Ubiquitin Thiolesterase&lt;/keyword&gt;&lt;keyword&gt;Vasodilation&lt;/keyword&gt;&lt;/keywords&gt;&lt;urls&gt;&lt;related-urls&gt;&lt;url&gt;https://www.ncbi.nlm.nih.gov/pubmed/10692623&lt;/url&gt;&lt;/related-urls&gt;&lt;/urls&gt;&lt;isbn&gt;0304-3959&lt;/isbn&gt;&lt;titles&gt;&lt;title&gt;Do nerve growth factor-related mechanisms contribute to loss of cutaneous nociception in leprosy?&lt;/title&gt;&lt;secondary-title&gt;Pain&lt;/secondary-title&gt;&lt;/titles&gt;&lt;pages&gt;231-8&lt;/pages&gt;&lt;number&gt;1-2&lt;/number&gt;&lt;contributors&gt;&lt;authors&gt;&lt;author&gt;Facer, P.&lt;/author&gt;&lt;author&gt;Mann, D.&lt;/author&gt;&lt;author&gt;Mathur, R.&lt;/author&gt;&lt;author&gt;Pandya, S.&lt;/author&gt;&lt;author&gt;Ladiwala, U.&lt;/author&gt;&lt;author&gt;Singhal, B.&lt;/author&gt;&lt;author&gt;Hongo, J.&lt;/author&gt;&lt;author&gt;Sinicropi, D. V.&lt;/author&gt;&lt;author&gt;Terenghi, G.&lt;/author&gt;&lt;author&gt;Anand, P.&lt;/author&gt;&lt;/authors&gt;&lt;/contributors&gt;&lt;language&gt;ENG&lt;/language&gt;&lt;added-date format="utc"&gt;1480208477&lt;/added-date&gt;&lt;ref-type name="Journal Article"&gt;17&lt;/ref-type&gt;&lt;rec-number&gt;412&lt;/rec-number&gt;&lt;last-updated-date format="utc"&gt;1480208477&lt;/last-updated-date&gt;&lt;accession-num&gt;10692623&lt;/accession-num&gt;&lt;volume&gt;85&lt;/volume&gt;&lt;/record&gt;&lt;/Cite&gt;&lt;Cite  &gt;&lt;Author&gt;Narayanaswamy&lt;/Author&gt;&lt;Year&gt;2012&lt;/Year&gt;&lt;RecNum&gt;220&lt;/RecNum&gt;&lt;record&gt;&lt;keywords&gt;&lt;keyword&gt;Biological Markers&lt;/keyword&gt;&lt;keyword&gt;Biopsy -- Methods&lt;/keyword&gt;&lt;keyword&gt;Diabetic Neuropathies -- Pathology&lt;/keyword&gt;&lt;keyword&gt;Peripheral Nervous System Diseases -- Pathology&lt;/keyword&gt;&lt;keyword&gt;Sensation -- Physiology&lt;/keyword&gt;&lt;keyword&gt;Skin -- Pathology&lt;/keyword&gt;&lt;/keywords&gt;&lt;titles&gt;&lt;title&gt;A longitudinal study of sensory biomarkers of progression in patients with diabetic peripheral neuropathy using skin biopsies&lt;/title&gt;&lt;secondary-title&gt;Journal of clinical neuroscience : official journal of the Neurosurgical Society of Australasia&lt;/secondary-title&gt;&lt;/titles&gt;&lt;pages&gt;1490&lt;/pages&gt;&lt;number&gt;11&lt;/number&gt;&lt;contributors&gt;&lt;authors&gt;&lt;author&gt;Narayanaswamy, H.&lt;/author&gt;&lt;author&gt;Facer, P.&lt;/author&gt;&lt;author&gt;Misra, V. P.&lt;/author&gt;&lt;author&gt;Timmers, M.&lt;/author&gt;&lt;author&gt;Byttebier, G.&lt;/author&gt;&lt;author&gt;Meert, T.&lt;/author&gt;&lt;author&gt;Anand, P.&lt;/author&gt;&lt;/authors&gt;&lt;/contributors&gt;&lt;added-date format="utc"&gt;1385467298&lt;/added-date&gt;&lt;ref-type name="Journal Article"&gt;17&lt;/ref-type&gt;&lt;dates&gt;&lt;year&gt;2012&lt;/year&gt;&lt;/dates&gt;&lt;rec-number&gt;220&lt;/rec-number&gt;&lt;last-updated-date format="utc"&gt;1386076332&lt;/last-updated-date&gt;&lt;electronic-resource-num&gt;10.1016/j.jocn.2011.12.026&lt;/electronic-resource-num&gt;&lt;volume&gt;19&lt;/volume&gt;&lt;/record&gt;&lt;/Cite&gt;&lt;Cite  &gt;&lt;Author&gt;Anand&lt;/Author&gt;&lt;Year&gt;2017&lt;/Year&gt;&lt;RecNum&gt;541&lt;/RecNum&gt;&lt;record&gt;&lt;keywords&gt;&lt;keyword&gt;nerve conduction study&lt;/keyword&gt;&lt;keyword&gt;neuropathy&lt;/keyword&gt;&lt;keyword&gt;non-freezing cold injury&lt;/keyword&gt;&lt;keyword&gt;pain&lt;/keyword&gt;&lt;keyword&gt;skin biopsy&lt;/keyword&gt;&lt;keyword&gt;trench foot&lt;/keyword&gt;&lt;/keywords&gt;&lt;urls&gt;&lt;related-urls&gt;&lt;url&gt;https://www.ncbi.nlm.nih.gov/pubmed/28993756&lt;/url&gt;&lt;/related-urls&gt;&lt;/urls&gt;&lt;isbn&gt;1664-2295&lt;/isbn&gt;&lt;custom2&gt;PMC5626869&lt;/custom2&gt;&lt;titles&gt;&lt;title&gt;Trench Foot or Non-Freezing Cold Injury As a Painful Vaso-Neuropathy: Clinical and Skin Biopsy Assessments&lt;/title&gt;&lt;secondary-title&gt;Front Neurol&lt;/secondary-title&gt;&lt;/titles&gt;&lt;pages&gt;514&lt;/pages&gt;&lt;contributors&gt;&lt;authors&gt;&lt;author&gt;Anand, P.&lt;/author&gt;&lt;author&gt;Privitera, R.&lt;/author&gt;&lt;author&gt;Yiangou, Y.&lt;/author&gt;&lt;author&gt;Donatien, P.&lt;/author&gt;&lt;author&gt;Birch, R.&lt;/author&gt;&lt;author&gt;Misra, P.&lt;/author&gt;&lt;/authors&gt;&lt;/contributors&gt;&lt;edition&gt;2017/09/29&lt;/edition&gt;&lt;language&gt;eng&lt;/language&gt;&lt;added-date format="utc"&gt;1512941309&lt;/added-date&gt;&lt;ref-type name="Journal Article"&gt;17&lt;/ref-type&gt;&lt;dates&gt;&lt;year&gt;2017&lt;/year&gt;&lt;/dates&gt;&lt;rec-number&gt;541&lt;/rec-number&gt;&lt;last-updated-date format="utc"&gt;1512941309&lt;/last-updated-date&gt;&lt;accession-num&gt;28993756&lt;/accession-num&gt;&lt;electronic-resource-num&gt;10.3389/fneur.2017.00514&lt;/electronic-resource-num&gt;&lt;volume&gt;8&lt;/volume&gt;&lt;/record&gt;&lt;/Cite&gt;&lt;/EndNote&gt;</w:instrText>
      </w:r>
      <w:r>
        <w:rPr>
          <w:rFonts w:ascii="Calibri" w:eastAsia="Calibri" w:hAnsi="Calibri" w:cs="Calibri"/>
        </w:rPr>
        <w:fldChar w:fldCharType="separate"/>
      </w:r>
      <w:r>
        <w:rPr>
          <w:rFonts w:ascii="Calibri" w:eastAsia="Calibri" w:hAnsi="Calibri" w:cs="Calibri"/>
        </w:rPr>
        <w:t>(Facer et al., 2000, Narayanaswamy et al., 2012, Anand et al., 2017)</w:t>
      </w:r>
      <w:r>
        <w:rPr>
          <w:rFonts w:ascii="Calibri" w:eastAsia="Calibri" w:hAnsi="Calibri" w:cs="Calibri"/>
        </w:rPr>
        <w:fldChar w:fldCharType="end"/>
      </w:r>
      <w:r>
        <w:rPr>
          <w:rFonts w:ascii="Calibri" w:eastAsia="Calibri" w:hAnsi="Calibri" w:cs="Calibri"/>
          <w:lang w:val="en-US"/>
        </w:rPr>
        <w:t>. Tissue sections were counterstained for nuclei in 0.1% w/v aqueous neutral red. Omission of primary antibodies and sequential dilution of antibodies gave appropriate results for specificity.</w:t>
      </w:r>
    </w:p>
    <w:p w14:paraId="63CC377D" w14:textId="77777777" w:rsidR="00AC0FDB" w:rsidRDefault="00AC0FDB" w:rsidP="00AC0FDB">
      <w:pPr>
        <w:pStyle w:val="BodyA"/>
        <w:spacing w:after="0" w:line="480" w:lineRule="auto"/>
        <w:jc w:val="both"/>
        <w:rPr>
          <w:rFonts w:ascii="Calibri" w:eastAsia="Calibri" w:hAnsi="Calibri" w:cs="Calibri"/>
        </w:rPr>
      </w:pPr>
      <w:proofErr w:type="spellStart"/>
      <w:r>
        <w:rPr>
          <w:rFonts w:ascii="Calibri" w:eastAsia="Calibri" w:hAnsi="Calibri" w:cs="Calibri"/>
          <w:lang w:val="en-US"/>
        </w:rPr>
        <w:lastRenderedPageBreak/>
        <w:t>IENF</w:t>
      </w:r>
      <w:proofErr w:type="spellEnd"/>
      <w:r>
        <w:rPr>
          <w:rFonts w:ascii="Calibri" w:eastAsia="Calibri" w:hAnsi="Calibri" w:cs="Calibri"/>
          <w:lang w:val="en-US"/>
        </w:rPr>
        <w:t xml:space="preserve"> were counted along the length of four non-consecutive sections. The length of epithelium in each counted section was measured using </w:t>
      </w:r>
      <w:proofErr w:type="spellStart"/>
      <w:r>
        <w:rPr>
          <w:rFonts w:ascii="Calibri" w:eastAsia="Calibri" w:hAnsi="Calibri" w:cs="Calibri"/>
          <w:lang w:val="en-US"/>
        </w:rPr>
        <w:t>computerised</w:t>
      </w:r>
      <w:proofErr w:type="spellEnd"/>
      <w:r>
        <w:rPr>
          <w:rFonts w:ascii="Calibri" w:eastAsia="Calibri" w:hAnsi="Calibri" w:cs="Calibri"/>
          <w:lang w:val="en-US"/>
        </w:rPr>
        <w:t xml:space="preserve"> microscopy software (Olympus ANALYSIS 5.0 Soft, Olympus UK, </w:t>
      </w:r>
      <w:proofErr w:type="spellStart"/>
      <w:r>
        <w:rPr>
          <w:rFonts w:ascii="Calibri" w:eastAsia="Calibri" w:hAnsi="Calibri" w:cs="Calibri"/>
          <w:lang w:val="en-US"/>
        </w:rPr>
        <w:t>Southend</w:t>
      </w:r>
      <w:proofErr w:type="spellEnd"/>
      <w:r>
        <w:rPr>
          <w:rFonts w:ascii="Calibri" w:eastAsia="Calibri" w:hAnsi="Calibri" w:cs="Calibri"/>
          <w:lang w:val="en-US"/>
        </w:rPr>
        <w:t xml:space="preserve">, Essex, UK) and results expressed as </w:t>
      </w:r>
      <w:proofErr w:type="spellStart"/>
      <w:r>
        <w:rPr>
          <w:rFonts w:ascii="Calibri" w:eastAsia="Calibri" w:hAnsi="Calibri" w:cs="Calibri"/>
          <w:lang w:val="en-US"/>
        </w:rPr>
        <w:t>fibres</w:t>
      </w:r>
      <w:proofErr w:type="spellEnd"/>
      <w:r>
        <w:rPr>
          <w:rFonts w:ascii="Calibri" w:eastAsia="Calibri" w:hAnsi="Calibri" w:cs="Calibri"/>
          <w:lang w:val="en-US"/>
        </w:rPr>
        <w:t xml:space="preserve">/mm length of section.  </w:t>
      </w:r>
      <w:proofErr w:type="spellStart"/>
      <w:r>
        <w:rPr>
          <w:rFonts w:ascii="Calibri" w:eastAsia="Calibri" w:hAnsi="Calibri" w:cs="Calibri"/>
          <w:lang w:val="en-US"/>
        </w:rPr>
        <w:t>SENF</w:t>
      </w:r>
      <w:proofErr w:type="spellEnd"/>
      <w:r>
        <w:rPr>
          <w:rFonts w:ascii="Calibri" w:eastAsia="Calibri" w:hAnsi="Calibri" w:cs="Calibri"/>
          <w:lang w:val="en-US"/>
        </w:rPr>
        <w:t xml:space="preserve"> were measured by image analysis where digital photomicrographs were captured via video link to an Olympus BX50 microscope with a depth of 200 </w:t>
      </w:r>
      <w:r>
        <w:rPr>
          <w:rFonts w:ascii="Calibri" w:eastAsia="Calibri" w:hAnsi="Calibri" w:cs="Calibri"/>
        </w:rPr>
        <w:t>μ</w:t>
      </w:r>
      <w:r>
        <w:rPr>
          <w:rFonts w:ascii="Calibri" w:eastAsia="Calibri" w:hAnsi="Calibri" w:cs="Calibri"/>
          <w:lang w:val="en-US"/>
        </w:rPr>
        <w:t>m below the basal epidermis. The grey-shade detection threshold was set at a constant level to allow detection of positive immunostaining and the area of highlighted immunoreactivity was obtained as a percentage (% area) of the field scanned. Images were captured (</w:t>
      </w:r>
      <w:r>
        <w:rPr>
          <w:rFonts w:ascii="Calibri" w:eastAsia="Calibri" w:hAnsi="Calibri" w:cs="Calibri"/>
        </w:rPr>
        <w:t>×</w:t>
      </w:r>
      <w:r>
        <w:rPr>
          <w:rFonts w:ascii="Calibri" w:eastAsia="Calibri" w:hAnsi="Calibri" w:cs="Calibri"/>
          <w:lang w:val="en-US"/>
        </w:rPr>
        <w:t>40 objective magnification) along the entire length and the mean values were used for statistical analysis. Quantification was performed by two independent blinded observers and there was no significant difference between observers.</w:t>
      </w:r>
    </w:p>
    <w:p w14:paraId="2C79AF0C" w14:textId="77777777" w:rsidR="00AC0FDB" w:rsidRDefault="00AC0FDB" w:rsidP="00AC0FDB">
      <w:pPr>
        <w:pStyle w:val="Heading3"/>
        <w:spacing w:line="480" w:lineRule="auto"/>
        <w:rPr>
          <w:sz w:val="24"/>
          <w:szCs w:val="24"/>
        </w:rPr>
      </w:pPr>
      <w:bookmarkStart w:id="121" w:name="_Toc54"/>
      <w:bookmarkStart w:id="122" w:name="_Toc6093030"/>
      <w:r>
        <w:rPr>
          <w:sz w:val="24"/>
          <w:szCs w:val="24"/>
          <w:lang w:val="en-US"/>
        </w:rPr>
        <w:t>5.2.5 Statistical Analysis</w:t>
      </w:r>
      <w:bookmarkEnd w:id="121"/>
      <w:bookmarkEnd w:id="122"/>
    </w:p>
    <w:p w14:paraId="533D23C5" w14:textId="77777777" w:rsidR="00AC0FDB" w:rsidRDefault="00AC0FDB" w:rsidP="00AC0FDB">
      <w:pPr>
        <w:pStyle w:val="BodyA"/>
        <w:spacing w:after="0" w:line="480" w:lineRule="auto"/>
        <w:jc w:val="both"/>
        <w:rPr>
          <w:rFonts w:ascii="Calibri" w:eastAsia="Calibri" w:hAnsi="Calibri" w:cs="Calibri"/>
          <w:b/>
          <w:bCs/>
        </w:rPr>
      </w:pPr>
      <w:r>
        <w:rPr>
          <w:rFonts w:ascii="Calibri" w:eastAsia="Calibri" w:hAnsi="Calibri" w:cs="Calibri"/>
          <w:lang w:val="en-US"/>
        </w:rPr>
        <w:t xml:space="preserve">Statistical package SPSS Version 24.0 (SPSS, IBM Corp, NY, USA) was used for baseline data and GraphPad Prism version 5.0 for Windows (GraphPad Prism Software, San Diego, CA, USA) for skin biopsy data.  Baseline characteristics were described as mean and standard deviations for normally distributed variables, as median and interquartile range for variables with a skewed distribution, and percentages for categorical variables.  One-way analysis of variance (ANOVA) was used to compare mean of baseline characteristics. Skin biopsy data was </w:t>
      </w:r>
      <w:proofErr w:type="spellStart"/>
      <w:r>
        <w:rPr>
          <w:rFonts w:ascii="Calibri" w:eastAsia="Calibri" w:hAnsi="Calibri" w:cs="Calibri"/>
          <w:lang w:val="en-US"/>
        </w:rPr>
        <w:t>analysed</w:t>
      </w:r>
      <w:proofErr w:type="spellEnd"/>
      <w:r>
        <w:rPr>
          <w:rFonts w:ascii="Calibri" w:eastAsia="Calibri" w:hAnsi="Calibri" w:cs="Calibri"/>
          <w:lang w:val="en-US"/>
        </w:rPr>
        <w:t xml:space="preserve"> using Mann</w:t>
      </w:r>
      <w:r>
        <w:rPr>
          <w:rFonts w:ascii="Calibri" w:eastAsia="Calibri" w:hAnsi="Calibri" w:cs="Calibri"/>
        </w:rPr>
        <w:t>–</w:t>
      </w:r>
      <w:r>
        <w:rPr>
          <w:rFonts w:ascii="Calibri" w:eastAsia="Calibri" w:hAnsi="Calibri" w:cs="Calibri"/>
          <w:lang w:val="en-US"/>
        </w:rPr>
        <w:t xml:space="preserve">Whitney U test and p &lt; 0.05 (two-tailed) indicated significance. </w:t>
      </w:r>
    </w:p>
    <w:p w14:paraId="6B92102F" w14:textId="77777777" w:rsidR="00AC0FDB" w:rsidRDefault="00AC0FDB" w:rsidP="00AC0FDB">
      <w:pPr>
        <w:pStyle w:val="Heading2"/>
        <w:spacing w:line="480" w:lineRule="auto"/>
        <w:rPr>
          <w:i w:val="0"/>
          <w:iCs w:val="0"/>
          <w:sz w:val="24"/>
          <w:szCs w:val="24"/>
        </w:rPr>
      </w:pPr>
      <w:bookmarkStart w:id="123" w:name="_Toc55"/>
      <w:bookmarkStart w:id="124" w:name="_Toc6093031"/>
      <w:r>
        <w:rPr>
          <w:i w:val="0"/>
          <w:iCs w:val="0"/>
          <w:sz w:val="24"/>
          <w:szCs w:val="24"/>
          <w:lang w:val="en-US"/>
        </w:rPr>
        <w:t>5.3 Results</w:t>
      </w:r>
      <w:bookmarkEnd w:id="123"/>
      <w:bookmarkEnd w:id="124"/>
    </w:p>
    <w:p w14:paraId="5D83D030" w14:textId="77777777" w:rsidR="00AC0FDB" w:rsidRDefault="00AC0FDB" w:rsidP="00AC0FDB">
      <w:pPr>
        <w:pStyle w:val="BodyA"/>
        <w:spacing w:after="0" w:line="480" w:lineRule="auto"/>
        <w:jc w:val="both"/>
        <w:rPr>
          <w:rFonts w:ascii="Calibri" w:eastAsia="Calibri" w:hAnsi="Calibri" w:cs="Calibri"/>
        </w:rPr>
      </w:pPr>
      <w:r>
        <w:rPr>
          <w:rFonts w:ascii="Calibri" w:eastAsia="Calibri" w:hAnsi="Calibri" w:cs="Calibri"/>
          <w:lang w:val="en-US"/>
        </w:rPr>
        <w:t xml:space="preserve">Table 5.1 </w:t>
      </w:r>
      <w:proofErr w:type="spellStart"/>
      <w:r>
        <w:rPr>
          <w:rFonts w:ascii="Calibri" w:eastAsia="Calibri" w:hAnsi="Calibri" w:cs="Calibri"/>
          <w:lang w:val="en-US"/>
        </w:rPr>
        <w:t>summarises</w:t>
      </w:r>
      <w:proofErr w:type="spellEnd"/>
      <w:r>
        <w:rPr>
          <w:rFonts w:ascii="Calibri" w:eastAsia="Calibri" w:hAnsi="Calibri" w:cs="Calibri"/>
          <w:lang w:val="en-US"/>
        </w:rPr>
        <w:t xml:space="preserve"> demographic details and study assessments performed for each group. The groups were matched for age and gender. The diabetes patient groups had higher body </w:t>
      </w:r>
      <w:r>
        <w:rPr>
          <w:rFonts w:ascii="Calibri" w:eastAsia="Calibri" w:hAnsi="Calibri" w:cs="Calibri"/>
          <w:lang w:val="en-US"/>
        </w:rPr>
        <w:lastRenderedPageBreak/>
        <w:t>mass index (BMI, ANOVA p= &lt;0</w:t>
      </w:r>
      <w:r w:rsidRPr="005B5764">
        <w:rPr>
          <w:rFonts w:ascii="Calibri" w:eastAsia="Calibri" w:hAnsi="Calibri" w:cs="Calibri"/>
        </w:rPr>
        <w:t>·</w:t>
      </w:r>
      <w:r>
        <w:rPr>
          <w:rFonts w:ascii="Calibri" w:eastAsia="Calibri" w:hAnsi="Calibri" w:cs="Calibri"/>
          <w:lang w:val="en-US"/>
        </w:rPr>
        <w:t xml:space="preserve">01) compared to </w:t>
      </w:r>
      <w:proofErr w:type="spellStart"/>
      <w:r>
        <w:rPr>
          <w:rFonts w:ascii="Calibri" w:eastAsia="Calibri" w:hAnsi="Calibri" w:cs="Calibri"/>
          <w:lang w:val="en-US"/>
        </w:rPr>
        <w:t>HV</w:t>
      </w:r>
      <w:proofErr w:type="spellEnd"/>
      <w:r>
        <w:rPr>
          <w:rFonts w:ascii="Calibri" w:eastAsia="Calibri" w:hAnsi="Calibri" w:cs="Calibri"/>
          <w:lang w:val="en-US"/>
        </w:rPr>
        <w:t xml:space="preserve">. There was no statistically significant difference in duration of diabetes and HbA1c among the diabetes groups.  </w:t>
      </w: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ook w:val="04A0" w:firstRow="1" w:lastRow="0" w:firstColumn="1" w:lastColumn="0" w:noHBand="0" w:noVBand="1"/>
      </w:tblPr>
      <w:tblGrid>
        <w:gridCol w:w="2425"/>
        <w:gridCol w:w="1142"/>
        <w:gridCol w:w="1284"/>
        <w:gridCol w:w="1426"/>
        <w:gridCol w:w="1284"/>
        <w:gridCol w:w="1429"/>
      </w:tblGrid>
      <w:tr w:rsidR="00AC0FDB" w14:paraId="42BD07DE" w14:textId="77777777" w:rsidTr="00FD2D3D">
        <w:trPr>
          <w:trHeight w:val="1693"/>
        </w:trPr>
        <w:tc>
          <w:tcPr>
            <w:tcW w:w="5000" w:type="pct"/>
            <w:gridSpan w:val="6"/>
            <w:tcBorders>
              <w:top w:val="single" w:sz="12" w:space="0" w:color="000000"/>
              <w:left w:val="single" w:sz="12" w:space="0" w:color="000000"/>
              <w:bottom w:val="single" w:sz="12" w:space="0" w:color="000000"/>
              <w:right w:val="single" w:sz="12" w:space="0" w:color="000000"/>
            </w:tcBorders>
            <w:shd w:val="clear" w:color="auto" w:fill="D9D9D9"/>
            <w:tcMar>
              <w:top w:w="80" w:type="dxa"/>
              <w:left w:w="80" w:type="dxa"/>
              <w:bottom w:w="80" w:type="dxa"/>
              <w:right w:w="80" w:type="dxa"/>
            </w:tcMar>
          </w:tcPr>
          <w:p w14:paraId="24D697AF" w14:textId="77777777" w:rsidR="00AC0FDB" w:rsidRDefault="00AC0FDB" w:rsidP="00724A07">
            <w:pPr>
              <w:pStyle w:val="BodyA"/>
              <w:spacing w:after="0" w:line="360" w:lineRule="auto"/>
              <w:jc w:val="both"/>
              <w:rPr>
                <w:rFonts w:ascii="Calibri" w:eastAsia="Calibri" w:hAnsi="Calibri" w:cs="Calibri"/>
                <w:b/>
                <w:bCs/>
                <w:lang w:val="en-US"/>
              </w:rPr>
            </w:pPr>
          </w:p>
          <w:p w14:paraId="5785CAAC" w14:textId="45DA6F93" w:rsidR="00CD14C8" w:rsidRPr="00CD14C8" w:rsidRDefault="00AC0FDB" w:rsidP="00CD14C8">
            <w:pPr>
              <w:pStyle w:val="BodyA"/>
              <w:spacing w:after="0" w:line="360" w:lineRule="auto"/>
              <w:jc w:val="both"/>
              <w:rPr>
                <w:rFonts w:eastAsia="Calibri" w:cs="Calibri"/>
                <w:b/>
                <w:bCs/>
                <w:lang w:val="en-US"/>
              </w:rPr>
            </w:pPr>
            <w:r w:rsidRPr="00CD14C8">
              <w:rPr>
                <w:rFonts w:eastAsia="Calibri" w:cs="Calibri"/>
                <w:b/>
                <w:bCs/>
                <w:lang w:val="en-US"/>
              </w:rPr>
              <w:t>Table 5.1 Demographic characteristics (mean/SD for normally distributed variables and median/interquartile range for nonparametric variables) of study subjects</w:t>
            </w:r>
          </w:p>
        </w:tc>
      </w:tr>
      <w:tr w:rsidR="00AC0FDB" w14:paraId="3C18DDEA" w14:textId="77777777" w:rsidTr="00FD2D3D">
        <w:trPr>
          <w:trHeight w:val="825"/>
        </w:trPr>
        <w:tc>
          <w:tcPr>
            <w:tcW w:w="1349" w:type="pct"/>
            <w:tcBorders>
              <w:top w:val="single" w:sz="12" w:space="0" w:color="000000"/>
              <w:left w:val="single" w:sz="12" w:space="0" w:color="000000"/>
              <w:bottom w:val="nil"/>
              <w:right w:val="nil"/>
            </w:tcBorders>
            <w:shd w:val="clear" w:color="auto" w:fill="D9D9D9"/>
            <w:tcMar>
              <w:top w:w="80" w:type="dxa"/>
              <w:left w:w="80" w:type="dxa"/>
              <w:bottom w:w="80" w:type="dxa"/>
              <w:right w:w="80" w:type="dxa"/>
            </w:tcMar>
            <w:vAlign w:val="center"/>
          </w:tcPr>
          <w:p w14:paraId="68E3B240" w14:textId="77777777" w:rsidR="00AC0FDB" w:rsidRPr="00CD14C8" w:rsidRDefault="00AC0FDB" w:rsidP="00724A07">
            <w:pPr>
              <w:rPr>
                <w:sz w:val="20"/>
                <w:szCs w:val="20"/>
              </w:rPr>
            </w:pPr>
          </w:p>
        </w:tc>
        <w:tc>
          <w:tcPr>
            <w:tcW w:w="635" w:type="pct"/>
            <w:tcBorders>
              <w:top w:val="single" w:sz="12" w:space="0" w:color="000000"/>
              <w:left w:val="nil"/>
              <w:bottom w:val="nil"/>
              <w:right w:val="nil"/>
            </w:tcBorders>
            <w:shd w:val="clear" w:color="auto" w:fill="D9D9D9"/>
            <w:tcMar>
              <w:top w:w="80" w:type="dxa"/>
              <w:left w:w="80" w:type="dxa"/>
              <w:bottom w:w="80" w:type="dxa"/>
              <w:right w:w="80" w:type="dxa"/>
            </w:tcMar>
            <w:vAlign w:val="center"/>
          </w:tcPr>
          <w:p w14:paraId="023A42F4" w14:textId="77777777" w:rsidR="00AC0FDB" w:rsidRPr="00CD14C8" w:rsidRDefault="00AC0FDB" w:rsidP="00724A07">
            <w:pPr>
              <w:pStyle w:val="BodyA"/>
              <w:spacing w:after="0"/>
              <w:jc w:val="center"/>
              <w:rPr>
                <w:sz w:val="20"/>
                <w:szCs w:val="20"/>
              </w:rPr>
            </w:pPr>
            <w:proofErr w:type="spellStart"/>
            <w:r w:rsidRPr="00CD14C8">
              <w:rPr>
                <w:b/>
                <w:bCs/>
                <w:sz w:val="20"/>
                <w:szCs w:val="20"/>
                <w:lang w:val="en-US"/>
              </w:rPr>
              <w:t>HV</w:t>
            </w:r>
            <w:proofErr w:type="spellEnd"/>
          </w:p>
        </w:tc>
        <w:tc>
          <w:tcPr>
            <w:tcW w:w="714" w:type="pct"/>
            <w:tcBorders>
              <w:top w:val="single" w:sz="12" w:space="0" w:color="000000"/>
              <w:left w:val="nil"/>
              <w:bottom w:val="nil"/>
              <w:right w:val="nil"/>
            </w:tcBorders>
            <w:shd w:val="clear" w:color="auto" w:fill="D9D9D9"/>
            <w:tcMar>
              <w:top w:w="80" w:type="dxa"/>
              <w:left w:w="80" w:type="dxa"/>
              <w:bottom w:w="80" w:type="dxa"/>
              <w:right w:w="80" w:type="dxa"/>
            </w:tcMar>
            <w:vAlign w:val="center"/>
          </w:tcPr>
          <w:p w14:paraId="10274E3B" w14:textId="5BCA90D5" w:rsidR="00AC0FDB" w:rsidRPr="00CD14C8" w:rsidRDefault="00AC0FDB" w:rsidP="00724A07">
            <w:pPr>
              <w:pStyle w:val="BodyA"/>
              <w:spacing w:after="0"/>
              <w:jc w:val="center"/>
              <w:rPr>
                <w:sz w:val="20"/>
                <w:szCs w:val="20"/>
              </w:rPr>
            </w:pPr>
            <w:r w:rsidRPr="00CD14C8">
              <w:rPr>
                <w:b/>
                <w:bCs/>
                <w:sz w:val="20"/>
                <w:szCs w:val="20"/>
                <w:lang w:val="en-US"/>
              </w:rPr>
              <w:t xml:space="preserve">No </w:t>
            </w:r>
            <w:proofErr w:type="spellStart"/>
            <w:r w:rsidRPr="00CD14C8">
              <w:rPr>
                <w:b/>
                <w:bCs/>
                <w:sz w:val="20"/>
                <w:szCs w:val="20"/>
                <w:lang w:val="en-US"/>
              </w:rPr>
              <w:t>DPN</w:t>
            </w:r>
            <w:proofErr w:type="spellEnd"/>
          </w:p>
        </w:tc>
        <w:tc>
          <w:tcPr>
            <w:tcW w:w="793" w:type="pct"/>
            <w:tcBorders>
              <w:top w:val="single" w:sz="12" w:space="0" w:color="000000"/>
              <w:left w:val="nil"/>
              <w:bottom w:val="nil"/>
              <w:right w:val="nil"/>
            </w:tcBorders>
            <w:shd w:val="clear" w:color="auto" w:fill="D9D9D9"/>
            <w:tcMar>
              <w:top w:w="80" w:type="dxa"/>
              <w:left w:w="80" w:type="dxa"/>
              <w:bottom w:w="80" w:type="dxa"/>
              <w:right w:w="80" w:type="dxa"/>
            </w:tcMar>
            <w:vAlign w:val="center"/>
          </w:tcPr>
          <w:p w14:paraId="4EF0DAC4" w14:textId="77777777" w:rsidR="00AC0FDB" w:rsidRPr="00CD14C8" w:rsidRDefault="00AC0FDB" w:rsidP="00724A07">
            <w:pPr>
              <w:pStyle w:val="BodyA"/>
              <w:spacing w:after="0"/>
              <w:jc w:val="center"/>
              <w:rPr>
                <w:sz w:val="20"/>
                <w:szCs w:val="20"/>
              </w:rPr>
            </w:pPr>
            <w:r w:rsidRPr="00CD14C8">
              <w:rPr>
                <w:b/>
                <w:bCs/>
                <w:sz w:val="20"/>
                <w:szCs w:val="20"/>
                <w:lang w:val="en-US"/>
              </w:rPr>
              <w:t xml:space="preserve">Painless </w:t>
            </w:r>
            <w:proofErr w:type="spellStart"/>
            <w:r w:rsidRPr="00CD14C8">
              <w:rPr>
                <w:b/>
                <w:bCs/>
                <w:sz w:val="20"/>
                <w:szCs w:val="20"/>
                <w:lang w:val="en-US"/>
              </w:rPr>
              <w:t>DPN</w:t>
            </w:r>
            <w:proofErr w:type="spellEnd"/>
          </w:p>
        </w:tc>
        <w:tc>
          <w:tcPr>
            <w:tcW w:w="714" w:type="pct"/>
            <w:tcBorders>
              <w:top w:val="single" w:sz="12" w:space="0" w:color="000000"/>
              <w:left w:val="nil"/>
              <w:bottom w:val="nil"/>
              <w:right w:val="nil"/>
            </w:tcBorders>
            <w:shd w:val="clear" w:color="auto" w:fill="D9D9D9"/>
            <w:tcMar>
              <w:top w:w="80" w:type="dxa"/>
              <w:left w:w="80" w:type="dxa"/>
              <w:bottom w:w="80" w:type="dxa"/>
              <w:right w:w="80" w:type="dxa"/>
            </w:tcMar>
            <w:vAlign w:val="center"/>
          </w:tcPr>
          <w:p w14:paraId="09057DEE" w14:textId="77777777" w:rsidR="00AC0FDB" w:rsidRPr="00CD14C8" w:rsidRDefault="00AC0FDB" w:rsidP="00724A07">
            <w:pPr>
              <w:pStyle w:val="BodyA"/>
              <w:spacing w:after="0"/>
              <w:jc w:val="center"/>
              <w:rPr>
                <w:sz w:val="20"/>
                <w:szCs w:val="20"/>
              </w:rPr>
            </w:pPr>
            <w:r w:rsidRPr="00CD14C8">
              <w:rPr>
                <w:b/>
                <w:bCs/>
                <w:sz w:val="20"/>
                <w:szCs w:val="20"/>
                <w:lang w:val="en-US"/>
              </w:rPr>
              <w:t xml:space="preserve">Painful </w:t>
            </w:r>
            <w:proofErr w:type="spellStart"/>
            <w:r w:rsidRPr="00CD14C8">
              <w:rPr>
                <w:b/>
                <w:bCs/>
                <w:sz w:val="20"/>
                <w:szCs w:val="20"/>
                <w:lang w:val="en-US"/>
              </w:rPr>
              <w:t>DPN</w:t>
            </w:r>
            <w:proofErr w:type="spellEnd"/>
          </w:p>
        </w:tc>
        <w:tc>
          <w:tcPr>
            <w:tcW w:w="795" w:type="pct"/>
            <w:tcBorders>
              <w:top w:val="single" w:sz="12" w:space="0" w:color="000000"/>
              <w:left w:val="nil"/>
              <w:bottom w:val="nil"/>
              <w:right w:val="single" w:sz="12" w:space="0" w:color="000000"/>
            </w:tcBorders>
            <w:shd w:val="clear" w:color="auto" w:fill="D9D9D9"/>
            <w:tcMar>
              <w:top w:w="80" w:type="dxa"/>
              <w:left w:w="80" w:type="dxa"/>
              <w:bottom w:w="80" w:type="dxa"/>
              <w:right w:w="80" w:type="dxa"/>
            </w:tcMar>
            <w:vAlign w:val="center"/>
          </w:tcPr>
          <w:p w14:paraId="32BCB614" w14:textId="77777777" w:rsidR="00AC0FDB" w:rsidRPr="00CD14C8" w:rsidRDefault="00AC0FDB" w:rsidP="00724A07">
            <w:pPr>
              <w:pStyle w:val="BodyA"/>
              <w:spacing w:after="0" w:line="360" w:lineRule="auto"/>
              <w:jc w:val="center"/>
              <w:rPr>
                <w:rFonts w:eastAsia="Times New Roman" w:cs="Times New Roman"/>
                <w:b/>
                <w:bCs/>
                <w:sz w:val="20"/>
                <w:szCs w:val="20"/>
              </w:rPr>
            </w:pPr>
            <w:r w:rsidRPr="00CD14C8">
              <w:rPr>
                <w:b/>
                <w:bCs/>
                <w:sz w:val="20"/>
                <w:szCs w:val="20"/>
                <w:lang w:val="en-US"/>
              </w:rPr>
              <w:t>p Value</w:t>
            </w:r>
          </w:p>
          <w:p w14:paraId="0CA1F3F6" w14:textId="77777777" w:rsidR="00AC0FDB" w:rsidRPr="00CD14C8" w:rsidRDefault="00AC0FDB" w:rsidP="00724A07">
            <w:pPr>
              <w:pStyle w:val="BodyA"/>
              <w:spacing w:after="0" w:line="360" w:lineRule="auto"/>
              <w:jc w:val="center"/>
              <w:rPr>
                <w:sz w:val="20"/>
                <w:szCs w:val="20"/>
              </w:rPr>
            </w:pPr>
            <w:r w:rsidRPr="00CD14C8">
              <w:rPr>
                <w:b/>
                <w:bCs/>
                <w:sz w:val="20"/>
                <w:szCs w:val="20"/>
                <w:lang w:val="en-US"/>
              </w:rPr>
              <w:t>ANOVA</w:t>
            </w:r>
          </w:p>
        </w:tc>
      </w:tr>
      <w:tr w:rsidR="00AC0FDB" w14:paraId="63458717" w14:textId="77777777" w:rsidTr="00FD2D3D">
        <w:trPr>
          <w:trHeight w:val="620"/>
        </w:trPr>
        <w:tc>
          <w:tcPr>
            <w:tcW w:w="1349" w:type="pct"/>
            <w:tcBorders>
              <w:top w:val="nil"/>
              <w:left w:val="single" w:sz="12" w:space="0" w:color="000000"/>
              <w:bottom w:val="nil"/>
              <w:right w:val="nil"/>
            </w:tcBorders>
            <w:shd w:val="clear" w:color="auto" w:fill="D9D9D9"/>
            <w:tcMar>
              <w:top w:w="80" w:type="dxa"/>
              <w:left w:w="80" w:type="dxa"/>
              <w:bottom w:w="80" w:type="dxa"/>
              <w:right w:w="80" w:type="dxa"/>
            </w:tcMar>
            <w:vAlign w:val="center"/>
          </w:tcPr>
          <w:p w14:paraId="210620AB" w14:textId="77777777" w:rsidR="00AC0FDB" w:rsidRPr="00CD14C8" w:rsidRDefault="00AC0FDB" w:rsidP="00724A07">
            <w:pPr>
              <w:pStyle w:val="BodyA"/>
              <w:spacing w:after="0"/>
              <w:rPr>
                <w:sz w:val="20"/>
                <w:szCs w:val="20"/>
              </w:rPr>
            </w:pPr>
            <w:r w:rsidRPr="00CD14C8">
              <w:rPr>
                <w:b/>
                <w:bCs/>
                <w:sz w:val="20"/>
                <w:szCs w:val="20"/>
                <w:lang w:val="en-US"/>
              </w:rPr>
              <w:t>n</w:t>
            </w:r>
          </w:p>
        </w:tc>
        <w:tc>
          <w:tcPr>
            <w:tcW w:w="635" w:type="pct"/>
            <w:tcBorders>
              <w:top w:val="nil"/>
              <w:left w:val="nil"/>
              <w:bottom w:val="nil"/>
              <w:right w:val="nil"/>
            </w:tcBorders>
            <w:shd w:val="clear" w:color="auto" w:fill="D9D9D9"/>
            <w:tcMar>
              <w:top w:w="80" w:type="dxa"/>
              <w:left w:w="80" w:type="dxa"/>
              <w:bottom w:w="80" w:type="dxa"/>
              <w:right w:w="80" w:type="dxa"/>
            </w:tcMar>
            <w:vAlign w:val="center"/>
          </w:tcPr>
          <w:p w14:paraId="031FFE9E" w14:textId="77777777" w:rsidR="00AC0FDB" w:rsidRPr="00CD14C8" w:rsidRDefault="00AC0FDB" w:rsidP="00724A07">
            <w:pPr>
              <w:pStyle w:val="BodyA"/>
              <w:spacing w:after="0" w:line="360" w:lineRule="auto"/>
              <w:jc w:val="center"/>
              <w:rPr>
                <w:sz w:val="20"/>
                <w:szCs w:val="20"/>
              </w:rPr>
            </w:pPr>
            <w:r w:rsidRPr="00CD14C8">
              <w:rPr>
                <w:sz w:val="20"/>
                <w:szCs w:val="20"/>
                <w:lang w:val="en-US"/>
              </w:rPr>
              <w:t>19</w:t>
            </w:r>
          </w:p>
        </w:tc>
        <w:tc>
          <w:tcPr>
            <w:tcW w:w="714" w:type="pct"/>
            <w:tcBorders>
              <w:top w:val="nil"/>
              <w:left w:val="nil"/>
              <w:bottom w:val="nil"/>
              <w:right w:val="nil"/>
            </w:tcBorders>
            <w:shd w:val="clear" w:color="auto" w:fill="D9D9D9"/>
            <w:tcMar>
              <w:top w:w="80" w:type="dxa"/>
              <w:left w:w="80" w:type="dxa"/>
              <w:bottom w:w="80" w:type="dxa"/>
              <w:right w:w="80" w:type="dxa"/>
            </w:tcMar>
            <w:vAlign w:val="center"/>
          </w:tcPr>
          <w:p w14:paraId="7D77933D" w14:textId="77777777" w:rsidR="00AC0FDB" w:rsidRPr="00CD14C8" w:rsidRDefault="00AC0FDB" w:rsidP="00724A07">
            <w:pPr>
              <w:pStyle w:val="BodyA"/>
              <w:spacing w:after="0" w:line="360" w:lineRule="auto"/>
              <w:jc w:val="center"/>
              <w:rPr>
                <w:sz w:val="20"/>
                <w:szCs w:val="20"/>
              </w:rPr>
            </w:pPr>
            <w:r w:rsidRPr="00CD14C8">
              <w:rPr>
                <w:sz w:val="20"/>
                <w:szCs w:val="20"/>
                <w:lang w:val="en-US"/>
              </w:rPr>
              <w:t>19</w:t>
            </w:r>
          </w:p>
        </w:tc>
        <w:tc>
          <w:tcPr>
            <w:tcW w:w="793" w:type="pct"/>
            <w:tcBorders>
              <w:top w:val="nil"/>
              <w:left w:val="nil"/>
              <w:bottom w:val="nil"/>
              <w:right w:val="nil"/>
            </w:tcBorders>
            <w:shd w:val="clear" w:color="auto" w:fill="D9D9D9"/>
            <w:tcMar>
              <w:top w:w="80" w:type="dxa"/>
              <w:left w:w="80" w:type="dxa"/>
              <w:bottom w:w="80" w:type="dxa"/>
              <w:right w:w="80" w:type="dxa"/>
            </w:tcMar>
            <w:vAlign w:val="center"/>
          </w:tcPr>
          <w:p w14:paraId="6F5892EE" w14:textId="77777777" w:rsidR="00AC0FDB" w:rsidRPr="00CD14C8" w:rsidRDefault="00AC0FDB" w:rsidP="00724A07">
            <w:pPr>
              <w:pStyle w:val="BodyA"/>
              <w:spacing w:after="0" w:line="360" w:lineRule="auto"/>
              <w:jc w:val="center"/>
              <w:rPr>
                <w:sz w:val="20"/>
                <w:szCs w:val="20"/>
              </w:rPr>
            </w:pPr>
            <w:r w:rsidRPr="00CD14C8">
              <w:rPr>
                <w:sz w:val="20"/>
                <w:szCs w:val="20"/>
                <w:lang w:val="en-US"/>
              </w:rPr>
              <w:t>19</w:t>
            </w:r>
          </w:p>
        </w:tc>
        <w:tc>
          <w:tcPr>
            <w:tcW w:w="714" w:type="pct"/>
            <w:tcBorders>
              <w:top w:val="nil"/>
              <w:left w:val="nil"/>
              <w:bottom w:val="nil"/>
              <w:right w:val="nil"/>
            </w:tcBorders>
            <w:shd w:val="clear" w:color="auto" w:fill="D9D9D9"/>
            <w:tcMar>
              <w:top w:w="80" w:type="dxa"/>
              <w:left w:w="80" w:type="dxa"/>
              <w:bottom w:w="80" w:type="dxa"/>
              <w:right w:w="80" w:type="dxa"/>
            </w:tcMar>
            <w:vAlign w:val="center"/>
          </w:tcPr>
          <w:p w14:paraId="3409AA79" w14:textId="77777777" w:rsidR="00AC0FDB" w:rsidRPr="00CD14C8" w:rsidRDefault="00AC0FDB" w:rsidP="00724A07">
            <w:pPr>
              <w:pStyle w:val="BodyA"/>
              <w:spacing w:after="0" w:line="360" w:lineRule="auto"/>
              <w:jc w:val="center"/>
              <w:rPr>
                <w:sz w:val="20"/>
                <w:szCs w:val="20"/>
              </w:rPr>
            </w:pPr>
            <w:r w:rsidRPr="00CD14C8">
              <w:rPr>
                <w:sz w:val="20"/>
                <w:szCs w:val="20"/>
                <w:lang w:val="en-US"/>
              </w:rPr>
              <w:t>23</w:t>
            </w:r>
          </w:p>
        </w:tc>
        <w:tc>
          <w:tcPr>
            <w:tcW w:w="795" w:type="pct"/>
            <w:tcBorders>
              <w:top w:val="nil"/>
              <w:left w:val="nil"/>
              <w:bottom w:val="nil"/>
              <w:right w:val="single" w:sz="12" w:space="0" w:color="000000"/>
            </w:tcBorders>
            <w:shd w:val="clear" w:color="auto" w:fill="D9D9D9"/>
            <w:tcMar>
              <w:top w:w="80" w:type="dxa"/>
              <w:left w:w="80" w:type="dxa"/>
              <w:bottom w:w="80" w:type="dxa"/>
              <w:right w:w="80" w:type="dxa"/>
            </w:tcMar>
            <w:vAlign w:val="center"/>
          </w:tcPr>
          <w:p w14:paraId="71DDC117" w14:textId="77777777" w:rsidR="00AC0FDB" w:rsidRPr="00CD14C8" w:rsidRDefault="00AC0FDB" w:rsidP="00724A07">
            <w:pPr>
              <w:rPr>
                <w:sz w:val="20"/>
                <w:szCs w:val="20"/>
              </w:rPr>
            </w:pPr>
          </w:p>
        </w:tc>
      </w:tr>
      <w:tr w:rsidR="00AC0FDB" w14:paraId="05F1EFE0" w14:textId="77777777" w:rsidTr="00FD2D3D">
        <w:trPr>
          <w:trHeight w:val="825"/>
        </w:trPr>
        <w:tc>
          <w:tcPr>
            <w:tcW w:w="1349" w:type="pct"/>
            <w:tcBorders>
              <w:top w:val="nil"/>
              <w:left w:val="single" w:sz="12" w:space="0" w:color="000000"/>
              <w:bottom w:val="nil"/>
              <w:right w:val="nil"/>
            </w:tcBorders>
            <w:shd w:val="clear" w:color="auto" w:fill="D9D9D9"/>
            <w:tcMar>
              <w:top w:w="80" w:type="dxa"/>
              <w:left w:w="80" w:type="dxa"/>
              <w:bottom w:w="80" w:type="dxa"/>
              <w:right w:w="80" w:type="dxa"/>
            </w:tcMar>
            <w:vAlign w:val="center"/>
          </w:tcPr>
          <w:p w14:paraId="7D5C6162" w14:textId="77777777" w:rsidR="00AC0FDB" w:rsidRPr="00CD14C8" w:rsidRDefault="00AC0FDB" w:rsidP="00724A07">
            <w:pPr>
              <w:pStyle w:val="BodyA"/>
              <w:spacing w:after="0"/>
              <w:rPr>
                <w:sz w:val="20"/>
                <w:szCs w:val="20"/>
              </w:rPr>
            </w:pPr>
            <w:r w:rsidRPr="00CD14C8">
              <w:rPr>
                <w:b/>
                <w:bCs/>
                <w:sz w:val="20"/>
                <w:szCs w:val="20"/>
                <w:lang w:val="en-US"/>
              </w:rPr>
              <w:t>Age (years)</w:t>
            </w:r>
          </w:p>
        </w:tc>
        <w:tc>
          <w:tcPr>
            <w:tcW w:w="635" w:type="pct"/>
            <w:tcBorders>
              <w:top w:val="nil"/>
              <w:left w:val="nil"/>
              <w:bottom w:val="nil"/>
              <w:right w:val="nil"/>
            </w:tcBorders>
            <w:shd w:val="clear" w:color="auto" w:fill="D9D9D9"/>
            <w:tcMar>
              <w:top w:w="80" w:type="dxa"/>
              <w:left w:w="80" w:type="dxa"/>
              <w:bottom w:w="80" w:type="dxa"/>
              <w:right w:w="80" w:type="dxa"/>
            </w:tcMar>
            <w:vAlign w:val="center"/>
          </w:tcPr>
          <w:p w14:paraId="5C10D93F" w14:textId="77777777" w:rsidR="00AC0FDB" w:rsidRPr="00CD14C8" w:rsidRDefault="00AC0FDB" w:rsidP="00724A07">
            <w:pPr>
              <w:pStyle w:val="BodyA"/>
              <w:spacing w:after="0" w:line="360" w:lineRule="auto"/>
              <w:jc w:val="center"/>
              <w:rPr>
                <w:sz w:val="20"/>
                <w:szCs w:val="20"/>
              </w:rPr>
            </w:pPr>
            <w:r w:rsidRPr="00CD14C8">
              <w:rPr>
                <w:sz w:val="20"/>
                <w:szCs w:val="20"/>
                <w:lang w:val="en-US"/>
              </w:rPr>
              <w:t>55.1 (10.6)</w:t>
            </w:r>
          </w:p>
        </w:tc>
        <w:tc>
          <w:tcPr>
            <w:tcW w:w="714" w:type="pct"/>
            <w:tcBorders>
              <w:top w:val="nil"/>
              <w:left w:val="nil"/>
              <w:bottom w:val="nil"/>
              <w:right w:val="nil"/>
            </w:tcBorders>
            <w:shd w:val="clear" w:color="auto" w:fill="D9D9D9"/>
            <w:tcMar>
              <w:top w:w="80" w:type="dxa"/>
              <w:left w:w="80" w:type="dxa"/>
              <w:bottom w:w="80" w:type="dxa"/>
              <w:right w:w="80" w:type="dxa"/>
            </w:tcMar>
            <w:vAlign w:val="center"/>
          </w:tcPr>
          <w:p w14:paraId="0D6B2E6A" w14:textId="77777777" w:rsidR="00AC0FDB" w:rsidRPr="00CD14C8" w:rsidRDefault="00AC0FDB" w:rsidP="00724A07">
            <w:pPr>
              <w:pStyle w:val="BodyA"/>
              <w:spacing w:after="0" w:line="360" w:lineRule="auto"/>
              <w:jc w:val="center"/>
              <w:rPr>
                <w:sz w:val="20"/>
                <w:szCs w:val="20"/>
              </w:rPr>
            </w:pPr>
            <w:r w:rsidRPr="00CD14C8">
              <w:rPr>
                <w:sz w:val="20"/>
                <w:szCs w:val="20"/>
                <w:lang w:val="en-US"/>
              </w:rPr>
              <w:t>58.3 (8.6)</w:t>
            </w:r>
          </w:p>
        </w:tc>
        <w:tc>
          <w:tcPr>
            <w:tcW w:w="793" w:type="pct"/>
            <w:tcBorders>
              <w:top w:val="nil"/>
              <w:left w:val="nil"/>
              <w:bottom w:val="nil"/>
              <w:right w:val="nil"/>
            </w:tcBorders>
            <w:shd w:val="clear" w:color="auto" w:fill="D9D9D9"/>
            <w:tcMar>
              <w:top w:w="80" w:type="dxa"/>
              <w:left w:w="80" w:type="dxa"/>
              <w:bottom w:w="80" w:type="dxa"/>
              <w:right w:w="80" w:type="dxa"/>
            </w:tcMar>
            <w:vAlign w:val="center"/>
          </w:tcPr>
          <w:p w14:paraId="63E05AE4" w14:textId="77777777" w:rsidR="00AC0FDB" w:rsidRPr="00CD14C8" w:rsidRDefault="00AC0FDB" w:rsidP="00724A07">
            <w:pPr>
              <w:pStyle w:val="BodyA"/>
              <w:spacing w:after="0" w:line="360" w:lineRule="auto"/>
              <w:jc w:val="center"/>
              <w:rPr>
                <w:sz w:val="20"/>
                <w:szCs w:val="20"/>
              </w:rPr>
            </w:pPr>
            <w:r w:rsidRPr="00CD14C8">
              <w:rPr>
                <w:sz w:val="20"/>
                <w:szCs w:val="20"/>
                <w:lang w:val="en-US"/>
              </w:rPr>
              <w:t>60.8 (10.0)</w:t>
            </w:r>
          </w:p>
        </w:tc>
        <w:tc>
          <w:tcPr>
            <w:tcW w:w="714" w:type="pct"/>
            <w:tcBorders>
              <w:top w:val="nil"/>
              <w:left w:val="nil"/>
              <w:bottom w:val="nil"/>
              <w:right w:val="nil"/>
            </w:tcBorders>
            <w:shd w:val="clear" w:color="auto" w:fill="D9D9D9"/>
            <w:tcMar>
              <w:top w:w="80" w:type="dxa"/>
              <w:left w:w="80" w:type="dxa"/>
              <w:bottom w:w="80" w:type="dxa"/>
              <w:right w:w="80" w:type="dxa"/>
            </w:tcMar>
            <w:vAlign w:val="center"/>
          </w:tcPr>
          <w:p w14:paraId="310BDA7C" w14:textId="77777777" w:rsidR="00AC0FDB" w:rsidRPr="00CD14C8" w:rsidRDefault="00AC0FDB" w:rsidP="00724A07">
            <w:pPr>
              <w:pStyle w:val="BodyA"/>
              <w:spacing w:after="0" w:line="360" w:lineRule="auto"/>
              <w:jc w:val="center"/>
              <w:rPr>
                <w:sz w:val="20"/>
                <w:szCs w:val="20"/>
              </w:rPr>
            </w:pPr>
            <w:r w:rsidRPr="00CD14C8">
              <w:rPr>
                <w:sz w:val="20"/>
                <w:szCs w:val="20"/>
                <w:lang w:val="en-US"/>
              </w:rPr>
              <w:t>60.2 (10.2)</w:t>
            </w:r>
          </w:p>
        </w:tc>
        <w:tc>
          <w:tcPr>
            <w:tcW w:w="795" w:type="pct"/>
            <w:tcBorders>
              <w:top w:val="nil"/>
              <w:left w:val="nil"/>
              <w:bottom w:val="nil"/>
              <w:right w:val="single" w:sz="12" w:space="0" w:color="000000"/>
            </w:tcBorders>
            <w:shd w:val="clear" w:color="auto" w:fill="D9D9D9"/>
            <w:tcMar>
              <w:top w:w="80" w:type="dxa"/>
              <w:left w:w="80" w:type="dxa"/>
              <w:bottom w:w="80" w:type="dxa"/>
              <w:right w:w="80" w:type="dxa"/>
            </w:tcMar>
            <w:vAlign w:val="center"/>
          </w:tcPr>
          <w:p w14:paraId="2EC991FA" w14:textId="77777777" w:rsidR="00AC0FDB" w:rsidRPr="00CD14C8" w:rsidRDefault="00AC0FDB" w:rsidP="00724A07">
            <w:pPr>
              <w:pStyle w:val="BodyA"/>
              <w:spacing w:after="0" w:line="360" w:lineRule="auto"/>
              <w:jc w:val="center"/>
              <w:rPr>
                <w:sz w:val="20"/>
                <w:szCs w:val="20"/>
              </w:rPr>
            </w:pPr>
            <w:r w:rsidRPr="00CD14C8">
              <w:rPr>
                <w:sz w:val="20"/>
                <w:szCs w:val="20"/>
                <w:lang w:val="en-US"/>
              </w:rPr>
              <w:t>0.27</w:t>
            </w:r>
          </w:p>
        </w:tc>
      </w:tr>
      <w:tr w:rsidR="00AC0FDB" w14:paraId="76529928" w14:textId="77777777" w:rsidTr="00FD2D3D">
        <w:trPr>
          <w:trHeight w:val="620"/>
        </w:trPr>
        <w:tc>
          <w:tcPr>
            <w:tcW w:w="1349" w:type="pct"/>
            <w:tcBorders>
              <w:top w:val="nil"/>
              <w:left w:val="single" w:sz="12" w:space="0" w:color="000000"/>
              <w:bottom w:val="nil"/>
              <w:right w:val="nil"/>
            </w:tcBorders>
            <w:shd w:val="clear" w:color="auto" w:fill="D9D9D9"/>
            <w:tcMar>
              <w:top w:w="80" w:type="dxa"/>
              <w:left w:w="80" w:type="dxa"/>
              <w:bottom w:w="80" w:type="dxa"/>
              <w:right w:w="80" w:type="dxa"/>
            </w:tcMar>
            <w:vAlign w:val="center"/>
          </w:tcPr>
          <w:p w14:paraId="2D8C25DD" w14:textId="77777777" w:rsidR="00AC0FDB" w:rsidRPr="00CD14C8" w:rsidRDefault="00AC0FDB" w:rsidP="00724A07">
            <w:pPr>
              <w:pStyle w:val="BodyA"/>
              <w:spacing w:after="0"/>
              <w:rPr>
                <w:sz w:val="20"/>
                <w:szCs w:val="20"/>
              </w:rPr>
            </w:pPr>
            <w:r w:rsidRPr="00CD14C8">
              <w:rPr>
                <w:b/>
                <w:bCs/>
                <w:sz w:val="20"/>
                <w:szCs w:val="20"/>
                <w:lang w:val="en-US"/>
              </w:rPr>
              <w:t>Gender (male %)</w:t>
            </w:r>
          </w:p>
        </w:tc>
        <w:tc>
          <w:tcPr>
            <w:tcW w:w="635" w:type="pct"/>
            <w:tcBorders>
              <w:top w:val="nil"/>
              <w:left w:val="nil"/>
              <w:bottom w:val="nil"/>
              <w:right w:val="nil"/>
            </w:tcBorders>
            <w:shd w:val="clear" w:color="auto" w:fill="D9D9D9"/>
            <w:tcMar>
              <w:top w:w="80" w:type="dxa"/>
              <w:left w:w="80" w:type="dxa"/>
              <w:bottom w:w="80" w:type="dxa"/>
              <w:right w:w="80" w:type="dxa"/>
            </w:tcMar>
            <w:vAlign w:val="center"/>
          </w:tcPr>
          <w:p w14:paraId="74955FAE" w14:textId="77777777" w:rsidR="00AC0FDB" w:rsidRPr="00CD14C8" w:rsidRDefault="00AC0FDB" w:rsidP="00724A07">
            <w:pPr>
              <w:pStyle w:val="BodyA"/>
              <w:spacing w:after="0" w:line="360" w:lineRule="auto"/>
              <w:jc w:val="center"/>
              <w:rPr>
                <w:sz w:val="20"/>
                <w:szCs w:val="20"/>
              </w:rPr>
            </w:pPr>
            <w:r w:rsidRPr="00CD14C8">
              <w:rPr>
                <w:sz w:val="20"/>
                <w:szCs w:val="20"/>
                <w:lang w:val="en-US"/>
              </w:rPr>
              <w:t>47.3</w:t>
            </w:r>
          </w:p>
        </w:tc>
        <w:tc>
          <w:tcPr>
            <w:tcW w:w="714" w:type="pct"/>
            <w:tcBorders>
              <w:top w:val="nil"/>
              <w:left w:val="nil"/>
              <w:bottom w:val="nil"/>
              <w:right w:val="nil"/>
            </w:tcBorders>
            <w:shd w:val="clear" w:color="auto" w:fill="D9D9D9"/>
            <w:tcMar>
              <w:top w:w="80" w:type="dxa"/>
              <w:left w:w="80" w:type="dxa"/>
              <w:bottom w:w="80" w:type="dxa"/>
              <w:right w:w="80" w:type="dxa"/>
            </w:tcMar>
            <w:vAlign w:val="center"/>
          </w:tcPr>
          <w:p w14:paraId="21849298" w14:textId="77777777" w:rsidR="00AC0FDB" w:rsidRPr="00CD14C8" w:rsidRDefault="00AC0FDB" w:rsidP="00724A07">
            <w:pPr>
              <w:pStyle w:val="BodyA"/>
              <w:spacing w:after="0" w:line="360" w:lineRule="auto"/>
              <w:jc w:val="center"/>
              <w:rPr>
                <w:sz w:val="20"/>
                <w:szCs w:val="20"/>
              </w:rPr>
            </w:pPr>
            <w:r w:rsidRPr="00CD14C8">
              <w:rPr>
                <w:sz w:val="20"/>
                <w:szCs w:val="20"/>
                <w:lang w:val="en-US"/>
              </w:rPr>
              <w:t>52.6</w:t>
            </w:r>
          </w:p>
        </w:tc>
        <w:tc>
          <w:tcPr>
            <w:tcW w:w="793" w:type="pct"/>
            <w:tcBorders>
              <w:top w:val="nil"/>
              <w:left w:val="nil"/>
              <w:bottom w:val="nil"/>
              <w:right w:val="nil"/>
            </w:tcBorders>
            <w:shd w:val="clear" w:color="auto" w:fill="D9D9D9"/>
            <w:tcMar>
              <w:top w:w="80" w:type="dxa"/>
              <w:left w:w="80" w:type="dxa"/>
              <w:bottom w:w="80" w:type="dxa"/>
              <w:right w:w="80" w:type="dxa"/>
            </w:tcMar>
            <w:vAlign w:val="center"/>
          </w:tcPr>
          <w:p w14:paraId="75F898C6" w14:textId="77777777" w:rsidR="00AC0FDB" w:rsidRPr="00CD14C8" w:rsidRDefault="00AC0FDB" w:rsidP="00724A07">
            <w:pPr>
              <w:pStyle w:val="BodyA"/>
              <w:spacing w:after="0" w:line="360" w:lineRule="auto"/>
              <w:jc w:val="center"/>
              <w:rPr>
                <w:sz w:val="20"/>
                <w:szCs w:val="20"/>
              </w:rPr>
            </w:pPr>
            <w:r w:rsidRPr="00CD14C8">
              <w:rPr>
                <w:sz w:val="20"/>
                <w:szCs w:val="20"/>
                <w:lang w:val="en-US"/>
              </w:rPr>
              <w:t>68.0</w:t>
            </w:r>
          </w:p>
        </w:tc>
        <w:tc>
          <w:tcPr>
            <w:tcW w:w="714" w:type="pct"/>
            <w:tcBorders>
              <w:top w:val="nil"/>
              <w:left w:val="nil"/>
              <w:bottom w:val="nil"/>
              <w:right w:val="nil"/>
            </w:tcBorders>
            <w:shd w:val="clear" w:color="auto" w:fill="D9D9D9"/>
            <w:tcMar>
              <w:top w:w="80" w:type="dxa"/>
              <w:left w:w="80" w:type="dxa"/>
              <w:bottom w:w="80" w:type="dxa"/>
              <w:right w:w="80" w:type="dxa"/>
            </w:tcMar>
            <w:vAlign w:val="center"/>
          </w:tcPr>
          <w:p w14:paraId="5D09CFAD" w14:textId="77777777" w:rsidR="00AC0FDB" w:rsidRPr="00CD14C8" w:rsidRDefault="00AC0FDB" w:rsidP="00724A07">
            <w:pPr>
              <w:pStyle w:val="BodyA"/>
              <w:spacing w:after="0" w:line="360" w:lineRule="auto"/>
              <w:jc w:val="center"/>
              <w:rPr>
                <w:sz w:val="20"/>
                <w:szCs w:val="20"/>
              </w:rPr>
            </w:pPr>
            <w:r w:rsidRPr="00CD14C8">
              <w:rPr>
                <w:sz w:val="20"/>
                <w:szCs w:val="20"/>
                <w:lang w:val="en-US"/>
              </w:rPr>
              <w:t>56.5</w:t>
            </w:r>
          </w:p>
        </w:tc>
        <w:tc>
          <w:tcPr>
            <w:tcW w:w="795" w:type="pct"/>
            <w:tcBorders>
              <w:top w:val="nil"/>
              <w:left w:val="nil"/>
              <w:bottom w:val="nil"/>
              <w:right w:val="single" w:sz="12" w:space="0" w:color="000000"/>
            </w:tcBorders>
            <w:shd w:val="clear" w:color="auto" w:fill="D9D9D9"/>
            <w:tcMar>
              <w:top w:w="80" w:type="dxa"/>
              <w:left w:w="80" w:type="dxa"/>
              <w:bottom w:w="80" w:type="dxa"/>
              <w:right w:w="80" w:type="dxa"/>
            </w:tcMar>
            <w:vAlign w:val="center"/>
          </w:tcPr>
          <w:p w14:paraId="5C71017A" w14:textId="77777777" w:rsidR="00AC0FDB" w:rsidRPr="00CD14C8" w:rsidRDefault="00AC0FDB" w:rsidP="00724A07">
            <w:pPr>
              <w:pStyle w:val="BodyA"/>
              <w:spacing w:after="0" w:line="360" w:lineRule="auto"/>
              <w:jc w:val="center"/>
              <w:rPr>
                <w:sz w:val="20"/>
                <w:szCs w:val="20"/>
              </w:rPr>
            </w:pPr>
            <w:r w:rsidRPr="00CD14C8">
              <w:rPr>
                <w:sz w:val="20"/>
                <w:szCs w:val="20"/>
                <w:lang w:val="en-US"/>
              </w:rPr>
              <w:t>0.61</w:t>
            </w:r>
          </w:p>
        </w:tc>
      </w:tr>
      <w:tr w:rsidR="00AC0FDB" w14:paraId="3017EA12" w14:textId="77777777" w:rsidTr="00FD2D3D">
        <w:trPr>
          <w:trHeight w:val="620"/>
        </w:trPr>
        <w:tc>
          <w:tcPr>
            <w:tcW w:w="1349" w:type="pct"/>
            <w:tcBorders>
              <w:top w:val="nil"/>
              <w:left w:val="single" w:sz="12" w:space="0" w:color="000000"/>
              <w:bottom w:val="nil"/>
              <w:right w:val="nil"/>
            </w:tcBorders>
            <w:shd w:val="clear" w:color="auto" w:fill="D9D9D9"/>
            <w:tcMar>
              <w:top w:w="80" w:type="dxa"/>
              <w:left w:w="80" w:type="dxa"/>
              <w:bottom w:w="80" w:type="dxa"/>
              <w:right w:w="80" w:type="dxa"/>
            </w:tcMar>
            <w:vAlign w:val="center"/>
          </w:tcPr>
          <w:p w14:paraId="59CA8CB0" w14:textId="77777777" w:rsidR="00AC0FDB" w:rsidRPr="00CD14C8" w:rsidRDefault="00AC0FDB" w:rsidP="00724A07">
            <w:pPr>
              <w:pStyle w:val="BodyA"/>
              <w:spacing w:after="0"/>
              <w:rPr>
                <w:sz w:val="20"/>
                <w:szCs w:val="20"/>
              </w:rPr>
            </w:pPr>
            <w:r w:rsidRPr="00CD14C8">
              <w:rPr>
                <w:b/>
                <w:bCs/>
                <w:sz w:val="20"/>
                <w:szCs w:val="20"/>
                <w:lang w:val="en-US"/>
              </w:rPr>
              <w:t>BMI (kg/m</w:t>
            </w:r>
            <w:r w:rsidRPr="00CD14C8">
              <w:rPr>
                <w:b/>
                <w:bCs/>
                <w:sz w:val="20"/>
                <w:szCs w:val="20"/>
                <w:vertAlign w:val="superscript"/>
                <w:lang w:val="en-US"/>
              </w:rPr>
              <w:t>2</w:t>
            </w:r>
            <w:r w:rsidRPr="00CD14C8">
              <w:rPr>
                <w:b/>
                <w:bCs/>
                <w:sz w:val="20"/>
                <w:szCs w:val="20"/>
                <w:lang w:val="en-US"/>
              </w:rPr>
              <w:t>)</w:t>
            </w:r>
          </w:p>
        </w:tc>
        <w:tc>
          <w:tcPr>
            <w:tcW w:w="635" w:type="pct"/>
            <w:tcBorders>
              <w:top w:val="nil"/>
              <w:left w:val="nil"/>
              <w:bottom w:val="nil"/>
              <w:right w:val="nil"/>
            </w:tcBorders>
            <w:shd w:val="clear" w:color="auto" w:fill="D9D9D9"/>
            <w:tcMar>
              <w:top w:w="80" w:type="dxa"/>
              <w:left w:w="80" w:type="dxa"/>
              <w:bottom w:w="80" w:type="dxa"/>
              <w:right w:w="80" w:type="dxa"/>
            </w:tcMar>
            <w:vAlign w:val="center"/>
          </w:tcPr>
          <w:p w14:paraId="4A843133" w14:textId="77777777" w:rsidR="00AC0FDB" w:rsidRPr="00CD14C8" w:rsidRDefault="00AC0FDB" w:rsidP="00724A07">
            <w:pPr>
              <w:pStyle w:val="BodyA"/>
              <w:spacing w:after="0" w:line="360" w:lineRule="auto"/>
              <w:jc w:val="center"/>
              <w:rPr>
                <w:sz w:val="20"/>
                <w:szCs w:val="20"/>
              </w:rPr>
            </w:pPr>
            <w:r w:rsidRPr="00CD14C8">
              <w:rPr>
                <w:sz w:val="20"/>
                <w:szCs w:val="20"/>
                <w:lang w:val="en-US"/>
              </w:rPr>
              <w:t>26.8 (4.2)</w:t>
            </w:r>
          </w:p>
        </w:tc>
        <w:tc>
          <w:tcPr>
            <w:tcW w:w="714" w:type="pct"/>
            <w:tcBorders>
              <w:top w:val="nil"/>
              <w:left w:val="nil"/>
              <w:bottom w:val="nil"/>
              <w:right w:val="nil"/>
            </w:tcBorders>
            <w:shd w:val="clear" w:color="auto" w:fill="D9D9D9"/>
            <w:tcMar>
              <w:top w:w="80" w:type="dxa"/>
              <w:left w:w="80" w:type="dxa"/>
              <w:bottom w:w="80" w:type="dxa"/>
              <w:right w:w="80" w:type="dxa"/>
            </w:tcMar>
            <w:vAlign w:val="center"/>
          </w:tcPr>
          <w:p w14:paraId="4C6055A2" w14:textId="77777777" w:rsidR="00AC0FDB" w:rsidRPr="00CD14C8" w:rsidRDefault="00AC0FDB" w:rsidP="00724A07">
            <w:pPr>
              <w:pStyle w:val="BodyA"/>
              <w:spacing w:after="0" w:line="360" w:lineRule="auto"/>
              <w:jc w:val="center"/>
              <w:rPr>
                <w:sz w:val="20"/>
                <w:szCs w:val="20"/>
              </w:rPr>
            </w:pPr>
            <w:r w:rsidRPr="00CD14C8">
              <w:rPr>
                <w:sz w:val="20"/>
                <w:szCs w:val="20"/>
                <w:lang w:val="en-US"/>
              </w:rPr>
              <w:t>31.5 (6.1)</w:t>
            </w:r>
          </w:p>
        </w:tc>
        <w:tc>
          <w:tcPr>
            <w:tcW w:w="793" w:type="pct"/>
            <w:tcBorders>
              <w:top w:val="nil"/>
              <w:left w:val="nil"/>
              <w:bottom w:val="nil"/>
              <w:right w:val="nil"/>
            </w:tcBorders>
            <w:shd w:val="clear" w:color="auto" w:fill="D9D9D9"/>
            <w:tcMar>
              <w:top w:w="80" w:type="dxa"/>
              <w:left w:w="80" w:type="dxa"/>
              <w:bottom w:w="80" w:type="dxa"/>
              <w:right w:w="80" w:type="dxa"/>
            </w:tcMar>
            <w:vAlign w:val="center"/>
          </w:tcPr>
          <w:p w14:paraId="26C1F51B" w14:textId="77777777" w:rsidR="00AC0FDB" w:rsidRPr="00CD14C8" w:rsidRDefault="00AC0FDB" w:rsidP="00724A07">
            <w:pPr>
              <w:pStyle w:val="BodyA"/>
              <w:spacing w:after="0" w:line="360" w:lineRule="auto"/>
              <w:jc w:val="center"/>
              <w:rPr>
                <w:sz w:val="20"/>
                <w:szCs w:val="20"/>
              </w:rPr>
            </w:pPr>
            <w:r w:rsidRPr="00CD14C8">
              <w:rPr>
                <w:sz w:val="20"/>
                <w:szCs w:val="20"/>
                <w:lang w:val="en-US"/>
              </w:rPr>
              <w:t>30.3 (5.2)</w:t>
            </w:r>
          </w:p>
        </w:tc>
        <w:tc>
          <w:tcPr>
            <w:tcW w:w="714" w:type="pct"/>
            <w:tcBorders>
              <w:top w:val="nil"/>
              <w:left w:val="nil"/>
              <w:bottom w:val="nil"/>
              <w:right w:val="nil"/>
            </w:tcBorders>
            <w:shd w:val="clear" w:color="auto" w:fill="D9D9D9"/>
            <w:tcMar>
              <w:top w:w="80" w:type="dxa"/>
              <w:left w:w="80" w:type="dxa"/>
              <w:bottom w:w="80" w:type="dxa"/>
              <w:right w:w="80" w:type="dxa"/>
            </w:tcMar>
            <w:vAlign w:val="center"/>
          </w:tcPr>
          <w:p w14:paraId="79E4CAB2" w14:textId="77777777" w:rsidR="00AC0FDB" w:rsidRPr="00CD14C8" w:rsidRDefault="00AC0FDB" w:rsidP="00724A07">
            <w:pPr>
              <w:pStyle w:val="BodyA"/>
              <w:spacing w:after="0" w:line="360" w:lineRule="auto"/>
              <w:jc w:val="center"/>
              <w:rPr>
                <w:sz w:val="20"/>
                <w:szCs w:val="20"/>
              </w:rPr>
            </w:pPr>
            <w:r w:rsidRPr="00CD14C8">
              <w:rPr>
                <w:sz w:val="20"/>
                <w:szCs w:val="20"/>
                <w:lang w:val="en-US"/>
              </w:rPr>
              <w:t>33.7 (5.4)</w:t>
            </w:r>
          </w:p>
        </w:tc>
        <w:tc>
          <w:tcPr>
            <w:tcW w:w="795" w:type="pct"/>
            <w:tcBorders>
              <w:top w:val="nil"/>
              <w:left w:val="nil"/>
              <w:bottom w:val="nil"/>
              <w:right w:val="single" w:sz="12" w:space="0" w:color="000000"/>
            </w:tcBorders>
            <w:shd w:val="clear" w:color="auto" w:fill="D9D9D9"/>
            <w:tcMar>
              <w:top w:w="80" w:type="dxa"/>
              <w:left w:w="80" w:type="dxa"/>
              <w:bottom w:w="80" w:type="dxa"/>
              <w:right w:w="80" w:type="dxa"/>
            </w:tcMar>
            <w:vAlign w:val="center"/>
          </w:tcPr>
          <w:p w14:paraId="59411037" w14:textId="77777777" w:rsidR="00AC0FDB" w:rsidRPr="00CD14C8" w:rsidRDefault="00AC0FDB" w:rsidP="00724A07">
            <w:pPr>
              <w:pStyle w:val="BodyA"/>
              <w:spacing w:after="0" w:line="360" w:lineRule="auto"/>
              <w:jc w:val="center"/>
              <w:rPr>
                <w:sz w:val="20"/>
                <w:szCs w:val="20"/>
              </w:rPr>
            </w:pPr>
            <w:r w:rsidRPr="00CD14C8">
              <w:rPr>
                <w:b/>
                <w:bCs/>
                <w:sz w:val="20"/>
                <w:szCs w:val="20"/>
                <w:lang w:val="en-US"/>
              </w:rPr>
              <w:t>0.001</w:t>
            </w:r>
          </w:p>
        </w:tc>
      </w:tr>
      <w:tr w:rsidR="00AC0FDB" w14:paraId="03464354" w14:textId="77777777" w:rsidTr="00FD2D3D">
        <w:trPr>
          <w:trHeight w:val="980"/>
        </w:trPr>
        <w:tc>
          <w:tcPr>
            <w:tcW w:w="1349" w:type="pct"/>
            <w:tcBorders>
              <w:top w:val="nil"/>
              <w:left w:val="single" w:sz="12" w:space="0" w:color="000000"/>
              <w:bottom w:val="nil"/>
              <w:right w:val="nil"/>
            </w:tcBorders>
            <w:shd w:val="clear" w:color="auto" w:fill="D9D9D9"/>
            <w:tcMar>
              <w:top w:w="80" w:type="dxa"/>
              <w:left w:w="80" w:type="dxa"/>
              <w:bottom w:w="80" w:type="dxa"/>
              <w:right w:w="80" w:type="dxa"/>
            </w:tcMar>
            <w:vAlign w:val="center"/>
          </w:tcPr>
          <w:p w14:paraId="207B7115" w14:textId="77777777" w:rsidR="00AC0FDB" w:rsidRPr="00CD14C8" w:rsidRDefault="00AC0FDB" w:rsidP="00724A07">
            <w:pPr>
              <w:pStyle w:val="BodyA"/>
              <w:spacing w:after="0"/>
              <w:rPr>
                <w:sz w:val="20"/>
                <w:szCs w:val="20"/>
              </w:rPr>
            </w:pPr>
            <w:r w:rsidRPr="00CD14C8">
              <w:rPr>
                <w:b/>
                <w:bCs/>
                <w:sz w:val="20"/>
                <w:szCs w:val="20"/>
                <w:lang w:val="en-US"/>
              </w:rPr>
              <w:t>Diabetes duration(years)*</w:t>
            </w:r>
          </w:p>
        </w:tc>
        <w:tc>
          <w:tcPr>
            <w:tcW w:w="635" w:type="pct"/>
            <w:tcBorders>
              <w:top w:val="nil"/>
              <w:left w:val="nil"/>
              <w:bottom w:val="nil"/>
              <w:right w:val="nil"/>
            </w:tcBorders>
            <w:shd w:val="clear" w:color="auto" w:fill="D9D9D9"/>
            <w:tcMar>
              <w:top w:w="80" w:type="dxa"/>
              <w:left w:w="80" w:type="dxa"/>
              <w:bottom w:w="80" w:type="dxa"/>
              <w:right w:w="80" w:type="dxa"/>
            </w:tcMar>
            <w:vAlign w:val="center"/>
          </w:tcPr>
          <w:p w14:paraId="3AAE037A" w14:textId="77777777" w:rsidR="00AC0FDB" w:rsidRPr="00CD14C8" w:rsidRDefault="00AC0FDB" w:rsidP="00724A07">
            <w:pPr>
              <w:pStyle w:val="BodyA"/>
              <w:spacing w:after="0" w:line="360" w:lineRule="auto"/>
              <w:jc w:val="center"/>
              <w:rPr>
                <w:sz w:val="20"/>
                <w:szCs w:val="20"/>
              </w:rPr>
            </w:pPr>
            <w:r w:rsidRPr="00CD14C8">
              <w:rPr>
                <w:sz w:val="20"/>
                <w:szCs w:val="20"/>
                <w:lang w:val="en-US"/>
              </w:rPr>
              <w:t>-</w:t>
            </w:r>
          </w:p>
        </w:tc>
        <w:tc>
          <w:tcPr>
            <w:tcW w:w="714" w:type="pct"/>
            <w:tcBorders>
              <w:top w:val="nil"/>
              <w:left w:val="nil"/>
              <w:bottom w:val="nil"/>
              <w:right w:val="nil"/>
            </w:tcBorders>
            <w:shd w:val="clear" w:color="auto" w:fill="D9D9D9"/>
            <w:tcMar>
              <w:top w:w="80" w:type="dxa"/>
              <w:left w:w="80" w:type="dxa"/>
              <w:bottom w:w="80" w:type="dxa"/>
              <w:right w:w="80" w:type="dxa"/>
            </w:tcMar>
            <w:vAlign w:val="center"/>
          </w:tcPr>
          <w:p w14:paraId="40C838C9" w14:textId="77777777" w:rsidR="00AC0FDB" w:rsidRPr="00CD14C8" w:rsidRDefault="00AC0FDB" w:rsidP="00724A07">
            <w:pPr>
              <w:pStyle w:val="BodyA"/>
              <w:spacing w:after="0" w:line="360" w:lineRule="auto"/>
              <w:jc w:val="center"/>
              <w:rPr>
                <w:sz w:val="20"/>
                <w:szCs w:val="20"/>
              </w:rPr>
            </w:pPr>
            <w:r w:rsidRPr="00CD14C8">
              <w:rPr>
                <w:sz w:val="20"/>
                <w:szCs w:val="20"/>
                <w:lang w:val="en-US"/>
              </w:rPr>
              <w:t>8.0 (6.5)</w:t>
            </w:r>
          </w:p>
        </w:tc>
        <w:tc>
          <w:tcPr>
            <w:tcW w:w="793" w:type="pct"/>
            <w:tcBorders>
              <w:top w:val="nil"/>
              <w:left w:val="nil"/>
              <w:bottom w:val="nil"/>
              <w:right w:val="nil"/>
            </w:tcBorders>
            <w:shd w:val="clear" w:color="auto" w:fill="D9D9D9"/>
            <w:tcMar>
              <w:top w:w="80" w:type="dxa"/>
              <w:left w:w="80" w:type="dxa"/>
              <w:bottom w:w="80" w:type="dxa"/>
              <w:right w:w="80" w:type="dxa"/>
            </w:tcMar>
            <w:vAlign w:val="center"/>
          </w:tcPr>
          <w:p w14:paraId="5C374C36" w14:textId="77777777" w:rsidR="00AC0FDB" w:rsidRPr="00CD14C8" w:rsidRDefault="00AC0FDB" w:rsidP="00724A07">
            <w:pPr>
              <w:pStyle w:val="BodyA"/>
              <w:spacing w:after="0" w:line="360" w:lineRule="auto"/>
              <w:jc w:val="center"/>
              <w:rPr>
                <w:sz w:val="20"/>
                <w:szCs w:val="20"/>
              </w:rPr>
            </w:pPr>
            <w:r w:rsidRPr="00CD14C8">
              <w:rPr>
                <w:sz w:val="20"/>
                <w:szCs w:val="20"/>
                <w:lang w:val="en-US"/>
              </w:rPr>
              <w:t>14.5 (16.2)</w:t>
            </w:r>
          </w:p>
        </w:tc>
        <w:tc>
          <w:tcPr>
            <w:tcW w:w="714" w:type="pct"/>
            <w:tcBorders>
              <w:top w:val="nil"/>
              <w:left w:val="nil"/>
              <w:bottom w:val="nil"/>
              <w:right w:val="nil"/>
            </w:tcBorders>
            <w:shd w:val="clear" w:color="auto" w:fill="D9D9D9"/>
            <w:tcMar>
              <w:top w:w="80" w:type="dxa"/>
              <w:left w:w="80" w:type="dxa"/>
              <w:bottom w:w="80" w:type="dxa"/>
              <w:right w:w="80" w:type="dxa"/>
            </w:tcMar>
            <w:vAlign w:val="center"/>
          </w:tcPr>
          <w:p w14:paraId="5073A19C" w14:textId="77777777" w:rsidR="00AC0FDB" w:rsidRPr="00CD14C8" w:rsidRDefault="00AC0FDB" w:rsidP="00724A07">
            <w:pPr>
              <w:pStyle w:val="BodyA"/>
              <w:spacing w:after="0" w:line="360" w:lineRule="auto"/>
              <w:jc w:val="center"/>
              <w:rPr>
                <w:sz w:val="20"/>
                <w:szCs w:val="20"/>
              </w:rPr>
            </w:pPr>
            <w:r w:rsidRPr="00CD14C8">
              <w:rPr>
                <w:sz w:val="20"/>
                <w:szCs w:val="20"/>
                <w:lang w:val="en-US"/>
              </w:rPr>
              <w:t>13.0 (19.5)</w:t>
            </w:r>
          </w:p>
        </w:tc>
        <w:tc>
          <w:tcPr>
            <w:tcW w:w="795" w:type="pct"/>
            <w:tcBorders>
              <w:top w:val="nil"/>
              <w:left w:val="nil"/>
              <w:bottom w:val="nil"/>
              <w:right w:val="single" w:sz="12" w:space="0" w:color="000000"/>
            </w:tcBorders>
            <w:shd w:val="clear" w:color="auto" w:fill="D9D9D9"/>
            <w:tcMar>
              <w:top w:w="80" w:type="dxa"/>
              <w:left w:w="80" w:type="dxa"/>
              <w:bottom w:w="80" w:type="dxa"/>
              <w:right w:w="80" w:type="dxa"/>
            </w:tcMar>
            <w:vAlign w:val="center"/>
          </w:tcPr>
          <w:p w14:paraId="7F0BD062" w14:textId="77777777" w:rsidR="00AC0FDB" w:rsidRPr="00CD14C8" w:rsidRDefault="00AC0FDB" w:rsidP="00724A07">
            <w:pPr>
              <w:pStyle w:val="BodyA"/>
              <w:spacing w:after="0" w:line="360" w:lineRule="auto"/>
              <w:jc w:val="center"/>
              <w:rPr>
                <w:sz w:val="20"/>
                <w:szCs w:val="20"/>
              </w:rPr>
            </w:pPr>
            <w:r w:rsidRPr="00CD14C8">
              <w:rPr>
                <w:sz w:val="20"/>
                <w:szCs w:val="20"/>
                <w:lang w:val="en-US"/>
              </w:rPr>
              <w:t>0.24</w:t>
            </w:r>
          </w:p>
        </w:tc>
      </w:tr>
      <w:tr w:rsidR="00AC0FDB" w14:paraId="5097022C" w14:textId="77777777" w:rsidTr="00FD2D3D">
        <w:trPr>
          <w:trHeight w:val="620"/>
        </w:trPr>
        <w:tc>
          <w:tcPr>
            <w:tcW w:w="1349" w:type="pct"/>
            <w:tcBorders>
              <w:top w:val="nil"/>
              <w:left w:val="single" w:sz="12" w:space="0" w:color="000000"/>
              <w:bottom w:val="nil"/>
              <w:right w:val="nil"/>
            </w:tcBorders>
            <w:shd w:val="clear" w:color="auto" w:fill="D9D9D9"/>
            <w:tcMar>
              <w:top w:w="80" w:type="dxa"/>
              <w:left w:w="80" w:type="dxa"/>
              <w:bottom w:w="80" w:type="dxa"/>
              <w:right w:w="80" w:type="dxa"/>
            </w:tcMar>
            <w:vAlign w:val="center"/>
          </w:tcPr>
          <w:p w14:paraId="3991AD94" w14:textId="77777777" w:rsidR="00AC0FDB" w:rsidRPr="00CD14C8" w:rsidRDefault="00AC0FDB" w:rsidP="00724A07">
            <w:pPr>
              <w:pStyle w:val="BodyA"/>
              <w:spacing w:after="0"/>
              <w:rPr>
                <w:sz w:val="20"/>
                <w:szCs w:val="20"/>
              </w:rPr>
            </w:pPr>
            <w:r w:rsidRPr="00CD14C8">
              <w:rPr>
                <w:b/>
                <w:bCs/>
                <w:sz w:val="20"/>
                <w:szCs w:val="20"/>
                <w:lang w:val="en-US"/>
              </w:rPr>
              <w:t>HbA1c (mmol/mol)</w:t>
            </w:r>
          </w:p>
        </w:tc>
        <w:tc>
          <w:tcPr>
            <w:tcW w:w="635" w:type="pct"/>
            <w:tcBorders>
              <w:top w:val="nil"/>
              <w:left w:val="nil"/>
              <w:bottom w:val="nil"/>
              <w:right w:val="nil"/>
            </w:tcBorders>
            <w:shd w:val="clear" w:color="auto" w:fill="D9D9D9"/>
            <w:tcMar>
              <w:top w:w="80" w:type="dxa"/>
              <w:left w:w="80" w:type="dxa"/>
              <w:bottom w:w="80" w:type="dxa"/>
              <w:right w:w="80" w:type="dxa"/>
            </w:tcMar>
            <w:vAlign w:val="center"/>
          </w:tcPr>
          <w:p w14:paraId="24BCEC39" w14:textId="77777777" w:rsidR="00AC0FDB" w:rsidRPr="00CD14C8" w:rsidRDefault="00AC0FDB" w:rsidP="00724A07">
            <w:pPr>
              <w:pStyle w:val="BodyA"/>
              <w:spacing w:after="0" w:line="360" w:lineRule="auto"/>
              <w:jc w:val="center"/>
              <w:rPr>
                <w:sz w:val="20"/>
                <w:szCs w:val="20"/>
              </w:rPr>
            </w:pPr>
            <w:r w:rsidRPr="00CD14C8">
              <w:rPr>
                <w:sz w:val="20"/>
                <w:szCs w:val="20"/>
                <w:lang w:val="en-US"/>
              </w:rPr>
              <w:t>-</w:t>
            </w:r>
          </w:p>
        </w:tc>
        <w:tc>
          <w:tcPr>
            <w:tcW w:w="714" w:type="pct"/>
            <w:tcBorders>
              <w:top w:val="nil"/>
              <w:left w:val="nil"/>
              <w:bottom w:val="nil"/>
              <w:right w:val="nil"/>
            </w:tcBorders>
            <w:shd w:val="clear" w:color="auto" w:fill="D9D9D9"/>
            <w:tcMar>
              <w:top w:w="80" w:type="dxa"/>
              <w:left w:w="80" w:type="dxa"/>
              <w:bottom w:w="80" w:type="dxa"/>
              <w:right w:w="80" w:type="dxa"/>
            </w:tcMar>
            <w:vAlign w:val="center"/>
          </w:tcPr>
          <w:p w14:paraId="7EBF0EEF" w14:textId="77777777" w:rsidR="00AC0FDB" w:rsidRPr="00CD14C8" w:rsidRDefault="00AC0FDB" w:rsidP="00724A07">
            <w:pPr>
              <w:pStyle w:val="BodyA"/>
              <w:spacing w:after="0" w:line="360" w:lineRule="auto"/>
              <w:jc w:val="center"/>
              <w:rPr>
                <w:sz w:val="20"/>
                <w:szCs w:val="20"/>
              </w:rPr>
            </w:pPr>
            <w:r w:rsidRPr="00CD14C8">
              <w:rPr>
                <w:sz w:val="20"/>
                <w:szCs w:val="20"/>
                <w:lang w:val="en-US"/>
              </w:rPr>
              <w:t>63.3 (20.0)</w:t>
            </w:r>
          </w:p>
        </w:tc>
        <w:tc>
          <w:tcPr>
            <w:tcW w:w="793" w:type="pct"/>
            <w:tcBorders>
              <w:top w:val="nil"/>
              <w:left w:val="nil"/>
              <w:bottom w:val="nil"/>
              <w:right w:val="nil"/>
            </w:tcBorders>
            <w:shd w:val="clear" w:color="auto" w:fill="D9D9D9"/>
            <w:tcMar>
              <w:top w:w="80" w:type="dxa"/>
              <w:left w:w="80" w:type="dxa"/>
              <w:bottom w:w="80" w:type="dxa"/>
              <w:right w:w="80" w:type="dxa"/>
            </w:tcMar>
            <w:vAlign w:val="center"/>
          </w:tcPr>
          <w:p w14:paraId="02ACEAED" w14:textId="77777777" w:rsidR="00AC0FDB" w:rsidRPr="00CD14C8" w:rsidRDefault="00AC0FDB" w:rsidP="00724A07">
            <w:pPr>
              <w:pStyle w:val="BodyA"/>
              <w:spacing w:after="0" w:line="360" w:lineRule="auto"/>
              <w:jc w:val="center"/>
              <w:rPr>
                <w:sz w:val="20"/>
                <w:szCs w:val="20"/>
              </w:rPr>
            </w:pPr>
            <w:r w:rsidRPr="00CD14C8">
              <w:rPr>
                <w:sz w:val="20"/>
                <w:szCs w:val="20"/>
                <w:lang w:val="en-US"/>
              </w:rPr>
              <w:t>61.5 (8.0)</w:t>
            </w:r>
          </w:p>
        </w:tc>
        <w:tc>
          <w:tcPr>
            <w:tcW w:w="714" w:type="pct"/>
            <w:tcBorders>
              <w:top w:val="nil"/>
              <w:left w:val="nil"/>
              <w:bottom w:val="nil"/>
              <w:right w:val="nil"/>
            </w:tcBorders>
            <w:shd w:val="clear" w:color="auto" w:fill="D9D9D9"/>
            <w:tcMar>
              <w:top w:w="80" w:type="dxa"/>
              <w:left w:w="80" w:type="dxa"/>
              <w:bottom w:w="80" w:type="dxa"/>
              <w:right w:w="80" w:type="dxa"/>
            </w:tcMar>
            <w:vAlign w:val="center"/>
          </w:tcPr>
          <w:p w14:paraId="3EBD4291" w14:textId="77777777" w:rsidR="00AC0FDB" w:rsidRPr="00CD14C8" w:rsidRDefault="00AC0FDB" w:rsidP="00724A07">
            <w:pPr>
              <w:pStyle w:val="BodyA"/>
              <w:spacing w:after="0" w:line="360" w:lineRule="auto"/>
              <w:jc w:val="center"/>
              <w:rPr>
                <w:sz w:val="20"/>
                <w:szCs w:val="20"/>
              </w:rPr>
            </w:pPr>
            <w:r w:rsidRPr="00CD14C8">
              <w:rPr>
                <w:sz w:val="20"/>
                <w:szCs w:val="20"/>
                <w:lang w:val="en-US"/>
              </w:rPr>
              <w:t>66.9 (13.8)</w:t>
            </w:r>
          </w:p>
        </w:tc>
        <w:tc>
          <w:tcPr>
            <w:tcW w:w="795" w:type="pct"/>
            <w:tcBorders>
              <w:top w:val="nil"/>
              <w:left w:val="nil"/>
              <w:bottom w:val="nil"/>
              <w:right w:val="single" w:sz="12" w:space="0" w:color="000000"/>
            </w:tcBorders>
            <w:shd w:val="clear" w:color="auto" w:fill="D9D9D9"/>
            <w:tcMar>
              <w:top w:w="80" w:type="dxa"/>
              <w:left w:w="80" w:type="dxa"/>
              <w:bottom w:w="80" w:type="dxa"/>
              <w:right w:w="80" w:type="dxa"/>
            </w:tcMar>
            <w:vAlign w:val="center"/>
          </w:tcPr>
          <w:p w14:paraId="7DAF7E8E" w14:textId="77777777" w:rsidR="00AC0FDB" w:rsidRPr="00CD14C8" w:rsidRDefault="00AC0FDB" w:rsidP="00724A07">
            <w:pPr>
              <w:pStyle w:val="BodyA"/>
              <w:spacing w:after="0" w:line="360" w:lineRule="auto"/>
              <w:jc w:val="center"/>
              <w:rPr>
                <w:sz w:val="20"/>
                <w:szCs w:val="20"/>
              </w:rPr>
            </w:pPr>
            <w:r w:rsidRPr="00CD14C8">
              <w:rPr>
                <w:sz w:val="20"/>
                <w:szCs w:val="20"/>
                <w:lang w:val="en-US"/>
              </w:rPr>
              <w:t>0.51</w:t>
            </w:r>
          </w:p>
        </w:tc>
      </w:tr>
      <w:tr w:rsidR="00AC0FDB" w14:paraId="6017F1E5" w14:textId="77777777" w:rsidTr="00FD2D3D">
        <w:trPr>
          <w:trHeight w:val="980"/>
        </w:trPr>
        <w:tc>
          <w:tcPr>
            <w:tcW w:w="1349" w:type="pct"/>
            <w:tcBorders>
              <w:top w:val="nil"/>
              <w:left w:val="single" w:sz="12" w:space="0" w:color="000000"/>
              <w:bottom w:val="nil"/>
              <w:right w:val="nil"/>
            </w:tcBorders>
            <w:shd w:val="clear" w:color="auto" w:fill="D9D9D9"/>
            <w:tcMar>
              <w:top w:w="80" w:type="dxa"/>
              <w:left w:w="80" w:type="dxa"/>
              <w:bottom w:w="80" w:type="dxa"/>
              <w:right w:w="80" w:type="dxa"/>
            </w:tcMar>
            <w:vAlign w:val="center"/>
          </w:tcPr>
          <w:p w14:paraId="4C3B441A" w14:textId="77777777" w:rsidR="00AC0FDB" w:rsidRPr="00CD14C8" w:rsidRDefault="00AC0FDB" w:rsidP="00724A07">
            <w:pPr>
              <w:pStyle w:val="BodyA"/>
              <w:spacing w:after="0"/>
              <w:rPr>
                <w:sz w:val="20"/>
                <w:szCs w:val="20"/>
              </w:rPr>
            </w:pPr>
            <w:r w:rsidRPr="00CD14C8">
              <w:rPr>
                <w:b/>
                <w:bCs/>
                <w:sz w:val="20"/>
                <w:szCs w:val="20"/>
                <w:lang w:val="en-US"/>
              </w:rPr>
              <w:t xml:space="preserve">Urine </w:t>
            </w:r>
            <w:proofErr w:type="spellStart"/>
            <w:r w:rsidRPr="00CD14C8">
              <w:rPr>
                <w:b/>
                <w:bCs/>
                <w:sz w:val="20"/>
                <w:szCs w:val="20"/>
                <w:lang w:val="en-US"/>
              </w:rPr>
              <w:t>ACR</w:t>
            </w:r>
            <w:proofErr w:type="spellEnd"/>
            <w:r w:rsidRPr="00CD14C8">
              <w:rPr>
                <w:b/>
                <w:bCs/>
                <w:sz w:val="20"/>
                <w:szCs w:val="20"/>
                <w:lang w:val="en-US"/>
              </w:rPr>
              <w:t xml:space="preserve"> (mg/</w:t>
            </w:r>
            <w:proofErr w:type="gramStart"/>
            <w:r w:rsidRPr="00CD14C8">
              <w:rPr>
                <w:b/>
                <w:bCs/>
                <w:sz w:val="20"/>
                <w:szCs w:val="20"/>
                <w:lang w:val="en-US"/>
              </w:rPr>
              <w:t>mmol)*</w:t>
            </w:r>
            <w:proofErr w:type="gramEnd"/>
          </w:p>
        </w:tc>
        <w:tc>
          <w:tcPr>
            <w:tcW w:w="635" w:type="pct"/>
            <w:tcBorders>
              <w:top w:val="nil"/>
              <w:left w:val="nil"/>
              <w:bottom w:val="nil"/>
              <w:right w:val="nil"/>
            </w:tcBorders>
            <w:shd w:val="clear" w:color="auto" w:fill="D9D9D9"/>
            <w:tcMar>
              <w:top w:w="80" w:type="dxa"/>
              <w:left w:w="80" w:type="dxa"/>
              <w:bottom w:w="80" w:type="dxa"/>
              <w:right w:w="80" w:type="dxa"/>
            </w:tcMar>
            <w:vAlign w:val="center"/>
          </w:tcPr>
          <w:p w14:paraId="18B0656D" w14:textId="77777777" w:rsidR="00AC0FDB" w:rsidRPr="00CD14C8" w:rsidRDefault="00AC0FDB" w:rsidP="00724A07">
            <w:pPr>
              <w:pStyle w:val="BodyA"/>
              <w:spacing w:after="0" w:line="360" w:lineRule="auto"/>
              <w:jc w:val="center"/>
              <w:rPr>
                <w:sz w:val="20"/>
                <w:szCs w:val="20"/>
              </w:rPr>
            </w:pPr>
            <w:r w:rsidRPr="00CD14C8">
              <w:rPr>
                <w:sz w:val="20"/>
                <w:szCs w:val="20"/>
                <w:lang w:val="en-US"/>
              </w:rPr>
              <w:t>-</w:t>
            </w:r>
          </w:p>
        </w:tc>
        <w:tc>
          <w:tcPr>
            <w:tcW w:w="714" w:type="pct"/>
            <w:tcBorders>
              <w:top w:val="nil"/>
              <w:left w:val="nil"/>
              <w:bottom w:val="nil"/>
              <w:right w:val="nil"/>
            </w:tcBorders>
            <w:shd w:val="clear" w:color="auto" w:fill="D9D9D9"/>
            <w:tcMar>
              <w:top w:w="80" w:type="dxa"/>
              <w:left w:w="80" w:type="dxa"/>
              <w:bottom w:w="80" w:type="dxa"/>
              <w:right w:w="80" w:type="dxa"/>
            </w:tcMar>
            <w:vAlign w:val="center"/>
          </w:tcPr>
          <w:p w14:paraId="422FC11E" w14:textId="77777777" w:rsidR="00AC0FDB" w:rsidRPr="00CD14C8" w:rsidRDefault="00AC0FDB" w:rsidP="00724A07">
            <w:pPr>
              <w:pStyle w:val="BodyA"/>
              <w:spacing w:after="0" w:line="360" w:lineRule="auto"/>
              <w:jc w:val="center"/>
              <w:rPr>
                <w:sz w:val="20"/>
                <w:szCs w:val="20"/>
              </w:rPr>
            </w:pPr>
            <w:r w:rsidRPr="00CD14C8">
              <w:rPr>
                <w:sz w:val="20"/>
                <w:szCs w:val="20"/>
                <w:lang w:val="en-US"/>
              </w:rPr>
              <w:t>0.8 (0.9)</w:t>
            </w:r>
          </w:p>
        </w:tc>
        <w:tc>
          <w:tcPr>
            <w:tcW w:w="793" w:type="pct"/>
            <w:tcBorders>
              <w:top w:val="nil"/>
              <w:left w:val="nil"/>
              <w:bottom w:val="nil"/>
              <w:right w:val="nil"/>
            </w:tcBorders>
            <w:shd w:val="clear" w:color="auto" w:fill="D9D9D9"/>
            <w:tcMar>
              <w:top w:w="80" w:type="dxa"/>
              <w:left w:w="80" w:type="dxa"/>
              <w:bottom w:w="80" w:type="dxa"/>
              <w:right w:w="80" w:type="dxa"/>
            </w:tcMar>
            <w:vAlign w:val="center"/>
          </w:tcPr>
          <w:p w14:paraId="3D10706B" w14:textId="77777777" w:rsidR="00AC0FDB" w:rsidRPr="00CD14C8" w:rsidRDefault="00AC0FDB" w:rsidP="00724A07">
            <w:pPr>
              <w:pStyle w:val="BodyA"/>
              <w:spacing w:after="0" w:line="360" w:lineRule="auto"/>
              <w:jc w:val="center"/>
              <w:rPr>
                <w:sz w:val="20"/>
                <w:szCs w:val="20"/>
              </w:rPr>
            </w:pPr>
            <w:r w:rsidRPr="00CD14C8">
              <w:rPr>
                <w:sz w:val="20"/>
                <w:szCs w:val="20"/>
                <w:lang w:val="en-US"/>
              </w:rPr>
              <w:t>1.7 (7.2)</w:t>
            </w:r>
          </w:p>
        </w:tc>
        <w:tc>
          <w:tcPr>
            <w:tcW w:w="714" w:type="pct"/>
            <w:tcBorders>
              <w:top w:val="nil"/>
              <w:left w:val="nil"/>
              <w:bottom w:val="nil"/>
              <w:right w:val="nil"/>
            </w:tcBorders>
            <w:shd w:val="clear" w:color="auto" w:fill="D9D9D9"/>
            <w:tcMar>
              <w:top w:w="80" w:type="dxa"/>
              <w:left w:w="80" w:type="dxa"/>
              <w:bottom w:w="80" w:type="dxa"/>
              <w:right w:w="80" w:type="dxa"/>
            </w:tcMar>
            <w:vAlign w:val="center"/>
          </w:tcPr>
          <w:p w14:paraId="3AB58E84" w14:textId="77777777" w:rsidR="00AC0FDB" w:rsidRPr="00CD14C8" w:rsidRDefault="00AC0FDB" w:rsidP="00724A07">
            <w:pPr>
              <w:pStyle w:val="BodyA"/>
              <w:spacing w:after="0" w:line="360" w:lineRule="auto"/>
              <w:jc w:val="center"/>
              <w:rPr>
                <w:sz w:val="20"/>
                <w:szCs w:val="20"/>
              </w:rPr>
            </w:pPr>
            <w:r w:rsidRPr="00CD14C8">
              <w:rPr>
                <w:sz w:val="20"/>
                <w:szCs w:val="20"/>
                <w:lang w:val="en-US"/>
              </w:rPr>
              <w:t>4.6 (22.3)</w:t>
            </w:r>
          </w:p>
        </w:tc>
        <w:tc>
          <w:tcPr>
            <w:tcW w:w="795" w:type="pct"/>
            <w:tcBorders>
              <w:top w:val="nil"/>
              <w:left w:val="nil"/>
              <w:bottom w:val="nil"/>
              <w:right w:val="single" w:sz="12" w:space="0" w:color="000000"/>
            </w:tcBorders>
            <w:shd w:val="clear" w:color="auto" w:fill="D9D9D9"/>
            <w:tcMar>
              <w:top w:w="80" w:type="dxa"/>
              <w:left w:w="80" w:type="dxa"/>
              <w:bottom w:w="80" w:type="dxa"/>
              <w:right w:w="80" w:type="dxa"/>
            </w:tcMar>
            <w:vAlign w:val="center"/>
          </w:tcPr>
          <w:p w14:paraId="62292908" w14:textId="77777777" w:rsidR="00AC0FDB" w:rsidRPr="00CD14C8" w:rsidRDefault="00AC0FDB" w:rsidP="00724A07">
            <w:pPr>
              <w:pStyle w:val="BodyA"/>
              <w:spacing w:after="0" w:line="360" w:lineRule="auto"/>
              <w:jc w:val="center"/>
              <w:rPr>
                <w:sz w:val="20"/>
                <w:szCs w:val="20"/>
              </w:rPr>
            </w:pPr>
            <w:r w:rsidRPr="00CD14C8">
              <w:rPr>
                <w:sz w:val="20"/>
                <w:szCs w:val="20"/>
                <w:lang w:val="en-US"/>
              </w:rPr>
              <w:t>0.13</w:t>
            </w:r>
          </w:p>
        </w:tc>
      </w:tr>
      <w:tr w:rsidR="00AC0FDB" w14:paraId="32B8ED54" w14:textId="77777777" w:rsidTr="00FD2D3D">
        <w:trPr>
          <w:trHeight w:val="680"/>
        </w:trPr>
        <w:tc>
          <w:tcPr>
            <w:tcW w:w="1349" w:type="pct"/>
            <w:tcBorders>
              <w:top w:val="nil"/>
              <w:left w:val="single" w:sz="12" w:space="0" w:color="000000"/>
              <w:bottom w:val="nil"/>
              <w:right w:val="nil"/>
            </w:tcBorders>
            <w:shd w:val="clear" w:color="auto" w:fill="D9D9D9"/>
            <w:tcMar>
              <w:top w:w="80" w:type="dxa"/>
              <w:left w:w="80" w:type="dxa"/>
              <w:bottom w:w="80" w:type="dxa"/>
              <w:right w:w="80" w:type="dxa"/>
            </w:tcMar>
            <w:vAlign w:val="center"/>
          </w:tcPr>
          <w:p w14:paraId="11A7BDCE" w14:textId="77777777" w:rsidR="00AC0FDB" w:rsidRPr="00CD14C8" w:rsidRDefault="00AC0FDB" w:rsidP="00724A07">
            <w:pPr>
              <w:pStyle w:val="BodyA"/>
              <w:spacing w:after="0"/>
              <w:rPr>
                <w:sz w:val="20"/>
                <w:szCs w:val="20"/>
              </w:rPr>
            </w:pPr>
            <w:r w:rsidRPr="00CD14C8">
              <w:rPr>
                <w:b/>
                <w:bCs/>
                <w:sz w:val="20"/>
                <w:szCs w:val="20"/>
                <w:lang w:val="en-US"/>
              </w:rPr>
              <w:t>eGFR(</w:t>
            </w:r>
            <w:proofErr w:type="spellStart"/>
            <w:r w:rsidRPr="00CD14C8">
              <w:rPr>
                <w:b/>
                <w:bCs/>
                <w:sz w:val="20"/>
                <w:szCs w:val="20"/>
                <w:lang w:val="en-US"/>
              </w:rPr>
              <w:t>mls</w:t>
            </w:r>
            <w:proofErr w:type="spellEnd"/>
            <w:r w:rsidRPr="00CD14C8">
              <w:rPr>
                <w:b/>
                <w:bCs/>
                <w:sz w:val="20"/>
                <w:szCs w:val="20"/>
                <w:lang w:val="en-US"/>
              </w:rPr>
              <w:t>/min/1.73m</w:t>
            </w:r>
            <w:r w:rsidRPr="00CD14C8">
              <w:rPr>
                <w:b/>
                <w:bCs/>
                <w:sz w:val="20"/>
                <w:szCs w:val="20"/>
                <w:vertAlign w:val="superscript"/>
                <w:lang w:val="en-US"/>
              </w:rPr>
              <w:t>2</w:t>
            </w:r>
            <w:r w:rsidRPr="00CD14C8">
              <w:rPr>
                <w:b/>
                <w:bCs/>
                <w:sz w:val="20"/>
                <w:szCs w:val="20"/>
                <w:lang w:val="en-US"/>
              </w:rPr>
              <w:t>)</w:t>
            </w:r>
          </w:p>
        </w:tc>
        <w:tc>
          <w:tcPr>
            <w:tcW w:w="635" w:type="pct"/>
            <w:tcBorders>
              <w:top w:val="nil"/>
              <w:left w:val="nil"/>
              <w:bottom w:val="nil"/>
              <w:right w:val="nil"/>
            </w:tcBorders>
            <w:shd w:val="clear" w:color="auto" w:fill="D9D9D9"/>
            <w:tcMar>
              <w:top w:w="80" w:type="dxa"/>
              <w:left w:w="80" w:type="dxa"/>
              <w:bottom w:w="80" w:type="dxa"/>
              <w:right w:w="80" w:type="dxa"/>
            </w:tcMar>
            <w:vAlign w:val="center"/>
          </w:tcPr>
          <w:p w14:paraId="6B29329E" w14:textId="77777777" w:rsidR="00AC0FDB" w:rsidRPr="00CD14C8" w:rsidRDefault="00AC0FDB" w:rsidP="00724A07">
            <w:pPr>
              <w:pStyle w:val="BodyA"/>
              <w:spacing w:after="0" w:line="360" w:lineRule="auto"/>
              <w:jc w:val="center"/>
              <w:rPr>
                <w:sz w:val="20"/>
                <w:szCs w:val="20"/>
              </w:rPr>
            </w:pPr>
            <w:r w:rsidRPr="00CD14C8">
              <w:rPr>
                <w:sz w:val="20"/>
                <w:szCs w:val="20"/>
                <w:lang w:val="en-US"/>
              </w:rPr>
              <w:t>-</w:t>
            </w:r>
          </w:p>
        </w:tc>
        <w:tc>
          <w:tcPr>
            <w:tcW w:w="714" w:type="pct"/>
            <w:tcBorders>
              <w:top w:val="nil"/>
              <w:left w:val="nil"/>
              <w:bottom w:val="nil"/>
              <w:right w:val="nil"/>
            </w:tcBorders>
            <w:shd w:val="clear" w:color="auto" w:fill="D9D9D9"/>
            <w:tcMar>
              <w:top w:w="80" w:type="dxa"/>
              <w:left w:w="80" w:type="dxa"/>
              <w:bottom w:w="80" w:type="dxa"/>
              <w:right w:w="80" w:type="dxa"/>
            </w:tcMar>
            <w:vAlign w:val="center"/>
          </w:tcPr>
          <w:p w14:paraId="2687CCBD" w14:textId="77777777" w:rsidR="00AC0FDB" w:rsidRPr="00CD14C8" w:rsidRDefault="00AC0FDB" w:rsidP="00724A07">
            <w:pPr>
              <w:pStyle w:val="BodyA"/>
              <w:spacing w:after="0" w:line="360" w:lineRule="auto"/>
              <w:jc w:val="center"/>
              <w:rPr>
                <w:sz w:val="20"/>
                <w:szCs w:val="20"/>
              </w:rPr>
            </w:pPr>
            <w:r w:rsidRPr="00CD14C8">
              <w:rPr>
                <w:sz w:val="20"/>
                <w:szCs w:val="20"/>
                <w:lang w:val="en-US"/>
              </w:rPr>
              <w:t>73 (13.9)</w:t>
            </w:r>
          </w:p>
        </w:tc>
        <w:tc>
          <w:tcPr>
            <w:tcW w:w="793" w:type="pct"/>
            <w:tcBorders>
              <w:top w:val="nil"/>
              <w:left w:val="nil"/>
              <w:bottom w:val="nil"/>
              <w:right w:val="nil"/>
            </w:tcBorders>
            <w:shd w:val="clear" w:color="auto" w:fill="D9D9D9"/>
            <w:tcMar>
              <w:top w:w="80" w:type="dxa"/>
              <w:left w:w="80" w:type="dxa"/>
              <w:bottom w:w="80" w:type="dxa"/>
              <w:right w:w="80" w:type="dxa"/>
            </w:tcMar>
            <w:vAlign w:val="center"/>
          </w:tcPr>
          <w:p w14:paraId="42C63385" w14:textId="77777777" w:rsidR="00AC0FDB" w:rsidRPr="00CD14C8" w:rsidRDefault="00AC0FDB" w:rsidP="00724A07">
            <w:pPr>
              <w:pStyle w:val="BodyA"/>
              <w:spacing w:after="0" w:line="360" w:lineRule="auto"/>
              <w:jc w:val="center"/>
              <w:rPr>
                <w:sz w:val="20"/>
                <w:szCs w:val="20"/>
              </w:rPr>
            </w:pPr>
            <w:r w:rsidRPr="00CD14C8">
              <w:rPr>
                <w:sz w:val="20"/>
                <w:szCs w:val="20"/>
                <w:lang w:val="en-US"/>
              </w:rPr>
              <w:t>68.1 (20.1)</w:t>
            </w:r>
          </w:p>
        </w:tc>
        <w:tc>
          <w:tcPr>
            <w:tcW w:w="714" w:type="pct"/>
            <w:tcBorders>
              <w:top w:val="nil"/>
              <w:left w:val="nil"/>
              <w:bottom w:val="nil"/>
              <w:right w:val="nil"/>
            </w:tcBorders>
            <w:shd w:val="clear" w:color="auto" w:fill="D9D9D9"/>
            <w:tcMar>
              <w:top w:w="80" w:type="dxa"/>
              <w:left w:w="80" w:type="dxa"/>
              <w:bottom w:w="80" w:type="dxa"/>
              <w:right w:w="80" w:type="dxa"/>
            </w:tcMar>
            <w:vAlign w:val="center"/>
          </w:tcPr>
          <w:p w14:paraId="48B34C62" w14:textId="77777777" w:rsidR="00AC0FDB" w:rsidRPr="00CD14C8" w:rsidRDefault="00AC0FDB" w:rsidP="00724A07">
            <w:pPr>
              <w:pStyle w:val="BodyA"/>
              <w:spacing w:after="0" w:line="360" w:lineRule="auto"/>
              <w:jc w:val="center"/>
              <w:rPr>
                <w:sz w:val="20"/>
                <w:szCs w:val="20"/>
              </w:rPr>
            </w:pPr>
            <w:r w:rsidRPr="00CD14C8">
              <w:rPr>
                <w:sz w:val="20"/>
                <w:szCs w:val="20"/>
                <w:lang w:val="en-US"/>
              </w:rPr>
              <w:t>61.6 (19.6)</w:t>
            </w:r>
          </w:p>
        </w:tc>
        <w:tc>
          <w:tcPr>
            <w:tcW w:w="795" w:type="pct"/>
            <w:tcBorders>
              <w:top w:val="nil"/>
              <w:left w:val="nil"/>
              <w:bottom w:val="nil"/>
              <w:right w:val="single" w:sz="12" w:space="0" w:color="000000"/>
            </w:tcBorders>
            <w:shd w:val="clear" w:color="auto" w:fill="D9D9D9"/>
            <w:tcMar>
              <w:top w:w="80" w:type="dxa"/>
              <w:left w:w="80" w:type="dxa"/>
              <w:bottom w:w="80" w:type="dxa"/>
              <w:right w:w="80" w:type="dxa"/>
            </w:tcMar>
            <w:vAlign w:val="center"/>
          </w:tcPr>
          <w:p w14:paraId="218627FE" w14:textId="77777777" w:rsidR="00AC0FDB" w:rsidRPr="00CD14C8" w:rsidRDefault="00AC0FDB" w:rsidP="00724A07">
            <w:pPr>
              <w:pStyle w:val="BodyA"/>
              <w:spacing w:after="0" w:line="360" w:lineRule="auto"/>
              <w:jc w:val="center"/>
              <w:rPr>
                <w:sz w:val="20"/>
                <w:szCs w:val="20"/>
              </w:rPr>
            </w:pPr>
            <w:r w:rsidRPr="00CD14C8">
              <w:rPr>
                <w:sz w:val="20"/>
                <w:szCs w:val="20"/>
                <w:lang w:val="en-US"/>
              </w:rPr>
              <w:t>0.30</w:t>
            </w:r>
          </w:p>
        </w:tc>
      </w:tr>
      <w:tr w:rsidR="00AC0FDB" w14:paraId="6351E5B3" w14:textId="77777777" w:rsidTr="00FD2D3D">
        <w:trPr>
          <w:trHeight w:val="789"/>
        </w:trPr>
        <w:tc>
          <w:tcPr>
            <w:tcW w:w="5000" w:type="pct"/>
            <w:gridSpan w:val="6"/>
            <w:tcBorders>
              <w:top w:val="nil"/>
              <w:left w:val="single" w:sz="12" w:space="0" w:color="000000"/>
              <w:bottom w:val="single" w:sz="12" w:space="0" w:color="000000"/>
              <w:right w:val="single" w:sz="12" w:space="0" w:color="000000"/>
            </w:tcBorders>
            <w:shd w:val="clear" w:color="auto" w:fill="D9D9D9"/>
            <w:tcMar>
              <w:top w:w="80" w:type="dxa"/>
              <w:left w:w="80" w:type="dxa"/>
              <w:bottom w:w="80" w:type="dxa"/>
              <w:right w:w="80" w:type="dxa"/>
            </w:tcMar>
            <w:vAlign w:val="center"/>
          </w:tcPr>
          <w:p w14:paraId="7B756FE0" w14:textId="77777777" w:rsidR="00AC0FDB" w:rsidRDefault="00AC0FDB" w:rsidP="00724A07">
            <w:pPr>
              <w:pStyle w:val="BodyA"/>
              <w:spacing w:after="0"/>
              <w:jc w:val="both"/>
            </w:pPr>
            <w:r>
              <w:rPr>
                <w:lang w:val="en-US"/>
              </w:rPr>
              <w:t>* non parametric values</w:t>
            </w:r>
          </w:p>
        </w:tc>
      </w:tr>
    </w:tbl>
    <w:p w14:paraId="57E5F1A5" w14:textId="77777777" w:rsidR="00AC0FDB" w:rsidRDefault="00AC0FDB" w:rsidP="00AC0FDB">
      <w:pPr>
        <w:pStyle w:val="BodyA"/>
        <w:widowControl w:val="0"/>
        <w:spacing w:after="0"/>
        <w:ind w:left="216" w:hanging="216"/>
        <w:rPr>
          <w:rFonts w:ascii="Calibri" w:eastAsia="Calibri" w:hAnsi="Calibri" w:cs="Calibri"/>
        </w:rPr>
      </w:pPr>
    </w:p>
    <w:p w14:paraId="2B743D2E" w14:textId="77777777" w:rsidR="00AC0FDB" w:rsidRDefault="00AC0FDB" w:rsidP="00AC0FDB">
      <w:pPr>
        <w:pStyle w:val="BodyA"/>
        <w:widowControl w:val="0"/>
        <w:spacing w:after="0"/>
        <w:ind w:left="108" w:hanging="108"/>
        <w:rPr>
          <w:rFonts w:ascii="Calibri" w:eastAsia="Calibri" w:hAnsi="Calibri" w:cs="Calibri"/>
        </w:rPr>
      </w:pPr>
    </w:p>
    <w:p w14:paraId="255BD951" w14:textId="77777777" w:rsidR="00AC0FDB" w:rsidRDefault="00AC0FDB" w:rsidP="00AC0FDB">
      <w:pPr>
        <w:pStyle w:val="BodyA"/>
        <w:spacing w:after="0"/>
        <w:jc w:val="both"/>
        <w:rPr>
          <w:rFonts w:ascii="Calibri" w:eastAsia="Calibri" w:hAnsi="Calibri" w:cs="Calibri"/>
        </w:rPr>
      </w:pPr>
    </w:p>
    <w:p w14:paraId="4FACB677" w14:textId="77777777" w:rsidR="00AC0FDB" w:rsidRDefault="00AC0FDB" w:rsidP="00AC0FDB">
      <w:pPr>
        <w:pStyle w:val="BodyA"/>
        <w:spacing w:after="0" w:line="360" w:lineRule="auto"/>
        <w:jc w:val="both"/>
        <w:rPr>
          <w:rFonts w:ascii="Calibri" w:eastAsia="Calibri" w:hAnsi="Calibri" w:cs="Calibri"/>
        </w:rPr>
      </w:pPr>
    </w:p>
    <w:p w14:paraId="2FE0DC5B" w14:textId="6D66758D" w:rsidR="00AC0FDB" w:rsidRDefault="00AC0FDB" w:rsidP="00AC0FDB">
      <w:pPr>
        <w:pStyle w:val="BodyA"/>
        <w:spacing w:after="0" w:line="480" w:lineRule="auto"/>
        <w:jc w:val="both"/>
        <w:rPr>
          <w:rFonts w:ascii="Calibri" w:eastAsia="Calibri" w:hAnsi="Calibri" w:cs="Calibri"/>
        </w:rPr>
      </w:pPr>
      <w:r>
        <w:rPr>
          <w:rFonts w:ascii="Calibri" w:eastAsia="Calibri" w:hAnsi="Calibri" w:cs="Calibri"/>
          <w:lang w:val="en-US"/>
        </w:rPr>
        <w:lastRenderedPageBreak/>
        <w:t xml:space="preserve">Table 5.2 shows clinical, neurophysiological, quantitative sensory testing and skin biopsy data of the different groups. As expected, the </w:t>
      </w:r>
      <w:proofErr w:type="spellStart"/>
      <w:r>
        <w:rPr>
          <w:rFonts w:ascii="Calibri" w:eastAsia="Calibri" w:hAnsi="Calibri" w:cs="Calibri"/>
          <w:lang w:val="en-US"/>
        </w:rPr>
        <w:t>DPN</w:t>
      </w:r>
      <w:proofErr w:type="spellEnd"/>
      <w:r>
        <w:rPr>
          <w:rFonts w:ascii="Calibri" w:eastAsia="Calibri" w:hAnsi="Calibri" w:cs="Calibri"/>
          <w:lang w:val="en-US"/>
        </w:rPr>
        <w:t xml:space="preserve"> groups has significantly higher NISLL+7 scores compared to the No </w:t>
      </w:r>
      <w:proofErr w:type="spellStart"/>
      <w:r>
        <w:rPr>
          <w:rFonts w:ascii="Calibri" w:eastAsia="Calibri" w:hAnsi="Calibri" w:cs="Calibri"/>
          <w:lang w:val="en-US"/>
        </w:rPr>
        <w:t>DPN</w:t>
      </w:r>
      <w:proofErr w:type="spellEnd"/>
      <w:r>
        <w:rPr>
          <w:rFonts w:ascii="Calibri" w:eastAsia="Calibri" w:hAnsi="Calibri" w:cs="Calibri"/>
          <w:lang w:val="en-US"/>
        </w:rPr>
        <w:t xml:space="preserve"> (T2DM without neuropathy) and </w:t>
      </w:r>
      <w:proofErr w:type="spellStart"/>
      <w:r>
        <w:rPr>
          <w:rFonts w:ascii="Calibri" w:eastAsia="Calibri" w:hAnsi="Calibri" w:cs="Calibri"/>
          <w:lang w:val="en-US"/>
        </w:rPr>
        <w:t>HV</w:t>
      </w:r>
      <w:proofErr w:type="spellEnd"/>
      <w:r>
        <w:rPr>
          <w:rFonts w:ascii="Calibri" w:eastAsia="Calibri" w:hAnsi="Calibri" w:cs="Calibri"/>
          <w:lang w:val="en-US"/>
        </w:rPr>
        <w:t xml:space="preserve">. The </w:t>
      </w:r>
      <w:r w:rsidR="003B1445">
        <w:rPr>
          <w:rFonts w:ascii="Calibri" w:eastAsia="Calibri" w:hAnsi="Calibri" w:cs="Calibri"/>
          <w:lang w:val="en-US"/>
        </w:rPr>
        <w:t>p</w:t>
      </w:r>
      <w:r>
        <w:rPr>
          <w:rFonts w:ascii="Calibri" w:eastAsia="Calibri" w:hAnsi="Calibri" w:cs="Calibri"/>
          <w:lang w:val="en-US"/>
        </w:rPr>
        <w:t xml:space="preserve">ainful </w:t>
      </w:r>
      <w:proofErr w:type="spellStart"/>
      <w:r>
        <w:rPr>
          <w:rFonts w:ascii="Calibri" w:eastAsia="Calibri" w:hAnsi="Calibri" w:cs="Calibri"/>
          <w:lang w:val="en-US"/>
        </w:rPr>
        <w:t>DPN</w:t>
      </w:r>
      <w:proofErr w:type="spellEnd"/>
      <w:r>
        <w:rPr>
          <w:rFonts w:ascii="Calibri" w:eastAsia="Calibri" w:hAnsi="Calibri" w:cs="Calibri"/>
          <w:lang w:val="en-US"/>
        </w:rPr>
        <w:t xml:space="preserve"> group had higher NISLL+7 score compared to </w:t>
      </w:r>
      <w:r w:rsidR="003B1445">
        <w:rPr>
          <w:rFonts w:ascii="Calibri" w:eastAsia="Calibri" w:hAnsi="Calibri" w:cs="Calibri"/>
          <w:lang w:val="en-US"/>
        </w:rPr>
        <w:t>p</w:t>
      </w:r>
      <w:r>
        <w:rPr>
          <w:rFonts w:ascii="Calibri" w:eastAsia="Calibri" w:hAnsi="Calibri" w:cs="Calibri"/>
          <w:lang w:val="en-US"/>
        </w:rPr>
        <w:t xml:space="preserve">ainless </w:t>
      </w:r>
      <w:proofErr w:type="spellStart"/>
      <w:r>
        <w:rPr>
          <w:rFonts w:ascii="Calibri" w:eastAsia="Calibri" w:hAnsi="Calibri" w:cs="Calibri"/>
          <w:lang w:val="en-US"/>
        </w:rPr>
        <w:t>DPN</w:t>
      </w:r>
      <w:proofErr w:type="spellEnd"/>
      <w:r>
        <w:rPr>
          <w:rFonts w:ascii="Calibri" w:eastAsia="Calibri" w:hAnsi="Calibri" w:cs="Calibri"/>
          <w:lang w:val="en-US"/>
        </w:rPr>
        <w:t xml:space="preserve"> group. This is in line with recent published data from Pain in Neuropathy Study (</w:t>
      </w:r>
      <w:proofErr w:type="spellStart"/>
      <w:r>
        <w:rPr>
          <w:rFonts w:ascii="Calibri" w:eastAsia="Calibri" w:hAnsi="Calibri" w:cs="Calibri"/>
          <w:lang w:val="en-US"/>
        </w:rPr>
        <w:t>PiNS</w:t>
      </w:r>
      <w:proofErr w:type="spellEnd"/>
      <w:r>
        <w:rPr>
          <w:rFonts w:ascii="Calibri" w:eastAsia="Calibri" w:hAnsi="Calibri" w:cs="Calibri"/>
          <w:lang w:val="en-US"/>
        </w:rPr>
        <w:t xml:space="preserve">), which was a pain phenotyping study with a larger cohort of patients  and also found painful </w:t>
      </w:r>
      <w:proofErr w:type="spellStart"/>
      <w:r>
        <w:rPr>
          <w:rFonts w:ascii="Calibri" w:eastAsia="Calibri" w:hAnsi="Calibri" w:cs="Calibri"/>
          <w:lang w:val="en-US"/>
        </w:rPr>
        <w:t>DPN</w:t>
      </w:r>
      <w:proofErr w:type="spellEnd"/>
      <w:r>
        <w:rPr>
          <w:rFonts w:ascii="Calibri" w:eastAsia="Calibri" w:hAnsi="Calibri" w:cs="Calibri"/>
          <w:lang w:val="en-US"/>
        </w:rPr>
        <w:t xml:space="preserve"> group had higher neuropathy scores compared to painless </w:t>
      </w:r>
      <w:proofErr w:type="spellStart"/>
      <w:r>
        <w:rPr>
          <w:rFonts w:ascii="Calibri" w:eastAsia="Calibri" w:hAnsi="Calibri" w:cs="Calibri"/>
          <w:lang w:val="en-US"/>
        </w:rPr>
        <w:t>DPN</w:t>
      </w:r>
      <w:proofErr w:type="spellEnd"/>
      <w:r>
        <w:rPr>
          <w:rFonts w:ascii="Calibri" w:eastAsia="Calibri" w:hAnsi="Calibri" w:cs="Calibri"/>
          <w:lang w:val="en-US"/>
        </w:rPr>
        <w:t xml:space="preserve"> </w:t>
      </w:r>
      <w:r>
        <w:rPr>
          <w:rFonts w:ascii="Calibri" w:eastAsia="Calibri" w:hAnsi="Calibri" w:cs="Calibri"/>
          <w:lang w:val="en-US"/>
        </w:rPr>
        <w:fldChar w:fldCharType="begin"/>
      </w:r>
      <w:r>
        <w:rPr>
          <w:rFonts w:ascii="Calibri" w:eastAsia="Calibri" w:hAnsi="Calibri" w:cs="Calibri"/>
          <w:lang w:val="en-US"/>
        </w:rPr>
        <w:instrText xml:space="preserve"> ADDIN EN.CITE &lt;EndNote&gt;&lt;Cite  &gt;&lt;Author&gt;Themistocleous&lt;/Author&gt;&lt;Year&gt;2016&lt;/Year&gt;&lt;RecNum&gt;537&lt;/RecNum&gt;&lt;DisplayText&gt;(Themistocleous et al., 2016)&lt;/DisplayText&gt;&lt;record&gt;&lt;dates&gt;&lt;pub-dates&gt;&lt;date&gt;May&lt;/date&gt;&lt;/pub-dates&gt;&lt;year&gt;2016&lt;/year&gt;&lt;/dates&gt;&lt;keywords&gt;&lt;keyword&gt;Aged&lt;/keyword&gt;&lt;keyword&gt;Cross-Sectional Studies&lt;/keyword&gt;&lt;keyword&gt;Diabetic Neuropathies&lt;/keyword&gt;&lt;keyword&gt;Electric Stimulation&lt;/keyword&gt;&lt;keyword&gt;Female&lt;/keyword&gt;&lt;keyword&gt;Humans&lt;/keyword&gt;&lt;keyword&gt;Male&lt;/keyword&gt;&lt;keyword&gt;Middle Aged&lt;/keyword&gt;&lt;keyword&gt;Nerve Fibers&lt;/keyword&gt;&lt;keyword&gt;Neural Conduction&lt;/keyword&gt;&lt;keyword&gt;Neuralgia&lt;/keyword&gt;&lt;keyword&gt;Neurologic Examination&lt;/keyword&gt;&lt;keyword&gt;Phenotype&lt;/keyword&gt;&lt;keyword&gt;Sensation&lt;/keyword&gt;&lt;keyword&gt;Severity of Illness Index&lt;/keyword&gt;&lt;keyword&gt;Skin&lt;/keyword&gt;&lt;keyword&gt;Surveys and Questionnaires&lt;/keyword&gt;&lt;/keywords&gt;&lt;urls&gt;&lt;related-urls&gt;&lt;url&gt;https://www.ncbi.nlm.nih.gov/pubmed/27088890&lt;/url&gt;&lt;/related-urls&gt;&lt;/urls&gt;&lt;isbn&gt;1872-6623&lt;/isbn&gt;&lt;custom2&gt;PMC4834814&lt;/custom2&gt;&lt;titles&gt;&lt;title&gt;The Pain in Neuropathy Study (PiNS): a cross-sectional observational study determining the somatosensory phenotype of painful and painless diabetic neuropathy&lt;/title&gt;&lt;secondary-title&gt;Pain&lt;/secondary-title&gt;&lt;/titles&gt;&lt;pages&gt;1132-45&lt;/pages&gt;&lt;number&gt;5&lt;/number&gt;&lt;contributors&gt;&lt;authors&gt;&lt;author&gt;Themistocleous, A. C.&lt;/author&gt;&lt;author&gt;Ramirez, J. D.&lt;/author&gt;&lt;author&gt;Shillo, P. R.&lt;/author&gt;&lt;author&gt;Lees, J. G.&lt;/author&gt;&lt;author&gt;Selvarajah, D.&lt;/author&gt;&lt;author&gt;Orengo, C.&lt;/author&gt;&lt;author&gt;Tesfaye, S.&lt;/author&gt;&lt;author&gt;Rice, A. S.&lt;/author&gt;&lt;author&gt;Bennett, D. L.&lt;/author&gt;&lt;/authors&gt;&lt;/contributors&gt;&lt;language&gt;eng&lt;/language&gt;&lt;added-date format="utc"&gt;1511396470&lt;/added-date&gt;&lt;ref-type name="Journal Article"&gt;17&lt;/ref-type&gt;&lt;rec-number&gt;537&lt;/rec-number&gt;&lt;last-updated-date format="utc"&gt;1511396470&lt;/last-updated-date&gt;&lt;accession-num&gt;27088890&lt;/accession-num&gt;&lt;electronic-resource-num&gt;10.1097/j.pain.0000000000000491&lt;/electronic-resource-num&gt;&lt;volume&gt;157&lt;/volume&gt;&lt;/record&gt;&lt;/Cite&gt;&lt;/EndNote&gt;</w:instrText>
      </w:r>
      <w:r>
        <w:rPr>
          <w:rFonts w:ascii="Calibri" w:eastAsia="Calibri" w:hAnsi="Calibri" w:cs="Calibri"/>
          <w:lang w:val="en-US"/>
        </w:rPr>
        <w:fldChar w:fldCharType="separate"/>
      </w:r>
      <w:r>
        <w:rPr>
          <w:rFonts w:ascii="Calibri" w:eastAsia="Calibri" w:hAnsi="Calibri" w:cs="Calibri"/>
          <w:lang w:val="en-US"/>
        </w:rPr>
        <w:t>(Themistocleous et al., 2016)</w:t>
      </w:r>
      <w:r>
        <w:rPr>
          <w:rFonts w:ascii="Calibri" w:eastAsia="Calibri" w:hAnsi="Calibri" w:cs="Calibri"/>
          <w:lang w:val="en-US"/>
        </w:rPr>
        <w:fldChar w:fldCharType="end"/>
      </w:r>
      <w:r>
        <w:rPr>
          <w:rFonts w:ascii="Calibri" w:eastAsia="Calibri" w:hAnsi="Calibri" w:cs="Calibri"/>
          <w:lang w:val="en-US"/>
        </w:rPr>
        <w:t xml:space="preserve">.   The DN4 score and 24-hour numeric rating scale (NRS) pain score was significantly higher in the </w:t>
      </w:r>
      <w:r w:rsidR="003B1445">
        <w:rPr>
          <w:rFonts w:ascii="Calibri" w:eastAsia="Calibri" w:hAnsi="Calibri" w:cs="Calibri"/>
          <w:lang w:val="en-US"/>
        </w:rPr>
        <w:t>p</w:t>
      </w:r>
      <w:r>
        <w:rPr>
          <w:rFonts w:ascii="Calibri" w:eastAsia="Calibri" w:hAnsi="Calibri" w:cs="Calibri"/>
          <w:lang w:val="en-US"/>
        </w:rPr>
        <w:t xml:space="preserve">ainful </w:t>
      </w:r>
      <w:proofErr w:type="spellStart"/>
      <w:r>
        <w:rPr>
          <w:rFonts w:ascii="Calibri" w:eastAsia="Calibri" w:hAnsi="Calibri" w:cs="Calibri"/>
          <w:lang w:val="en-US"/>
        </w:rPr>
        <w:t>DPN</w:t>
      </w:r>
      <w:proofErr w:type="spellEnd"/>
      <w:r>
        <w:rPr>
          <w:rFonts w:ascii="Calibri" w:eastAsia="Calibri" w:hAnsi="Calibri" w:cs="Calibri"/>
          <w:lang w:val="en-US"/>
        </w:rPr>
        <w:t xml:space="preserve"> group compared to all the other groups (p&lt;0.01). Cooling detection threshold (CDT) was significantly lower in painful- compared to painless</w:t>
      </w:r>
      <w:r w:rsidR="003B1445">
        <w:rPr>
          <w:rFonts w:ascii="Calibri" w:eastAsia="Calibri" w:hAnsi="Calibri" w:cs="Calibri"/>
          <w:lang w:val="en-US"/>
        </w:rPr>
        <w:t xml:space="preserve"> </w:t>
      </w:r>
      <w:proofErr w:type="spellStart"/>
      <w:r>
        <w:rPr>
          <w:rFonts w:ascii="Calibri" w:eastAsia="Calibri" w:hAnsi="Calibri" w:cs="Calibri"/>
          <w:lang w:val="en-US"/>
        </w:rPr>
        <w:t>DPN</w:t>
      </w:r>
      <w:proofErr w:type="spellEnd"/>
      <w:r>
        <w:rPr>
          <w:rFonts w:ascii="Calibri" w:eastAsia="Calibri" w:hAnsi="Calibri" w:cs="Calibri"/>
          <w:lang w:val="en-US"/>
        </w:rPr>
        <w:t xml:space="preserve"> (p&lt;0.01). There were significant abnormalities in thermal sensory limen (</w:t>
      </w:r>
      <w:proofErr w:type="spellStart"/>
      <w:r>
        <w:rPr>
          <w:rFonts w:ascii="Calibri" w:eastAsia="Calibri" w:hAnsi="Calibri" w:cs="Calibri"/>
          <w:lang w:val="en-US"/>
        </w:rPr>
        <w:t>TSL</w:t>
      </w:r>
      <w:proofErr w:type="spellEnd"/>
      <w:r>
        <w:rPr>
          <w:rFonts w:ascii="Calibri" w:eastAsia="Calibri" w:hAnsi="Calibri" w:cs="Calibri"/>
          <w:lang w:val="en-US"/>
        </w:rPr>
        <w:t>), foot ESC and warm detection threshold (</w:t>
      </w:r>
      <w:proofErr w:type="spellStart"/>
      <w:r>
        <w:rPr>
          <w:rFonts w:ascii="Calibri" w:eastAsia="Calibri" w:hAnsi="Calibri" w:cs="Calibri"/>
          <w:lang w:val="en-US"/>
        </w:rPr>
        <w:t>WDT</w:t>
      </w:r>
      <w:proofErr w:type="spellEnd"/>
      <w:r>
        <w:rPr>
          <w:rFonts w:ascii="Calibri" w:eastAsia="Calibri" w:hAnsi="Calibri" w:cs="Calibri"/>
          <w:lang w:val="en-US"/>
        </w:rPr>
        <w:t xml:space="preserve">) in subjects with </w:t>
      </w:r>
      <w:proofErr w:type="spellStart"/>
      <w:r>
        <w:rPr>
          <w:rFonts w:ascii="Calibri" w:eastAsia="Calibri" w:hAnsi="Calibri" w:cs="Calibri"/>
          <w:lang w:val="en-US"/>
        </w:rPr>
        <w:t>DPN</w:t>
      </w:r>
      <w:proofErr w:type="spellEnd"/>
      <w:r>
        <w:rPr>
          <w:rFonts w:ascii="Calibri" w:eastAsia="Calibri" w:hAnsi="Calibri" w:cs="Calibri"/>
          <w:lang w:val="en-US"/>
        </w:rPr>
        <w:t xml:space="preserve"> (p&lt;0.01) compared to no-</w:t>
      </w:r>
      <w:proofErr w:type="spellStart"/>
      <w:r>
        <w:rPr>
          <w:rFonts w:ascii="Calibri" w:eastAsia="Calibri" w:hAnsi="Calibri" w:cs="Calibri"/>
          <w:lang w:val="en-US"/>
        </w:rPr>
        <w:t>DPN</w:t>
      </w:r>
      <w:proofErr w:type="spellEnd"/>
      <w:r>
        <w:rPr>
          <w:rFonts w:ascii="Calibri" w:eastAsia="Calibri" w:hAnsi="Calibri" w:cs="Calibri"/>
          <w:lang w:val="en-US"/>
        </w:rPr>
        <w:t xml:space="preserve"> and </w:t>
      </w:r>
      <w:proofErr w:type="spellStart"/>
      <w:r>
        <w:rPr>
          <w:rFonts w:ascii="Calibri" w:eastAsia="Calibri" w:hAnsi="Calibri" w:cs="Calibri"/>
          <w:lang w:val="en-US"/>
        </w:rPr>
        <w:t>HV</w:t>
      </w:r>
      <w:proofErr w:type="spellEnd"/>
      <w:r>
        <w:rPr>
          <w:rFonts w:ascii="Calibri" w:eastAsia="Calibri" w:hAnsi="Calibri" w:cs="Calibri"/>
          <w:lang w:val="en-US"/>
        </w:rPr>
        <w:t>, with no differences found between painful</w:t>
      </w:r>
      <w:r w:rsidR="003B1445">
        <w:rPr>
          <w:rFonts w:ascii="Calibri" w:eastAsia="Calibri" w:hAnsi="Calibri" w:cs="Calibri"/>
          <w:lang w:val="en-US"/>
        </w:rPr>
        <w:t xml:space="preserve"> </w:t>
      </w:r>
      <w:r>
        <w:rPr>
          <w:rFonts w:ascii="Calibri" w:eastAsia="Calibri" w:hAnsi="Calibri" w:cs="Calibri"/>
          <w:lang w:val="en-US"/>
        </w:rPr>
        <w:t>and painless</w:t>
      </w:r>
      <w:r w:rsidR="003B1445">
        <w:rPr>
          <w:rFonts w:ascii="Calibri" w:eastAsia="Calibri" w:hAnsi="Calibri" w:cs="Calibri"/>
          <w:lang w:val="en-US"/>
        </w:rPr>
        <w:t xml:space="preserve"> </w:t>
      </w:r>
      <w:proofErr w:type="spellStart"/>
      <w:r>
        <w:rPr>
          <w:rFonts w:ascii="Calibri" w:eastAsia="Calibri" w:hAnsi="Calibri" w:cs="Calibri"/>
          <w:lang w:val="en-US"/>
        </w:rPr>
        <w:t>DPN</w:t>
      </w:r>
      <w:proofErr w:type="spellEnd"/>
      <w:r>
        <w:rPr>
          <w:rFonts w:ascii="Calibri" w:eastAsia="Calibri" w:hAnsi="Calibri" w:cs="Calibri"/>
          <w:lang w:val="en-US"/>
        </w:rPr>
        <w:t xml:space="preserve"> groups.</w:t>
      </w:r>
    </w:p>
    <w:p w14:paraId="7648CE82" w14:textId="01807B67" w:rsidR="00AC0FDB" w:rsidRPr="005D14B4" w:rsidRDefault="00AC0FDB" w:rsidP="005D14B4">
      <w:pPr>
        <w:pStyle w:val="BodyA"/>
        <w:spacing w:after="0" w:line="480" w:lineRule="auto"/>
        <w:jc w:val="both"/>
        <w:rPr>
          <w:rFonts w:ascii="Calibri" w:eastAsia="Calibri" w:hAnsi="Calibri" w:cs="Calibri"/>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ook w:val="04A0" w:firstRow="1" w:lastRow="0" w:firstColumn="1" w:lastColumn="0" w:noHBand="0" w:noVBand="1"/>
      </w:tblPr>
      <w:tblGrid>
        <w:gridCol w:w="1547"/>
        <w:gridCol w:w="1264"/>
        <w:gridCol w:w="1546"/>
        <w:gridCol w:w="1544"/>
        <w:gridCol w:w="1404"/>
        <w:gridCol w:w="1685"/>
      </w:tblGrid>
      <w:tr w:rsidR="00AC0FDB" w14:paraId="295B6136" w14:textId="77777777" w:rsidTr="00FD2D3D">
        <w:trPr>
          <w:trHeight w:val="1210"/>
        </w:trPr>
        <w:tc>
          <w:tcPr>
            <w:tcW w:w="5000" w:type="pct"/>
            <w:gridSpan w:val="6"/>
            <w:tcBorders>
              <w:top w:val="single" w:sz="12" w:space="0" w:color="000000"/>
              <w:left w:val="single" w:sz="12" w:space="0" w:color="000000"/>
              <w:bottom w:val="single" w:sz="12" w:space="0" w:color="000000"/>
              <w:right w:val="single" w:sz="12" w:space="0" w:color="000000"/>
            </w:tcBorders>
            <w:shd w:val="clear" w:color="auto" w:fill="D9D9D9"/>
            <w:tcMar>
              <w:top w:w="80" w:type="dxa"/>
              <w:left w:w="80" w:type="dxa"/>
              <w:bottom w:w="80" w:type="dxa"/>
              <w:right w:w="80" w:type="dxa"/>
            </w:tcMar>
          </w:tcPr>
          <w:p w14:paraId="62275A45" w14:textId="77777777" w:rsidR="00AC0FDB" w:rsidRDefault="00AC0FDB" w:rsidP="00724A07">
            <w:pPr>
              <w:pStyle w:val="BodyA"/>
              <w:spacing w:after="0" w:line="360" w:lineRule="auto"/>
              <w:jc w:val="both"/>
              <w:rPr>
                <w:rFonts w:ascii="Calibri" w:eastAsia="Calibri" w:hAnsi="Calibri" w:cs="Calibri"/>
                <w:b/>
                <w:bCs/>
                <w:lang w:val="en-US"/>
              </w:rPr>
            </w:pPr>
          </w:p>
          <w:p w14:paraId="1ABEEB73" w14:textId="77777777" w:rsidR="00AC0FDB" w:rsidRDefault="00AC0FDB" w:rsidP="00724A07">
            <w:pPr>
              <w:pStyle w:val="BodyA"/>
              <w:spacing w:after="0" w:line="360" w:lineRule="auto"/>
              <w:jc w:val="both"/>
            </w:pPr>
            <w:r>
              <w:rPr>
                <w:rFonts w:ascii="Calibri" w:eastAsia="Calibri" w:hAnsi="Calibri" w:cs="Calibri"/>
                <w:b/>
                <w:bCs/>
                <w:lang w:val="en-US"/>
              </w:rPr>
              <w:t>Table 5.2 Neuropathy parameters of study subjects [</w:t>
            </w:r>
            <w:proofErr w:type="gramStart"/>
            <w:r>
              <w:rPr>
                <w:rFonts w:ascii="Calibri" w:eastAsia="Calibri" w:hAnsi="Calibri" w:cs="Calibri"/>
                <w:b/>
                <w:bCs/>
                <w:lang w:val="en-US"/>
              </w:rPr>
              <w:t>mean(</w:t>
            </w:r>
            <w:proofErr w:type="gramEnd"/>
            <w:r>
              <w:rPr>
                <w:rFonts w:ascii="Calibri" w:eastAsia="Calibri" w:hAnsi="Calibri" w:cs="Calibri"/>
                <w:b/>
                <w:bCs/>
                <w:lang w:val="en-US"/>
              </w:rPr>
              <w:t>SD)]</w:t>
            </w:r>
          </w:p>
        </w:tc>
      </w:tr>
      <w:tr w:rsidR="00AC0FDB" w14:paraId="23918D6F" w14:textId="77777777" w:rsidTr="00FD2D3D">
        <w:trPr>
          <w:trHeight w:val="1280"/>
        </w:trPr>
        <w:tc>
          <w:tcPr>
            <w:tcW w:w="860" w:type="pct"/>
            <w:tcBorders>
              <w:top w:val="single" w:sz="12" w:space="0" w:color="000000"/>
              <w:left w:val="single" w:sz="12" w:space="0" w:color="000000"/>
              <w:bottom w:val="nil"/>
              <w:right w:val="nil"/>
            </w:tcBorders>
            <w:shd w:val="clear" w:color="auto" w:fill="D9D9D9"/>
            <w:tcMar>
              <w:top w:w="80" w:type="dxa"/>
              <w:left w:w="80" w:type="dxa"/>
              <w:bottom w:w="80" w:type="dxa"/>
              <w:right w:w="80" w:type="dxa"/>
            </w:tcMar>
            <w:vAlign w:val="center"/>
          </w:tcPr>
          <w:p w14:paraId="31AD2491" w14:textId="77777777" w:rsidR="00AC0FDB" w:rsidRPr="005D14B4" w:rsidRDefault="00AC0FDB" w:rsidP="00724A07">
            <w:pPr>
              <w:rPr>
                <w:sz w:val="20"/>
                <w:szCs w:val="20"/>
              </w:rPr>
            </w:pPr>
          </w:p>
        </w:tc>
        <w:tc>
          <w:tcPr>
            <w:tcW w:w="703" w:type="pct"/>
            <w:tcBorders>
              <w:top w:val="single" w:sz="12" w:space="0" w:color="000000"/>
              <w:left w:val="nil"/>
              <w:bottom w:val="nil"/>
              <w:right w:val="nil"/>
            </w:tcBorders>
            <w:shd w:val="clear" w:color="auto" w:fill="D9D9D9"/>
            <w:tcMar>
              <w:top w:w="80" w:type="dxa"/>
              <w:left w:w="80" w:type="dxa"/>
              <w:bottom w:w="80" w:type="dxa"/>
              <w:right w:w="80" w:type="dxa"/>
            </w:tcMar>
            <w:vAlign w:val="center"/>
          </w:tcPr>
          <w:p w14:paraId="5A60A13F" w14:textId="77777777" w:rsidR="00AC0FDB" w:rsidRPr="005D14B4" w:rsidRDefault="00AC0FDB" w:rsidP="00724A07">
            <w:pPr>
              <w:pStyle w:val="BodyA"/>
              <w:spacing w:after="0"/>
              <w:jc w:val="center"/>
              <w:rPr>
                <w:sz w:val="20"/>
                <w:szCs w:val="20"/>
              </w:rPr>
            </w:pPr>
            <w:proofErr w:type="spellStart"/>
            <w:r w:rsidRPr="005D14B4">
              <w:rPr>
                <w:b/>
                <w:bCs/>
                <w:sz w:val="20"/>
                <w:szCs w:val="20"/>
                <w:lang w:val="en-US"/>
              </w:rPr>
              <w:t>HV</w:t>
            </w:r>
            <w:proofErr w:type="spellEnd"/>
          </w:p>
        </w:tc>
        <w:tc>
          <w:tcPr>
            <w:tcW w:w="860" w:type="pct"/>
            <w:tcBorders>
              <w:top w:val="single" w:sz="12" w:space="0" w:color="000000"/>
              <w:left w:val="nil"/>
              <w:bottom w:val="nil"/>
              <w:right w:val="nil"/>
            </w:tcBorders>
            <w:shd w:val="clear" w:color="auto" w:fill="D9D9D9"/>
            <w:tcMar>
              <w:top w:w="80" w:type="dxa"/>
              <w:left w:w="80" w:type="dxa"/>
              <w:bottom w:w="80" w:type="dxa"/>
              <w:right w:w="80" w:type="dxa"/>
            </w:tcMar>
            <w:vAlign w:val="center"/>
          </w:tcPr>
          <w:p w14:paraId="4816CE2B" w14:textId="77777777" w:rsidR="00AC0FDB" w:rsidRPr="005D14B4" w:rsidRDefault="00AC0FDB" w:rsidP="00724A07">
            <w:pPr>
              <w:pStyle w:val="BodyA"/>
              <w:spacing w:after="0"/>
              <w:jc w:val="center"/>
              <w:rPr>
                <w:sz w:val="20"/>
                <w:szCs w:val="20"/>
              </w:rPr>
            </w:pPr>
            <w:r w:rsidRPr="005D14B4">
              <w:rPr>
                <w:b/>
                <w:bCs/>
                <w:sz w:val="20"/>
                <w:szCs w:val="20"/>
                <w:lang w:val="en-US"/>
              </w:rPr>
              <w:t xml:space="preserve">No </w:t>
            </w:r>
            <w:proofErr w:type="spellStart"/>
            <w:r w:rsidRPr="005D14B4">
              <w:rPr>
                <w:b/>
                <w:bCs/>
                <w:sz w:val="20"/>
                <w:szCs w:val="20"/>
                <w:lang w:val="en-US"/>
              </w:rPr>
              <w:t>DPN</w:t>
            </w:r>
            <w:proofErr w:type="spellEnd"/>
          </w:p>
        </w:tc>
        <w:tc>
          <w:tcPr>
            <w:tcW w:w="859" w:type="pct"/>
            <w:tcBorders>
              <w:top w:val="single" w:sz="12" w:space="0" w:color="000000"/>
              <w:left w:val="nil"/>
              <w:bottom w:val="nil"/>
              <w:right w:val="nil"/>
            </w:tcBorders>
            <w:shd w:val="clear" w:color="auto" w:fill="D9D9D9"/>
            <w:tcMar>
              <w:top w:w="80" w:type="dxa"/>
              <w:left w:w="80" w:type="dxa"/>
              <w:bottom w:w="80" w:type="dxa"/>
              <w:right w:w="80" w:type="dxa"/>
            </w:tcMar>
            <w:vAlign w:val="center"/>
          </w:tcPr>
          <w:p w14:paraId="2DF0311F" w14:textId="77777777" w:rsidR="00AC0FDB" w:rsidRPr="005D14B4" w:rsidRDefault="00AC0FDB" w:rsidP="00724A07">
            <w:pPr>
              <w:pStyle w:val="BodyA"/>
              <w:spacing w:after="0"/>
              <w:jc w:val="center"/>
              <w:rPr>
                <w:sz w:val="20"/>
                <w:szCs w:val="20"/>
              </w:rPr>
            </w:pPr>
            <w:r w:rsidRPr="005D14B4">
              <w:rPr>
                <w:b/>
                <w:bCs/>
                <w:sz w:val="20"/>
                <w:szCs w:val="20"/>
                <w:lang w:val="en-US"/>
              </w:rPr>
              <w:t xml:space="preserve">Painless </w:t>
            </w:r>
            <w:proofErr w:type="spellStart"/>
            <w:r w:rsidRPr="005D14B4">
              <w:rPr>
                <w:b/>
                <w:bCs/>
                <w:sz w:val="20"/>
                <w:szCs w:val="20"/>
                <w:lang w:val="en-US"/>
              </w:rPr>
              <w:t>DPN</w:t>
            </w:r>
            <w:proofErr w:type="spellEnd"/>
          </w:p>
        </w:tc>
        <w:tc>
          <w:tcPr>
            <w:tcW w:w="781" w:type="pct"/>
            <w:tcBorders>
              <w:top w:val="single" w:sz="12" w:space="0" w:color="000000"/>
              <w:left w:val="nil"/>
              <w:bottom w:val="nil"/>
              <w:right w:val="nil"/>
            </w:tcBorders>
            <w:shd w:val="clear" w:color="auto" w:fill="D9D9D9"/>
            <w:tcMar>
              <w:top w:w="80" w:type="dxa"/>
              <w:left w:w="80" w:type="dxa"/>
              <w:bottom w:w="80" w:type="dxa"/>
              <w:right w:w="80" w:type="dxa"/>
            </w:tcMar>
            <w:vAlign w:val="center"/>
          </w:tcPr>
          <w:p w14:paraId="72994282" w14:textId="77777777" w:rsidR="00AC0FDB" w:rsidRPr="005D14B4" w:rsidRDefault="00AC0FDB" w:rsidP="00724A07">
            <w:pPr>
              <w:pStyle w:val="BodyA"/>
              <w:spacing w:after="0"/>
              <w:jc w:val="center"/>
              <w:rPr>
                <w:sz w:val="20"/>
                <w:szCs w:val="20"/>
              </w:rPr>
            </w:pPr>
            <w:r w:rsidRPr="005D14B4">
              <w:rPr>
                <w:b/>
                <w:bCs/>
                <w:sz w:val="20"/>
                <w:szCs w:val="20"/>
                <w:lang w:val="en-US"/>
              </w:rPr>
              <w:t xml:space="preserve">Painful </w:t>
            </w:r>
            <w:proofErr w:type="spellStart"/>
            <w:r w:rsidRPr="005D14B4">
              <w:rPr>
                <w:b/>
                <w:bCs/>
                <w:sz w:val="20"/>
                <w:szCs w:val="20"/>
                <w:lang w:val="en-US"/>
              </w:rPr>
              <w:t>DPN</w:t>
            </w:r>
            <w:proofErr w:type="spellEnd"/>
          </w:p>
        </w:tc>
        <w:tc>
          <w:tcPr>
            <w:tcW w:w="938" w:type="pct"/>
            <w:tcBorders>
              <w:top w:val="single" w:sz="12" w:space="0" w:color="000000"/>
              <w:left w:val="nil"/>
              <w:bottom w:val="nil"/>
              <w:right w:val="single" w:sz="12" w:space="0" w:color="000000"/>
            </w:tcBorders>
            <w:shd w:val="clear" w:color="auto" w:fill="D9D9D9"/>
            <w:tcMar>
              <w:top w:w="80" w:type="dxa"/>
              <w:left w:w="80" w:type="dxa"/>
              <w:bottom w:w="80" w:type="dxa"/>
              <w:right w:w="80" w:type="dxa"/>
            </w:tcMar>
            <w:vAlign w:val="center"/>
          </w:tcPr>
          <w:p w14:paraId="7C9963AB" w14:textId="77777777" w:rsidR="00AC0FDB" w:rsidRPr="005D14B4" w:rsidRDefault="00AC0FDB" w:rsidP="00724A07">
            <w:pPr>
              <w:pStyle w:val="BodyA"/>
              <w:spacing w:after="0"/>
              <w:jc w:val="center"/>
              <w:rPr>
                <w:sz w:val="20"/>
                <w:szCs w:val="20"/>
              </w:rPr>
            </w:pPr>
            <w:r w:rsidRPr="005D14B4">
              <w:rPr>
                <w:b/>
                <w:bCs/>
                <w:sz w:val="20"/>
                <w:szCs w:val="20"/>
                <w:lang w:val="en-US"/>
              </w:rPr>
              <w:t>p Value ANOVA</w:t>
            </w:r>
          </w:p>
        </w:tc>
      </w:tr>
      <w:tr w:rsidR="00AC0FDB" w14:paraId="6E13CA84" w14:textId="77777777" w:rsidTr="00FD2D3D">
        <w:trPr>
          <w:trHeight w:val="620"/>
        </w:trPr>
        <w:tc>
          <w:tcPr>
            <w:tcW w:w="860" w:type="pct"/>
            <w:tcBorders>
              <w:top w:val="nil"/>
              <w:left w:val="single" w:sz="12" w:space="0" w:color="000000"/>
              <w:bottom w:val="nil"/>
              <w:right w:val="nil"/>
            </w:tcBorders>
            <w:shd w:val="clear" w:color="auto" w:fill="D9D9D9"/>
            <w:tcMar>
              <w:top w:w="80" w:type="dxa"/>
              <w:left w:w="80" w:type="dxa"/>
              <w:bottom w:w="80" w:type="dxa"/>
              <w:right w:w="80" w:type="dxa"/>
            </w:tcMar>
            <w:vAlign w:val="center"/>
          </w:tcPr>
          <w:p w14:paraId="21EBADF9" w14:textId="77777777" w:rsidR="00AC0FDB" w:rsidRPr="005D14B4" w:rsidRDefault="00AC0FDB" w:rsidP="00724A07">
            <w:pPr>
              <w:pStyle w:val="BodyA"/>
              <w:spacing w:after="0"/>
              <w:jc w:val="both"/>
              <w:rPr>
                <w:sz w:val="20"/>
                <w:szCs w:val="20"/>
              </w:rPr>
            </w:pPr>
            <w:r w:rsidRPr="005D14B4">
              <w:rPr>
                <w:b/>
                <w:bCs/>
                <w:sz w:val="20"/>
                <w:szCs w:val="20"/>
                <w:lang w:val="en-US"/>
              </w:rPr>
              <w:t xml:space="preserve">NISLL+7 </w:t>
            </w:r>
          </w:p>
        </w:tc>
        <w:tc>
          <w:tcPr>
            <w:tcW w:w="703" w:type="pct"/>
            <w:tcBorders>
              <w:top w:val="nil"/>
              <w:left w:val="nil"/>
              <w:bottom w:val="nil"/>
              <w:right w:val="nil"/>
            </w:tcBorders>
            <w:shd w:val="clear" w:color="auto" w:fill="D9D9D9"/>
            <w:tcMar>
              <w:top w:w="80" w:type="dxa"/>
              <w:left w:w="80" w:type="dxa"/>
              <w:bottom w:w="80" w:type="dxa"/>
              <w:right w:w="80" w:type="dxa"/>
            </w:tcMar>
            <w:vAlign w:val="center"/>
          </w:tcPr>
          <w:p w14:paraId="697DEA58" w14:textId="77777777" w:rsidR="00AC0FDB" w:rsidRPr="005D14B4" w:rsidRDefault="00AC0FDB" w:rsidP="00724A07">
            <w:pPr>
              <w:pStyle w:val="BodyA"/>
              <w:spacing w:after="0" w:line="360" w:lineRule="auto"/>
              <w:jc w:val="center"/>
              <w:rPr>
                <w:sz w:val="20"/>
                <w:szCs w:val="20"/>
              </w:rPr>
            </w:pPr>
            <w:r w:rsidRPr="005D14B4">
              <w:rPr>
                <w:sz w:val="20"/>
                <w:szCs w:val="20"/>
                <w:lang w:val="en-US"/>
              </w:rPr>
              <w:t>0.5 (0.8)</w:t>
            </w:r>
          </w:p>
        </w:tc>
        <w:tc>
          <w:tcPr>
            <w:tcW w:w="860" w:type="pct"/>
            <w:tcBorders>
              <w:top w:val="nil"/>
              <w:left w:val="nil"/>
              <w:bottom w:val="nil"/>
              <w:right w:val="nil"/>
            </w:tcBorders>
            <w:shd w:val="clear" w:color="auto" w:fill="D9D9D9"/>
            <w:tcMar>
              <w:top w:w="80" w:type="dxa"/>
              <w:left w:w="80" w:type="dxa"/>
              <w:bottom w:w="80" w:type="dxa"/>
              <w:right w:w="80" w:type="dxa"/>
            </w:tcMar>
            <w:vAlign w:val="center"/>
          </w:tcPr>
          <w:p w14:paraId="1E941759" w14:textId="77777777" w:rsidR="00AC0FDB" w:rsidRPr="005D14B4" w:rsidRDefault="00AC0FDB" w:rsidP="00724A07">
            <w:pPr>
              <w:pStyle w:val="BodyA"/>
              <w:spacing w:after="0" w:line="360" w:lineRule="auto"/>
              <w:jc w:val="center"/>
              <w:rPr>
                <w:sz w:val="20"/>
                <w:szCs w:val="20"/>
              </w:rPr>
            </w:pPr>
            <w:r w:rsidRPr="005D14B4">
              <w:rPr>
                <w:sz w:val="20"/>
                <w:szCs w:val="20"/>
                <w:lang w:val="en-US"/>
              </w:rPr>
              <w:t>1.4 (1.2)</w:t>
            </w:r>
          </w:p>
        </w:tc>
        <w:tc>
          <w:tcPr>
            <w:tcW w:w="859" w:type="pct"/>
            <w:tcBorders>
              <w:top w:val="nil"/>
              <w:left w:val="nil"/>
              <w:bottom w:val="nil"/>
              <w:right w:val="nil"/>
            </w:tcBorders>
            <w:shd w:val="clear" w:color="auto" w:fill="D9D9D9"/>
            <w:tcMar>
              <w:top w:w="80" w:type="dxa"/>
              <w:left w:w="80" w:type="dxa"/>
              <w:bottom w:w="80" w:type="dxa"/>
              <w:right w:w="80" w:type="dxa"/>
            </w:tcMar>
            <w:vAlign w:val="center"/>
          </w:tcPr>
          <w:p w14:paraId="325081F5" w14:textId="77777777" w:rsidR="00AC0FDB" w:rsidRPr="005D14B4" w:rsidRDefault="00AC0FDB" w:rsidP="00724A07">
            <w:pPr>
              <w:pStyle w:val="BodyA"/>
              <w:spacing w:after="0" w:line="360" w:lineRule="auto"/>
              <w:jc w:val="center"/>
              <w:rPr>
                <w:sz w:val="20"/>
                <w:szCs w:val="20"/>
              </w:rPr>
            </w:pPr>
            <w:r w:rsidRPr="005D14B4">
              <w:rPr>
                <w:sz w:val="20"/>
                <w:szCs w:val="20"/>
                <w:lang w:val="en-US"/>
              </w:rPr>
              <w:t>19.6 (7.6)</w:t>
            </w:r>
          </w:p>
        </w:tc>
        <w:tc>
          <w:tcPr>
            <w:tcW w:w="781" w:type="pct"/>
            <w:tcBorders>
              <w:top w:val="nil"/>
              <w:left w:val="nil"/>
              <w:bottom w:val="nil"/>
              <w:right w:val="nil"/>
            </w:tcBorders>
            <w:shd w:val="clear" w:color="auto" w:fill="D9D9D9"/>
            <w:tcMar>
              <w:top w:w="80" w:type="dxa"/>
              <w:left w:w="80" w:type="dxa"/>
              <w:bottom w:w="80" w:type="dxa"/>
              <w:right w:w="80" w:type="dxa"/>
            </w:tcMar>
            <w:vAlign w:val="center"/>
          </w:tcPr>
          <w:p w14:paraId="55965890" w14:textId="77777777" w:rsidR="00AC0FDB" w:rsidRPr="005D14B4" w:rsidRDefault="00AC0FDB" w:rsidP="00724A07">
            <w:pPr>
              <w:pStyle w:val="BodyA"/>
              <w:spacing w:after="0" w:line="360" w:lineRule="auto"/>
              <w:jc w:val="center"/>
              <w:rPr>
                <w:sz w:val="20"/>
                <w:szCs w:val="20"/>
              </w:rPr>
            </w:pPr>
            <w:r w:rsidRPr="005D14B4">
              <w:rPr>
                <w:sz w:val="20"/>
                <w:szCs w:val="20"/>
                <w:lang w:val="en-US"/>
              </w:rPr>
              <w:t>28.9 (16.4)</w:t>
            </w:r>
          </w:p>
        </w:tc>
        <w:tc>
          <w:tcPr>
            <w:tcW w:w="938" w:type="pct"/>
            <w:tcBorders>
              <w:top w:val="nil"/>
              <w:left w:val="nil"/>
              <w:bottom w:val="nil"/>
              <w:right w:val="single" w:sz="12" w:space="0" w:color="000000"/>
            </w:tcBorders>
            <w:shd w:val="clear" w:color="auto" w:fill="D9D9D9"/>
            <w:tcMar>
              <w:top w:w="80" w:type="dxa"/>
              <w:left w:w="80" w:type="dxa"/>
              <w:bottom w:w="80" w:type="dxa"/>
              <w:right w:w="80" w:type="dxa"/>
            </w:tcMar>
            <w:vAlign w:val="center"/>
          </w:tcPr>
          <w:p w14:paraId="03D06DE0" w14:textId="77777777" w:rsidR="00AC0FDB" w:rsidRPr="005D14B4" w:rsidRDefault="00AC0FDB" w:rsidP="00724A07">
            <w:pPr>
              <w:pStyle w:val="BodyA"/>
              <w:spacing w:after="0" w:line="360" w:lineRule="auto"/>
              <w:jc w:val="center"/>
              <w:rPr>
                <w:sz w:val="20"/>
                <w:szCs w:val="20"/>
              </w:rPr>
            </w:pPr>
            <w:r w:rsidRPr="005D14B4">
              <w:rPr>
                <w:b/>
                <w:bCs/>
                <w:sz w:val="20"/>
                <w:szCs w:val="20"/>
                <w:lang w:val="en-US"/>
              </w:rPr>
              <w:t>&lt;0·01</w:t>
            </w:r>
          </w:p>
        </w:tc>
      </w:tr>
      <w:tr w:rsidR="00AC0FDB" w14:paraId="343B6021" w14:textId="77777777" w:rsidTr="00FD2D3D">
        <w:trPr>
          <w:trHeight w:val="825"/>
        </w:trPr>
        <w:tc>
          <w:tcPr>
            <w:tcW w:w="860" w:type="pct"/>
            <w:tcBorders>
              <w:top w:val="nil"/>
              <w:left w:val="single" w:sz="12" w:space="0" w:color="000000"/>
              <w:bottom w:val="nil"/>
              <w:right w:val="nil"/>
            </w:tcBorders>
            <w:shd w:val="clear" w:color="auto" w:fill="D9D9D9"/>
            <w:tcMar>
              <w:top w:w="80" w:type="dxa"/>
              <w:left w:w="80" w:type="dxa"/>
              <w:bottom w:w="80" w:type="dxa"/>
              <w:right w:w="80" w:type="dxa"/>
            </w:tcMar>
            <w:vAlign w:val="center"/>
          </w:tcPr>
          <w:p w14:paraId="084D273D" w14:textId="77777777" w:rsidR="00AC0FDB" w:rsidRPr="005D14B4" w:rsidRDefault="00AC0FDB" w:rsidP="00724A07">
            <w:pPr>
              <w:pStyle w:val="BodyA"/>
              <w:spacing w:after="0"/>
              <w:jc w:val="both"/>
              <w:rPr>
                <w:sz w:val="20"/>
                <w:szCs w:val="20"/>
              </w:rPr>
            </w:pPr>
            <w:r w:rsidRPr="005D14B4">
              <w:rPr>
                <w:b/>
                <w:bCs/>
                <w:sz w:val="20"/>
                <w:szCs w:val="20"/>
                <w:lang w:val="en-US"/>
              </w:rPr>
              <w:t xml:space="preserve">DN4 </w:t>
            </w:r>
          </w:p>
        </w:tc>
        <w:tc>
          <w:tcPr>
            <w:tcW w:w="703" w:type="pct"/>
            <w:tcBorders>
              <w:top w:val="nil"/>
              <w:left w:val="nil"/>
              <w:bottom w:val="nil"/>
              <w:right w:val="nil"/>
            </w:tcBorders>
            <w:shd w:val="clear" w:color="auto" w:fill="D9D9D9"/>
            <w:tcMar>
              <w:top w:w="80" w:type="dxa"/>
              <w:left w:w="80" w:type="dxa"/>
              <w:bottom w:w="80" w:type="dxa"/>
              <w:right w:w="80" w:type="dxa"/>
            </w:tcMar>
            <w:vAlign w:val="center"/>
          </w:tcPr>
          <w:p w14:paraId="12E6F740" w14:textId="77777777" w:rsidR="00AC0FDB" w:rsidRPr="005D14B4" w:rsidRDefault="00AC0FDB" w:rsidP="00724A07">
            <w:pPr>
              <w:pStyle w:val="BodyA"/>
              <w:spacing w:after="0" w:line="360" w:lineRule="auto"/>
              <w:jc w:val="center"/>
              <w:rPr>
                <w:sz w:val="20"/>
                <w:szCs w:val="20"/>
              </w:rPr>
            </w:pPr>
            <w:r w:rsidRPr="005D14B4">
              <w:rPr>
                <w:sz w:val="20"/>
                <w:szCs w:val="20"/>
                <w:lang w:val="en-US"/>
              </w:rPr>
              <w:t>0</w:t>
            </w:r>
          </w:p>
        </w:tc>
        <w:tc>
          <w:tcPr>
            <w:tcW w:w="860" w:type="pct"/>
            <w:tcBorders>
              <w:top w:val="nil"/>
              <w:left w:val="nil"/>
              <w:bottom w:val="nil"/>
              <w:right w:val="nil"/>
            </w:tcBorders>
            <w:shd w:val="clear" w:color="auto" w:fill="D9D9D9"/>
            <w:tcMar>
              <w:top w:w="80" w:type="dxa"/>
              <w:left w:w="80" w:type="dxa"/>
              <w:bottom w:w="80" w:type="dxa"/>
              <w:right w:w="80" w:type="dxa"/>
            </w:tcMar>
            <w:vAlign w:val="center"/>
          </w:tcPr>
          <w:p w14:paraId="41A80C8B" w14:textId="77777777" w:rsidR="00AC0FDB" w:rsidRPr="005D14B4" w:rsidRDefault="00AC0FDB" w:rsidP="00724A07">
            <w:pPr>
              <w:pStyle w:val="BodyA"/>
              <w:spacing w:after="0" w:line="360" w:lineRule="auto"/>
              <w:jc w:val="center"/>
              <w:rPr>
                <w:sz w:val="20"/>
                <w:szCs w:val="20"/>
              </w:rPr>
            </w:pPr>
            <w:r w:rsidRPr="005D14B4">
              <w:rPr>
                <w:sz w:val="20"/>
                <w:szCs w:val="20"/>
                <w:lang w:val="en-US"/>
              </w:rPr>
              <w:t>0.1 (0.5)</w:t>
            </w:r>
          </w:p>
        </w:tc>
        <w:tc>
          <w:tcPr>
            <w:tcW w:w="859" w:type="pct"/>
            <w:tcBorders>
              <w:top w:val="nil"/>
              <w:left w:val="nil"/>
              <w:bottom w:val="nil"/>
              <w:right w:val="nil"/>
            </w:tcBorders>
            <w:shd w:val="clear" w:color="auto" w:fill="D9D9D9"/>
            <w:tcMar>
              <w:top w:w="80" w:type="dxa"/>
              <w:left w:w="80" w:type="dxa"/>
              <w:bottom w:w="80" w:type="dxa"/>
              <w:right w:w="80" w:type="dxa"/>
            </w:tcMar>
            <w:vAlign w:val="center"/>
          </w:tcPr>
          <w:p w14:paraId="66F61679" w14:textId="77777777" w:rsidR="00AC0FDB" w:rsidRPr="005D14B4" w:rsidRDefault="00AC0FDB" w:rsidP="00724A07">
            <w:pPr>
              <w:pStyle w:val="BodyA"/>
              <w:spacing w:after="0" w:line="360" w:lineRule="auto"/>
              <w:jc w:val="center"/>
              <w:rPr>
                <w:sz w:val="20"/>
                <w:szCs w:val="20"/>
              </w:rPr>
            </w:pPr>
            <w:r w:rsidRPr="005D14B4">
              <w:rPr>
                <w:sz w:val="20"/>
                <w:szCs w:val="20"/>
                <w:lang w:val="en-US"/>
              </w:rPr>
              <w:t>2.1 (0.8)</w:t>
            </w:r>
          </w:p>
        </w:tc>
        <w:tc>
          <w:tcPr>
            <w:tcW w:w="781" w:type="pct"/>
            <w:tcBorders>
              <w:top w:val="nil"/>
              <w:left w:val="nil"/>
              <w:bottom w:val="nil"/>
              <w:right w:val="nil"/>
            </w:tcBorders>
            <w:shd w:val="clear" w:color="auto" w:fill="D9D9D9"/>
            <w:tcMar>
              <w:top w:w="80" w:type="dxa"/>
              <w:left w:w="80" w:type="dxa"/>
              <w:bottom w:w="80" w:type="dxa"/>
              <w:right w:w="80" w:type="dxa"/>
            </w:tcMar>
            <w:vAlign w:val="center"/>
          </w:tcPr>
          <w:p w14:paraId="09C901F8" w14:textId="77777777" w:rsidR="00AC0FDB" w:rsidRPr="005D14B4" w:rsidRDefault="00AC0FDB" w:rsidP="00724A07">
            <w:pPr>
              <w:pStyle w:val="BodyA"/>
              <w:spacing w:after="0" w:line="360" w:lineRule="auto"/>
              <w:jc w:val="center"/>
              <w:rPr>
                <w:sz w:val="20"/>
                <w:szCs w:val="20"/>
              </w:rPr>
            </w:pPr>
            <w:r w:rsidRPr="005D14B4">
              <w:rPr>
                <w:sz w:val="20"/>
                <w:szCs w:val="20"/>
                <w:lang w:val="en-US"/>
              </w:rPr>
              <w:t>5.9 (1.8)</w:t>
            </w:r>
          </w:p>
        </w:tc>
        <w:tc>
          <w:tcPr>
            <w:tcW w:w="938" w:type="pct"/>
            <w:tcBorders>
              <w:top w:val="nil"/>
              <w:left w:val="nil"/>
              <w:bottom w:val="nil"/>
              <w:right w:val="single" w:sz="12" w:space="0" w:color="000000"/>
            </w:tcBorders>
            <w:shd w:val="clear" w:color="auto" w:fill="D9D9D9"/>
            <w:tcMar>
              <w:top w:w="80" w:type="dxa"/>
              <w:left w:w="80" w:type="dxa"/>
              <w:bottom w:w="80" w:type="dxa"/>
              <w:right w:w="80" w:type="dxa"/>
            </w:tcMar>
            <w:vAlign w:val="center"/>
          </w:tcPr>
          <w:p w14:paraId="7F5D2AAE" w14:textId="77777777" w:rsidR="00AC0FDB" w:rsidRPr="005D14B4" w:rsidRDefault="00AC0FDB" w:rsidP="00724A07">
            <w:pPr>
              <w:pStyle w:val="BodyA"/>
              <w:spacing w:after="0" w:line="360" w:lineRule="auto"/>
              <w:jc w:val="center"/>
              <w:rPr>
                <w:sz w:val="20"/>
                <w:szCs w:val="20"/>
              </w:rPr>
            </w:pPr>
            <w:r w:rsidRPr="005D14B4">
              <w:rPr>
                <w:b/>
                <w:bCs/>
                <w:sz w:val="20"/>
                <w:szCs w:val="20"/>
                <w:lang w:val="en-US"/>
              </w:rPr>
              <w:t>&lt;0·01</w:t>
            </w:r>
          </w:p>
        </w:tc>
      </w:tr>
      <w:tr w:rsidR="00AC0FDB" w14:paraId="0514FD6B" w14:textId="77777777" w:rsidTr="00FD2D3D">
        <w:trPr>
          <w:trHeight w:val="620"/>
        </w:trPr>
        <w:tc>
          <w:tcPr>
            <w:tcW w:w="860" w:type="pct"/>
            <w:tcBorders>
              <w:top w:val="nil"/>
              <w:left w:val="single" w:sz="12" w:space="0" w:color="000000"/>
              <w:bottom w:val="nil"/>
              <w:right w:val="nil"/>
            </w:tcBorders>
            <w:shd w:val="clear" w:color="auto" w:fill="D9D9D9"/>
            <w:tcMar>
              <w:top w:w="80" w:type="dxa"/>
              <w:left w:w="80" w:type="dxa"/>
              <w:bottom w:w="80" w:type="dxa"/>
              <w:right w:w="80" w:type="dxa"/>
            </w:tcMar>
            <w:vAlign w:val="center"/>
          </w:tcPr>
          <w:p w14:paraId="64E3A2D5" w14:textId="77777777" w:rsidR="00AC0FDB" w:rsidRPr="005D14B4" w:rsidRDefault="00AC0FDB" w:rsidP="00724A07">
            <w:pPr>
              <w:pStyle w:val="BodyA"/>
              <w:spacing w:after="0"/>
              <w:jc w:val="both"/>
              <w:rPr>
                <w:sz w:val="20"/>
                <w:szCs w:val="20"/>
              </w:rPr>
            </w:pPr>
            <w:r w:rsidRPr="005D14B4">
              <w:rPr>
                <w:b/>
                <w:bCs/>
                <w:sz w:val="20"/>
                <w:szCs w:val="20"/>
                <w:lang w:val="en-US"/>
              </w:rPr>
              <w:t>NRS Pain score</w:t>
            </w:r>
          </w:p>
        </w:tc>
        <w:tc>
          <w:tcPr>
            <w:tcW w:w="703" w:type="pct"/>
            <w:tcBorders>
              <w:top w:val="nil"/>
              <w:left w:val="nil"/>
              <w:bottom w:val="nil"/>
              <w:right w:val="nil"/>
            </w:tcBorders>
            <w:shd w:val="clear" w:color="auto" w:fill="D9D9D9"/>
            <w:tcMar>
              <w:top w:w="80" w:type="dxa"/>
              <w:left w:w="80" w:type="dxa"/>
              <w:bottom w:w="80" w:type="dxa"/>
              <w:right w:w="80" w:type="dxa"/>
            </w:tcMar>
            <w:vAlign w:val="center"/>
          </w:tcPr>
          <w:p w14:paraId="0BEAC536" w14:textId="77777777" w:rsidR="00AC0FDB" w:rsidRPr="005D14B4" w:rsidRDefault="00AC0FDB" w:rsidP="00724A07">
            <w:pPr>
              <w:pStyle w:val="BodyA"/>
              <w:spacing w:after="0" w:line="360" w:lineRule="auto"/>
              <w:jc w:val="center"/>
              <w:rPr>
                <w:sz w:val="20"/>
                <w:szCs w:val="20"/>
              </w:rPr>
            </w:pPr>
            <w:r w:rsidRPr="005D14B4">
              <w:rPr>
                <w:sz w:val="20"/>
                <w:szCs w:val="20"/>
                <w:lang w:val="en-US"/>
              </w:rPr>
              <w:t>7.06 (1.7)</w:t>
            </w:r>
          </w:p>
        </w:tc>
        <w:tc>
          <w:tcPr>
            <w:tcW w:w="860" w:type="pct"/>
            <w:tcBorders>
              <w:top w:val="nil"/>
              <w:left w:val="nil"/>
              <w:bottom w:val="nil"/>
              <w:right w:val="nil"/>
            </w:tcBorders>
            <w:shd w:val="clear" w:color="auto" w:fill="D9D9D9"/>
            <w:tcMar>
              <w:top w:w="80" w:type="dxa"/>
              <w:left w:w="80" w:type="dxa"/>
              <w:bottom w:w="80" w:type="dxa"/>
              <w:right w:w="80" w:type="dxa"/>
            </w:tcMar>
            <w:vAlign w:val="center"/>
          </w:tcPr>
          <w:p w14:paraId="489C5772" w14:textId="77777777" w:rsidR="00AC0FDB" w:rsidRPr="005D14B4" w:rsidRDefault="00AC0FDB" w:rsidP="00724A07">
            <w:pPr>
              <w:pStyle w:val="BodyA"/>
              <w:spacing w:after="0" w:line="360" w:lineRule="auto"/>
              <w:jc w:val="center"/>
              <w:rPr>
                <w:sz w:val="20"/>
                <w:szCs w:val="20"/>
              </w:rPr>
            </w:pPr>
            <w:r w:rsidRPr="005D14B4">
              <w:rPr>
                <w:sz w:val="20"/>
                <w:szCs w:val="20"/>
                <w:lang w:val="en-US"/>
              </w:rPr>
              <w:t>0</w:t>
            </w:r>
          </w:p>
        </w:tc>
        <w:tc>
          <w:tcPr>
            <w:tcW w:w="859" w:type="pct"/>
            <w:tcBorders>
              <w:top w:val="nil"/>
              <w:left w:val="nil"/>
              <w:bottom w:val="nil"/>
              <w:right w:val="nil"/>
            </w:tcBorders>
            <w:shd w:val="clear" w:color="auto" w:fill="D9D9D9"/>
            <w:tcMar>
              <w:top w:w="80" w:type="dxa"/>
              <w:left w:w="80" w:type="dxa"/>
              <w:bottom w:w="80" w:type="dxa"/>
              <w:right w:w="80" w:type="dxa"/>
            </w:tcMar>
            <w:vAlign w:val="center"/>
          </w:tcPr>
          <w:p w14:paraId="30D39E69" w14:textId="77777777" w:rsidR="00AC0FDB" w:rsidRPr="005D14B4" w:rsidRDefault="00AC0FDB" w:rsidP="00724A07">
            <w:pPr>
              <w:pStyle w:val="BodyA"/>
              <w:spacing w:after="0" w:line="360" w:lineRule="auto"/>
              <w:jc w:val="center"/>
              <w:rPr>
                <w:sz w:val="20"/>
                <w:szCs w:val="20"/>
              </w:rPr>
            </w:pPr>
            <w:r w:rsidRPr="005D14B4">
              <w:rPr>
                <w:sz w:val="20"/>
                <w:szCs w:val="20"/>
                <w:lang w:val="en-US"/>
              </w:rPr>
              <w:t>0</w:t>
            </w:r>
          </w:p>
        </w:tc>
        <w:tc>
          <w:tcPr>
            <w:tcW w:w="781" w:type="pct"/>
            <w:tcBorders>
              <w:top w:val="nil"/>
              <w:left w:val="nil"/>
              <w:bottom w:val="nil"/>
              <w:right w:val="nil"/>
            </w:tcBorders>
            <w:shd w:val="clear" w:color="auto" w:fill="D9D9D9"/>
            <w:tcMar>
              <w:top w:w="80" w:type="dxa"/>
              <w:left w:w="80" w:type="dxa"/>
              <w:bottom w:w="80" w:type="dxa"/>
              <w:right w:w="80" w:type="dxa"/>
            </w:tcMar>
            <w:vAlign w:val="center"/>
          </w:tcPr>
          <w:p w14:paraId="4170EE7F" w14:textId="77777777" w:rsidR="00AC0FDB" w:rsidRPr="005D14B4" w:rsidRDefault="00AC0FDB" w:rsidP="00724A07">
            <w:pPr>
              <w:pStyle w:val="BodyA"/>
              <w:spacing w:after="0" w:line="360" w:lineRule="auto"/>
              <w:jc w:val="center"/>
              <w:rPr>
                <w:sz w:val="20"/>
                <w:szCs w:val="20"/>
              </w:rPr>
            </w:pPr>
            <w:r w:rsidRPr="005D14B4">
              <w:rPr>
                <w:sz w:val="20"/>
                <w:szCs w:val="20"/>
                <w:lang w:val="en-US"/>
              </w:rPr>
              <w:t>0</w:t>
            </w:r>
          </w:p>
        </w:tc>
        <w:tc>
          <w:tcPr>
            <w:tcW w:w="938" w:type="pct"/>
            <w:tcBorders>
              <w:top w:val="nil"/>
              <w:left w:val="nil"/>
              <w:bottom w:val="nil"/>
              <w:right w:val="single" w:sz="12" w:space="0" w:color="000000"/>
            </w:tcBorders>
            <w:shd w:val="clear" w:color="auto" w:fill="D9D9D9"/>
            <w:tcMar>
              <w:top w:w="80" w:type="dxa"/>
              <w:left w:w="80" w:type="dxa"/>
              <w:bottom w:w="80" w:type="dxa"/>
              <w:right w:w="80" w:type="dxa"/>
            </w:tcMar>
            <w:vAlign w:val="center"/>
          </w:tcPr>
          <w:p w14:paraId="247A5B80" w14:textId="77777777" w:rsidR="00AC0FDB" w:rsidRPr="005D14B4" w:rsidRDefault="00AC0FDB" w:rsidP="00724A07">
            <w:pPr>
              <w:pStyle w:val="BodyA"/>
              <w:spacing w:after="0" w:line="360" w:lineRule="auto"/>
              <w:jc w:val="center"/>
              <w:rPr>
                <w:sz w:val="20"/>
                <w:szCs w:val="20"/>
              </w:rPr>
            </w:pPr>
            <w:r w:rsidRPr="005D14B4">
              <w:rPr>
                <w:b/>
                <w:bCs/>
                <w:sz w:val="20"/>
                <w:szCs w:val="20"/>
                <w:lang w:val="en-US"/>
              </w:rPr>
              <w:t>&lt;0.01</w:t>
            </w:r>
          </w:p>
        </w:tc>
      </w:tr>
      <w:tr w:rsidR="00AC0FDB" w14:paraId="74C7D98D" w14:textId="77777777" w:rsidTr="00FD2D3D">
        <w:trPr>
          <w:trHeight w:val="620"/>
        </w:trPr>
        <w:tc>
          <w:tcPr>
            <w:tcW w:w="860" w:type="pct"/>
            <w:tcBorders>
              <w:top w:val="nil"/>
              <w:left w:val="single" w:sz="12" w:space="0" w:color="000000"/>
              <w:bottom w:val="nil"/>
              <w:right w:val="nil"/>
            </w:tcBorders>
            <w:shd w:val="clear" w:color="auto" w:fill="D9D9D9"/>
            <w:tcMar>
              <w:top w:w="80" w:type="dxa"/>
              <w:left w:w="80" w:type="dxa"/>
              <w:bottom w:w="80" w:type="dxa"/>
              <w:right w:w="80" w:type="dxa"/>
            </w:tcMar>
            <w:vAlign w:val="center"/>
          </w:tcPr>
          <w:p w14:paraId="114AA307" w14:textId="77777777" w:rsidR="00AC0FDB" w:rsidRPr="005D14B4" w:rsidRDefault="00AC0FDB" w:rsidP="00724A07">
            <w:pPr>
              <w:pStyle w:val="BodyA"/>
              <w:spacing w:after="0"/>
              <w:jc w:val="both"/>
              <w:rPr>
                <w:sz w:val="20"/>
                <w:szCs w:val="20"/>
              </w:rPr>
            </w:pPr>
            <w:r w:rsidRPr="005D14B4">
              <w:rPr>
                <w:b/>
                <w:bCs/>
                <w:sz w:val="20"/>
                <w:szCs w:val="20"/>
                <w:lang w:val="en-US"/>
              </w:rPr>
              <w:lastRenderedPageBreak/>
              <w:t>CDT (°C)</w:t>
            </w:r>
          </w:p>
        </w:tc>
        <w:tc>
          <w:tcPr>
            <w:tcW w:w="703" w:type="pct"/>
            <w:tcBorders>
              <w:top w:val="nil"/>
              <w:left w:val="nil"/>
              <w:bottom w:val="nil"/>
              <w:right w:val="nil"/>
            </w:tcBorders>
            <w:shd w:val="clear" w:color="auto" w:fill="D9D9D9"/>
            <w:tcMar>
              <w:top w:w="80" w:type="dxa"/>
              <w:left w:w="80" w:type="dxa"/>
              <w:bottom w:w="80" w:type="dxa"/>
              <w:right w:w="80" w:type="dxa"/>
            </w:tcMar>
            <w:vAlign w:val="center"/>
          </w:tcPr>
          <w:p w14:paraId="775CFD03" w14:textId="77777777" w:rsidR="00AC0FDB" w:rsidRPr="005D14B4" w:rsidRDefault="00AC0FDB" w:rsidP="00724A07">
            <w:pPr>
              <w:pStyle w:val="BodyA"/>
              <w:spacing w:after="0" w:line="360" w:lineRule="auto"/>
              <w:jc w:val="center"/>
              <w:rPr>
                <w:sz w:val="20"/>
                <w:szCs w:val="20"/>
              </w:rPr>
            </w:pPr>
            <w:r w:rsidRPr="005D14B4">
              <w:rPr>
                <w:sz w:val="20"/>
                <w:szCs w:val="20"/>
                <w:lang w:val="en-US"/>
              </w:rPr>
              <w:t>27.1 (3.2)</w:t>
            </w:r>
          </w:p>
        </w:tc>
        <w:tc>
          <w:tcPr>
            <w:tcW w:w="860" w:type="pct"/>
            <w:tcBorders>
              <w:top w:val="nil"/>
              <w:left w:val="nil"/>
              <w:bottom w:val="nil"/>
              <w:right w:val="nil"/>
            </w:tcBorders>
            <w:shd w:val="clear" w:color="auto" w:fill="D9D9D9"/>
            <w:tcMar>
              <w:top w:w="80" w:type="dxa"/>
              <w:left w:w="80" w:type="dxa"/>
              <w:bottom w:w="80" w:type="dxa"/>
              <w:right w:w="80" w:type="dxa"/>
            </w:tcMar>
            <w:vAlign w:val="center"/>
          </w:tcPr>
          <w:p w14:paraId="45634224" w14:textId="77777777" w:rsidR="00AC0FDB" w:rsidRPr="005D14B4" w:rsidRDefault="00AC0FDB" w:rsidP="00724A07">
            <w:pPr>
              <w:pStyle w:val="BodyA"/>
              <w:spacing w:after="0" w:line="360" w:lineRule="auto"/>
              <w:jc w:val="center"/>
              <w:rPr>
                <w:sz w:val="20"/>
                <w:szCs w:val="20"/>
              </w:rPr>
            </w:pPr>
            <w:r w:rsidRPr="005D14B4">
              <w:rPr>
                <w:sz w:val="20"/>
                <w:szCs w:val="20"/>
                <w:lang w:val="en-US"/>
              </w:rPr>
              <w:t>25.0 (3.2)</w:t>
            </w:r>
          </w:p>
        </w:tc>
        <w:tc>
          <w:tcPr>
            <w:tcW w:w="859" w:type="pct"/>
            <w:tcBorders>
              <w:top w:val="nil"/>
              <w:left w:val="nil"/>
              <w:bottom w:val="nil"/>
              <w:right w:val="nil"/>
            </w:tcBorders>
            <w:shd w:val="clear" w:color="auto" w:fill="D9D9D9"/>
            <w:tcMar>
              <w:top w:w="80" w:type="dxa"/>
              <w:left w:w="80" w:type="dxa"/>
              <w:bottom w:w="80" w:type="dxa"/>
              <w:right w:w="80" w:type="dxa"/>
            </w:tcMar>
            <w:vAlign w:val="center"/>
          </w:tcPr>
          <w:p w14:paraId="0BED4835" w14:textId="77777777" w:rsidR="00AC0FDB" w:rsidRPr="005D14B4" w:rsidRDefault="00AC0FDB" w:rsidP="00724A07">
            <w:pPr>
              <w:pStyle w:val="BodyA"/>
              <w:spacing w:after="0" w:line="360" w:lineRule="auto"/>
              <w:jc w:val="center"/>
              <w:rPr>
                <w:sz w:val="20"/>
                <w:szCs w:val="20"/>
              </w:rPr>
            </w:pPr>
            <w:r w:rsidRPr="005D14B4">
              <w:rPr>
                <w:sz w:val="20"/>
                <w:szCs w:val="20"/>
                <w:lang w:val="en-US"/>
              </w:rPr>
              <w:t>19.5 (10.6)</w:t>
            </w:r>
          </w:p>
        </w:tc>
        <w:tc>
          <w:tcPr>
            <w:tcW w:w="781" w:type="pct"/>
            <w:tcBorders>
              <w:top w:val="nil"/>
              <w:left w:val="nil"/>
              <w:bottom w:val="nil"/>
              <w:right w:val="nil"/>
            </w:tcBorders>
            <w:shd w:val="clear" w:color="auto" w:fill="D9D9D9"/>
            <w:tcMar>
              <w:top w:w="80" w:type="dxa"/>
              <w:left w:w="80" w:type="dxa"/>
              <w:bottom w:w="80" w:type="dxa"/>
              <w:right w:w="80" w:type="dxa"/>
            </w:tcMar>
            <w:vAlign w:val="center"/>
          </w:tcPr>
          <w:p w14:paraId="28F7C6AA" w14:textId="77777777" w:rsidR="00AC0FDB" w:rsidRPr="005D14B4" w:rsidRDefault="00AC0FDB" w:rsidP="00724A07">
            <w:pPr>
              <w:pStyle w:val="BodyA"/>
              <w:spacing w:after="0" w:line="360" w:lineRule="auto"/>
              <w:jc w:val="center"/>
              <w:rPr>
                <w:sz w:val="20"/>
                <w:szCs w:val="20"/>
              </w:rPr>
            </w:pPr>
            <w:r w:rsidRPr="005D14B4">
              <w:rPr>
                <w:sz w:val="20"/>
                <w:szCs w:val="20"/>
                <w:lang w:val="en-US"/>
              </w:rPr>
              <w:t>11.2 (10.6)</w:t>
            </w:r>
          </w:p>
        </w:tc>
        <w:tc>
          <w:tcPr>
            <w:tcW w:w="938" w:type="pct"/>
            <w:tcBorders>
              <w:top w:val="nil"/>
              <w:left w:val="nil"/>
              <w:bottom w:val="nil"/>
              <w:right w:val="single" w:sz="12" w:space="0" w:color="000000"/>
            </w:tcBorders>
            <w:shd w:val="clear" w:color="auto" w:fill="D9D9D9"/>
            <w:tcMar>
              <w:top w:w="80" w:type="dxa"/>
              <w:left w:w="80" w:type="dxa"/>
              <w:bottom w:w="80" w:type="dxa"/>
              <w:right w:w="80" w:type="dxa"/>
            </w:tcMar>
            <w:vAlign w:val="center"/>
          </w:tcPr>
          <w:p w14:paraId="448D1E15" w14:textId="77777777" w:rsidR="00AC0FDB" w:rsidRPr="005D14B4" w:rsidRDefault="00AC0FDB" w:rsidP="00724A07">
            <w:pPr>
              <w:pStyle w:val="BodyA"/>
              <w:spacing w:after="0" w:line="360" w:lineRule="auto"/>
              <w:jc w:val="center"/>
              <w:rPr>
                <w:sz w:val="20"/>
                <w:szCs w:val="20"/>
              </w:rPr>
            </w:pPr>
            <w:r w:rsidRPr="005D14B4">
              <w:rPr>
                <w:b/>
                <w:bCs/>
                <w:sz w:val="20"/>
                <w:szCs w:val="20"/>
                <w:lang w:val="it-IT"/>
              </w:rPr>
              <w:t>&lt;0·01</w:t>
            </w:r>
          </w:p>
        </w:tc>
      </w:tr>
      <w:tr w:rsidR="00AC0FDB" w14:paraId="2A164E46" w14:textId="77777777" w:rsidTr="00FD2D3D">
        <w:trPr>
          <w:trHeight w:val="620"/>
        </w:trPr>
        <w:tc>
          <w:tcPr>
            <w:tcW w:w="860" w:type="pct"/>
            <w:tcBorders>
              <w:top w:val="nil"/>
              <w:left w:val="single" w:sz="12" w:space="0" w:color="000000"/>
              <w:bottom w:val="nil"/>
              <w:right w:val="nil"/>
            </w:tcBorders>
            <w:shd w:val="clear" w:color="auto" w:fill="D9D9D9"/>
            <w:tcMar>
              <w:top w:w="80" w:type="dxa"/>
              <w:left w:w="80" w:type="dxa"/>
              <w:bottom w:w="80" w:type="dxa"/>
              <w:right w:w="80" w:type="dxa"/>
            </w:tcMar>
            <w:vAlign w:val="center"/>
          </w:tcPr>
          <w:p w14:paraId="31F1F2D4" w14:textId="77777777" w:rsidR="00AC0FDB" w:rsidRPr="005D14B4" w:rsidRDefault="00AC0FDB" w:rsidP="00724A07">
            <w:pPr>
              <w:pStyle w:val="BodyA"/>
              <w:spacing w:after="0"/>
              <w:jc w:val="both"/>
              <w:rPr>
                <w:sz w:val="20"/>
                <w:szCs w:val="20"/>
              </w:rPr>
            </w:pPr>
            <w:proofErr w:type="spellStart"/>
            <w:r w:rsidRPr="005D14B4">
              <w:rPr>
                <w:b/>
                <w:bCs/>
                <w:sz w:val="20"/>
                <w:szCs w:val="20"/>
                <w:lang w:val="en-US"/>
              </w:rPr>
              <w:t>WDT</w:t>
            </w:r>
            <w:proofErr w:type="spellEnd"/>
            <w:r w:rsidRPr="005D14B4">
              <w:rPr>
                <w:b/>
                <w:bCs/>
                <w:sz w:val="20"/>
                <w:szCs w:val="20"/>
                <w:lang w:val="en-US"/>
              </w:rPr>
              <w:t xml:space="preserve"> (°C)</w:t>
            </w:r>
          </w:p>
        </w:tc>
        <w:tc>
          <w:tcPr>
            <w:tcW w:w="703" w:type="pct"/>
            <w:tcBorders>
              <w:top w:val="nil"/>
              <w:left w:val="nil"/>
              <w:bottom w:val="nil"/>
              <w:right w:val="nil"/>
            </w:tcBorders>
            <w:shd w:val="clear" w:color="auto" w:fill="D9D9D9"/>
            <w:tcMar>
              <w:top w:w="80" w:type="dxa"/>
              <w:left w:w="80" w:type="dxa"/>
              <w:bottom w:w="80" w:type="dxa"/>
              <w:right w:w="80" w:type="dxa"/>
            </w:tcMar>
            <w:vAlign w:val="center"/>
          </w:tcPr>
          <w:p w14:paraId="29FD8B8E" w14:textId="77777777" w:rsidR="00AC0FDB" w:rsidRPr="005D14B4" w:rsidRDefault="00AC0FDB" w:rsidP="00724A07">
            <w:pPr>
              <w:pStyle w:val="BodyA"/>
              <w:spacing w:after="0" w:line="360" w:lineRule="auto"/>
              <w:jc w:val="center"/>
              <w:rPr>
                <w:sz w:val="20"/>
                <w:szCs w:val="20"/>
              </w:rPr>
            </w:pPr>
            <w:r w:rsidRPr="005D14B4">
              <w:rPr>
                <w:sz w:val="20"/>
                <w:szCs w:val="20"/>
                <w:lang w:val="en-US"/>
              </w:rPr>
              <w:t>39.3 (3.6)</w:t>
            </w:r>
          </w:p>
        </w:tc>
        <w:tc>
          <w:tcPr>
            <w:tcW w:w="860" w:type="pct"/>
            <w:tcBorders>
              <w:top w:val="nil"/>
              <w:left w:val="nil"/>
              <w:bottom w:val="nil"/>
              <w:right w:val="nil"/>
            </w:tcBorders>
            <w:shd w:val="clear" w:color="auto" w:fill="D9D9D9"/>
            <w:tcMar>
              <w:top w:w="80" w:type="dxa"/>
              <w:left w:w="80" w:type="dxa"/>
              <w:bottom w:w="80" w:type="dxa"/>
              <w:right w:w="80" w:type="dxa"/>
            </w:tcMar>
            <w:vAlign w:val="center"/>
          </w:tcPr>
          <w:p w14:paraId="7EDF8692" w14:textId="77777777" w:rsidR="00AC0FDB" w:rsidRPr="005D14B4" w:rsidRDefault="00AC0FDB" w:rsidP="00724A07">
            <w:pPr>
              <w:pStyle w:val="BodyA"/>
              <w:spacing w:after="0" w:line="360" w:lineRule="auto"/>
              <w:jc w:val="center"/>
              <w:rPr>
                <w:sz w:val="20"/>
                <w:szCs w:val="20"/>
              </w:rPr>
            </w:pPr>
            <w:r w:rsidRPr="005D14B4">
              <w:rPr>
                <w:sz w:val="20"/>
                <w:szCs w:val="20"/>
                <w:lang w:val="en-US"/>
              </w:rPr>
              <w:t>39.6 (3.5)</w:t>
            </w:r>
          </w:p>
        </w:tc>
        <w:tc>
          <w:tcPr>
            <w:tcW w:w="859" w:type="pct"/>
            <w:tcBorders>
              <w:top w:val="nil"/>
              <w:left w:val="nil"/>
              <w:bottom w:val="nil"/>
              <w:right w:val="nil"/>
            </w:tcBorders>
            <w:shd w:val="clear" w:color="auto" w:fill="D9D9D9"/>
            <w:tcMar>
              <w:top w:w="80" w:type="dxa"/>
              <w:left w:w="80" w:type="dxa"/>
              <w:bottom w:w="80" w:type="dxa"/>
              <w:right w:w="80" w:type="dxa"/>
            </w:tcMar>
            <w:vAlign w:val="center"/>
          </w:tcPr>
          <w:p w14:paraId="603A93E3" w14:textId="77777777" w:rsidR="00AC0FDB" w:rsidRPr="005D14B4" w:rsidRDefault="00AC0FDB" w:rsidP="00724A07">
            <w:pPr>
              <w:pStyle w:val="BodyA"/>
              <w:spacing w:after="0" w:line="360" w:lineRule="auto"/>
              <w:jc w:val="center"/>
              <w:rPr>
                <w:sz w:val="20"/>
                <w:szCs w:val="20"/>
              </w:rPr>
            </w:pPr>
            <w:r w:rsidRPr="005D14B4">
              <w:rPr>
                <w:sz w:val="20"/>
                <w:szCs w:val="20"/>
                <w:lang w:val="en-US"/>
              </w:rPr>
              <w:t>46.4 (3.9)</w:t>
            </w:r>
          </w:p>
        </w:tc>
        <w:tc>
          <w:tcPr>
            <w:tcW w:w="781" w:type="pct"/>
            <w:tcBorders>
              <w:top w:val="nil"/>
              <w:left w:val="nil"/>
              <w:bottom w:val="nil"/>
              <w:right w:val="nil"/>
            </w:tcBorders>
            <w:shd w:val="clear" w:color="auto" w:fill="D9D9D9"/>
            <w:tcMar>
              <w:top w:w="80" w:type="dxa"/>
              <w:left w:w="80" w:type="dxa"/>
              <w:bottom w:w="80" w:type="dxa"/>
              <w:right w:w="80" w:type="dxa"/>
            </w:tcMar>
            <w:vAlign w:val="center"/>
          </w:tcPr>
          <w:p w14:paraId="42484741" w14:textId="77777777" w:rsidR="00AC0FDB" w:rsidRPr="005D14B4" w:rsidRDefault="00AC0FDB" w:rsidP="00724A07">
            <w:pPr>
              <w:pStyle w:val="BodyA"/>
              <w:spacing w:after="0" w:line="360" w:lineRule="auto"/>
              <w:jc w:val="center"/>
              <w:rPr>
                <w:sz w:val="20"/>
                <w:szCs w:val="20"/>
              </w:rPr>
            </w:pPr>
            <w:r w:rsidRPr="005D14B4">
              <w:rPr>
                <w:sz w:val="20"/>
                <w:szCs w:val="20"/>
                <w:lang w:val="en-US"/>
              </w:rPr>
              <w:t>47.2 (3.0)</w:t>
            </w:r>
          </w:p>
        </w:tc>
        <w:tc>
          <w:tcPr>
            <w:tcW w:w="938" w:type="pct"/>
            <w:tcBorders>
              <w:top w:val="nil"/>
              <w:left w:val="nil"/>
              <w:bottom w:val="nil"/>
              <w:right w:val="single" w:sz="12" w:space="0" w:color="000000"/>
            </w:tcBorders>
            <w:shd w:val="clear" w:color="auto" w:fill="D9D9D9"/>
            <w:tcMar>
              <w:top w:w="80" w:type="dxa"/>
              <w:left w:w="80" w:type="dxa"/>
              <w:bottom w:w="80" w:type="dxa"/>
              <w:right w:w="80" w:type="dxa"/>
            </w:tcMar>
            <w:vAlign w:val="center"/>
          </w:tcPr>
          <w:p w14:paraId="69E24FA5" w14:textId="77777777" w:rsidR="00AC0FDB" w:rsidRPr="005D14B4" w:rsidRDefault="00AC0FDB" w:rsidP="00724A07">
            <w:pPr>
              <w:pStyle w:val="BodyA"/>
              <w:spacing w:after="0" w:line="360" w:lineRule="auto"/>
              <w:jc w:val="center"/>
              <w:rPr>
                <w:sz w:val="20"/>
                <w:szCs w:val="20"/>
              </w:rPr>
            </w:pPr>
            <w:r w:rsidRPr="005D14B4">
              <w:rPr>
                <w:b/>
                <w:bCs/>
                <w:sz w:val="20"/>
                <w:szCs w:val="20"/>
                <w:lang w:val="it-IT"/>
              </w:rPr>
              <w:t>&lt;0·01</w:t>
            </w:r>
          </w:p>
        </w:tc>
      </w:tr>
      <w:tr w:rsidR="00AC0FDB" w14:paraId="6BBB401F" w14:textId="77777777" w:rsidTr="00FD2D3D">
        <w:trPr>
          <w:trHeight w:val="620"/>
        </w:trPr>
        <w:tc>
          <w:tcPr>
            <w:tcW w:w="860" w:type="pct"/>
            <w:tcBorders>
              <w:top w:val="nil"/>
              <w:left w:val="single" w:sz="12" w:space="0" w:color="000000"/>
              <w:bottom w:val="nil"/>
              <w:right w:val="nil"/>
            </w:tcBorders>
            <w:shd w:val="clear" w:color="auto" w:fill="D9D9D9"/>
            <w:tcMar>
              <w:top w:w="80" w:type="dxa"/>
              <w:left w:w="80" w:type="dxa"/>
              <w:bottom w:w="80" w:type="dxa"/>
              <w:right w:w="80" w:type="dxa"/>
            </w:tcMar>
            <w:vAlign w:val="center"/>
          </w:tcPr>
          <w:p w14:paraId="34C5AB66" w14:textId="77777777" w:rsidR="00AC0FDB" w:rsidRPr="005D14B4" w:rsidRDefault="00AC0FDB" w:rsidP="00724A07">
            <w:pPr>
              <w:pStyle w:val="BodyA"/>
              <w:spacing w:after="0"/>
              <w:jc w:val="both"/>
              <w:rPr>
                <w:sz w:val="20"/>
                <w:szCs w:val="20"/>
              </w:rPr>
            </w:pPr>
            <w:proofErr w:type="spellStart"/>
            <w:r w:rsidRPr="005D14B4">
              <w:rPr>
                <w:b/>
                <w:bCs/>
                <w:sz w:val="20"/>
                <w:szCs w:val="20"/>
                <w:lang w:val="en-US"/>
              </w:rPr>
              <w:t>TSL</w:t>
            </w:r>
            <w:proofErr w:type="spellEnd"/>
            <w:r w:rsidRPr="005D14B4">
              <w:rPr>
                <w:b/>
                <w:bCs/>
                <w:sz w:val="20"/>
                <w:szCs w:val="20"/>
                <w:lang w:val="en-US"/>
              </w:rPr>
              <w:t xml:space="preserve"> (°C)</w:t>
            </w:r>
          </w:p>
        </w:tc>
        <w:tc>
          <w:tcPr>
            <w:tcW w:w="703" w:type="pct"/>
            <w:tcBorders>
              <w:top w:val="nil"/>
              <w:left w:val="nil"/>
              <w:bottom w:val="nil"/>
              <w:right w:val="nil"/>
            </w:tcBorders>
            <w:shd w:val="clear" w:color="auto" w:fill="D9D9D9"/>
            <w:tcMar>
              <w:top w:w="80" w:type="dxa"/>
              <w:left w:w="80" w:type="dxa"/>
              <w:bottom w:w="80" w:type="dxa"/>
              <w:right w:w="80" w:type="dxa"/>
            </w:tcMar>
            <w:vAlign w:val="center"/>
          </w:tcPr>
          <w:p w14:paraId="1E4D24F9" w14:textId="77777777" w:rsidR="00AC0FDB" w:rsidRPr="005D14B4" w:rsidRDefault="00AC0FDB" w:rsidP="00724A07">
            <w:pPr>
              <w:pStyle w:val="BodyA"/>
              <w:spacing w:after="0" w:line="360" w:lineRule="auto"/>
              <w:jc w:val="center"/>
              <w:rPr>
                <w:sz w:val="20"/>
                <w:szCs w:val="20"/>
              </w:rPr>
            </w:pPr>
            <w:r w:rsidRPr="005D14B4">
              <w:rPr>
                <w:sz w:val="20"/>
                <w:szCs w:val="20"/>
                <w:lang w:val="en-US"/>
              </w:rPr>
              <w:t>13.6 (7.2)</w:t>
            </w:r>
          </w:p>
        </w:tc>
        <w:tc>
          <w:tcPr>
            <w:tcW w:w="860" w:type="pct"/>
            <w:tcBorders>
              <w:top w:val="nil"/>
              <w:left w:val="nil"/>
              <w:bottom w:val="nil"/>
              <w:right w:val="nil"/>
            </w:tcBorders>
            <w:shd w:val="clear" w:color="auto" w:fill="D9D9D9"/>
            <w:tcMar>
              <w:top w:w="80" w:type="dxa"/>
              <w:left w:w="80" w:type="dxa"/>
              <w:bottom w:w="80" w:type="dxa"/>
              <w:right w:w="80" w:type="dxa"/>
            </w:tcMar>
            <w:vAlign w:val="center"/>
          </w:tcPr>
          <w:p w14:paraId="109031C9" w14:textId="77777777" w:rsidR="00AC0FDB" w:rsidRPr="005D14B4" w:rsidRDefault="00AC0FDB" w:rsidP="00724A07">
            <w:pPr>
              <w:pStyle w:val="BodyA"/>
              <w:spacing w:after="0" w:line="360" w:lineRule="auto"/>
              <w:jc w:val="center"/>
              <w:rPr>
                <w:sz w:val="20"/>
                <w:szCs w:val="20"/>
              </w:rPr>
            </w:pPr>
            <w:r w:rsidRPr="005D14B4">
              <w:rPr>
                <w:sz w:val="20"/>
                <w:szCs w:val="20"/>
                <w:lang w:val="en-US"/>
              </w:rPr>
              <w:t>17.09 (8.7)</w:t>
            </w:r>
          </w:p>
        </w:tc>
        <w:tc>
          <w:tcPr>
            <w:tcW w:w="859" w:type="pct"/>
            <w:tcBorders>
              <w:top w:val="nil"/>
              <w:left w:val="nil"/>
              <w:bottom w:val="nil"/>
              <w:right w:val="nil"/>
            </w:tcBorders>
            <w:shd w:val="clear" w:color="auto" w:fill="D9D9D9"/>
            <w:tcMar>
              <w:top w:w="80" w:type="dxa"/>
              <w:left w:w="80" w:type="dxa"/>
              <w:bottom w:w="80" w:type="dxa"/>
              <w:right w:w="80" w:type="dxa"/>
            </w:tcMar>
            <w:vAlign w:val="center"/>
          </w:tcPr>
          <w:p w14:paraId="06D2B0E2" w14:textId="77777777" w:rsidR="00AC0FDB" w:rsidRPr="005D14B4" w:rsidRDefault="00AC0FDB" w:rsidP="00724A07">
            <w:pPr>
              <w:pStyle w:val="BodyA"/>
              <w:spacing w:after="0" w:line="360" w:lineRule="auto"/>
              <w:jc w:val="center"/>
              <w:rPr>
                <w:sz w:val="20"/>
                <w:szCs w:val="20"/>
              </w:rPr>
            </w:pPr>
            <w:r w:rsidRPr="005D14B4">
              <w:rPr>
                <w:sz w:val="20"/>
                <w:szCs w:val="20"/>
                <w:lang w:val="en-US"/>
              </w:rPr>
              <w:t>30.9 (12.0)</w:t>
            </w:r>
          </w:p>
        </w:tc>
        <w:tc>
          <w:tcPr>
            <w:tcW w:w="781" w:type="pct"/>
            <w:tcBorders>
              <w:top w:val="nil"/>
              <w:left w:val="nil"/>
              <w:bottom w:val="nil"/>
              <w:right w:val="nil"/>
            </w:tcBorders>
            <w:shd w:val="clear" w:color="auto" w:fill="D9D9D9"/>
            <w:tcMar>
              <w:top w:w="80" w:type="dxa"/>
              <w:left w:w="80" w:type="dxa"/>
              <w:bottom w:w="80" w:type="dxa"/>
              <w:right w:w="80" w:type="dxa"/>
            </w:tcMar>
            <w:vAlign w:val="center"/>
          </w:tcPr>
          <w:p w14:paraId="5BD87ECE" w14:textId="77777777" w:rsidR="00AC0FDB" w:rsidRPr="005D14B4" w:rsidRDefault="00AC0FDB" w:rsidP="00724A07">
            <w:pPr>
              <w:pStyle w:val="BodyA"/>
              <w:spacing w:after="0" w:line="360" w:lineRule="auto"/>
              <w:jc w:val="center"/>
              <w:rPr>
                <w:sz w:val="20"/>
                <w:szCs w:val="20"/>
              </w:rPr>
            </w:pPr>
            <w:r w:rsidRPr="005D14B4">
              <w:rPr>
                <w:sz w:val="20"/>
                <w:szCs w:val="20"/>
                <w:lang w:val="en-US"/>
              </w:rPr>
              <w:t>37.9 (12.3)</w:t>
            </w:r>
          </w:p>
        </w:tc>
        <w:tc>
          <w:tcPr>
            <w:tcW w:w="938" w:type="pct"/>
            <w:tcBorders>
              <w:top w:val="nil"/>
              <w:left w:val="nil"/>
              <w:bottom w:val="nil"/>
              <w:right w:val="single" w:sz="12" w:space="0" w:color="000000"/>
            </w:tcBorders>
            <w:shd w:val="clear" w:color="auto" w:fill="D9D9D9"/>
            <w:tcMar>
              <w:top w:w="80" w:type="dxa"/>
              <w:left w:w="80" w:type="dxa"/>
              <w:bottom w:w="80" w:type="dxa"/>
              <w:right w:w="80" w:type="dxa"/>
            </w:tcMar>
            <w:vAlign w:val="center"/>
          </w:tcPr>
          <w:p w14:paraId="1B85813A" w14:textId="77777777" w:rsidR="00AC0FDB" w:rsidRPr="005D14B4" w:rsidRDefault="00AC0FDB" w:rsidP="00724A07">
            <w:pPr>
              <w:pStyle w:val="BodyA"/>
              <w:spacing w:after="0" w:line="360" w:lineRule="auto"/>
              <w:jc w:val="center"/>
              <w:rPr>
                <w:sz w:val="20"/>
                <w:szCs w:val="20"/>
              </w:rPr>
            </w:pPr>
            <w:r w:rsidRPr="005D14B4">
              <w:rPr>
                <w:b/>
                <w:bCs/>
                <w:sz w:val="20"/>
                <w:szCs w:val="20"/>
                <w:lang w:val="it-IT"/>
              </w:rPr>
              <w:t>&lt;0·01</w:t>
            </w:r>
          </w:p>
        </w:tc>
      </w:tr>
      <w:tr w:rsidR="00AC0FDB" w14:paraId="61C32F42" w14:textId="77777777" w:rsidTr="00FD2D3D">
        <w:trPr>
          <w:trHeight w:val="620"/>
        </w:trPr>
        <w:tc>
          <w:tcPr>
            <w:tcW w:w="860" w:type="pct"/>
            <w:tcBorders>
              <w:top w:val="nil"/>
              <w:left w:val="single" w:sz="12" w:space="0" w:color="000000"/>
              <w:bottom w:val="nil"/>
              <w:right w:val="nil"/>
            </w:tcBorders>
            <w:shd w:val="clear" w:color="auto" w:fill="D9D9D9"/>
            <w:tcMar>
              <w:top w:w="80" w:type="dxa"/>
              <w:left w:w="80" w:type="dxa"/>
              <w:bottom w:w="80" w:type="dxa"/>
              <w:right w:w="80" w:type="dxa"/>
            </w:tcMar>
            <w:vAlign w:val="center"/>
          </w:tcPr>
          <w:p w14:paraId="0997CBFE" w14:textId="77777777" w:rsidR="00AC0FDB" w:rsidRPr="005D14B4" w:rsidRDefault="00AC0FDB" w:rsidP="00724A07">
            <w:pPr>
              <w:pStyle w:val="BodyA"/>
              <w:spacing w:after="0"/>
              <w:jc w:val="both"/>
              <w:rPr>
                <w:sz w:val="20"/>
                <w:szCs w:val="20"/>
              </w:rPr>
            </w:pPr>
            <w:r w:rsidRPr="005D14B4">
              <w:rPr>
                <w:b/>
                <w:bCs/>
                <w:sz w:val="20"/>
                <w:szCs w:val="20"/>
                <w:lang w:val="en-US"/>
              </w:rPr>
              <w:t>Feet ESC (</w:t>
            </w:r>
            <w:r w:rsidRPr="005D14B4">
              <w:rPr>
                <w:sz w:val="20"/>
                <w:szCs w:val="20"/>
                <w:lang w:val="en-US"/>
              </w:rPr>
              <w:t></w:t>
            </w:r>
            <w:r w:rsidRPr="005D14B4">
              <w:rPr>
                <w:b/>
                <w:bCs/>
                <w:sz w:val="20"/>
                <w:szCs w:val="20"/>
                <w:lang w:val="en-US"/>
              </w:rPr>
              <w:t>S)</w:t>
            </w:r>
          </w:p>
        </w:tc>
        <w:tc>
          <w:tcPr>
            <w:tcW w:w="703" w:type="pct"/>
            <w:tcBorders>
              <w:top w:val="nil"/>
              <w:left w:val="nil"/>
              <w:bottom w:val="nil"/>
              <w:right w:val="nil"/>
            </w:tcBorders>
            <w:shd w:val="clear" w:color="auto" w:fill="D9D9D9"/>
            <w:tcMar>
              <w:top w:w="80" w:type="dxa"/>
              <w:left w:w="80" w:type="dxa"/>
              <w:bottom w:w="80" w:type="dxa"/>
              <w:right w:w="80" w:type="dxa"/>
            </w:tcMar>
            <w:vAlign w:val="center"/>
          </w:tcPr>
          <w:p w14:paraId="1F7983F3" w14:textId="77777777" w:rsidR="00AC0FDB" w:rsidRPr="005D14B4" w:rsidRDefault="00AC0FDB" w:rsidP="00724A07">
            <w:pPr>
              <w:pStyle w:val="BodyA"/>
              <w:spacing w:after="0" w:line="360" w:lineRule="auto"/>
              <w:jc w:val="center"/>
              <w:rPr>
                <w:sz w:val="20"/>
                <w:szCs w:val="20"/>
              </w:rPr>
            </w:pPr>
            <w:r w:rsidRPr="005D14B4">
              <w:rPr>
                <w:sz w:val="20"/>
                <w:szCs w:val="20"/>
                <w:lang w:val="en-US"/>
              </w:rPr>
              <w:t>80.7(7.6)</w:t>
            </w:r>
          </w:p>
        </w:tc>
        <w:tc>
          <w:tcPr>
            <w:tcW w:w="860" w:type="pct"/>
            <w:tcBorders>
              <w:top w:val="nil"/>
              <w:left w:val="nil"/>
              <w:bottom w:val="nil"/>
              <w:right w:val="nil"/>
            </w:tcBorders>
            <w:shd w:val="clear" w:color="auto" w:fill="D9D9D9"/>
            <w:tcMar>
              <w:top w:w="80" w:type="dxa"/>
              <w:left w:w="80" w:type="dxa"/>
              <w:bottom w:w="80" w:type="dxa"/>
              <w:right w:w="80" w:type="dxa"/>
            </w:tcMar>
            <w:vAlign w:val="center"/>
          </w:tcPr>
          <w:p w14:paraId="13C7CF5B" w14:textId="77777777" w:rsidR="00AC0FDB" w:rsidRPr="005D14B4" w:rsidRDefault="00AC0FDB" w:rsidP="00724A07">
            <w:pPr>
              <w:pStyle w:val="BodyA"/>
              <w:spacing w:after="0" w:line="360" w:lineRule="auto"/>
              <w:jc w:val="center"/>
              <w:rPr>
                <w:sz w:val="20"/>
                <w:szCs w:val="20"/>
              </w:rPr>
            </w:pPr>
            <w:r w:rsidRPr="005D14B4">
              <w:rPr>
                <w:sz w:val="20"/>
                <w:szCs w:val="20"/>
                <w:lang w:val="en-US"/>
              </w:rPr>
              <w:t>70.5 (17.8)</w:t>
            </w:r>
          </w:p>
        </w:tc>
        <w:tc>
          <w:tcPr>
            <w:tcW w:w="859" w:type="pct"/>
            <w:tcBorders>
              <w:top w:val="nil"/>
              <w:left w:val="nil"/>
              <w:bottom w:val="nil"/>
              <w:right w:val="nil"/>
            </w:tcBorders>
            <w:shd w:val="clear" w:color="auto" w:fill="D9D9D9"/>
            <w:tcMar>
              <w:top w:w="80" w:type="dxa"/>
              <w:left w:w="80" w:type="dxa"/>
              <w:bottom w:w="80" w:type="dxa"/>
              <w:right w:w="80" w:type="dxa"/>
            </w:tcMar>
            <w:vAlign w:val="center"/>
          </w:tcPr>
          <w:p w14:paraId="736A93DF" w14:textId="77777777" w:rsidR="00AC0FDB" w:rsidRPr="005D14B4" w:rsidRDefault="00AC0FDB" w:rsidP="00724A07">
            <w:pPr>
              <w:pStyle w:val="BodyA"/>
              <w:spacing w:after="0" w:line="360" w:lineRule="auto"/>
              <w:jc w:val="center"/>
              <w:rPr>
                <w:sz w:val="20"/>
                <w:szCs w:val="20"/>
              </w:rPr>
            </w:pPr>
            <w:r w:rsidRPr="005D14B4">
              <w:rPr>
                <w:sz w:val="20"/>
                <w:szCs w:val="20"/>
                <w:lang w:val="en-US"/>
              </w:rPr>
              <w:t>45.3 (24.5)</w:t>
            </w:r>
          </w:p>
        </w:tc>
        <w:tc>
          <w:tcPr>
            <w:tcW w:w="781" w:type="pct"/>
            <w:tcBorders>
              <w:top w:val="nil"/>
              <w:left w:val="nil"/>
              <w:bottom w:val="nil"/>
              <w:right w:val="nil"/>
            </w:tcBorders>
            <w:shd w:val="clear" w:color="auto" w:fill="D9D9D9"/>
            <w:tcMar>
              <w:top w:w="80" w:type="dxa"/>
              <w:left w:w="80" w:type="dxa"/>
              <w:bottom w:w="80" w:type="dxa"/>
              <w:right w:w="80" w:type="dxa"/>
            </w:tcMar>
            <w:vAlign w:val="center"/>
          </w:tcPr>
          <w:p w14:paraId="5AB7CC98" w14:textId="77777777" w:rsidR="00AC0FDB" w:rsidRPr="005D14B4" w:rsidRDefault="00AC0FDB" w:rsidP="00724A07">
            <w:pPr>
              <w:pStyle w:val="BodyA"/>
              <w:spacing w:after="0" w:line="360" w:lineRule="auto"/>
              <w:jc w:val="center"/>
              <w:rPr>
                <w:sz w:val="20"/>
                <w:szCs w:val="20"/>
              </w:rPr>
            </w:pPr>
            <w:r w:rsidRPr="005D14B4">
              <w:rPr>
                <w:sz w:val="20"/>
                <w:szCs w:val="20"/>
                <w:lang w:val="en-US"/>
              </w:rPr>
              <w:t>50.3 (27.7)</w:t>
            </w:r>
          </w:p>
        </w:tc>
        <w:tc>
          <w:tcPr>
            <w:tcW w:w="938" w:type="pct"/>
            <w:tcBorders>
              <w:top w:val="nil"/>
              <w:left w:val="nil"/>
              <w:bottom w:val="nil"/>
              <w:right w:val="single" w:sz="12" w:space="0" w:color="000000"/>
            </w:tcBorders>
            <w:shd w:val="clear" w:color="auto" w:fill="D9D9D9"/>
            <w:tcMar>
              <w:top w:w="80" w:type="dxa"/>
              <w:left w:w="80" w:type="dxa"/>
              <w:bottom w:w="80" w:type="dxa"/>
              <w:right w:w="80" w:type="dxa"/>
            </w:tcMar>
            <w:vAlign w:val="center"/>
          </w:tcPr>
          <w:p w14:paraId="5830C35A" w14:textId="77777777" w:rsidR="00AC0FDB" w:rsidRPr="005D14B4" w:rsidRDefault="00AC0FDB" w:rsidP="00724A07">
            <w:pPr>
              <w:pStyle w:val="BodyA"/>
              <w:spacing w:after="0" w:line="360" w:lineRule="auto"/>
              <w:jc w:val="center"/>
              <w:rPr>
                <w:sz w:val="20"/>
                <w:szCs w:val="20"/>
              </w:rPr>
            </w:pPr>
            <w:r w:rsidRPr="005D14B4">
              <w:rPr>
                <w:b/>
                <w:bCs/>
                <w:sz w:val="20"/>
                <w:szCs w:val="20"/>
                <w:lang w:val="it-IT"/>
              </w:rPr>
              <w:t>&lt;0.01</w:t>
            </w:r>
          </w:p>
        </w:tc>
      </w:tr>
      <w:tr w:rsidR="00AC0FDB" w14:paraId="6A758DCE" w14:textId="77777777" w:rsidTr="00FD2D3D">
        <w:trPr>
          <w:trHeight w:val="680"/>
        </w:trPr>
        <w:tc>
          <w:tcPr>
            <w:tcW w:w="860" w:type="pct"/>
            <w:tcBorders>
              <w:top w:val="nil"/>
              <w:left w:val="single" w:sz="12" w:space="0" w:color="000000"/>
              <w:bottom w:val="nil"/>
              <w:right w:val="nil"/>
            </w:tcBorders>
            <w:shd w:val="clear" w:color="auto" w:fill="D9D9D9"/>
            <w:tcMar>
              <w:top w:w="80" w:type="dxa"/>
              <w:left w:w="80" w:type="dxa"/>
              <w:bottom w:w="80" w:type="dxa"/>
              <w:right w:w="80" w:type="dxa"/>
            </w:tcMar>
            <w:vAlign w:val="center"/>
          </w:tcPr>
          <w:p w14:paraId="17F8CF78" w14:textId="77777777" w:rsidR="00AC0FDB" w:rsidRPr="005D14B4" w:rsidRDefault="00AC0FDB" w:rsidP="00724A07">
            <w:pPr>
              <w:pStyle w:val="BodyA"/>
              <w:spacing w:after="0"/>
              <w:jc w:val="both"/>
              <w:rPr>
                <w:sz w:val="20"/>
                <w:szCs w:val="20"/>
              </w:rPr>
            </w:pPr>
            <w:proofErr w:type="spellStart"/>
            <w:r w:rsidRPr="005D14B4">
              <w:rPr>
                <w:b/>
                <w:bCs/>
                <w:sz w:val="20"/>
                <w:szCs w:val="20"/>
                <w:lang w:val="en-US"/>
              </w:rPr>
              <w:t>IENFD</w:t>
            </w:r>
            <w:proofErr w:type="spellEnd"/>
            <w:r w:rsidRPr="005D14B4">
              <w:rPr>
                <w:b/>
                <w:bCs/>
                <w:sz w:val="20"/>
                <w:szCs w:val="20"/>
                <w:lang w:val="en-US"/>
              </w:rPr>
              <w:t xml:space="preserve"> (</w:t>
            </w:r>
            <w:proofErr w:type="spellStart"/>
            <w:r w:rsidRPr="005D14B4">
              <w:rPr>
                <w:b/>
                <w:bCs/>
                <w:sz w:val="20"/>
                <w:szCs w:val="20"/>
                <w:lang w:val="en-US"/>
              </w:rPr>
              <w:t>fibres</w:t>
            </w:r>
            <w:proofErr w:type="spellEnd"/>
            <w:r w:rsidRPr="005D14B4">
              <w:rPr>
                <w:b/>
                <w:bCs/>
                <w:sz w:val="20"/>
                <w:szCs w:val="20"/>
                <w:lang w:val="en-US"/>
              </w:rPr>
              <w:t>/mm)</w:t>
            </w:r>
          </w:p>
        </w:tc>
        <w:tc>
          <w:tcPr>
            <w:tcW w:w="703" w:type="pct"/>
            <w:tcBorders>
              <w:top w:val="nil"/>
              <w:left w:val="nil"/>
              <w:bottom w:val="nil"/>
              <w:right w:val="nil"/>
            </w:tcBorders>
            <w:shd w:val="clear" w:color="auto" w:fill="D9D9D9"/>
            <w:tcMar>
              <w:top w:w="80" w:type="dxa"/>
              <w:left w:w="80" w:type="dxa"/>
              <w:bottom w:w="80" w:type="dxa"/>
              <w:right w:w="80" w:type="dxa"/>
            </w:tcMar>
            <w:vAlign w:val="center"/>
          </w:tcPr>
          <w:p w14:paraId="3F3BF5ED" w14:textId="77777777" w:rsidR="00AC0FDB" w:rsidRPr="005D14B4" w:rsidRDefault="00AC0FDB" w:rsidP="00724A07">
            <w:pPr>
              <w:pStyle w:val="BodyA"/>
              <w:spacing w:after="0" w:line="360" w:lineRule="auto"/>
              <w:jc w:val="center"/>
              <w:rPr>
                <w:sz w:val="20"/>
                <w:szCs w:val="20"/>
              </w:rPr>
            </w:pPr>
            <w:r w:rsidRPr="005D14B4">
              <w:rPr>
                <w:sz w:val="20"/>
                <w:szCs w:val="20"/>
                <w:lang w:val="en-US"/>
              </w:rPr>
              <w:t>5.6 (1.3)</w:t>
            </w:r>
          </w:p>
        </w:tc>
        <w:tc>
          <w:tcPr>
            <w:tcW w:w="860" w:type="pct"/>
            <w:tcBorders>
              <w:top w:val="nil"/>
              <w:left w:val="nil"/>
              <w:bottom w:val="nil"/>
              <w:right w:val="nil"/>
            </w:tcBorders>
            <w:shd w:val="clear" w:color="auto" w:fill="D9D9D9"/>
            <w:tcMar>
              <w:top w:w="80" w:type="dxa"/>
              <w:left w:w="80" w:type="dxa"/>
              <w:bottom w:w="80" w:type="dxa"/>
              <w:right w:w="80" w:type="dxa"/>
            </w:tcMar>
            <w:vAlign w:val="center"/>
          </w:tcPr>
          <w:p w14:paraId="7A565BF0" w14:textId="77777777" w:rsidR="00AC0FDB" w:rsidRPr="005D14B4" w:rsidRDefault="00AC0FDB" w:rsidP="00724A07">
            <w:pPr>
              <w:pStyle w:val="BodyA"/>
              <w:spacing w:after="0" w:line="360" w:lineRule="auto"/>
              <w:jc w:val="center"/>
              <w:rPr>
                <w:sz w:val="20"/>
                <w:szCs w:val="20"/>
              </w:rPr>
            </w:pPr>
            <w:r w:rsidRPr="005D14B4">
              <w:rPr>
                <w:sz w:val="20"/>
                <w:szCs w:val="20"/>
                <w:lang w:val="en-US"/>
              </w:rPr>
              <w:t>5.3 (3.1)</w:t>
            </w:r>
          </w:p>
        </w:tc>
        <w:tc>
          <w:tcPr>
            <w:tcW w:w="859" w:type="pct"/>
            <w:tcBorders>
              <w:top w:val="nil"/>
              <w:left w:val="nil"/>
              <w:bottom w:val="nil"/>
              <w:right w:val="nil"/>
            </w:tcBorders>
            <w:shd w:val="clear" w:color="auto" w:fill="D9D9D9"/>
            <w:tcMar>
              <w:top w:w="80" w:type="dxa"/>
              <w:left w:w="80" w:type="dxa"/>
              <w:bottom w:w="80" w:type="dxa"/>
              <w:right w:w="80" w:type="dxa"/>
            </w:tcMar>
            <w:vAlign w:val="center"/>
          </w:tcPr>
          <w:p w14:paraId="5E11F408" w14:textId="77777777" w:rsidR="00AC0FDB" w:rsidRPr="005D14B4" w:rsidRDefault="00AC0FDB" w:rsidP="00724A07">
            <w:pPr>
              <w:pStyle w:val="BodyA"/>
              <w:spacing w:after="0" w:line="360" w:lineRule="auto"/>
              <w:jc w:val="center"/>
              <w:rPr>
                <w:sz w:val="20"/>
                <w:szCs w:val="20"/>
              </w:rPr>
            </w:pPr>
            <w:r w:rsidRPr="005D14B4">
              <w:rPr>
                <w:sz w:val="20"/>
                <w:szCs w:val="20"/>
                <w:lang w:val="en-US"/>
              </w:rPr>
              <w:t>0.63 (1.4)</w:t>
            </w:r>
          </w:p>
        </w:tc>
        <w:tc>
          <w:tcPr>
            <w:tcW w:w="781" w:type="pct"/>
            <w:tcBorders>
              <w:top w:val="nil"/>
              <w:left w:val="nil"/>
              <w:bottom w:val="nil"/>
              <w:right w:val="nil"/>
            </w:tcBorders>
            <w:shd w:val="clear" w:color="auto" w:fill="D9D9D9"/>
            <w:tcMar>
              <w:top w:w="80" w:type="dxa"/>
              <w:left w:w="80" w:type="dxa"/>
              <w:bottom w:w="80" w:type="dxa"/>
              <w:right w:w="80" w:type="dxa"/>
            </w:tcMar>
            <w:vAlign w:val="center"/>
          </w:tcPr>
          <w:p w14:paraId="71CBBBD5" w14:textId="77777777" w:rsidR="00AC0FDB" w:rsidRPr="005D14B4" w:rsidRDefault="00AC0FDB" w:rsidP="00724A07">
            <w:pPr>
              <w:pStyle w:val="BodyA"/>
              <w:spacing w:after="0" w:line="360" w:lineRule="auto"/>
              <w:jc w:val="center"/>
              <w:rPr>
                <w:sz w:val="20"/>
                <w:szCs w:val="20"/>
              </w:rPr>
            </w:pPr>
            <w:r w:rsidRPr="005D14B4">
              <w:rPr>
                <w:sz w:val="20"/>
                <w:szCs w:val="20"/>
                <w:lang w:val="en-US"/>
              </w:rPr>
              <w:t>0.82 (1.7)</w:t>
            </w:r>
          </w:p>
        </w:tc>
        <w:tc>
          <w:tcPr>
            <w:tcW w:w="938" w:type="pct"/>
            <w:tcBorders>
              <w:top w:val="nil"/>
              <w:left w:val="nil"/>
              <w:bottom w:val="nil"/>
              <w:right w:val="single" w:sz="12" w:space="0" w:color="000000"/>
            </w:tcBorders>
            <w:shd w:val="clear" w:color="auto" w:fill="D9D9D9"/>
            <w:tcMar>
              <w:top w:w="80" w:type="dxa"/>
              <w:left w:w="80" w:type="dxa"/>
              <w:bottom w:w="80" w:type="dxa"/>
              <w:right w:w="80" w:type="dxa"/>
            </w:tcMar>
            <w:vAlign w:val="center"/>
          </w:tcPr>
          <w:p w14:paraId="2FF1CDEB" w14:textId="77777777" w:rsidR="00AC0FDB" w:rsidRPr="005D14B4" w:rsidRDefault="00AC0FDB" w:rsidP="00724A07">
            <w:pPr>
              <w:pStyle w:val="BodyA"/>
              <w:spacing w:after="0" w:line="360" w:lineRule="auto"/>
              <w:jc w:val="center"/>
              <w:rPr>
                <w:sz w:val="20"/>
                <w:szCs w:val="20"/>
              </w:rPr>
            </w:pPr>
            <w:r w:rsidRPr="005D14B4">
              <w:rPr>
                <w:b/>
                <w:bCs/>
                <w:sz w:val="20"/>
                <w:szCs w:val="20"/>
                <w:lang w:val="en-US"/>
              </w:rPr>
              <w:t>&lt;0·01</w:t>
            </w:r>
          </w:p>
        </w:tc>
      </w:tr>
      <w:tr w:rsidR="00AC0FDB" w14:paraId="2F2B9A39" w14:textId="77777777" w:rsidTr="00FD2D3D">
        <w:trPr>
          <w:trHeight w:val="680"/>
        </w:trPr>
        <w:tc>
          <w:tcPr>
            <w:tcW w:w="860" w:type="pct"/>
            <w:tcBorders>
              <w:top w:val="nil"/>
              <w:left w:val="single" w:sz="12" w:space="0" w:color="000000"/>
              <w:bottom w:val="single" w:sz="12" w:space="0" w:color="000000"/>
              <w:right w:val="nil"/>
            </w:tcBorders>
            <w:shd w:val="clear" w:color="auto" w:fill="D9D9D9"/>
            <w:tcMar>
              <w:top w:w="80" w:type="dxa"/>
              <w:left w:w="80" w:type="dxa"/>
              <w:bottom w:w="80" w:type="dxa"/>
              <w:right w:w="80" w:type="dxa"/>
            </w:tcMar>
            <w:vAlign w:val="center"/>
          </w:tcPr>
          <w:p w14:paraId="3ACE0515" w14:textId="77777777" w:rsidR="00AC0FDB" w:rsidRPr="005D14B4" w:rsidRDefault="00AC0FDB" w:rsidP="00724A07">
            <w:pPr>
              <w:pStyle w:val="BodyA"/>
              <w:spacing w:after="0"/>
              <w:jc w:val="both"/>
              <w:rPr>
                <w:sz w:val="20"/>
                <w:szCs w:val="20"/>
              </w:rPr>
            </w:pPr>
            <w:proofErr w:type="spellStart"/>
            <w:r w:rsidRPr="005D14B4">
              <w:rPr>
                <w:b/>
                <w:bCs/>
                <w:sz w:val="20"/>
                <w:szCs w:val="20"/>
                <w:lang w:val="en-US"/>
              </w:rPr>
              <w:t>SENFD</w:t>
            </w:r>
            <w:proofErr w:type="spellEnd"/>
            <w:r w:rsidRPr="005D14B4">
              <w:rPr>
                <w:b/>
                <w:bCs/>
                <w:sz w:val="20"/>
                <w:szCs w:val="20"/>
                <w:lang w:val="en-US"/>
              </w:rPr>
              <w:t xml:space="preserve"> (% area)</w:t>
            </w:r>
          </w:p>
        </w:tc>
        <w:tc>
          <w:tcPr>
            <w:tcW w:w="703" w:type="pct"/>
            <w:tcBorders>
              <w:top w:val="nil"/>
              <w:left w:val="nil"/>
              <w:bottom w:val="single" w:sz="12" w:space="0" w:color="000000"/>
              <w:right w:val="nil"/>
            </w:tcBorders>
            <w:shd w:val="clear" w:color="auto" w:fill="D9D9D9"/>
            <w:tcMar>
              <w:top w:w="80" w:type="dxa"/>
              <w:left w:w="80" w:type="dxa"/>
              <w:bottom w:w="80" w:type="dxa"/>
              <w:right w:w="80" w:type="dxa"/>
            </w:tcMar>
            <w:vAlign w:val="center"/>
          </w:tcPr>
          <w:p w14:paraId="0CA5CA07" w14:textId="77777777" w:rsidR="00AC0FDB" w:rsidRPr="005D14B4" w:rsidRDefault="00AC0FDB" w:rsidP="00724A07">
            <w:pPr>
              <w:pStyle w:val="BodyA"/>
              <w:spacing w:after="0" w:line="360" w:lineRule="auto"/>
              <w:jc w:val="center"/>
              <w:rPr>
                <w:sz w:val="20"/>
                <w:szCs w:val="20"/>
              </w:rPr>
            </w:pPr>
            <w:r w:rsidRPr="005D14B4">
              <w:rPr>
                <w:sz w:val="20"/>
                <w:szCs w:val="20"/>
                <w:lang w:val="en-US"/>
              </w:rPr>
              <w:t>1.0 (0.4)</w:t>
            </w:r>
          </w:p>
        </w:tc>
        <w:tc>
          <w:tcPr>
            <w:tcW w:w="860" w:type="pct"/>
            <w:tcBorders>
              <w:top w:val="nil"/>
              <w:left w:val="nil"/>
              <w:bottom w:val="single" w:sz="12" w:space="0" w:color="000000"/>
              <w:right w:val="nil"/>
            </w:tcBorders>
            <w:shd w:val="clear" w:color="auto" w:fill="D9D9D9"/>
            <w:tcMar>
              <w:top w:w="80" w:type="dxa"/>
              <w:left w:w="80" w:type="dxa"/>
              <w:bottom w:w="80" w:type="dxa"/>
              <w:right w:w="80" w:type="dxa"/>
            </w:tcMar>
            <w:vAlign w:val="center"/>
          </w:tcPr>
          <w:p w14:paraId="4F442863" w14:textId="77777777" w:rsidR="00AC0FDB" w:rsidRPr="005D14B4" w:rsidRDefault="00AC0FDB" w:rsidP="00724A07">
            <w:pPr>
              <w:pStyle w:val="BodyA"/>
              <w:spacing w:after="0" w:line="360" w:lineRule="auto"/>
              <w:jc w:val="center"/>
              <w:rPr>
                <w:sz w:val="20"/>
                <w:szCs w:val="20"/>
              </w:rPr>
            </w:pPr>
            <w:r w:rsidRPr="005D14B4">
              <w:rPr>
                <w:sz w:val="20"/>
                <w:szCs w:val="20"/>
                <w:lang w:val="en-US"/>
              </w:rPr>
              <w:t>1.6 (0.9)</w:t>
            </w:r>
          </w:p>
        </w:tc>
        <w:tc>
          <w:tcPr>
            <w:tcW w:w="859" w:type="pct"/>
            <w:tcBorders>
              <w:top w:val="nil"/>
              <w:left w:val="nil"/>
              <w:bottom w:val="single" w:sz="12" w:space="0" w:color="000000"/>
              <w:right w:val="nil"/>
            </w:tcBorders>
            <w:shd w:val="clear" w:color="auto" w:fill="D9D9D9"/>
            <w:tcMar>
              <w:top w:w="80" w:type="dxa"/>
              <w:left w:w="80" w:type="dxa"/>
              <w:bottom w:w="80" w:type="dxa"/>
              <w:right w:w="80" w:type="dxa"/>
            </w:tcMar>
            <w:vAlign w:val="center"/>
          </w:tcPr>
          <w:p w14:paraId="04CE4080" w14:textId="77777777" w:rsidR="00AC0FDB" w:rsidRPr="005D14B4" w:rsidRDefault="00AC0FDB" w:rsidP="00724A07">
            <w:pPr>
              <w:pStyle w:val="BodyA"/>
              <w:spacing w:after="0" w:line="360" w:lineRule="auto"/>
              <w:jc w:val="center"/>
              <w:rPr>
                <w:sz w:val="20"/>
                <w:szCs w:val="20"/>
              </w:rPr>
            </w:pPr>
            <w:r w:rsidRPr="005D14B4">
              <w:rPr>
                <w:sz w:val="20"/>
                <w:szCs w:val="20"/>
                <w:lang w:val="en-US"/>
              </w:rPr>
              <w:t>0.35 (0.6)</w:t>
            </w:r>
          </w:p>
        </w:tc>
        <w:tc>
          <w:tcPr>
            <w:tcW w:w="781" w:type="pct"/>
            <w:tcBorders>
              <w:top w:val="nil"/>
              <w:left w:val="nil"/>
              <w:bottom w:val="single" w:sz="12" w:space="0" w:color="000000"/>
              <w:right w:val="nil"/>
            </w:tcBorders>
            <w:shd w:val="clear" w:color="auto" w:fill="D9D9D9"/>
            <w:tcMar>
              <w:top w:w="80" w:type="dxa"/>
              <w:left w:w="80" w:type="dxa"/>
              <w:bottom w:w="80" w:type="dxa"/>
              <w:right w:w="80" w:type="dxa"/>
            </w:tcMar>
            <w:vAlign w:val="center"/>
          </w:tcPr>
          <w:p w14:paraId="778D1C81" w14:textId="77777777" w:rsidR="00AC0FDB" w:rsidRPr="005D14B4" w:rsidRDefault="00AC0FDB" w:rsidP="00724A07">
            <w:pPr>
              <w:pStyle w:val="BodyA"/>
              <w:spacing w:after="0" w:line="360" w:lineRule="auto"/>
              <w:jc w:val="center"/>
              <w:rPr>
                <w:sz w:val="20"/>
                <w:szCs w:val="20"/>
              </w:rPr>
            </w:pPr>
            <w:r w:rsidRPr="005D14B4">
              <w:rPr>
                <w:sz w:val="20"/>
                <w:szCs w:val="20"/>
                <w:lang w:val="en-US"/>
              </w:rPr>
              <w:t>0.14 (0.2)</w:t>
            </w:r>
          </w:p>
        </w:tc>
        <w:tc>
          <w:tcPr>
            <w:tcW w:w="938" w:type="pct"/>
            <w:tcBorders>
              <w:top w:val="nil"/>
              <w:left w:val="nil"/>
              <w:bottom w:val="single" w:sz="12" w:space="0" w:color="000000"/>
              <w:right w:val="single" w:sz="12" w:space="0" w:color="000000"/>
            </w:tcBorders>
            <w:shd w:val="clear" w:color="auto" w:fill="D9D9D9"/>
            <w:tcMar>
              <w:top w:w="80" w:type="dxa"/>
              <w:left w:w="80" w:type="dxa"/>
              <w:bottom w:w="80" w:type="dxa"/>
              <w:right w:w="80" w:type="dxa"/>
            </w:tcMar>
            <w:vAlign w:val="center"/>
          </w:tcPr>
          <w:p w14:paraId="7B8B6EEE" w14:textId="77777777" w:rsidR="00AC0FDB" w:rsidRPr="005D14B4" w:rsidRDefault="00AC0FDB" w:rsidP="00724A07">
            <w:pPr>
              <w:pStyle w:val="BodyA"/>
              <w:spacing w:after="0" w:line="360" w:lineRule="auto"/>
              <w:jc w:val="center"/>
              <w:rPr>
                <w:sz w:val="20"/>
                <w:szCs w:val="20"/>
              </w:rPr>
            </w:pPr>
            <w:r w:rsidRPr="005D14B4">
              <w:rPr>
                <w:b/>
                <w:bCs/>
                <w:sz w:val="20"/>
                <w:szCs w:val="20"/>
                <w:lang w:val="it-IT"/>
              </w:rPr>
              <w:t>&lt;0·01</w:t>
            </w:r>
          </w:p>
        </w:tc>
      </w:tr>
    </w:tbl>
    <w:p w14:paraId="36C836A1" w14:textId="77777777" w:rsidR="00AC0FDB" w:rsidRDefault="00AC0FDB" w:rsidP="00AC0FDB">
      <w:pPr>
        <w:pStyle w:val="BodyA"/>
        <w:widowControl w:val="0"/>
        <w:spacing w:after="0"/>
        <w:ind w:left="216" w:hanging="216"/>
        <w:rPr>
          <w:rFonts w:ascii="Calibri" w:eastAsia="Calibri" w:hAnsi="Calibri" w:cs="Calibri"/>
          <w:b/>
          <w:bCs/>
        </w:rPr>
      </w:pPr>
    </w:p>
    <w:p w14:paraId="39E481A0" w14:textId="77777777" w:rsidR="00AC0FDB" w:rsidRDefault="00AC0FDB" w:rsidP="00AC0FDB">
      <w:pPr>
        <w:pStyle w:val="BodyA"/>
        <w:widowControl w:val="0"/>
        <w:spacing w:after="0"/>
        <w:ind w:left="108" w:hanging="108"/>
        <w:rPr>
          <w:rFonts w:ascii="Calibri" w:eastAsia="Calibri" w:hAnsi="Calibri" w:cs="Calibri"/>
          <w:b/>
          <w:bCs/>
        </w:rPr>
      </w:pPr>
    </w:p>
    <w:p w14:paraId="0E4DA760" w14:textId="77777777" w:rsidR="00AC0FDB" w:rsidRDefault="00AC0FDB" w:rsidP="00AC0FDB">
      <w:pPr>
        <w:pStyle w:val="BodyA"/>
        <w:jc w:val="both"/>
        <w:rPr>
          <w:rFonts w:ascii="Calibri" w:eastAsia="Calibri" w:hAnsi="Calibri" w:cs="Calibri"/>
          <w:b/>
          <w:bCs/>
          <w:sz w:val="22"/>
          <w:szCs w:val="22"/>
        </w:rPr>
      </w:pPr>
    </w:p>
    <w:p w14:paraId="541AD5F5" w14:textId="30534583" w:rsidR="00AC0FDB" w:rsidRDefault="00AC0FDB" w:rsidP="00AC0FDB">
      <w:pPr>
        <w:pStyle w:val="Heading3"/>
        <w:spacing w:line="480" w:lineRule="auto"/>
        <w:rPr>
          <w:sz w:val="24"/>
          <w:szCs w:val="24"/>
        </w:rPr>
      </w:pPr>
      <w:bookmarkStart w:id="125" w:name="_Toc56"/>
      <w:bookmarkStart w:id="126" w:name="_Toc6093032"/>
      <w:r>
        <w:rPr>
          <w:sz w:val="24"/>
          <w:szCs w:val="24"/>
          <w:lang w:val="en-US"/>
        </w:rPr>
        <w:t xml:space="preserve">5.3.1 Intra-epidermal and </w:t>
      </w:r>
      <w:r w:rsidR="005D14B4">
        <w:rPr>
          <w:sz w:val="24"/>
          <w:szCs w:val="24"/>
          <w:lang w:val="en-US"/>
        </w:rPr>
        <w:t>S</w:t>
      </w:r>
      <w:r>
        <w:rPr>
          <w:sz w:val="24"/>
          <w:szCs w:val="24"/>
          <w:lang w:val="en-US"/>
        </w:rPr>
        <w:t xml:space="preserve">ub-epidermal </w:t>
      </w:r>
      <w:r w:rsidR="005D14B4">
        <w:rPr>
          <w:sz w:val="24"/>
          <w:szCs w:val="24"/>
          <w:lang w:val="en-US"/>
        </w:rPr>
        <w:t>N</w:t>
      </w:r>
      <w:r>
        <w:rPr>
          <w:sz w:val="24"/>
          <w:szCs w:val="24"/>
          <w:lang w:val="en-US"/>
        </w:rPr>
        <w:t xml:space="preserve">erve </w:t>
      </w:r>
      <w:proofErr w:type="spellStart"/>
      <w:r w:rsidR="005D14B4">
        <w:rPr>
          <w:sz w:val="24"/>
          <w:szCs w:val="24"/>
          <w:lang w:val="en-US"/>
        </w:rPr>
        <w:t>F</w:t>
      </w:r>
      <w:r>
        <w:rPr>
          <w:sz w:val="24"/>
          <w:szCs w:val="24"/>
          <w:lang w:val="en-US"/>
        </w:rPr>
        <w:t>ibre</w:t>
      </w:r>
      <w:proofErr w:type="spellEnd"/>
      <w:r>
        <w:rPr>
          <w:sz w:val="24"/>
          <w:szCs w:val="24"/>
          <w:lang w:val="en-US"/>
        </w:rPr>
        <w:t xml:space="preserve"> </w:t>
      </w:r>
      <w:r w:rsidR="005D14B4">
        <w:rPr>
          <w:sz w:val="24"/>
          <w:szCs w:val="24"/>
          <w:lang w:val="en-US"/>
        </w:rPr>
        <w:t>D</w:t>
      </w:r>
      <w:r>
        <w:rPr>
          <w:sz w:val="24"/>
          <w:szCs w:val="24"/>
          <w:lang w:val="en-US"/>
        </w:rPr>
        <w:t>ensity</w:t>
      </w:r>
      <w:bookmarkEnd w:id="125"/>
      <w:bookmarkEnd w:id="126"/>
    </w:p>
    <w:p w14:paraId="248EE7CE" w14:textId="598460A4" w:rsidR="00AC0FDB" w:rsidRDefault="00AC0FDB" w:rsidP="00AC0FDB">
      <w:pPr>
        <w:pStyle w:val="BodyA"/>
        <w:spacing w:line="360" w:lineRule="auto"/>
        <w:jc w:val="both"/>
      </w:pPr>
      <w:r>
        <w:rPr>
          <w:lang w:val="en-US"/>
        </w:rPr>
        <w:t xml:space="preserve">Figure 5.1 shows immunostaining for the pan-neuronal marker PGP9.5 in calf skin biopsies. Distal leg skin </w:t>
      </w:r>
      <w:proofErr w:type="spellStart"/>
      <w:r>
        <w:rPr>
          <w:lang w:val="en-US"/>
        </w:rPr>
        <w:t>IENFD</w:t>
      </w:r>
      <w:proofErr w:type="spellEnd"/>
      <w:r>
        <w:rPr>
          <w:lang w:val="en-US"/>
        </w:rPr>
        <w:t xml:space="preserve"> and </w:t>
      </w:r>
      <w:proofErr w:type="spellStart"/>
      <w:r>
        <w:rPr>
          <w:lang w:val="en-US"/>
        </w:rPr>
        <w:t>SENFD</w:t>
      </w:r>
      <w:proofErr w:type="spellEnd"/>
      <w:r>
        <w:rPr>
          <w:lang w:val="en-US"/>
        </w:rPr>
        <w:t xml:space="preserve"> were severely diminished in the </w:t>
      </w:r>
      <w:proofErr w:type="spellStart"/>
      <w:r>
        <w:rPr>
          <w:lang w:val="en-US"/>
        </w:rPr>
        <w:t>DPN</w:t>
      </w:r>
      <w:proofErr w:type="spellEnd"/>
      <w:r>
        <w:rPr>
          <w:lang w:val="en-US"/>
        </w:rPr>
        <w:t xml:space="preserve"> groups compared to </w:t>
      </w:r>
      <w:proofErr w:type="spellStart"/>
      <w:r>
        <w:rPr>
          <w:lang w:val="en-US"/>
        </w:rPr>
        <w:t>HV</w:t>
      </w:r>
      <w:proofErr w:type="spellEnd"/>
      <w:r>
        <w:t xml:space="preserve">, </w:t>
      </w:r>
      <w:r>
        <w:rPr>
          <w:lang w:val="en-US"/>
        </w:rPr>
        <w:t>with no differences between painful- and painless</w:t>
      </w:r>
      <w:r w:rsidR="003B1445">
        <w:rPr>
          <w:lang w:val="en-US"/>
        </w:rPr>
        <w:t xml:space="preserve"> </w:t>
      </w:r>
      <w:proofErr w:type="spellStart"/>
      <w:r>
        <w:rPr>
          <w:lang w:val="en-US"/>
        </w:rPr>
        <w:t>DPN</w:t>
      </w:r>
      <w:proofErr w:type="spellEnd"/>
      <w:r>
        <w:rPr>
          <w:lang w:val="en-US"/>
        </w:rPr>
        <w:t xml:space="preserve"> groups. </w:t>
      </w:r>
      <w:proofErr w:type="spellStart"/>
      <w:r>
        <w:rPr>
          <w:lang w:val="en-US"/>
        </w:rPr>
        <w:t>IENFD</w:t>
      </w:r>
      <w:proofErr w:type="spellEnd"/>
      <w:r>
        <w:rPr>
          <w:lang w:val="en-US"/>
        </w:rPr>
        <w:t xml:space="preserve"> and </w:t>
      </w:r>
      <w:proofErr w:type="spellStart"/>
      <w:r>
        <w:rPr>
          <w:lang w:val="en-US"/>
        </w:rPr>
        <w:t>SENFD</w:t>
      </w:r>
      <w:proofErr w:type="spellEnd"/>
      <w:r>
        <w:rPr>
          <w:lang w:val="en-US"/>
        </w:rPr>
        <w:t xml:space="preserve"> were not lower in the no-</w:t>
      </w:r>
      <w:proofErr w:type="spellStart"/>
      <w:r>
        <w:rPr>
          <w:lang w:val="en-US"/>
        </w:rPr>
        <w:t>DPN</w:t>
      </w:r>
      <w:proofErr w:type="spellEnd"/>
      <w:r>
        <w:rPr>
          <w:lang w:val="en-US"/>
        </w:rPr>
        <w:t xml:space="preserve"> group compared to the </w:t>
      </w:r>
      <w:proofErr w:type="spellStart"/>
      <w:r>
        <w:rPr>
          <w:lang w:val="en-US"/>
        </w:rPr>
        <w:t>HV</w:t>
      </w:r>
      <w:proofErr w:type="spellEnd"/>
      <w:r>
        <w:rPr>
          <w:lang w:val="en-US"/>
        </w:rPr>
        <w:t xml:space="preserve"> group.</w:t>
      </w:r>
    </w:p>
    <w:p w14:paraId="195F8E79" w14:textId="77777777" w:rsidR="00AC0FDB" w:rsidRDefault="00AC0FDB" w:rsidP="00AC0FDB">
      <w:pPr>
        <w:pStyle w:val="BodyA"/>
        <w:spacing w:after="0" w:line="360" w:lineRule="auto"/>
        <w:jc w:val="both"/>
        <w:rPr>
          <w:rFonts w:ascii="Calibri" w:eastAsia="Calibri" w:hAnsi="Calibri" w:cs="Calibri"/>
        </w:rPr>
      </w:pPr>
      <w:r>
        <w:rPr>
          <w:noProof/>
          <w:lang w:eastAsia="zh-CN"/>
        </w:rPr>
        <w:lastRenderedPageBreak/>
        <w:drawing>
          <wp:inline distT="0" distB="0" distL="0" distR="0" wp14:anchorId="6C0F8073" wp14:editId="29BFB084">
            <wp:extent cx="5679996" cy="6629400"/>
            <wp:effectExtent l="0" t="0" r="0" b="0"/>
            <wp:docPr id="1073741832" name="officeArt object" descr="PGP figure 1 update diabetologia copy.jpg"/>
            <wp:cNvGraphicFramePr/>
            <a:graphic xmlns:a="http://schemas.openxmlformats.org/drawingml/2006/main">
              <a:graphicData uri="http://schemas.openxmlformats.org/drawingml/2006/picture">
                <pic:pic xmlns:pic="http://schemas.openxmlformats.org/drawingml/2006/picture">
                  <pic:nvPicPr>
                    <pic:cNvPr id="1073741832" name="PGP figure 1 update diabetologia copy.jpg" descr="PGP figure 1 update diabetologia copy.jpg"/>
                    <pic:cNvPicPr>
                      <a:picLocks noChangeAspect="1"/>
                    </pic:cNvPicPr>
                  </pic:nvPicPr>
                  <pic:blipFill>
                    <a:blip r:embed="rId15"/>
                    <a:stretch>
                      <a:fillRect/>
                    </a:stretch>
                  </pic:blipFill>
                  <pic:spPr>
                    <a:xfrm>
                      <a:off x="0" y="0"/>
                      <a:ext cx="5679996" cy="6629400"/>
                    </a:xfrm>
                    <a:prstGeom prst="rect">
                      <a:avLst/>
                    </a:prstGeom>
                    <a:ln w="12700" cap="flat">
                      <a:noFill/>
                      <a:miter lim="400000"/>
                    </a:ln>
                    <a:effectLst/>
                  </pic:spPr>
                </pic:pic>
              </a:graphicData>
            </a:graphic>
          </wp:inline>
        </w:drawing>
      </w:r>
    </w:p>
    <w:p w14:paraId="01E97A1F" w14:textId="77777777" w:rsidR="00AC0FDB" w:rsidRDefault="00AC0FDB" w:rsidP="00AC0FDB">
      <w:pPr>
        <w:pStyle w:val="BodyA"/>
        <w:spacing w:line="360" w:lineRule="auto"/>
        <w:jc w:val="both"/>
        <w:rPr>
          <w:b/>
          <w:bCs/>
        </w:rPr>
      </w:pPr>
      <w:r>
        <w:rPr>
          <w:b/>
          <w:bCs/>
          <w:lang w:val="en-US"/>
        </w:rPr>
        <w:t xml:space="preserve">Fig. 5.1 (a) PGP9.5 immunoreactivity in calf skin from healthy volunteers, </w:t>
      </w:r>
      <w:proofErr w:type="spellStart"/>
      <w:r>
        <w:rPr>
          <w:b/>
          <w:bCs/>
          <w:lang w:val="en-US"/>
        </w:rPr>
        <w:t>HV</w:t>
      </w:r>
      <w:proofErr w:type="spellEnd"/>
      <w:r>
        <w:rPr>
          <w:b/>
          <w:bCs/>
          <w:lang w:val="en-US"/>
        </w:rPr>
        <w:t xml:space="preserve"> (b), painful diabetic peripheral neuropathy, painful </w:t>
      </w:r>
      <w:proofErr w:type="spellStart"/>
      <w:r>
        <w:rPr>
          <w:b/>
          <w:bCs/>
          <w:lang w:val="en-US"/>
        </w:rPr>
        <w:t>DPN</w:t>
      </w:r>
      <w:proofErr w:type="spellEnd"/>
      <w:r>
        <w:rPr>
          <w:b/>
          <w:bCs/>
          <w:lang w:val="en-US"/>
        </w:rPr>
        <w:t xml:space="preserve"> (c) painless diabetic peripheral neuropathy, painless </w:t>
      </w:r>
      <w:proofErr w:type="spellStart"/>
      <w:r>
        <w:rPr>
          <w:b/>
          <w:bCs/>
          <w:lang w:val="en-US"/>
        </w:rPr>
        <w:t>DPN</w:t>
      </w:r>
      <w:proofErr w:type="spellEnd"/>
      <w:r>
        <w:rPr>
          <w:b/>
          <w:bCs/>
          <w:lang w:val="en-US"/>
        </w:rPr>
        <w:t xml:space="preserve">, and (d) diabetic patients without neuropathy, No </w:t>
      </w:r>
      <w:proofErr w:type="spellStart"/>
      <w:r>
        <w:rPr>
          <w:b/>
          <w:bCs/>
          <w:lang w:val="en-US"/>
        </w:rPr>
        <w:t>DPN</w:t>
      </w:r>
      <w:proofErr w:type="spellEnd"/>
      <w:r>
        <w:rPr>
          <w:b/>
          <w:bCs/>
          <w:lang w:val="en-US"/>
        </w:rPr>
        <w:t xml:space="preserve"> (e) Mean ± SEM of the PGP9.5 intra epithelial </w:t>
      </w:r>
      <w:proofErr w:type="spellStart"/>
      <w:r>
        <w:rPr>
          <w:b/>
          <w:bCs/>
          <w:lang w:val="en-US"/>
        </w:rPr>
        <w:t>fibres</w:t>
      </w:r>
      <w:proofErr w:type="spellEnd"/>
      <w:r>
        <w:rPr>
          <w:b/>
          <w:bCs/>
          <w:lang w:val="en-US"/>
        </w:rPr>
        <w:t xml:space="preserve"> (</w:t>
      </w:r>
      <w:proofErr w:type="spellStart"/>
      <w:r>
        <w:rPr>
          <w:b/>
          <w:bCs/>
          <w:lang w:val="en-US"/>
        </w:rPr>
        <w:t>fibres</w:t>
      </w:r>
      <w:proofErr w:type="spellEnd"/>
      <w:r>
        <w:rPr>
          <w:b/>
          <w:bCs/>
          <w:lang w:val="en-US"/>
        </w:rPr>
        <w:t>/mm), (f) Image analysis of PGP9.5 sub epithelial counts (% immunoreactivity) in the same groups (</w:t>
      </w:r>
      <w:proofErr w:type="spellStart"/>
      <w:r>
        <w:rPr>
          <w:b/>
          <w:bCs/>
          <w:lang w:val="en-US"/>
        </w:rPr>
        <w:t>HV</w:t>
      </w:r>
      <w:proofErr w:type="spellEnd"/>
      <w:r>
        <w:rPr>
          <w:b/>
          <w:bCs/>
          <w:lang w:val="en-US"/>
        </w:rPr>
        <w:t xml:space="preserve">: n=19, painful </w:t>
      </w:r>
      <w:proofErr w:type="spellStart"/>
      <w:r>
        <w:rPr>
          <w:b/>
          <w:bCs/>
          <w:lang w:val="en-US"/>
        </w:rPr>
        <w:t>DPN</w:t>
      </w:r>
      <w:proofErr w:type="spellEnd"/>
      <w:r>
        <w:rPr>
          <w:b/>
          <w:bCs/>
          <w:lang w:val="en-US"/>
        </w:rPr>
        <w:t xml:space="preserve">: n=23, painless </w:t>
      </w:r>
      <w:proofErr w:type="spellStart"/>
      <w:r>
        <w:rPr>
          <w:b/>
          <w:bCs/>
          <w:lang w:val="en-US"/>
        </w:rPr>
        <w:t>DPN</w:t>
      </w:r>
      <w:proofErr w:type="spellEnd"/>
      <w:r>
        <w:rPr>
          <w:b/>
          <w:bCs/>
          <w:lang w:val="en-US"/>
        </w:rPr>
        <w:t xml:space="preserve">: n=19, No </w:t>
      </w:r>
      <w:proofErr w:type="spellStart"/>
      <w:r>
        <w:rPr>
          <w:b/>
          <w:bCs/>
          <w:lang w:val="en-US"/>
        </w:rPr>
        <w:t>DPN</w:t>
      </w:r>
      <w:proofErr w:type="spellEnd"/>
      <w:r>
        <w:rPr>
          <w:b/>
          <w:bCs/>
          <w:lang w:val="en-US"/>
        </w:rPr>
        <w:t>: n=18).</w:t>
      </w:r>
    </w:p>
    <w:p w14:paraId="74FEB9A5" w14:textId="78C76677" w:rsidR="00AC0FDB" w:rsidRDefault="00AC0FDB" w:rsidP="00AC0FDB">
      <w:pPr>
        <w:pStyle w:val="Heading3"/>
        <w:spacing w:line="480" w:lineRule="auto"/>
        <w:rPr>
          <w:sz w:val="24"/>
          <w:szCs w:val="24"/>
        </w:rPr>
      </w:pPr>
      <w:bookmarkStart w:id="127" w:name="_Toc57"/>
      <w:bookmarkStart w:id="128" w:name="_Toc6093033"/>
      <w:r>
        <w:rPr>
          <w:sz w:val="24"/>
          <w:szCs w:val="24"/>
        </w:rPr>
        <w:lastRenderedPageBreak/>
        <w:t xml:space="preserve">5.3.2 Regenerating </w:t>
      </w:r>
      <w:r w:rsidR="005D14B4">
        <w:rPr>
          <w:sz w:val="24"/>
          <w:szCs w:val="24"/>
        </w:rPr>
        <w:t>N</w:t>
      </w:r>
      <w:r>
        <w:rPr>
          <w:sz w:val="24"/>
          <w:szCs w:val="24"/>
        </w:rPr>
        <w:t xml:space="preserve">erve </w:t>
      </w:r>
      <w:r w:rsidR="005D14B4">
        <w:rPr>
          <w:sz w:val="24"/>
          <w:szCs w:val="24"/>
        </w:rPr>
        <w:t>F</w:t>
      </w:r>
      <w:r>
        <w:rPr>
          <w:sz w:val="24"/>
          <w:szCs w:val="24"/>
        </w:rPr>
        <w:t>ibres</w:t>
      </w:r>
      <w:bookmarkStart w:id="129" w:name="_Hlk4235109"/>
      <w:bookmarkEnd w:id="127"/>
      <w:bookmarkEnd w:id="128"/>
    </w:p>
    <w:p w14:paraId="68957C0B" w14:textId="42BAF6A6" w:rsidR="005D14B4" w:rsidRPr="005D14B4" w:rsidRDefault="00AC0FDB" w:rsidP="005D14B4">
      <w:pPr>
        <w:pStyle w:val="BodyA"/>
        <w:spacing w:line="480" w:lineRule="auto"/>
        <w:jc w:val="both"/>
        <w:rPr>
          <w:lang w:val="en-US"/>
        </w:rPr>
      </w:pPr>
      <w:r>
        <w:rPr>
          <w:lang w:val="en-US"/>
        </w:rPr>
        <w:t xml:space="preserve">Figure 5.2 shows GAP43 </w:t>
      </w:r>
      <w:proofErr w:type="spellStart"/>
      <w:r>
        <w:rPr>
          <w:lang w:val="en-US"/>
        </w:rPr>
        <w:t>IENFD</w:t>
      </w:r>
      <w:proofErr w:type="spellEnd"/>
      <w:r>
        <w:rPr>
          <w:lang w:val="en-US"/>
        </w:rPr>
        <w:t xml:space="preserve"> </w:t>
      </w:r>
      <w:bookmarkEnd w:id="129"/>
      <w:r>
        <w:rPr>
          <w:lang w:val="en-US"/>
        </w:rPr>
        <w:t>was significantly reduced in both painful-</w:t>
      </w:r>
      <w:proofErr w:type="spellStart"/>
      <w:r>
        <w:rPr>
          <w:lang w:val="en-US"/>
        </w:rPr>
        <w:t>DPN</w:t>
      </w:r>
      <w:proofErr w:type="spellEnd"/>
      <w:r>
        <w:rPr>
          <w:lang w:val="en-US"/>
        </w:rPr>
        <w:t xml:space="preserve"> (0.06 ± 0.04, n=23, p=0.0026) and painless-</w:t>
      </w:r>
      <w:proofErr w:type="spellStart"/>
      <w:r>
        <w:rPr>
          <w:lang w:val="en-US"/>
        </w:rPr>
        <w:t>DPN</w:t>
      </w:r>
      <w:proofErr w:type="spellEnd"/>
      <w:r>
        <w:rPr>
          <w:lang w:val="en-US"/>
        </w:rPr>
        <w:t xml:space="preserve"> (0.01 ± 0.005, n= 19, p&lt;0.001) groups, compared to the </w:t>
      </w:r>
      <w:proofErr w:type="spellStart"/>
      <w:r>
        <w:rPr>
          <w:lang w:val="en-US"/>
        </w:rPr>
        <w:t>HV</w:t>
      </w:r>
      <w:proofErr w:type="spellEnd"/>
      <w:r>
        <w:rPr>
          <w:lang w:val="en-US"/>
        </w:rPr>
        <w:t xml:space="preserve"> group (0.31 ± </w:t>
      </w:r>
      <w:r>
        <w:t xml:space="preserve">0.09, n=19); </w:t>
      </w:r>
      <w:bookmarkStart w:id="130" w:name="_Hlk4169702"/>
      <w:r>
        <w:rPr>
          <w:lang w:val="en-US"/>
        </w:rPr>
        <w:t>this was not lower in the no-</w:t>
      </w:r>
      <w:proofErr w:type="spellStart"/>
      <w:r>
        <w:rPr>
          <w:lang w:val="en-US"/>
        </w:rPr>
        <w:t>DPN</w:t>
      </w:r>
      <w:proofErr w:type="spellEnd"/>
      <w:r>
        <w:rPr>
          <w:lang w:val="en-US"/>
        </w:rPr>
        <w:t xml:space="preserve"> group (0.69 ± </w:t>
      </w:r>
      <w:r>
        <w:t xml:space="preserve">0.23, n=19, p=0.42). </w:t>
      </w:r>
      <w:bookmarkEnd w:id="130"/>
      <w:r>
        <w:rPr>
          <w:lang w:val="en-US"/>
        </w:rPr>
        <w:t xml:space="preserve">GAP43 </w:t>
      </w:r>
      <w:proofErr w:type="spellStart"/>
      <w:r>
        <w:rPr>
          <w:lang w:val="en-US"/>
        </w:rPr>
        <w:t>SENFD</w:t>
      </w:r>
      <w:proofErr w:type="spellEnd"/>
      <w:r>
        <w:rPr>
          <w:lang w:val="en-US"/>
        </w:rPr>
        <w:t xml:space="preserve"> was reduced in painful</w:t>
      </w:r>
      <w:r w:rsidR="003B1445">
        <w:rPr>
          <w:lang w:val="en-US"/>
        </w:rPr>
        <w:t xml:space="preserve"> </w:t>
      </w:r>
      <w:proofErr w:type="spellStart"/>
      <w:r>
        <w:rPr>
          <w:lang w:val="en-US"/>
        </w:rPr>
        <w:t>DPN</w:t>
      </w:r>
      <w:proofErr w:type="spellEnd"/>
      <w:r>
        <w:rPr>
          <w:lang w:val="en-US"/>
        </w:rPr>
        <w:t xml:space="preserve"> (0.07 ± 0.03, n=23, p=0.002) and painless</w:t>
      </w:r>
      <w:r w:rsidR="003B1445">
        <w:rPr>
          <w:lang w:val="en-US"/>
        </w:rPr>
        <w:t xml:space="preserve"> </w:t>
      </w:r>
      <w:proofErr w:type="spellStart"/>
      <w:r>
        <w:rPr>
          <w:lang w:val="en-US"/>
        </w:rPr>
        <w:t>DPN</w:t>
      </w:r>
      <w:proofErr w:type="spellEnd"/>
      <w:r>
        <w:rPr>
          <w:lang w:val="en-US"/>
        </w:rPr>
        <w:t xml:space="preserve"> (0.06 ± 0.03, n=19, p= 0.001) groups, compared to </w:t>
      </w:r>
      <w:proofErr w:type="spellStart"/>
      <w:r>
        <w:rPr>
          <w:lang w:val="en-US"/>
        </w:rPr>
        <w:t>HV</w:t>
      </w:r>
      <w:proofErr w:type="spellEnd"/>
      <w:r>
        <w:rPr>
          <w:lang w:val="en-US"/>
        </w:rPr>
        <w:t xml:space="preserve"> group (0.25 ± 0.06, n=19); this was not lower in the no</w:t>
      </w:r>
      <w:r w:rsidR="003B1445">
        <w:rPr>
          <w:lang w:val="en-US"/>
        </w:rPr>
        <w:t xml:space="preserve"> </w:t>
      </w:r>
      <w:proofErr w:type="spellStart"/>
      <w:r>
        <w:rPr>
          <w:lang w:val="en-US"/>
        </w:rPr>
        <w:t>DPN</w:t>
      </w:r>
      <w:proofErr w:type="spellEnd"/>
      <w:r>
        <w:rPr>
          <w:lang w:val="en-US"/>
        </w:rPr>
        <w:t xml:space="preserve"> group (0.21 ± 0.03, n=19, p=0.88).  No statistical difference was demonstrated between painful- and painless</w:t>
      </w:r>
      <w:r w:rsidR="003B1445">
        <w:rPr>
          <w:lang w:val="en-US"/>
        </w:rPr>
        <w:t xml:space="preserve"> </w:t>
      </w:r>
      <w:proofErr w:type="spellStart"/>
      <w:r>
        <w:rPr>
          <w:lang w:val="en-US"/>
        </w:rPr>
        <w:t>DPN</w:t>
      </w:r>
      <w:proofErr w:type="spellEnd"/>
      <w:r>
        <w:rPr>
          <w:lang w:val="en-US"/>
        </w:rPr>
        <w:t xml:space="preserve"> groups for GAP43 </w:t>
      </w:r>
      <w:proofErr w:type="spellStart"/>
      <w:r>
        <w:rPr>
          <w:lang w:val="en-US"/>
        </w:rPr>
        <w:t>SENFD</w:t>
      </w:r>
      <w:proofErr w:type="spellEnd"/>
      <w:r>
        <w:rPr>
          <w:lang w:val="en-US"/>
        </w:rPr>
        <w:t xml:space="preserve"> analysis. </w:t>
      </w:r>
    </w:p>
    <w:p w14:paraId="02958B84" w14:textId="77777777" w:rsidR="00AC0FDB" w:rsidRDefault="00AC0FDB" w:rsidP="00AC0FDB">
      <w:pPr>
        <w:pStyle w:val="BodyA"/>
        <w:spacing w:after="0" w:line="360" w:lineRule="auto"/>
        <w:jc w:val="both"/>
        <w:rPr>
          <w:rFonts w:ascii="Calibri" w:eastAsia="Calibri" w:hAnsi="Calibri" w:cs="Calibri"/>
        </w:rPr>
      </w:pPr>
      <w:r>
        <w:rPr>
          <w:b/>
          <w:bCs/>
          <w:noProof/>
          <w:lang w:eastAsia="zh-CN"/>
        </w:rPr>
        <w:lastRenderedPageBreak/>
        <w:drawing>
          <wp:inline distT="0" distB="0" distL="0" distR="0" wp14:anchorId="39E391CB" wp14:editId="6A5CEA6A">
            <wp:extent cx="5681134" cy="6053431"/>
            <wp:effectExtent l="0" t="0" r="0" b="0"/>
            <wp:docPr id="1073741833" name="officeArt object" descr="gap figure 2 copy.jpg"/>
            <wp:cNvGraphicFramePr/>
            <a:graphic xmlns:a="http://schemas.openxmlformats.org/drawingml/2006/main">
              <a:graphicData uri="http://schemas.openxmlformats.org/drawingml/2006/picture">
                <pic:pic xmlns:pic="http://schemas.openxmlformats.org/drawingml/2006/picture">
                  <pic:nvPicPr>
                    <pic:cNvPr id="1073741833" name="gap figure 2 copy.jpg" descr="gap figure 2 copy.jpg"/>
                    <pic:cNvPicPr>
                      <a:picLocks noChangeAspect="1"/>
                    </pic:cNvPicPr>
                  </pic:nvPicPr>
                  <pic:blipFill>
                    <a:blip r:embed="rId16"/>
                    <a:stretch>
                      <a:fillRect/>
                    </a:stretch>
                  </pic:blipFill>
                  <pic:spPr>
                    <a:xfrm>
                      <a:off x="0" y="0"/>
                      <a:ext cx="5681134" cy="6053431"/>
                    </a:xfrm>
                    <a:prstGeom prst="rect">
                      <a:avLst/>
                    </a:prstGeom>
                    <a:ln w="12700" cap="flat">
                      <a:noFill/>
                      <a:miter lim="400000"/>
                    </a:ln>
                    <a:effectLst/>
                  </pic:spPr>
                </pic:pic>
              </a:graphicData>
            </a:graphic>
          </wp:inline>
        </w:drawing>
      </w:r>
    </w:p>
    <w:p w14:paraId="3E160A04" w14:textId="77777777" w:rsidR="00AC0FDB" w:rsidRDefault="00AC0FDB" w:rsidP="00AC0FDB">
      <w:pPr>
        <w:pStyle w:val="BodyA"/>
        <w:spacing w:after="0" w:line="360" w:lineRule="auto"/>
        <w:jc w:val="both"/>
        <w:rPr>
          <w:rFonts w:ascii="Calibri" w:eastAsia="Calibri" w:hAnsi="Calibri" w:cs="Calibri"/>
        </w:rPr>
      </w:pPr>
    </w:p>
    <w:p w14:paraId="6E8B04BC" w14:textId="77777777" w:rsidR="00AC0FDB" w:rsidRDefault="00AC0FDB" w:rsidP="00AC0FDB">
      <w:pPr>
        <w:pStyle w:val="BodyA"/>
        <w:spacing w:line="360" w:lineRule="auto"/>
        <w:jc w:val="both"/>
        <w:rPr>
          <w:b/>
          <w:bCs/>
        </w:rPr>
      </w:pPr>
      <w:r>
        <w:rPr>
          <w:b/>
          <w:bCs/>
          <w:lang w:val="en-US"/>
        </w:rPr>
        <w:t xml:space="preserve">Fig 5.2 (a) GAP-43 immunoreactivity in calf skin from healthy volunteers, </w:t>
      </w:r>
      <w:proofErr w:type="spellStart"/>
      <w:r>
        <w:rPr>
          <w:b/>
          <w:bCs/>
          <w:lang w:val="en-US"/>
        </w:rPr>
        <w:t>HV</w:t>
      </w:r>
      <w:proofErr w:type="spellEnd"/>
      <w:r>
        <w:rPr>
          <w:b/>
          <w:bCs/>
          <w:lang w:val="en-US"/>
        </w:rPr>
        <w:t xml:space="preserve"> (b), painful diabetic peripheral neuropathy, painful </w:t>
      </w:r>
      <w:proofErr w:type="spellStart"/>
      <w:r>
        <w:rPr>
          <w:b/>
          <w:bCs/>
          <w:lang w:val="en-US"/>
        </w:rPr>
        <w:t>DPN</w:t>
      </w:r>
      <w:proofErr w:type="spellEnd"/>
      <w:r>
        <w:rPr>
          <w:b/>
          <w:bCs/>
          <w:lang w:val="en-US"/>
        </w:rPr>
        <w:t xml:space="preserve"> (c) painless diabetic neuropathy, painless </w:t>
      </w:r>
      <w:proofErr w:type="spellStart"/>
      <w:r>
        <w:rPr>
          <w:b/>
          <w:bCs/>
          <w:lang w:val="en-US"/>
        </w:rPr>
        <w:t>DPN</w:t>
      </w:r>
      <w:proofErr w:type="spellEnd"/>
      <w:r>
        <w:rPr>
          <w:b/>
          <w:bCs/>
          <w:lang w:val="en-US"/>
        </w:rPr>
        <w:t xml:space="preserve">, and (d) diabetic patients without peripheral diabetic neuropathy, No </w:t>
      </w:r>
      <w:proofErr w:type="spellStart"/>
      <w:r>
        <w:rPr>
          <w:b/>
          <w:bCs/>
          <w:lang w:val="en-US"/>
        </w:rPr>
        <w:t>DPN</w:t>
      </w:r>
      <w:proofErr w:type="spellEnd"/>
      <w:r>
        <w:rPr>
          <w:b/>
          <w:bCs/>
          <w:lang w:val="en-US"/>
        </w:rPr>
        <w:t xml:space="preserve"> (e) Mean ± SEM of the GAP-43 intra epithelial </w:t>
      </w:r>
      <w:proofErr w:type="spellStart"/>
      <w:r>
        <w:rPr>
          <w:b/>
          <w:bCs/>
          <w:lang w:val="en-US"/>
        </w:rPr>
        <w:t>fibres</w:t>
      </w:r>
      <w:proofErr w:type="spellEnd"/>
      <w:r>
        <w:rPr>
          <w:b/>
          <w:bCs/>
          <w:lang w:val="en-US"/>
        </w:rPr>
        <w:t xml:space="preserve"> (</w:t>
      </w:r>
      <w:proofErr w:type="spellStart"/>
      <w:r>
        <w:rPr>
          <w:b/>
          <w:bCs/>
          <w:lang w:val="en-US"/>
        </w:rPr>
        <w:t>fibres</w:t>
      </w:r>
      <w:proofErr w:type="spellEnd"/>
      <w:r>
        <w:rPr>
          <w:b/>
          <w:bCs/>
          <w:lang w:val="en-US"/>
        </w:rPr>
        <w:t>/mm), (f) Image analysis of GAP-43 sub epithelial counts (% immunoreactivity) in the same groups (</w:t>
      </w:r>
      <w:proofErr w:type="spellStart"/>
      <w:r>
        <w:rPr>
          <w:b/>
          <w:bCs/>
          <w:lang w:val="en-US"/>
        </w:rPr>
        <w:t>HV</w:t>
      </w:r>
      <w:proofErr w:type="spellEnd"/>
      <w:r>
        <w:rPr>
          <w:b/>
          <w:bCs/>
          <w:lang w:val="en-US"/>
        </w:rPr>
        <w:t xml:space="preserve">: n=19, painful </w:t>
      </w:r>
      <w:proofErr w:type="spellStart"/>
      <w:r>
        <w:rPr>
          <w:b/>
          <w:bCs/>
          <w:lang w:val="en-US"/>
        </w:rPr>
        <w:t>DPN</w:t>
      </w:r>
      <w:proofErr w:type="spellEnd"/>
      <w:r>
        <w:rPr>
          <w:b/>
          <w:bCs/>
          <w:lang w:val="en-US"/>
        </w:rPr>
        <w:t xml:space="preserve">: n=23, painless </w:t>
      </w:r>
      <w:proofErr w:type="spellStart"/>
      <w:r>
        <w:rPr>
          <w:b/>
          <w:bCs/>
          <w:lang w:val="en-US"/>
        </w:rPr>
        <w:t>DPN</w:t>
      </w:r>
      <w:proofErr w:type="spellEnd"/>
      <w:r>
        <w:rPr>
          <w:b/>
          <w:bCs/>
          <w:lang w:val="en-US"/>
        </w:rPr>
        <w:t xml:space="preserve">: n=19, No </w:t>
      </w:r>
      <w:proofErr w:type="spellStart"/>
      <w:r>
        <w:rPr>
          <w:b/>
          <w:bCs/>
          <w:lang w:val="en-US"/>
        </w:rPr>
        <w:t>DPN</w:t>
      </w:r>
      <w:proofErr w:type="spellEnd"/>
      <w:r>
        <w:rPr>
          <w:b/>
          <w:bCs/>
          <w:lang w:val="en-US"/>
        </w:rPr>
        <w:t xml:space="preserve">: n=18). </w:t>
      </w:r>
    </w:p>
    <w:p w14:paraId="66418380" w14:textId="77777777" w:rsidR="00AC0FDB" w:rsidRDefault="00AC0FDB" w:rsidP="00AC0FDB">
      <w:pPr>
        <w:pStyle w:val="BodyA"/>
        <w:spacing w:after="0" w:line="360" w:lineRule="auto"/>
        <w:jc w:val="both"/>
        <w:rPr>
          <w:rFonts w:ascii="Calibri" w:eastAsia="Calibri" w:hAnsi="Calibri" w:cs="Calibri"/>
          <w:b/>
          <w:bCs/>
        </w:rPr>
      </w:pPr>
    </w:p>
    <w:p w14:paraId="1DE7FDB1" w14:textId="71951E4A" w:rsidR="00AC0FDB" w:rsidRDefault="00AC0FDB" w:rsidP="00AC0FDB">
      <w:pPr>
        <w:pStyle w:val="Heading3"/>
        <w:spacing w:line="480" w:lineRule="auto"/>
        <w:rPr>
          <w:sz w:val="24"/>
          <w:szCs w:val="24"/>
        </w:rPr>
      </w:pPr>
      <w:bookmarkStart w:id="131" w:name="_Toc58"/>
      <w:bookmarkStart w:id="132" w:name="_Toc6093034"/>
      <w:r>
        <w:rPr>
          <w:sz w:val="24"/>
          <w:szCs w:val="24"/>
          <w:lang w:val="en-US"/>
        </w:rPr>
        <w:lastRenderedPageBreak/>
        <w:t xml:space="preserve">5.3.3 </w:t>
      </w:r>
      <w:proofErr w:type="spellStart"/>
      <w:r>
        <w:rPr>
          <w:sz w:val="24"/>
          <w:szCs w:val="24"/>
          <w:lang w:val="en-US"/>
        </w:rPr>
        <w:t>Peptidergic</w:t>
      </w:r>
      <w:proofErr w:type="spellEnd"/>
      <w:r>
        <w:rPr>
          <w:sz w:val="24"/>
          <w:szCs w:val="24"/>
          <w:lang w:val="en-US"/>
        </w:rPr>
        <w:t xml:space="preserve"> </w:t>
      </w:r>
      <w:r w:rsidR="005D14B4">
        <w:rPr>
          <w:sz w:val="24"/>
          <w:szCs w:val="24"/>
          <w:lang w:val="en-US"/>
        </w:rPr>
        <w:t>N</w:t>
      </w:r>
      <w:r>
        <w:rPr>
          <w:sz w:val="24"/>
          <w:szCs w:val="24"/>
          <w:lang w:val="en-US"/>
        </w:rPr>
        <w:t xml:space="preserve">erve </w:t>
      </w:r>
      <w:proofErr w:type="spellStart"/>
      <w:r w:rsidR="005D14B4">
        <w:rPr>
          <w:sz w:val="24"/>
          <w:szCs w:val="24"/>
          <w:lang w:val="en-US"/>
        </w:rPr>
        <w:t>F</w:t>
      </w:r>
      <w:r>
        <w:rPr>
          <w:sz w:val="24"/>
          <w:szCs w:val="24"/>
          <w:lang w:val="en-US"/>
        </w:rPr>
        <w:t>ib</w:t>
      </w:r>
      <w:r w:rsidR="005D14B4">
        <w:rPr>
          <w:sz w:val="24"/>
          <w:szCs w:val="24"/>
          <w:lang w:val="en-US"/>
        </w:rPr>
        <w:t>re</w:t>
      </w:r>
      <w:r>
        <w:rPr>
          <w:sz w:val="24"/>
          <w:szCs w:val="24"/>
          <w:lang w:val="en-US"/>
        </w:rPr>
        <w:t>s</w:t>
      </w:r>
      <w:bookmarkEnd w:id="131"/>
      <w:bookmarkEnd w:id="132"/>
      <w:proofErr w:type="spellEnd"/>
    </w:p>
    <w:p w14:paraId="4E5C0323" w14:textId="3BB02A3F" w:rsidR="00AC0FDB" w:rsidRPr="005D14B4" w:rsidRDefault="00AC0FDB" w:rsidP="00AC0FDB">
      <w:pPr>
        <w:pStyle w:val="BodyA"/>
        <w:spacing w:line="480" w:lineRule="auto"/>
        <w:jc w:val="both"/>
      </w:pPr>
      <w:r>
        <w:rPr>
          <w:lang w:val="en-US"/>
        </w:rPr>
        <w:t xml:space="preserve">Immunostaining for </w:t>
      </w:r>
      <w:proofErr w:type="spellStart"/>
      <w:r>
        <w:rPr>
          <w:lang w:val="en-US"/>
        </w:rPr>
        <w:t>CGRP</w:t>
      </w:r>
      <w:proofErr w:type="spellEnd"/>
      <w:r>
        <w:rPr>
          <w:lang w:val="en-US"/>
        </w:rPr>
        <w:t xml:space="preserve"> showed severely diminished or absent </w:t>
      </w:r>
      <w:proofErr w:type="spellStart"/>
      <w:r>
        <w:rPr>
          <w:lang w:val="en-US"/>
        </w:rPr>
        <w:t>IENFD</w:t>
      </w:r>
      <w:proofErr w:type="spellEnd"/>
      <w:r>
        <w:rPr>
          <w:lang w:val="en-US"/>
        </w:rPr>
        <w:t xml:space="preserve"> in most biopsies, and therefore only sub-epithelial </w:t>
      </w:r>
      <w:proofErr w:type="spellStart"/>
      <w:r>
        <w:rPr>
          <w:lang w:val="en-US"/>
        </w:rPr>
        <w:t>fibres</w:t>
      </w:r>
      <w:proofErr w:type="spellEnd"/>
      <w:r>
        <w:rPr>
          <w:lang w:val="en-US"/>
        </w:rPr>
        <w:t xml:space="preserve"> were </w:t>
      </w:r>
      <w:proofErr w:type="spellStart"/>
      <w:r>
        <w:rPr>
          <w:lang w:val="en-US"/>
        </w:rPr>
        <w:t>analysed</w:t>
      </w:r>
      <w:proofErr w:type="spellEnd"/>
      <w:r>
        <w:rPr>
          <w:lang w:val="en-US"/>
        </w:rPr>
        <w:t xml:space="preserve"> (Figure 5.3). </w:t>
      </w:r>
      <w:proofErr w:type="spellStart"/>
      <w:r>
        <w:rPr>
          <w:lang w:val="en-US"/>
        </w:rPr>
        <w:t>SENFD</w:t>
      </w:r>
      <w:proofErr w:type="spellEnd"/>
      <w:r>
        <w:rPr>
          <w:lang w:val="en-US"/>
        </w:rPr>
        <w:t xml:space="preserve"> of </w:t>
      </w:r>
      <w:proofErr w:type="spellStart"/>
      <w:r>
        <w:rPr>
          <w:lang w:val="en-US"/>
        </w:rPr>
        <w:t>CGRP</w:t>
      </w:r>
      <w:proofErr w:type="spellEnd"/>
      <w:r>
        <w:rPr>
          <w:lang w:val="en-US"/>
        </w:rPr>
        <w:t xml:space="preserve"> nerve </w:t>
      </w:r>
      <w:proofErr w:type="spellStart"/>
      <w:r>
        <w:rPr>
          <w:lang w:val="en-US"/>
        </w:rPr>
        <w:t>fibres</w:t>
      </w:r>
      <w:proofErr w:type="spellEnd"/>
      <w:r>
        <w:rPr>
          <w:lang w:val="en-US"/>
        </w:rPr>
        <w:t xml:space="preserve"> was reduced in both </w:t>
      </w:r>
      <w:proofErr w:type="spellStart"/>
      <w:r>
        <w:rPr>
          <w:lang w:val="en-US"/>
        </w:rPr>
        <w:t>DPN</w:t>
      </w:r>
      <w:proofErr w:type="spellEnd"/>
      <w:r>
        <w:rPr>
          <w:lang w:val="en-US"/>
        </w:rPr>
        <w:t xml:space="preserve"> groups, compared to the groups without </w:t>
      </w:r>
      <w:proofErr w:type="spellStart"/>
      <w:r>
        <w:rPr>
          <w:lang w:val="en-US"/>
        </w:rPr>
        <w:t>DPN</w:t>
      </w:r>
      <w:proofErr w:type="spellEnd"/>
      <w:r>
        <w:rPr>
          <w:lang w:val="en-US"/>
        </w:rPr>
        <w:t xml:space="preserve"> and </w:t>
      </w:r>
      <w:proofErr w:type="spellStart"/>
      <w:r>
        <w:rPr>
          <w:lang w:val="en-US"/>
        </w:rPr>
        <w:t>HV</w:t>
      </w:r>
      <w:proofErr w:type="spellEnd"/>
      <w:r>
        <w:rPr>
          <w:lang w:val="en-US"/>
        </w:rPr>
        <w:t>. No statistical difference was demonstrated between painful and painless</w:t>
      </w:r>
      <w:r w:rsidR="003B1445">
        <w:rPr>
          <w:lang w:val="en-US"/>
        </w:rPr>
        <w:t xml:space="preserve"> </w:t>
      </w:r>
      <w:proofErr w:type="spellStart"/>
      <w:r>
        <w:rPr>
          <w:lang w:val="en-US"/>
        </w:rPr>
        <w:t>DPN</w:t>
      </w:r>
      <w:proofErr w:type="spellEnd"/>
      <w:r>
        <w:rPr>
          <w:lang w:val="en-US"/>
        </w:rPr>
        <w:t xml:space="preserve"> groups for </w:t>
      </w:r>
      <w:proofErr w:type="spellStart"/>
      <w:r>
        <w:rPr>
          <w:lang w:val="en-US"/>
        </w:rPr>
        <w:t>CGRP</w:t>
      </w:r>
      <w:proofErr w:type="spellEnd"/>
      <w:r>
        <w:rPr>
          <w:lang w:val="en-US"/>
        </w:rPr>
        <w:t xml:space="preserve"> </w:t>
      </w:r>
      <w:proofErr w:type="spellStart"/>
      <w:r>
        <w:rPr>
          <w:lang w:val="en-US"/>
        </w:rPr>
        <w:t>SENFD</w:t>
      </w:r>
      <w:proofErr w:type="spellEnd"/>
      <w:r>
        <w:rPr>
          <w:lang w:val="en-US"/>
        </w:rPr>
        <w:t xml:space="preserve"> analyses.</w:t>
      </w:r>
    </w:p>
    <w:p w14:paraId="3AF13A7E" w14:textId="77777777" w:rsidR="00AC0FDB" w:rsidRDefault="00AC0FDB" w:rsidP="00AC0FDB">
      <w:pPr>
        <w:pStyle w:val="BodyA"/>
        <w:spacing w:after="0" w:line="360" w:lineRule="auto"/>
        <w:jc w:val="both"/>
        <w:rPr>
          <w:rFonts w:ascii="Calibri" w:eastAsia="Calibri" w:hAnsi="Calibri" w:cs="Calibri"/>
        </w:rPr>
      </w:pPr>
      <w:r>
        <w:rPr>
          <w:b/>
          <w:bCs/>
          <w:noProof/>
          <w:lang w:eastAsia="zh-CN"/>
        </w:rPr>
        <w:lastRenderedPageBreak/>
        <w:drawing>
          <wp:inline distT="0" distB="0" distL="0" distR="0" wp14:anchorId="0999E444" wp14:editId="6FD6AC90">
            <wp:extent cx="5726933" cy="6731000"/>
            <wp:effectExtent l="0" t="0" r="0" b="0"/>
            <wp:docPr id="1073741834" name="officeArt object" descr="Cgrp figure 3 copy.jpg"/>
            <wp:cNvGraphicFramePr/>
            <a:graphic xmlns:a="http://schemas.openxmlformats.org/drawingml/2006/main">
              <a:graphicData uri="http://schemas.openxmlformats.org/drawingml/2006/picture">
                <pic:pic xmlns:pic="http://schemas.openxmlformats.org/drawingml/2006/picture">
                  <pic:nvPicPr>
                    <pic:cNvPr id="1073741834" name="Cgrp figure 3 copy.jpg" descr="Cgrp figure 3 copy.jpg"/>
                    <pic:cNvPicPr>
                      <a:picLocks noChangeAspect="1"/>
                    </pic:cNvPicPr>
                  </pic:nvPicPr>
                  <pic:blipFill>
                    <a:blip r:embed="rId17"/>
                    <a:stretch>
                      <a:fillRect/>
                    </a:stretch>
                  </pic:blipFill>
                  <pic:spPr>
                    <a:xfrm>
                      <a:off x="0" y="0"/>
                      <a:ext cx="5726933" cy="6731000"/>
                    </a:xfrm>
                    <a:prstGeom prst="rect">
                      <a:avLst/>
                    </a:prstGeom>
                    <a:ln w="12700" cap="flat">
                      <a:noFill/>
                      <a:miter lim="400000"/>
                    </a:ln>
                    <a:effectLst/>
                  </pic:spPr>
                </pic:pic>
              </a:graphicData>
            </a:graphic>
          </wp:inline>
        </w:drawing>
      </w:r>
    </w:p>
    <w:p w14:paraId="535DD960" w14:textId="77777777" w:rsidR="00AC0FDB" w:rsidRDefault="00AC0FDB" w:rsidP="00AC0FDB">
      <w:pPr>
        <w:pStyle w:val="BodyA"/>
        <w:spacing w:line="360" w:lineRule="auto"/>
        <w:jc w:val="both"/>
        <w:rPr>
          <w:b/>
          <w:bCs/>
        </w:rPr>
      </w:pPr>
      <w:r>
        <w:rPr>
          <w:b/>
          <w:bCs/>
          <w:lang w:val="en-US"/>
        </w:rPr>
        <w:t xml:space="preserve">Fig 5.3 (a) </w:t>
      </w:r>
      <w:proofErr w:type="spellStart"/>
      <w:r>
        <w:rPr>
          <w:b/>
          <w:bCs/>
          <w:lang w:val="en-US"/>
        </w:rPr>
        <w:t>CGRP</w:t>
      </w:r>
      <w:proofErr w:type="spellEnd"/>
      <w:r>
        <w:rPr>
          <w:b/>
          <w:bCs/>
          <w:lang w:val="en-US"/>
        </w:rPr>
        <w:t xml:space="preserve"> immunoreactivity in calf skin from healthy volunteers, </w:t>
      </w:r>
      <w:proofErr w:type="spellStart"/>
      <w:r>
        <w:rPr>
          <w:b/>
          <w:bCs/>
          <w:lang w:val="en-US"/>
        </w:rPr>
        <w:t>HV</w:t>
      </w:r>
      <w:proofErr w:type="spellEnd"/>
      <w:r>
        <w:rPr>
          <w:b/>
          <w:bCs/>
          <w:lang w:val="en-US"/>
        </w:rPr>
        <w:t xml:space="preserve"> (b), painful diabetic peripheral neuropathy, painful </w:t>
      </w:r>
      <w:proofErr w:type="spellStart"/>
      <w:r>
        <w:rPr>
          <w:b/>
          <w:bCs/>
          <w:lang w:val="en-US"/>
        </w:rPr>
        <w:t>DPN</w:t>
      </w:r>
      <w:proofErr w:type="spellEnd"/>
      <w:r>
        <w:rPr>
          <w:b/>
          <w:bCs/>
          <w:lang w:val="en-US"/>
        </w:rPr>
        <w:t xml:space="preserve"> (c) painless diabetic neuropathy, painless </w:t>
      </w:r>
      <w:proofErr w:type="spellStart"/>
      <w:r>
        <w:rPr>
          <w:b/>
          <w:bCs/>
          <w:lang w:val="en-US"/>
        </w:rPr>
        <w:t>DPN</w:t>
      </w:r>
      <w:proofErr w:type="spellEnd"/>
      <w:r>
        <w:rPr>
          <w:b/>
          <w:bCs/>
          <w:lang w:val="en-US"/>
        </w:rPr>
        <w:t xml:space="preserve">, and (d) diabetic patients without peripheral diabetic neuropathy, No </w:t>
      </w:r>
      <w:proofErr w:type="spellStart"/>
      <w:r>
        <w:rPr>
          <w:b/>
          <w:bCs/>
          <w:lang w:val="en-US"/>
        </w:rPr>
        <w:t>DPN</w:t>
      </w:r>
      <w:proofErr w:type="spellEnd"/>
      <w:r>
        <w:rPr>
          <w:b/>
          <w:bCs/>
          <w:lang w:val="en-US"/>
        </w:rPr>
        <w:t xml:space="preserve">. (f) Image analysis of </w:t>
      </w:r>
      <w:proofErr w:type="spellStart"/>
      <w:r>
        <w:rPr>
          <w:b/>
          <w:bCs/>
          <w:lang w:val="en-US"/>
        </w:rPr>
        <w:t>CGRP</w:t>
      </w:r>
      <w:proofErr w:type="spellEnd"/>
      <w:r>
        <w:rPr>
          <w:b/>
          <w:bCs/>
          <w:lang w:val="en-US"/>
        </w:rPr>
        <w:t xml:space="preserve"> sub epithelial counts (% immunoreactivity) in the same groups (</w:t>
      </w:r>
      <w:proofErr w:type="spellStart"/>
      <w:r>
        <w:rPr>
          <w:b/>
          <w:bCs/>
          <w:lang w:val="en-US"/>
        </w:rPr>
        <w:t>HV</w:t>
      </w:r>
      <w:proofErr w:type="spellEnd"/>
      <w:r>
        <w:rPr>
          <w:b/>
          <w:bCs/>
          <w:lang w:val="en-US"/>
        </w:rPr>
        <w:t xml:space="preserve">: n=19, painful </w:t>
      </w:r>
      <w:proofErr w:type="spellStart"/>
      <w:r>
        <w:rPr>
          <w:b/>
          <w:bCs/>
          <w:lang w:val="en-US"/>
        </w:rPr>
        <w:t>DPN</w:t>
      </w:r>
      <w:proofErr w:type="spellEnd"/>
      <w:r>
        <w:rPr>
          <w:b/>
          <w:bCs/>
          <w:lang w:val="en-US"/>
        </w:rPr>
        <w:t xml:space="preserve">: n=23, painless </w:t>
      </w:r>
      <w:proofErr w:type="spellStart"/>
      <w:r>
        <w:rPr>
          <w:b/>
          <w:bCs/>
          <w:lang w:val="en-US"/>
        </w:rPr>
        <w:t>DPN</w:t>
      </w:r>
      <w:proofErr w:type="spellEnd"/>
      <w:r>
        <w:rPr>
          <w:b/>
          <w:bCs/>
          <w:lang w:val="en-US"/>
        </w:rPr>
        <w:t xml:space="preserve">: n=19, No </w:t>
      </w:r>
      <w:proofErr w:type="spellStart"/>
      <w:r>
        <w:rPr>
          <w:b/>
          <w:bCs/>
          <w:lang w:val="en-US"/>
        </w:rPr>
        <w:t>DPN</w:t>
      </w:r>
      <w:proofErr w:type="spellEnd"/>
      <w:r>
        <w:rPr>
          <w:b/>
          <w:bCs/>
          <w:lang w:val="en-US"/>
        </w:rPr>
        <w:t xml:space="preserve">: n=18).  Intra-epithelial </w:t>
      </w:r>
      <w:proofErr w:type="spellStart"/>
      <w:r>
        <w:rPr>
          <w:b/>
          <w:bCs/>
          <w:lang w:val="en-US"/>
        </w:rPr>
        <w:t>fibres</w:t>
      </w:r>
      <w:proofErr w:type="spellEnd"/>
      <w:r>
        <w:rPr>
          <w:b/>
          <w:bCs/>
          <w:lang w:val="en-US"/>
        </w:rPr>
        <w:t xml:space="preserve"> were absent or sparse in all groups. </w:t>
      </w:r>
    </w:p>
    <w:p w14:paraId="52691D67" w14:textId="2C7AF1EB" w:rsidR="00AC0FDB" w:rsidRDefault="00AC0FDB" w:rsidP="00AC0FDB">
      <w:pPr>
        <w:pStyle w:val="Heading3"/>
        <w:spacing w:line="480" w:lineRule="auto"/>
        <w:rPr>
          <w:sz w:val="24"/>
          <w:szCs w:val="24"/>
        </w:rPr>
      </w:pPr>
      <w:bookmarkStart w:id="133" w:name="_Toc59"/>
      <w:bookmarkStart w:id="134" w:name="_Toc6093035"/>
      <w:r w:rsidRPr="005B5764">
        <w:rPr>
          <w:sz w:val="24"/>
          <w:szCs w:val="24"/>
        </w:rPr>
        <w:lastRenderedPageBreak/>
        <w:t xml:space="preserve">5.3.4 Sub-epidermal </w:t>
      </w:r>
      <w:r w:rsidR="005D14B4" w:rsidRPr="005B5764">
        <w:rPr>
          <w:sz w:val="24"/>
          <w:szCs w:val="24"/>
        </w:rPr>
        <w:t>M</w:t>
      </w:r>
      <w:r w:rsidRPr="005B5764">
        <w:rPr>
          <w:sz w:val="24"/>
          <w:szCs w:val="24"/>
        </w:rPr>
        <w:t>icrovasculature</w:t>
      </w:r>
      <w:bookmarkEnd w:id="133"/>
      <w:bookmarkEnd w:id="134"/>
    </w:p>
    <w:p w14:paraId="2599D6FB" w14:textId="025FDAF4" w:rsidR="00AC0FDB" w:rsidRDefault="00AC0FDB" w:rsidP="00AC0FDB">
      <w:pPr>
        <w:pStyle w:val="BodyA"/>
        <w:spacing w:line="480" w:lineRule="auto"/>
        <w:jc w:val="both"/>
      </w:pPr>
      <w:r>
        <w:rPr>
          <w:lang w:val="en-US"/>
        </w:rPr>
        <w:t xml:space="preserve">Immunostaining for the vascular marker </w:t>
      </w:r>
      <w:proofErr w:type="spellStart"/>
      <w:r>
        <w:rPr>
          <w:lang w:val="en-US"/>
        </w:rPr>
        <w:t>vWF</w:t>
      </w:r>
      <w:proofErr w:type="spellEnd"/>
      <w:r>
        <w:rPr>
          <w:lang w:val="en-US"/>
        </w:rPr>
        <w:t xml:space="preserve"> showed increased sub-epidermal vascular staining in all diabetes groups compared to the </w:t>
      </w:r>
      <w:proofErr w:type="spellStart"/>
      <w:r>
        <w:rPr>
          <w:lang w:val="en-US"/>
        </w:rPr>
        <w:t>HV</w:t>
      </w:r>
      <w:proofErr w:type="spellEnd"/>
      <w:r>
        <w:rPr>
          <w:lang w:val="en-US"/>
        </w:rPr>
        <w:t xml:space="preserve"> group (Figure 5.4).  This increase was significant in DM compared to </w:t>
      </w:r>
      <w:proofErr w:type="spellStart"/>
      <w:r>
        <w:rPr>
          <w:lang w:val="en-US"/>
        </w:rPr>
        <w:t>HV</w:t>
      </w:r>
      <w:proofErr w:type="spellEnd"/>
      <w:r>
        <w:rPr>
          <w:lang w:val="en-US"/>
        </w:rPr>
        <w:t>, and particularly painful</w:t>
      </w:r>
      <w:r w:rsidR="003B1445">
        <w:rPr>
          <w:lang w:val="en-US"/>
        </w:rPr>
        <w:t xml:space="preserve"> </w:t>
      </w:r>
      <w:proofErr w:type="spellStart"/>
      <w:r>
        <w:rPr>
          <w:lang w:val="en-US"/>
        </w:rPr>
        <w:t>DPN</w:t>
      </w:r>
      <w:proofErr w:type="spellEnd"/>
      <w:r>
        <w:rPr>
          <w:lang w:val="en-US"/>
        </w:rPr>
        <w:t xml:space="preserve"> (p&lt;0.0001). </w:t>
      </w:r>
    </w:p>
    <w:p w14:paraId="19D91781" w14:textId="77777777" w:rsidR="00AC0FDB" w:rsidRDefault="00AC0FDB" w:rsidP="00AC0FDB">
      <w:pPr>
        <w:pStyle w:val="BodyA"/>
        <w:spacing w:after="0" w:line="360" w:lineRule="auto"/>
        <w:jc w:val="both"/>
        <w:rPr>
          <w:rFonts w:ascii="Calibri" w:eastAsia="Calibri" w:hAnsi="Calibri" w:cs="Calibri"/>
        </w:rPr>
      </w:pPr>
      <w:r>
        <w:rPr>
          <w:b/>
          <w:bCs/>
          <w:noProof/>
          <w:lang w:eastAsia="zh-CN"/>
        </w:rPr>
        <w:drawing>
          <wp:inline distT="0" distB="0" distL="0" distR="0" wp14:anchorId="19A7026E" wp14:editId="4747CCB0">
            <wp:extent cx="5727251" cy="5977467"/>
            <wp:effectExtent l="0" t="0" r="0" b="0"/>
            <wp:docPr id="1073741835" name="officeArt object" descr="vwf sheffield diab paper fig 4 copy.jpg"/>
            <wp:cNvGraphicFramePr/>
            <a:graphic xmlns:a="http://schemas.openxmlformats.org/drawingml/2006/main">
              <a:graphicData uri="http://schemas.openxmlformats.org/drawingml/2006/picture">
                <pic:pic xmlns:pic="http://schemas.openxmlformats.org/drawingml/2006/picture">
                  <pic:nvPicPr>
                    <pic:cNvPr id="1073741835" name="vwf sheffield diab paper fig 4 copy.jpg" descr="vwf sheffield diab paper fig 4 copy.jpg"/>
                    <pic:cNvPicPr>
                      <a:picLocks noChangeAspect="1"/>
                    </pic:cNvPicPr>
                  </pic:nvPicPr>
                  <pic:blipFill>
                    <a:blip r:embed="rId18"/>
                    <a:stretch>
                      <a:fillRect/>
                    </a:stretch>
                  </pic:blipFill>
                  <pic:spPr>
                    <a:xfrm>
                      <a:off x="0" y="0"/>
                      <a:ext cx="5727251" cy="5977467"/>
                    </a:xfrm>
                    <a:prstGeom prst="rect">
                      <a:avLst/>
                    </a:prstGeom>
                    <a:ln w="12700" cap="flat">
                      <a:noFill/>
                      <a:miter lim="400000"/>
                    </a:ln>
                    <a:effectLst/>
                  </pic:spPr>
                </pic:pic>
              </a:graphicData>
            </a:graphic>
          </wp:inline>
        </w:drawing>
      </w:r>
    </w:p>
    <w:p w14:paraId="38676BCF" w14:textId="77777777" w:rsidR="00AC0FDB" w:rsidRDefault="00AC0FDB" w:rsidP="00AC0FDB">
      <w:pPr>
        <w:pStyle w:val="BodyA"/>
        <w:spacing w:line="360" w:lineRule="auto"/>
        <w:jc w:val="both"/>
        <w:rPr>
          <w:b/>
          <w:bCs/>
        </w:rPr>
      </w:pPr>
      <w:r>
        <w:rPr>
          <w:b/>
          <w:bCs/>
          <w:lang w:val="en-US"/>
        </w:rPr>
        <w:t xml:space="preserve">Fig 5.4 (a) </w:t>
      </w:r>
      <w:proofErr w:type="spellStart"/>
      <w:r>
        <w:rPr>
          <w:b/>
          <w:bCs/>
          <w:lang w:val="en-US"/>
        </w:rPr>
        <w:t>vWF</w:t>
      </w:r>
      <w:proofErr w:type="spellEnd"/>
      <w:r>
        <w:rPr>
          <w:b/>
          <w:bCs/>
          <w:lang w:val="en-US"/>
        </w:rPr>
        <w:t xml:space="preserve"> immunoreactivity in calf skin from healthy volunteers, </w:t>
      </w:r>
      <w:proofErr w:type="spellStart"/>
      <w:r>
        <w:rPr>
          <w:b/>
          <w:bCs/>
          <w:lang w:val="en-US"/>
        </w:rPr>
        <w:t>HV</w:t>
      </w:r>
      <w:proofErr w:type="spellEnd"/>
      <w:r>
        <w:rPr>
          <w:b/>
          <w:bCs/>
          <w:lang w:val="en-US"/>
        </w:rPr>
        <w:t xml:space="preserve"> (b), painful diabetic peripheral neuropathy, painful </w:t>
      </w:r>
      <w:proofErr w:type="spellStart"/>
      <w:r>
        <w:rPr>
          <w:b/>
          <w:bCs/>
          <w:lang w:val="en-US"/>
        </w:rPr>
        <w:t>DPN</w:t>
      </w:r>
      <w:proofErr w:type="spellEnd"/>
      <w:r>
        <w:rPr>
          <w:b/>
          <w:bCs/>
          <w:lang w:val="en-US"/>
        </w:rPr>
        <w:t xml:space="preserve"> (c) painless diabetic neuropathy, painless </w:t>
      </w:r>
      <w:proofErr w:type="spellStart"/>
      <w:r>
        <w:rPr>
          <w:b/>
          <w:bCs/>
          <w:lang w:val="en-US"/>
        </w:rPr>
        <w:t>DPN</w:t>
      </w:r>
      <w:proofErr w:type="spellEnd"/>
      <w:r>
        <w:rPr>
          <w:b/>
          <w:bCs/>
          <w:lang w:val="en-US"/>
        </w:rPr>
        <w:t xml:space="preserve">, and (d) diabetic patients without peripheral diabetic neuropathy, No </w:t>
      </w:r>
      <w:proofErr w:type="spellStart"/>
      <w:r>
        <w:rPr>
          <w:b/>
          <w:bCs/>
          <w:lang w:val="en-US"/>
        </w:rPr>
        <w:t>DPN</w:t>
      </w:r>
      <w:proofErr w:type="spellEnd"/>
      <w:r>
        <w:rPr>
          <w:b/>
          <w:bCs/>
          <w:lang w:val="en-US"/>
        </w:rPr>
        <w:t xml:space="preserve">. (e), image analysis of </w:t>
      </w:r>
      <w:proofErr w:type="spellStart"/>
      <w:r>
        <w:rPr>
          <w:b/>
          <w:bCs/>
          <w:lang w:val="en-US"/>
        </w:rPr>
        <w:t>vWF</w:t>
      </w:r>
      <w:proofErr w:type="spellEnd"/>
      <w:r>
        <w:rPr>
          <w:b/>
          <w:bCs/>
          <w:lang w:val="en-US"/>
        </w:rPr>
        <w:t xml:space="preserve"> sub epithelial endothelial staining </w:t>
      </w:r>
      <w:r>
        <w:rPr>
          <w:b/>
          <w:bCs/>
          <w:lang w:val="en-US"/>
        </w:rPr>
        <w:lastRenderedPageBreak/>
        <w:t>(% immunoreactivity) in the same groups. (</w:t>
      </w:r>
      <w:proofErr w:type="spellStart"/>
      <w:r>
        <w:rPr>
          <w:b/>
          <w:bCs/>
          <w:lang w:val="en-US"/>
        </w:rPr>
        <w:t>HV</w:t>
      </w:r>
      <w:proofErr w:type="spellEnd"/>
      <w:r>
        <w:rPr>
          <w:b/>
          <w:bCs/>
          <w:lang w:val="en-US"/>
        </w:rPr>
        <w:t xml:space="preserve">: n=12, painful </w:t>
      </w:r>
      <w:proofErr w:type="spellStart"/>
      <w:r>
        <w:rPr>
          <w:b/>
          <w:bCs/>
          <w:lang w:val="en-US"/>
        </w:rPr>
        <w:t>DPN</w:t>
      </w:r>
      <w:proofErr w:type="spellEnd"/>
      <w:r>
        <w:rPr>
          <w:b/>
          <w:bCs/>
          <w:lang w:val="en-US"/>
        </w:rPr>
        <w:t xml:space="preserve">: n=15, painless </w:t>
      </w:r>
      <w:proofErr w:type="spellStart"/>
      <w:r>
        <w:rPr>
          <w:b/>
          <w:bCs/>
          <w:lang w:val="en-US"/>
        </w:rPr>
        <w:t>DPN</w:t>
      </w:r>
      <w:proofErr w:type="spellEnd"/>
      <w:r>
        <w:rPr>
          <w:b/>
          <w:bCs/>
          <w:lang w:val="en-US"/>
        </w:rPr>
        <w:t xml:space="preserve">: n=18, No </w:t>
      </w:r>
      <w:proofErr w:type="spellStart"/>
      <w:r>
        <w:rPr>
          <w:b/>
          <w:bCs/>
          <w:lang w:val="en-US"/>
        </w:rPr>
        <w:t>DPN</w:t>
      </w:r>
      <w:proofErr w:type="spellEnd"/>
      <w:r>
        <w:rPr>
          <w:b/>
          <w:bCs/>
          <w:lang w:val="en-US"/>
        </w:rPr>
        <w:t>: n=13).</w:t>
      </w:r>
    </w:p>
    <w:p w14:paraId="729FA3A9" w14:textId="0DC14F42" w:rsidR="00AC0FDB" w:rsidRDefault="00AC0FDB" w:rsidP="00AC0FDB">
      <w:pPr>
        <w:pStyle w:val="BodyA"/>
        <w:spacing w:line="480" w:lineRule="auto"/>
        <w:jc w:val="both"/>
        <w:rPr>
          <w:b/>
          <w:bCs/>
        </w:rPr>
      </w:pPr>
      <w:r>
        <w:rPr>
          <w:lang w:val="en-US"/>
        </w:rPr>
        <w:t xml:space="preserve">Expressing the </w:t>
      </w:r>
      <w:proofErr w:type="spellStart"/>
      <w:r>
        <w:rPr>
          <w:lang w:val="en-US"/>
        </w:rPr>
        <w:t>SENFD</w:t>
      </w:r>
      <w:proofErr w:type="spellEnd"/>
      <w:r>
        <w:rPr>
          <w:lang w:val="en-US"/>
        </w:rPr>
        <w:t xml:space="preserve"> results as a ratio of PGP9.5 showed a significant reduction in painful</w:t>
      </w:r>
      <w:r w:rsidR="003B1445">
        <w:rPr>
          <w:lang w:val="en-US"/>
        </w:rPr>
        <w:t xml:space="preserve"> </w:t>
      </w:r>
      <w:proofErr w:type="spellStart"/>
      <w:r>
        <w:rPr>
          <w:lang w:val="en-US"/>
        </w:rPr>
        <w:t>DPN</w:t>
      </w:r>
      <w:proofErr w:type="spellEnd"/>
      <w:r>
        <w:rPr>
          <w:lang w:val="en-US"/>
        </w:rPr>
        <w:t xml:space="preserve"> (p&lt;0.001) and painless</w:t>
      </w:r>
      <w:r w:rsidR="003B1445">
        <w:rPr>
          <w:lang w:val="en-US"/>
        </w:rPr>
        <w:t xml:space="preserve"> </w:t>
      </w:r>
      <w:proofErr w:type="spellStart"/>
      <w:r>
        <w:rPr>
          <w:lang w:val="en-US"/>
        </w:rPr>
        <w:t>DPN</w:t>
      </w:r>
      <w:proofErr w:type="spellEnd"/>
      <w:r>
        <w:rPr>
          <w:lang w:val="en-US"/>
        </w:rPr>
        <w:t xml:space="preserve"> (p=0.003) groups, but not in the no</w:t>
      </w:r>
      <w:r w:rsidR="003B1445">
        <w:rPr>
          <w:lang w:val="en-US"/>
        </w:rPr>
        <w:t xml:space="preserve"> </w:t>
      </w:r>
      <w:proofErr w:type="spellStart"/>
      <w:r>
        <w:rPr>
          <w:lang w:val="en-US"/>
        </w:rPr>
        <w:t>DPN</w:t>
      </w:r>
      <w:proofErr w:type="spellEnd"/>
      <w:r>
        <w:rPr>
          <w:lang w:val="en-US"/>
        </w:rPr>
        <w:t xml:space="preserve"> group (p=0.72), compared to the </w:t>
      </w:r>
      <w:proofErr w:type="spellStart"/>
      <w:r>
        <w:rPr>
          <w:lang w:val="en-US"/>
        </w:rPr>
        <w:t>HV</w:t>
      </w:r>
      <w:proofErr w:type="spellEnd"/>
      <w:r>
        <w:rPr>
          <w:lang w:val="en-US"/>
        </w:rPr>
        <w:t xml:space="preserve"> group (Figure 5.5). There was no difference in the ratio between painful</w:t>
      </w:r>
      <w:r w:rsidR="003B1445">
        <w:rPr>
          <w:lang w:val="en-US"/>
        </w:rPr>
        <w:t xml:space="preserve"> </w:t>
      </w:r>
      <w:r>
        <w:rPr>
          <w:lang w:val="en-US"/>
        </w:rPr>
        <w:t>and painless</w:t>
      </w:r>
      <w:r w:rsidR="003B1445">
        <w:rPr>
          <w:lang w:val="en-US"/>
        </w:rPr>
        <w:t xml:space="preserve"> </w:t>
      </w:r>
      <w:proofErr w:type="spellStart"/>
      <w:r>
        <w:rPr>
          <w:lang w:val="en-US"/>
        </w:rPr>
        <w:t>DPN</w:t>
      </w:r>
      <w:proofErr w:type="spellEnd"/>
      <w:r>
        <w:rPr>
          <w:lang w:val="en-US"/>
        </w:rPr>
        <w:t xml:space="preserve"> groups for PGP9.5 (p=0.3).  Similar statistical results were found with GAP-43.  However, as shown in figure 5.5 and figure 5.6, there was a significant reduction in the </w:t>
      </w:r>
      <w:proofErr w:type="spellStart"/>
      <w:r>
        <w:rPr>
          <w:lang w:val="en-US"/>
        </w:rPr>
        <w:t>CGRP:vWF</w:t>
      </w:r>
      <w:proofErr w:type="spellEnd"/>
      <w:r>
        <w:rPr>
          <w:lang w:val="en-US"/>
        </w:rPr>
        <w:t xml:space="preserve"> ratio in painful</w:t>
      </w:r>
      <w:r w:rsidR="003B1445">
        <w:rPr>
          <w:lang w:val="en-US"/>
        </w:rPr>
        <w:t xml:space="preserve"> </w:t>
      </w:r>
      <w:proofErr w:type="spellStart"/>
      <w:r>
        <w:rPr>
          <w:lang w:val="en-US"/>
        </w:rPr>
        <w:t>DPN</w:t>
      </w:r>
      <w:proofErr w:type="spellEnd"/>
      <w:r>
        <w:rPr>
          <w:lang w:val="en-US"/>
        </w:rPr>
        <w:t xml:space="preserve"> when compared to painless</w:t>
      </w:r>
      <w:r w:rsidR="003B1445">
        <w:rPr>
          <w:lang w:val="en-US"/>
        </w:rPr>
        <w:t xml:space="preserve"> </w:t>
      </w:r>
      <w:proofErr w:type="spellStart"/>
      <w:r>
        <w:rPr>
          <w:lang w:val="en-US"/>
        </w:rPr>
        <w:t>DPN</w:t>
      </w:r>
      <w:proofErr w:type="spellEnd"/>
      <w:r>
        <w:rPr>
          <w:lang w:val="en-US"/>
        </w:rPr>
        <w:t xml:space="preserve"> group (p=0.014); in addition, there was reduced </w:t>
      </w:r>
      <w:proofErr w:type="spellStart"/>
      <w:r>
        <w:rPr>
          <w:lang w:val="en-US"/>
        </w:rPr>
        <w:t>CGRP:vWF</w:t>
      </w:r>
      <w:proofErr w:type="spellEnd"/>
      <w:r>
        <w:rPr>
          <w:lang w:val="en-US"/>
        </w:rPr>
        <w:t xml:space="preserve"> </w:t>
      </w:r>
      <w:proofErr w:type="spellStart"/>
      <w:r>
        <w:rPr>
          <w:lang w:val="en-US"/>
        </w:rPr>
        <w:t>SENF</w:t>
      </w:r>
      <w:proofErr w:type="spellEnd"/>
      <w:r>
        <w:rPr>
          <w:lang w:val="en-US"/>
        </w:rPr>
        <w:t xml:space="preserve"> ratio in the painful</w:t>
      </w:r>
      <w:r w:rsidR="003B1445">
        <w:rPr>
          <w:lang w:val="en-US"/>
        </w:rPr>
        <w:t xml:space="preserve"> </w:t>
      </w:r>
      <w:proofErr w:type="spellStart"/>
      <w:r>
        <w:rPr>
          <w:lang w:val="en-US"/>
        </w:rPr>
        <w:t>DPN</w:t>
      </w:r>
      <w:proofErr w:type="spellEnd"/>
      <w:r>
        <w:rPr>
          <w:lang w:val="en-US"/>
        </w:rPr>
        <w:t xml:space="preserve"> (p&lt;0.001), painless</w:t>
      </w:r>
      <w:r w:rsidR="003B1445">
        <w:rPr>
          <w:lang w:val="en-US"/>
        </w:rPr>
        <w:t xml:space="preserve"> </w:t>
      </w:r>
      <w:proofErr w:type="spellStart"/>
      <w:r>
        <w:rPr>
          <w:lang w:val="en-US"/>
        </w:rPr>
        <w:t>DPN</w:t>
      </w:r>
      <w:proofErr w:type="spellEnd"/>
      <w:r>
        <w:rPr>
          <w:lang w:val="en-US"/>
        </w:rPr>
        <w:t xml:space="preserve"> (p=0.005), and also no</w:t>
      </w:r>
      <w:r w:rsidR="003B1445">
        <w:rPr>
          <w:lang w:val="en-US"/>
        </w:rPr>
        <w:t xml:space="preserve"> </w:t>
      </w:r>
      <w:proofErr w:type="spellStart"/>
      <w:r>
        <w:rPr>
          <w:lang w:val="en-US"/>
        </w:rPr>
        <w:t>DPN</w:t>
      </w:r>
      <w:proofErr w:type="spellEnd"/>
      <w:r>
        <w:rPr>
          <w:lang w:val="en-US"/>
        </w:rPr>
        <w:t xml:space="preserve"> group (p=0.023), compared to the </w:t>
      </w:r>
      <w:proofErr w:type="spellStart"/>
      <w:r>
        <w:rPr>
          <w:lang w:val="en-US"/>
        </w:rPr>
        <w:t>HV</w:t>
      </w:r>
      <w:proofErr w:type="spellEnd"/>
      <w:r>
        <w:rPr>
          <w:lang w:val="en-US"/>
        </w:rPr>
        <w:t xml:space="preserve"> group.</w:t>
      </w:r>
    </w:p>
    <w:p w14:paraId="715684D3" w14:textId="77777777" w:rsidR="00AC0FDB" w:rsidRDefault="00AC0FDB" w:rsidP="00AC0FDB">
      <w:pPr>
        <w:pStyle w:val="BodyA"/>
        <w:spacing w:after="0" w:line="360" w:lineRule="auto"/>
        <w:jc w:val="both"/>
        <w:rPr>
          <w:rFonts w:ascii="Calibri" w:eastAsia="Calibri" w:hAnsi="Calibri" w:cs="Calibri"/>
        </w:rPr>
      </w:pPr>
      <w:r>
        <w:rPr>
          <w:b/>
          <w:bCs/>
          <w:noProof/>
          <w:lang w:eastAsia="zh-CN"/>
        </w:rPr>
        <w:lastRenderedPageBreak/>
        <w:drawing>
          <wp:inline distT="0" distB="0" distL="0" distR="0" wp14:anchorId="3BFB14F1" wp14:editId="2A5F31F3">
            <wp:extent cx="2837736" cy="8026400"/>
            <wp:effectExtent l="0" t="0" r="0" b="0"/>
            <wp:docPr id="1073741836" name="officeArt object" descr="E:\Sheffield\Diabetologia paper\diabetologia fig 5 update.tif"/>
            <wp:cNvGraphicFramePr/>
            <a:graphic xmlns:a="http://schemas.openxmlformats.org/drawingml/2006/main">
              <a:graphicData uri="http://schemas.openxmlformats.org/drawingml/2006/picture">
                <pic:pic xmlns:pic="http://schemas.openxmlformats.org/drawingml/2006/picture">
                  <pic:nvPicPr>
                    <pic:cNvPr id="1073741836" name="E:\Sheffield\Diabetologia paper\diabetologia fig 5 update.tif" descr="E:\Sheffield\Diabetologia paper\diabetologia fig 5 update.tif"/>
                    <pic:cNvPicPr>
                      <a:picLocks noChangeAspect="1"/>
                    </pic:cNvPicPr>
                  </pic:nvPicPr>
                  <pic:blipFill>
                    <a:blip r:embed="rId19"/>
                    <a:stretch>
                      <a:fillRect/>
                    </a:stretch>
                  </pic:blipFill>
                  <pic:spPr>
                    <a:xfrm>
                      <a:off x="0" y="0"/>
                      <a:ext cx="2837736" cy="8026400"/>
                    </a:xfrm>
                    <a:prstGeom prst="rect">
                      <a:avLst/>
                    </a:prstGeom>
                    <a:ln w="12700" cap="flat">
                      <a:noFill/>
                      <a:miter lim="400000"/>
                    </a:ln>
                    <a:effectLst/>
                  </pic:spPr>
                </pic:pic>
              </a:graphicData>
            </a:graphic>
          </wp:inline>
        </w:drawing>
      </w:r>
    </w:p>
    <w:p w14:paraId="1F328B5D" w14:textId="77777777" w:rsidR="00AC0FDB" w:rsidRDefault="00AC0FDB" w:rsidP="00AC0FDB">
      <w:pPr>
        <w:pStyle w:val="BodyA"/>
        <w:spacing w:after="160" w:line="360" w:lineRule="auto"/>
        <w:jc w:val="both"/>
        <w:rPr>
          <w:b/>
          <w:bCs/>
        </w:rPr>
      </w:pPr>
      <w:r>
        <w:rPr>
          <w:b/>
          <w:bCs/>
          <w:lang w:val="en-US"/>
        </w:rPr>
        <w:t xml:space="preserve">Fig 5.5 (a), bar charts showing image analysis (mean ± </w:t>
      </w:r>
      <w:r w:rsidRPr="005B5764">
        <w:rPr>
          <w:b/>
          <w:bCs/>
        </w:rPr>
        <w:t xml:space="preserve">SEM) of PGP9.5 SEF: </w:t>
      </w:r>
      <w:proofErr w:type="spellStart"/>
      <w:r w:rsidRPr="005B5764">
        <w:rPr>
          <w:b/>
          <w:bCs/>
        </w:rPr>
        <w:t>vWF</w:t>
      </w:r>
      <w:proofErr w:type="spellEnd"/>
      <w:r w:rsidRPr="005B5764">
        <w:rPr>
          <w:b/>
          <w:bCs/>
        </w:rPr>
        <w:t xml:space="preserve"> (b), GAP43 </w:t>
      </w:r>
      <w:proofErr w:type="spellStart"/>
      <w:r w:rsidRPr="005B5764">
        <w:rPr>
          <w:b/>
          <w:bCs/>
        </w:rPr>
        <w:t>IEF</w:t>
      </w:r>
      <w:proofErr w:type="spellEnd"/>
      <w:r w:rsidRPr="005B5764">
        <w:rPr>
          <w:b/>
          <w:bCs/>
        </w:rPr>
        <w:t xml:space="preserve">: </w:t>
      </w:r>
      <w:proofErr w:type="spellStart"/>
      <w:r w:rsidRPr="005B5764">
        <w:rPr>
          <w:b/>
          <w:bCs/>
        </w:rPr>
        <w:t>vWF</w:t>
      </w:r>
      <w:proofErr w:type="spellEnd"/>
      <w:r w:rsidRPr="005B5764">
        <w:rPr>
          <w:b/>
          <w:bCs/>
        </w:rPr>
        <w:t xml:space="preserve"> and (c) </w:t>
      </w:r>
      <w:proofErr w:type="spellStart"/>
      <w:r w:rsidRPr="005B5764">
        <w:rPr>
          <w:b/>
          <w:bCs/>
        </w:rPr>
        <w:t>CGRP</w:t>
      </w:r>
      <w:proofErr w:type="spellEnd"/>
      <w:r w:rsidRPr="005B5764">
        <w:rPr>
          <w:b/>
          <w:bCs/>
        </w:rPr>
        <w:t xml:space="preserve"> SEF: </w:t>
      </w:r>
      <w:proofErr w:type="spellStart"/>
      <w:r w:rsidRPr="005B5764">
        <w:rPr>
          <w:b/>
          <w:bCs/>
        </w:rPr>
        <w:t>vWF</w:t>
      </w:r>
      <w:proofErr w:type="spellEnd"/>
      <w:r w:rsidRPr="005B5764">
        <w:rPr>
          <w:b/>
          <w:bCs/>
        </w:rPr>
        <w:t xml:space="preserve"> ratios (Control: n=12, P: n=15, NP: n=18, </w:t>
      </w:r>
      <w:proofErr w:type="spellStart"/>
      <w:r w:rsidRPr="005B5764">
        <w:rPr>
          <w:b/>
          <w:bCs/>
        </w:rPr>
        <w:t>NDN</w:t>
      </w:r>
      <w:proofErr w:type="spellEnd"/>
      <w:r w:rsidRPr="005B5764">
        <w:rPr>
          <w:b/>
          <w:bCs/>
        </w:rPr>
        <w:t xml:space="preserve">: n=13) </w:t>
      </w:r>
    </w:p>
    <w:p w14:paraId="71193A3C" w14:textId="77777777" w:rsidR="00AC0FDB" w:rsidRDefault="00AC0FDB" w:rsidP="00AC0FDB">
      <w:pPr>
        <w:pStyle w:val="BodyA"/>
        <w:spacing w:after="0" w:line="360" w:lineRule="auto"/>
        <w:jc w:val="both"/>
        <w:rPr>
          <w:rFonts w:ascii="Calibri" w:eastAsia="Calibri" w:hAnsi="Calibri" w:cs="Calibri"/>
        </w:rPr>
      </w:pPr>
      <w:r>
        <w:rPr>
          <w:b/>
          <w:bCs/>
          <w:noProof/>
          <w:lang w:eastAsia="zh-CN"/>
        </w:rPr>
        <w:lastRenderedPageBreak/>
        <w:drawing>
          <wp:inline distT="0" distB="0" distL="0" distR="0" wp14:anchorId="210C0D4C" wp14:editId="6666E42A">
            <wp:extent cx="5695314" cy="4205181"/>
            <wp:effectExtent l="0" t="0" r="0" b="0"/>
            <wp:docPr id="1073741837" name="officeArt object" descr="E:\Sheffield\Diabetologia paper\diabetologia fig 6 v2 copy.jpg"/>
            <wp:cNvGraphicFramePr/>
            <a:graphic xmlns:a="http://schemas.openxmlformats.org/drawingml/2006/main">
              <a:graphicData uri="http://schemas.openxmlformats.org/drawingml/2006/picture">
                <pic:pic xmlns:pic="http://schemas.openxmlformats.org/drawingml/2006/picture">
                  <pic:nvPicPr>
                    <pic:cNvPr id="1073741837" name="E:\Sheffield\Diabetologia paper\diabetologia fig 6 v2 copy.jpg" descr="E:\Sheffield\Diabetologia paper\diabetologia fig 6 v2 copy.jpg"/>
                    <pic:cNvPicPr>
                      <a:picLocks noChangeAspect="1"/>
                    </pic:cNvPicPr>
                  </pic:nvPicPr>
                  <pic:blipFill>
                    <a:blip r:embed="rId20"/>
                    <a:stretch>
                      <a:fillRect/>
                    </a:stretch>
                  </pic:blipFill>
                  <pic:spPr>
                    <a:xfrm>
                      <a:off x="0" y="0"/>
                      <a:ext cx="5695314" cy="4205181"/>
                    </a:xfrm>
                    <a:prstGeom prst="rect">
                      <a:avLst/>
                    </a:prstGeom>
                    <a:ln w="12700" cap="flat">
                      <a:noFill/>
                      <a:miter lim="400000"/>
                    </a:ln>
                    <a:effectLst/>
                  </pic:spPr>
                </pic:pic>
              </a:graphicData>
            </a:graphic>
          </wp:inline>
        </w:drawing>
      </w:r>
    </w:p>
    <w:p w14:paraId="6FDC0CA0" w14:textId="77777777" w:rsidR="00AC0FDB" w:rsidRDefault="00AC0FDB" w:rsidP="00AC0FDB">
      <w:pPr>
        <w:pStyle w:val="BodyA"/>
        <w:spacing w:after="160" w:line="360" w:lineRule="auto"/>
        <w:jc w:val="both"/>
        <w:rPr>
          <w:b/>
          <w:bCs/>
        </w:rPr>
      </w:pPr>
      <w:r>
        <w:rPr>
          <w:b/>
          <w:bCs/>
          <w:lang w:val="en-US"/>
        </w:rPr>
        <w:t xml:space="preserve">Fig 5.6 (a), bar charts showing image analysis (mean ± SEM) of the painful diabetic peripheral neuropathy (painful </w:t>
      </w:r>
      <w:proofErr w:type="spellStart"/>
      <w:r>
        <w:rPr>
          <w:b/>
          <w:bCs/>
          <w:lang w:val="en-US"/>
        </w:rPr>
        <w:t>DPN</w:t>
      </w:r>
      <w:proofErr w:type="spellEnd"/>
      <w:r>
        <w:rPr>
          <w:b/>
          <w:bCs/>
          <w:lang w:val="en-US"/>
        </w:rPr>
        <w:t xml:space="preserve">) and painless diabetic neuropathy (painless </w:t>
      </w:r>
      <w:proofErr w:type="spellStart"/>
      <w:r>
        <w:rPr>
          <w:b/>
          <w:bCs/>
          <w:lang w:val="en-US"/>
        </w:rPr>
        <w:t>DPN</w:t>
      </w:r>
      <w:proofErr w:type="spellEnd"/>
      <w:r>
        <w:rPr>
          <w:b/>
          <w:bCs/>
          <w:lang w:val="en-US"/>
        </w:rPr>
        <w:t xml:space="preserve">) for the various nerve markers PGP9.5 SEF: </w:t>
      </w:r>
      <w:proofErr w:type="spellStart"/>
      <w:r>
        <w:rPr>
          <w:b/>
          <w:bCs/>
          <w:lang w:val="en-US"/>
        </w:rPr>
        <w:t>vWF</w:t>
      </w:r>
      <w:proofErr w:type="spellEnd"/>
      <w:r>
        <w:rPr>
          <w:b/>
          <w:bCs/>
          <w:lang w:val="en-US"/>
        </w:rPr>
        <w:t xml:space="preserve">, GAP43 </w:t>
      </w:r>
      <w:proofErr w:type="spellStart"/>
      <w:r>
        <w:rPr>
          <w:b/>
          <w:bCs/>
          <w:lang w:val="en-US"/>
        </w:rPr>
        <w:t>IEF</w:t>
      </w:r>
      <w:proofErr w:type="spellEnd"/>
      <w:r>
        <w:rPr>
          <w:b/>
          <w:bCs/>
          <w:lang w:val="en-US"/>
        </w:rPr>
        <w:t xml:space="preserve">: </w:t>
      </w:r>
      <w:proofErr w:type="spellStart"/>
      <w:r>
        <w:rPr>
          <w:b/>
          <w:bCs/>
          <w:lang w:val="en-US"/>
        </w:rPr>
        <w:t>vWF</w:t>
      </w:r>
      <w:proofErr w:type="spellEnd"/>
      <w:r>
        <w:rPr>
          <w:b/>
          <w:bCs/>
          <w:lang w:val="en-US"/>
        </w:rPr>
        <w:t xml:space="preserve"> and </w:t>
      </w:r>
      <w:proofErr w:type="spellStart"/>
      <w:r>
        <w:rPr>
          <w:b/>
          <w:bCs/>
          <w:lang w:val="en-US"/>
        </w:rPr>
        <w:t>CGRP</w:t>
      </w:r>
      <w:proofErr w:type="spellEnd"/>
      <w:r>
        <w:rPr>
          <w:b/>
          <w:bCs/>
          <w:lang w:val="en-US"/>
        </w:rPr>
        <w:t xml:space="preserve"> SEF: </w:t>
      </w:r>
      <w:proofErr w:type="spellStart"/>
      <w:r>
        <w:rPr>
          <w:b/>
          <w:bCs/>
          <w:lang w:val="en-US"/>
        </w:rPr>
        <w:t>vWF</w:t>
      </w:r>
      <w:proofErr w:type="spellEnd"/>
      <w:r>
        <w:rPr>
          <w:b/>
          <w:bCs/>
          <w:lang w:val="en-US"/>
        </w:rPr>
        <w:t xml:space="preserve"> ratios (Control: n=12, P: n=15, NP: n=18, </w:t>
      </w:r>
      <w:proofErr w:type="spellStart"/>
      <w:r>
        <w:rPr>
          <w:b/>
          <w:bCs/>
          <w:lang w:val="en-US"/>
        </w:rPr>
        <w:t>NDN</w:t>
      </w:r>
      <w:proofErr w:type="spellEnd"/>
      <w:r>
        <w:rPr>
          <w:b/>
          <w:bCs/>
          <w:lang w:val="en-US"/>
        </w:rPr>
        <w:t>: n=13).</w:t>
      </w:r>
    </w:p>
    <w:p w14:paraId="67DD47A4" w14:textId="77777777" w:rsidR="00AC0FDB" w:rsidRDefault="00AC0FDB" w:rsidP="00AC0FDB">
      <w:pPr>
        <w:pStyle w:val="Heading2"/>
        <w:spacing w:line="480" w:lineRule="auto"/>
        <w:rPr>
          <w:i w:val="0"/>
          <w:iCs w:val="0"/>
          <w:sz w:val="24"/>
          <w:szCs w:val="24"/>
        </w:rPr>
      </w:pPr>
      <w:bookmarkStart w:id="135" w:name="_Toc60"/>
      <w:bookmarkStart w:id="136" w:name="_Toc6093036"/>
      <w:r>
        <w:rPr>
          <w:i w:val="0"/>
          <w:iCs w:val="0"/>
          <w:sz w:val="24"/>
          <w:szCs w:val="24"/>
          <w:lang w:val="en-US"/>
        </w:rPr>
        <w:t>5.4 Discussion</w:t>
      </w:r>
      <w:bookmarkEnd w:id="135"/>
      <w:bookmarkEnd w:id="136"/>
    </w:p>
    <w:p w14:paraId="2F123F9D" w14:textId="77777777" w:rsidR="00AC0FDB" w:rsidRDefault="00AC0FDB" w:rsidP="00AC0FDB">
      <w:pPr>
        <w:pStyle w:val="BodyA"/>
        <w:spacing w:line="480" w:lineRule="auto"/>
        <w:jc w:val="both"/>
      </w:pPr>
      <w:bookmarkStart w:id="137" w:name="_Hlk3918130"/>
      <w:r>
        <w:rPr>
          <w:lang w:val="en-US"/>
        </w:rPr>
        <w:t xml:space="preserve">The pathogenesis of chronic pain in diabetic polyneuropathy is poorly understood, and current treatments provide sub-optimal pain relief. There is a need to further our understanding of pain mechanisms in painful </w:t>
      </w:r>
      <w:proofErr w:type="spellStart"/>
      <w:r>
        <w:rPr>
          <w:lang w:val="en-US"/>
        </w:rPr>
        <w:t>DPN</w:t>
      </w:r>
      <w:proofErr w:type="spellEnd"/>
      <w:r>
        <w:rPr>
          <w:lang w:val="en-US"/>
        </w:rPr>
        <w:t xml:space="preserve"> and enable the development of better treatments.  </w:t>
      </w:r>
    </w:p>
    <w:p w14:paraId="6A1F2620" w14:textId="77777777" w:rsidR="00AC0FDB" w:rsidRPr="005B5764" w:rsidRDefault="00AC0FDB" w:rsidP="00AC0FDB">
      <w:pPr>
        <w:pStyle w:val="BodyA"/>
        <w:spacing w:line="480" w:lineRule="auto"/>
        <w:jc w:val="both"/>
        <w:rPr>
          <w:lang w:val="fr-FR"/>
        </w:rPr>
      </w:pPr>
      <w:r>
        <w:rPr>
          <w:lang w:val="en-US"/>
        </w:rPr>
        <w:t xml:space="preserve">In this study, the cohorts were characterized in depth and matched, using a battery of validated questionnaires and neurophysiological tests. The painful </w:t>
      </w:r>
      <w:proofErr w:type="spellStart"/>
      <w:r>
        <w:rPr>
          <w:lang w:val="en-US"/>
        </w:rPr>
        <w:t>DPN</w:t>
      </w:r>
      <w:proofErr w:type="spellEnd"/>
      <w:r>
        <w:rPr>
          <w:lang w:val="en-US"/>
        </w:rPr>
        <w:t xml:space="preserve"> group had a higher NIS (LL) +7 score compared to the painless </w:t>
      </w:r>
      <w:proofErr w:type="spellStart"/>
      <w:r>
        <w:rPr>
          <w:lang w:val="en-US"/>
        </w:rPr>
        <w:t>DPN</w:t>
      </w:r>
      <w:proofErr w:type="spellEnd"/>
      <w:r>
        <w:rPr>
          <w:lang w:val="en-US"/>
        </w:rPr>
        <w:t xml:space="preserve"> group, in accord with recent studies with larger numbers of such participants </w:t>
      </w:r>
      <w:r>
        <w:rPr>
          <w:lang w:val="en-US"/>
        </w:rPr>
        <w:fldChar w:fldCharType="begin"/>
      </w:r>
      <w:r>
        <w:rPr>
          <w:lang w:val="en-US"/>
        </w:rPr>
        <w:instrText xml:space="preserve"> ADDIN EN.CITE &lt;EndNote&gt;&lt;Cite  &gt;&lt;Author&gt;Themistocleous&lt;/Author&gt;&lt;Year&gt;2016&lt;/Year&gt;&lt;RecNum&gt;537&lt;/RecNum&gt;&lt;DisplayText&gt;(Themistocleous et al., 2016)&lt;/DisplayText&gt;&lt;record&gt;&lt;dates&gt;&lt;pub-dates&gt;&lt;date&gt;May&lt;/date&gt;&lt;/pub-dates&gt;&lt;year&gt;2016&lt;/year&gt;&lt;/dates&gt;&lt;keywords&gt;&lt;keyword&gt;Aged&lt;/keyword&gt;&lt;keyword&gt;Cross-Sectional Studies&lt;/keyword&gt;&lt;keyword&gt;Diabetic Neuropathies&lt;/keyword&gt;&lt;keyword&gt;Electric Stimulation&lt;/keyword&gt;&lt;keyword&gt;Female&lt;/keyword&gt;&lt;keyword&gt;Humans&lt;/keyword&gt;&lt;keyword&gt;Male&lt;/keyword&gt;&lt;keyword&gt;Middle Aged&lt;/keyword&gt;&lt;keyword&gt;Nerve Fibers&lt;/keyword&gt;&lt;keyword&gt;Neural Conduction&lt;/keyword&gt;&lt;keyword&gt;Neuralgia&lt;/keyword&gt;&lt;keyword&gt;Neurologic Examination&lt;/keyword&gt;&lt;keyword&gt;Phenotype&lt;/keyword&gt;&lt;keyword&gt;Sensation&lt;/keyword&gt;&lt;keyword&gt;Severity of Illness Index&lt;/keyword&gt;&lt;keyword&gt;Skin&lt;/keyword&gt;&lt;keyword&gt;Surveys and Questionnaires&lt;/keyword&gt;&lt;/keywords&gt;&lt;urls&gt;&lt;related-urls&gt;&lt;url&gt;https://www.ncbi.nlm.nih.gov/pubmed/27088890&lt;/url&gt;&lt;/related-urls&gt;&lt;/urls&gt;&lt;isbn&gt;1872-6623&lt;/isbn&gt;&lt;custom2&gt;PMC4834814&lt;/custom2&gt;&lt;titles&gt;&lt;title&gt;The Pain in Neuropathy Study (PiNS): a cross-sectional observational study determining the somatosensory phenotype of painful and painless diabetic neuropathy&lt;/title&gt;&lt;secondary-title&gt;Pain&lt;/secondary-title&gt;&lt;/titles&gt;&lt;pages&gt;1132-45&lt;/pages&gt;&lt;number&gt;5&lt;/number&gt;&lt;contributors&gt;&lt;authors&gt;&lt;author&gt;Themistocleous, A. C.&lt;/author&gt;&lt;author&gt;Ramirez, J. D.&lt;/author&gt;&lt;author&gt;Shillo, P. R.&lt;/author&gt;&lt;author&gt;Lees, J. G.&lt;/author&gt;&lt;author&gt;Selvarajah, D.&lt;/author&gt;&lt;author&gt;Orengo, C.&lt;/author&gt;&lt;author&gt;Tesfaye, S.&lt;/author&gt;&lt;author&gt;Rice, A. S.&lt;/author&gt;&lt;author&gt;Bennett, D. L.&lt;/author&gt;&lt;/authors&gt;&lt;/contributors&gt;&lt;language&gt;eng&lt;/language&gt;&lt;added-date format="utc"&gt;1511396470&lt;/added-date&gt;&lt;ref-type name="Journal Article"&gt;17&lt;/ref-type&gt;&lt;rec-number&gt;537&lt;/rec-number&gt;&lt;last-updated-date format="utc"&gt;1511396470&lt;/last-updated-date&gt;&lt;accession-num&gt;27088890&lt;/accession-num&gt;&lt;electronic-resource-num&gt;10.1097/j.pain.0000000000000491&lt;/electronic-resource-num&gt;&lt;volume&gt;157&lt;/volume&gt;&lt;/record&gt;&lt;/Cite&gt;&lt;/EndNote&gt;</w:instrText>
      </w:r>
      <w:r>
        <w:rPr>
          <w:lang w:val="en-US"/>
        </w:rPr>
        <w:fldChar w:fldCharType="separate"/>
      </w:r>
      <w:r>
        <w:rPr>
          <w:lang w:val="en-US"/>
        </w:rPr>
        <w:t>(Themistocleous et al., 2016)</w:t>
      </w:r>
      <w:r>
        <w:rPr>
          <w:lang w:val="en-US"/>
        </w:rPr>
        <w:fldChar w:fldCharType="end"/>
      </w:r>
      <w:r>
        <w:t xml:space="preserve">.  </w:t>
      </w:r>
      <w:r>
        <w:rPr>
          <w:lang w:val="en-US"/>
        </w:rPr>
        <w:t xml:space="preserve">We </w:t>
      </w:r>
      <w:r>
        <w:rPr>
          <w:lang w:val="en-US"/>
        </w:rPr>
        <w:lastRenderedPageBreak/>
        <w:t xml:space="preserve">performed skin biopsies to investigate whether a range of neuronal and vascular mechanistic biomarkers may differentiate painful from painless </w:t>
      </w:r>
      <w:proofErr w:type="spellStart"/>
      <w:r>
        <w:rPr>
          <w:lang w:val="en-US"/>
        </w:rPr>
        <w:t>DPN</w:t>
      </w:r>
      <w:proofErr w:type="spellEnd"/>
      <w:r>
        <w:rPr>
          <w:lang w:val="en-US"/>
        </w:rPr>
        <w:t xml:space="preserve">. We found that PGP9.5, </w:t>
      </w:r>
      <w:proofErr w:type="spellStart"/>
      <w:r>
        <w:rPr>
          <w:lang w:val="en-US"/>
        </w:rPr>
        <w:t>CGRP</w:t>
      </w:r>
      <w:proofErr w:type="spellEnd"/>
      <w:r>
        <w:rPr>
          <w:lang w:val="en-US"/>
        </w:rPr>
        <w:t xml:space="preserve"> and GAP-43 positive nerve </w:t>
      </w:r>
      <w:proofErr w:type="spellStart"/>
      <w:r>
        <w:rPr>
          <w:lang w:val="en-US"/>
        </w:rPr>
        <w:t>fibres</w:t>
      </w:r>
      <w:proofErr w:type="spellEnd"/>
      <w:r>
        <w:rPr>
          <w:lang w:val="en-US"/>
        </w:rPr>
        <w:t xml:space="preserve"> were significantly reduced in both the painful and painless </w:t>
      </w:r>
      <w:proofErr w:type="spellStart"/>
      <w:r>
        <w:rPr>
          <w:lang w:val="en-US"/>
        </w:rPr>
        <w:t>DPN</w:t>
      </w:r>
      <w:proofErr w:type="spellEnd"/>
      <w:r>
        <w:rPr>
          <w:lang w:val="en-US"/>
        </w:rPr>
        <w:t xml:space="preserve"> groups compared to </w:t>
      </w:r>
      <w:proofErr w:type="spellStart"/>
      <w:r>
        <w:rPr>
          <w:lang w:val="en-US"/>
        </w:rPr>
        <w:t>HV</w:t>
      </w:r>
      <w:proofErr w:type="spellEnd"/>
      <w:r>
        <w:rPr>
          <w:lang w:val="en-US"/>
        </w:rPr>
        <w:t xml:space="preserve">, but not in the no </w:t>
      </w:r>
      <w:proofErr w:type="spellStart"/>
      <w:r>
        <w:rPr>
          <w:lang w:val="en-US"/>
        </w:rPr>
        <w:t>DPN</w:t>
      </w:r>
      <w:proofErr w:type="spellEnd"/>
      <w:r>
        <w:rPr>
          <w:lang w:val="en-US"/>
        </w:rPr>
        <w:t xml:space="preserve"> group. This was apparent for both </w:t>
      </w:r>
      <w:proofErr w:type="spellStart"/>
      <w:r>
        <w:rPr>
          <w:lang w:val="en-US"/>
        </w:rPr>
        <w:t>IENFD</w:t>
      </w:r>
      <w:proofErr w:type="spellEnd"/>
      <w:r>
        <w:rPr>
          <w:lang w:val="en-US"/>
        </w:rPr>
        <w:t xml:space="preserve"> and </w:t>
      </w:r>
      <w:proofErr w:type="spellStart"/>
      <w:r>
        <w:rPr>
          <w:lang w:val="en-US"/>
        </w:rPr>
        <w:t>SENFD</w:t>
      </w:r>
      <w:proofErr w:type="spellEnd"/>
      <w:r>
        <w:rPr>
          <w:lang w:val="en-US"/>
        </w:rPr>
        <w:t xml:space="preserve">. There were no differences in </w:t>
      </w:r>
      <w:proofErr w:type="spellStart"/>
      <w:r>
        <w:rPr>
          <w:lang w:val="en-US"/>
        </w:rPr>
        <w:t>IENFD</w:t>
      </w:r>
      <w:proofErr w:type="spellEnd"/>
      <w:r>
        <w:rPr>
          <w:lang w:val="en-US"/>
        </w:rPr>
        <w:t xml:space="preserve"> between painful and painless </w:t>
      </w:r>
      <w:proofErr w:type="spellStart"/>
      <w:r>
        <w:rPr>
          <w:lang w:val="en-US"/>
        </w:rPr>
        <w:t>DPN</w:t>
      </w:r>
      <w:proofErr w:type="spellEnd"/>
      <w:r>
        <w:rPr>
          <w:lang w:val="en-US"/>
        </w:rPr>
        <w:t xml:space="preserve">, as in several previous studies </w:t>
      </w:r>
      <w:r>
        <w:rPr>
          <w:lang w:val="sv-SE"/>
        </w:rPr>
        <w:fldChar w:fldCharType="begin"/>
      </w:r>
      <w:r w:rsidRPr="005B5764">
        <w:instrText xml:space="preserve"> ADDIN EN.CITE &lt;EndNote&gt;&lt;Cite  &gt;&lt;Author&gt;Bönhof&lt;/Author&gt;&lt;Year&gt;2017&lt;/Year&gt;&lt;DisplayText&gt;(Bönhof et al., 2017, Üçeyler et al., 2018, Themistocleous et al., 2016, Raputova et al., 2017)&lt;/DisplayText&gt;&lt;record&gt;&lt;dates&gt;&lt;pub-dates&gt;&lt;date&gt;Dec&lt;/date&gt;&lt;/pub-dates&gt;&lt;year&gt;2017&lt;/year&gt;&lt;/dates&gt;&lt;keywords&gt;&lt;keyword&gt;Nerve regeneration&lt;/keyword&gt;&lt;keyword&gt;Neuropathic pain&lt;/keyword&gt;&lt;keyword&gt;Neuropathy&lt;/keyword&gt;&lt;keyword&gt;Skin biopsy&lt;/keyword&gt;&lt;keyword&gt;Type 2 diabetes&lt;/keyword&gt;&lt;/keywords&gt;&lt;urls&gt;&lt;related-urls&gt;&lt;url&gt;https://www.ncbi.nlm.nih.gov/pubmed/28914336&lt;/url&gt;&lt;/related-urls&gt;&lt;/urls&gt;&lt;isbn&gt;1432-0428&lt;/isbn&gt;&lt;titles&gt;&lt;title&gt;Patterns of cutaneous nerve fibre loss and regeneration in type 2 diabetes with painful and painless polyneuropathy&lt;/title&gt;&lt;secondary-title&gt;Diabetologia&lt;/secondary-title&gt;&lt;/titles&gt;&lt;pages&gt;2495-2503&lt;/pages&gt;&lt;number&gt;12&lt;/number&gt;&lt;contributors&gt;&lt;authors&gt;&lt;author&gt;Bönhof, G. J.&lt;/author&gt;&lt;author&gt;Strom, A.&lt;/author&gt;&lt;author&gt;Püttgen, S.&lt;/author&gt;&lt;author&gt;Ringel, B.&lt;/author&gt;&lt;author&gt;Brüggemann, J.&lt;/author&gt;&lt;author&gt;Bódis, K.&lt;/author&gt;&lt;author&gt;Müssig, K.&lt;/author&gt;&lt;author&gt;Szendroedi, J.&lt;/author&gt;&lt;author&gt;Roden, M.&lt;/author&gt;&lt;author&gt;Ziegler, D.&lt;/author&gt;&lt;/authors&gt;&lt;/contributors&gt;&lt;edition&gt;2017/09/15&lt;/edition&gt;&lt;language&gt;eng&lt;/language&gt;&lt;added-date format="utc"&gt;1511470927&lt;/added-date&gt;&lt;ref-type name="Journal Article"&gt;17&lt;/ref-type&gt;&lt;rec-number&gt;539&lt;/rec-number&gt;&lt;last-updated-date format="utc"&gt;1511470927&lt;/last-updated-date&gt;&lt;accession-num&gt;2891</w:instrText>
      </w:r>
      <w:r>
        <w:rPr>
          <w:lang w:val="sv-SE"/>
        </w:rPr>
        <w:instrText>4336&lt;/accession-num&gt;&lt;electronic-resource-num&gt;10.1007/s00125-017-4438-5&lt;/electronic-resource-num&gt;&lt;volume&gt;60&lt;/volume&gt;&lt;/record&gt;&lt;/Cite&gt;&lt;Cite  &gt;&lt;Author&gt;Üçeyler&lt;/Author&gt;&lt;Year&gt;2018&lt;/Year&gt;&lt;record&gt;&lt;dates&gt;&lt;pub-dates&gt;&lt;date&gt;Sep&lt;/date&gt;&lt;/pub-dates&gt;&lt;year&gt;2018&lt;/year&gt;&lt;/dates&gt;&lt;keywords&gt;&lt;keyword&gt;Adult&lt;/keyword&gt;&lt;keyword&gt;Aged&lt;/keyword&gt;&lt;keyword&gt;Aged, 80 and over&lt;/keyword&gt;&lt;keyword&gt;Female&lt;/keyword&gt;&lt;keyword&gt;Humans&lt;/keyword&gt;&lt;keyword&gt;Male&lt;/keyword&gt;&lt;keyword&gt;Middle Aged&lt;/keyword&gt;&lt;keyword&gt;Neural Conduction&lt;/keyword&gt;&lt;keyword&gt;Pain&lt;/keyword&gt;&lt;keyword&gt;Pain Measurement&lt;/keyword&gt;&lt;keyword&gt;Pain Perception&lt;/keyword&gt;&lt;keyword&gt;Pain Threshold&lt;/keyword&gt;&lt;keyword&gt;Peripheral Nervous System Diseases&lt;/keyword&gt;&lt;keyword&gt;Skin&lt;/keyword&gt;&lt;keyword&gt;Young Adult&lt;/keyword&gt;&lt;/keywords&gt;&lt;urls&gt;&lt;related-urls&gt;&lt;url&gt;https://www.ncbi.nlm.nih.gov/pubmed/29863528&lt;/url&gt;&lt;/related-urls&gt;&lt;/urls&gt;&lt;isbn&gt;1872-6623&lt;/isbn&gt;&lt;titles&gt;&lt;title&gt;Sensory profiles and skin innervation of patients with painful and painless neuropathies&lt;/title&gt;&lt;secondary-title&gt;Pain&lt;/secondary-title&gt;&lt;/titles&gt;&lt;pages&gt;1867-1876&lt;/pages&gt;&lt;number&gt;9&lt;/number&gt;&lt;contributors&gt;&lt;authors&gt;&lt;author&gt;Üçeyler, N.&lt;/author&gt;&lt;author&gt;Vollert, J.&lt;/author&gt;&lt;author&gt;Broll, B.&lt;/author&gt;&lt;author&gt;Riediger, N.&lt;/author&gt;&lt;author&gt;Langjahr, M.&lt;/author&gt;&lt;author&gt;Saffer, N.&lt;/author&gt;&lt;author&gt;Schubert, A. L.&lt;/author&gt;&lt;author&gt;Siedler, G.&lt;/author&gt;&lt;author&gt;Sommer, C.&lt;/author&gt;&lt;/authors&gt;&lt;/contributors&gt;&lt;language&gt;eng&lt;/language&gt;&lt;added-date format="utc"&gt;1554075457&lt;/added-date&gt;&lt;ref-type name="Journal Article"&gt;17&lt;/ref-type&gt;&lt;rec-number&gt;569&lt;/rec-number&gt;&lt;last-updated-date format="utc"&gt;1554075457&lt;/last-updated-date&gt;&lt;accession-num&gt;29863528&lt;/accession-num&gt;&lt;electronic-resource-num&gt;10.1097/j.pain.0000000000001287&lt;/electronic-resource-num&gt;&lt;volume&gt;159&lt;/volume&gt;&lt;/record&gt;&lt;/Cite&gt;&lt;Cite  &gt;&lt;Author&gt;Themistocleous&lt;/Author&gt;&lt;Year&gt;2016&lt;/Year&gt;&lt;RecNum&gt;537&lt;/RecNum&gt;&lt;record&gt;&lt;dates&gt;&lt;pub-dates&gt;&lt;date&gt;May&lt;/date&gt;&lt;/pub-dates&gt;&lt;year&gt;2016&lt;/year&gt;&lt;/dates&gt;&lt;keywords&gt;&lt;keyword&gt;Aged&lt;/keyword&gt;&lt;keyword&gt;Cross-Sectional Studies&lt;/keyword&gt;&lt;keyword&gt;Diabetic Neuropathies&lt;/keyword&gt;&lt;keyword&gt;Electric Stimulation&lt;/keyword&gt;&lt;keyword&gt;Female&lt;/keyword&gt;&lt;keyword&gt;Humans&lt;/keyword&gt;&lt;keyword&gt;Male&lt;/keyword&gt;&lt;keyword&gt;Middle Aged&lt;/keyword&gt;&lt;keyword&gt;Nerve Fibers&lt;/keyword&gt;&lt;keyword&gt;Neural Conduction&lt;/keyword&gt;&lt;keyword&gt;Neuralgia&lt;/keyword&gt;&lt;keyword&gt;Neurologic Examination&lt;/keyword&gt;&lt;keyword&gt;Phenotype&lt;/keyword&gt;&lt;keyword&gt;Sensation&lt;/keyword&gt;&lt;keyword&gt;Severity of Illness Index&lt;/keyword&gt;&lt;keyword&gt;Skin&lt;/keyword&gt;&lt;keyword&gt;Surveys and Questionnaires&lt;/keyword&gt;&lt;/keywords&gt;&lt;urls&gt;&lt;related-urls&gt;&lt;url&gt;https://www.ncbi.nlm.nih.gov/pubmed/27088890&lt;/url&gt;&lt;/related-urls&gt;&lt;/urls&gt;&lt;isbn&gt;1872-6623&lt;/isbn&gt;&lt;custom2&gt;PMC4834814&lt;/custom2&gt;&lt;titles&gt;&lt;title&gt;The Pain in Neuropathy Study (PiNS): a cross-sectional observational study determining the somatosensory phenotype of painful and painless diabetic neuropathy&lt;/title&gt;&lt;secondary-title&gt;Pain&lt;/secondary-title&gt;&lt;/titles&gt;&lt;pages&gt;1132-45&lt;/pages&gt;&lt;number&gt;5&lt;/number&gt;&lt;contributors&gt;&lt;authors&gt;&lt;author&gt;Themistocleous, A. C.&lt;/author&gt;&lt;author&gt;Ramirez, J. D.&lt;/author&gt;&lt;author&gt;Shillo, P. R.&lt;/author&gt;&lt;author&gt;Lees, J. G.&lt;/author&gt;&lt;author&gt;Selvarajah, D.&lt;/author&gt;&lt;author&gt;Orengo, C.&lt;/author&gt;&lt;author&gt;Tesfaye, S.&lt;/author&gt;&lt;author&gt;Rice, A. S.&lt;/author&gt;&lt;author&gt;Bennett, D. L.&lt;/author&gt;&lt;/authors&gt;&lt;/contributors&gt;&lt;language&gt;eng&lt;/language&gt;&lt;added-date format="utc"&gt;1511414470&lt;/added-date&gt;&lt;ref-type name="Journal Article"&gt;17&lt;/ref-type&gt;&lt;rec-number&gt;537&lt;/rec-number&gt;&lt;last-updated-date format="utc"&gt;1511414470&lt;/last-updated-date&gt;&lt;accession-num&gt;27088890&lt;/accession-num&gt;&lt;electronic-resource-num&gt;10.1097/j.p</w:instrText>
      </w:r>
      <w:r w:rsidRPr="005B5764">
        <w:rPr>
          <w:lang w:val="fr-FR"/>
        </w:rPr>
        <w:instrText>ain.0000000000000491&lt;/electronic-resource-num&gt;&lt;volume&gt;157&lt;/volume&gt;&lt;/record&gt;&lt;/Cite&gt;&lt;Cite  &gt;&lt;Author&gt;Raputova&lt;/Author&gt;&lt;Year&gt;2017&lt;/Year&gt;&lt;record&gt;&lt;dates&gt;&lt;pub-dates&gt;&lt;date&gt;Dec&lt;/date&gt;&lt;/pub-dates&gt;&lt;year&gt;2017&lt;/year&gt;&lt;/dates&gt;&lt;urls&gt;&lt;related-urls&gt;&lt;url&gt;https://www.ncbi.nlm.nih.gov/pubmed/28858986&lt;/url&gt;&lt;/related-urls&gt;&lt;/urls&gt;&lt;isbn&gt;1872-6623&lt;/isbn&gt;&lt;titles&gt;&lt;title&gt;Sensory phenotype and risk factors for painful diabetic neuropathy: a cross-sectional observational study&lt;/title&gt;&lt;secondary-title&gt;Pain&lt;/secondary-title&gt;&lt;/titles&gt;&lt;pages&gt;2340-2353&lt;/pages&gt;&lt;number&gt;12&lt;/number&gt;&lt;contributors&gt;&lt;authors&gt;&lt;author&gt;Raputova, J.&lt;/author&gt;&lt;author&gt;Srotova, I.&lt;/author&gt;&lt;author&gt;Vlckova, E.&lt;/author&gt;&lt;author&gt;Sommer, C.&lt;/author&gt;&lt;author&gt;Üçeyler, N.&lt;/author&gt;&lt;author&gt;Birklein, F.&lt;/author&gt;&lt;author&gt;Rittner, H. L.&lt;/author&gt;&lt;author&gt;Rebhorn, C.&lt;/author&gt;&lt;author&gt;Adamova, B.&lt;/author&gt;&lt;author&gt;Kovalova, I.&lt;/author&gt;&lt;author&gt;Kralickova Nekvapilova, E.&lt;/author&gt;&lt;author&gt;Forer, L.&lt;/author&gt;&lt;author&gt;Belobradkova, J.&lt;/author&gt;&lt;author&gt;Olsovsky, J.&lt;/author&gt;&lt;author&gt;Weber, P.&lt;/author&gt;&lt;author&gt;Dusek, L.&lt;/author&gt;&lt;author&gt;Jarkovsky, J.&lt;/author&gt;&lt;author&gt;Bednarik, J.&lt;/author&gt;&lt;/authors&gt;&lt;/contributors&gt;&lt;language&gt;eng&lt;/language&gt;&lt;added-date format="utc"&gt;1511414590&lt;/added-date&gt;&lt;ref-type name="Journal Article"&gt;17&lt;/ref-type&gt;&lt;rec-number&gt;538&lt;/rec-number&gt;&lt;last-updated-date format="utc"&gt;1511414590&lt;/last-updated-date&gt;&lt;accession-num&gt;28858986&lt;/accession-num&gt;&lt;electronic-resource-num&gt;10.1097/j.pain.0000000000001034&lt;/electronic-resource-num&gt;&lt;volume&gt;158&lt;/volume&gt;&lt;/record&gt;&lt;/Cite&gt;&lt;/EndNote&gt;</w:instrText>
      </w:r>
      <w:r>
        <w:rPr>
          <w:lang w:val="sv-SE"/>
        </w:rPr>
        <w:fldChar w:fldCharType="separate"/>
      </w:r>
      <w:r w:rsidRPr="005B5764">
        <w:rPr>
          <w:lang w:val="fr-FR"/>
        </w:rPr>
        <w:t>(Bönhof et al., 2017, Üçeyler et al., 2018, Themistocleous et al., 2016, Raputova et al., 2017)</w:t>
      </w:r>
      <w:r>
        <w:rPr>
          <w:lang w:val="sv-SE"/>
        </w:rPr>
        <w:fldChar w:fldCharType="end"/>
      </w:r>
      <w:r w:rsidRPr="005B5764">
        <w:rPr>
          <w:lang w:val="fr-FR"/>
        </w:rPr>
        <w:t xml:space="preserve">. </w:t>
      </w:r>
    </w:p>
    <w:p w14:paraId="48068D64" w14:textId="77777777" w:rsidR="00AC0FDB" w:rsidRDefault="00AC0FDB" w:rsidP="00AC0FDB">
      <w:pPr>
        <w:pStyle w:val="BodyA"/>
        <w:spacing w:line="480" w:lineRule="auto"/>
        <w:jc w:val="both"/>
      </w:pPr>
      <w:r>
        <w:rPr>
          <w:lang w:val="en-US"/>
        </w:rPr>
        <w:t xml:space="preserve">However, the novel finding of our study was an increase in the sub-epidermal vessels in all the diabetes groups, but particularly the painful </w:t>
      </w:r>
      <w:proofErr w:type="spellStart"/>
      <w:r>
        <w:rPr>
          <w:lang w:val="en-US"/>
        </w:rPr>
        <w:t>DPN</w:t>
      </w:r>
      <w:proofErr w:type="spellEnd"/>
      <w:r>
        <w:rPr>
          <w:lang w:val="en-US"/>
        </w:rPr>
        <w:t xml:space="preserve"> group; they were much higher in the painful </w:t>
      </w:r>
      <w:proofErr w:type="spellStart"/>
      <w:r>
        <w:rPr>
          <w:lang w:val="en-US"/>
        </w:rPr>
        <w:t>DPN</w:t>
      </w:r>
      <w:proofErr w:type="spellEnd"/>
      <w:r>
        <w:rPr>
          <w:lang w:val="en-US"/>
        </w:rPr>
        <w:t xml:space="preserve"> compared to the painless </w:t>
      </w:r>
      <w:proofErr w:type="spellStart"/>
      <w:r>
        <w:rPr>
          <w:lang w:val="en-US"/>
        </w:rPr>
        <w:t>DPN</w:t>
      </w:r>
      <w:proofErr w:type="spellEnd"/>
      <w:r>
        <w:rPr>
          <w:lang w:val="en-US"/>
        </w:rPr>
        <w:t xml:space="preserve"> group (p=0.0001).  Further, the ratio of </w:t>
      </w:r>
      <w:proofErr w:type="spellStart"/>
      <w:r>
        <w:rPr>
          <w:lang w:val="en-US"/>
        </w:rPr>
        <w:t>CGRP:vWF</w:t>
      </w:r>
      <w:proofErr w:type="spellEnd"/>
      <w:r>
        <w:rPr>
          <w:lang w:val="en-US"/>
        </w:rPr>
        <w:t xml:space="preserve"> in the sub-epidermis was significantly reduced in the painful compared to painless </w:t>
      </w:r>
      <w:proofErr w:type="spellStart"/>
      <w:r>
        <w:rPr>
          <w:lang w:val="en-US"/>
        </w:rPr>
        <w:t>DPN</w:t>
      </w:r>
      <w:proofErr w:type="spellEnd"/>
      <w:r>
        <w:rPr>
          <w:lang w:val="en-US"/>
        </w:rPr>
        <w:t xml:space="preserve"> group, indicating a relative excess of sub-epidermal </w:t>
      </w:r>
      <w:proofErr w:type="spellStart"/>
      <w:r>
        <w:rPr>
          <w:lang w:val="en-US"/>
        </w:rPr>
        <w:t>microvessels</w:t>
      </w:r>
      <w:proofErr w:type="spellEnd"/>
      <w:r>
        <w:rPr>
          <w:lang w:val="en-US"/>
        </w:rPr>
        <w:t xml:space="preserve"> to their associated sensory </w:t>
      </w:r>
      <w:proofErr w:type="spellStart"/>
      <w:r>
        <w:rPr>
          <w:lang w:val="en-US"/>
        </w:rPr>
        <w:t>CGRP</w:t>
      </w:r>
      <w:proofErr w:type="spellEnd"/>
      <w:r>
        <w:rPr>
          <w:lang w:val="en-US"/>
        </w:rPr>
        <w:t xml:space="preserve"> </w:t>
      </w:r>
      <w:proofErr w:type="spellStart"/>
      <w:r>
        <w:rPr>
          <w:lang w:val="en-US"/>
        </w:rPr>
        <w:t>peptidergic</w:t>
      </w:r>
      <w:proofErr w:type="spellEnd"/>
      <w:r>
        <w:rPr>
          <w:lang w:val="en-US"/>
        </w:rPr>
        <w:t xml:space="preserve"> nerve </w:t>
      </w:r>
      <w:proofErr w:type="spellStart"/>
      <w:r>
        <w:rPr>
          <w:lang w:val="en-US"/>
        </w:rPr>
        <w:t>fibres</w:t>
      </w:r>
      <w:proofErr w:type="spellEnd"/>
      <w:r>
        <w:rPr>
          <w:lang w:val="en-US"/>
        </w:rPr>
        <w:t xml:space="preserve"> (nociceptors) in painful </w:t>
      </w:r>
      <w:proofErr w:type="spellStart"/>
      <w:r>
        <w:rPr>
          <w:lang w:val="en-US"/>
        </w:rPr>
        <w:t>DPN</w:t>
      </w:r>
      <w:proofErr w:type="spellEnd"/>
      <w:r>
        <w:rPr>
          <w:lang w:val="en-US"/>
        </w:rPr>
        <w:t>.</w:t>
      </w:r>
    </w:p>
    <w:p w14:paraId="3E6B0128" w14:textId="0DE09A97" w:rsidR="00AC0FDB" w:rsidRDefault="00AC0FDB" w:rsidP="00AC0FDB">
      <w:pPr>
        <w:pStyle w:val="BodyA"/>
        <w:spacing w:line="480" w:lineRule="auto"/>
        <w:jc w:val="both"/>
      </w:pPr>
      <w:r>
        <w:rPr>
          <w:lang w:val="en-US"/>
        </w:rPr>
        <w:t xml:space="preserve">The mechanisms underlying neuropathic pain in diabetic polyneuropathy are complex and may vary with the duration and severity of the neuropathy </w:t>
      </w:r>
      <w:r>
        <w:fldChar w:fldCharType="begin"/>
      </w:r>
      <w:r>
        <w:instrText xml:space="preserve"> ADDIN EN.CITE &lt;EndNote&gt;&lt;Cite  &gt;&lt;Author&gt;Tesfaye&lt;/Author&gt;&lt;Year&gt;2013&lt;/Year&gt;&lt;RecNum&gt;471&lt;/RecNum&gt;&lt;DisplayText&gt;(Tesfaye et al., 2013, Anand et al., 1996)&lt;/DisplayText&gt;&lt;record&gt;&lt;isbn&gt;0149-5992&lt;/isbn&gt;&lt;titles&gt;&lt;title&gt;Mechanisms and management of diabetic painful distal symmetrical polyneuropathy&lt;/title&gt;&lt;secondary-title&gt;Diabetes care&lt;/secondary-title&gt;&lt;/titles&gt;&lt;pages&gt;2456&lt;/pages&gt;&lt;number&gt;9&lt;/number&gt;&lt;contributors&gt;&lt;authors&gt;&lt;author&gt;Tesfaye, Solomon&lt;/author&gt;&lt;author&gt;Boulton, Andrew J. M.&lt;/author&gt;&lt;author&gt;Dickenson, Anthony H.&lt;/author&gt;&lt;/authors&gt;&lt;/contributors&gt;&lt;added-date format="utc"&gt;1508463234&lt;/added-date&gt;&lt;ref-type name="Journal Article"&gt;17&lt;/ref-type&gt;&lt;dates&gt;&lt;year&gt;2013&lt;/year&gt;&lt;/dates&gt;&lt;rec-number&gt;471&lt;/rec-number&gt;&lt;last-updated-date format="utc"&gt;1508463234&lt;/last-updated-date&gt;&lt;electronic-resource-num&gt;10.2337/dc12-1964&lt;/electronic-resource-num&gt;&lt;volume&gt;36&lt;/volume&gt;&lt;/record&gt;&lt;/Cite&gt;&lt;Cite  &gt;&lt;Author&gt;Anand&lt;/Author&gt;&lt;Year&gt;1996&lt;/Year&gt;&lt;RecNum&gt;417&lt;/RecNum&gt;&lt;record&gt;&lt;dates&gt;&lt;pub-dates&gt;&lt;date&gt;Jun&lt;/date&gt;&lt;/pub-dates&gt;&lt;year&gt;1996&lt;/year&gt;&lt;/dates&gt;&lt;keywords&gt;&lt;keyword&gt;Adolescent&lt;/keyword&gt;&lt;keyword&gt;Adult&lt;/keyword&gt;&lt;keyword&gt;Axons&lt;/keyword&gt;&lt;keyword&gt;Diabetic Neuropathies&lt;/keyword&gt;&lt;keyword&gt;Female&lt;/keyword&gt;&lt;keyword&gt;Foot&lt;/keyword&gt;&lt;keyword&gt;Humans&lt;/keyword&gt;&lt;keyword&gt;Male&lt;/keyword&gt;&lt;keyword&gt;Nerve Growth Factors&lt;/keyword&gt;&lt;keyword&gt;Reflex&lt;/keyword&gt;&lt;keyword&gt;Sensation&lt;/keyword&gt;&lt;keyword&gt;Skin&lt;/keyword&gt;&lt;keyword&gt;Substance P&lt;/keyword&gt;&lt;/keywords&gt;&lt;urls&gt;&lt;related-urls&gt;&lt;url&gt;https://www.ncbi.nlm.nih.gov/pubmed/8640566&lt;/url&gt;&lt;/related-urls&gt;&lt;/urls&gt;&lt;isbn&gt;1078-8956&lt;/isbn&gt;&lt;titles&gt;&lt;title&gt;The role of endogenous nerve growth factor in human diabetic neuropathy&lt;/title&gt;&lt;secondary-title&gt;Nat Med&lt;/secondary-title&gt;&lt;/titles&gt;&lt;pages&gt;703-7&lt;/pages&gt;&lt;number&gt;6&lt;/number&gt;&lt;contributors&gt;&lt;authors&gt;&lt;author&gt;Anand, P.&lt;/author&gt;&lt;author&gt;Terenghi, G.&lt;/author&gt;&lt;author&gt;Warner, G.&lt;/author&gt;&lt;author&gt;Kopelman, P.&lt;/author&gt;&lt;author&gt;Williams-Chestnut, R. E.&lt;/author&gt;&lt;author&gt;Sinicropi, D. V.&lt;/author&gt;&lt;/authors&gt;&lt;/contributors&gt;&lt;language&gt;eng&lt;/language&gt;&lt;added-date format="utc"&gt;1481243634&lt;/added-date&gt;&lt;ref-type name="Journal Article"&gt;17&lt;/ref-type&gt;&lt;rec-number&gt;417&lt;/rec-number&gt;&lt;last-updated-date format="utc"&gt;1481243634&lt;/last-updated-date&gt;&lt;accession-num&gt;8640566&lt;/accession-num&gt;&lt;volume&gt;2&lt;/volume&gt;&lt;/record&gt;&lt;/Cite&gt;&lt;/EndNote&gt;</w:instrText>
      </w:r>
      <w:r>
        <w:fldChar w:fldCharType="separate"/>
      </w:r>
      <w:r>
        <w:t>(Tesfaye et al., 2013, Anand et al., 1996)</w:t>
      </w:r>
      <w:r>
        <w:fldChar w:fldCharType="end"/>
      </w:r>
      <w:r>
        <w:rPr>
          <w:lang w:val="en-US"/>
        </w:rPr>
        <w:t xml:space="preserve">.   The </w:t>
      </w:r>
      <w:proofErr w:type="spellStart"/>
      <w:r>
        <w:rPr>
          <w:lang w:val="en-US"/>
        </w:rPr>
        <w:t>NGF</w:t>
      </w:r>
      <w:proofErr w:type="spellEnd"/>
      <w:r>
        <w:rPr>
          <w:lang w:val="en-US"/>
        </w:rPr>
        <w:t xml:space="preserve"> signaling pathway has been shown to be involved in chronic pain states and validated as a clinical target with novel pharmacotherapeutic agents </w:t>
      </w:r>
      <w:r>
        <w:fldChar w:fldCharType="begin"/>
      </w:r>
      <w:r>
        <w:instrText xml:space="preserve"> ADDIN EN.CITE &lt;EndNote&gt;&lt;Cite  &gt;&lt;Author&gt;Mantyh&lt;/Author&gt;&lt;Year&gt;2011&lt;/Year&gt;&lt;RecNum&gt;570&lt;/RecNum&gt;&lt;DisplayText&gt;(Mantyh et al., 2011)&lt;/DisplayText&gt;&lt;record&gt;&lt;dates&gt;&lt;pub-dates&gt;&lt;date&gt;Jul&lt;/date&gt;&lt;/pub-dates&gt;&lt;year&gt;2011&lt;/year&gt;&lt;/dates&gt;&lt;keywords&gt;&lt;keyword&gt;Adult&lt;/keyword&gt;&lt;keyword&gt;Analgesics&lt;/keyword&gt;&lt;keyword&gt;Animals&lt;/keyword&gt;&lt;keyword&gt;Brain-Derived Neurotrophic Factor&lt;/keyword&gt;&lt;keyword&gt;Disease Models, Animal&lt;/keyword&gt;&lt;keyword&gt;Humans&lt;/keyword&gt;&lt;keyword&gt;Nerve Growth Factors&lt;/keyword&gt;&lt;keyword&gt;Neuroma&lt;/keyword&gt;&lt;keyword&gt;Nociceptors&lt;/keyword&gt;&lt;keyword&gt;Pain&lt;/keyword&gt;&lt;keyword&gt;Receptor, trkA&lt;/keyword&gt;&lt;keyword&gt;Receptors, Nerve Growth Factor&lt;/keyword&gt;&lt;keyword&gt;Signal Transduction&lt;/keyword&gt;&lt;/keywords&gt;&lt;urls&gt;&lt;related-urls&gt;&lt;url&gt;https://www.ncbi.nlm.nih.gov/pubmed/21602663&lt;/url&gt;&lt;/related-urls&gt;&lt;/urls&gt;&lt;isbn&gt;1528-1175&lt;/isbn&gt;&lt;custom2&gt;PMC3121917&lt;/custom2&gt;&lt;titles&gt;&lt;title&gt;Antagonism of nerve growth factor-TrkA signaling and the relief of pain&lt;/title&gt;&lt;secondary-title&gt;Anesthesiology&lt;/secondary-title&gt;&lt;/titles&gt;&lt;pages&gt;189-204&lt;/pages&gt;&lt;number&gt;1&lt;/number&gt;&lt;contributors&gt;&lt;authors&gt;&lt;author&gt;Mantyh, P. W.&lt;/author&gt;&lt;author&gt;Koltzenburg, M.&lt;/author&gt;&lt;author&gt;Mendell, L. M.&lt;/author&gt;&lt;author&gt;Tive, L.&lt;/author&gt;&lt;author&gt;Shelton, D. L.&lt;/author&gt;&lt;/authors&gt;&lt;/contributors&gt;&lt;language&gt;eng&lt;/language&gt;&lt;added-date format="utc"&gt;1554075857&lt;/added-date&gt;&lt;ref-type name="Journal Article"&gt;17&lt;/ref-type&gt;&lt;rec-number&gt;570&lt;/rec-number&gt;&lt;last-updated-date format="utc"&gt;1554075857&lt;/last-updated-date&gt;&lt;accession-num&gt;21602663&lt;/accession-num&gt;&lt;electronic-resource-num&gt;10.1097/ALN.0b013e31821b1ac5&lt;/electronic-resource-num&gt;&lt;volume&gt;115&lt;/volume&gt;&lt;/record&gt;&lt;/Cite&gt;&lt;/EndNote&gt;</w:instrText>
      </w:r>
      <w:r>
        <w:fldChar w:fldCharType="separate"/>
      </w:r>
      <w:r>
        <w:t>(Mantyh et al., 2011)</w:t>
      </w:r>
      <w:r>
        <w:fldChar w:fldCharType="end"/>
      </w:r>
      <w:r>
        <w:rPr>
          <w:lang w:val="en-US"/>
        </w:rPr>
        <w:t xml:space="preserve">. Endogenous skin-derived levels of </w:t>
      </w:r>
      <w:proofErr w:type="spellStart"/>
      <w:r>
        <w:rPr>
          <w:lang w:val="en-US"/>
        </w:rPr>
        <w:t>NGF</w:t>
      </w:r>
      <w:proofErr w:type="spellEnd"/>
      <w:r>
        <w:rPr>
          <w:lang w:val="en-US"/>
        </w:rPr>
        <w:t xml:space="preserve"> have been proposed to influence the presentation of length-dependent axonal </w:t>
      </w:r>
      <w:proofErr w:type="spellStart"/>
      <w:r>
        <w:rPr>
          <w:lang w:val="en-US"/>
        </w:rPr>
        <w:t>DPN</w:t>
      </w:r>
      <w:proofErr w:type="spellEnd"/>
      <w:r>
        <w:rPr>
          <w:lang w:val="en-US"/>
        </w:rPr>
        <w:t xml:space="preserve">, including neuropathic sensory symptoms, although metabolic, vascular and other trophic mechanisms may contribute to its development </w:t>
      </w:r>
      <w:r>
        <w:fldChar w:fldCharType="begin"/>
      </w:r>
      <w:r>
        <w:instrText xml:space="preserve"> ADDIN EN.CITE &lt;EndNote&gt;&lt;Cite  &gt;&lt;Author&gt;Anand&lt;/Author&gt;&lt;Year&gt;1996&lt;/Year&gt;&lt;RecNum&gt;417&lt;/RecNum&gt;&lt;DisplayText&gt;(Anand et al., 1996, Anand, 2004)&lt;/DisplayText&gt;&lt;record&gt;&lt;dates&gt;&lt;pub-dates&gt;&lt;date&gt;Jun&lt;/date&gt;&lt;/pub-dates&gt;&lt;year&gt;1996&lt;/year&gt;&lt;/dates&gt;&lt;keywords&gt;&lt;keyword&gt;Adolescent&lt;/keyword&gt;&lt;keyword&gt;Adult&lt;/keyword&gt;&lt;keyword&gt;Axons&lt;/keyword&gt;&lt;keyword&gt;Diabetic Neuropathies&lt;/keyword&gt;&lt;keyword&gt;Female&lt;/keyword&gt;&lt;keyword&gt;Foot&lt;/keyword&gt;&lt;keyword&gt;Humans&lt;/keyword&gt;&lt;keyword&gt;Male&lt;/keyword&gt;&lt;keyword&gt;Nerve Growth Factors&lt;/keyword&gt;&lt;keyword&gt;Reflex&lt;/keyword&gt;&lt;keyword&gt;Sensation&lt;/keyword&gt;&lt;keyword&gt;Skin&lt;/keyword&gt;&lt;keyword&gt;Substance P&lt;/keyword&gt;&lt;/keywords&gt;&lt;urls&gt;&lt;related-urls&gt;&lt;url&gt;https://www.ncbi.nlm.nih.gov/pubmed/8640566&lt;/url&gt;&lt;/related-urls&gt;&lt;/urls&gt;&lt;isbn&gt;1078-8956&lt;/isbn&gt;&lt;titles&gt;&lt;title&gt;The role of endogenous nerve growth factor in human diabetic neuropathy&lt;/title&gt;&lt;secondary-title&gt;Nat Med&lt;/secondary-title&gt;&lt;/titles&gt;&lt;pages&gt;703-7&lt;/pages&gt;&lt;number&gt;6&lt;/number&gt;&lt;contributors&gt;&lt;authors&gt;&lt;author&gt;Anand, P.&lt;/author&gt;&lt;author&gt;Terenghi, G.&lt;/author&gt;&lt;author&gt;Warner, G.&lt;/author&gt;&lt;author&gt;Kopelman, P.&lt;/author&gt;&lt;author&gt;Williams-Chestnut, R. E.&lt;/author&gt;&lt;author&gt;Sinicropi, D. V.&lt;/author&gt;&lt;/authors&gt;&lt;/contributors&gt;&lt;language&gt;eng&lt;/language&gt;&lt;added-date format="utc"&gt;1481243634&lt;/added-date&gt;&lt;ref-type name="Journal Article"&gt;17&lt;/ref-type&gt;&lt;rec-number&gt;417&lt;/rec-number&gt;&lt;last-updated-date format="utc"&gt;1481243634&lt;/last-updated-date&gt;&lt;accession-num&gt;8640566&lt;/accession-num&gt;&lt;volume&gt;2&lt;/volume&gt;&lt;/record&gt;&lt;/Cite&gt;&lt;Cite  &gt;&lt;Author&gt;Anand&lt;/Author&gt;&lt;Year&gt;2004&lt;/Year&gt;&lt;RecNum&gt;446&lt;/RecNum&gt;&lt;record&gt;&lt;keywords&gt;&lt;keyword&gt;Animals&lt;/keyword&gt;&lt;keyword&gt;Clinical Trials as Topic&lt;/keyword&gt;&lt;keyword&gt;Hereditary Sensory and Autonomic Neuropathies&lt;/keyword&gt;&lt;keyword&gt;Humans&lt;/keyword&gt;&lt;keyword&gt;Nerve Growth Factors&lt;/keyword&gt;&lt;keyword&gt;Pain&lt;/keyword&gt;&lt;keyword&gt;Protein Precursors&lt;/keyword&gt;&lt;keyword&gt;Receptors, Nerve Growth Factor&lt;/keyword&gt;&lt;keyword&gt;Risk Factors&lt;/keyword&gt;&lt;/keywords&gt;&lt;urls&gt;&lt;related-urls&gt;&lt;url&gt;https://www.ncbi.nlm.nih.gov/pubmed/14699981&lt;/url&gt;&lt;/related-urls&gt;&lt;/urls&gt;&lt;isbn&gt;0079-6123&lt;/isbn&gt;&lt;titles&gt;&lt;title&gt;Neurotrophic factors and their receptors in human sensory neuropathies&lt;/title&gt;&lt;secondary-title&gt;Prog Brain Res&lt;/secondary-title&gt;&lt;/titles&gt;&lt;pages&gt;477-92&lt;/pages&gt;&lt;contributors&gt;&lt;authors&gt;&lt;author&gt;Anand, P.&lt;/author&gt;&lt;/authors&gt;&lt;/contributors&gt;&lt;language&gt;eng&lt;/language&gt;&lt;added-date format="utc"&gt;1503366889&lt;/added-date&gt;&lt;ref-type name="Journal Article"&gt;17&lt;/ref-type&gt;&lt;dates&gt;&lt;year&gt;2004&lt;/year&gt;&lt;/dates&gt;&lt;rec-number&gt;446&lt;/rec-number&gt;&lt;last-updated-date format="utc"&gt;1503366889&lt;/last-updated-date&gt;&lt;accession-num&gt;14699981&lt;/accession-num&gt;&lt;electronic-resource-num&gt;10.1016/S0079-6123(03)46030-5&lt;/electronic-resource-num&gt;&lt;volume&gt;146&lt;/volume&gt;&lt;/record&gt;&lt;/Cite&gt;&lt;/EndNote&gt;</w:instrText>
      </w:r>
      <w:r>
        <w:fldChar w:fldCharType="separate"/>
      </w:r>
      <w:r>
        <w:t>(Anand et al., 1996, Anand, 2004)</w:t>
      </w:r>
      <w:r>
        <w:fldChar w:fldCharType="end"/>
      </w:r>
      <w:r>
        <w:rPr>
          <w:lang w:val="en-US"/>
        </w:rPr>
        <w:t xml:space="preserve">. </w:t>
      </w:r>
      <w:proofErr w:type="spellStart"/>
      <w:r>
        <w:rPr>
          <w:lang w:val="en-US"/>
        </w:rPr>
        <w:t>NGF</w:t>
      </w:r>
      <w:proofErr w:type="spellEnd"/>
      <w:r>
        <w:rPr>
          <w:lang w:val="en-US"/>
        </w:rPr>
        <w:t xml:space="preserve"> is secreted by epidermal keratinocytes and smooth muscle of blood vessels in skin, and it was proposed that in painful</w:t>
      </w:r>
      <w:r w:rsidR="00E676A3">
        <w:rPr>
          <w:lang w:val="en-US"/>
        </w:rPr>
        <w:t xml:space="preserve"> </w:t>
      </w:r>
      <w:proofErr w:type="spellStart"/>
      <w:r>
        <w:rPr>
          <w:lang w:val="en-US"/>
        </w:rPr>
        <w:t>DPN</w:t>
      </w:r>
      <w:proofErr w:type="spellEnd"/>
      <w:r>
        <w:rPr>
          <w:lang w:val="en-US"/>
        </w:rPr>
        <w:t xml:space="preserve"> the fewer residual nerve </w:t>
      </w:r>
      <w:proofErr w:type="spellStart"/>
      <w:r>
        <w:rPr>
          <w:lang w:val="en-US"/>
        </w:rPr>
        <w:t>fibres</w:t>
      </w:r>
      <w:proofErr w:type="spellEnd"/>
      <w:r>
        <w:rPr>
          <w:lang w:val="en-US"/>
        </w:rPr>
        <w:t xml:space="preserve">, exposed to relative excess of </w:t>
      </w:r>
      <w:proofErr w:type="spellStart"/>
      <w:r>
        <w:rPr>
          <w:lang w:val="en-US"/>
        </w:rPr>
        <w:t>NGF</w:t>
      </w:r>
      <w:proofErr w:type="spellEnd"/>
      <w:r>
        <w:rPr>
          <w:lang w:val="en-US"/>
        </w:rPr>
        <w:t xml:space="preserve">, leads to their hypersensitivity and pain </w:t>
      </w:r>
      <w:r>
        <w:fldChar w:fldCharType="begin"/>
      </w:r>
      <w:r>
        <w:instrText xml:space="preserve"> ADDIN EN.CITE &lt;EndNote&gt;&lt;Cite  &gt;&lt;Author&gt;Anand&lt;/Author&gt;&lt;Year&gt;1995&lt;/Year&gt;&lt;RecNum&gt;571&lt;/RecNum&gt;&lt;DisplayText&gt;(Anand, 1995, Anand et al., 1996)&lt;/DisplayText&gt;&lt;record&gt;&lt;dates&gt;&lt;pub-dates&gt;&lt;date&gt;Aug&lt;/date&gt;&lt;/pub-dates&gt;&lt;year&gt;1995&lt;/year&gt;&lt;/dates&gt;&lt;keywords&gt;&lt;keyword&gt;Acute Disease&lt;/keyword&gt;&lt;keyword&gt;Chronic Disease&lt;/keyword&gt;&lt;keyword&gt;Diabetic Neuropathies&lt;/keyword&gt;&lt;keyword&gt;Humans&lt;/keyword&gt;&lt;keyword&gt;Hyperalgesia&lt;/keyword&gt;&lt;keyword&gt;Leprosy&lt;/keyword&gt;&lt;keyword&gt;Nerve Growth Factors&lt;/keyword&gt;&lt;keyword&gt;Nociceptors&lt;/keyword&gt;&lt;keyword&gt;Pain&lt;/keyword&gt;&lt;/keywords&gt;&lt;urls&gt;&lt;related-urls&gt;&lt;url&gt;https://www.ncbi.nlm.nih.gov/pubmed/7577254&lt;/url&gt;&lt;/related-urls&gt;&lt;/urls&gt;&lt;isbn&gt;0007-0912&lt;/isbn&gt;&lt;titles&gt;&lt;title&gt;Nerve growth factor regulates nociception in human health and disease&lt;/title&gt;&lt;secondary-title&gt;Br J Anaesth&lt;/secondary-title&gt;&lt;/titles&gt;&lt;pages&gt;201-8&lt;/pages&gt;&lt;number&gt;2&lt;/number&gt;&lt;contributors&gt;&lt;authors&gt;&lt;author&gt;Anand, P.&lt;/author&gt;&lt;/authors&gt;&lt;/contributors&gt;&lt;language&gt;eng&lt;/language&gt;&lt;added-date format="utc"&gt;1554076077&lt;/added-date&gt;&lt;ref-type name="Journal Article"&gt;17&lt;/ref-type&gt;&lt;rec-number&gt;571&lt;/rec-number&gt;&lt;last-updated-date format="utc"&gt;1554076077&lt;/last-updated-date&gt;&lt;accession-num&gt;7577254&lt;/accession-num&gt;&lt;volume&gt;75&lt;/volume&gt;&lt;/record&gt;&lt;/Cite&gt;&lt;Cite  &gt;&lt;Author&gt;Anand&lt;/Author&gt;&lt;Year&gt;1996&lt;/Year&gt;&lt;RecNum&gt;518&lt;/RecNum&gt;&lt;record&gt;&lt;dates&gt;&lt;pub-dates&gt;&lt;date&gt;Jun&lt;/date&gt;&lt;/pub-dates&gt;&lt;year&gt;1996&lt;/year&gt;&lt;/dates&gt;&lt;keywords&gt;&lt;keyword&gt;Adolescent&lt;/keyword&gt;&lt;keyword&gt;Adult&lt;/keyword&gt;&lt;keyword&gt;Axons&lt;/keyword&gt;&lt;keyword&gt;Diabetic Neuropathies&lt;/keyword&gt;&lt;keyword&gt;Female&lt;/keyword&gt;&lt;keyword&gt;Foot&lt;/keyword&gt;&lt;keyword&gt;Humans&lt;/keyword&gt;&lt;keyword&gt;Male&lt;/keyword&gt;&lt;keyword&gt;Nerve Growth Factors&lt;/keyword&gt;&lt;keyword&gt;Reflex&lt;/keyword&gt;&lt;keyword&gt;Sensation&lt;/keyword&gt;&lt;keyword&gt;Skin&lt;/keyword&gt;&lt;keyword&gt;Substance P&lt;/keyword&gt;&lt;/keywords&gt;&lt;urls&gt;&lt;related-urls&gt;&lt;url&gt;https://www.ncbi.nlm.nih.gov/pubmed/8640566&lt;/url&gt;&lt;/related-urls&gt;&lt;/urls&gt;&lt;isbn&gt;1078-8956&lt;/isbn&gt;&lt;titles&gt;&lt;title&gt;The role of endogenous nerve growth factor in human diabetic neuropathy&lt;/title&gt;&lt;secondary-title&gt;Nat Med&lt;/secondary-title&gt;&lt;/titles&gt;&lt;pages&gt;703-7&lt;/pages&gt;&lt;number&gt;6&lt;/number&gt;&lt;contributors&gt;&lt;authors&gt;&lt;author&gt;Anand, P.&lt;/author&gt;&lt;author&gt;Terenghi, G.&lt;/author&gt;&lt;author&gt;Warner, G.&lt;/author&gt;&lt;author&gt;Kopelman, P.&lt;/author&gt;&lt;author&gt;Williams-Chestnut, R. E.&lt;/author&gt;&lt;author&gt;Sinicropi, D. V.&lt;/author&gt;&lt;/authors&gt;&lt;/contributors&gt;&lt;language&gt;eng&lt;/language&gt;&lt;added-date format="utc"&gt;1508463235&lt;/added-date&gt;&lt;ref-type name="Journal Article"&gt;17&lt;/ref-type&gt;&lt;rec-number&gt;518&lt;/rec-number&gt;&lt;last-updated-date format="utc"&gt;1508463235&lt;/last-updated-date&gt;&lt;accession-num&gt;8640566&lt;/accession-num&gt;&lt;volume&gt;2&lt;/volume&gt;&lt;/record&gt;&lt;/Cite&gt;&lt;/EndNote&gt;</w:instrText>
      </w:r>
      <w:r>
        <w:fldChar w:fldCharType="separate"/>
      </w:r>
      <w:r>
        <w:t>(Anand, 1995, Anand et al., 1996)</w:t>
      </w:r>
      <w:r>
        <w:fldChar w:fldCharType="end"/>
      </w:r>
      <w:r>
        <w:rPr>
          <w:lang w:val="en-US"/>
        </w:rPr>
        <w:t xml:space="preserve">.  This may </w:t>
      </w:r>
      <w:r>
        <w:rPr>
          <w:lang w:val="en-US"/>
        </w:rPr>
        <w:lastRenderedPageBreak/>
        <w:t>underlie the abnormal sensitization of unmyelinated cutaneous nociceptors, termed “</w:t>
      </w:r>
      <w:r w:rsidRPr="005B5764">
        <w:t>irritable nociceptors</w:t>
      </w:r>
      <w:r>
        <w:rPr>
          <w:lang w:val="en-US"/>
        </w:rPr>
        <w:t>”, described in patients with post-herpetic neuralgia (</w:t>
      </w:r>
      <w:proofErr w:type="spellStart"/>
      <w:r>
        <w:rPr>
          <w:lang w:val="en-US"/>
        </w:rPr>
        <w:t>PHN</w:t>
      </w:r>
      <w:proofErr w:type="spellEnd"/>
      <w:r>
        <w:rPr>
          <w:lang w:val="en-US"/>
        </w:rPr>
        <w:t xml:space="preserve">) </w:t>
      </w:r>
      <w:r>
        <w:fldChar w:fldCharType="begin"/>
      </w:r>
      <w:r>
        <w:instrText xml:space="preserve"> ADDIN EN.CITE &lt;EndNote&gt;&lt;Cite  &gt;&lt;Author&gt;Fields&lt;/Author&gt;&lt;Year&gt;1998&lt;/Year&gt;&lt;RecNum&gt;573&lt;/RecNum&gt;&lt;DisplayText&gt;(Fields et al., 1998)&lt;/DisplayText&gt;&lt;record&gt;&lt;dates&gt;&lt;pub-dates&gt;&lt;date&gt;Oct&lt;/date&gt;&lt;/pub-dates&gt;&lt;year&gt;1998&lt;/year&gt;&lt;/dates&gt;&lt;keywords&gt;&lt;keyword&gt;Afferent Pathways&lt;/keyword&gt;&lt;keyword&gt;Animals&lt;/keyword&gt;&lt;keyword&gt;Central Nervous System&lt;/keyword&gt;&lt;keyword&gt;Herpes Zoster&lt;/keyword&gt;&lt;keyword&gt;Humans&lt;/keyword&gt;&lt;keyword&gt;Neuralgia&lt;/keyword&gt;&lt;keyword&gt;Nociceptors&lt;/keyword&gt;&lt;/keywords&gt;&lt;urls&gt;&lt;related-urls&gt;&lt;url&gt;https://www.ncbi.nlm.nih.gov/pubmed/9848092&lt;/url&gt;&lt;/related-urls&gt;&lt;/urls&gt;&lt;isbn&gt;0969-9961&lt;/isbn&gt;&lt;titles&gt;&lt;title&gt;Postherpetic neuralgia: irritable nociceptors and deafferentation&lt;/title&gt;&lt;secondary-title&gt;Neurobiol Dis&lt;/secondary-title&gt;&lt;/titles&gt;&lt;pages&gt;209-27&lt;/pages&gt;&lt;number&gt;4&lt;/number&gt;&lt;contributors&gt;&lt;authors&gt;&lt;author&gt;Fields, H. L.&lt;/author&gt;&lt;author&gt;Rowbotham, M.&lt;/author&gt;&lt;author&gt;Baron, R.&lt;/author&gt;&lt;/authors&gt;&lt;/contributors&gt;&lt;language&gt;eng&lt;/language&gt;&lt;added-date format="utc"&gt;1554076237&lt;/added-date&gt;&lt;ref-type name="Journal Article"&gt;17&lt;/ref-type&gt;&lt;rec-number&gt;573&lt;/rec-number&gt;&lt;last-updated-date format="utc"&gt;1554076237&lt;/last-updated-date&gt;&lt;accession-num&gt;9848092&lt;/accession-num&gt;&lt;electronic-resource-num&gt;10.1006/nbdi.1998.0204&lt;/electronic-resource-num&gt;&lt;volume&gt;5&lt;/volume&gt;&lt;/record&gt;&lt;/Cite&gt;&lt;/EndNote&gt;</w:instrText>
      </w:r>
      <w:r>
        <w:fldChar w:fldCharType="separate"/>
      </w:r>
      <w:r>
        <w:t>(Fields et al., 1998)</w:t>
      </w:r>
      <w:r>
        <w:fldChar w:fldCharType="end"/>
      </w:r>
      <w:r>
        <w:rPr>
          <w:lang w:val="en-US"/>
        </w:rPr>
        <w:t xml:space="preserve">. In accord, our study demonstrated significantly increased </w:t>
      </w:r>
      <w:proofErr w:type="spellStart"/>
      <w:r>
        <w:rPr>
          <w:lang w:val="en-US"/>
        </w:rPr>
        <w:t>microvessels</w:t>
      </w:r>
      <w:proofErr w:type="spellEnd"/>
      <w:r>
        <w:rPr>
          <w:lang w:val="en-US"/>
        </w:rPr>
        <w:t xml:space="preserve">, which secrete </w:t>
      </w:r>
      <w:proofErr w:type="spellStart"/>
      <w:r>
        <w:rPr>
          <w:lang w:val="en-US"/>
        </w:rPr>
        <w:t>algogens</w:t>
      </w:r>
      <w:proofErr w:type="spellEnd"/>
      <w:r>
        <w:rPr>
          <w:lang w:val="en-US"/>
        </w:rPr>
        <w:t xml:space="preserve"> including </w:t>
      </w:r>
      <w:proofErr w:type="spellStart"/>
      <w:r>
        <w:rPr>
          <w:lang w:val="en-US"/>
        </w:rPr>
        <w:t>NGF</w:t>
      </w:r>
      <w:proofErr w:type="spellEnd"/>
      <w:r>
        <w:rPr>
          <w:lang w:val="en-US"/>
        </w:rPr>
        <w:t xml:space="preserve">, relative to their associated </w:t>
      </w:r>
      <w:proofErr w:type="spellStart"/>
      <w:r>
        <w:rPr>
          <w:lang w:val="en-US"/>
        </w:rPr>
        <w:t>CGRP</w:t>
      </w:r>
      <w:proofErr w:type="spellEnd"/>
      <w:r>
        <w:rPr>
          <w:lang w:val="en-US"/>
        </w:rPr>
        <w:t xml:space="preserve"> nociceptor density in painful-</w:t>
      </w:r>
      <w:proofErr w:type="spellStart"/>
      <w:r>
        <w:rPr>
          <w:lang w:val="en-US"/>
        </w:rPr>
        <w:t>DPN</w:t>
      </w:r>
      <w:proofErr w:type="spellEnd"/>
      <w:r>
        <w:rPr>
          <w:lang w:val="en-US"/>
        </w:rPr>
        <w:t>.</w:t>
      </w:r>
    </w:p>
    <w:p w14:paraId="2A182E7B" w14:textId="77777777" w:rsidR="00AC0FDB" w:rsidRDefault="00AC0FDB" w:rsidP="00AC0FDB">
      <w:pPr>
        <w:pStyle w:val="BodyA"/>
        <w:spacing w:line="480" w:lineRule="auto"/>
        <w:jc w:val="both"/>
      </w:pPr>
      <w:r>
        <w:rPr>
          <w:lang w:val="en-US"/>
        </w:rPr>
        <w:t xml:space="preserve">GAP-43, the marker we used for regenerating nerve </w:t>
      </w:r>
      <w:proofErr w:type="spellStart"/>
      <w:r>
        <w:rPr>
          <w:lang w:val="en-US"/>
        </w:rPr>
        <w:t>fibres</w:t>
      </w:r>
      <w:proofErr w:type="spellEnd"/>
      <w:r>
        <w:rPr>
          <w:lang w:val="en-US"/>
        </w:rPr>
        <w:t xml:space="preserve"> in our study, plays an integral role in the growth of axon terminals, and GAP-43 positive nerve </w:t>
      </w:r>
      <w:proofErr w:type="spellStart"/>
      <w:r>
        <w:rPr>
          <w:lang w:val="en-US"/>
        </w:rPr>
        <w:t>fibres</w:t>
      </w:r>
      <w:proofErr w:type="spellEnd"/>
      <w:r>
        <w:rPr>
          <w:lang w:val="en-US"/>
        </w:rPr>
        <w:t xml:space="preserve"> have been shown to be reduced in </w:t>
      </w:r>
      <w:proofErr w:type="spellStart"/>
      <w:r>
        <w:rPr>
          <w:lang w:val="en-US"/>
        </w:rPr>
        <w:t>DPN</w:t>
      </w:r>
      <w:proofErr w:type="spellEnd"/>
      <w:r>
        <w:rPr>
          <w:lang w:val="en-US"/>
        </w:rPr>
        <w:t xml:space="preserve"> </w:t>
      </w:r>
      <w:r>
        <w:rPr>
          <w:lang w:val="sv-SE"/>
        </w:rPr>
        <w:fldChar w:fldCharType="begin"/>
      </w:r>
      <w:r w:rsidRPr="005B5764">
        <w:instrText xml:space="preserve"> ADDIN EN.CITE &lt;EndNote&gt;&lt;Cite  &gt;&lt;Author&gt;Bönhof&lt;/Author&gt;&lt;Year&gt;2017&lt;/Year&gt;&lt;DisplayText&gt;(Bönhof et al., 2017, Narayanaswamy et al., 2012)&lt;/DisplayText&gt;&lt;record&gt;&lt;dates&gt;&lt;pub-dates&gt;&lt;date&gt;Dec&lt;/date&gt;&lt;/pub-dates&gt;&lt;year&gt;2017&lt;/year&gt;&lt;/dates&gt;&lt;keywords&gt;&lt;keyword&gt;Nerve regeneration&lt;/keyword&gt;&lt;keyword&gt;Neuropathic pain&lt;/keyword&gt;&lt;keyword&gt;Neuropathy&lt;/keyword&gt;&lt;keyword&gt;Skin biopsy&lt;/keyword&gt;&lt;keyword&gt;Type 2 diabetes&lt;/keyword&gt;&lt;/keywords&gt;&lt;urls&gt;&lt;related-urls&gt;&lt;url&gt;https://www.ncbi.nlm.nih.gov/pubmed/28914336&lt;/url&gt;&lt;/related-urls&gt;&lt;/urls&gt;&lt;isbn&gt;1432-0428&lt;/isbn&gt;&lt;titles&gt;&lt;title&gt;Patterns of cutaneous nerve fibre loss and regeneration in type 2 diabetes with painful and painless polyneuropathy&lt;/title&gt;&lt;secondary-title&gt;Diabetologia&lt;/secondary-title&gt;&lt;/titles&gt;&lt;pages&gt;2495-2503&lt;/pages&gt;&lt;number&gt;12&lt;/number&gt;&lt;contributors&gt;&lt;authors&gt;&lt;author&gt;Bönhof, G. J.&lt;/author&gt;&lt;author&gt;Strom, A.&lt;/author&gt;&lt;author&gt;Püttgen, S.&lt;/author&gt;&lt;author&gt;Ringel, B.&lt;/author&gt;&lt;author&gt;Brüggemann, J.&lt;/author&gt;&lt;author&gt;Bódis, K.&lt;/author&gt;&lt;author&gt;Müssig, K.&lt;/author&gt;&lt;author&gt;Szendroedi, J.&lt;/author&gt;&lt;author&gt;Roden, M.&lt;/author&gt;&lt;author&gt;Ziegler, D.&lt;/author&gt;&lt;/authors&gt;&lt;/contributors&gt;&lt;edition&gt;2017/09/15&lt;/edition&gt;&lt;language&gt;eng&lt;/language&gt;&lt;added-date format="utc"&gt;1511470927&lt;/added-date&gt;&lt;ref-type name="Journal Article"&gt;17&lt;/ref-type&gt;&lt;rec-number&gt;539&lt;/rec-number&gt;&lt;last-updated-date format="utc"&gt;1511470927&lt;/last-updated-date&gt;&lt;accession-num&gt;28914336&lt;/accession-num&gt;&lt;electronic-resource-num&gt;10.1007/s00125-017-4438-5&lt;/electronic-resource-num&gt;&lt;volume&gt;60&lt;/volume&gt;&lt;/record&gt;&lt;/Cite&gt;&lt;Cite  &gt;&lt;Author&gt;Narayanaswamy&lt;/Author&gt;&lt;Year&gt;2012&lt;/Year&gt;&lt;RecNum&gt;220&lt;/RecNum&gt;&lt;record&gt;&lt;keywords&gt;&lt;keyword&gt;Biological Markers&lt;/keyword&gt;&lt;keyword&gt;Biopsy -- Methods&lt;/keyword&gt;&lt;keyword&gt;Diabetic Neuropathies -- Pathology&lt;/keyword&gt;&lt;keyword&gt;Peripheral Nervous System Diseases -- Pathology&lt;/keyword&gt;&lt;keyword&gt;Sensation -- Physiology&lt;/keyword&gt;&lt;keyword&gt;Skin -- Pathology&lt;/keyword&gt;&lt;/keywords&gt;&lt;titles&gt;&lt;title&gt;A longitudinal study of sensory biomarkers of progression in patients with diabetic peripheral neuropathy using skin biopsies&lt;/title&gt;&lt;secondary-title&gt;Journal of clinical neuroscience : official journal of the Neurosurgical Society of Australasia&lt;/secondary-title&gt;&lt;/titles&gt;&lt;pages&gt;1490&lt;/pages&gt;&lt;number&gt;11&lt;/number&gt;&lt;contributors&gt;&lt;authors&gt;&lt;author&gt;Narayanaswamy, H.&lt;/author&gt;&lt;author&gt;Facer, P.&lt;/author&gt;&lt;author&gt;Misra, V. P.&lt;/author&gt;&lt;author&gt;Timmers, M.&lt;/author&gt;&lt;author&gt;Byttebier, G.&lt;/author&gt;&lt;author&gt;Meert, T.&lt;/author&gt;&lt;author&gt;Anand, P.&lt;/author&gt;&lt;/authors&gt;&lt;/contributors&gt;&lt;added-date format="utc"&gt;1385485298&lt;/added-date&gt;&lt;ref-type name="Journal Article"&gt;17&lt;/ref-type&gt;&lt;dates&gt;&lt;year&gt;2012&lt;/year&gt;&lt;/dates&gt;&lt;rec-number&gt;220&lt;/rec-number&gt;&lt;last-updated-date format="utc"&gt;1386094332&lt;/last-updated-date&gt;&lt;electronic-resource-num&gt;10.1016/j.jocn.2011.12.026&lt;/electronic-resource-num&gt;&lt;volume&gt;19&lt;/volume&gt;&lt;/record&gt;&lt;/Cite&gt;&lt;/EndNote&gt;</w:instrText>
      </w:r>
      <w:r>
        <w:rPr>
          <w:lang w:val="sv-SE"/>
        </w:rPr>
        <w:fldChar w:fldCharType="separate"/>
      </w:r>
      <w:r w:rsidRPr="005B5764">
        <w:t>(Bönhof et al., 2017, Narayanaswamy et al., 2012)</w:t>
      </w:r>
      <w:r>
        <w:rPr>
          <w:lang w:val="sv-SE"/>
        </w:rPr>
        <w:fldChar w:fldCharType="end"/>
      </w:r>
      <w:r>
        <w:rPr>
          <w:lang w:val="en-US"/>
        </w:rPr>
        <w:t xml:space="preserve">. Recent cross-sectional studies have explored the role of </w:t>
      </w:r>
      <w:proofErr w:type="spellStart"/>
      <w:r>
        <w:rPr>
          <w:lang w:val="en-US"/>
        </w:rPr>
        <w:t>IENFD</w:t>
      </w:r>
      <w:proofErr w:type="spellEnd"/>
      <w:r>
        <w:rPr>
          <w:lang w:val="en-US"/>
        </w:rPr>
        <w:t xml:space="preserve"> GAP-43 in painful </w:t>
      </w:r>
      <w:proofErr w:type="spellStart"/>
      <w:r>
        <w:rPr>
          <w:lang w:val="en-US"/>
        </w:rPr>
        <w:t>DPN</w:t>
      </w:r>
      <w:proofErr w:type="spellEnd"/>
      <w:r>
        <w:rPr>
          <w:lang w:val="en-US"/>
        </w:rPr>
        <w:t xml:space="preserve"> </w:t>
      </w:r>
      <w:r>
        <w:fldChar w:fldCharType="begin"/>
      </w:r>
      <w:r>
        <w:instrText xml:space="preserve"> ADDIN EN.CITE &lt;EndNote&gt;&lt;Cite  &gt;&lt;Author&gt;Cheng&lt;/Author&gt;&lt;Year&gt;2013&lt;/Year&gt;&lt;RecNum&gt;149&lt;/RecNum&gt;&lt;DisplayText&gt;(Cheng et al., 2013, Galosi et al., 2018)&lt;/DisplayText&gt;&lt;record&gt;&lt;keywords&gt;&lt;keyword&gt;Diabetic Pain&lt;/keyword&gt;&lt;keyword&gt;Intraepidermal Nerve Fiber&lt;/keyword&gt;&lt;keyword&gt;Peripheral Neuropathy&lt;/keyword&gt;&lt;/keywords&gt;&lt;isbn&gt;1526-5900&lt;/isbn&gt;&lt;titles&gt;&lt;title&gt;Increased axonal regeneration and swellings in intraepidermal nerve fibers characterize painful phenotypes of diabetic neuropathy&lt;/title&gt;&lt;secondary-title&gt;The journal of pain : official journal of the American Pain Society&lt;/secondary-title&gt;&lt;/titles&gt;&lt;pages&gt;941&lt;/pages&gt;&lt;number&gt;9&lt;/number&gt;&lt;contributors&gt;&lt;authors&gt;&lt;author&gt;Cheng, Hsinlin T.&lt;/author&gt;&lt;author&gt;Dauch, Jacqueline R.&lt;/author&gt;&lt;author&gt;Porzio, Michael T.&lt;/author&gt;&lt;author&gt;Yanik, Brandon M.&lt;/author&gt;&lt;author&gt;Hsieh, Wilson&lt;/author&gt;&lt;author&gt;Smith, A. Gordon&lt;/author&gt;&lt;author&gt;Singleton, J. Robinson&lt;/author&gt;&lt;author&gt;Feldman, Eva L.&lt;/author&gt;&lt;/authors&gt;&lt;/contributors&gt;&lt;added-date format="utc"&gt;1383279008&lt;/added-date&gt;&lt;ref-type name="Journal Article"&gt;17&lt;/ref-type&gt;&lt;dates&gt;&lt;year&gt;2013&lt;/year&gt;&lt;/dates&gt;&lt;rec-number&gt;149&lt;/rec-number&gt;&lt;last-updated-date format="utc"&gt;1383279424&lt;/last-updated-date&gt;&lt;electronic-resource-num&gt;10.1016/j.jpain.2013.03.005&lt;/electronic-resource-num&gt;&lt;volume&gt;14&lt;/volume&gt;&lt;/record&gt;&lt;/Cite&gt;&lt;Cite  &gt;&lt;Author&gt;Galosi&lt;/Author&gt;&lt;Year&gt;2018&lt;/Year&gt;&lt;RecNum&gt;574&lt;/RecNum&gt;&lt;record&gt;&lt;dates&gt;&lt;pub-dates&gt;&lt;date&gt;11&lt;/date&gt;&lt;/pub-dates&gt;&lt;year&gt;2018&lt;/year&gt;&lt;/dates&gt;&lt;keywords&gt;&lt;keyword&gt;Adult&lt;/keyword&gt;&lt;keyword&gt;Aged&lt;/keyword&gt;&lt;keyword&gt;Aged, 80 and over&lt;/keyword&gt;&lt;keyword&gt;Biopsy&lt;/keyword&gt;&lt;keyword&gt;Diabetic Neuropathies&lt;/keyword&gt;&lt;keyword&gt;Female&lt;/keyword&gt;&lt;keyword&gt;GAP-43 Protein&lt;/keyword&gt;&lt;keyword&gt;Humans&lt;/keyword&gt;&lt;keyword&gt;Hyperalgesia&lt;/keyword&gt;&lt;keyword&gt;Male&lt;/keyword&gt;&lt;keyword&gt;Middle Aged&lt;/keyword&gt;&lt;keyword&gt;Nerve Fibers&lt;/keyword&gt;&lt;keyword&gt;Nerve Regeneration&lt;/keyword&gt;&lt;keyword&gt;Neuralgia&lt;/keyword&gt;&lt;keyword&gt;Prospective Studies&lt;/keyword&gt;&lt;keyword&gt;Sensitivity and Specificity&lt;/keyword&gt;&lt;keyword&gt;Skin&lt;/keyword&gt;&lt;keyword&gt;Ubiquitin Thiolesterase&lt;/keyword&gt;&lt;/keywords&gt;&lt;urls&gt;&lt;related-urls&gt;&lt;url&gt;https://www.ncbi.nlm.nih.gov/pubmed/29885017&lt;/url&gt;&lt;/related-urls&gt;&lt;/urls&gt;&lt;isbn&gt;1532-2149&lt;/isbn&gt;&lt;titles&gt;&lt;title&gt;A pain in the skin. Regenerating nerve sprouts are distinctly associated with ongoing burning pain in patients with diabetes&lt;/title&gt;&lt;secondary-title&gt;Eur J Pain&lt;/secondary-title&gt;&lt;/titles&gt;&lt;pages&gt;1727-1734&lt;/pages&gt;&lt;number&gt;10&lt;/number&gt;&lt;contributors&gt;&lt;authors&gt;&lt;author&gt;Galosi, E.&lt;/author&gt;&lt;author&gt;La Cesa, S.&lt;/author&gt;&lt;author&gt;Di Stefano, G.&lt;/author&gt;&lt;author&gt;Karlsson, P.&lt;/author&gt;&lt;author&gt;Fasolino, A.&lt;/author&gt;&lt;author&gt;Leone, C.&lt;/author&gt;&lt;author&gt;Biasiotta, A.&lt;/author&gt;&lt;author&gt;Cruccu, G.&lt;/author&gt;&lt;author&gt;Truini, A.&lt;/author&gt;&lt;/authors&gt;&lt;/contributors&gt;&lt;edition&gt;2018/07/09&lt;/edition&gt;&lt;language&gt;eng&lt;/language&gt;&lt;added-date format="utc"&gt;1554076489&lt;/added-date&gt;&lt;ref-type name="Journal Article"&gt;17&lt;/ref-type&gt;&lt;rec-number&gt;574&lt;/rec-number&gt;&lt;last-updated-date format="utc"&gt;1554076489&lt;/last-updated-date&gt;&lt;accession-num&gt;29885017&lt;/accession-num&gt;&lt;electronic-resource-num&gt;10.1002/ejp.1259&lt;/electronic-resource-num&gt;&lt;volume&gt;22&lt;/volume&gt;&lt;/record&gt;&lt;/Cite&gt;&lt;/EndNote&gt;</w:instrText>
      </w:r>
      <w:r>
        <w:fldChar w:fldCharType="separate"/>
      </w:r>
      <w:r>
        <w:t>(Cheng et al., 2013, Galosi et al., 2018)</w:t>
      </w:r>
      <w:r>
        <w:fldChar w:fldCharType="end"/>
      </w:r>
      <w:r>
        <w:rPr>
          <w:lang w:val="en-US"/>
        </w:rPr>
        <w:t xml:space="preserve">. One study found the GAP-43:PGP9.5 ratio was reduced in </w:t>
      </w:r>
      <w:proofErr w:type="spellStart"/>
      <w:r>
        <w:rPr>
          <w:lang w:val="en-US"/>
        </w:rPr>
        <w:t>DPN</w:t>
      </w:r>
      <w:proofErr w:type="spellEnd"/>
      <w:r>
        <w:rPr>
          <w:lang w:val="en-US"/>
        </w:rPr>
        <w:t xml:space="preserve">, but was greater in painful compared to painless </w:t>
      </w:r>
      <w:proofErr w:type="spellStart"/>
      <w:r>
        <w:rPr>
          <w:lang w:val="en-US"/>
        </w:rPr>
        <w:t>DPN</w:t>
      </w:r>
      <w:proofErr w:type="spellEnd"/>
      <w:r>
        <w:rPr>
          <w:lang w:val="en-US"/>
        </w:rPr>
        <w:t xml:space="preserve"> </w:t>
      </w:r>
      <w:r>
        <w:fldChar w:fldCharType="begin"/>
      </w:r>
      <w:r>
        <w:instrText xml:space="preserve"> ADDIN EN.CITE &lt;EndNote&gt;&lt;Cite  &gt;&lt;Author&gt;Cheng&lt;/Author&gt;&lt;Year&gt;2013&lt;/Year&gt;&lt;RecNum&gt;149&lt;/RecNum&gt;&lt;DisplayText&gt;(Cheng et al., 2013)&lt;/DisplayText&gt;&lt;record&gt;&lt;keywords&gt;&lt;keyword&gt;Diabetic Pain&lt;/keyword&gt;&lt;keyword&gt;Intraepidermal Nerve Fiber&lt;/keyword&gt;&lt;keyword&gt;Peripheral Neuropathy&lt;/keyword&gt;&lt;/keywords&gt;&lt;isbn&gt;1526-5900&lt;/isbn&gt;&lt;titles&gt;&lt;title&gt;Increased axonal regeneration and swellings in intraepidermal nerve fibers characterize painful phenotypes of diabetic neuropathy&lt;/title&gt;&lt;secondary-title&gt;The journal of pain : official journal of the American Pain Society&lt;/secondary-title&gt;&lt;/titles&gt;&lt;pages&gt;941&lt;/pages&gt;&lt;number&gt;9&lt;/number&gt;&lt;contributors&gt;&lt;authors&gt;&lt;author&gt;Cheng, Hsinlin T.&lt;/author&gt;&lt;author&gt;Dauch, Jacqueline R.&lt;/author&gt;&lt;author&gt;Porzio, Michael T.&lt;/author&gt;&lt;author&gt;Yanik, Brandon M.&lt;/author&gt;&lt;author&gt;Hsieh, Wilson&lt;/author&gt;&lt;author&gt;Smith, A. Gordon&lt;/author&gt;&lt;author&gt;Singleton, J. Robinson&lt;/author&gt;&lt;author&gt;Feldman, Eva L.&lt;/author&gt;&lt;/authors&gt;&lt;/contributors&gt;&lt;added-date format="utc"&gt;1383279008&lt;/added-date&gt;&lt;ref-type name="Journal Article"&gt;17&lt;/ref-type&gt;&lt;dates&gt;&lt;year&gt;2013&lt;/year&gt;&lt;/dates&gt;&lt;rec-number&gt;149&lt;/rec-number&gt;&lt;last-updated-date format="utc"&gt;1383279424&lt;/last-updated-date&gt;&lt;electronic-resource-num&gt;10.1016/j.jpain.2013.03.005&lt;/electronic-resource-num&gt;&lt;volume&gt;14&lt;/volume&gt;&lt;/record&gt;&lt;/Cite&gt;&lt;/EndNote&gt;</w:instrText>
      </w:r>
      <w:r>
        <w:fldChar w:fldCharType="separate"/>
      </w:r>
      <w:r>
        <w:t>(Cheng et al., 2013)</w:t>
      </w:r>
      <w:r>
        <w:fldChar w:fldCharType="end"/>
      </w:r>
      <w:r>
        <w:rPr>
          <w:lang w:val="en-US"/>
        </w:rPr>
        <w:t xml:space="preserve">. Another study reported </w:t>
      </w:r>
      <w:proofErr w:type="spellStart"/>
      <w:r>
        <w:rPr>
          <w:lang w:val="en-US"/>
        </w:rPr>
        <w:t>IENFD</w:t>
      </w:r>
      <w:proofErr w:type="spellEnd"/>
      <w:r>
        <w:rPr>
          <w:lang w:val="en-US"/>
        </w:rPr>
        <w:t xml:space="preserve"> and </w:t>
      </w:r>
      <w:proofErr w:type="spellStart"/>
      <w:r>
        <w:rPr>
          <w:lang w:val="en-US"/>
        </w:rPr>
        <w:t>IENF</w:t>
      </w:r>
      <w:proofErr w:type="spellEnd"/>
      <w:r>
        <w:rPr>
          <w:lang w:val="en-US"/>
        </w:rPr>
        <w:t xml:space="preserve"> length (</w:t>
      </w:r>
      <w:proofErr w:type="spellStart"/>
      <w:r>
        <w:rPr>
          <w:lang w:val="en-US"/>
        </w:rPr>
        <w:t>IENFL</w:t>
      </w:r>
      <w:proofErr w:type="spellEnd"/>
      <w:r>
        <w:rPr>
          <w:lang w:val="en-US"/>
        </w:rPr>
        <w:t xml:space="preserve">) GAP-43:PGP9.5 ratio did not differ between neuropathy groups, but only the GAP-43:PGP9.5 </w:t>
      </w:r>
      <w:proofErr w:type="spellStart"/>
      <w:r>
        <w:rPr>
          <w:lang w:val="en-US"/>
        </w:rPr>
        <w:t>IENFL</w:t>
      </w:r>
      <w:proofErr w:type="spellEnd"/>
      <w:r>
        <w:rPr>
          <w:lang w:val="en-US"/>
        </w:rPr>
        <w:t xml:space="preserve"> was higher in painful compared to painless </w:t>
      </w:r>
      <w:proofErr w:type="spellStart"/>
      <w:r>
        <w:rPr>
          <w:lang w:val="en-US"/>
        </w:rPr>
        <w:t>DPN</w:t>
      </w:r>
      <w:proofErr w:type="spellEnd"/>
      <w:r>
        <w:rPr>
          <w:lang w:val="en-US"/>
        </w:rPr>
        <w:t xml:space="preserve"> </w:t>
      </w:r>
      <w:r>
        <w:rPr>
          <w:lang w:val="sv-SE"/>
        </w:rPr>
        <w:fldChar w:fldCharType="begin"/>
      </w:r>
      <w:r w:rsidRPr="005B5764">
        <w:instrText xml:space="preserve"> ADDIN EN.CITE &lt;EndNote&gt;&lt;Cite  &gt;&lt;Author&gt;Bönhof&lt;/Author&gt;&lt;Year&gt;2017&lt;/Year&gt;&lt;DisplayText&gt;(Bönhof et al., 2017)&lt;/DisplayText&gt;&lt;record&gt;&lt;dates&gt;&lt;pub-dates&gt;&lt;date&gt;Dec&lt;/date&gt;&lt;/pub-dates&gt;&lt;year&gt;2017&lt;/year&gt;&lt;/dates&gt;&lt;keywords&gt;&lt;keyword&gt;Nerve regeneration&lt;/keyword&gt;&lt;keyword&gt;Neuropathic pain&lt;/keyword&gt;&lt;keyword&gt;Neuropathy&lt;/keyword&gt;&lt;keyword&gt;Skin biopsy&lt;/keyword&gt;&lt;keyword&gt;Type 2 diabetes&lt;/keyword&gt;&lt;/keywords&gt;&lt;urls&gt;&lt;related-urls&gt;&lt;url&gt;https://www.ncbi.nlm.nih.gov/pubmed/28914336&lt;/url&gt;&lt;/related-urls&gt;&lt;/urls&gt;&lt;isbn&gt;1432-0428&lt;/isbn&gt;&lt;titles&gt;&lt;title&gt;Patterns of cutaneous nerve fibre loss and regeneration in type 2 diabetes with painful and painless polyneuropathy&lt;/title&gt;&lt;secondary-title&gt;Diabetologia&lt;/secondary-title&gt;&lt;/titles&gt;&lt;pages&gt;2495-2503&lt;/pages&gt;&lt;number&gt;12&lt;/number&gt;&lt;contributors&gt;&lt;authors&gt;&lt;author&gt;Bönhof, G. J.&lt;/author&gt;&lt;author&gt;Strom, A.&lt;/author&gt;&lt;author&gt;Püttgen, S.&lt;/author&gt;&lt;author&gt;Ringel, B.&lt;/author&gt;&lt;author&gt;Brüggemann, J.&lt;/author&gt;&lt;author&gt;Bódis, K.&lt;/author&gt;&lt;author&gt;Müssig, K.&lt;/author&gt;&lt;author&gt;Szendroedi, J.&lt;/author&gt;&lt;author&gt;Roden, M.&lt;/author&gt;&lt;author&gt;Ziegler, D.&lt;/author&gt;&lt;/authors&gt;&lt;/contributors&gt;&lt;edition&gt;2017/09/15&lt;/edition&gt;&lt;language&gt;eng&lt;/language&gt;&lt;added-date format="utc"&gt;1511470927&lt;/added-date&gt;&lt;ref-type name="Journal Article"&gt;17&lt;/ref-type&gt;&lt;rec-number&gt;539&lt;/rec-number&gt;&lt;last-updated-date format="utc"&gt;1511470927&lt;/last-updated-date&gt;&lt;accession-num&gt;28914336&lt;/accession-num&gt;&lt;electronic-resource-num&gt;10.1007/s00125-017-4438-5&lt;/electronic-resource-num&gt;&lt;volume&gt;60&lt;/volume&gt;&lt;/record&gt;&lt;/Cite&gt;&lt;/EndNote&gt;</w:instrText>
      </w:r>
      <w:r>
        <w:rPr>
          <w:lang w:val="sv-SE"/>
        </w:rPr>
        <w:fldChar w:fldCharType="separate"/>
      </w:r>
      <w:r w:rsidRPr="005B5764">
        <w:t>(Bönhof et al., 2017)</w:t>
      </w:r>
      <w:r>
        <w:rPr>
          <w:lang w:val="sv-SE"/>
        </w:rPr>
        <w:fldChar w:fldCharType="end"/>
      </w:r>
      <w:r>
        <w:rPr>
          <w:lang w:val="en-US"/>
        </w:rPr>
        <w:t xml:space="preserve">. In another study, the ratio of GAP-43:PGP9.5 was higher in patients with ongoing burning pain </w:t>
      </w:r>
      <w:r>
        <w:rPr>
          <w:lang w:val="it-IT"/>
        </w:rPr>
        <w:fldChar w:fldCharType="begin"/>
      </w:r>
      <w:r w:rsidRPr="005B5764">
        <w:instrText xml:space="preserve"> ADDIN EN.CITE &lt;EndNote&gt;&lt;Cite  &gt;&lt;Author&gt;Galosi&lt;/Author&gt;&lt;Year&gt;2018&lt;/Year&gt;&lt;RecNum&gt;574&lt;/RecNum&gt;&lt;DisplayText&gt;(Galosi et al., 2018)&lt;/DisplayText&gt;&lt;record&gt;&lt;dates&gt;&lt;pub-dates&gt;&lt;date&gt;11&lt;/date&gt;&lt;/pub-dates&gt;&lt;year&gt;2018&lt;/year&gt;&lt;/dates&gt;&lt;keywords&gt;&lt;keyword&gt;Adult&lt;/keyword&gt;&lt;keyword&gt;Aged&lt;/keyword&gt;&lt;keyword&gt;Aged, 80 and over&lt;/keyword&gt;&lt;keyword&gt;Biopsy&lt;/keyword&gt;&lt;keyword&gt;Diabetic Neuropathies&lt;/keyword&gt;&lt;keyword&gt;Female&lt;/keyword&gt;&lt;keyword&gt;GAP-43 Protein&lt;/keyword&gt;&lt;keyword&gt;Humans&lt;/keyword&gt;&lt;keyword&gt;Hyperalgesia&lt;/keyword&gt;&lt;keyword&gt;Male&lt;/keyword&gt;&lt;keyword&gt;Middle Aged&lt;/keyword&gt;&lt;keyword&gt;Nerve Fibers&lt;/keyword&gt;&lt;keyword&gt;Nerve Regeneration&lt;/keyword&gt;&lt;keyword&gt;Neuralgia&lt;/keyword&gt;&lt;keyword&gt;Prospective Studies&lt;/keyword&gt;&lt;keyword&gt;Sensitivity and Specificity&lt;/keyword&gt;&lt;keyword&gt;Skin&lt;/keyword&gt;&lt;keyword&gt;Ubiquitin Thiolesterase&lt;/keyword&gt;&lt;/keywords&gt;&lt;urls&gt;&lt;related-urls&gt;&lt;url&gt;https://www.ncbi.nlm.nih.gov/pubmed/29885017&lt;/url&gt;&lt;/related-urls&gt;&lt;/urls&gt;&lt;isbn&gt;1532-2149&lt;/isbn&gt;&lt;titles&gt;&lt;title&gt;A pain in the skin. Regenerating nerve sprouts are distinctly associated with ongoing burning pain in patients with diabetes&lt;/title&gt;&lt;secondary-title&gt;Eur J Pain&lt;/secondary-title&gt;&lt;/titles&gt;&lt;pages&gt;1727-1734&lt;/pages&gt;&lt;number&gt;10&lt;/number&gt;&lt;contributors&gt;&lt;authors&gt;&lt;author&gt;Galosi, E.&lt;/author&gt;&lt;author&gt;La Cesa, S.&lt;/author&gt;&lt;author&gt;Di Stefano, G.&lt;/author&gt;&lt;author&gt;Karlsson, P.&lt;/author&gt;&lt;author&gt;Fasolino, A.&lt;/author&gt;&lt;author&gt;Leone, C.&lt;/author&gt;&lt;author&gt;Biasiotta, A.&lt;/author&gt;&lt;author&gt;Cruccu, G.&lt;/author&gt;&lt;author&gt;Truini, A.&lt;/author&gt;&lt;/authors&gt;&lt;/contributors&gt;&lt;edition&gt;2018/07/09&lt;/edition&gt;&lt;language&gt;eng&lt;/language&gt;&lt;added-date format="utc"&gt;1554076489&lt;/added-date&gt;&lt;ref-type name="Journal Article"&gt;17&lt;/ref-type&gt;&lt;rec-number&gt;574&lt;/rec-number&gt;&lt;last-updated-date format="utc"&gt;1554076489&lt;/last-updated-date&gt;&lt;accession-num&gt;29885017&lt;/accession-num&gt;&lt;electronic-resource-num&gt;10.1002/ejp.1259&lt;/electronic-resource-num&gt;&lt;volume&gt;22&lt;/volume&gt;&lt;/record&gt;&lt;/Cite&gt;&lt;/EndNote&gt;</w:instrText>
      </w:r>
      <w:r>
        <w:rPr>
          <w:lang w:val="it-IT"/>
        </w:rPr>
        <w:fldChar w:fldCharType="separate"/>
      </w:r>
      <w:r w:rsidRPr="005B5764">
        <w:t>(Galosi et al., 2018)</w:t>
      </w:r>
      <w:r>
        <w:rPr>
          <w:lang w:val="it-IT"/>
        </w:rPr>
        <w:fldChar w:fldCharType="end"/>
      </w:r>
      <w:r>
        <w:rPr>
          <w:lang w:val="en-US"/>
        </w:rPr>
        <w:t xml:space="preserve">. Each of these three studies had group differences between painful and painless </w:t>
      </w:r>
      <w:proofErr w:type="spellStart"/>
      <w:r>
        <w:rPr>
          <w:lang w:val="en-US"/>
        </w:rPr>
        <w:t>DPN</w:t>
      </w:r>
      <w:proofErr w:type="spellEnd"/>
      <w:r>
        <w:rPr>
          <w:lang w:val="en-US"/>
        </w:rPr>
        <w:t xml:space="preserve">, which could affect the regenerative capacity of the epidermal nerves. Our study found no difference in GAP-43 immunoreactivity between painful and painless </w:t>
      </w:r>
      <w:proofErr w:type="spellStart"/>
      <w:r>
        <w:rPr>
          <w:lang w:val="en-US"/>
        </w:rPr>
        <w:t>DPN</w:t>
      </w:r>
      <w:proofErr w:type="spellEnd"/>
      <w:r>
        <w:rPr>
          <w:lang w:val="en-US"/>
        </w:rPr>
        <w:t xml:space="preserve">, in accord with another recent study </w:t>
      </w:r>
      <w:r>
        <w:fldChar w:fldCharType="begin"/>
      </w:r>
      <w:r>
        <w:instrText xml:space="preserve"> ADDIN EN.CITE &lt;EndNote&gt;&lt;Cite  &gt;&lt;Author&gt;Scheytt&lt;/Author&gt;&lt;Year&gt;2015&lt;/Year&gt;&lt;DisplayText&gt;(Scheytt et al., 2015)&lt;/DisplayText&gt;&lt;record&gt;&lt;dates&gt;&lt;pub-dates&gt;&lt;date&gt;Aug&lt;/date&gt;&lt;/pub-dates&gt;&lt;year&gt;2015&lt;/year&gt;&lt;/dates&gt;&lt;keywords&gt;&lt;keyword&gt;Adult&lt;/keyword&gt;&lt;keyword&gt;Aged&lt;/keyword&gt;&lt;keyword&gt;Aged, 80 and over&lt;/keyword&gt;&lt;keyword&gt;Female&lt;/keyword&gt;&lt;keyword&gt;GAP-43 Protein&lt;/keyword&gt;&lt;keyword&gt;Gene Expression&lt;/keyword&gt;&lt;keyword&gt;Humans&lt;/keyword&gt;&lt;keyword&gt;Male&lt;/keyword&gt;&lt;keyword&gt;Middle Aged&lt;/keyword&gt;&lt;keyword&gt;Nerve Fibers&lt;/keyword&gt;&lt;keyword&gt;Peripheral Nervous System Diseases&lt;/keyword&gt;&lt;keyword&gt;Retrospective Studies&lt;/keyword&gt;&lt;keyword&gt;Skin&lt;/keyword&gt;&lt;keyword&gt;Ubiquitin Thiolesterase&lt;/keyword&gt;&lt;keyword&gt;Growth associated protein-43&lt;/keyword&gt;&lt;keyword&gt;Intraepidermal nerve fibers&lt;/keyword&gt;&lt;keyword&gt;Peripheral neuropathy&lt;/keyword&gt;&lt;keyword&gt;Protein gene product 9.5&lt;/keyword&gt;&lt;keyword&gt;Skin punch biopsy&lt;/keyword&gt;&lt;/keywords&gt;&lt;urls&gt;&lt;related-urls&gt;&lt;url&gt;https://www.ncbi.nlm.nih.gov/pubmed/26071889&lt;/url&gt;&lt;/related-urls&gt;&lt;/urls&gt;&lt;isbn&gt;1878-5883&lt;/isbn&gt;&lt;titles&gt;&lt;title&gt;Increased gene expression of growth associated protein-43 in skin of patients with early-stage peripheral neuropathies&lt;/title&gt;&lt;secondary-title&gt;J Neurol Sci&lt;/secondary-title&gt;&lt;/titles&gt;&lt;pages&gt;131-7&lt;/pages&gt;&lt;number&gt;1-2&lt;/number&gt;&lt;contributors&gt;&lt;authors&gt;&lt;author&gt;Scheytt, S.&lt;/author&gt;&lt;author&gt;Riediger, N.&lt;/author&gt;&lt;author&gt;Braunsdorf, S.&lt;/author&gt;&lt;author&gt;Sommer, C.&lt;/author&gt;&lt;author&gt;Üçeyler, N.&lt;/author&gt;&lt;/authors&gt;&lt;/contributors&gt;&lt;edition&gt;2015/06/03&lt;/edition&gt;&lt;language&gt;eng&lt;/language&gt;&lt;added-date format="utc"&gt;1554076725&lt;/added-date&gt;&lt;ref-type name="Journal Article"&gt;17&lt;/ref-type&gt;&lt;rec-number&gt;575&lt;/rec-number&gt;&lt;last-updated-date format="utc"&gt;1554076725&lt;/last-updated-date&gt;&lt;accession-num&gt;26071889&lt;/accession-num&gt;&lt;electronic-resource-num&gt;10.1016/j.jns.2015.05.044&lt;/electronic-resource-num&gt;&lt;volume&gt;355&lt;/volume&gt;&lt;/record&gt;&lt;/Cite&gt;&lt;/EndNote&gt;</w:instrText>
      </w:r>
      <w:r>
        <w:fldChar w:fldCharType="separate"/>
      </w:r>
      <w:r>
        <w:t>(Scheytt et al., 2015)</w:t>
      </w:r>
      <w:r>
        <w:fldChar w:fldCharType="end"/>
      </w:r>
      <w:r>
        <w:rPr>
          <w:lang w:val="en-US"/>
        </w:rPr>
        <w:t xml:space="preserve">. The </w:t>
      </w:r>
      <w:proofErr w:type="spellStart"/>
      <w:r>
        <w:rPr>
          <w:lang w:val="en-US"/>
        </w:rPr>
        <w:t>IENFD</w:t>
      </w:r>
      <w:proofErr w:type="spellEnd"/>
      <w:r>
        <w:rPr>
          <w:lang w:val="en-US"/>
        </w:rPr>
        <w:t xml:space="preserve"> was severely diminished in our study participants who had advanced </w:t>
      </w:r>
      <w:proofErr w:type="spellStart"/>
      <w:r>
        <w:rPr>
          <w:lang w:val="en-US"/>
        </w:rPr>
        <w:t>DPN</w:t>
      </w:r>
      <w:proofErr w:type="spellEnd"/>
      <w:r>
        <w:rPr>
          <w:lang w:val="en-US"/>
        </w:rPr>
        <w:t xml:space="preserve">, which may be relevant for interpretation of our GAP-43 results in comparison with others, as </w:t>
      </w:r>
      <w:proofErr w:type="spellStart"/>
      <w:r>
        <w:rPr>
          <w:lang w:val="en-US"/>
        </w:rPr>
        <w:t>IENF</w:t>
      </w:r>
      <w:proofErr w:type="spellEnd"/>
      <w:r>
        <w:rPr>
          <w:lang w:val="en-US"/>
        </w:rPr>
        <w:t xml:space="preserve"> nerve regenerative responses are impaired in diabetes and particularly </w:t>
      </w:r>
      <w:proofErr w:type="spellStart"/>
      <w:r>
        <w:rPr>
          <w:lang w:val="en-US"/>
        </w:rPr>
        <w:t>DPN</w:t>
      </w:r>
      <w:proofErr w:type="spellEnd"/>
      <w:r>
        <w:rPr>
          <w:lang w:val="en-US"/>
        </w:rPr>
        <w:t xml:space="preserve"> </w:t>
      </w:r>
      <w:r>
        <w:fldChar w:fldCharType="begin"/>
      </w:r>
      <w:r>
        <w:instrText xml:space="preserve"> ADDIN EN.CITE &lt;EndNote&gt;&lt;Cite  &gt;&lt;Author&gt;Polydefkis&lt;/Author&gt;&lt;Year&gt;2004&lt;/Year&gt;&lt;RecNum&gt;434&lt;/RecNum&gt;&lt;DisplayText&gt;(Polydefkis et al., 2004)&lt;/DisplayText&gt;&lt;record&gt;&lt;dates&gt;&lt;pub-dates&gt;&lt;date&gt;Jul&lt;/date&gt;&lt;/pub-dates&gt;&lt;year&gt;2004&lt;/year&gt;&lt;/dates&gt;&lt;keywords&gt;&lt;keyword&gt;Adult&lt;/keyword&gt;&lt;keyword&gt;Aged&lt;/keyword&gt;&lt;keyword&gt;Case-Control Studies&lt;/keyword&gt;&lt;keyword&gt;Diabetes Mellitus&lt;/keyword&gt;&lt;keyword&gt;Diabetic Neuropathies&lt;/keyword&gt;&lt;keyword&gt;Electrophysiology&lt;/keyword&gt;&lt;keyword&gt;Epidermis&lt;/keyword&gt;&lt;keyword&gt;Female&lt;/keyword&gt;&lt;keyword&gt;Humans&lt;/keyword&gt;&lt;keyword&gt;Immunohistochemistry&lt;/keyword&gt;&lt;keyword&gt;Linear Models&lt;/keyword&gt;&lt;keyword&gt;Male&lt;/keyword&gt;&lt;keyword&gt;Middle Aged&lt;/keyword&gt;&lt;keyword&gt;Nerve Fibers&lt;/keyword&gt;&lt;keyword&gt;Nerve Regeneration&lt;/keyword&gt;&lt;keyword&gt;Ubiquitin Thiolesterase&lt;/keyword&gt;&lt;keyword&gt;Wound Healing&lt;/keyword&gt;&lt;/keywords&gt;&lt;urls&gt;&lt;related-urls&gt;&lt;url&gt;https://www.ncbi.nlm.nih.gov/pubmed/15128618&lt;/url&gt;&lt;/related-urls&gt;&lt;/urls&gt;&lt;isbn&gt;0006-8950&lt;/isbn&gt;&lt;titles&gt;&lt;title&gt;The time course of epidermal nerve fibre regeneration: studies in normal controls and in people with diabetes, with and without neuropathy&lt;/title&gt;&lt;secondary-title&gt;Brain&lt;/secondary-title&gt;&lt;/titles&gt;&lt;pages&gt;1606-15&lt;/pages&gt;&lt;number&gt;Pt 7&lt;/number&gt;&lt;contributors&gt;&lt;authors&gt;&lt;author&gt;Polydefkis, M.&lt;/author&gt;&lt;author&gt;Hauer, P.&lt;/author&gt;&lt;author&gt;Sheth, S.&lt;/author&gt;&lt;author&gt;Sirdofsky, M.&lt;/author&gt;&lt;author&gt;Griffin, J. W.&lt;/author&gt;&lt;author&gt;McArthur, J. C.&lt;/author&gt;&lt;/authors&gt;&lt;/contributors&gt;&lt;edition&gt;2004/05/05&lt;/edition&gt;&lt;language&gt;eng&lt;/language&gt;&lt;added-date format="utc"&gt;1503191442&lt;/added-date&gt;&lt;ref-type name="Journal Article"&gt;17&lt;/ref-type&gt;&lt;rec-number&gt;434&lt;/rec-number&gt;&lt;last-updated-date format="utc"&gt;1503191442&lt;/last-updated-date&gt;&lt;accession-num&gt;15128618&lt;/accession-num&gt;&lt;electronic-resource-num&gt;10.1093/brain/awh175&lt;/electronic-resource-num&gt;&lt;volume&gt;127&lt;/volume&gt;&lt;/record&gt;&lt;/Cite&gt;&lt;/EndNote&gt;</w:instrText>
      </w:r>
      <w:r>
        <w:fldChar w:fldCharType="separate"/>
      </w:r>
      <w:r>
        <w:t>(Polydefkis et al., 2004)</w:t>
      </w:r>
      <w:r>
        <w:fldChar w:fldCharType="end"/>
      </w:r>
      <w:r>
        <w:t xml:space="preserve">. </w:t>
      </w:r>
    </w:p>
    <w:p w14:paraId="7CBBDB14" w14:textId="77777777" w:rsidR="00AC0FDB" w:rsidRDefault="00AC0FDB" w:rsidP="00AC0FDB">
      <w:pPr>
        <w:pStyle w:val="BodyA"/>
        <w:spacing w:line="480" w:lineRule="auto"/>
        <w:jc w:val="both"/>
      </w:pPr>
      <w:r>
        <w:rPr>
          <w:lang w:val="en-US"/>
        </w:rPr>
        <w:t>Our study findings are in keeping with previous studies which have implicated alterations in peripheral nerve microcirculation as playing an important role in painful-</w:t>
      </w:r>
      <w:proofErr w:type="spellStart"/>
      <w:r>
        <w:rPr>
          <w:lang w:val="en-US"/>
        </w:rPr>
        <w:lastRenderedPageBreak/>
        <w:t>DPN</w:t>
      </w:r>
      <w:proofErr w:type="spellEnd"/>
      <w:r>
        <w:rPr>
          <w:lang w:val="en-US"/>
        </w:rPr>
        <w:t xml:space="preserve"> </w:t>
      </w:r>
      <w:r>
        <w:fldChar w:fldCharType="begin"/>
      </w:r>
      <w:r>
        <w:instrText xml:space="preserve"> ADDIN EN.CITE &lt;EndNote&gt;&lt;Cite  &gt;&lt;Author&gt;Eaton&lt;/Author&gt;&lt;Year&gt;2003&lt;/Year&gt;&lt;RecNum&gt;311&lt;/RecNum&gt;&lt;DisplayText&gt;(Eaton et al., 2003, Tesfaye et al., 1996a, Quattrini et al., 2007)&lt;/DisplayText&gt;&lt;record&gt;&lt;keywords&gt;&lt;keyword&gt;Diabetic Neuropathies -- Physiopathology&lt;/keyword&gt;&lt;keyword&gt;Neuralgia -- Physiopathology&lt;/keyword&gt;&lt;keyword&gt;Peroneal Nerve -- Physiopathology&lt;/keyword&gt;&lt;keyword&gt;Sural Nerve -- Blood Supply&lt;/keyword&gt;&lt;/keywords&gt;&lt;isbn&gt;0012-186X&lt;/isbn&gt;&lt;titles&gt;&lt;title&gt;Increased sural nerve epineurial blood flow in human subjects with painful diabetic neuropathy&lt;/title&gt;&lt;secondary-title&gt;Diabetologia&lt;/secondary-title&gt;&lt;/titles&gt;&lt;pages&gt;934&lt;/pages&gt;&lt;number&gt;7&lt;/number&gt;&lt;contributors&gt;&lt;authors&gt;&lt;author&gt;Eaton, S. E. M.&lt;/author&gt;&lt;author&gt;Harris, N. D.&lt;/author&gt;&lt;author&gt;Ibrahim, S.&lt;/author&gt;&lt;author&gt;Patel, K. A.&lt;/author&gt;&lt;author&gt;Selmi, F.&lt;/author&gt;&lt;author&gt;Radatz, M.&lt;/author&gt;&lt;author&gt;Ward, J. D.&lt;/author&gt;&lt;author&gt;Tesfaye, S.&lt;/author&gt;&lt;/authors&gt;&lt;/contributors&gt;&lt;added-date format="utc"&gt;1386481765&lt;/added-date&gt;&lt;ref-type name="Journal Article"&gt;17&lt;/ref-type&gt;&lt;dates&gt;&lt;year&gt;2003&lt;/year&gt;&lt;/dates&gt;&lt;rec-number&gt;311&lt;/rec-number&gt;&lt;last-updated-date format="utc"&gt;1387865341&lt;/last-updated-date&gt;&lt;volume&gt;46&lt;/volume&gt;&lt;/record&gt;&lt;/Cite&gt;&lt;Cite  &gt;&lt;Author&gt;Tesfaye&lt;/Author&gt;&lt;Year&gt;1996&lt;/Year&gt;&lt;RecNum&gt;437&lt;/RecNum&gt;&lt;record&gt;&lt;dates&gt;&lt;pub-dates&gt;&lt;date&gt;Mar&lt;/date&gt;&lt;/pub-dates&gt;&lt;year&gt;1996&lt;/year&gt;&lt;/dates&gt;&lt;keywords&gt;&lt;keyword&gt;Acute Disease&lt;/keyword&gt;&lt;keyword&gt;Adult&lt;/keyword&gt;&lt;keyword&gt;Arteries&lt;/keyword&gt;&lt;keyword&gt;Blood Glucose&lt;/keyword&gt;&lt;keyword&gt;Diabetes Mellitus, Type 1&lt;/keyword&gt;&lt;keyword&gt;Diabetes Mellitus, Type 2&lt;/keyword&gt;&lt;keyword&gt;Diabetic Neuropathies&lt;/keyword&gt;&lt;keyword&gt;Electrophysiology&lt;/keyword&gt;&lt;keyword&gt;Female&lt;/keyword&gt;&lt;keyword&gt;Fluorescein Angiography&lt;/keyword&gt;&lt;keyword&gt;Humans&lt;/keyword&gt;&lt;keyword&gt;Insulin&lt;/keyword&gt;&lt;keyword&gt;Male&lt;/keyword&gt;&lt;keyword&gt;Middle Aged&lt;/keyword&gt;&lt;keyword&gt;Optic Nerve&lt;/keyword&gt;&lt;keyword&gt;Pain&lt;/keyword&gt;&lt;keyword&gt;Sural Nerve&lt;/keyword&gt;&lt;keyword&gt;Veins&lt;/keyword&gt;&lt;/keywords&gt;&lt;urls&gt;&lt;related-urls&gt;&lt;url&gt;https://www.ncbi.nlm.nih.gov/pubmed/8721779&lt;/url&gt;&lt;/related-urls&gt;&lt;/urls&gt;&lt;isbn&gt;0012-186X&lt;/isbn&gt;&lt;titles&gt;&lt;title&gt;Arterio-venous shunting and proliferating new vessels in acute painful neuropathy of rapid glycaemic control (insulin neuritis)&lt;/title&gt;&lt;secondary-title&gt;Diabetologia&lt;/secondary-title&gt;&lt;/titles&gt;&lt;pages&gt;329-35&lt;/pages&gt;&lt;number&gt;3&lt;/number&gt;&lt;contributors&gt;&lt;authors&gt;&lt;author&gt;Tesfaye, S.&lt;/author&gt;&lt;author&gt;Malik, R.&lt;/author&gt;&lt;author&gt;Harris, N.&lt;/author&gt;&lt;author&gt;Jakubowski, J. J.&lt;/author&gt;&lt;author&gt;Mody, C.&lt;/author&gt;&lt;author&gt;Rennie, I. G.&lt;/author&gt;&lt;author&gt;Ward, J. D.&lt;/author&gt;&lt;/authors&gt;&lt;/contributors&gt;&lt;language&gt;eng&lt;/language&gt;&lt;added-date format="utc"&gt;1503364215&lt;/added-date&gt;&lt;ref-type name="Journal Article"&gt;17&lt;/ref-type&gt;&lt;rec-number&gt;437&lt;/rec-number&gt;&lt;last-updated-date format="utc"&gt;1503364215&lt;/last-updated-date&gt;&lt;accession-num&gt;8721779&lt;/accession-num&gt;&lt;volume&gt;39&lt;/volume&gt;&lt;/record&gt;&lt;/Cite&gt;&lt;Cite  &gt;&lt;Author&gt;Quattrini&lt;/Author&gt;&lt;Year&gt;2007&lt;/Year&gt;&lt;RecNum&gt;530&lt;/RecNum&gt;&lt;record&gt;&lt;keywords&gt;&lt;keyword&gt;Diabetic Neuropathies -- Physiopathology&lt;/keyword&gt;&lt;keyword&gt;Microcirculation -- Pathology&lt;/keyword&gt;&lt;keyword&gt;Neuritis -- Physiopathology&lt;/keyword&gt;&lt;keyword&gt;Skin -- Blood Supply&lt;/keyword&gt;&lt;keyword&gt;Skin -- Physiopathology&lt;/keyword&gt;&lt;/keywords&gt;&lt;titles&gt;&lt;title&gt;Impaired skin microvascular reactivity in painful diabetic neuropathy&lt;/title&gt;&lt;secondary-title&gt;Diabetes care&lt;/secondary-title&gt;&lt;/titles&gt;&lt;pages&gt;655&lt;/pages&gt;&lt;number&gt;3&lt;/number&gt;&lt;contributors&gt;&lt;authors&gt;&lt;author&gt;Quattrini, Cristian&lt;/author&gt;&lt;author&gt;Harris, Nigel D.&lt;/author&gt;&lt;author&gt;Malik, Rayaz A.&lt;/author&gt;&lt;author&gt;Tesfaye, Solomon&lt;/author&gt;&lt;/authors&gt;&lt;/contributors&gt;&lt;added-date format="utc"&gt;1508463235&lt;/added-date&gt;&lt;ref-type name="Journal Article"&gt;17&lt;/ref-type&gt;&lt;dates&gt;&lt;year&gt;2007&lt;/year&gt;&lt;/dates&gt;&lt;rec-number&gt;530&lt;/rec-number&gt;&lt;last-updated-date format="utc"&gt;1508463235&lt;/last-updated-date&gt;&lt;volume&gt;30&lt;/volume&gt;&lt;/record&gt;&lt;/Cite&gt;&lt;/EndNote&gt;</w:instrText>
      </w:r>
      <w:r>
        <w:fldChar w:fldCharType="separate"/>
      </w:r>
      <w:r>
        <w:t>(Eaton et al., 2003, Tesfaye et al., 1996a, Quattrini et al., 2007)</w:t>
      </w:r>
      <w:r>
        <w:fldChar w:fldCharType="end"/>
      </w:r>
      <w:r>
        <w:rPr>
          <w:lang w:val="en-US"/>
        </w:rPr>
        <w:t xml:space="preserve">. Patients with treatment induced neuropathy of diabetes, who often suffer severe neuropathic pain, have markedly abnormal </w:t>
      </w:r>
      <w:proofErr w:type="spellStart"/>
      <w:r>
        <w:rPr>
          <w:lang w:val="en-US"/>
        </w:rPr>
        <w:t>epineurial</w:t>
      </w:r>
      <w:proofErr w:type="spellEnd"/>
      <w:r>
        <w:rPr>
          <w:lang w:val="en-US"/>
        </w:rPr>
        <w:t xml:space="preserve"> vasculature, with an abundance of new blood vessels resembling proliferative retinopathy changes of the retina </w:t>
      </w:r>
      <w:r>
        <w:fldChar w:fldCharType="begin"/>
      </w:r>
      <w:r>
        <w:instrText xml:space="preserve"> ADDIN EN.CITE &lt;EndNote&gt;&lt;Cite  &gt;&lt;Author&gt;Tesfaye&lt;/Author&gt;&lt;Year&gt;1996&lt;/Year&gt;&lt;RecNum&gt;437&lt;/RecNum&gt;&lt;DisplayText&gt;(Tesfaye et al., 1996a)&lt;/DisplayText&gt;&lt;record&gt;&lt;dates&gt;&lt;pub-dates&gt;&lt;date&gt;Mar&lt;/date&gt;&lt;/pub-dates&gt;&lt;year&gt;1996&lt;/year&gt;&lt;/dates&gt;&lt;keywords&gt;&lt;keyword&gt;Acute Disease&lt;/keyword&gt;&lt;keyword&gt;Adult&lt;/keyword&gt;&lt;keyword&gt;Arteries&lt;/keyword&gt;&lt;keyword&gt;Blood Glucose&lt;/keyword&gt;&lt;keyword&gt;Diabetes Mellitus, Type 1&lt;/keyword&gt;&lt;keyword&gt;Diabetes Mellitus, Type 2&lt;/keyword&gt;&lt;keyword&gt;Diabetic Neuropathies&lt;/keyword&gt;&lt;keyword&gt;Electrophysiology&lt;/keyword&gt;&lt;keyword&gt;Female&lt;/keyword&gt;&lt;keyword&gt;Fluorescein Angiography&lt;/keyword&gt;&lt;keyword&gt;Humans&lt;/keyword&gt;&lt;keyword&gt;Insulin&lt;/keyword&gt;&lt;keyword&gt;Male&lt;/keyword&gt;&lt;keyword&gt;Middle Aged&lt;/keyword&gt;&lt;keyword&gt;Optic Nerve&lt;/keyword&gt;&lt;keyword&gt;Pain&lt;/keyword&gt;&lt;keyword&gt;Sural Nerve&lt;/keyword&gt;&lt;keyword&gt;Veins&lt;/keyword&gt;&lt;/keywords&gt;&lt;urls&gt;&lt;related-urls&gt;&lt;url&gt;https://www.ncbi.nlm.nih.gov/pubmed/8721779&lt;/url&gt;&lt;/related-urls&gt;&lt;/urls&gt;&lt;isbn&gt;0012-186X&lt;/isbn&gt;&lt;titles&gt;&lt;title&gt;Arterio-venous shunting and proliferating new vessels in acute painful neuropathy of rapid glycaemic control (insulin neuritis)&lt;/title&gt;&lt;secondary-title&gt;Diabetologia&lt;/secondary-title&gt;&lt;/titles&gt;&lt;pages&gt;329-35&lt;/pages&gt;&lt;number&gt;3&lt;/number&gt;&lt;contributors&gt;&lt;authors&gt;&lt;author&gt;Tesfaye, S.&lt;/author&gt;&lt;author&gt;Malik, R.&lt;/author&gt;&lt;author&gt;Harris, N.&lt;/author&gt;&lt;author&gt;Jakubowski, J. J.&lt;/author&gt;&lt;author&gt;Mody, C.&lt;/author&gt;&lt;author&gt;Rennie, I. G.&lt;/author&gt;&lt;author&gt;Ward, J. D.&lt;/author&gt;&lt;/authors&gt;&lt;/contributors&gt;&lt;language&gt;eng&lt;/language&gt;&lt;added-date format="utc"&gt;1503364215&lt;/added-date&gt;&lt;ref-type name="Journal Article"&gt;17&lt;/ref-type&gt;&lt;rec-number&gt;437&lt;/rec-number&gt;&lt;last-updated-date format="utc"&gt;1503364215&lt;/last-updated-date&gt;&lt;accession-num&gt;8721779&lt;/accession-num&gt;&lt;volume&gt;39&lt;/volume&gt;&lt;/record&gt;&lt;/Cite&gt;&lt;/EndNote&gt;</w:instrText>
      </w:r>
      <w:r>
        <w:fldChar w:fldCharType="separate"/>
      </w:r>
      <w:r>
        <w:t>(Tesfaye et al., 1996a)</w:t>
      </w:r>
      <w:r>
        <w:fldChar w:fldCharType="end"/>
      </w:r>
      <w:r>
        <w:t xml:space="preserve">. </w:t>
      </w:r>
      <w:r>
        <w:rPr>
          <w:lang w:val="en-US"/>
        </w:rPr>
        <w:t xml:space="preserve">Furthermore, increased sural nerve </w:t>
      </w:r>
      <w:proofErr w:type="spellStart"/>
      <w:r>
        <w:rPr>
          <w:lang w:val="en-US"/>
        </w:rPr>
        <w:t>epineurial</w:t>
      </w:r>
      <w:proofErr w:type="spellEnd"/>
      <w:r>
        <w:rPr>
          <w:lang w:val="en-US"/>
        </w:rPr>
        <w:t xml:space="preserve"> blood flow were found in subjects with painful-</w:t>
      </w:r>
      <w:proofErr w:type="spellStart"/>
      <w:r>
        <w:rPr>
          <w:lang w:val="en-US"/>
        </w:rPr>
        <w:t>DPN</w:t>
      </w:r>
      <w:proofErr w:type="spellEnd"/>
      <w:r>
        <w:rPr>
          <w:lang w:val="en-US"/>
        </w:rPr>
        <w:t xml:space="preserve"> </w:t>
      </w:r>
      <w:r>
        <w:fldChar w:fldCharType="begin"/>
      </w:r>
      <w:r>
        <w:instrText xml:space="preserve"> ADDIN EN.CITE &lt;EndNote&gt;&lt;Cite  &gt;&lt;Author&gt;Eaton&lt;/Author&gt;&lt;Year&gt;2003&lt;/Year&gt;&lt;RecNum&gt;75&lt;/RecNum&gt;&lt;DisplayText&gt;(Eaton et al., 2003)&lt;/DisplayText&gt;&lt;record&gt;&lt;keywords&gt;&lt;keyword&gt;Diabetic Neuropathies -- Physiopathology&lt;/keyword&gt;&lt;keyword&gt;Neuralgia -- Physiopathology&lt;/keyword&gt;&lt;keyword&gt;Peroneal Nerve -- Physiopathology&lt;/keyword&gt;&lt;keyword&gt;Sural Nerve -- Blood Supply&lt;/keyword&gt;&lt;/keywords&gt;&lt;isbn&gt;0012-186X&lt;/isbn&gt;&lt;titles&gt;&lt;title&gt;Increased sural nerve epineurial blood flow in human subjects with painful diabetic neuropathy&lt;/title&gt;&lt;secondary-title&gt;Diabetologia&lt;/secondary-title&gt;&lt;/titles&gt;&lt;pages&gt;934&lt;/pages&gt;&lt;number&gt;7&lt;/number&gt;&lt;contributors&gt;&lt;authors&gt;&lt;author&gt;Eaton, S. E. M.&lt;/author&gt;&lt;author&gt;Harris, N. D.&lt;/author&gt;&lt;author&gt;Ibrahim, S.&lt;/author&gt;&lt;author&gt;Patel, K. A.&lt;/author&gt;&lt;author&gt;Selmi, F.&lt;/author&gt;&lt;author&gt;Radatz, M.&lt;/author&gt;&lt;author&gt;Ward, J. D.&lt;/author&gt;&lt;author&gt;Tesfaye, S.&lt;/author&gt;&lt;/authors&gt;&lt;/contributors&gt;&lt;added-date format="utc"&gt;1383239291&lt;/added-date&gt;&lt;ref-type name="Journal Article"&gt;17&lt;/ref-type&gt;&lt;dates&gt;&lt;year&gt;2003&lt;/year&gt;&lt;/dates&gt;&lt;rec-number&gt;75&lt;/rec-number&gt;&lt;last-updated-date format="utc"&gt;1383240559&lt;/last-updated-date&gt;&lt;volume&gt;46&lt;/volume&gt;&lt;/record&gt;&lt;/Cite&gt;&lt;/EndNote&gt;</w:instrText>
      </w:r>
      <w:r>
        <w:fldChar w:fldCharType="separate"/>
      </w:r>
      <w:r>
        <w:t>(Eaton et al., 2003)</w:t>
      </w:r>
      <w:r>
        <w:fldChar w:fldCharType="end"/>
      </w:r>
      <w:r>
        <w:t xml:space="preserve">. </w:t>
      </w:r>
      <w:r>
        <w:rPr>
          <w:shd w:val="clear" w:color="auto" w:fill="FFFFFF"/>
          <w:lang w:val="en-US"/>
        </w:rPr>
        <w:t xml:space="preserve">Impairment of foot skin endothelium-related vasodilation and C-fiber-mediated vasoconstriction was found in subjects with painful </w:t>
      </w:r>
      <w:proofErr w:type="spellStart"/>
      <w:r>
        <w:rPr>
          <w:shd w:val="clear" w:color="auto" w:fill="FFFFFF"/>
          <w:lang w:val="en-US"/>
        </w:rPr>
        <w:t>DPN</w:t>
      </w:r>
      <w:proofErr w:type="spellEnd"/>
      <w:r>
        <w:rPr>
          <w:shd w:val="clear" w:color="auto" w:fill="FFFFFF"/>
          <w:lang w:val="en-US"/>
        </w:rPr>
        <w:t xml:space="preserve">, suggesting that inappropriate local blood flow regulation may have a role in the pathogenesis of painful </w:t>
      </w:r>
      <w:proofErr w:type="spellStart"/>
      <w:r>
        <w:rPr>
          <w:shd w:val="clear" w:color="auto" w:fill="FFFFFF"/>
          <w:lang w:val="en-US"/>
        </w:rPr>
        <w:t>DPN</w:t>
      </w:r>
      <w:proofErr w:type="spellEnd"/>
      <w:r>
        <w:rPr>
          <w:shd w:val="clear" w:color="auto" w:fill="FFFFFF"/>
          <w:lang w:val="en-US"/>
        </w:rPr>
        <w:t xml:space="preserve"> </w:t>
      </w:r>
      <w:r>
        <w:rPr>
          <w:shd w:val="clear" w:color="auto" w:fill="FFFFFF"/>
          <w:lang w:val="it-IT"/>
        </w:rPr>
        <w:fldChar w:fldCharType="begin"/>
      </w:r>
      <w:r w:rsidRPr="005B5764">
        <w:rPr>
          <w:shd w:val="clear" w:color="auto" w:fill="FFFFFF"/>
        </w:rPr>
        <w:instrText xml:space="preserve"> ADDIN EN.CITE &lt;EndNote&gt;&lt;Cite  &gt;&lt;Author&gt;Quattrini&lt;/Author&gt;&lt;Year&gt;2007&lt;/Year&gt;&lt;RecNum&gt;312&lt;/RecNum&gt;&lt;DisplayText&gt;(Quattrini et al., 2007)&lt;/DisplayText&gt;&lt;record&gt;&lt;keywords&gt;&lt;keyword&gt;Diabetic Neuropathies -- Physiopathology&lt;/keyword&gt;&lt;keyword&gt;Microcirculation -- Pathology&lt;/keyword&gt;&lt;keyword&gt;Neuritis -- Physiopathology&lt;/keyword&gt;&lt;keyword&gt;Skin -- Blood Supply&lt;/keyword&gt;&lt;keyword&gt;Skin -- Physiopathology&lt;/keyword&gt;&lt;/keywords&gt;&lt;titles&gt;&lt;title&gt;Impaired skin microvascular reactivity in painful diabetic neuropathy&lt;/title&gt;&lt;secondary-title&gt;Diabetes care&lt;/secondary-title&gt;&lt;/titles&gt;&lt;pages&gt;655&lt;/pages&gt;&lt;number&gt;3&lt;/number&gt;&lt;contributors&gt;&lt;authors&gt;&lt;author&gt;Quattrini, Cristian&lt;/author&gt;&lt;author&gt;Harris, Nigel D.&lt;/author&gt;&lt;author&gt;Malik, Rayaz A.&lt;/author&gt;&lt;author&gt;Tesfaye, Solomon&lt;/author&gt;&lt;/authors&gt;&lt;/contributors&gt;&lt;added-date format="utc"&gt;1386463801&lt;/added-date&gt;&lt;ref-type name="Journal Article"&gt;17&lt;/ref-type&gt;&lt;dates&gt;&lt;year&gt;2007&lt;/year&gt;&lt;/dates&gt;&lt;rec-number&gt;312&lt;/rec-number&gt;&lt;last-updated-date format="utc"&gt;1387847341&lt;/last-updated-date&gt;&lt;volume&gt;30&lt;/volume&gt;&lt;/record&gt;&lt;/Cite&gt;&lt;/EndNote&gt;</w:instrText>
      </w:r>
      <w:r>
        <w:rPr>
          <w:shd w:val="clear" w:color="auto" w:fill="FFFFFF"/>
          <w:lang w:val="it-IT"/>
        </w:rPr>
        <w:fldChar w:fldCharType="separate"/>
      </w:r>
      <w:r w:rsidRPr="005B5764">
        <w:rPr>
          <w:shd w:val="clear" w:color="auto" w:fill="FFFFFF"/>
        </w:rPr>
        <w:t>(Quattrini et al., 2007)</w:t>
      </w:r>
      <w:r>
        <w:rPr>
          <w:shd w:val="clear" w:color="auto" w:fill="FFFFFF"/>
          <w:lang w:val="it-IT"/>
        </w:rPr>
        <w:fldChar w:fldCharType="end"/>
      </w:r>
      <w:r>
        <w:rPr>
          <w:shd w:val="clear" w:color="auto" w:fill="FFFFFF"/>
          <w:lang w:val="en-US"/>
        </w:rPr>
        <w:t xml:space="preserve">. Additionally, two small studies have demonstrated efficacy of topical vasodilator therapy in painful </w:t>
      </w:r>
      <w:proofErr w:type="spellStart"/>
      <w:r>
        <w:rPr>
          <w:shd w:val="clear" w:color="auto" w:fill="FFFFFF"/>
          <w:lang w:val="en-US"/>
        </w:rPr>
        <w:t>DPN</w:t>
      </w:r>
      <w:proofErr w:type="spellEnd"/>
      <w:r>
        <w:rPr>
          <w:shd w:val="clear" w:color="auto" w:fill="FFFFFF"/>
          <w:lang w:val="en-US"/>
        </w:rPr>
        <w:t xml:space="preserve">, suggesting that </w:t>
      </w:r>
      <w:proofErr w:type="spellStart"/>
      <w:r>
        <w:rPr>
          <w:shd w:val="clear" w:color="auto" w:fill="FFFFFF"/>
          <w:lang w:val="en-US"/>
        </w:rPr>
        <w:t>haemodynamic</w:t>
      </w:r>
      <w:proofErr w:type="spellEnd"/>
      <w:r>
        <w:rPr>
          <w:shd w:val="clear" w:color="auto" w:fill="FFFFFF"/>
          <w:lang w:val="en-US"/>
        </w:rPr>
        <w:t xml:space="preserve"> abnormalities may be a viable treatment target </w:t>
      </w:r>
      <w:r>
        <w:rPr>
          <w:shd w:val="clear" w:color="auto" w:fill="FFFFFF"/>
        </w:rPr>
        <w:fldChar w:fldCharType="begin"/>
      </w:r>
      <w:r>
        <w:rPr>
          <w:shd w:val="clear" w:color="auto" w:fill="FFFFFF"/>
        </w:rPr>
        <w:instrText xml:space="preserve"> ADDIN EN.CITE &lt;EndNote&gt;&lt;Cite  &gt;&lt;Author&gt;Yuen&lt;/Author&gt;&lt;Year&gt;2002&lt;/Year&gt;&lt;RecNum&gt;578&lt;/RecNum&gt;&lt;DisplayText&gt;(Yuen et al., 2002, Rayman et al., 2003)&lt;/DisplayText&gt;&lt;record&gt;&lt;dates&gt;&lt;pub-dates&gt;&lt;date&gt;Oct&lt;/date&gt;&lt;/pub-dates&gt;&lt;year&gt;2002&lt;/year&gt;&lt;/dates&gt;&lt;keywords&gt;&lt;keyword&gt;Aerosols&lt;/keyword&gt;&lt;keyword&gt;Blood Glucose&lt;/keyword&gt;&lt;keyword&gt;Cross-Over Studies&lt;/keyword&gt;&lt;keyword&gt;Diabetic Neuropathies&lt;/keyword&gt;&lt;keyword&gt;Double-Blind Method&lt;/keyword&gt;&lt;keyword&gt;Female&lt;/keyword&gt;&lt;keyword&gt;Glycated Hemoglobin A&lt;/keyword&gt;&lt;keyword&gt;Humans&lt;/keyword&gt;&lt;keyword&gt;Isosorbide Dinitrate&lt;/keyword&gt;&lt;keyword&gt;Male&lt;/keyword&gt;&lt;keyword&gt;Middle Aged&lt;/keyword&gt;&lt;keyword&gt;Pain&lt;/keyword&gt;&lt;keyword&gt;Pain Measurement&lt;/keyword&gt;&lt;keyword&gt;Placebos&lt;/keyword&gt;&lt;keyword&gt;Vasodilator Agents&lt;/keyword&gt;&lt;/keywords&gt;&lt;urls&gt;&lt;related-urls&gt;&lt;url&gt;https://www.ncbi.nlm.nih.gov/pubmed/12351464&lt;/url&gt;&lt;/related-urls&gt;&lt;/urls&gt;&lt;isbn&gt;0149-5992&lt;/isbn&gt;&lt;titles&gt;&lt;title&gt;Treatment of chronic painful diabetic neuropathy with isosorbide dinitrate spray: a double-blind placebo-controlled cross-over study&lt;/title&gt;&lt;secondary-title&gt;Diabetes Care&lt;/secondary-title&gt;&lt;/titles&gt;&lt;pages&gt;1699-703&lt;/pages&gt;&lt;number&gt;10&lt;/number&gt;&lt;contributors&gt;&lt;authors&gt;&lt;author&gt;Yuen, K. C.&lt;/author&gt;&lt;author&gt;Baker, N. R.&lt;/author&gt;&lt;author&gt;Rayman, G.&lt;/author&gt;&lt;/authors&gt;&lt;/contributors&gt;&lt;language&gt;eng&lt;/language&gt;&lt;added-date format="utc"&gt;1554077109&lt;/added-date&gt;&lt;ref-type name="Journal Article"&gt;17&lt;/ref-type&gt;&lt;rec-number&gt;578&lt;/rec-number&gt;&lt;last-updated-date format="utc"&gt;1554077109&lt;/last-updated-date&gt;&lt;accession-num&gt;12351464&lt;/accession-num&gt;&lt;volume&gt;25&lt;/volume&gt;&lt;/record&gt;&lt;/Cite&gt;&lt;Cite  &gt;&lt;Author&gt;Rayman&lt;/Author&gt;&lt;Year&gt;2003&lt;/Year&gt;&lt;RecNum&gt;579&lt;/RecNum&gt;&lt;record&gt;&lt;dates&gt;&lt;pub-dates&gt;&lt;date&gt;Sep&lt;/date&gt;&lt;/pub-dates&gt;&lt;year&gt;2003&lt;/year&gt;&lt;/dates&gt;&lt;keywords&gt;&lt;keyword&gt;Administration, Cutaneous&lt;/keyword&gt;&lt;keyword&gt;Diabetes Mellitus, Type 1&lt;/keyword&gt;&lt;keyword&gt;Diabetes Mellitus, Type 2&lt;/keyword&gt;&lt;keyword&gt;Diabetic Neuropathies&lt;/keyword&gt;&lt;keyword&gt;Female&lt;/keyword&gt;&lt;keyword&gt;Humans&lt;/keyword&gt;&lt;keyword&gt;Isosorbide Dinitrate&lt;/keyword&gt;&lt;keyword&gt;Male&lt;/keyword&gt;&lt;keyword&gt;Middle Aged&lt;/keyword&gt;&lt;keyword&gt;Nitroglycerin&lt;/keyword&gt;&lt;keyword&gt;Pain&lt;/keyword&gt;&lt;keyword&gt;Vasodilator Agents&lt;/keyword&gt;&lt;/keywords&gt;&lt;urls&gt;&lt;related-urls&gt;&lt;url&gt;https://www.ncbi.nlm.nih.gov/pubmed/12941745&lt;/url&gt;&lt;/related-urls&gt;&lt;/urls&gt;&lt;isbn&gt;0149-5992&lt;/isbn&gt;&lt;titles&gt;&lt;title&gt;Glyceryl trinitrate patches as an alternative to isosorbide dinitrate spray in the treatment of chronic painful diabetic neuropathy&lt;/title&gt;&lt;secondary-title&gt;Diabetes Care&lt;/secondary-title&gt;&lt;/titles&gt;&lt;pages&gt;2697-8&lt;/pages&gt;&lt;number&gt;9&lt;/number&gt;&lt;contributors&gt;&lt;authors&gt;&lt;author&gt;Rayman, G.&lt;/author&gt;&lt;author&gt;Baker, N. R.&lt;/author&gt;&lt;author&gt;Krishnan, S. T.&lt;/author&gt;&lt;/authors&gt;&lt;/contributors&gt;&lt;language&gt;eng&lt;/language&gt;&lt;added-date format="utc"&gt;1554077173&lt;/added-date&gt;&lt;ref-type name="Journal Article"&gt;17&lt;/ref-type&gt;&lt;rec-number&gt;579&lt;/rec-number&gt;&lt;last-updated-date format="utc"&gt;1554077173&lt;/last-updated-date&gt;&lt;accession-num&gt;12941745&lt;/accession-num&gt;&lt;volume&gt;26&lt;/volume&gt;&lt;/record&gt;&lt;/Cite&gt;&lt;/EndNote&gt;</w:instrText>
      </w:r>
      <w:r>
        <w:rPr>
          <w:shd w:val="clear" w:color="auto" w:fill="FFFFFF"/>
        </w:rPr>
        <w:fldChar w:fldCharType="separate"/>
      </w:r>
      <w:r>
        <w:rPr>
          <w:shd w:val="clear" w:color="auto" w:fill="FFFFFF"/>
        </w:rPr>
        <w:t>(Yuen et al., 2002, Rayman et al., 2003)</w:t>
      </w:r>
      <w:r>
        <w:rPr>
          <w:shd w:val="clear" w:color="auto" w:fill="FFFFFF"/>
        </w:rPr>
        <w:fldChar w:fldCharType="end"/>
      </w:r>
      <w:r>
        <w:rPr>
          <w:shd w:val="clear" w:color="auto" w:fill="FFFFFF"/>
          <w:lang w:val="en-US"/>
        </w:rPr>
        <w:t>. A further study found p</w:t>
      </w:r>
      <w:r>
        <w:rPr>
          <w:lang w:val="en-US"/>
        </w:rPr>
        <w:t xml:space="preserve">rogressive endothelial dysfunction, reduction in VEGF expression, and loss of intra-epidermal nerve fibers occurs in the foot skin of diabetic patients with increasing neuropathic severity </w:t>
      </w:r>
      <w:r>
        <w:rPr>
          <w:lang w:val="it-IT"/>
        </w:rPr>
        <w:fldChar w:fldCharType="begin"/>
      </w:r>
      <w:r w:rsidRPr="005B5764">
        <w:instrText xml:space="preserve"> ADDIN EN.CITE &lt;EndNote&gt;&lt;Cite  &gt;&lt;Author&gt;Quattrini&lt;/Author&gt;&lt;Year&gt;2008&lt;/Year&gt;&lt;RecNum&gt;464&lt;/RecNum&gt;&lt;DisplayText&gt;(Quattrini et al., 2008)&lt;/DisplayText&gt;&lt;record&gt;&lt;dates&gt;&lt;pub-dates&gt;&lt;date&gt;Jan&lt;/date&gt;&lt;/pub-dates&gt;&lt;year&gt;2008&lt;/year&gt;&lt;/dates&gt;&lt;keywords&gt;&lt;keyword&gt;Biopsy&lt;/keyword&gt;&lt;keyword&gt;Diabetic Neuropathies&lt;/keyword&gt;&lt;keyword&gt;Foot&lt;/keyword&gt;&lt;keyword&gt;Humans&lt;/keyword&gt;&lt;keyword&gt;Laser-Doppler Flowmetry&lt;/keyword&gt;&lt;keyword&gt;Middle Aged&lt;/keyword&gt;&lt;keyword&gt;Nerve Fibers&lt;/keyword&gt;&lt;keyword&gt;Receptors, Vascular Endothelial Growth Factor&lt;/keyword&gt;&lt;keyword&gt;Regional Blood Flow&lt;/keyword&gt;&lt;keyword&gt;Skin&lt;/keyword&gt;&lt;keyword&gt;Vascular Endothelial Growth Factor A&lt;/keyword&gt;&lt;/keywords&gt;&lt;urls&gt;&lt;related-urls&gt;&lt;url&gt;https://www.ncbi.nlm.nih.gov/pubmed/17934147&lt;/url&gt;&lt;/related-urls&gt;&lt;/urls&gt;&lt;isbn&gt;1935-5548&lt;/isbn&gt;&lt;titles&gt;&lt;title&gt;Reduced vascular endothelial growth factor expression and intra-epidermal nerve fiber loss in human diabetic neuropathy&lt;/title&gt;&lt;secondary-title&gt;Diabetes Care&lt;/secondary-title&gt;&lt;/titles&gt;&lt;pages&gt;140-5&lt;/pages&gt;&lt;number&gt;1&lt;/number&gt;&lt;contributors&gt;&lt;authors&gt;&lt;author&gt;Quattrini, C.&lt;/author&gt;&lt;author&gt;Jeziorska, M.&lt;/author&gt;&lt;author&gt;Boulton, A. J.&lt;/author&gt;&lt;author&gt;Malik, R. A.&lt;/author&gt;&lt;/authors&gt;&lt;/contributors&gt;&lt;edition&gt;2007/10/12&lt;/edition&gt;&lt;language&gt;eng&lt;/language&gt;&lt;added-date format="utc"&gt;1508423846&lt;/added-date&gt;&lt;ref-type name="Journal Article"&gt;17&lt;/ref-type&gt;&lt;rec-number&gt;464&lt;/rec-number&gt;&lt;last-updated-date format="utc"&gt;1508423846&lt;/last-updated-date&gt;&lt;accession-num&gt;17934147&lt;/accession-num&gt;&lt;electronic-resource-num&gt;10.2337/dc07-1556&lt;/electronic-resource-num&gt;&lt;volume&gt;31&lt;/volume&gt;&lt;/record&gt;&lt;/Cite&gt;&lt;/EndNote&gt;</w:instrText>
      </w:r>
      <w:r>
        <w:rPr>
          <w:lang w:val="it-IT"/>
        </w:rPr>
        <w:fldChar w:fldCharType="separate"/>
      </w:r>
      <w:r w:rsidRPr="005B5764">
        <w:t>(Quattrini et al., 2008)</w:t>
      </w:r>
      <w:r>
        <w:rPr>
          <w:lang w:val="it-IT"/>
        </w:rPr>
        <w:fldChar w:fldCharType="end"/>
      </w:r>
      <w:r>
        <w:t xml:space="preserve">. </w:t>
      </w:r>
    </w:p>
    <w:p w14:paraId="495581FF" w14:textId="77777777" w:rsidR="005D14B4" w:rsidRDefault="00AC0FDB" w:rsidP="00AC0FDB">
      <w:pPr>
        <w:pStyle w:val="BodyA"/>
        <w:spacing w:line="480" w:lineRule="auto"/>
        <w:jc w:val="both"/>
        <w:rPr>
          <w:lang w:val="en-US"/>
        </w:rPr>
      </w:pPr>
      <w:r>
        <w:rPr>
          <w:lang w:val="en-US"/>
        </w:rPr>
        <w:t xml:space="preserve">The underlying pathophysiological mechanisms resulting in elevated sub-epidermal micro-vessels in painful </w:t>
      </w:r>
      <w:proofErr w:type="spellStart"/>
      <w:r>
        <w:rPr>
          <w:lang w:val="en-US"/>
        </w:rPr>
        <w:t>DPN</w:t>
      </w:r>
      <w:proofErr w:type="spellEnd"/>
      <w:r>
        <w:rPr>
          <w:lang w:val="en-US"/>
        </w:rPr>
        <w:t xml:space="preserve"> are uncertain. Angiogenesis in the skin may occur in response to metabolic and vascular stressors, inducing increased dermal tissue hypoxia and new blood vessels, as we have reported in non-freezing cold injury (Trench Foot) </w:t>
      </w:r>
      <w:r>
        <w:fldChar w:fldCharType="begin"/>
      </w:r>
      <w:r>
        <w:instrText xml:space="preserve"> ADDIN EN.CITE &lt;EndNote&gt;&lt;Cite  &gt;&lt;Author&gt;Anand&lt;/Author&gt;&lt;Year&gt;2017&lt;/Year&gt;&lt;RecNum&gt;541&lt;/RecNum&gt;&lt;DisplayText&gt;(Anand et al., 2017)&lt;/DisplayText&gt;&lt;record&gt;&lt;keywords&gt;&lt;keyword&gt;nerve conduction study&lt;/keyword&gt;&lt;keyword&gt;neuropathy&lt;/keyword&gt;&lt;keyword&gt;non-freezing cold injury&lt;/keyword&gt;&lt;keyword&gt;pain&lt;/keyword&gt;&lt;keyword&gt;skin biopsy&lt;/keyword&gt;&lt;keyword&gt;trench foot&lt;/keyword&gt;&lt;/keywords&gt;&lt;urls&gt;&lt;related-urls&gt;&lt;url&gt;https://www.ncbi.nlm.nih.gov/pubmed/28993756&lt;/url&gt;&lt;/related-urls&gt;&lt;/urls&gt;&lt;isbn&gt;1664-2295&lt;/isbn&gt;&lt;custom2&gt;PMC5626869&lt;/custom2&gt;&lt;titles&gt;&lt;title&gt;Trench Foot or Non-Freezing Cold Injury As a Painful Vaso-Neuropathy: Clinical and Skin Biopsy Assessments&lt;/title&gt;&lt;secondary-title&gt;Front Neurol&lt;/secondary-title&gt;&lt;/titles&gt;&lt;pages&gt;514&lt;/pages&gt;&lt;contributors&gt;&lt;authors&gt;&lt;author&gt;Anand, P.&lt;/author&gt;&lt;author&gt;Privitera, R.&lt;/author&gt;&lt;author&gt;Yiangou, Y.&lt;/author&gt;&lt;author&gt;Donatien, P.&lt;/author&gt;&lt;author&gt;Birch, R.&lt;/author&gt;&lt;author&gt;Misra, P.&lt;/author&gt;&lt;/authors&gt;&lt;/contributors&gt;&lt;edition&gt;2017/09/29&lt;/edition&gt;&lt;language&gt;eng&lt;/language&gt;&lt;added-date format="utc"&gt;1512959309&lt;/added-date&gt;&lt;ref-type name="Journal Article"&gt;17&lt;/ref-type&gt;&lt;dates&gt;&lt;year&gt;2017&lt;/year&gt;&lt;/dates&gt;&lt;rec-number&gt;541&lt;/rec-number&gt;&lt;last-updated-date format="utc"&gt;1512959309&lt;/last-updated-date&gt;&lt;accession-num&gt;28993756&lt;/accession-num&gt;&lt;electronic-resource-num&gt;10.3389/fneur.2017.00514&lt;/electronic-resource-num&gt;&lt;volume&gt;8&lt;/volume&gt;&lt;/record&gt;&lt;/Cite&gt;&lt;/EndNote&gt;</w:instrText>
      </w:r>
      <w:r>
        <w:fldChar w:fldCharType="separate"/>
      </w:r>
      <w:r>
        <w:t>(Anand et al., 2017)</w:t>
      </w:r>
      <w:r>
        <w:fldChar w:fldCharType="end"/>
      </w:r>
      <w:r>
        <w:rPr>
          <w:lang w:val="en-US"/>
        </w:rPr>
        <w:t xml:space="preserve">. Future work is required to determine the underlying mechanisms resulting in the proliferation of new blood vessels in painful </w:t>
      </w:r>
      <w:proofErr w:type="spellStart"/>
      <w:r>
        <w:rPr>
          <w:lang w:val="en-US"/>
        </w:rPr>
        <w:t>DPN</w:t>
      </w:r>
      <w:proofErr w:type="spellEnd"/>
      <w:r>
        <w:rPr>
          <w:lang w:val="en-US"/>
        </w:rPr>
        <w:t xml:space="preserve">, using angiogenic markers of new vessels including vascular endothelial growth factor (VEGF). The potential </w:t>
      </w:r>
      <w:proofErr w:type="spellStart"/>
      <w:r>
        <w:rPr>
          <w:lang w:val="en-US"/>
        </w:rPr>
        <w:t>algogens</w:t>
      </w:r>
      <w:proofErr w:type="spellEnd"/>
      <w:r>
        <w:rPr>
          <w:lang w:val="en-US"/>
        </w:rPr>
        <w:t xml:space="preserve"> secreted by blood vessels need to be quantified, in relation to the nociceptor </w:t>
      </w:r>
      <w:proofErr w:type="spellStart"/>
      <w:r>
        <w:rPr>
          <w:lang w:val="en-US"/>
        </w:rPr>
        <w:t>IENFD</w:t>
      </w:r>
      <w:proofErr w:type="spellEnd"/>
      <w:r>
        <w:rPr>
          <w:lang w:val="en-US"/>
        </w:rPr>
        <w:t xml:space="preserve"> and </w:t>
      </w:r>
      <w:proofErr w:type="spellStart"/>
      <w:r>
        <w:rPr>
          <w:lang w:val="en-US"/>
        </w:rPr>
        <w:t>SENFD</w:t>
      </w:r>
      <w:proofErr w:type="spellEnd"/>
      <w:r>
        <w:rPr>
          <w:lang w:val="en-US"/>
        </w:rPr>
        <w:t>.  Additionally, studies of these mechanisms are indicated</w:t>
      </w:r>
    </w:p>
    <w:p w14:paraId="4DD08986" w14:textId="77C485FF" w:rsidR="00AC0FDB" w:rsidRDefault="00AC0FDB" w:rsidP="00AC0FDB">
      <w:pPr>
        <w:pStyle w:val="BodyA"/>
        <w:spacing w:line="480" w:lineRule="auto"/>
        <w:jc w:val="both"/>
      </w:pPr>
      <w:r>
        <w:rPr>
          <w:lang w:val="en-US"/>
        </w:rPr>
        <w:lastRenderedPageBreak/>
        <w:t xml:space="preserve">for different durations and severity of </w:t>
      </w:r>
      <w:proofErr w:type="spellStart"/>
      <w:r>
        <w:rPr>
          <w:lang w:val="en-US"/>
        </w:rPr>
        <w:t>DPN</w:t>
      </w:r>
      <w:proofErr w:type="spellEnd"/>
      <w:r>
        <w:rPr>
          <w:lang w:val="en-US"/>
        </w:rPr>
        <w:t xml:space="preserve">, and the effect of current treatments </w:t>
      </w:r>
      <w:r>
        <w:rPr>
          <w:lang w:val="en-US"/>
        </w:rPr>
        <w:fldChar w:fldCharType="begin"/>
      </w:r>
      <w:r>
        <w:rPr>
          <w:lang w:val="en-US"/>
        </w:rPr>
        <w:instrText xml:space="preserve"> ADDIN EN.CITE &lt;EndNote&gt;&lt;Cite  &gt;&lt;Author&gt;Anand&lt;/Author&gt;&lt;Year&gt;2011&lt;/Year&gt;&lt;RecNum&gt;582&lt;/RecNum&gt;&lt;DisplayText&gt;(Anand and Bley, 2011)&lt;/DisplayText&gt;&lt;record&gt;&lt;dates&gt;&lt;pub-dates&gt;&lt;date&gt;Oct&lt;/date&gt;&lt;/pub-dates&gt;&lt;year&gt;2011&lt;/year&gt;&lt;/dates&gt;&lt;keywords&gt;&lt;keyword&gt;Administration, Topical&lt;/keyword&gt;&lt;keyword&gt;Analgesics&lt;/keyword&gt;&lt;keyword&gt;Animals&lt;/keyword&gt;&lt;keyword&gt;Capsaicin&lt;/keyword&gt;&lt;keyword&gt;Humans&lt;/keyword&gt;&lt;keyword&gt;Hyperalgesia&lt;/keyword&gt;&lt;keyword&gt;Nociceptors&lt;/keyword&gt;&lt;keyword&gt;Pain&lt;/keyword&gt;&lt;/keywords&gt;&lt;urls&gt;&lt;related-urls&gt;&lt;url&gt;https://www.ncbi.nlm.nih.gov/pubmed/21852280&lt;/url&gt;&lt;/related-urls&gt;&lt;/urls&gt;&lt;isbn&gt;1471-6771&lt;/isbn&gt;&lt;custom2&gt;PMC3169333&lt;/custom2&gt;&lt;titles&gt;&lt;title&gt;Topical capsaicin for pain management: therapeutic potential and mechanisms of action of the new high-concentration capsaicin 8% patch&lt;/title&gt;&lt;secondary-title&gt;Br J Anaesth&lt;/secondary-title&gt;&lt;/titles&gt;&lt;pages&gt;490-502&lt;/pages&gt;&lt;number&gt;4&lt;/number&gt;&lt;contributors&gt;&lt;authors&gt;&lt;author&gt;Anand, P.&lt;/author&gt;&lt;author&gt;Bley, K.&lt;/author&gt;&lt;/authors&gt;&lt;/contributors&gt;&lt;edition&gt;2011/08/17&lt;/edition&gt;&lt;language&gt;eng&lt;/language&gt;&lt;added-date format="utc"&gt;1554077489&lt;/added-date&gt;&lt;ref-type name="Journal Article"&gt;17&lt;/ref-type&gt;&lt;rec-number&gt;582&lt;/rec-number&gt;&lt;last-updated-date format="utc"&gt;1554077489&lt;/last-updated-date&gt;&lt;accession-num&gt;21852280&lt;/accession-num&gt;&lt;electronic-resource-num&gt;10.1093/bja/aer260&lt;/electronic-resource-num&gt;&lt;volume&gt;107&lt;/volume&gt;&lt;/record&gt;&lt;/Cite&gt;&lt;/EndNote&gt;</w:instrText>
      </w:r>
      <w:r>
        <w:rPr>
          <w:lang w:val="en-US"/>
        </w:rPr>
        <w:fldChar w:fldCharType="separate"/>
      </w:r>
      <w:r>
        <w:rPr>
          <w:lang w:val="en-US"/>
        </w:rPr>
        <w:t>(Anand and Bley, 2011)</w:t>
      </w:r>
      <w:r>
        <w:rPr>
          <w:lang w:val="en-US"/>
        </w:rPr>
        <w:fldChar w:fldCharType="end"/>
      </w:r>
      <w:r>
        <w:t xml:space="preserve">.  </w:t>
      </w:r>
    </w:p>
    <w:p w14:paraId="5438ABE0" w14:textId="4605A1B8" w:rsidR="00AC0FDB" w:rsidRDefault="00AC0FDB" w:rsidP="00AC0FDB">
      <w:pPr>
        <w:pStyle w:val="BodyA"/>
        <w:spacing w:line="480" w:lineRule="auto"/>
        <w:jc w:val="both"/>
        <w:rPr>
          <w:lang w:val="en-US"/>
        </w:rPr>
      </w:pPr>
      <w:r>
        <w:rPr>
          <w:lang w:val="en-US"/>
        </w:rPr>
        <w:t xml:space="preserve">Our study is the first to demonstrate increased dermal microvasculature in patients with painful </w:t>
      </w:r>
      <w:proofErr w:type="spellStart"/>
      <w:r>
        <w:rPr>
          <w:lang w:val="en-US"/>
        </w:rPr>
        <w:t>DPN</w:t>
      </w:r>
      <w:proofErr w:type="spellEnd"/>
      <w:r>
        <w:rPr>
          <w:lang w:val="en-US"/>
        </w:rPr>
        <w:t xml:space="preserve">. These findings suggest that increased skin sub-epidermal vasculature, and its ratio to nociceptors, may differentiate painful from painless </w:t>
      </w:r>
      <w:proofErr w:type="spellStart"/>
      <w:r>
        <w:rPr>
          <w:lang w:val="en-US"/>
        </w:rPr>
        <w:t>DPN</w:t>
      </w:r>
      <w:proofErr w:type="spellEnd"/>
      <w:r>
        <w:rPr>
          <w:lang w:val="en-US"/>
        </w:rPr>
        <w:t xml:space="preserve">. Increased small blood vessels following tissue hypoxemia, associated with disproportionate and abnormal sensory nerve </w:t>
      </w:r>
      <w:proofErr w:type="spellStart"/>
      <w:r>
        <w:rPr>
          <w:lang w:val="en-US"/>
        </w:rPr>
        <w:t>fibres</w:t>
      </w:r>
      <w:proofErr w:type="spellEnd"/>
      <w:r>
        <w:rPr>
          <w:lang w:val="en-US"/>
        </w:rPr>
        <w:t xml:space="preserve">, may play an integral role in the development of neuropathic pain in advanced </w:t>
      </w:r>
      <w:proofErr w:type="spellStart"/>
      <w:r>
        <w:rPr>
          <w:lang w:val="en-US"/>
        </w:rPr>
        <w:t>DPN</w:t>
      </w:r>
      <w:proofErr w:type="spellEnd"/>
      <w:r>
        <w:rPr>
          <w:lang w:val="en-US"/>
        </w:rPr>
        <w:t xml:space="preserve">. Further studies are required to explore the proposed mechanisms, which may lead to the development of new pain treatments. </w:t>
      </w:r>
    </w:p>
    <w:p w14:paraId="6119E449" w14:textId="6BA4ED00" w:rsidR="00A01975" w:rsidRDefault="00A01975" w:rsidP="00AC0FDB">
      <w:pPr>
        <w:pStyle w:val="BodyA"/>
        <w:spacing w:line="480" w:lineRule="auto"/>
        <w:jc w:val="both"/>
        <w:rPr>
          <w:lang w:val="en-US"/>
        </w:rPr>
      </w:pPr>
    </w:p>
    <w:p w14:paraId="3124FEC1" w14:textId="4DC595F8" w:rsidR="00A01975" w:rsidRDefault="00A01975" w:rsidP="00AC0FDB">
      <w:pPr>
        <w:pStyle w:val="BodyA"/>
        <w:spacing w:line="480" w:lineRule="auto"/>
        <w:jc w:val="both"/>
        <w:rPr>
          <w:lang w:val="en-US"/>
        </w:rPr>
      </w:pPr>
    </w:p>
    <w:p w14:paraId="3017350B" w14:textId="459007DD" w:rsidR="00A01975" w:rsidRDefault="00A01975" w:rsidP="00AC0FDB">
      <w:pPr>
        <w:pStyle w:val="BodyA"/>
        <w:spacing w:line="480" w:lineRule="auto"/>
        <w:jc w:val="both"/>
        <w:rPr>
          <w:lang w:val="en-US"/>
        </w:rPr>
      </w:pPr>
    </w:p>
    <w:p w14:paraId="418A7F27" w14:textId="38E6307B" w:rsidR="00A01975" w:rsidRDefault="00A01975" w:rsidP="00AC0FDB">
      <w:pPr>
        <w:pStyle w:val="BodyA"/>
        <w:spacing w:line="480" w:lineRule="auto"/>
        <w:jc w:val="both"/>
        <w:rPr>
          <w:lang w:val="en-US"/>
        </w:rPr>
      </w:pPr>
    </w:p>
    <w:p w14:paraId="71DEA543" w14:textId="1E87E1FB" w:rsidR="00A01975" w:rsidRDefault="00A01975" w:rsidP="00AC0FDB">
      <w:pPr>
        <w:pStyle w:val="BodyA"/>
        <w:spacing w:line="480" w:lineRule="auto"/>
        <w:jc w:val="both"/>
        <w:rPr>
          <w:lang w:val="en-US"/>
        </w:rPr>
      </w:pPr>
    </w:p>
    <w:p w14:paraId="5DF51227" w14:textId="12D05412" w:rsidR="00A01975" w:rsidRDefault="00A01975" w:rsidP="00AC0FDB">
      <w:pPr>
        <w:pStyle w:val="BodyA"/>
        <w:spacing w:line="480" w:lineRule="auto"/>
        <w:jc w:val="both"/>
        <w:rPr>
          <w:lang w:val="en-US"/>
        </w:rPr>
      </w:pPr>
    </w:p>
    <w:p w14:paraId="5D35EECF" w14:textId="2B6DFABB" w:rsidR="00A01975" w:rsidRDefault="00A01975" w:rsidP="00AC0FDB">
      <w:pPr>
        <w:pStyle w:val="BodyA"/>
        <w:spacing w:line="480" w:lineRule="auto"/>
        <w:jc w:val="both"/>
        <w:rPr>
          <w:lang w:val="en-US"/>
        </w:rPr>
      </w:pPr>
    </w:p>
    <w:p w14:paraId="3538AF73" w14:textId="131FAE2F" w:rsidR="00A01975" w:rsidRDefault="00A01975" w:rsidP="00AC0FDB">
      <w:pPr>
        <w:pStyle w:val="BodyA"/>
        <w:spacing w:line="480" w:lineRule="auto"/>
        <w:jc w:val="both"/>
        <w:rPr>
          <w:lang w:val="en-US"/>
        </w:rPr>
      </w:pPr>
    </w:p>
    <w:p w14:paraId="416A06E8" w14:textId="77777777" w:rsidR="00A01975" w:rsidRDefault="00A01975" w:rsidP="00AC0FDB">
      <w:pPr>
        <w:pStyle w:val="BodyA"/>
        <w:spacing w:line="480" w:lineRule="auto"/>
        <w:jc w:val="both"/>
      </w:pPr>
    </w:p>
    <w:p w14:paraId="7DAE9EFE" w14:textId="3B75B3CA" w:rsidR="004F7976" w:rsidRPr="004F7976" w:rsidRDefault="004F7976" w:rsidP="009E7277">
      <w:pPr>
        <w:pStyle w:val="Heading1"/>
        <w:spacing w:line="480" w:lineRule="auto"/>
        <w:rPr>
          <w:sz w:val="24"/>
          <w:szCs w:val="24"/>
        </w:rPr>
      </w:pPr>
      <w:bookmarkStart w:id="138" w:name="_Toc61"/>
      <w:bookmarkStart w:id="139" w:name="_Toc6093037"/>
      <w:bookmarkEnd w:id="137"/>
      <w:r w:rsidRPr="004F7976">
        <w:rPr>
          <w:sz w:val="24"/>
          <w:szCs w:val="24"/>
          <w:lang w:val="en-US"/>
        </w:rPr>
        <w:lastRenderedPageBreak/>
        <w:t xml:space="preserve">6 Reduced Thalamic GABA in Patients with Painless Diabetic Peripheral Neuropathy: Relationship to </w:t>
      </w:r>
      <w:r w:rsidR="00A01975">
        <w:rPr>
          <w:sz w:val="24"/>
          <w:szCs w:val="24"/>
          <w:lang w:val="en-US"/>
        </w:rPr>
        <w:t>C</w:t>
      </w:r>
      <w:r w:rsidRPr="004F7976">
        <w:rPr>
          <w:sz w:val="24"/>
          <w:szCs w:val="24"/>
          <w:lang w:val="en-US"/>
        </w:rPr>
        <w:t xml:space="preserve">linical, </w:t>
      </w:r>
      <w:r w:rsidR="00A01975">
        <w:rPr>
          <w:sz w:val="24"/>
          <w:szCs w:val="24"/>
          <w:lang w:val="en-US"/>
        </w:rPr>
        <w:t>N</w:t>
      </w:r>
      <w:r w:rsidRPr="004F7976">
        <w:rPr>
          <w:sz w:val="24"/>
          <w:szCs w:val="24"/>
          <w:lang w:val="en-US"/>
        </w:rPr>
        <w:t xml:space="preserve">europhysiological and </w:t>
      </w:r>
      <w:r w:rsidR="00A01975">
        <w:rPr>
          <w:sz w:val="24"/>
          <w:szCs w:val="24"/>
          <w:lang w:val="en-US"/>
        </w:rPr>
        <w:t>S</w:t>
      </w:r>
      <w:r w:rsidRPr="004F7976">
        <w:rPr>
          <w:sz w:val="24"/>
          <w:szCs w:val="24"/>
          <w:lang w:val="en-US"/>
        </w:rPr>
        <w:t xml:space="preserve">kin </w:t>
      </w:r>
      <w:r w:rsidR="00A01975">
        <w:rPr>
          <w:sz w:val="24"/>
          <w:szCs w:val="24"/>
          <w:lang w:val="en-US"/>
        </w:rPr>
        <w:t>B</w:t>
      </w:r>
      <w:r w:rsidRPr="004F7976">
        <w:rPr>
          <w:sz w:val="24"/>
          <w:szCs w:val="24"/>
          <w:lang w:val="en-US"/>
        </w:rPr>
        <w:t xml:space="preserve">iopsy </w:t>
      </w:r>
      <w:r w:rsidR="00A01975">
        <w:rPr>
          <w:sz w:val="24"/>
          <w:szCs w:val="24"/>
          <w:lang w:val="en-US"/>
        </w:rPr>
        <w:t>M</w:t>
      </w:r>
      <w:r w:rsidRPr="004F7976">
        <w:rPr>
          <w:sz w:val="24"/>
          <w:szCs w:val="24"/>
          <w:lang w:val="en-US"/>
        </w:rPr>
        <w:t>easures</w:t>
      </w:r>
      <w:bookmarkEnd w:id="138"/>
      <w:bookmarkEnd w:id="139"/>
    </w:p>
    <w:p w14:paraId="2F16768D" w14:textId="77777777" w:rsidR="004F7976" w:rsidRDefault="004F7976" w:rsidP="004F7976">
      <w:pPr>
        <w:pStyle w:val="Heading2"/>
        <w:spacing w:line="480" w:lineRule="auto"/>
        <w:rPr>
          <w:i w:val="0"/>
          <w:iCs w:val="0"/>
          <w:strike/>
          <w:sz w:val="24"/>
          <w:szCs w:val="24"/>
        </w:rPr>
      </w:pPr>
      <w:bookmarkStart w:id="140" w:name="_Toc6093038"/>
      <w:bookmarkStart w:id="141" w:name="_Toc62"/>
      <w:r w:rsidRPr="005B5764">
        <w:rPr>
          <w:i w:val="0"/>
          <w:iCs w:val="0"/>
          <w:sz w:val="24"/>
          <w:szCs w:val="24"/>
        </w:rPr>
        <w:t>6.1 Introduction</w:t>
      </w:r>
      <w:bookmarkEnd w:id="140"/>
      <w:r>
        <w:rPr>
          <w:i w:val="0"/>
          <w:iCs w:val="0"/>
          <w:strike/>
          <w:sz w:val="24"/>
          <w:szCs w:val="24"/>
        </w:rPr>
        <w:t xml:space="preserve"> </w:t>
      </w:r>
      <w:bookmarkEnd w:id="141"/>
    </w:p>
    <w:p w14:paraId="0BCED7DE" w14:textId="77777777" w:rsidR="004F7976" w:rsidRDefault="004F7976" w:rsidP="004F7976">
      <w:pPr>
        <w:pStyle w:val="BodyA"/>
        <w:spacing w:line="480" w:lineRule="auto"/>
        <w:jc w:val="both"/>
        <w:rPr>
          <w:color w:val="0070C0"/>
          <w:u w:color="0070C0"/>
        </w:rPr>
      </w:pPr>
      <w:r>
        <w:rPr>
          <w:lang w:val="en-US"/>
        </w:rPr>
        <w:t xml:space="preserve">There is now increasing evidence to support early CNS involvement in patients with </w:t>
      </w:r>
      <w:proofErr w:type="spellStart"/>
      <w:r>
        <w:rPr>
          <w:lang w:val="en-US"/>
        </w:rPr>
        <w:t>DPN</w:t>
      </w:r>
      <w:proofErr w:type="spellEnd"/>
      <w:r>
        <w:rPr>
          <w:lang w:val="en-US"/>
        </w:rPr>
        <w:t xml:space="preserve"> </w:t>
      </w:r>
      <w:r>
        <w:fldChar w:fldCharType="begin"/>
      </w:r>
      <w:r>
        <w:instrText xml:space="preserve"> ADDIN EN.CITE &lt;EndNote&gt;&lt;Cite  &gt;&lt;Author&gt;Selvarajah&lt;/Author&gt;&lt;Year&gt;2006&lt;/Year&gt;&lt;RecNum&gt;83&lt;/RecNum&gt;&lt;DisplayText&gt;(Selvarajah et al., 2006, Selvarajah et al., 2014)&lt;/DisplayText&gt;&lt;record&gt;&lt;keywords&gt;&lt;keyword&gt;Diabetic Neuropathies -- Physiopathology&lt;/keyword&gt;&lt;keyword&gt;Peripheral Nervous System Diseases -- Physiopathology&lt;/keyword&gt;&lt;keyword&gt;Spinal Cord -- Physiopathology&lt;/keyword&gt;&lt;/keywords&gt;&lt;isbn&gt;0149-5992&lt;/isbn&gt;&lt;titles&gt;&lt;title&gt;Early involvement of the spinal cord in diabetic peripheral neuropathy&lt;/title&gt;&lt;secondary-title&gt;Diabetes care&lt;/secondary-title&gt;&lt;/titles&gt;&lt;pages&gt;2664&lt;/pages&gt;&lt;number&gt;12&lt;/number&gt;&lt;contributors&gt;&lt;authors&gt;&lt;author&gt;Selvarajah, Dinesh&lt;/author&gt;&lt;author&gt;Wilkinson, Iain D.&lt;/author&gt;&lt;author&gt;Emery, Celia J.&lt;/author&gt;&lt;author&gt;Harris, Nigel D.&lt;/author&gt;&lt;author&gt;Shaw, Pamela J.&lt;/author&gt;&lt;author&gt;Witte, Daniel R.&lt;/author&gt;&lt;author&gt;Griffiths, Paul D.&lt;/author&gt;&lt;author&gt;Tesfaye, Solomon&lt;/author&gt;&lt;/authors&gt;&lt;/contributors&gt;&lt;added-date format="utc"&gt;1383240608&lt;/added-date&gt;&lt;ref-type name="Journal Article"&gt;17&lt;/ref-type&gt;&lt;dates&gt;&lt;year&gt;2006&lt;/year&gt;&lt;/dates&gt;&lt;rec-number&gt;83&lt;/rec-number&gt;&lt;last-updated-date format="utc"&gt;1383242306&lt;/last-updated-date&gt;&lt;volume&gt;29&lt;/volume&gt;&lt;/record&gt;&lt;/Cite&gt;&lt;Cite  &gt;&lt;Author&gt;Selvarajah&lt;/Author&gt;&lt;Year&gt;2014&lt;/Year&gt;&lt;RecNum&gt;418&lt;/RecNum&gt;&lt;record&gt;&lt;dates&gt;&lt;pub-dates&gt;&lt;date&gt;Jun&lt;/date&gt;&lt;/pub-dates&gt;&lt;year&gt;2014&lt;/year&gt;&lt;/dates&gt;&lt;keywords&gt;&lt;keyword&gt;Adolescent&lt;/keyword&gt;&lt;keyword&gt;Adult&lt;/keyword&gt;&lt;keyword&gt;Aged&lt;/keyword&gt;&lt;keyword&gt;Brain&lt;/keyword&gt;&lt;keyword&gt;Case-Control Studies&lt;/keyword&gt;&lt;keyword&gt;Cross-Sectional Studies&lt;/keyword&gt;&lt;keyword&gt;Diabetes Mellitus, Type 1&lt;/keyword&gt;&lt;keyword&gt;Diabetic Neuropathies&lt;/keyword&gt;&lt;keyword&gt;Female&lt;/keyword&gt;&lt;keyword&gt;Humans&lt;/keyword&gt;&lt;keyword&gt;Magnetic Resonance Imaging&lt;/keyword&gt;&lt;keyword&gt;Male&lt;/keyword&gt;&lt;keyword&gt;Middle Aged&lt;/keyword&gt;&lt;keyword&gt;Neuroimaging&lt;/keyword&gt;&lt;keyword&gt;Prognosis&lt;/keyword&gt;&lt;keyword&gt;Young Adult&lt;/keyword&gt;&lt;/keywords&gt;&lt;urls&gt;&lt;related-urls&gt;&lt;url&gt;https://www.ncbi.nlm.nih.gov/pubmed/24658391&lt;/url&gt;&lt;/related-urls&gt;&lt;/urls&gt;&lt;isbn&gt;1935-5548&lt;/isbn&gt;&lt;titles&gt;&lt;title&gt;Magnetic resonance neuroimaging study of brain structural differences in diabetic peripheral neuropathy&lt;/title&gt;&lt;secondary-title&gt;Diabetes Care&lt;/secondary-title&gt;&lt;/titles&gt;&lt;pages&gt;1681-8&lt;/pages&gt;&lt;number&gt;6&lt;/number&gt;&lt;contributors&gt;&lt;authors&gt;&lt;author&gt;Selvarajah, D.&lt;/author&gt;&lt;author&gt;Wilkinson, I. D.&lt;/author&gt;&lt;author&gt;Maxwell, M.&lt;/author&gt;&lt;author&gt;Davies, J.&lt;/author&gt;&lt;author&gt;Sankar, A.&lt;/author&gt;&lt;author&gt;Boland, E.&lt;/author&gt;&lt;author&gt;Gandhi, R.&lt;/author&gt;&lt;author&gt;Tracey, I.&lt;/author&gt;&lt;author&gt;Tesfaye, S.&lt;/author&gt;&lt;/authors&gt;&lt;/contributors&gt;&lt;edition&gt;2014/03/21&lt;/edition&gt;&lt;language&gt;eng&lt;/language&gt;&lt;added-date format="utc"&gt;1484865627&lt;/added-date&gt;&lt;ref-type name="Journal Article"&gt;17&lt;/ref-type&gt;&lt;rec-number&gt;418&lt;/rec-number&gt;&lt;last-updated-date format="utc"&gt;1484865627&lt;/last-updated-date&gt;&lt;accession-num&gt;24658391&lt;/accession-num&gt;&lt;electronic-resource-num&gt;10.2337/dc13-2610&lt;/electronic-resource-num&gt;&lt;volume&gt;37&lt;/volume&gt;&lt;/record&gt;&lt;/Cite&gt;&lt;/EndNote&gt;</w:instrText>
      </w:r>
      <w:r>
        <w:fldChar w:fldCharType="separate"/>
      </w:r>
      <w:r>
        <w:t>(Selvarajah et al., 2006, Selvarajah et al., 2014)</w:t>
      </w:r>
      <w:r>
        <w:fldChar w:fldCharType="end"/>
      </w:r>
      <w:r>
        <w:rPr>
          <w:lang w:val="en-US"/>
        </w:rPr>
        <w:t xml:space="preserve">. Emerging MRI techniques such as proton MR spectroscopy (H-MRS) allow us to noninvasively measure endogenous metabolites in specific regions in the brain involved in pain processing (the thalamus, anterior cingulate cortex and insula) </w:t>
      </w:r>
      <w:r>
        <w:rPr>
          <w:lang w:val="en-US"/>
        </w:rPr>
        <w:fldChar w:fldCharType="begin"/>
      </w:r>
      <w:r>
        <w:rPr>
          <w:lang w:val="en-US"/>
        </w:rPr>
        <w:instrText xml:space="preserve"> ADDIN EN.CITE &lt;EndNote&gt;&lt;Cite  &gt;&lt;Author&gt;Adam Andy&lt;/Author&gt;&lt;Year&gt;2014&lt;/Year&gt;&lt;RecNum&gt;583&lt;/RecNum&gt;&lt;DisplayText&gt;(Adam Andy, 2014)&lt;/DisplayText&gt;&lt;record&gt;&lt;titles&gt;&lt;title&gt;Magnetic Resonance Imaging&lt;/title&gt;&lt;secondary-title&gt;Grainger and Allison's Diagnostic Radiology - 6th Edition&lt;/secondary-title&gt;&lt;/titles&gt;&lt;pages&gt;90-114&lt;/pages&gt;&lt;contributors&gt;&lt;authors&gt;&lt;author&gt;Adam Andy, Dixon Adrain,  Gillard Jonathan, Schaefer-Prokop Cornelia, Grainger Ronald&lt;/author&gt;&lt;/authors&gt;&lt;/contributors&gt;&lt;section&gt;6&lt;/section&gt;&lt;added-date format="utc"&gt;1554590828&lt;/added-date&gt;&lt;pub-location&gt;Philadelphia&lt;/pub-location&gt;&lt;ref-type name="Book Section"&gt;5&lt;/ref-type&gt;&lt;dates&gt;&lt;year&gt;2014&lt;/year&gt;&lt;/dates&gt;&lt;rec-number&gt;583&lt;/rec-number&gt;&lt;last-updated-date format="utc"&gt;1554591340&lt;/last-updated-date&gt;&lt;contributors&gt;&lt;secondary-authors&gt;&lt;author&gt;Wilkinson ID&lt;/author&gt;&lt;/secondary-authors&gt;&lt;/contributors&gt;&lt;/record&gt;&lt;/Cite&gt;&lt;/EndNote&gt;</w:instrText>
      </w:r>
      <w:r>
        <w:rPr>
          <w:lang w:val="en-US"/>
        </w:rPr>
        <w:fldChar w:fldCharType="separate"/>
      </w:r>
      <w:r>
        <w:rPr>
          <w:lang w:val="en-US"/>
        </w:rPr>
        <w:t>(Adam Andy, 2014)</w:t>
      </w:r>
      <w:r>
        <w:rPr>
          <w:lang w:val="en-US"/>
        </w:rPr>
        <w:fldChar w:fldCharType="end"/>
      </w:r>
      <w:r>
        <w:rPr>
          <w:lang w:val="en-US"/>
        </w:rPr>
        <w:t xml:space="preserve">. Using H-MRS we have previously demonstrated a reduction in N-acetyl </w:t>
      </w:r>
      <w:proofErr w:type="spellStart"/>
      <w:r>
        <w:rPr>
          <w:lang w:val="en-US"/>
        </w:rPr>
        <w:t>aspartate:creatine</w:t>
      </w:r>
      <w:proofErr w:type="spellEnd"/>
      <w:r>
        <w:rPr>
          <w:lang w:val="en-US"/>
        </w:rPr>
        <w:t xml:space="preserve"> ratio in the thalamus in patients with painless </w:t>
      </w:r>
      <w:proofErr w:type="spellStart"/>
      <w:r>
        <w:rPr>
          <w:lang w:val="en-US"/>
        </w:rPr>
        <w:t>DPN</w:t>
      </w:r>
      <w:proofErr w:type="spellEnd"/>
      <w:r>
        <w:rPr>
          <w:lang w:val="en-US"/>
        </w:rPr>
        <w:t xml:space="preserve"> but not in painful </w:t>
      </w:r>
      <w:proofErr w:type="spellStart"/>
      <w:r>
        <w:rPr>
          <w:lang w:val="en-US"/>
        </w:rPr>
        <w:t>DPN</w:t>
      </w:r>
      <w:proofErr w:type="spellEnd"/>
      <w:r>
        <w:rPr>
          <w:lang w:val="en-US"/>
        </w:rPr>
        <w:t xml:space="preserve"> </w:t>
      </w:r>
      <w:r>
        <w:fldChar w:fldCharType="begin"/>
      </w:r>
      <w:r>
        <w:instrText xml:space="preserve"> ADDIN EN.CITE &lt;EndNote&gt;&lt;Cite  &gt;&lt;Author&gt;Selvarajah&lt;/Author&gt;&lt;Year&gt;2008&lt;/Year&gt;&lt;RecNum&gt;419&lt;/RecNum&gt;&lt;DisplayText&gt;(Selvarajah et al., 2008)&lt;/DisplayText&gt;&lt;record&gt;&lt;dates&gt;&lt;pub-dates&gt;&lt;date&gt;Nov&lt;/date&gt;&lt;/pub-dates&gt;&lt;year&gt;2008&lt;/year&gt;&lt;/dates&gt;&lt;keywords&gt;&lt;keyword&gt;Adult&lt;/keyword&gt;&lt;keyword&gt;Choline&lt;/keyword&gt;&lt;keyword&gt;Creatinine&lt;/keyword&gt;&lt;keyword&gt;Diabetes Mellitus, Type 1&lt;/keyword&gt;&lt;keyword&gt;Diabetic Neuropathies&lt;/keyword&gt;&lt;keyword&gt;Functional Laterality&lt;/keyword&gt;&lt;keyword&gt;Humans&lt;/keyword&gt;&lt;keyword&gt;Magnetic Resonance Spectroscopy&lt;/keyword&gt;&lt;keyword&gt;Male&lt;/keyword&gt;&lt;keyword&gt;Middle Aged&lt;/keyword&gt;&lt;keyword&gt;Peripheral Nerves&lt;/keyword&gt;&lt;keyword&gt;Peripheral Nervous System Diseases&lt;/keyword&gt;&lt;keyword&gt;Peroneal Nerve&lt;/keyword&gt;&lt;keyword&gt;Reference Values&lt;/keyword&gt;&lt;keyword&gt;Sural Nerve&lt;/keyword&gt;&lt;keyword&gt;Thalamus&lt;/keyword&gt;&lt;/keywords&gt;&lt;urls&gt;&lt;related-urls&gt;&lt;url&gt;https://www.ncbi.nlm.nih.gov/pubmed/18773192&lt;/url&gt;&lt;/related-urls&gt;&lt;/urls&gt;&lt;isbn&gt;0012-186X&lt;/isbn&gt;&lt;titles&gt;&lt;title&gt;Thalamic neuronal dysfunction and chronic sensorimotor distal symmetrical polyneuropathy in patients with type 1 diabetes mellitus&lt;/title&gt;&lt;secondary-title&gt;Diabetologia&lt;/secondary-title&gt;&lt;/titles&gt;&lt;pages&gt;2088-92&lt;/pages&gt;&lt;number&gt;11&lt;/number&gt;&lt;contributors&gt;&lt;authors&gt;&lt;author&gt;Selvarajah, D.&lt;/author&gt;&lt;author&gt;Wilkinson, I. D.&lt;/author&gt;&lt;author&gt;Emery, C. J.&lt;/author&gt;&lt;author&gt;Shaw, P. J.&lt;/author&gt;&lt;author&gt;Griffiths, P. D.&lt;/author&gt;&lt;author&gt;Gandhi, R.&lt;/author&gt;&lt;author&gt;Tesfaye, S.&lt;/author&gt;&lt;/authors&gt;&lt;/contributors&gt;&lt;edition&gt;2008/09/05&lt;/edition&gt;&lt;language&gt;eng&lt;/language&gt;&lt;added-date format="utc"&gt;1485546589&lt;/added-date&gt;&lt;ref-type name="Journal Article"&gt;17&lt;/ref-type&gt;&lt;rec-number&gt;419&lt;/rec-number&gt;&lt;last-updated-date format="utc"&gt;1485546589&lt;/last-updated-date&gt;&lt;accession-num&gt;18773192&lt;/accession-num&gt;&lt;electronic-resource-num&gt;10.1007/s00125-008-1139-0&lt;/electronic-resource-num&gt;&lt;volume&gt;51&lt;/volume&gt;&lt;/record&gt;&lt;/Cite&gt;&lt;/EndNote&gt;</w:instrText>
      </w:r>
      <w:r>
        <w:fldChar w:fldCharType="separate"/>
      </w:r>
      <w:r>
        <w:t>(Selvarajah et al., 2008)</w:t>
      </w:r>
      <w:r>
        <w:fldChar w:fldCharType="end"/>
      </w:r>
      <w:r>
        <w:rPr>
          <w:lang w:val="en-US"/>
        </w:rPr>
        <w:t xml:space="preserve">. The thalami play a key role in pain processing, modulating ascending nociceptive signals from the periphery before presenting them to the cerebral cortex </w:t>
      </w:r>
      <w:r>
        <w:rPr>
          <w:lang w:val="fr-FR"/>
        </w:rPr>
        <w:fldChar w:fldCharType="begin"/>
      </w:r>
      <w:r w:rsidRPr="005B5764">
        <w:instrText xml:space="preserve"> ADDIN EN.CITE &lt;EndNote&gt;&lt;Cite  &gt;&lt;Author&gt;Basbaum&lt;/Author&gt;&lt;Year&gt;2009&lt;/Year&gt;&lt;RecNum&gt;557&lt;/RecNum&gt;&lt;DisplayText&gt;(Basbaum et al., 2009)&lt;/DisplayText&gt;&lt;record&gt;&lt;dates&gt;&lt;pub-dates&gt;&lt;date&gt;Oct&lt;/date&gt;&lt;/pub-dates&gt;&lt;year&gt;2009&lt;/year&gt;&lt;/dates&gt;&lt;keywords&gt;&lt;keyword&gt;Animals&lt;/keyword&gt;&lt;keyword&gt;Chronic Disease&lt;/keyword&gt;&lt;keyword&gt;Humans&lt;/keyword&gt;&lt;keyword&gt;Neuronal Plasticity&lt;/keyword&gt;&lt;keyword&gt;Nociceptors&lt;/keyword&gt;&lt;keyword&gt;Pain&lt;/keyword&gt;&lt;/keywords&gt;&lt;urls&gt;&lt;related-urls&gt;&lt;url&gt;https://www.ncbi.nlm.nih.gov/pubmed/19837031&lt;/url&gt;&lt;/related-urls&gt;&lt;/urls&gt;&lt;isbn&gt;1097-4172&lt;/isbn&gt;&lt;custom2&gt;PMC2852643&lt;/custom2&gt;&lt;titles&gt;&lt;title&gt;Cellular and molecular mechanisms of pain&lt;/title&gt;&lt;secondary-title&gt;Cell&lt;/secondary-title&gt;&lt;/titles&gt;&lt;pages&gt;267-84&lt;/pages&gt;&lt;number&gt;2&lt;/number&gt;&lt;contributors&gt;&lt;authors&gt;&lt;author&gt;Basbaum, A. I.&lt;/author&gt;&lt;author&gt;Bautista, D. M.&lt;/author&gt;&lt;author&gt;Scherrer, G.&lt;/author&gt;&lt;author&gt;Julius, D.&lt;/author&gt;&lt;/authors&gt;&lt;/contributors&gt;&lt;language&gt;eng&lt;/language&gt;&lt;added-date format="utc"&gt;1549488727&lt;/added-date&gt;&lt;ref-type name="Journal Article"&gt;17&lt;/ref-type&gt;&lt;rec-number&gt;557&lt;/rec-number&gt;&lt;last-updated-date format="utc"&gt;1549488727&lt;/last-updated-date&gt;&lt;accession-num&gt;19837031&lt;/accession-num&gt;&lt;electronic-resource-num&gt;10.1016/j.cell.2009.09.028&lt;/electronic-resource-num&gt;&lt;volume&gt;139&lt;/volume&gt;&lt;/record&gt;&lt;/Cite&gt;&lt;/EndNote&gt;</w:instrText>
      </w:r>
      <w:r>
        <w:rPr>
          <w:lang w:val="fr-FR"/>
        </w:rPr>
        <w:fldChar w:fldCharType="separate"/>
      </w:r>
      <w:r w:rsidRPr="005B5764">
        <w:t>(Basbaum et al., 2009)</w:t>
      </w:r>
      <w:r>
        <w:rPr>
          <w:lang w:val="fr-FR"/>
        </w:rPr>
        <w:fldChar w:fldCharType="end"/>
      </w:r>
      <w:r>
        <w:rPr>
          <w:b/>
          <w:bCs/>
        </w:rPr>
        <w:t>.</w:t>
      </w:r>
      <w:r>
        <w:t xml:space="preserve"> </w:t>
      </w:r>
      <w:r>
        <w:rPr>
          <w:lang w:val="en-US"/>
        </w:rPr>
        <w:t xml:space="preserve">Our findings suggest that preservation of thalamic neuronal function maybe a prerequisite for the perception of pain in painful </w:t>
      </w:r>
      <w:proofErr w:type="spellStart"/>
      <w:r>
        <w:rPr>
          <w:lang w:val="en-US"/>
        </w:rPr>
        <w:t>DPN</w:t>
      </w:r>
      <w:proofErr w:type="spellEnd"/>
      <w:r>
        <w:rPr>
          <w:lang w:val="en-US"/>
        </w:rPr>
        <w:t xml:space="preserve">. More recent studies have examined the role of central </w:t>
      </w:r>
      <w:proofErr w:type="spellStart"/>
      <w:r>
        <w:rPr>
          <w:lang w:val="en-US"/>
        </w:rPr>
        <w:t>sensitisation</w:t>
      </w:r>
      <w:proofErr w:type="spellEnd"/>
      <w:r>
        <w:rPr>
          <w:lang w:val="en-US"/>
        </w:rPr>
        <w:t xml:space="preserve"> in maintaining the chronicity of painful neuropathy (</w:t>
      </w:r>
      <w:proofErr w:type="spellStart"/>
      <w:r>
        <w:rPr>
          <w:lang w:val="en-US"/>
        </w:rPr>
        <w:t>Djouhri</w:t>
      </w:r>
      <w:proofErr w:type="spellEnd"/>
      <w:r>
        <w:rPr>
          <w:lang w:val="en-US"/>
        </w:rPr>
        <w:t xml:space="preserve"> et al., 2006) using H-MRS [e.g. migraine</w:t>
      </w:r>
      <w:r>
        <w:rPr>
          <w:lang w:val="it-IT"/>
        </w:rPr>
        <w:fldChar w:fldCharType="begin"/>
      </w:r>
      <w:r w:rsidRPr="005B5764">
        <w:instrText xml:space="preserve"> ADDIN EN.CITE &lt;EndNote&gt;&lt;Cite  &gt;&lt;Author&gt;Aguila&lt;/Author&gt;&lt;Year&gt;2016&lt;/Year&gt;&lt;DisplayText&gt;(Aguila et al., 2016)&lt;/DisplayText&gt;&lt;record&gt;&lt;keywords&gt;&lt;keyword&gt;Gamma-Aminobutyric Acid&lt;/keyword&gt;&lt;keyword&gt;Migraine Disorders&lt;/keyword&gt;&lt;keyword&gt;Headache&lt;/keyword&gt;&lt;keyword&gt;Central Sensitization&lt;/keyword&gt;&lt;keyword&gt;Disability&lt;/keyword&gt;&lt;keyword&gt;Questionnaires&lt;/keyword&gt;&lt;/keywords&gt;&lt;isbn&gt;1526-5900&lt;/isbn&gt;&lt;titles&gt;&lt;title&gt;The Association Between Clinical Characteristics of Migraine and Brain GABA Levels: An Exploratory Study&lt;/title&gt;&lt;secondary-title&gt;Journal of Pain&lt;/secondary-title&gt;&lt;/titles&gt;&lt;pages&gt;1058-1067&lt;/pages&gt;&lt;number&gt;10&lt;/number&gt;&lt;contributors&gt;&lt;authors&gt;&lt;author&gt;Aguila, Maria-Eliza R.&lt;/author&gt;&lt;author&gt;Rebbeck, Trudy&lt;/author&gt;&lt;author&gt;Leaver, Andrew M.&lt;/author&gt;&lt;author&gt;Lagopoulos, Jim&lt;/author&gt;&lt;author&gt;Brennan, Patrick C.&lt;/author&gt;&lt;author&gt;Hübscher, Markus&lt;/author&gt;&lt;author&gt;Refshauge, Kathryn M.&lt;/author&gt;&lt;/authors&gt;&lt;/contributors&gt;&lt;added-date format="utc"&gt;1485547380&lt;/added-date&gt;&lt;ref-type name="Journal Article"&gt;17&lt;/ref-type&gt;&lt;dates&gt;&lt;year&gt;2016&lt;/year&gt;&lt;/dates&gt;&lt;rec-number&gt;421&lt;/rec-number&gt;&lt;last-updated-date format="utc"&gt;1485547380&lt;/last-updated-date&gt;&lt;electronic-resource-num&gt;10.1016/j.jpain.2016.06.008&lt;/electronic-resource-num&gt;&lt;volume&gt;17&lt;/volume&gt;&lt;/record&gt;&lt;/Cite&gt;&lt;/EndNote&gt;</w:instrText>
      </w:r>
      <w:r>
        <w:rPr>
          <w:lang w:val="it-IT"/>
        </w:rPr>
        <w:fldChar w:fldCharType="separate"/>
      </w:r>
      <w:r w:rsidRPr="005B5764">
        <w:t>(Aguila et al., 2016)</w:t>
      </w:r>
      <w:r>
        <w:rPr>
          <w:lang w:val="it-IT"/>
        </w:rPr>
        <w:fldChar w:fldCharType="end"/>
      </w:r>
      <w:r w:rsidRPr="005B5764">
        <w:t>, endometriosis</w:t>
      </w:r>
      <w:r>
        <w:rPr>
          <w:lang w:val="fr-FR"/>
        </w:rPr>
        <w:fldChar w:fldCharType="begin"/>
      </w:r>
      <w:r w:rsidRPr="005B5764">
        <w:instrText xml:space="preserve"> ADDIN EN.CITE &lt;EndNote&gt;&lt;Cite  &gt;&lt;Author&gt;As-Sanie&lt;/Author&gt;&lt;Year&gt;2016&lt;/Year&gt;&lt;RecNum&gt;422&lt;/RecNum&gt;&lt;DisplayText&gt;(As-Sanie et al., 2016)&lt;/DisplayText&gt;&lt;record&gt;&lt;keywords&gt;&lt;keyword&gt;Endometriosis&lt;/keyword&gt;&lt;keyword&gt;Chronic Pelvic Pain&lt;/keyword&gt;&lt;keyword&gt;Neuroimaging&lt;/keyword&gt;&lt;keyword&gt;Glutamate&lt;/keyword&gt;&lt;keyword&gt;Functional Connectivity&lt;/keyword&gt;&lt;/keywords&gt;&lt;isbn&gt;1526-5900&lt;/isbn&gt;&lt;titles&gt;&lt;title&gt;Functional Connectivity Is Associated With Altered Brain Chemistry in Women With Endometriosis- Associated Chronic Pelvic Pain&lt;/title&gt;&lt;secondary-title&gt;Journal of Pain&lt;/secondary-title&gt;&lt;/titles&gt;&lt;pages&gt;1-13&lt;/pages&gt;&lt;number&gt;1&lt;/number&gt;&lt;contributors&gt;&lt;authors&gt;&lt;author&gt;As-Sanie, Sawsan&lt;/author&gt;&lt;author&gt;Kim, Jieun&lt;/author&gt;&lt;author&gt;Schmidt-Wilcke, Tobias&lt;/author&gt;&lt;author&gt;Sundgren, Pia C.&lt;/author&gt;&lt;author&gt;Clauw, Daniel J.&lt;/author&gt;&lt;author&gt;Napadow, Vitaly&lt;/author&gt;&lt;author&gt;Harris, Richard E.&lt;/author&gt;&lt;/authors&gt;&lt;/contributors&gt;&lt;added-date format="utc"&gt;1485547493&lt;/added-date&gt;&lt;ref-type name="Journal Article"&gt;17&lt;/ref-type&gt;&lt;dates&gt;&lt;year&gt;2016&lt;/year&gt;&lt;/dates&gt;&lt;rec-number&gt;422&lt;/rec-number&gt;&lt;last-updated-date format="utc"&gt;1485547493&lt;/last-updated-date&gt;&lt;electronic-resource-num&gt;10.1016/j.jpain.2015.09.008&lt;/electronic-resource-num&gt;&lt;volume&gt;17&lt;/volume&gt;&lt;/record&gt;&lt;/Cite&gt;&lt;/EndNote&gt;</w:instrText>
      </w:r>
      <w:r>
        <w:rPr>
          <w:lang w:val="fr-FR"/>
        </w:rPr>
        <w:fldChar w:fldCharType="separate"/>
      </w:r>
      <w:r w:rsidRPr="005B5764">
        <w:t>(As-</w:t>
      </w:r>
      <w:proofErr w:type="spellStart"/>
      <w:r w:rsidRPr="005B5764">
        <w:t>Sanie</w:t>
      </w:r>
      <w:proofErr w:type="spellEnd"/>
      <w:r w:rsidRPr="005B5764">
        <w:t xml:space="preserve"> et al., 2016)</w:t>
      </w:r>
      <w:r>
        <w:rPr>
          <w:lang w:val="fr-FR"/>
        </w:rPr>
        <w:fldChar w:fldCharType="end"/>
      </w:r>
      <w:r>
        <w:rPr>
          <w:lang w:val="en-US"/>
        </w:rPr>
        <w:t>, spinal cord injury (SCI)</w:t>
      </w:r>
      <w:r>
        <w:rPr>
          <w:lang w:val="sv-SE"/>
        </w:rPr>
        <w:fldChar w:fldCharType="begin"/>
      </w:r>
      <w:r w:rsidRPr="005B5764">
        <w:instrText xml:space="preserve"> ADDIN EN.CITE &lt;EndNote&gt;&lt;Cite  &gt;&lt;Author&gt;Widerström-Noga&lt;/Author&gt;&lt;Year&gt;2013&lt;/Year&gt;&lt;DisplayText&gt;(Widerström-Noga et al., 2013)&lt;/DisplayText&gt;&lt;record&gt;&lt;keywords&gt;&lt;keyword&gt;Cingulate Cortex&lt;/keyword&gt;&lt;keyword&gt;Magnetic Resonance Spectroscopy&lt;/keyword&gt;&lt;keyword&gt;Neuropathic Pain&lt;/keyword&gt;&lt;keyword&gt;Psychosocial Impact&lt;/keyword&gt;&lt;keyword&gt;Spinal Cord Injury&lt;/keyword&gt;&lt;/keywords&gt;&lt;isbn&gt;0304-3959&lt;/isbn&gt;&lt;titles&gt;&lt;title&gt;Metabolite concentrations in the anterior cingulate cortex predict high neuropathic pain impact after spinal cord injury&lt;/title&gt;&lt;secondary-title&gt;Pain&lt;/secondary-title&gt;&lt;/titles&gt;&lt;pages&gt;204-212&lt;/pages&gt;&lt;number&gt;2&lt;/number&gt;&lt;contributors&gt;&lt;authors&gt;&lt;author&gt;Widerström-Noga, Eva&lt;/author&gt;&lt;author&gt;Pattany, Pradip M.&lt;/author&gt;&lt;author&gt;Cruz-Almeida, Yenisel&lt;/author&gt;&lt;author&gt;Felix, Elizabeth R.&lt;/author&gt;&lt;author&gt;Perez, Salome&lt;/author&gt;&lt;author&gt;Cardenas, Diana D.&lt;/author&gt;&lt;author&gt;Martinez-Arizala, Alberto&lt;/author&gt;&lt;/authors&gt;&lt;/contributors&gt;&lt;added-date format="utc"&gt;1485547656&lt;/added-date&gt;&lt;ref-type name="Journal Article"&gt;17&lt;/ref-type&gt;&lt;dates&gt;&lt;year&gt;2013&lt;/year&gt;&lt;/dates&gt;&lt;rec-number&gt;423&lt;/rec-number&gt;&lt;last-updated-date format="utc"&gt;1485547656&lt;/last-updated-date&gt;&lt;electronic-resource-num&gt;10.1016/j.pain.2012.07.022&lt;/electronic-resource-num&gt;&lt;volume&gt;154&lt;/volume&gt;&lt;/record&gt;&lt;/Cite&gt;&lt;/EndNote&gt;</w:instrText>
      </w:r>
      <w:r>
        <w:rPr>
          <w:lang w:val="sv-SE"/>
        </w:rPr>
        <w:fldChar w:fldCharType="separate"/>
      </w:r>
      <w:r w:rsidRPr="005B5764">
        <w:t>(Widerström-Noga et al., 2013)</w:t>
      </w:r>
      <w:r>
        <w:rPr>
          <w:lang w:val="sv-SE"/>
        </w:rPr>
        <w:fldChar w:fldCharType="end"/>
      </w:r>
      <w:r>
        <w:rPr>
          <w:lang w:val="en-US"/>
        </w:rPr>
        <w:t xml:space="preserve"> and fibromyalgia</w:t>
      </w:r>
      <w:r>
        <w:rPr>
          <w:lang w:val="fr-FR"/>
        </w:rPr>
        <w:fldChar w:fldCharType="begin"/>
      </w:r>
      <w:r w:rsidRPr="005B5764">
        <w:instrText xml:space="preserve"> ADDIN EN.CITE &lt;EndNote&gt;&lt;Cite  &gt;&lt;Author&gt;Harris&lt;/Author&gt;&lt;Year&gt;2009&lt;/Year&gt;&lt;RecNum&gt;424&lt;/RecNum&gt;&lt;DisplayText&gt;(Harris et al., 2009)&lt;/DisplayText&gt;&lt;record&gt;&lt;isbn&gt;0004-3591&lt;/isbn&gt;&lt;titles&gt;&lt;title&gt;Elevated insular glutamate in fibromyalgia is associated with experimental pain&lt;/title&gt;&lt;secondary-title&gt;Arthritis &amp;amp;amp; Rheumatism&lt;/secondary-title&gt;&lt;/titles&gt;&lt;pages&gt;3146-3152&lt;/pages&gt;&lt;number&gt;10&lt;/number&gt;&lt;contributors&gt;&lt;authors&gt;&lt;author&gt;Harris, Richard E.&lt;/author&gt;&lt;author&gt;Sundgren, Pia C.&lt;/author&gt;&lt;author&gt;Craig, A. D.&lt;/author&gt;&lt;author&gt;Kirshenbaum, Eric&lt;/author&gt;&lt;author&gt;Sen, Ananda&lt;/author&gt;&lt;author&gt;Napadow, Vitaly&lt;/author&gt;&lt;author&gt;Clauw, Daniel J.&lt;/author&gt;&lt;/authors&gt;&lt;/contributors&gt;&lt;added-date format="utc"&gt;1485547813&lt;/added-date&gt;&lt;pub-location&gt;Hoboken&lt;/pub-location&gt;&lt;ref-type name="Journal Article"&gt;17&lt;/ref-type&gt;&lt;dates&gt;&lt;year&gt;2009&lt;/year&gt;&lt;/dates&gt;&lt;rec-number&gt;424&lt;/rec-number&gt;&lt;last-updated-date format="utc"&gt;1485547813&lt;/last-updated-date&gt;&lt;electronic-resource-num&gt;10.1002/art.24849&lt;/electronic-resource-num&gt;&lt;volume&gt;60&lt;/volume&gt;&lt;/record&gt;&lt;/Cite&gt;&lt;/EndNote&gt;</w:instrText>
      </w:r>
      <w:r>
        <w:rPr>
          <w:lang w:val="fr-FR"/>
        </w:rPr>
        <w:fldChar w:fldCharType="separate"/>
      </w:r>
      <w:r w:rsidRPr="005B5764">
        <w:t>(Harris et al., 2009)</w:t>
      </w:r>
      <w:r>
        <w:rPr>
          <w:lang w:val="fr-FR"/>
        </w:rPr>
        <w:fldChar w:fldCharType="end"/>
      </w:r>
      <w:r>
        <w:rPr>
          <w:lang w:val="en-US"/>
        </w:rPr>
        <w:t>]. The main factor involved in maintaining central sensitization is thought to be the balance between excitatory neurotransmission facilitated by glutamate (</w:t>
      </w:r>
      <w:proofErr w:type="spellStart"/>
      <w:r>
        <w:rPr>
          <w:lang w:val="en-US"/>
        </w:rPr>
        <w:t>Glx</w:t>
      </w:r>
      <w:proofErr w:type="spellEnd"/>
      <w:r>
        <w:rPr>
          <w:lang w:val="en-US"/>
        </w:rPr>
        <w:t xml:space="preserve">) and inhibitory neurotransmission facilitated by gamma amino butyric acid (GABA) </w:t>
      </w:r>
      <w:r>
        <w:rPr>
          <w:lang w:val="en-US"/>
        </w:rPr>
        <w:fldChar w:fldCharType="begin"/>
      </w:r>
      <w:r>
        <w:rPr>
          <w:lang w:val="en-US"/>
        </w:rPr>
        <w:instrText xml:space="preserve"> ADDIN EN.CITE &lt;EndNote&gt;&lt;Cite  &gt;&lt;Author&gt;Latremoliere&lt;/Author&gt;&lt;Year&gt;2009&lt;/Year&gt;&lt;RecNum&gt;420&lt;/RecNum&gt;&lt;DisplayText&gt;(Latremoliere and Woolf, 2009)&lt;/DisplayText&gt;&lt;record&gt;&lt;keywords&gt;&lt;keyword&gt;Central Sensitization&lt;/keyword&gt;&lt;keyword&gt;Inflammatory Pain&lt;/keyword&gt;&lt;keyword&gt;Neuropathic Pain&lt;/keyword&gt;&lt;keyword&gt;Scaffolding Protein&lt;/keyword&gt;&lt;keyword&gt;Heterosynaptic Facilitation&lt;/keyword&gt;&lt;/keywords&gt;&lt;isbn&gt;1526-5900&lt;/isbn&gt;&lt;titles&gt;&lt;title&gt;Central Sensitization: A Generator of Pain Hypersensitivity by Central Neural Plasticity&lt;/title&gt;&lt;secondary-title&gt;Journal of Pain&lt;/secondary-title&gt;&lt;/titles&gt;&lt;pages&gt;895-926&lt;/pages&gt;&lt;number&gt;9&lt;/number&gt;&lt;contributors&gt;&lt;authors&gt;&lt;author&gt;Latremoliere, Alban&lt;/author&gt;&lt;author&gt;Woolf, Clifford J.&lt;/author&gt;&lt;/authors&gt;&lt;/contributors&gt;&lt;added-date format="utc"&gt;1485547214&lt;/added-date&gt;&lt;ref-type name="Journal Article"&gt;17&lt;/ref-type&gt;&lt;dates&gt;&lt;year&gt;2009&lt;/year&gt;&lt;/dates&gt;&lt;rec-number&gt;420&lt;/rec-number&gt;&lt;last-updated-date format="utc"&gt;1485547214&lt;/last-updated-date&gt;&lt;electronic-resource-num&gt;10.1016/j.jpain.2009.06.012&lt;/electronic-resource-num&gt;&lt;volume&gt;10&lt;/volume&gt;&lt;/record&gt;&lt;/Cite&gt;&lt;/EndNote&gt;</w:instrText>
      </w:r>
      <w:r>
        <w:rPr>
          <w:lang w:val="en-US"/>
        </w:rPr>
        <w:fldChar w:fldCharType="separate"/>
      </w:r>
      <w:r>
        <w:rPr>
          <w:lang w:val="en-US"/>
        </w:rPr>
        <w:t>(Latremoliere and Woolf, 2009)</w:t>
      </w:r>
      <w:r>
        <w:rPr>
          <w:lang w:val="en-US"/>
        </w:rPr>
        <w:fldChar w:fldCharType="end"/>
      </w:r>
      <w:r>
        <w:rPr>
          <w:lang w:val="en-US"/>
        </w:rPr>
        <w:t>. In Healthy Volunteers (</w:t>
      </w:r>
      <w:proofErr w:type="spellStart"/>
      <w:r>
        <w:rPr>
          <w:lang w:val="en-US"/>
        </w:rPr>
        <w:t>HV</w:t>
      </w:r>
      <w:proofErr w:type="spellEnd"/>
      <w:r>
        <w:rPr>
          <w:lang w:val="en-US"/>
        </w:rPr>
        <w:t xml:space="preserve">) subjected to acute heat pain stimulation, Cleve et al. demonstrated increased </w:t>
      </w:r>
      <w:proofErr w:type="spellStart"/>
      <w:r>
        <w:rPr>
          <w:lang w:val="en-US"/>
        </w:rPr>
        <w:t>Glx</w:t>
      </w:r>
      <w:proofErr w:type="spellEnd"/>
      <w:r>
        <w:rPr>
          <w:lang w:val="en-US"/>
        </w:rPr>
        <w:t xml:space="preserve"> and decreased GABA in the anterior cingulate cortex (ACC), which is involved in the emotional/affective component of pain processing. More </w:t>
      </w:r>
      <w:r>
        <w:rPr>
          <w:lang w:val="en-US"/>
        </w:rPr>
        <w:lastRenderedPageBreak/>
        <w:t xml:space="preserve">recently, H-MRS was used in clinical interventional trials in fibromyalgia and demonstrated that a reduction in pain intensity was reflected by a reduction in the excitatory neurotransmitter </w:t>
      </w:r>
      <w:proofErr w:type="spellStart"/>
      <w:r>
        <w:rPr>
          <w:lang w:val="en-US"/>
        </w:rPr>
        <w:t>Glx</w:t>
      </w:r>
      <w:proofErr w:type="spellEnd"/>
      <w:r>
        <w:rPr>
          <w:lang w:val="en-US"/>
        </w:rPr>
        <w:t xml:space="preserve"> levels within the posterior insula </w:t>
      </w:r>
      <w:r>
        <w:rPr>
          <w:lang w:val="fr-FR"/>
        </w:rPr>
        <w:fldChar w:fldCharType="begin"/>
      </w:r>
      <w:r w:rsidRPr="005B5764">
        <w:instrText xml:space="preserve"> ADDIN EN.CITE &lt;EndNote&gt;&lt;Cite  &gt;&lt;Author&gt;Harris&lt;/Author&gt;&lt;Year&gt;2013&lt;/Year&gt;&lt;RecNum&gt;426&lt;/RecNum&gt;&lt;DisplayText&gt;(Harris et al., 2013)&lt;/DisplayText&gt;&lt;record&gt;&lt;keywords&gt;&lt;keyword&gt;Analgesics -- Therapeutic Use&lt;/keyword&gt;&lt;keyword&gt;Brain Chemistry -- Drug Effects&lt;/keyword&gt;&lt;keyword&gt;Chronic Pain -- Drug Therapy&lt;/keyword&gt;&lt;keyword&gt;Neural Pathways -- Physiopathology&lt;/keyword&gt;&lt;keyword&gt;Gamma-Aminobutyric Acid -- Drug Effects&lt;/keyword&gt;&lt;keyword&gt;Gamma-Aminobutyric Acid -- Analogs &amp;amp;amp&lt;/keyword&gt;&lt;keyword&gt;Derivatives&lt;/keyword&gt;&lt;/keywords&gt;&lt;titles&gt;&lt;title&gt;Pregabalin rectifies aberrant brain chemistry, connectivity, and functional response in chronic pain patients&lt;/title&gt;&lt;secondary-title&gt;Anesthesiology&lt;/secondary-title&gt;&lt;/titles&gt;&lt;pages&gt;1453&lt;/pages&gt;&lt;number&gt;6&lt;/number&gt;&lt;contributors&gt;&lt;authors&gt;&lt;author&gt;Harris, Richard E.&lt;/author&gt;&lt;author&gt;Napadow, Vitaly&lt;/author&gt;&lt;author&gt;Huggins, John P.&lt;/author&gt;&lt;author&gt;Pauer, Lynne&lt;/author&gt;&lt;author&gt;Kim, Jieun&lt;/author&gt;&lt;author&gt;Hampson, Johnson&lt;/author&gt;&lt;author&gt;Sundgren, Pia C.&lt;/author&gt;&lt;author&gt;Foerster, Bradley&lt;/author&gt;&lt;author&gt;Petrou, Myria&lt;/author&gt;&lt;author&gt;Schmidt-Wilcke, Tobias&lt;/author&gt;&lt;author&gt;Clauw, Daniel J.&lt;/author&gt;&lt;/authors&gt;&lt;/contributors&gt;&lt;added-date format="utc"&gt;1485548296&lt;/added-date&gt;&lt;ref-type name="Journal Article"&gt;17&lt;/ref-type&gt;&lt;dates&gt;&lt;year&gt;2013&lt;/year&gt;&lt;/dates&gt;&lt;rec-number&gt;426&lt;/rec-number&gt;&lt;last-updated-date format="utc"&gt;1485548296&lt;/last-updated-date&gt;&lt;electronic-resource-num&gt;10.1097/ALN.0000000000000017&lt;/electronic-resource-num&gt;&lt;volume&gt;119&lt;/volume&gt;&lt;/record&gt;&lt;/Cite&gt;&lt;/EndNote&gt;</w:instrText>
      </w:r>
      <w:r>
        <w:rPr>
          <w:lang w:val="fr-FR"/>
        </w:rPr>
        <w:fldChar w:fldCharType="separate"/>
      </w:r>
      <w:r w:rsidRPr="005B5764">
        <w:t>(Harris et al., 2013)</w:t>
      </w:r>
      <w:r>
        <w:rPr>
          <w:lang w:val="fr-FR"/>
        </w:rPr>
        <w:fldChar w:fldCharType="end"/>
      </w:r>
      <w:r>
        <w:rPr>
          <w:color w:val="0070C0"/>
          <w:u w:color="0070C0"/>
        </w:rPr>
        <w:t xml:space="preserve"> </w:t>
      </w:r>
      <w:r>
        <w:rPr>
          <w:lang w:val="en-US"/>
        </w:rPr>
        <w:t xml:space="preserve">and the ACC </w:t>
      </w:r>
      <w:r>
        <w:rPr>
          <w:lang w:val="nl-NL"/>
        </w:rPr>
        <w:fldChar w:fldCharType="begin"/>
      </w:r>
      <w:r w:rsidRPr="005B5764">
        <w:instrText xml:space="preserve"> ADDIN EN.CITE &lt;EndNote&gt;&lt;Cite  &gt;&lt;Author&gt;Foerster&lt;/Author&gt;&lt;Year&gt;2015&lt;/Year&gt;&lt;RecNum&gt;427&lt;/RecNum&gt;&lt;DisplayText&gt;(Foerster et al., 2015)&lt;/DisplayText&gt;&lt;record&gt;&lt;keywords&gt;&lt;keyword&gt;Transcranial Direct Current Stimulation&lt;/keyword&gt;&lt;keyword&gt;Brain -- Metabolism&lt;/keyword&gt;&lt;keyword&gt;Fibromyalgia -- Metabolism&lt;/keyword&gt;&lt;keyword&gt;Motor Cortex -- Therapy&lt;/keyword&gt;&lt;keyword&gt;Motor Cortex -- Metabolism&lt;/keyword&gt;&lt;/keywords&gt;&lt;titles&gt;&lt;title&gt;Excitatory and inhibitory brain metabolites as targets of motor cortex transcranial direct current stimulation therapy and predictors of its efficacy in fibromyalgia&lt;/title&gt;&lt;secondary-title&gt;Arthritis &amp;amp;amp; rheumatology (Hoboken, N.J.)&lt;/secondary-title&gt;&lt;/titles&gt;&lt;pages&gt;576&lt;/pages&gt;&lt;number&gt;2&lt;/number&gt;&lt;contributors&gt;&lt;authors&gt;&lt;author&gt;Foerster, Bradley R.&lt;/author&gt;&lt;author&gt;Nascimento, Thiago D.&lt;/author&gt;&lt;author&gt;Deboer, Misty&lt;/author&gt;&lt;author&gt;Bender, Marycatherine A.&lt;/author&gt;&lt;author&gt;Rice, Indie C.&lt;/author&gt;&lt;author&gt;Truong, Dennis Q.&lt;/author&gt;&lt;author&gt;Bikson, Marom&lt;/author&gt;&lt;author&gt;Clauw, Daniel J.&lt;/author&gt;&lt;author&gt;Zubieta, Jon-Kar&lt;/author&gt;&lt;author&gt;Harris, Richard E.&lt;/author&gt;&lt;author&gt;Dasilva, Alexandre F.&lt;/author&gt;&lt;/authors&gt;&lt;/contributors&gt;&lt;added-date format="utc"&gt;1485548547&lt;/added-date&gt;&lt;ref-type name="Journal Article"&gt;17&lt;/ref-type&gt;&lt;dates&gt;&lt;year&gt;2015&lt;/year&gt;&lt;/dates&gt;&lt;rec-number&gt;427&lt;/rec-number&gt;&lt;last-updated-date format="utc"&gt;1485548547&lt;/last-updated-date&gt;&lt;volume&gt;67&lt;/volume&gt;&lt;/record&gt;&lt;/Cite&gt;&lt;/EndNote&gt;</w:instrText>
      </w:r>
      <w:r>
        <w:rPr>
          <w:lang w:val="nl-NL"/>
        </w:rPr>
        <w:fldChar w:fldCharType="separate"/>
      </w:r>
      <w:r w:rsidRPr="005B5764">
        <w:t>(Foerster et al., 2015)</w:t>
      </w:r>
      <w:r>
        <w:rPr>
          <w:lang w:val="nl-NL"/>
        </w:rPr>
        <w:fldChar w:fldCharType="end"/>
      </w:r>
      <w:r>
        <w:rPr>
          <w:color w:val="0070C0"/>
          <w:u w:color="0070C0"/>
          <w:lang w:val="en-US"/>
        </w:rPr>
        <w:t>.</w:t>
      </w:r>
    </w:p>
    <w:p w14:paraId="193C0E8E" w14:textId="77777777" w:rsidR="004F7976" w:rsidRDefault="004F7976" w:rsidP="004F7976">
      <w:pPr>
        <w:pStyle w:val="BodyA"/>
        <w:spacing w:line="480" w:lineRule="auto"/>
        <w:jc w:val="both"/>
        <w:rPr>
          <w:color w:val="FF0000"/>
          <w:u w:color="FF0000"/>
        </w:rPr>
      </w:pPr>
      <w:r>
        <w:rPr>
          <w:lang w:val="en-US"/>
        </w:rPr>
        <w:t xml:space="preserve">Thus far only one study has been performed in </w:t>
      </w:r>
      <w:proofErr w:type="spellStart"/>
      <w:r>
        <w:rPr>
          <w:lang w:val="en-US"/>
        </w:rPr>
        <w:t>DPN</w:t>
      </w:r>
      <w:proofErr w:type="spellEnd"/>
      <w:r>
        <w:rPr>
          <w:lang w:val="en-US"/>
        </w:rPr>
        <w:t xml:space="preserve"> which reported significantly higher </w:t>
      </w:r>
      <w:proofErr w:type="spellStart"/>
      <w:r>
        <w:rPr>
          <w:lang w:val="en-US"/>
        </w:rPr>
        <w:t>Glx</w:t>
      </w:r>
      <w:proofErr w:type="spellEnd"/>
      <w:r>
        <w:rPr>
          <w:lang w:val="en-US"/>
        </w:rPr>
        <w:t xml:space="preserve"> and lower GABA in posterior insula in patients with painful </w:t>
      </w:r>
      <w:proofErr w:type="spellStart"/>
      <w:r>
        <w:rPr>
          <w:lang w:val="en-US"/>
        </w:rPr>
        <w:t>DPN</w:t>
      </w:r>
      <w:proofErr w:type="spellEnd"/>
      <w:r>
        <w:rPr>
          <w:lang w:val="en-US"/>
        </w:rPr>
        <w:t xml:space="preserve"> </w:t>
      </w:r>
      <w:r>
        <w:rPr>
          <w:lang w:val="fr-FR"/>
        </w:rPr>
        <w:fldChar w:fldCharType="begin"/>
      </w:r>
      <w:r w:rsidRPr="005B5764">
        <w:instrText xml:space="preserve"> ADDIN EN.CITE &lt;EndNote&gt;&lt;Cite  &gt;&lt;Author&gt;Petrou&lt;/Author&gt;&lt;Year&gt;2012&lt;/Year&gt;&lt;RecNum&gt;428&lt;/RecNum&gt;&lt;DisplayText&gt;(Petrou et al., 2012)&lt;/DisplayText&gt;&lt;record&gt;&lt;keywords&gt;&lt;keyword&gt;Diabetes&lt;/keyword&gt;&lt;keyword&gt;Neuropathy&lt;/keyword&gt;&lt;keyword&gt;Mr Spectroscopy&lt;/keyword&gt;&lt;keyword&gt;Pain&lt;/keyword&gt;&lt;/keywords&gt;&lt;isbn&gt;1076-6332&lt;/isbn&gt;&lt;titles&gt;&lt;title&gt;Altered Excitation- inhibition Balance in the Brain of Patients with Diabetic Neuropathy&lt;/title&gt;&lt;secondary-title&gt;Academic Radiology&lt;/secondary-title&gt;&lt;/titles&gt;&lt;pages&gt;607-612&lt;/pages&gt;&lt;number&gt;5&lt;/number&gt;&lt;contributors&gt;&lt;authors&gt;&lt;author&gt;Petrou, Myria&lt;/author&gt;&lt;author&gt;Pop-Busui, Rodica&lt;/author&gt;&lt;author&gt;Foerster, Bradley R.&lt;/author&gt;&lt;author&gt;Edden, Richard A.&lt;/author&gt;&lt;author&gt;Callaghan, Brian C.&lt;/author&gt;&lt;author&gt;Harte, Steve E.&lt;/author&gt;&lt;author&gt;Harris, Richard E.&lt;/author&gt;&lt;author&gt;Clauw, Daniel J.&lt;/author&gt;&lt;author&gt;Feldman, Eva L.&lt;/author&gt;&lt;/authors&gt;&lt;/contributors&gt;&lt;added-date format="utc"&gt;1485548717&lt;/added-date&gt;&lt;ref-type name="Journal Article"&gt;17&lt;/ref-type&gt;&lt;dates&gt;&lt;year&gt;2012&lt;/year&gt;&lt;/dates&gt;&lt;rec-number&gt;428&lt;/rec-number&gt;&lt;last-updated-date format="utc"&gt;1485548717&lt;/last-updated-date&gt;&lt;electronic-resource-num&gt;10.1016/j.acra.2012.02.004&lt;/electronic-resource-num&gt;&lt;volume&gt;19&lt;/volume&gt;&lt;/record&gt;&lt;/Cite&gt;&lt;/EndNote&gt;</w:instrText>
      </w:r>
      <w:r>
        <w:rPr>
          <w:lang w:val="fr-FR"/>
        </w:rPr>
        <w:fldChar w:fldCharType="separate"/>
      </w:r>
      <w:r w:rsidRPr="005B5764">
        <w:t>(Petrou et al., 2012)</w:t>
      </w:r>
      <w:r>
        <w:rPr>
          <w:lang w:val="fr-FR"/>
        </w:rPr>
        <w:fldChar w:fldCharType="end"/>
      </w:r>
      <w:r>
        <w:t>.</w:t>
      </w:r>
      <w:r>
        <w:rPr>
          <w:color w:val="FF0000"/>
          <w:u w:color="FF0000"/>
        </w:rPr>
        <w:t xml:space="preserve"> </w:t>
      </w:r>
      <w:r>
        <w:rPr>
          <w:lang w:val="en-US"/>
        </w:rPr>
        <w:t xml:space="preserve">However, this study had a small sample size (n=7 painful </w:t>
      </w:r>
      <w:proofErr w:type="spellStart"/>
      <w:r>
        <w:rPr>
          <w:lang w:val="en-US"/>
        </w:rPr>
        <w:t>DPN</w:t>
      </w:r>
      <w:proofErr w:type="spellEnd"/>
      <w:r>
        <w:rPr>
          <w:lang w:val="en-US"/>
        </w:rPr>
        <w:t xml:space="preserve"> and n=7 </w:t>
      </w:r>
      <w:proofErr w:type="spellStart"/>
      <w:r>
        <w:rPr>
          <w:lang w:val="en-US"/>
        </w:rPr>
        <w:t>HV</w:t>
      </w:r>
      <w:proofErr w:type="spellEnd"/>
      <w:r>
        <w:rPr>
          <w:lang w:val="en-US"/>
        </w:rPr>
        <w:t xml:space="preserve">) and did not involve detailed neuropathy phenotyping. </w:t>
      </w:r>
    </w:p>
    <w:p w14:paraId="30072C30" w14:textId="19925366" w:rsidR="004F7976" w:rsidRDefault="004F7976" w:rsidP="004F7976">
      <w:pPr>
        <w:pStyle w:val="BodyA"/>
        <w:spacing w:line="480" w:lineRule="auto"/>
        <w:jc w:val="both"/>
      </w:pPr>
      <w:r>
        <w:rPr>
          <w:lang w:val="en-US"/>
        </w:rPr>
        <w:t xml:space="preserve">Hence, the aim of this study was to examine the balance between thalamic </w:t>
      </w:r>
      <w:proofErr w:type="spellStart"/>
      <w:r>
        <w:rPr>
          <w:lang w:val="en-US"/>
        </w:rPr>
        <w:t>Glx</w:t>
      </w:r>
      <w:proofErr w:type="spellEnd"/>
      <w:r>
        <w:rPr>
          <w:lang w:val="en-US"/>
        </w:rPr>
        <w:t xml:space="preserve"> and GABA in subjects with painful </w:t>
      </w:r>
      <w:proofErr w:type="spellStart"/>
      <w:r>
        <w:rPr>
          <w:lang w:val="en-US"/>
        </w:rPr>
        <w:t>DPN</w:t>
      </w:r>
      <w:proofErr w:type="spellEnd"/>
      <w:r>
        <w:rPr>
          <w:lang w:val="en-US"/>
        </w:rPr>
        <w:t>. We focused our attention on the thalamus, based on our previous H-MRS study which demonstrated abnormal thalamic neuronal dysfunction in patients with painless bu</w:t>
      </w:r>
      <w:r w:rsidR="00B17210">
        <w:rPr>
          <w:lang w:val="en-US"/>
        </w:rPr>
        <w:t xml:space="preserve">t not painful </w:t>
      </w:r>
      <w:proofErr w:type="spellStart"/>
      <w:r w:rsidR="00B17210">
        <w:rPr>
          <w:lang w:val="en-US"/>
        </w:rPr>
        <w:t>DPN</w:t>
      </w:r>
      <w:proofErr w:type="spellEnd"/>
      <w:r w:rsidR="00B17210">
        <w:rPr>
          <w:lang w:val="en-US"/>
        </w:rPr>
        <w:t>. We hypothesize</w:t>
      </w:r>
      <w:r>
        <w:rPr>
          <w:lang w:val="en-US"/>
        </w:rPr>
        <w:t xml:space="preserve"> alteration in the excitatory and inhibitory neurotransmitters in the thalamus in subjects with </w:t>
      </w:r>
      <w:proofErr w:type="spellStart"/>
      <w:r>
        <w:rPr>
          <w:lang w:val="en-US"/>
        </w:rPr>
        <w:t>DPN</w:t>
      </w:r>
      <w:proofErr w:type="spellEnd"/>
      <w:r>
        <w:rPr>
          <w:lang w:val="en-US"/>
        </w:rPr>
        <w:t>.</w:t>
      </w:r>
    </w:p>
    <w:p w14:paraId="1E36F5AC" w14:textId="77777777" w:rsidR="004F7976" w:rsidRDefault="004F7976" w:rsidP="004F7976">
      <w:pPr>
        <w:pStyle w:val="Heading2"/>
        <w:spacing w:line="480" w:lineRule="auto"/>
        <w:rPr>
          <w:i w:val="0"/>
          <w:iCs w:val="0"/>
          <w:sz w:val="24"/>
          <w:szCs w:val="24"/>
        </w:rPr>
      </w:pPr>
      <w:bookmarkStart w:id="142" w:name="_Toc63"/>
      <w:bookmarkStart w:id="143" w:name="_Toc6093039"/>
      <w:r>
        <w:rPr>
          <w:i w:val="0"/>
          <w:iCs w:val="0"/>
          <w:sz w:val="24"/>
          <w:szCs w:val="24"/>
          <w:lang w:val="en-US"/>
        </w:rPr>
        <w:t>6.2 Methods</w:t>
      </w:r>
      <w:bookmarkEnd w:id="142"/>
      <w:bookmarkEnd w:id="143"/>
    </w:p>
    <w:p w14:paraId="3D7B7EDB" w14:textId="77777777" w:rsidR="004F7976" w:rsidRDefault="004F7976" w:rsidP="004F7976">
      <w:pPr>
        <w:pStyle w:val="Heading3"/>
        <w:spacing w:line="480" w:lineRule="auto"/>
        <w:rPr>
          <w:sz w:val="24"/>
          <w:szCs w:val="24"/>
        </w:rPr>
      </w:pPr>
      <w:bookmarkStart w:id="144" w:name="_Toc64"/>
      <w:bookmarkStart w:id="145" w:name="_Toc6093040"/>
      <w:r>
        <w:rPr>
          <w:sz w:val="24"/>
          <w:szCs w:val="24"/>
          <w:lang w:val="en-US"/>
        </w:rPr>
        <w:t>6.2.1 Subjects</w:t>
      </w:r>
      <w:bookmarkEnd w:id="144"/>
      <w:bookmarkEnd w:id="145"/>
    </w:p>
    <w:p w14:paraId="45BE7A50" w14:textId="77777777" w:rsidR="004F7976" w:rsidRDefault="004F7976" w:rsidP="004F7976">
      <w:pPr>
        <w:pStyle w:val="BodyA"/>
        <w:spacing w:line="480" w:lineRule="auto"/>
        <w:jc w:val="both"/>
      </w:pPr>
      <w:r>
        <w:rPr>
          <w:lang w:val="en-US"/>
        </w:rPr>
        <w:t>Fifty-nine subjects, [</w:t>
      </w:r>
      <w:proofErr w:type="spellStart"/>
      <w:r>
        <w:rPr>
          <w:lang w:val="en-US"/>
        </w:rPr>
        <w:t>HV</w:t>
      </w:r>
      <w:proofErr w:type="spellEnd"/>
      <w:r>
        <w:rPr>
          <w:lang w:val="en-US"/>
        </w:rPr>
        <w:t xml:space="preserve"> (n=15), No </w:t>
      </w:r>
      <w:proofErr w:type="spellStart"/>
      <w:r>
        <w:rPr>
          <w:lang w:val="en-US"/>
        </w:rPr>
        <w:t>DPN</w:t>
      </w:r>
      <w:proofErr w:type="spellEnd"/>
      <w:r>
        <w:rPr>
          <w:lang w:val="en-US"/>
        </w:rPr>
        <w:t xml:space="preserve"> (n=15), Painless </w:t>
      </w:r>
      <w:proofErr w:type="spellStart"/>
      <w:r>
        <w:rPr>
          <w:lang w:val="en-US"/>
        </w:rPr>
        <w:t>DPN</w:t>
      </w:r>
      <w:proofErr w:type="spellEnd"/>
      <w:r>
        <w:rPr>
          <w:lang w:val="en-US"/>
        </w:rPr>
        <w:t xml:space="preserve"> (n=15) and Painful </w:t>
      </w:r>
      <w:proofErr w:type="spellStart"/>
      <w:r>
        <w:rPr>
          <w:lang w:val="en-US"/>
        </w:rPr>
        <w:t>DPN</w:t>
      </w:r>
      <w:proofErr w:type="spellEnd"/>
      <w:r>
        <w:rPr>
          <w:lang w:val="en-US"/>
        </w:rPr>
        <w:t xml:space="preserve"> (n=14)] participated in this study. Please see general methods sub section 3.1 for details on inclusion and exclusion criteria and the source of patient recruitments.</w:t>
      </w:r>
    </w:p>
    <w:p w14:paraId="37673856" w14:textId="77777777" w:rsidR="004F7976" w:rsidRDefault="004F7976" w:rsidP="004F7976">
      <w:pPr>
        <w:pStyle w:val="Heading3"/>
        <w:spacing w:line="480" w:lineRule="auto"/>
        <w:rPr>
          <w:sz w:val="24"/>
          <w:szCs w:val="24"/>
        </w:rPr>
      </w:pPr>
      <w:bookmarkStart w:id="146" w:name="_Toc65"/>
      <w:bookmarkStart w:id="147" w:name="_Toc6093041"/>
      <w:r>
        <w:rPr>
          <w:sz w:val="24"/>
          <w:szCs w:val="24"/>
          <w:lang w:val="en-US"/>
        </w:rPr>
        <w:t>6.2.2 Neuropathy Assessment</w:t>
      </w:r>
      <w:bookmarkEnd w:id="146"/>
      <w:bookmarkEnd w:id="147"/>
    </w:p>
    <w:p w14:paraId="0DE91CF4" w14:textId="77777777" w:rsidR="004F7976" w:rsidRDefault="004F7976" w:rsidP="004F7976">
      <w:pPr>
        <w:pStyle w:val="BodyA"/>
        <w:spacing w:after="0" w:line="480" w:lineRule="auto"/>
        <w:jc w:val="both"/>
        <w:rPr>
          <w:rFonts w:ascii="Calibri" w:eastAsia="Calibri" w:hAnsi="Calibri" w:cs="Calibri"/>
        </w:rPr>
      </w:pPr>
      <w:r>
        <w:rPr>
          <w:rFonts w:ascii="Calibri" w:eastAsia="Calibri" w:hAnsi="Calibri" w:cs="Calibri"/>
          <w:lang w:val="en-US"/>
        </w:rPr>
        <w:t xml:space="preserve">Neuropathy assessment was done as described in the general method sub section 3.2. Based on these assessments and the DN4 questionnaire score, subjects with T2DM were divided </w:t>
      </w:r>
      <w:r>
        <w:rPr>
          <w:rFonts w:ascii="Calibri" w:eastAsia="Calibri" w:hAnsi="Calibri" w:cs="Calibri"/>
          <w:lang w:val="en-US"/>
        </w:rPr>
        <w:lastRenderedPageBreak/>
        <w:t xml:space="preserve">into three groups (No </w:t>
      </w:r>
      <w:proofErr w:type="spellStart"/>
      <w:r>
        <w:rPr>
          <w:rFonts w:ascii="Calibri" w:eastAsia="Calibri" w:hAnsi="Calibri" w:cs="Calibri"/>
          <w:lang w:val="en-US"/>
        </w:rPr>
        <w:t>DPN</w:t>
      </w:r>
      <w:proofErr w:type="spellEnd"/>
      <w:r>
        <w:rPr>
          <w:rFonts w:ascii="Calibri" w:eastAsia="Calibri" w:hAnsi="Calibri" w:cs="Calibri"/>
          <w:lang w:val="en-US"/>
        </w:rPr>
        <w:t xml:space="preserve">, Painless </w:t>
      </w:r>
      <w:proofErr w:type="spellStart"/>
      <w:r>
        <w:rPr>
          <w:rFonts w:ascii="Calibri" w:eastAsia="Calibri" w:hAnsi="Calibri" w:cs="Calibri"/>
          <w:lang w:val="en-US"/>
        </w:rPr>
        <w:t>DPN</w:t>
      </w:r>
      <w:proofErr w:type="spellEnd"/>
      <w:r>
        <w:rPr>
          <w:rFonts w:ascii="Calibri" w:eastAsia="Calibri" w:hAnsi="Calibri" w:cs="Calibri"/>
          <w:lang w:val="en-US"/>
        </w:rPr>
        <w:t xml:space="preserve"> and Painful </w:t>
      </w:r>
      <w:proofErr w:type="spellStart"/>
      <w:r>
        <w:rPr>
          <w:rFonts w:ascii="Calibri" w:eastAsia="Calibri" w:hAnsi="Calibri" w:cs="Calibri"/>
          <w:lang w:val="en-US"/>
        </w:rPr>
        <w:t>DPN</w:t>
      </w:r>
      <w:proofErr w:type="spellEnd"/>
      <w:r>
        <w:rPr>
          <w:rFonts w:ascii="Calibri" w:eastAsia="Calibri" w:hAnsi="Calibri" w:cs="Calibri"/>
          <w:lang w:val="en-US"/>
        </w:rPr>
        <w:t>) as described in the general methods section.</w:t>
      </w:r>
    </w:p>
    <w:p w14:paraId="43086AB9" w14:textId="77777777" w:rsidR="004F7976" w:rsidRDefault="004F7976" w:rsidP="004F7976">
      <w:pPr>
        <w:pStyle w:val="Heading3"/>
        <w:spacing w:line="480" w:lineRule="auto"/>
        <w:rPr>
          <w:sz w:val="24"/>
          <w:szCs w:val="24"/>
        </w:rPr>
      </w:pPr>
      <w:bookmarkStart w:id="148" w:name="_Toc66"/>
      <w:bookmarkStart w:id="149" w:name="_Toc6093042"/>
      <w:r>
        <w:rPr>
          <w:sz w:val="24"/>
          <w:szCs w:val="24"/>
          <w:lang w:val="en-US"/>
        </w:rPr>
        <w:t>6.2.3 Skin Biopsy Procedure</w:t>
      </w:r>
      <w:bookmarkEnd w:id="148"/>
      <w:bookmarkEnd w:id="149"/>
    </w:p>
    <w:p w14:paraId="34F309E2" w14:textId="77777777" w:rsidR="004F7976" w:rsidRDefault="004F7976" w:rsidP="004F7976">
      <w:pPr>
        <w:pStyle w:val="BodyA"/>
        <w:spacing w:line="480" w:lineRule="auto"/>
        <w:jc w:val="both"/>
      </w:pPr>
      <w:r>
        <w:rPr>
          <w:lang w:val="en-US"/>
        </w:rPr>
        <w:t xml:space="preserve">Skin biopsy procedure as explained in sub section 3.3. </w:t>
      </w:r>
    </w:p>
    <w:p w14:paraId="6ACEF24C" w14:textId="77777777" w:rsidR="004F7976" w:rsidRDefault="004F7976" w:rsidP="004F7976">
      <w:pPr>
        <w:pStyle w:val="Heading3"/>
        <w:spacing w:line="480" w:lineRule="auto"/>
        <w:rPr>
          <w:sz w:val="24"/>
          <w:szCs w:val="24"/>
        </w:rPr>
      </w:pPr>
      <w:bookmarkStart w:id="150" w:name="_Toc67"/>
      <w:bookmarkStart w:id="151" w:name="_Toc6093043"/>
      <w:r w:rsidRPr="005B5764">
        <w:rPr>
          <w:sz w:val="24"/>
          <w:szCs w:val="24"/>
        </w:rPr>
        <w:t>6.2.4 MRS Protocol</w:t>
      </w:r>
      <w:bookmarkEnd w:id="150"/>
      <w:bookmarkEnd w:id="151"/>
    </w:p>
    <w:p w14:paraId="20324D97" w14:textId="3F0B2E26" w:rsidR="004F7976" w:rsidRDefault="004F7976" w:rsidP="004F7976">
      <w:pPr>
        <w:pStyle w:val="BodyA"/>
        <w:spacing w:after="480" w:line="480" w:lineRule="auto"/>
        <w:jc w:val="both"/>
      </w:pPr>
      <w:r>
        <w:rPr>
          <w:lang w:val="en-US"/>
        </w:rPr>
        <w:t>1H-MRS at 3 Tesla static magnetic field strength was used (</w:t>
      </w:r>
      <w:proofErr w:type="spellStart"/>
      <w:r>
        <w:rPr>
          <w:lang w:val="en-US"/>
        </w:rPr>
        <w:t>Ingenia</w:t>
      </w:r>
      <w:proofErr w:type="spellEnd"/>
      <w:r>
        <w:rPr>
          <w:lang w:val="en-US"/>
        </w:rPr>
        <w:t xml:space="preserve"> 3.0T, Philips Healthcare, Best, NL) and prior to spectroscopy, a T1-weighted, 3-dimensional image dataset was obtained for spectroscopic voxel </w:t>
      </w:r>
      <w:proofErr w:type="spellStart"/>
      <w:r>
        <w:rPr>
          <w:lang w:val="en-US"/>
        </w:rPr>
        <w:t>localisation</w:t>
      </w:r>
      <w:proofErr w:type="spellEnd"/>
      <w:r>
        <w:rPr>
          <w:lang w:val="en-US"/>
        </w:rPr>
        <w:t xml:space="preserve"> (Figure 6.1) as well as radiological review. GABA is the main inhibitory neurotransmitter but is present in the brain in low concentrations (millimolar levels). However, it is possible to detect these metabolites with MRS by tailoring MRS techniques to isolate GABA alone from the whole spectra using spectral editing methods </w:t>
      </w:r>
      <w:r>
        <w:rPr>
          <w:lang w:val="en-US"/>
        </w:rPr>
        <w:fldChar w:fldCharType="begin"/>
      </w:r>
      <w:r>
        <w:rPr>
          <w:lang w:val="en-US"/>
        </w:rPr>
        <w:instrText xml:space="preserve"> ADDIN EN.CITE &lt;EndNote&gt;&lt;Cite  &gt;&lt;Author&gt;Puts&lt;/Author&gt;&lt;Year&gt;2011&lt;/Year&gt;&lt;RecNum&gt;429&lt;/RecNum&gt;&lt;DisplayText&gt;(Puts and Edden, 2011)&lt;/DisplayText&gt;&lt;record&gt;&lt;keywords&gt;&lt;keyword&gt;Gaba&lt;/keyword&gt;&lt;keyword&gt;Mrs&lt;/keyword&gt;&lt;keyword&gt;J-Difference Editing&lt;/keyword&gt;&lt;keyword&gt;J-Press&lt;/keyword&gt;&lt;keyword&gt;Inhibition&lt;/keyword&gt;&lt;/keywords&gt;&lt;isbn&gt;0079-6565&lt;/isbn&gt;&lt;titles&gt;&lt;title&gt;In vivo magnetic resonance spectroscopy of GABA: A methodological review&lt;/title&gt;&lt;secondary-title&gt;Progress in Nuclear Magnetic Resonance Spectroscopy&lt;/secondary-title&gt;&lt;/titles&gt;&lt;contributors&gt;&lt;authors&gt;&lt;author&gt;Puts, Nicolaas A. J.&lt;/author&gt;&lt;author&gt;Edden, Richard A. E.&lt;/author&gt;&lt;/authors&gt;&lt;/contributors&gt;&lt;added-date format="utc"&gt;1485549495&lt;/added-date&gt;&lt;ref-type name="Journal Article"&gt;17&lt;/ref-type&gt;&lt;dates&gt;&lt;year&gt;2011&lt;/year&gt;&lt;/dates&gt;&lt;rec-number&gt;429&lt;/rec-number&gt;&lt;last-updated-date format="utc"&gt;1485549495&lt;/last-updated-date&gt;&lt;electronic-resource-num&gt;10.1016/j.pnmrs.2011.06.001&lt;/electronic-resource-num&gt;&lt;/record&gt;&lt;/Cite&gt;&lt;/EndNote&gt;</w:instrText>
      </w:r>
      <w:r>
        <w:rPr>
          <w:lang w:val="en-US"/>
        </w:rPr>
        <w:fldChar w:fldCharType="separate"/>
      </w:r>
      <w:r>
        <w:rPr>
          <w:lang w:val="en-US"/>
        </w:rPr>
        <w:t>(Puts and Edden, 2011)</w:t>
      </w:r>
      <w:r>
        <w:rPr>
          <w:lang w:val="en-US"/>
        </w:rPr>
        <w:fldChar w:fldCharType="end"/>
      </w:r>
      <w:r>
        <w:rPr>
          <w:lang w:val="en-US"/>
        </w:rPr>
        <w:t>. A GABA signal at 3.0 ppm is usually ‘</w:t>
      </w:r>
      <w:r w:rsidRPr="005B5764">
        <w:t>hidden</w:t>
      </w:r>
      <w:r>
        <w:rPr>
          <w:lang w:val="en-US"/>
        </w:rPr>
        <w:t xml:space="preserve">’ or dominated by the creatine resonance (also at 3.0ppm). This GABA resonance is coupled to another GABA resonance at 1.9 ppm, unlike creatine. Using spectral editing techniques, it is possible to subtract the creatine signal and reveal the 3.0ppm GABA resonance. A </w:t>
      </w:r>
      <w:proofErr w:type="spellStart"/>
      <w:r w:rsidRPr="005B5764">
        <w:rPr>
          <w:shd w:val="clear" w:color="auto" w:fill="FFFFFF"/>
        </w:rPr>
        <w:t>MEscher</w:t>
      </w:r>
      <w:proofErr w:type="spellEnd"/>
      <w:r>
        <w:rPr>
          <w:shd w:val="clear" w:color="auto" w:fill="FFFFFF"/>
          <w:lang w:val="en-US"/>
        </w:rPr>
        <w:t>–</w:t>
      </w:r>
      <w:proofErr w:type="spellStart"/>
      <w:r w:rsidRPr="005B5764">
        <w:rPr>
          <w:shd w:val="clear" w:color="auto" w:fill="FFFFFF"/>
        </w:rPr>
        <w:t>GArwood</w:t>
      </w:r>
      <w:proofErr w:type="spellEnd"/>
      <w:r>
        <w:rPr>
          <w:rFonts w:ascii="Cambria Math" w:eastAsia="Cambria Math" w:hAnsi="Cambria Math" w:cs="Cambria Math"/>
          <w:shd w:val="clear" w:color="auto" w:fill="FFFFFF"/>
          <w:lang w:val="en-US"/>
        </w:rPr>
        <w:t>‐</w:t>
      </w:r>
      <w:r>
        <w:rPr>
          <w:shd w:val="clear" w:color="auto" w:fill="FFFFFF"/>
          <w:lang w:val="en-US"/>
        </w:rPr>
        <w:t xml:space="preserve">Point </w:t>
      </w:r>
      <w:proofErr w:type="spellStart"/>
      <w:r>
        <w:rPr>
          <w:shd w:val="clear" w:color="auto" w:fill="FFFFFF"/>
          <w:lang w:val="en-US"/>
        </w:rPr>
        <w:t>RESolved</w:t>
      </w:r>
      <w:proofErr w:type="spellEnd"/>
      <w:r>
        <w:rPr>
          <w:shd w:val="clear" w:color="auto" w:fill="FFFFFF"/>
          <w:lang w:val="en-US"/>
        </w:rPr>
        <w:t xml:space="preserve"> Spectroscopy</w:t>
      </w:r>
      <w:r>
        <w:t xml:space="preserve"> (</w:t>
      </w:r>
      <w:r>
        <w:rPr>
          <w:lang w:val="en-US"/>
        </w:rPr>
        <w:t xml:space="preserve">MEGA-PRESS) </w:t>
      </w:r>
      <w:r>
        <w:rPr>
          <w:lang w:val="en-US"/>
        </w:rPr>
        <w:fldChar w:fldCharType="begin"/>
      </w:r>
      <w:r>
        <w:rPr>
          <w:lang w:val="en-US"/>
        </w:rPr>
        <w:instrText xml:space="preserve"> ADDIN EN.CITE &lt;EndNote&gt;&lt;Cite  &gt;&lt;Author&gt;Puts&lt;/Author&gt;&lt;Year&gt;2011&lt;/Year&gt;&lt;RecNum&gt;429&lt;/RecNum&gt;&lt;DisplayText&gt;(Puts and Edden, 2011, Mescher et al., 1998)&lt;/DisplayText&gt;&lt;record&gt;&lt;keywords&gt;&lt;keyword&gt;Gaba&lt;/keyword&gt;&lt;keyword&gt;Mrs&lt;/keyword&gt;&lt;keyword&gt;J-Difference Editing&lt;/keyword&gt;&lt;keyword&gt;J-Press&lt;/keyword&gt;&lt;keyword&gt;Inhibition&lt;/keyword&gt;&lt;/keywords&gt;&lt;isbn&gt;0079-6565&lt;/isbn&gt;&lt;titles&gt;&lt;title&gt;In vivo magnetic resonance spectroscopy of GABA: A methodological review&lt;/title&gt;&lt;secondary-title&gt;Progress in Nuclear Magnetic Resonance Spectroscopy&lt;/secondary-title&gt;&lt;/titles&gt;&lt;contributors&gt;&lt;authors&gt;&lt;author&gt;Puts, Nicolaas A. J.&lt;/author&gt;&lt;author&gt;Edden, Richard A. E.&lt;/author&gt;&lt;/authors&gt;&lt;/contributors&gt;&lt;added-date format="utc"&gt;1485549495&lt;/added-date&gt;&lt;ref-type name="Journal Article"&gt;17&lt;/ref-type&gt;&lt;dates&gt;&lt;year&gt;2011&lt;/year&gt;&lt;/dates&gt;&lt;rec-number&gt;429&lt;/rec-number&gt;&lt;last-updated-date format="utc"&gt;1485549495&lt;/last-updated-date&gt;&lt;electronic-resource-num&gt;10.1016/j.pnmrs.2011.06.001&lt;/electronic-resource-num&gt;&lt;/record&gt;&lt;/Cite&gt;&lt;Cite  &gt;&lt;Author&gt;Mescher&lt;/Author&gt;&lt;Year&gt;1998&lt;/Year&gt;&lt;RecNum&gt;584&lt;/RecNum&gt;&lt;record&gt;&lt;dates&gt;&lt;pub-dates&gt;&lt;date&gt;Oct&lt;/date&gt;&lt;/pub-dates&gt;&lt;year&gt;1998&lt;/year&gt;&lt;/dates&gt;&lt;keywords&gt;&lt;keyword&gt;Brain Chemistry&lt;/keyword&gt;&lt;keyword&gt;Creatine&lt;/keyword&gt;&lt;keyword&gt;Humans&lt;/keyword&gt;&lt;keyword&gt;Magnetic Resonance Spectroscopy&lt;/keyword&gt;&lt;keyword&gt;Magnetics&lt;/keyword&gt;&lt;keyword&gt;Water&lt;/keyword&gt;&lt;keyword&gt;gamma-Aminobutyric Acid&lt;/keyword&gt;&lt;/keywords&gt;&lt;urls&gt;&lt;related-urls&gt;&lt;url&gt;https://www.ncbi.nlm.nih.gov/pubmed/9802468&lt;/url&gt;&lt;/related-urls&gt;&lt;/urls&gt;&lt;isbn&gt;0952-3480&lt;/isbn&gt;&lt;titles&gt;&lt;title&gt;Simultaneous in vivo spectral editing and water suppression&lt;/title&gt;&lt;secondary-title&gt;NMR Biomed&lt;/secondary-title&gt;&lt;/titles&gt;&lt;pages&gt;266-72&lt;/pages&gt;&lt;number&gt;6&lt;/number&gt;&lt;contributors&gt;&lt;authors&gt;&lt;author&gt;Mescher, M.&lt;/author&gt;&lt;author&gt;Merkle, H.&lt;/author&gt;&lt;author&gt;Kirsch, J.&lt;/author&gt;&lt;author&gt;Garwood, M.&lt;/author&gt;&lt;author&gt;Gruetter, R.&lt;/author&gt;&lt;/authors&gt;&lt;/contributors&gt;&lt;language&gt;eng&lt;/language&gt;&lt;added-date format="utc"&gt;1554593013&lt;/added-date&gt;&lt;ref-type name="Journal Article"&gt;17&lt;/ref-type&gt;&lt;rec-number&gt;584&lt;/rec-number&gt;&lt;last-updated-date format="utc"&gt;1554593013&lt;/last-updated-date&gt;&lt;accession-num&gt;9802468&lt;/accession-num&gt;&lt;volume&gt;11&lt;/volume&gt;&lt;/record&gt;&lt;/Cite&gt;&lt;/EndNote&gt;</w:instrText>
      </w:r>
      <w:r>
        <w:rPr>
          <w:lang w:val="en-US"/>
        </w:rPr>
        <w:fldChar w:fldCharType="separate"/>
      </w:r>
      <w:r>
        <w:rPr>
          <w:lang w:val="en-US"/>
        </w:rPr>
        <w:t>(Puts and Edden, 2011, Mescher et al., 1998)</w:t>
      </w:r>
      <w:r>
        <w:rPr>
          <w:lang w:val="en-US"/>
        </w:rPr>
        <w:fldChar w:fldCharType="end"/>
      </w:r>
      <w:r>
        <w:t xml:space="preserve"> </w:t>
      </w:r>
      <w:r>
        <w:rPr>
          <w:lang w:val="en-US"/>
        </w:rPr>
        <w:t xml:space="preserve">experiment optimized for ‘GABA+’ detection was performed with the following parameters: echo time = 68 </w:t>
      </w:r>
      <w:proofErr w:type="spellStart"/>
      <w:r>
        <w:rPr>
          <w:lang w:val="en-US"/>
        </w:rPr>
        <w:t>ms</w:t>
      </w:r>
      <w:proofErr w:type="spellEnd"/>
      <w:r>
        <w:rPr>
          <w:lang w:val="en-US"/>
        </w:rPr>
        <w:t xml:space="preserve"> (TE1 = 15 </w:t>
      </w:r>
      <w:proofErr w:type="spellStart"/>
      <w:r>
        <w:rPr>
          <w:lang w:val="en-US"/>
        </w:rPr>
        <w:t>ms</w:t>
      </w:r>
      <w:proofErr w:type="spellEnd"/>
      <w:r>
        <w:rPr>
          <w:lang w:val="en-US"/>
        </w:rPr>
        <w:t xml:space="preserve">, TE2 = 53 </w:t>
      </w:r>
      <w:proofErr w:type="spellStart"/>
      <w:r>
        <w:rPr>
          <w:lang w:val="en-US"/>
        </w:rPr>
        <w:t>ms</w:t>
      </w:r>
      <w:proofErr w:type="spellEnd"/>
      <w:r>
        <w:rPr>
          <w:lang w:val="en-US"/>
        </w:rPr>
        <w:t xml:space="preserve">); repetition time = 1.8 seconds; 256 transients of 2000 </w:t>
      </w:r>
      <w:r w:rsidR="00E574F1">
        <w:rPr>
          <w:lang w:val="en-US"/>
        </w:rPr>
        <w:t>data points</w:t>
      </w:r>
      <w:r>
        <w:rPr>
          <w:lang w:val="en-US"/>
        </w:rPr>
        <w:t xml:space="preserve">; spectral width = 2 kHz; frequency selective editing pulses (15 </w:t>
      </w:r>
      <w:proofErr w:type="spellStart"/>
      <w:r>
        <w:rPr>
          <w:lang w:val="en-US"/>
        </w:rPr>
        <w:t>ms</w:t>
      </w:r>
      <w:proofErr w:type="spellEnd"/>
      <w:r>
        <w:rPr>
          <w:lang w:val="en-US"/>
        </w:rPr>
        <w:t xml:space="preserve">) applied at 1.9 ppm and 7.46 ppm (on/off, respectively) </w:t>
      </w:r>
      <w:r>
        <w:fldChar w:fldCharType="begin"/>
      </w:r>
      <w:r>
        <w:instrText xml:space="preserve"> ADDIN EN.CITE &lt;EndNote&gt;&lt;Cite  &gt;&lt;Author&gt;Mikkelsen&lt;/Author&gt;&lt;Year&gt;2017&lt;/Year&gt;&lt;DisplayText&gt;(Mikkelsen et al., 2017)&lt;/DisplayText&gt;&lt;record&gt;&lt;dates&gt;&lt;pub-dates&gt;&lt;date&gt;10&lt;/date&gt;&lt;/pub-dates&gt;&lt;year&gt;2017&lt;/year&gt;&lt;/dates&gt;&lt;keywords&gt;&lt;keyword&gt;Adult&lt;/keyword&gt;&lt;keyword&gt;Brain&lt;/keyword&gt;&lt;keyword&gt;Datasets as Topic&lt;/keyword&gt;&lt;keyword&gt;Female&lt;/keyword&gt;&lt;keyword&gt;Humans&lt;/keyword&gt;&lt;keyword&gt;Magnetic Resonance Spectroscopy&lt;/keyword&gt;&lt;keyword&gt;Male&lt;/keyword&gt;&lt;keyword&gt;Young Adult&lt;/keyword&gt;&lt;keyword&gt;gamma-Aminobutyric Acid&lt;/keyword&gt;&lt;keyword&gt;Editing&lt;/keyword&gt;&lt;keyword&gt;GABA&lt;/keyword&gt;&lt;keyword&gt;MEGA-PRESS&lt;/keyword&gt;&lt;keyword&gt;MRS&lt;/keyword&gt;&lt;keyword&gt;Multi-site study&lt;/keyword&gt;&lt;/keywords&gt;&lt;urls&gt;&lt;related-urls&gt;&lt;url&gt;https://www.ncbi.nlm.nih.gov/pubmed/28716717&lt;/url&gt;&lt;/related-urls&gt;&lt;/urls&gt;&lt;isbn&gt;1095-9572&lt;/isbn&gt;&lt;custom2&gt;PMC5700835&lt;/custom2&gt;&lt;titles&gt;&lt;title&gt;Big GABA: Edited MR spectroscopy at 24 research sites&lt;/title&gt;&lt;secondary-title&gt;Neuroimage&lt;/secondary-title&gt;&lt;/titles&gt;&lt;pages&gt;32-45&lt;/pages&gt;&lt;contributors&gt;&lt;authors&gt;&lt;author&gt;Mikkelsen, M.&lt;/author&gt;&lt;author&gt;Barker, P. B.&lt;/author&gt;&lt;author&gt;Bhattacharyya, P. K.&lt;/author&gt;&lt;author&gt;Brix, M. K.&lt;/author&gt;&lt;author&gt;Buur, P. F.&lt;/author&gt;&lt;author&gt;Cecil, K. M.&lt;/author&gt;&lt;author&gt;Chan, K. L.&lt;/author&gt;&lt;author&gt;Chen, D. Y.&lt;/author&gt;&lt;author&gt;Craven, A. R.&lt;/author&gt;&lt;author&gt;Cuypers, K.&lt;/author&gt;&lt;author&gt;Dacko, M.&lt;/author&gt;&lt;author&gt;Duncan, N. W.&lt;/author&gt;&lt;author&gt;Dydak, U.&lt;/author&gt;&lt;author&gt;Edmondson, D. A.&lt;/author&gt;&lt;author&gt;Ende, G.&lt;/author&gt;&lt;author&gt;Ersland, L.&lt;/author&gt;&lt;author&gt;Gao, F.&lt;/author&gt;&lt;author&gt;Greenhouse, I.&lt;/author&gt;&lt;author&gt;Harris, A. D.&lt;/author&gt;&lt;author&gt;He, N.&lt;/author&gt;&lt;author&gt;Heba, S.&lt;/author&gt;&lt;author&gt;Hoggard, N.&lt;/author&gt;&lt;author&gt;Hsu, T. W.&lt;/author&gt;&lt;author&gt;Jansen, J. F. A.&lt;/author&gt;&lt;author&gt;Kangarlu, A.&lt;/author&gt;&lt;author&gt;Lange, T.&lt;/author&gt;&lt;author&gt;Lebel, R. M.&lt;/author&gt;&lt;author&gt;Li, Y.&lt;/author&gt;&lt;author&gt;Lin, C. E.&lt;/author&gt;&lt;author&gt;Liou, J. K.&lt;/author&gt;&lt;author&gt;Lirng, J. F.&lt;/author&gt;&lt;author&gt;Liu, F.&lt;/author&gt;&lt;author&gt;Ma, R.&lt;/author&gt;&lt;author&gt;Maes, C.&lt;/author&gt;&lt;author&gt;Moreno-Ortega, M.&lt;/author&gt;&lt;author&gt;Murray, S. O.&lt;/author&gt;&lt;author&gt;Noah, S.&lt;/author&gt;&lt;author&gt;Noeske, R.&lt;/author&gt;&lt;author&gt;Noseworthy, M. D.&lt;/author&gt;&lt;author&gt;Oeltzschner, G.&lt;/author&gt;&lt;author&gt;Prisciandaro, J. J.&lt;/author&gt;&lt;author&gt;Puts, N. A. J.&lt;/author&gt;&lt;author&gt;Roberts, T. P. L.&lt;/author&gt;&lt;author&gt;Sack, M.&lt;/author&gt;&lt;author&gt;Sailasuta, N.&lt;/author&gt;&lt;author&gt;Saleh, M. G.&lt;/author&gt;&lt;author&gt;Schallmo, M. P.&lt;/author&gt;&lt;author&gt;Simard, N.&lt;/author&gt;&lt;author&gt;Swinnen, S. P.&lt;/author&gt;&lt;author&gt;Tegenthoff, M.&lt;/author&gt;&lt;author&gt;Truong, P.&lt;/author&gt;&lt;author&gt;Wang, G.&lt;/author&gt;&lt;author&gt;Wilkinson, I. D.&lt;/author&gt;&lt;author&gt;Wittsack, H. J.&lt;/author&gt;&lt;author&gt;Xu, H.&lt;/author&gt;&lt;author&gt;Yan, F.&lt;/author&gt;&lt;author&gt;Zhang, C.&lt;/author&gt;&lt;author&gt;Zipunnikov, V.&lt;/author&gt;&lt;author&gt;Zöllner, H. J.&lt;/author&gt;&lt;author&gt;Edden, R. A. E.&lt;/author&gt;&lt;/authors&gt;&lt;/contributors&gt;&lt;edition&gt;2017/07/14&lt;/edition&gt;&lt;language&gt;eng&lt;/language&gt;&lt;added-date format="utc"&gt;1554593162&lt;/added-date&gt;&lt;ref-type name="Journal Article"&gt;17&lt;/ref-type&gt;&lt;rec-number&gt;585&lt;/rec-number&gt;&lt;last-updated-date format="utc"&gt;1554593162&lt;/last-updated-date&gt;&lt;accession-num&gt;28716717&lt;/accession-num&gt;&lt;electronic-resource-num&gt;10.1016/j.neuroimage.2017.07.021&lt;/electronic-resource-num&gt;&lt;volume&gt;159&lt;/volume&gt;&lt;/record&gt;&lt;/Cite&gt;&lt;/EndNote&gt;</w:instrText>
      </w:r>
      <w:r>
        <w:fldChar w:fldCharType="separate"/>
      </w:r>
      <w:r>
        <w:t>(Mikkelsen et al., 2017)</w:t>
      </w:r>
      <w:r>
        <w:fldChar w:fldCharType="end"/>
      </w:r>
      <w:r>
        <w:rPr>
          <w:lang w:val="en-US"/>
        </w:rPr>
        <w:t xml:space="preserve">. The water signal was </w:t>
      </w:r>
      <w:proofErr w:type="spellStart"/>
      <w:r>
        <w:rPr>
          <w:lang w:val="en-US"/>
        </w:rPr>
        <w:t>minimised</w:t>
      </w:r>
      <w:proofErr w:type="spellEnd"/>
      <w:r>
        <w:rPr>
          <w:lang w:val="en-US"/>
        </w:rPr>
        <w:t xml:space="preserve"> using a chemical shift selective (CHESS) radiofrequency pulse.</w:t>
      </w:r>
    </w:p>
    <w:p w14:paraId="44D7569F" w14:textId="0DCC671B" w:rsidR="004F7976" w:rsidRDefault="004F7976" w:rsidP="00C311C6">
      <w:pPr>
        <w:pStyle w:val="BodyA"/>
        <w:spacing w:line="360" w:lineRule="auto"/>
        <w:rPr>
          <w:b/>
          <w:bCs/>
          <w:lang w:val="en-US"/>
        </w:rPr>
      </w:pPr>
      <w:r>
        <w:rPr>
          <w:b/>
          <w:bCs/>
          <w:noProof/>
          <w:lang w:eastAsia="zh-CN"/>
        </w:rPr>
        <w:lastRenderedPageBreak/>
        <w:drawing>
          <wp:inline distT="0" distB="0" distL="0" distR="0" wp14:anchorId="5E1BA614" wp14:editId="65BF241B">
            <wp:extent cx="5727700" cy="4773930"/>
            <wp:effectExtent l="0" t="0" r="0" b="0"/>
            <wp:docPr id="1073741838" name="officeArt object" descr="image14.tif"/>
            <wp:cNvGraphicFramePr/>
            <a:graphic xmlns:a="http://schemas.openxmlformats.org/drawingml/2006/main">
              <a:graphicData uri="http://schemas.openxmlformats.org/drawingml/2006/picture">
                <pic:pic xmlns:pic="http://schemas.openxmlformats.org/drawingml/2006/picture">
                  <pic:nvPicPr>
                    <pic:cNvPr id="1073741838" name="image14.tif" descr="image14.tif"/>
                    <pic:cNvPicPr>
                      <a:picLocks noChangeAspect="1"/>
                    </pic:cNvPicPr>
                  </pic:nvPicPr>
                  <pic:blipFill>
                    <a:blip r:embed="rId21"/>
                    <a:stretch>
                      <a:fillRect/>
                    </a:stretch>
                  </pic:blipFill>
                  <pic:spPr>
                    <a:xfrm>
                      <a:off x="0" y="0"/>
                      <a:ext cx="5727700" cy="4773930"/>
                    </a:xfrm>
                    <a:prstGeom prst="rect">
                      <a:avLst/>
                    </a:prstGeom>
                    <a:ln w="12700" cap="flat">
                      <a:noFill/>
                      <a:miter lim="400000"/>
                    </a:ln>
                    <a:effectLst/>
                  </pic:spPr>
                </pic:pic>
              </a:graphicData>
            </a:graphic>
          </wp:inline>
        </w:drawing>
      </w:r>
      <w:r>
        <w:rPr>
          <w:b/>
          <w:bCs/>
          <w:lang w:val="en-US"/>
        </w:rPr>
        <w:t>Figure 6.1 Region of Interest for MRS spectroscopy</w:t>
      </w:r>
    </w:p>
    <w:p w14:paraId="1422F784" w14:textId="77777777" w:rsidR="004F7976" w:rsidRDefault="004F7976" w:rsidP="004F7976">
      <w:pPr>
        <w:pStyle w:val="BodyA"/>
        <w:spacing w:line="480" w:lineRule="auto"/>
        <w:jc w:val="both"/>
        <w:rPr>
          <w:b/>
          <w:bCs/>
          <w:color w:val="FF0000"/>
          <w:u w:color="FF0000"/>
        </w:rPr>
      </w:pPr>
      <w:r>
        <w:rPr>
          <w:lang w:val="en-US"/>
        </w:rPr>
        <w:t>As the thalamus is known to act as a sensory gateway within the brain, this region was chosen for spectroscopic investigation in the current study. Spectral data were obtained from a 1cm</w:t>
      </w:r>
      <w:r>
        <w:rPr>
          <w:vertAlign w:val="superscript"/>
        </w:rPr>
        <w:t>3</w:t>
      </w:r>
      <w:r>
        <w:rPr>
          <w:lang w:val="en-US"/>
        </w:rPr>
        <w:t xml:space="preserve"> single voxel placed over the left thalamus. Care was taken to avoid/</w:t>
      </w:r>
      <w:proofErr w:type="spellStart"/>
      <w:r>
        <w:rPr>
          <w:lang w:val="en-US"/>
        </w:rPr>
        <w:t>minimise</w:t>
      </w:r>
      <w:proofErr w:type="spellEnd"/>
      <w:r>
        <w:rPr>
          <w:lang w:val="en-US"/>
        </w:rPr>
        <w:t xml:space="preserve"> inclusion of ventricular cerebrospinal fluid (CSF) within the spectroscopic voxel. </w:t>
      </w:r>
    </w:p>
    <w:p w14:paraId="1C7E500F" w14:textId="77777777" w:rsidR="004F7976" w:rsidRDefault="004F7976" w:rsidP="004F7976">
      <w:pPr>
        <w:pStyle w:val="BodyA"/>
        <w:spacing w:line="480" w:lineRule="auto"/>
        <w:jc w:val="both"/>
        <w:rPr>
          <w:b/>
          <w:bCs/>
        </w:rPr>
      </w:pPr>
      <w:r>
        <w:rPr>
          <w:b/>
          <w:bCs/>
          <w:lang w:val="en-US"/>
        </w:rPr>
        <w:t>Postprocessing of MRS Data</w:t>
      </w:r>
    </w:p>
    <w:p w14:paraId="34D1FF68" w14:textId="77777777" w:rsidR="004F7976" w:rsidRDefault="004F7976" w:rsidP="004F7976">
      <w:pPr>
        <w:pStyle w:val="BodyA"/>
        <w:spacing w:line="480" w:lineRule="auto"/>
        <w:jc w:val="both"/>
      </w:pPr>
      <w:r>
        <w:rPr>
          <w:lang w:val="en-US"/>
        </w:rPr>
        <w:t xml:space="preserve">Spectroscopic post-acquisition data processing was performed using dedicated spectral edited processing software </w:t>
      </w:r>
      <w:r>
        <w:fldChar w:fldCharType="begin"/>
      </w:r>
      <w:r>
        <w:instrText xml:space="preserve"> ADDIN EN.CITE &lt;EndNote&gt;&lt;Cite  &gt;&lt;Author&gt;Edden&lt;/Author&gt;&lt;Year&gt;2014&lt;/Year&gt;&lt;DisplayText&gt;(Edden et al., 2014)&lt;/DisplayText&gt;&lt;record&gt;&lt;dates&gt;&lt;pub-dates&gt;&lt;date&gt;Dec&lt;/date&gt;&lt;/pub-dates&gt;&lt;year&gt;2014&lt;/year&gt;&lt;/dates&gt;&lt;keywords&gt;&lt;keyword&gt;Adult&lt;/keyword&gt;&lt;keyword&gt;Algorithms&lt;/keyword&gt;&lt;keyword&gt;Brain&lt;/keyword&gt;&lt;keyword&gt;Data Interpretation, Statistical&lt;/keyword&gt;&lt;keyword&gt;Female&lt;/keyword&gt;&lt;keyword&gt;Humans&lt;/keyword&gt;&lt;keyword&gt;Magnetic Resonance Spectroscopy&lt;/keyword&gt;&lt;keyword&gt;Male&lt;/keyword&gt;&lt;keyword&gt;Numerical Analysis, Computer-Assisted&lt;/keyword&gt;&lt;keyword&gt;Programming Languages&lt;/keyword&gt;&lt;keyword&gt;Reproducibility of Results&lt;/keyword&gt;&lt;keyword&gt;Sensitivity and Specificity&lt;/keyword&gt;&lt;keyword&gt;Software&lt;/keyword&gt;&lt;keyword&gt;Tissue Distribution&lt;/keyword&gt;&lt;keyword&gt;gamma-Aminobutyric Acid&lt;/keyword&gt;&lt;/keywords&gt;&lt;urls&gt;&lt;related-urls&gt;&lt;url&gt;https://www.ncbi.nlm.nih.gov/pubmed/25548816&lt;/url&gt;&lt;/related-urls&gt;&lt;/urls&gt;&lt;isbn&gt;1522-2586&lt;/isbn&gt;&lt;custom2&gt;PMC4280680&lt;/custom2&gt;&lt;titles&gt;&lt;title&gt;Gannet: A batch-processing tool for the quantitative analysis of gamma-aminobutyric acid–edited MR spectroscopy spectra&lt;/title&gt;&lt;secondary-title&gt;J Magn Reson Imaging&lt;/secondary-title&gt;&lt;/titles&gt;&lt;pages&gt;1445-52&lt;/pages&gt;&lt;number&gt;6&lt;/number&gt;&lt;contributors&gt;&lt;authors&gt;&lt;author&gt;Edden, R. A.&lt;/author&gt;&lt;author&gt;Puts, N. A.&lt;/author&gt;&lt;author&gt;Harris, A. D.&lt;/author&gt;&lt;author&gt;Barker, P. B.&lt;/author&gt;&lt;author&gt;Evans, C. J.&lt;/author&gt;&lt;/authors&gt;&lt;/contributors&gt;&lt;edition&gt;2013/11/13&lt;/edition&gt;&lt;language&gt;eng&lt;/language&gt;&lt;added-date format="utc"&gt;1554593693&lt;/added-date&gt;&lt;ref-type name="Journal Article"&gt;17&lt;/ref-type&gt;&lt;rec-number&gt;586&lt;/rec-number&gt;&lt;last-updated-date format="utc"&gt;1554593693&lt;/last-updated-date&gt;&lt;accession-num&gt;25548816&lt;/accession-num&gt;&lt;electronic-resource-num&gt;10.1002/jmri.24478&lt;/electronic-resource-num&gt;&lt;volume&gt;40&lt;/volume&gt;&lt;/record&gt;&lt;/Cite&gt;&lt;/EndNote&gt;</w:instrText>
      </w:r>
      <w:r>
        <w:fldChar w:fldCharType="separate"/>
      </w:r>
      <w:r>
        <w:t>(Edden et al., 2014)</w:t>
      </w:r>
      <w:r>
        <w:fldChar w:fldCharType="end"/>
      </w:r>
      <w:r>
        <w:rPr>
          <w:lang w:val="en-US"/>
        </w:rPr>
        <w:t xml:space="preserve">. Relative resonance areas from GABA and </w:t>
      </w:r>
      <w:proofErr w:type="spellStart"/>
      <w:r>
        <w:rPr>
          <w:lang w:val="en-US"/>
        </w:rPr>
        <w:t>GLX</w:t>
      </w:r>
      <w:proofErr w:type="spellEnd"/>
      <w:r>
        <w:rPr>
          <w:lang w:val="en-US"/>
        </w:rPr>
        <w:t xml:space="preserve"> resonances, relative to unsuppressed water were calculated and used for further statistical comparative analysis.</w:t>
      </w:r>
    </w:p>
    <w:p w14:paraId="6BC76118" w14:textId="77777777" w:rsidR="004F7976" w:rsidRDefault="004F7976" w:rsidP="004F7976">
      <w:pPr>
        <w:pStyle w:val="Heading3"/>
        <w:spacing w:line="480" w:lineRule="auto"/>
        <w:rPr>
          <w:sz w:val="24"/>
          <w:szCs w:val="24"/>
        </w:rPr>
      </w:pPr>
      <w:bookmarkStart w:id="152" w:name="_Toc6093044"/>
      <w:bookmarkStart w:id="153" w:name="_Toc68"/>
      <w:r>
        <w:rPr>
          <w:sz w:val="24"/>
          <w:szCs w:val="24"/>
          <w:lang w:val="en-US"/>
        </w:rPr>
        <w:lastRenderedPageBreak/>
        <w:t>6.2.5 Statistical Analysis</w:t>
      </w:r>
      <w:bookmarkEnd w:id="152"/>
      <w:r>
        <w:rPr>
          <w:sz w:val="24"/>
          <w:szCs w:val="24"/>
          <w:lang w:val="en-US"/>
        </w:rPr>
        <w:t xml:space="preserve"> </w:t>
      </w:r>
      <w:bookmarkEnd w:id="153"/>
    </w:p>
    <w:p w14:paraId="5AE4B8D9" w14:textId="77777777" w:rsidR="004F7976" w:rsidRDefault="004F7976" w:rsidP="004F7976">
      <w:pPr>
        <w:pStyle w:val="BodyA"/>
        <w:spacing w:line="480" w:lineRule="auto"/>
        <w:jc w:val="both"/>
        <w:rPr>
          <w:color w:val="FF0000"/>
          <w:u w:color="FF0000"/>
        </w:rPr>
      </w:pPr>
      <w:r>
        <w:rPr>
          <w:lang w:val="en-US"/>
        </w:rPr>
        <w:t>All analyses were performed using the statistical package SPSS Version 21.0 (SPSS, IBM Corp, NY, USA). Baseline characteristics were described as means and standard deviations for normally distributed variables, as medians and 5th and 95th percentiles for variables with a skewed distribution and percentages for categorical variables. One-way analysis of variance (ANOVA) was used to compare means of baseline characteristics and least significant post hoc analysis to make comparisons between the group means. Analysis of covariance (</w:t>
      </w:r>
      <w:proofErr w:type="spellStart"/>
      <w:r>
        <w:rPr>
          <w:lang w:val="en-US"/>
        </w:rPr>
        <w:t>ANCOVA</w:t>
      </w:r>
      <w:proofErr w:type="spellEnd"/>
      <w:r>
        <w:rPr>
          <w:lang w:val="en-US"/>
        </w:rPr>
        <w:t xml:space="preserve">) was performed to examine differences in mean GABA relative to H20 between the study groups using age and BMI as covariates. Potential relationships between GABA ratio levels and markers of </w:t>
      </w:r>
      <w:proofErr w:type="spellStart"/>
      <w:r>
        <w:rPr>
          <w:lang w:val="en-US"/>
        </w:rPr>
        <w:t>DPN</w:t>
      </w:r>
      <w:proofErr w:type="spellEnd"/>
      <w:r>
        <w:rPr>
          <w:lang w:val="en-US"/>
        </w:rPr>
        <w:t xml:space="preserve"> severity, pain severity and </w:t>
      </w:r>
      <w:proofErr w:type="spellStart"/>
      <w:r>
        <w:rPr>
          <w:lang w:val="en-US"/>
        </w:rPr>
        <w:t>IENFD</w:t>
      </w:r>
      <w:proofErr w:type="spellEnd"/>
      <w:r>
        <w:rPr>
          <w:lang w:val="en-US"/>
        </w:rPr>
        <w:t xml:space="preserve"> using Pearson’s correlation for parametric variables and Spearman Rank correlation for non-parametric variables were also examined</w:t>
      </w:r>
      <w:r>
        <w:rPr>
          <w:i/>
          <w:iCs/>
        </w:rPr>
        <w:t xml:space="preserve">. </w:t>
      </w:r>
    </w:p>
    <w:p w14:paraId="139442AA" w14:textId="77777777" w:rsidR="004F7976" w:rsidRDefault="004F7976" w:rsidP="004F7976">
      <w:pPr>
        <w:pStyle w:val="BodyA"/>
        <w:spacing w:line="480" w:lineRule="auto"/>
        <w:jc w:val="both"/>
        <w:rPr>
          <w:i/>
          <w:iCs/>
          <w:color w:val="FF0000"/>
          <w:u w:color="FF0000"/>
        </w:rPr>
      </w:pPr>
      <w:r>
        <w:rPr>
          <w:lang w:val="en-US"/>
        </w:rPr>
        <w:t xml:space="preserve">Initially </w:t>
      </w:r>
      <w:proofErr w:type="gramStart"/>
      <w:r>
        <w:rPr>
          <w:lang w:val="en-US"/>
        </w:rPr>
        <w:t>GABA:H2O</w:t>
      </w:r>
      <w:proofErr w:type="gramEnd"/>
      <w:r>
        <w:rPr>
          <w:lang w:val="en-US"/>
        </w:rPr>
        <w:t xml:space="preserve"> was compared between those with </w:t>
      </w:r>
      <w:proofErr w:type="spellStart"/>
      <w:r>
        <w:rPr>
          <w:lang w:val="en-US"/>
        </w:rPr>
        <w:t>DPN</w:t>
      </w:r>
      <w:proofErr w:type="spellEnd"/>
      <w:r>
        <w:rPr>
          <w:lang w:val="en-US"/>
        </w:rPr>
        <w:t xml:space="preserve"> (a summative group consisting of combined painless and painful group participants) and those without neuropathy (a summative group consisting of subjects with T2DM without neuropathy and healthy volunteers).</w:t>
      </w:r>
      <w:r>
        <w:rPr>
          <w:i/>
          <w:iCs/>
          <w:color w:val="FF0000"/>
          <w:u w:color="FF0000"/>
        </w:rPr>
        <w:t xml:space="preserve"> </w:t>
      </w:r>
    </w:p>
    <w:p w14:paraId="39CE2177" w14:textId="77777777" w:rsidR="004F7976" w:rsidRDefault="004F7976" w:rsidP="004F7976">
      <w:pPr>
        <w:pStyle w:val="BodyA"/>
        <w:spacing w:line="480" w:lineRule="auto"/>
        <w:jc w:val="both"/>
      </w:pPr>
      <w:r>
        <w:rPr>
          <w:lang w:val="en-US"/>
        </w:rPr>
        <w:t xml:space="preserve">Subjects with painful </w:t>
      </w:r>
      <w:proofErr w:type="spellStart"/>
      <w:r>
        <w:rPr>
          <w:lang w:val="en-US"/>
        </w:rPr>
        <w:t>DPN</w:t>
      </w:r>
      <w:proofErr w:type="spellEnd"/>
      <w:r>
        <w:rPr>
          <w:lang w:val="en-US"/>
        </w:rPr>
        <w:t xml:space="preserve"> were also divided into low pain (&lt;8) and high pain (</w:t>
      </w:r>
      <w:r>
        <w:rPr>
          <w:u w:val="single"/>
        </w:rPr>
        <w:t>&gt;</w:t>
      </w:r>
      <w:r>
        <w:rPr>
          <w:lang w:val="en-US"/>
        </w:rPr>
        <w:t xml:space="preserve"> 8) based on the 0-10 numeric rating scale and an analysis of H-MRS outcomes was performed.  </w:t>
      </w:r>
    </w:p>
    <w:p w14:paraId="33E6A46E" w14:textId="77777777" w:rsidR="004F7976" w:rsidRDefault="004F7976" w:rsidP="004F7976">
      <w:pPr>
        <w:pStyle w:val="Heading2"/>
        <w:spacing w:line="480" w:lineRule="auto"/>
        <w:rPr>
          <w:i w:val="0"/>
          <w:iCs w:val="0"/>
          <w:sz w:val="24"/>
          <w:szCs w:val="24"/>
        </w:rPr>
      </w:pPr>
      <w:bookmarkStart w:id="154" w:name="_Toc69"/>
      <w:bookmarkStart w:id="155" w:name="_Toc6093045"/>
      <w:r>
        <w:rPr>
          <w:i w:val="0"/>
          <w:iCs w:val="0"/>
          <w:sz w:val="24"/>
          <w:szCs w:val="24"/>
          <w:lang w:val="en-US"/>
        </w:rPr>
        <w:t>6.3 Results</w:t>
      </w:r>
      <w:bookmarkEnd w:id="154"/>
      <w:bookmarkEnd w:id="155"/>
    </w:p>
    <w:p w14:paraId="323ECD67" w14:textId="77777777" w:rsidR="004F7976" w:rsidRDefault="004F7976" w:rsidP="004F7976">
      <w:pPr>
        <w:pStyle w:val="BodyA"/>
        <w:spacing w:line="480" w:lineRule="auto"/>
        <w:jc w:val="both"/>
      </w:pPr>
      <w:r>
        <w:rPr>
          <w:lang w:val="en-US"/>
        </w:rPr>
        <w:t xml:space="preserve">Patients with </w:t>
      </w:r>
      <w:proofErr w:type="spellStart"/>
      <w:r>
        <w:rPr>
          <w:lang w:val="en-US"/>
        </w:rPr>
        <w:t>DPN</w:t>
      </w:r>
      <w:proofErr w:type="spellEnd"/>
      <w:r>
        <w:rPr>
          <w:lang w:val="en-US"/>
        </w:rPr>
        <w:t xml:space="preserve"> (painful and painless) had higher body mass index (BMI, ANOVA p=0•03) but were age matched (Age, ANOVA p=0.39) compared to </w:t>
      </w:r>
      <w:proofErr w:type="spellStart"/>
      <w:r>
        <w:rPr>
          <w:lang w:val="en-US"/>
        </w:rPr>
        <w:t>HV</w:t>
      </w:r>
      <w:proofErr w:type="spellEnd"/>
      <w:r>
        <w:rPr>
          <w:lang w:val="en-US"/>
        </w:rPr>
        <w:t xml:space="preserve"> and subjects with No </w:t>
      </w:r>
      <w:proofErr w:type="spellStart"/>
      <w:r>
        <w:rPr>
          <w:lang w:val="en-US"/>
        </w:rPr>
        <w:t>DPN</w:t>
      </w:r>
      <w:proofErr w:type="spellEnd"/>
      <w:r>
        <w:rPr>
          <w:lang w:val="en-US"/>
        </w:rPr>
        <w:t xml:space="preserve"> (Table 6.1). There was no significant difference in HbA1c between the groups (p=0.20).</w:t>
      </w:r>
    </w:p>
    <w:tbl>
      <w:tblPr>
        <w:tblStyle w:val="TableGrid7"/>
        <w:tblpPr w:leftFromText="180" w:rightFromText="180" w:vertAnchor="text" w:horzAnchor="margin" w:tblpY="261"/>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shd w:val="clear" w:color="auto" w:fill="D9D9D9" w:themeFill="background1" w:themeFillShade="D9"/>
        <w:tblLook w:val="0000" w:firstRow="0" w:lastRow="0" w:firstColumn="0" w:lastColumn="0" w:noHBand="0" w:noVBand="0"/>
      </w:tblPr>
      <w:tblGrid>
        <w:gridCol w:w="2059"/>
        <w:gridCol w:w="1476"/>
        <w:gridCol w:w="1489"/>
        <w:gridCol w:w="1570"/>
        <w:gridCol w:w="1377"/>
        <w:gridCol w:w="1019"/>
      </w:tblGrid>
      <w:tr w:rsidR="002D7C45" w14:paraId="2F31C9F6" w14:textId="77777777" w:rsidTr="00FD2D3D">
        <w:trPr>
          <w:trHeight w:val="413"/>
        </w:trPr>
        <w:tc>
          <w:tcPr>
            <w:tcW w:w="5000" w:type="pct"/>
            <w:gridSpan w:val="6"/>
            <w:tcBorders>
              <w:bottom w:val="single" w:sz="12" w:space="0" w:color="000000"/>
            </w:tcBorders>
            <w:shd w:val="clear" w:color="auto" w:fill="D9D9D9" w:themeFill="background1" w:themeFillShade="D9"/>
            <w:vAlign w:val="center"/>
          </w:tcPr>
          <w:p w14:paraId="7457F3D3" w14:textId="77777777" w:rsidR="002D7C45" w:rsidRDefault="002D7C45" w:rsidP="004E68BB">
            <w:pPr>
              <w:spacing w:line="360" w:lineRule="auto"/>
              <w:jc w:val="center"/>
              <w:rPr>
                <w:rFonts w:ascii="Arial" w:hAnsi="Arial" w:cs="Arial"/>
                <w:b/>
                <w:sz w:val="22"/>
                <w:szCs w:val="22"/>
              </w:rPr>
            </w:pPr>
          </w:p>
          <w:p w14:paraId="6D31EBD9" w14:textId="77777777" w:rsidR="002D7C45" w:rsidRPr="002D7C45" w:rsidRDefault="002D7C45" w:rsidP="004E68BB">
            <w:pPr>
              <w:spacing w:line="360" w:lineRule="auto"/>
              <w:jc w:val="both"/>
              <w:rPr>
                <w:rFonts w:ascii="Cambria" w:hAnsi="Cambria" w:cs="Arial"/>
                <w:b/>
              </w:rPr>
            </w:pPr>
            <w:r w:rsidRPr="002D7C45">
              <w:rPr>
                <w:rFonts w:ascii="Cambria" w:hAnsi="Cambria" w:cs="Arial"/>
                <w:b/>
              </w:rPr>
              <w:t>Table 6.1 Demographic and baseline study characteristics of the subjects (mean/SD)</w:t>
            </w:r>
          </w:p>
        </w:tc>
      </w:tr>
      <w:tr w:rsidR="002D7C45" w:rsidRPr="00141C45" w14:paraId="3FBB1170" w14:textId="77777777" w:rsidTr="00FD2D3D">
        <w:trPr>
          <w:trHeight w:val="729"/>
        </w:trPr>
        <w:tc>
          <w:tcPr>
            <w:tcW w:w="1145" w:type="pct"/>
            <w:tcBorders>
              <w:bottom w:val="nil"/>
              <w:right w:val="nil"/>
            </w:tcBorders>
            <w:shd w:val="clear" w:color="auto" w:fill="D9D9D9" w:themeFill="background1" w:themeFillShade="D9"/>
            <w:vAlign w:val="center"/>
          </w:tcPr>
          <w:p w14:paraId="241DAC06" w14:textId="77777777" w:rsidR="002D7C45" w:rsidRPr="002D7C45" w:rsidRDefault="002D7C45" w:rsidP="004E68BB">
            <w:pPr>
              <w:spacing w:after="0" w:line="360" w:lineRule="auto"/>
              <w:jc w:val="center"/>
              <w:rPr>
                <w:rFonts w:ascii="Cambria" w:hAnsi="Cambria" w:cs="Arial"/>
                <w:sz w:val="20"/>
                <w:szCs w:val="20"/>
              </w:rPr>
            </w:pPr>
          </w:p>
        </w:tc>
        <w:tc>
          <w:tcPr>
            <w:tcW w:w="821" w:type="pct"/>
            <w:tcBorders>
              <w:left w:val="nil"/>
              <w:bottom w:val="nil"/>
              <w:right w:val="nil"/>
            </w:tcBorders>
            <w:shd w:val="clear" w:color="auto" w:fill="D9D9D9" w:themeFill="background1" w:themeFillShade="D9"/>
            <w:vAlign w:val="center"/>
          </w:tcPr>
          <w:p w14:paraId="215D2ADD" w14:textId="77777777" w:rsidR="002D7C45" w:rsidRPr="002D7C45" w:rsidRDefault="002D7C45" w:rsidP="004E68BB">
            <w:pPr>
              <w:spacing w:after="0"/>
              <w:jc w:val="center"/>
              <w:rPr>
                <w:rFonts w:ascii="Cambria" w:hAnsi="Cambria" w:cs="Arial"/>
                <w:b/>
                <w:bCs/>
                <w:sz w:val="20"/>
                <w:szCs w:val="20"/>
              </w:rPr>
            </w:pPr>
            <w:r w:rsidRPr="002D7C45">
              <w:rPr>
                <w:rFonts w:ascii="Cambria" w:hAnsi="Cambria" w:cs="Arial"/>
                <w:b/>
                <w:bCs/>
                <w:sz w:val="20"/>
                <w:szCs w:val="20"/>
              </w:rPr>
              <w:t xml:space="preserve">Painful </w:t>
            </w:r>
            <w:proofErr w:type="spellStart"/>
            <w:r w:rsidRPr="002D7C45">
              <w:rPr>
                <w:rFonts w:ascii="Cambria" w:hAnsi="Cambria" w:cs="Arial"/>
                <w:b/>
                <w:bCs/>
                <w:sz w:val="20"/>
                <w:szCs w:val="20"/>
              </w:rPr>
              <w:t>DPN</w:t>
            </w:r>
            <w:proofErr w:type="spellEnd"/>
          </w:p>
        </w:tc>
        <w:tc>
          <w:tcPr>
            <w:tcW w:w="828" w:type="pct"/>
            <w:tcBorders>
              <w:left w:val="nil"/>
              <w:bottom w:val="nil"/>
              <w:right w:val="nil"/>
            </w:tcBorders>
            <w:shd w:val="clear" w:color="auto" w:fill="D9D9D9" w:themeFill="background1" w:themeFillShade="D9"/>
            <w:vAlign w:val="center"/>
          </w:tcPr>
          <w:p w14:paraId="0E421B1B" w14:textId="77777777" w:rsidR="002D7C45" w:rsidRPr="002D7C45" w:rsidRDefault="002D7C45" w:rsidP="004E68BB">
            <w:pPr>
              <w:spacing w:after="0"/>
              <w:jc w:val="center"/>
              <w:rPr>
                <w:rFonts w:ascii="Cambria" w:hAnsi="Cambria" w:cs="Arial"/>
                <w:b/>
                <w:bCs/>
                <w:sz w:val="20"/>
                <w:szCs w:val="20"/>
              </w:rPr>
            </w:pPr>
            <w:r w:rsidRPr="002D7C45">
              <w:rPr>
                <w:rFonts w:ascii="Cambria" w:hAnsi="Cambria" w:cs="Arial"/>
                <w:b/>
                <w:bCs/>
                <w:sz w:val="20"/>
                <w:szCs w:val="20"/>
              </w:rPr>
              <w:t>Painless</w:t>
            </w:r>
          </w:p>
          <w:p w14:paraId="1916A4D7" w14:textId="77777777" w:rsidR="002D7C45" w:rsidRPr="002D7C45" w:rsidRDefault="002D7C45" w:rsidP="004E68BB">
            <w:pPr>
              <w:spacing w:after="0"/>
              <w:jc w:val="center"/>
              <w:rPr>
                <w:rFonts w:ascii="Cambria" w:hAnsi="Cambria" w:cs="Arial"/>
                <w:b/>
                <w:bCs/>
                <w:sz w:val="20"/>
                <w:szCs w:val="20"/>
              </w:rPr>
            </w:pPr>
            <w:proofErr w:type="spellStart"/>
            <w:r w:rsidRPr="002D7C45">
              <w:rPr>
                <w:rFonts w:ascii="Cambria" w:hAnsi="Cambria" w:cs="Arial"/>
                <w:b/>
                <w:bCs/>
                <w:sz w:val="20"/>
                <w:szCs w:val="20"/>
              </w:rPr>
              <w:t>DPN</w:t>
            </w:r>
            <w:proofErr w:type="spellEnd"/>
          </w:p>
        </w:tc>
        <w:tc>
          <w:tcPr>
            <w:tcW w:w="873" w:type="pct"/>
            <w:tcBorders>
              <w:left w:val="nil"/>
              <w:bottom w:val="nil"/>
              <w:right w:val="nil"/>
            </w:tcBorders>
            <w:shd w:val="clear" w:color="auto" w:fill="D9D9D9" w:themeFill="background1" w:themeFillShade="D9"/>
            <w:vAlign w:val="center"/>
          </w:tcPr>
          <w:p w14:paraId="14BE9144" w14:textId="77777777" w:rsidR="002D7C45" w:rsidRPr="002D7C45" w:rsidRDefault="002D7C45" w:rsidP="004E68BB">
            <w:pPr>
              <w:spacing w:after="0" w:line="360" w:lineRule="auto"/>
              <w:jc w:val="center"/>
              <w:rPr>
                <w:rFonts w:ascii="Cambria" w:hAnsi="Cambria" w:cs="Arial"/>
                <w:b/>
                <w:bCs/>
                <w:sz w:val="20"/>
                <w:szCs w:val="20"/>
              </w:rPr>
            </w:pPr>
            <w:r w:rsidRPr="002D7C45">
              <w:rPr>
                <w:rFonts w:ascii="Cambria" w:hAnsi="Cambria" w:cs="Arial"/>
                <w:b/>
                <w:bCs/>
                <w:sz w:val="20"/>
                <w:szCs w:val="20"/>
              </w:rPr>
              <w:t xml:space="preserve">No </w:t>
            </w:r>
            <w:proofErr w:type="spellStart"/>
            <w:r w:rsidRPr="002D7C45">
              <w:rPr>
                <w:rFonts w:ascii="Cambria" w:hAnsi="Cambria" w:cs="Arial"/>
                <w:b/>
                <w:bCs/>
                <w:sz w:val="20"/>
                <w:szCs w:val="20"/>
              </w:rPr>
              <w:t>DPN</w:t>
            </w:r>
            <w:proofErr w:type="spellEnd"/>
          </w:p>
        </w:tc>
        <w:tc>
          <w:tcPr>
            <w:tcW w:w="766" w:type="pct"/>
            <w:tcBorders>
              <w:left w:val="nil"/>
              <w:bottom w:val="nil"/>
              <w:right w:val="nil"/>
            </w:tcBorders>
            <w:shd w:val="clear" w:color="auto" w:fill="D9D9D9" w:themeFill="background1" w:themeFillShade="D9"/>
            <w:vAlign w:val="center"/>
          </w:tcPr>
          <w:p w14:paraId="6DD7AA47" w14:textId="77777777" w:rsidR="002D7C45" w:rsidRPr="002D7C45" w:rsidRDefault="002D7C45" w:rsidP="004E68BB">
            <w:pPr>
              <w:spacing w:after="0" w:line="360" w:lineRule="auto"/>
              <w:jc w:val="center"/>
              <w:rPr>
                <w:rFonts w:ascii="Cambria" w:hAnsi="Cambria" w:cs="Arial"/>
                <w:b/>
                <w:bCs/>
                <w:sz w:val="20"/>
                <w:szCs w:val="20"/>
              </w:rPr>
            </w:pPr>
            <w:proofErr w:type="spellStart"/>
            <w:r w:rsidRPr="002D7C45">
              <w:rPr>
                <w:rFonts w:ascii="Cambria" w:hAnsi="Cambria" w:cs="Arial"/>
                <w:b/>
                <w:bCs/>
                <w:sz w:val="20"/>
                <w:szCs w:val="20"/>
              </w:rPr>
              <w:t>HV</w:t>
            </w:r>
            <w:proofErr w:type="spellEnd"/>
          </w:p>
        </w:tc>
        <w:tc>
          <w:tcPr>
            <w:tcW w:w="568" w:type="pct"/>
            <w:tcBorders>
              <w:left w:val="nil"/>
              <w:bottom w:val="nil"/>
            </w:tcBorders>
            <w:shd w:val="clear" w:color="auto" w:fill="D9D9D9" w:themeFill="background1" w:themeFillShade="D9"/>
            <w:vAlign w:val="center"/>
          </w:tcPr>
          <w:p w14:paraId="05AC5810" w14:textId="5ADB8038" w:rsidR="002D7C45" w:rsidRPr="002D7C45" w:rsidRDefault="002D068B" w:rsidP="004E68BB">
            <w:pPr>
              <w:spacing w:after="0" w:line="360" w:lineRule="auto"/>
              <w:jc w:val="center"/>
              <w:rPr>
                <w:rFonts w:ascii="Cambria" w:hAnsi="Cambria" w:cs="Arial"/>
                <w:b/>
                <w:bCs/>
                <w:sz w:val="20"/>
                <w:szCs w:val="20"/>
              </w:rPr>
            </w:pPr>
            <w:r>
              <w:rPr>
                <w:rFonts w:ascii="Cambria" w:hAnsi="Cambria" w:cs="Arial"/>
                <w:b/>
                <w:bCs/>
                <w:sz w:val="20"/>
                <w:szCs w:val="20"/>
              </w:rPr>
              <w:t xml:space="preserve">ANOVA </w:t>
            </w:r>
            <w:r w:rsidR="002D7C45" w:rsidRPr="002D7C45">
              <w:rPr>
                <w:rFonts w:ascii="Cambria" w:hAnsi="Cambria" w:cs="Arial"/>
                <w:b/>
                <w:bCs/>
                <w:sz w:val="20"/>
                <w:szCs w:val="20"/>
              </w:rPr>
              <w:t>p Value</w:t>
            </w:r>
          </w:p>
        </w:tc>
      </w:tr>
      <w:tr w:rsidR="002D7C45" w:rsidRPr="00141C45" w14:paraId="52043236" w14:textId="77777777" w:rsidTr="00FD2D3D">
        <w:trPr>
          <w:trHeight w:val="567"/>
        </w:trPr>
        <w:tc>
          <w:tcPr>
            <w:tcW w:w="1145" w:type="pct"/>
            <w:tcBorders>
              <w:top w:val="nil"/>
              <w:bottom w:val="nil"/>
              <w:right w:val="nil"/>
            </w:tcBorders>
            <w:shd w:val="clear" w:color="auto" w:fill="D9D9D9" w:themeFill="background1" w:themeFillShade="D9"/>
            <w:vAlign w:val="center"/>
          </w:tcPr>
          <w:p w14:paraId="0698D54D" w14:textId="77777777" w:rsidR="002D7C45" w:rsidRPr="002D7C45" w:rsidRDefault="002D7C45" w:rsidP="004E68BB">
            <w:pPr>
              <w:spacing w:after="0" w:line="360" w:lineRule="auto"/>
              <w:rPr>
                <w:rFonts w:ascii="Cambria" w:hAnsi="Cambria" w:cs="Arial"/>
                <w:sz w:val="20"/>
                <w:szCs w:val="20"/>
              </w:rPr>
            </w:pPr>
            <w:r w:rsidRPr="002D7C45">
              <w:rPr>
                <w:rFonts w:ascii="Cambria" w:hAnsi="Cambria" w:cs="Arial"/>
                <w:sz w:val="20"/>
                <w:szCs w:val="20"/>
              </w:rPr>
              <w:t>n</w:t>
            </w:r>
          </w:p>
        </w:tc>
        <w:tc>
          <w:tcPr>
            <w:tcW w:w="821" w:type="pct"/>
            <w:tcBorders>
              <w:top w:val="nil"/>
              <w:left w:val="nil"/>
              <w:bottom w:val="nil"/>
              <w:right w:val="nil"/>
            </w:tcBorders>
            <w:shd w:val="clear" w:color="auto" w:fill="D9D9D9" w:themeFill="background1" w:themeFillShade="D9"/>
            <w:vAlign w:val="center"/>
          </w:tcPr>
          <w:p w14:paraId="303B95C2"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14</w:t>
            </w:r>
          </w:p>
        </w:tc>
        <w:tc>
          <w:tcPr>
            <w:tcW w:w="828" w:type="pct"/>
            <w:tcBorders>
              <w:top w:val="nil"/>
              <w:left w:val="nil"/>
              <w:bottom w:val="nil"/>
              <w:right w:val="nil"/>
            </w:tcBorders>
            <w:shd w:val="clear" w:color="auto" w:fill="D9D9D9" w:themeFill="background1" w:themeFillShade="D9"/>
            <w:vAlign w:val="center"/>
          </w:tcPr>
          <w:p w14:paraId="78ED0273"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15</w:t>
            </w:r>
          </w:p>
        </w:tc>
        <w:tc>
          <w:tcPr>
            <w:tcW w:w="873" w:type="pct"/>
            <w:tcBorders>
              <w:top w:val="nil"/>
              <w:left w:val="nil"/>
              <w:bottom w:val="nil"/>
              <w:right w:val="nil"/>
            </w:tcBorders>
            <w:shd w:val="clear" w:color="auto" w:fill="D9D9D9" w:themeFill="background1" w:themeFillShade="D9"/>
            <w:vAlign w:val="center"/>
          </w:tcPr>
          <w:p w14:paraId="3783E0DA"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15</w:t>
            </w:r>
          </w:p>
        </w:tc>
        <w:tc>
          <w:tcPr>
            <w:tcW w:w="766" w:type="pct"/>
            <w:tcBorders>
              <w:top w:val="nil"/>
              <w:left w:val="nil"/>
              <w:bottom w:val="nil"/>
              <w:right w:val="nil"/>
            </w:tcBorders>
            <w:shd w:val="clear" w:color="auto" w:fill="D9D9D9" w:themeFill="background1" w:themeFillShade="D9"/>
            <w:vAlign w:val="center"/>
          </w:tcPr>
          <w:p w14:paraId="5955D466"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15</w:t>
            </w:r>
          </w:p>
        </w:tc>
        <w:tc>
          <w:tcPr>
            <w:tcW w:w="568" w:type="pct"/>
            <w:tcBorders>
              <w:top w:val="nil"/>
              <w:left w:val="nil"/>
              <w:bottom w:val="nil"/>
            </w:tcBorders>
            <w:shd w:val="clear" w:color="auto" w:fill="D9D9D9" w:themeFill="background1" w:themeFillShade="D9"/>
            <w:vAlign w:val="center"/>
          </w:tcPr>
          <w:p w14:paraId="4CC238A7" w14:textId="77777777" w:rsidR="002D7C45" w:rsidRPr="002D7C45" w:rsidRDefault="002D7C45" w:rsidP="004E68BB">
            <w:pPr>
              <w:spacing w:after="0" w:line="360" w:lineRule="auto"/>
              <w:jc w:val="center"/>
              <w:rPr>
                <w:rFonts w:ascii="Cambria" w:hAnsi="Cambria" w:cs="Arial"/>
                <w:sz w:val="20"/>
                <w:szCs w:val="20"/>
              </w:rPr>
            </w:pPr>
          </w:p>
        </w:tc>
      </w:tr>
      <w:tr w:rsidR="002D7C45" w:rsidRPr="00141C45" w14:paraId="53943087" w14:textId="77777777" w:rsidTr="00FD2D3D">
        <w:trPr>
          <w:trHeight w:val="567"/>
        </w:trPr>
        <w:tc>
          <w:tcPr>
            <w:tcW w:w="1145" w:type="pct"/>
            <w:tcBorders>
              <w:top w:val="nil"/>
              <w:bottom w:val="nil"/>
              <w:right w:val="nil"/>
            </w:tcBorders>
            <w:shd w:val="clear" w:color="auto" w:fill="D9D9D9" w:themeFill="background1" w:themeFillShade="D9"/>
            <w:vAlign w:val="center"/>
          </w:tcPr>
          <w:p w14:paraId="06072FC4" w14:textId="77777777" w:rsidR="002D7C45" w:rsidRPr="002D7C45" w:rsidRDefault="002D7C45" w:rsidP="004E68BB">
            <w:pPr>
              <w:spacing w:after="0" w:line="360" w:lineRule="auto"/>
              <w:rPr>
                <w:rFonts w:ascii="Cambria" w:hAnsi="Cambria" w:cs="Arial"/>
                <w:sz w:val="20"/>
                <w:szCs w:val="20"/>
              </w:rPr>
            </w:pPr>
            <w:r w:rsidRPr="002D7C45">
              <w:rPr>
                <w:rFonts w:ascii="Cambria" w:hAnsi="Cambria" w:cs="Arial"/>
                <w:sz w:val="20"/>
                <w:szCs w:val="20"/>
              </w:rPr>
              <w:t>Age (years)</w:t>
            </w:r>
          </w:p>
        </w:tc>
        <w:tc>
          <w:tcPr>
            <w:tcW w:w="821" w:type="pct"/>
            <w:tcBorders>
              <w:top w:val="nil"/>
              <w:left w:val="nil"/>
              <w:bottom w:val="nil"/>
              <w:right w:val="nil"/>
            </w:tcBorders>
            <w:shd w:val="clear" w:color="auto" w:fill="D9D9D9" w:themeFill="background1" w:themeFillShade="D9"/>
            <w:vAlign w:val="center"/>
          </w:tcPr>
          <w:p w14:paraId="5CC02621"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59.5 (6.6)</w:t>
            </w:r>
          </w:p>
        </w:tc>
        <w:tc>
          <w:tcPr>
            <w:tcW w:w="828" w:type="pct"/>
            <w:tcBorders>
              <w:top w:val="nil"/>
              <w:left w:val="nil"/>
              <w:bottom w:val="nil"/>
              <w:right w:val="nil"/>
            </w:tcBorders>
            <w:shd w:val="clear" w:color="auto" w:fill="D9D9D9" w:themeFill="background1" w:themeFillShade="D9"/>
            <w:vAlign w:val="center"/>
          </w:tcPr>
          <w:p w14:paraId="5283951B"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59.2 (10.1)</w:t>
            </w:r>
          </w:p>
        </w:tc>
        <w:tc>
          <w:tcPr>
            <w:tcW w:w="873" w:type="pct"/>
            <w:tcBorders>
              <w:top w:val="nil"/>
              <w:left w:val="nil"/>
              <w:bottom w:val="nil"/>
              <w:right w:val="nil"/>
            </w:tcBorders>
            <w:shd w:val="clear" w:color="auto" w:fill="D9D9D9" w:themeFill="background1" w:themeFillShade="D9"/>
            <w:vAlign w:val="center"/>
          </w:tcPr>
          <w:p w14:paraId="1CFC13D6"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56.9 (6.5)</w:t>
            </w:r>
          </w:p>
        </w:tc>
        <w:tc>
          <w:tcPr>
            <w:tcW w:w="766" w:type="pct"/>
            <w:tcBorders>
              <w:top w:val="nil"/>
              <w:left w:val="nil"/>
              <w:bottom w:val="nil"/>
              <w:right w:val="nil"/>
            </w:tcBorders>
            <w:shd w:val="clear" w:color="auto" w:fill="D9D9D9" w:themeFill="background1" w:themeFillShade="D9"/>
            <w:vAlign w:val="center"/>
          </w:tcPr>
          <w:p w14:paraId="0D91C938"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54.7 (9.9)</w:t>
            </w:r>
          </w:p>
        </w:tc>
        <w:tc>
          <w:tcPr>
            <w:tcW w:w="568" w:type="pct"/>
            <w:tcBorders>
              <w:top w:val="nil"/>
              <w:left w:val="nil"/>
              <w:bottom w:val="nil"/>
            </w:tcBorders>
            <w:shd w:val="clear" w:color="auto" w:fill="D9D9D9" w:themeFill="background1" w:themeFillShade="D9"/>
            <w:vAlign w:val="center"/>
          </w:tcPr>
          <w:p w14:paraId="2CE11FF8"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0.39</w:t>
            </w:r>
          </w:p>
        </w:tc>
      </w:tr>
      <w:tr w:rsidR="002D7C45" w:rsidRPr="00141C45" w14:paraId="177076BF" w14:textId="77777777" w:rsidTr="00FD2D3D">
        <w:trPr>
          <w:trHeight w:val="567"/>
        </w:trPr>
        <w:tc>
          <w:tcPr>
            <w:tcW w:w="1145" w:type="pct"/>
            <w:tcBorders>
              <w:top w:val="nil"/>
              <w:bottom w:val="nil"/>
              <w:right w:val="nil"/>
            </w:tcBorders>
            <w:shd w:val="clear" w:color="auto" w:fill="D9D9D9" w:themeFill="background1" w:themeFillShade="D9"/>
            <w:vAlign w:val="center"/>
          </w:tcPr>
          <w:p w14:paraId="77169729" w14:textId="77777777" w:rsidR="002D7C45" w:rsidRPr="002D7C45" w:rsidRDefault="002D7C45" w:rsidP="004E68BB">
            <w:pPr>
              <w:spacing w:after="0" w:line="360" w:lineRule="auto"/>
              <w:rPr>
                <w:rFonts w:ascii="Cambria" w:hAnsi="Cambria" w:cs="Arial"/>
                <w:sz w:val="20"/>
                <w:szCs w:val="20"/>
              </w:rPr>
            </w:pPr>
            <w:r w:rsidRPr="002D7C45">
              <w:rPr>
                <w:rFonts w:ascii="Cambria" w:hAnsi="Cambria" w:cs="Arial"/>
                <w:sz w:val="20"/>
                <w:szCs w:val="20"/>
              </w:rPr>
              <w:t>BMI (kg/m</w:t>
            </w:r>
            <w:r w:rsidRPr="002D7C45">
              <w:rPr>
                <w:rFonts w:ascii="Cambria" w:hAnsi="Cambria" w:cs="Arial"/>
                <w:sz w:val="20"/>
                <w:szCs w:val="20"/>
                <w:vertAlign w:val="superscript"/>
              </w:rPr>
              <w:t>2</w:t>
            </w:r>
            <w:r w:rsidRPr="002D7C45">
              <w:rPr>
                <w:rFonts w:ascii="Cambria" w:hAnsi="Cambria" w:cs="Arial"/>
                <w:sz w:val="20"/>
                <w:szCs w:val="20"/>
              </w:rPr>
              <w:t>)</w:t>
            </w:r>
          </w:p>
        </w:tc>
        <w:tc>
          <w:tcPr>
            <w:tcW w:w="821" w:type="pct"/>
            <w:tcBorders>
              <w:top w:val="nil"/>
              <w:left w:val="nil"/>
              <w:bottom w:val="nil"/>
              <w:right w:val="nil"/>
            </w:tcBorders>
            <w:shd w:val="clear" w:color="auto" w:fill="D9D9D9" w:themeFill="background1" w:themeFillShade="D9"/>
            <w:vAlign w:val="center"/>
          </w:tcPr>
          <w:p w14:paraId="38B20438"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33.4 (5.9)</w:t>
            </w:r>
          </w:p>
        </w:tc>
        <w:tc>
          <w:tcPr>
            <w:tcW w:w="828" w:type="pct"/>
            <w:tcBorders>
              <w:top w:val="nil"/>
              <w:left w:val="nil"/>
              <w:bottom w:val="nil"/>
              <w:right w:val="nil"/>
            </w:tcBorders>
            <w:shd w:val="clear" w:color="auto" w:fill="D9D9D9" w:themeFill="background1" w:themeFillShade="D9"/>
            <w:vAlign w:val="center"/>
          </w:tcPr>
          <w:p w14:paraId="2058A9CB"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29.9 (4.6)</w:t>
            </w:r>
          </w:p>
        </w:tc>
        <w:tc>
          <w:tcPr>
            <w:tcW w:w="873" w:type="pct"/>
            <w:tcBorders>
              <w:top w:val="nil"/>
              <w:left w:val="nil"/>
              <w:bottom w:val="nil"/>
              <w:right w:val="nil"/>
            </w:tcBorders>
            <w:shd w:val="clear" w:color="auto" w:fill="D9D9D9" w:themeFill="background1" w:themeFillShade="D9"/>
            <w:vAlign w:val="center"/>
          </w:tcPr>
          <w:p w14:paraId="0476953C"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31.5 (6.5)</w:t>
            </w:r>
          </w:p>
        </w:tc>
        <w:tc>
          <w:tcPr>
            <w:tcW w:w="766" w:type="pct"/>
            <w:tcBorders>
              <w:top w:val="nil"/>
              <w:left w:val="nil"/>
              <w:bottom w:val="nil"/>
              <w:right w:val="nil"/>
            </w:tcBorders>
            <w:shd w:val="clear" w:color="auto" w:fill="D9D9D9" w:themeFill="background1" w:themeFillShade="D9"/>
            <w:vAlign w:val="center"/>
          </w:tcPr>
          <w:p w14:paraId="5447D305"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27.5 (4.6)</w:t>
            </w:r>
          </w:p>
        </w:tc>
        <w:tc>
          <w:tcPr>
            <w:tcW w:w="568" w:type="pct"/>
            <w:tcBorders>
              <w:top w:val="nil"/>
              <w:left w:val="nil"/>
              <w:bottom w:val="nil"/>
            </w:tcBorders>
            <w:shd w:val="clear" w:color="auto" w:fill="D9D9D9" w:themeFill="background1" w:themeFillShade="D9"/>
            <w:vAlign w:val="center"/>
          </w:tcPr>
          <w:p w14:paraId="627757CE"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0.03</w:t>
            </w:r>
          </w:p>
        </w:tc>
      </w:tr>
      <w:tr w:rsidR="002D7C45" w:rsidRPr="00141C45" w14:paraId="0642759D" w14:textId="77777777" w:rsidTr="00FD2D3D">
        <w:trPr>
          <w:trHeight w:val="567"/>
        </w:trPr>
        <w:tc>
          <w:tcPr>
            <w:tcW w:w="1145" w:type="pct"/>
            <w:tcBorders>
              <w:top w:val="nil"/>
              <w:bottom w:val="nil"/>
              <w:right w:val="nil"/>
            </w:tcBorders>
            <w:shd w:val="clear" w:color="auto" w:fill="D9D9D9" w:themeFill="background1" w:themeFillShade="D9"/>
            <w:vAlign w:val="center"/>
          </w:tcPr>
          <w:p w14:paraId="508828FF" w14:textId="77777777" w:rsidR="002D7C45" w:rsidRPr="002D7C45" w:rsidRDefault="002D7C45" w:rsidP="004E68BB">
            <w:pPr>
              <w:spacing w:after="0"/>
              <w:rPr>
                <w:rFonts w:ascii="Cambria" w:hAnsi="Cambria" w:cs="Arial"/>
                <w:sz w:val="20"/>
                <w:szCs w:val="20"/>
              </w:rPr>
            </w:pPr>
            <w:r w:rsidRPr="002D7C45">
              <w:rPr>
                <w:rFonts w:ascii="Cambria" w:hAnsi="Cambria" w:cs="Arial"/>
                <w:sz w:val="20"/>
                <w:szCs w:val="20"/>
              </w:rPr>
              <w:t>Diabetes duration (years)</w:t>
            </w:r>
          </w:p>
          <w:p w14:paraId="12998D8A" w14:textId="77777777" w:rsidR="002D7C45" w:rsidRPr="002D7C45" w:rsidRDefault="002D7C45" w:rsidP="004E68BB">
            <w:pPr>
              <w:spacing w:after="0"/>
              <w:rPr>
                <w:rFonts w:ascii="Cambria" w:hAnsi="Cambria" w:cs="Arial"/>
                <w:sz w:val="20"/>
                <w:szCs w:val="20"/>
              </w:rPr>
            </w:pPr>
          </w:p>
        </w:tc>
        <w:tc>
          <w:tcPr>
            <w:tcW w:w="821" w:type="pct"/>
            <w:tcBorders>
              <w:top w:val="nil"/>
              <w:left w:val="nil"/>
              <w:bottom w:val="nil"/>
              <w:right w:val="nil"/>
            </w:tcBorders>
            <w:shd w:val="clear" w:color="auto" w:fill="D9D9D9" w:themeFill="background1" w:themeFillShade="D9"/>
            <w:vAlign w:val="center"/>
          </w:tcPr>
          <w:p w14:paraId="27D7A4E0"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16.7 (10.1)</w:t>
            </w:r>
          </w:p>
        </w:tc>
        <w:tc>
          <w:tcPr>
            <w:tcW w:w="828" w:type="pct"/>
            <w:tcBorders>
              <w:top w:val="nil"/>
              <w:left w:val="nil"/>
              <w:bottom w:val="nil"/>
              <w:right w:val="nil"/>
            </w:tcBorders>
            <w:shd w:val="clear" w:color="auto" w:fill="D9D9D9" w:themeFill="background1" w:themeFillShade="D9"/>
            <w:vAlign w:val="center"/>
          </w:tcPr>
          <w:p w14:paraId="16DCF2A1"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13.1(8.7)</w:t>
            </w:r>
          </w:p>
        </w:tc>
        <w:tc>
          <w:tcPr>
            <w:tcW w:w="873" w:type="pct"/>
            <w:tcBorders>
              <w:top w:val="nil"/>
              <w:left w:val="nil"/>
              <w:bottom w:val="nil"/>
              <w:right w:val="nil"/>
            </w:tcBorders>
            <w:shd w:val="clear" w:color="auto" w:fill="D9D9D9" w:themeFill="background1" w:themeFillShade="D9"/>
            <w:vAlign w:val="center"/>
          </w:tcPr>
          <w:p w14:paraId="3554C861"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7.6 (3.3)</w:t>
            </w:r>
          </w:p>
        </w:tc>
        <w:tc>
          <w:tcPr>
            <w:tcW w:w="766" w:type="pct"/>
            <w:tcBorders>
              <w:top w:val="nil"/>
              <w:left w:val="nil"/>
              <w:bottom w:val="nil"/>
              <w:right w:val="nil"/>
            </w:tcBorders>
            <w:shd w:val="clear" w:color="auto" w:fill="D9D9D9" w:themeFill="background1" w:themeFillShade="D9"/>
            <w:vAlign w:val="center"/>
          </w:tcPr>
          <w:p w14:paraId="10980C6E"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w:t>
            </w:r>
          </w:p>
        </w:tc>
        <w:tc>
          <w:tcPr>
            <w:tcW w:w="568" w:type="pct"/>
            <w:tcBorders>
              <w:top w:val="nil"/>
              <w:left w:val="nil"/>
              <w:bottom w:val="nil"/>
            </w:tcBorders>
            <w:shd w:val="clear" w:color="auto" w:fill="D9D9D9" w:themeFill="background1" w:themeFillShade="D9"/>
            <w:vAlign w:val="center"/>
          </w:tcPr>
          <w:p w14:paraId="34218D9C"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0.01</w:t>
            </w:r>
          </w:p>
        </w:tc>
      </w:tr>
      <w:tr w:rsidR="002D7C45" w:rsidRPr="00141C45" w14:paraId="513FFE00" w14:textId="77777777" w:rsidTr="00FD2D3D">
        <w:trPr>
          <w:trHeight w:val="567"/>
        </w:trPr>
        <w:tc>
          <w:tcPr>
            <w:tcW w:w="1145" w:type="pct"/>
            <w:tcBorders>
              <w:top w:val="nil"/>
              <w:bottom w:val="nil"/>
              <w:right w:val="nil"/>
            </w:tcBorders>
            <w:shd w:val="clear" w:color="auto" w:fill="D9D9D9" w:themeFill="background1" w:themeFillShade="D9"/>
            <w:vAlign w:val="center"/>
          </w:tcPr>
          <w:p w14:paraId="3EA6B6A4" w14:textId="77777777" w:rsidR="002D7C45" w:rsidRPr="002D7C45" w:rsidRDefault="002D7C45" w:rsidP="004E68BB">
            <w:pPr>
              <w:spacing w:after="0"/>
              <w:rPr>
                <w:rFonts w:ascii="Cambria" w:hAnsi="Cambria" w:cs="Arial"/>
                <w:sz w:val="20"/>
                <w:szCs w:val="20"/>
              </w:rPr>
            </w:pPr>
            <w:r w:rsidRPr="002D7C45">
              <w:rPr>
                <w:rFonts w:ascii="Cambria" w:hAnsi="Cambria" w:cs="Arial"/>
                <w:sz w:val="20"/>
                <w:szCs w:val="20"/>
              </w:rPr>
              <w:t>HbA1c (mmol/mol)</w:t>
            </w:r>
          </w:p>
        </w:tc>
        <w:tc>
          <w:tcPr>
            <w:tcW w:w="821" w:type="pct"/>
            <w:tcBorders>
              <w:top w:val="nil"/>
              <w:left w:val="nil"/>
              <w:bottom w:val="nil"/>
              <w:right w:val="nil"/>
            </w:tcBorders>
            <w:shd w:val="clear" w:color="auto" w:fill="D9D9D9" w:themeFill="background1" w:themeFillShade="D9"/>
            <w:vAlign w:val="center"/>
          </w:tcPr>
          <w:p w14:paraId="1CB98AAC"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72.4 (14.7)</w:t>
            </w:r>
          </w:p>
        </w:tc>
        <w:tc>
          <w:tcPr>
            <w:tcW w:w="828" w:type="pct"/>
            <w:tcBorders>
              <w:top w:val="nil"/>
              <w:left w:val="nil"/>
              <w:bottom w:val="nil"/>
              <w:right w:val="nil"/>
            </w:tcBorders>
            <w:shd w:val="clear" w:color="auto" w:fill="D9D9D9" w:themeFill="background1" w:themeFillShade="D9"/>
            <w:vAlign w:val="center"/>
          </w:tcPr>
          <w:p w14:paraId="15099AD7"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61.8 (8.6)</w:t>
            </w:r>
          </w:p>
        </w:tc>
        <w:tc>
          <w:tcPr>
            <w:tcW w:w="873" w:type="pct"/>
            <w:tcBorders>
              <w:top w:val="nil"/>
              <w:left w:val="nil"/>
              <w:bottom w:val="nil"/>
              <w:right w:val="nil"/>
            </w:tcBorders>
            <w:shd w:val="clear" w:color="auto" w:fill="D9D9D9" w:themeFill="background1" w:themeFillShade="D9"/>
            <w:vAlign w:val="center"/>
          </w:tcPr>
          <w:p w14:paraId="2C85DFFB"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63.9 (21.3)</w:t>
            </w:r>
          </w:p>
        </w:tc>
        <w:tc>
          <w:tcPr>
            <w:tcW w:w="766" w:type="pct"/>
            <w:tcBorders>
              <w:top w:val="nil"/>
              <w:left w:val="nil"/>
              <w:bottom w:val="nil"/>
              <w:right w:val="nil"/>
            </w:tcBorders>
            <w:shd w:val="clear" w:color="auto" w:fill="D9D9D9" w:themeFill="background1" w:themeFillShade="D9"/>
            <w:vAlign w:val="center"/>
          </w:tcPr>
          <w:p w14:paraId="26EE6AAA"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w:t>
            </w:r>
          </w:p>
        </w:tc>
        <w:tc>
          <w:tcPr>
            <w:tcW w:w="568" w:type="pct"/>
            <w:tcBorders>
              <w:top w:val="nil"/>
              <w:left w:val="nil"/>
              <w:bottom w:val="nil"/>
            </w:tcBorders>
            <w:shd w:val="clear" w:color="auto" w:fill="D9D9D9" w:themeFill="background1" w:themeFillShade="D9"/>
            <w:vAlign w:val="center"/>
          </w:tcPr>
          <w:p w14:paraId="237EC45E" w14:textId="77777777" w:rsidR="002D7C45" w:rsidRPr="002D7C45" w:rsidRDefault="002D7C45" w:rsidP="004E68BB">
            <w:pPr>
              <w:spacing w:after="0" w:line="360" w:lineRule="auto"/>
              <w:jc w:val="center"/>
              <w:rPr>
                <w:rFonts w:ascii="Cambria" w:hAnsi="Cambria" w:cs="Arial"/>
                <w:sz w:val="20"/>
                <w:szCs w:val="20"/>
              </w:rPr>
            </w:pPr>
            <w:r w:rsidRPr="002D7C45">
              <w:rPr>
                <w:rFonts w:ascii="Cambria" w:hAnsi="Cambria"/>
                <w:sz w:val="20"/>
                <w:szCs w:val="20"/>
                <w:lang w:eastAsia="en-US"/>
              </w:rPr>
              <w:t>0.2</w:t>
            </w:r>
          </w:p>
        </w:tc>
      </w:tr>
      <w:tr w:rsidR="002D7C45" w:rsidRPr="00141C45" w14:paraId="2AC2BC26" w14:textId="77777777" w:rsidTr="00FD2D3D">
        <w:trPr>
          <w:trHeight w:val="567"/>
        </w:trPr>
        <w:tc>
          <w:tcPr>
            <w:tcW w:w="1145" w:type="pct"/>
            <w:tcBorders>
              <w:top w:val="nil"/>
              <w:bottom w:val="nil"/>
              <w:right w:val="nil"/>
            </w:tcBorders>
            <w:shd w:val="clear" w:color="auto" w:fill="D9D9D9" w:themeFill="background1" w:themeFillShade="D9"/>
            <w:vAlign w:val="center"/>
          </w:tcPr>
          <w:p w14:paraId="1F001427" w14:textId="77777777" w:rsidR="002D7C45" w:rsidRPr="002D7C45" w:rsidRDefault="002D7C45" w:rsidP="004E68BB">
            <w:pPr>
              <w:spacing w:after="0"/>
              <w:rPr>
                <w:rFonts w:ascii="Cambria" w:hAnsi="Cambria" w:cs="Arial"/>
                <w:bCs/>
                <w:sz w:val="20"/>
                <w:szCs w:val="20"/>
              </w:rPr>
            </w:pPr>
            <w:r w:rsidRPr="002D7C45">
              <w:rPr>
                <w:rFonts w:ascii="Cambria" w:hAnsi="Cambria" w:cs="Arial"/>
                <w:bCs/>
                <w:sz w:val="20"/>
                <w:szCs w:val="20"/>
              </w:rPr>
              <w:t>Total Cholesterol (</w:t>
            </w:r>
            <w:r w:rsidRPr="002D7C45">
              <w:rPr>
                <w:rFonts w:ascii="Cambria" w:hAnsi="Cambria" w:cs="Arial"/>
                <w:bCs/>
                <w:sz w:val="20"/>
                <w:szCs w:val="20"/>
                <w:lang w:val="en-US"/>
              </w:rPr>
              <w:t>mmol/L)</w:t>
            </w:r>
          </w:p>
        </w:tc>
        <w:tc>
          <w:tcPr>
            <w:tcW w:w="821" w:type="pct"/>
            <w:tcBorders>
              <w:top w:val="nil"/>
              <w:left w:val="nil"/>
              <w:bottom w:val="nil"/>
              <w:right w:val="nil"/>
            </w:tcBorders>
            <w:shd w:val="clear" w:color="auto" w:fill="D9D9D9" w:themeFill="background1" w:themeFillShade="D9"/>
            <w:vAlign w:val="center"/>
          </w:tcPr>
          <w:p w14:paraId="6111E0F3" w14:textId="77777777" w:rsidR="002D7C45" w:rsidRPr="002D7C45" w:rsidRDefault="002D7C45" w:rsidP="004E68BB">
            <w:pPr>
              <w:spacing w:after="0" w:line="360" w:lineRule="auto"/>
              <w:jc w:val="center"/>
              <w:rPr>
                <w:rFonts w:ascii="Cambria" w:hAnsi="Cambria" w:cs="Arial"/>
                <w:bCs/>
                <w:sz w:val="20"/>
                <w:szCs w:val="20"/>
              </w:rPr>
            </w:pPr>
            <w:r w:rsidRPr="002D7C45">
              <w:rPr>
                <w:rFonts w:ascii="Cambria" w:hAnsi="Cambria" w:cs="Arial"/>
                <w:bCs/>
                <w:sz w:val="20"/>
                <w:szCs w:val="20"/>
              </w:rPr>
              <w:t>4.2 (1.0)</w:t>
            </w:r>
          </w:p>
        </w:tc>
        <w:tc>
          <w:tcPr>
            <w:tcW w:w="828" w:type="pct"/>
            <w:tcBorders>
              <w:top w:val="nil"/>
              <w:left w:val="nil"/>
              <w:bottom w:val="nil"/>
              <w:right w:val="nil"/>
            </w:tcBorders>
            <w:shd w:val="clear" w:color="auto" w:fill="D9D9D9" w:themeFill="background1" w:themeFillShade="D9"/>
            <w:vAlign w:val="center"/>
          </w:tcPr>
          <w:p w14:paraId="05EFC0BE" w14:textId="77777777" w:rsidR="002D7C45" w:rsidRPr="002D7C45" w:rsidRDefault="002D7C45" w:rsidP="004E68BB">
            <w:pPr>
              <w:spacing w:after="0" w:line="360" w:lineRule="auto"/>
              <w:jc w:val="center"/>
              <w:rPr>
                <w:rFonts w:ascii="Cambria" w:hAnsi="Cambria" w:cs="Arial"/>
                <w:bCs/>
                <w:sz w:val="20"/>
                <w:szCs w:val="20"/>
              </w:rPr>
            </w:pPr>
            <w:r w:rsidRPr="002D7C45">
              <w:rPr>
                <w:rFonts w:ascii="Cambria" w:hAnsi="Cambria" w:cs="Arial"/>
                <w:bCs/>
                <w:sz w:val="20"/>
                <w:szCs w:val="20"/>
              </w:rPr>
              <w:t>3.4 (0.4)</w:t>
            </w:r>
          </w:p>
        </w:tc>
        <w:tc>
          <w:tcPr>
            <w:tcW w:w="873" w:type="pct"/>
            <w:tcBorders>
              <w:top w:val="nil"/>
              <w:left w:val="nil"/>
              <w:bottom w:val="nil"/>
              <w:right w:val="nil"/>
            </w:tcBorders>
            <w:shd w:val="clear" w:color="auto" w:fill="D9D9D9" w:themeFill="background1" w:themeFillShade="D9"/>
            <w:vAlign w:val="center"/>
          </w:tcPr>
          <w:p w14:paraId="59C1F32B" w14:textId="77777777" w:rsidR="002D7C45" w:rsidRPr="002D7C45" w:rsidRDefault="002D7C45" w:rsidP="004E68BB">
            <w:pPr>
              <w:spacing w:after="0" w:line="360" w:lineRule="auto"/>
              <w:jc w:val="center"/>
              <w:rPr>
                <w:rFonts w:ascii="Cambria" w:hAnsi="Cambria" w:cs="Arial"/>
                <w:bCs/>
                <w:sz w:val="20"/>
                <w:szCs w:val="20"/>
              </w:rPr>
            </w:pPr>
            <w:r w:rsidRPr="002D7C45">
              <w:rPr>
                <w:rFonts w:ascii="Cambria" w:hAnsi="Cambria" w:cs="Arial"/>
                <w:bCs/>
                <w:sz w:val="20"/>
                <w:szCs w:val="20"/>
              </w:rPr>
              <w:t>4.4 (0.9)</w:t>
            </w:r>
          </w:p>
        </w:tc>
        <w:tc>
          <w:tcPr>
            <w:tcW w:w="766" w:type="pct"/>
            <w:tcBorders>
              <w:top w:val="nil"/>
              <w:left w:val="nil"/>
              <w:bottom w:val="nil"/>
              <w:right w:val="nil"/>
            </w:tcBorders>
            <w:shd w:val="clear" w:color="auto" w:fill="D9D9D9" w:themeFill="background1" w:themeFillShade="D9"/>
            <w:vAlign w:val="center"/>
          </w:tcPr>
          <w:p w14:paraId="009A90AB" w14:textId="77777777" w:rsidR="002D7C45" w:rsidRPr="002D7C45" w:rsidRDefault="002D7C45" w:rsidP="004E68BB">
            <w:pPr>
              <w:spacing w:after="0" w:line="360" w:lineRule="auto"/>
              <w:jc w:val="center"/>
              <w:rPr>
                <w:rFonts w:ascii="Cambria" w:hAnsi="Cambria" w:cs="Arial"/>
                <w:bCs/>
                <w:sz w:val="20"/>
                <w:szCs w:val="20"/>
              </w:rPr>
            </w:pPr>
            <w:r w:rsidRPr="002D7C45">
              <w:rPr>
                <w:rFonts w:ascii="Cambria" w:hAnsi="Cambria" w:cs="Arial"/>
                <w:bCs/>
                <w:sz w:val="20"/>
                <w:szCs w:val="20"/>
              </w:rPr>
              <w:t>-</w:t>
            </w:r>
          </w:p>
        </w:tc>
        <w:tc>
          <w:tcPr>
            <w:tcW w:w="568" w:type="pct"/>
            <w:tcBorders>
              <w:top w:val="nil"/>
              <w:left w:val="nil"/>
              <w:bottom w:val="nil"/>
            </w:tcBorders>
            <w:shd w:val="clear" w:color="auto" w:fill="D9D9D9" w:themeFill="background1" w:themeFillShade="D9"/>
            <w:vAlign w:val="center"/>
          </w:tcPr>
          <w:p w14:paraId="44AC8DA5" w14:textId="77777777" w:rsidR="002D7C45" w:rsidRPr="002D7C45" w:rsidRDefault="002D7C45" w:rsidP="004E68BB">
            <w:pPr>
              <w:spacing w:after="0" w:line="360" w:lineRule="auto"/>
              <w:jc w:val="center"/>
              <w:rPr>
                <w:rFonts w:ascii="Cambria" w:hAnsi="Cambria" w:cs="Arial"/>
                <w:bCs/>
                <w:sz w:val="20"/>
                <w:szCs w:val="20"/>
              </w:rPr>
            </w:pPr>
            <w:r w:rsidRPr="002D7C45">
              <w:rPr>
                <w:rFonts w:ascii="Cambria" w:hAnsi="Cambria" w:cs="Arial"/>
                <w:bCs/>
                <w:sz w:val="20"/>
                <w:szCs w:val="20"/>
              </w:rPr>
              <w:t>0.009</w:t>
            </w:r>
          </w:p>
        </w:tc>
      </w:tr>
      <w:tr w:rsidR="002D7C45" w:rsidRPr="00141C45" w14:paraId="5CEB9483" w14:textId="77777777" w:rsidTr="00FD2D3D">
        <w:trPr>
          <w:trHeight w:val="567"/>
        </w:trPr>
        <w:tc>
          <w:tcPr>
            <w:tcW w:w="1145" w:type="pct"/>
            <w:tcBorders>
              <w:top w:val="nil"/>
              <w:bottom w:val="nil"/>
              <w:right w:val="nil"/>
            </w:tcBorders>
            <w:shd w:val="clear" w:color="auto" w:fill="D9D9D9" w:themeFill="background1" w:themeFillShade="D9"/>
            <w:vAlign w:val="center"/>
          </w:tcPr>
          <w:p w14:paraId="0BB8CE82" w14:textId="77777777" w:rsidR="002D7C45" w:rsidRPr="002D7C45" w:rsidRDefault="002D7C45" w:rsidP="004E68BB">
            <w:pPr>
              <w:spacing w:after="0"/>
              <w:rPr>
                <w:rFonts w:ascii="Cambria" w:hAnsi="Cambria" w:cs="Arial"/>
                <w:bCs/>
                <w:sz w:val="20"/>
                <w:szCs w:val="20"/>
              </w:rPr>
            </w:pPr>
            <w:r w:rsidRPr="002D7C45">
              <w:rPr>
                <w:rFonts w:ascii="Cambria" w:hAnsi="Cambria" w:cs="Arial"/>
                <w:bCs/>
                <w:sz w:val="20"/>
                <w:szCs w:val="20"/>
              </w:rPr>
              <w:t xml:space="preserve">Urine </w:t>
            </w:r>
            <w:proofErr w:type="spellStart"/>
            <w:r w:rsidRPr="002D7C45">
              <w:rPr>
                <w:rFonts w:ascii="Cambria" w:hAnsi="Cambria" w:cs="Arial"/>
                <w:bCs/>
                <w:sz w:val="20"/>
                <w:szCs w:val="20"/>
              </w:rPr>
              <w:t>ACR</w:t>
            </w:r>
            <w:proofErr w:type="spellEnd"/>
            <w:r w:rsidRPr="002D7C45">
              <w:rPr>
                <w:rFonts w:ascii="Cambria" w:hAnsi="Cambria" w:cs="Arial"/>
                <w:bCs/>
                <w:sz w:val="20"/>
                <w:szCs w:val="20"/>
              </w:rPr>
              <w:t xml:space="preserve"> (</w:t>
            </w:r>
            <w:r w:rsidRPr="002D7C45">
              <w:rPr>
                <w:rFonts w:ascii="Cambria" w:hAnsi="Cambria" w:cs="Arial"/>
                <w:bCs/>
                <w:sz w:val="20"/>
                <w:szCs w:val="20"/>
                <w:lang w:val="en-US" w:eastAsia="en-US"/>
              </w:rPr>
              <w:t>mg/mmol)</w:t>
            </w:r>
          </w:p>
        </w:tc>
        <w:tc>
          <w:tcPr>
            <w:tcW w:w="821" w:type="pct"/>
            <w:tcBorders>
              <w:top w:val="nil"/>
              <w:left w:val="nil"/>
              <w:bottom w:val="nil"/>
              <w:right w:val="nil"/>
            </w:tcBorders>
            <w:shd w:val="clear" w:color="auto" w:fill="D9D9D9" w:themeFill="background1" w:themeFillShade="D9"/>
            <w:vAlign w:val="center"/>
          </w:tcPr>
          <w:p w14:paraId="4BD6F664" w14:textId="77777777" w:rsidR="002D7C45" w:rsidRPr="002D7C45" w:rsidRDefault="002D7C45" w:rsidP="004E68BB">
            <w:pPr>
              <w:spacing w:after="0" w:line="360" w:lineRule="auto"/>
              <w:jc w:val="center"/>
              <w:rPr>
                <w:rFonts w:ascii="Cambria" w:hAnsi="Cambria" w:cs="Arial"/>
                <w:bCs/>
                <w:sz w:val="20"/>
                <w:szCs w:val="20"/>
              </w:rPr>
            </w:pPr>
            <w:r w:rsidRPr="002D7C45">
              <w:rPr>
                <w:rFonts w:ascii="Cambria" w:hAnsi="Cambria" w:cs="Arial"/>
                <w:bCs/>
                <w:sz w:val="20"/>
                <w:szCs w:val="20"/>
              </w:rPr>
              <w:t>44.3 (96.8)</w:t>
            </w:r>
          </w:p>
        </w:tc>
        <w:tc>
          <w:tcPr>
            <w:tcW w:w="828" w:type="pct"/>
            <w:tcBorders>
              <w:top w:val="nil"/>
              <w:left w:val="nil"/>
              <w:bottom w:val="nil"/>
              <w:right w:val="nil"/>
            </w:tcBorders>
            <w:shd w:val="clear" w:color="auto" w:fill="D9D9D9" w:themeFill="background1" w:themeFillShade="D9"/>
            <w:vAlign w:val="center"/>
          </w:tcPr>
          <w:p w14:paraId="10B737C4" w14:textId="77777777" w:rsidR="002D7C45" w:rsidRPr="002D7C45" w:rsidRDefault="002D7C45" w:rsidP="004E68BB">
            <w:pPr>
              <w:spacing w:after="0" w:line="360" w:lineRule="auto"/>
              <w:jc w:val="center"/>
              <w:rPr>
                <w:rFonts w:ascii="Cambria" w:hAnsi="Cambria" w:cs="Arial"/>
                <w:bCs/>
                <w:sz w:val="20"/>
                <w:szCs w:val="20"/>
              </w:rPr>
            </w:pPr>
            <w:r w:rsidRPr="002D7C45">
              <w:rPr>
                <w:rFonts w:ascii="Cambria" w:hAnsi="Cambria" w:cs="Arial"/>
                <w:bCs/>
                <w:sz w:val="20"/>
                <w:szCs w:val="20"/>
              </w:rPr>
              <w:t>5.8 (11.7)</w:t>
            </w:r>
          </w:p>
        </w:tc>
        <w:tc>
          <w:tcPr>
            <w:tcW w:w="873" w:type="pct"/>
            <w:tcBorders>
              <w:top w:val="nil"/>
              <w:left w:val="nil"/>
              <w:bottom w:val="nil"/>
              <w:right w:val="nil"/>
            </w:tcBorders>
            <w:shd w:val="clear" w:color="auto" w:fill="D9D9D9" w:themeFill="background1" w:themeFillShade="D9"/>
            <w:vAlign w:val="center"/>
          </w:tcPr>
          <w:p w14:paraId="5FE32115" w14:textId="77777777" w:rsidR="002D7C45" w:rsidRPr="002D7C45" w:rsidRDefault="002D7C45" w:rsidP="004E68BB">
            <w:pPr>
              <w:spacing w:after="0" w:line="360" w:lineRule="auto"/>
              <w:jc w:val="center"/>
              <w:rPr>
                <w:rFonts w:ascii="Cambria" w:hAnsi="Cambria" w:cs="Arial"/>
                <w:bCs/>
                <w:sz w:val="20"/>
                <w:szCs w:val="20"/>
              </w:rPr>
            </w:pPr>
            <w:r w:rsidRPr="002D7C45">
              <w:rPr>
                <w:rFonts w:ascii="Cambria" w:hAnsi="Cambria" w:cs="Arial"/>
                <w:bCs/>
                <w:sz w:val="20"/>
                <w:szCs w:val="20"/>
              </w:rPr>
              <w:t>0.81 ()</w:t>
            </w:r>
          </w:p>
        </w:tc>
        <w:tc>
          <w:tcPr>
            <w:tcW w:w="766" w:type="pct"/>
            <w:tcBorders>
              <w:top w:val="nil"/>
              <w:left w:val="nil"/>
              <w:bottom w:val="nil"/>
              <w:right w:val="nil"/>
            </w:tcBorders>
            <w:shd w:val="clear" w:color="auto" w:fill="D9D9D9" w:themeFill="background1" w:themeFillShade="D9"/>
            <w:vAlign w:val="center"/>
          </w:tcPr>
          <w:p w14:paraId="27791C64" w14:textId="77777777" w:rsidR="002D7C45" w:rsidRPr="002D7C45" w:rsidRDefault="002D7C45" w:rsidP="004E68BB">
            <w:pPr>
              <w:spacing w:after="0" w:line="360" w:lineRule="auto"/>
              <w:jc w:val="center"/>
              <w:rPr>
                <w:rFonts w:ascii="Cambria" w:hAnsi="Cambria" w:cs="Arial"/>
                <w:bCs/>
                <w:sz w:val="20"/>
                <w:szCs w:val="20"/>
              </w:rPr>
            </w:pPr>
            <w:r w:rsidRPr="002D7C45">
              <w:rPr>
                <w:rFonts w:ascii="Cambria" w:hAnsi="Cambria" w:cs="Arial"/>
                <w:bCs/>
                <w:sz w:val="20"/>
                <w:szCs w:val="20"/>
              </w:rPr>
              <w:t>-</w:t>
            </w:r>
          </w:p>
        </w:tc>
        <w:tc>
          <w:tcPr>
            <w:tcW w:w="568" w:type="pct"/>
            <w:tcBorders>
              <w:top w:val="nil"/>
              <w:left w:val="nil"/>
              <w:bottom w:val="nil"/>
            </w:tcBorders>
            <w:shd w:val="clear" w:color="auto" w:fill="D9D9D9" w:themeFill="background1" w:themeFillShade="D9"/>
            <w:vAlign w:val="center"/>
          </w:tcPr>
          <w:p w14:paraId="6C42E22C" w14:textId="77777777" w:rsidR="002D7C45" w:rsidRPr="002D7C45" w:rsidRDefault="002D7C45" w:rsidP="004E68BB">
            <w:pPr>
              <w:spacing w:after="0" w:line="360" w:lineRule="auto"/>
              <w:jc w:val="center"/>
              <w:rPr>
                <w:rFonts w:ascii="Cambria" w:hAnsi="Cambria" w:cs="Arial"/>
                <w:bCs/>
                <w:sz w:val="20"/>
                <w:szCs w:val="20"/>
              </w:rPr>
            </w:pPr>
            <w:r w:rsidRPr="002D7C45">
              <w:rPr>
                <w:rFonts w:ascii="Cambria" w:hAnsi="Cambria" w:cs="Arial"/>
                <w:bCs/>
                <w:sz w:val="20"/>
                <w:szCs w:val="20"/>
              </w:rPr>
              <w:t>0.13</w:t>
            </w:r>
          </w:p>
        </w:tc>
      </w:tr>
      <w:tr w:rsidR="002D7C45" w:rsidRPr="00141C45" w14:paraId="5C1ABDD1" w14:textId="77777777" w:rsidTr="00FD2D3D">
        <w:trPr>
          <w:trHeight w:val="567"/>
        </w:trPr>
        <w:tc>
          <w:tcPr>
            <w:tcW w:w="1145" w:type="pct"/>
            <w:tcBorders>
              <w:top w:val="nil"/>
              <w:bottom w:val="single" w:sz="12" w:space="0" w:color="auto"/>
              <w:right w:val="nil"/>
            </w:tcBorders>
            <w:shd w:val="clear" w:color="auto" w:fill="D9D9D9" w:themeFill="background1" w:themeFillShade="D9"/>
            <w:vAlign w:val="center"/>
          </w:tcPr>
          <w:p w14:paraId="54AD6065" w14:textId="77777777" w:rsidR="002D7C45" w:rsidRPr="002D7C45" w:rsidRDefault="002D7C45" w:rsidP="004E68BB">
            <w:pPr>
              <w:spacing w:after="0"/>
              <w:rPr>
                <w:rFonts w:ascii="Cambria" w:hAnsi="Cambria" w:cs="Arial"/>
                <w:bCs/>
                <w:sz w:val="20"/>
                <w:szCs w:val="20"/>
              </w:rPr>
            </w:pPr>
            <w:r w:rsidRPr="002D7C45">
              <w:rPr>
                <w:rFonts w:ascii="Cambria" w:hAnsi="Cambria" w:cs="Arial"/>
                <w:bCs/>
                <w:sz w:val="20"/>
                <w:szCs w:val="20"/>
              </w:rPr>
              <w:t>eGFR (</w:t>
            </w:r>
            <w:proofErr w:type="spellStart"/>
            <w:r w:rsidRPr="002D7C45">
              <w:rPr>
                <w:rFonts w:ascii="Cambria" w:hAnsi="Cambria" w:cs="Arial"/>
                <w:bCs/>
                <w:sz w:val="20"/>
                <w:szCs w:val="20"/>
                <w:lang w:val="en-US"/>
              </w:rPr>
              <w:t>mls</w:t>
            </w:r>
            <w:proofErr w:type="spellEnd"/>
            <w:r w:rsidRPr="002D7C45">
              <w:rPr>
                <w:rFonts w:ascii="Cambria" w:hAnsi="Cambria" w:cs="Arial"/>
                <w:bCs/>
                <w:sz w:val="20"/>
                <w:szCs w:val="20"/>
                <w:lang w:val="en-US"/>
              </w:rPr>
              <w:t>/min/1.73m</w:t>
            </w:r>
            <w:r w:rsidRPr="002D7C45">
              <w:rPr>
                <w:rFonts w:ascii="Cambria" w:hAnsi="Cambria" w:cs="Arial"/>
                <w:bCs/>
                <w:sz w:val="20"/>
                <w:szCs w:val="20"/>
                <w:vertAlign w:val="superscript"/>
                <w:lang w:val="en-US"/>
              </w:rPr>
              <w:t>2</w:t>
            </w:r>
            <w:r w:rsidRPr="002D7C45">
              <w:rPr>
                <w:rFonts w:ascii="Cambria" w:hAnsi="Cambria" w:cs="Arial"/>
                <w:bCs/>
                <w:sz w:val="20"/>
                <w:szCs w:val="20"/>
                <w:lang w:val="en-US"/>
              </w:rPr>
              <w:t>)</w:t>
            </w:r>
          </w:p>
        </w:tc>
        <w:tc>
          <w:tcPr>
            <w:tcW w:w="821" w:type="pct"/>
            <w:tcBorders>
              <w:top w:val="nil"/>
              <w:left w:val="nil"/>
              <w:bottom w:val="single" w:sz="12" w:space="0" w:color="auto"/>
              <w:right w:val="nil"/>
            </w:tcBorders>
            <w:shd w:val="clear" w:color="auto" w:fill="D9D9D9" w:themeFill="background1" w:themeFillShade="D9"/>
            <w:vAlign w:val="center"/>
          </w:tcPr>
          <w:p w14:paraId="1A57F7BB" w14:textId="77777777" w:rsidR="002D7C45" w:rsidRPr="002D7C45" w:rsidRDefault="002D7C45" w:rsidP="004E68BB">
            <w:pPr>
              <w:spacing w:after="0" w:line="360" w:lineRule="auto"/>
              <w:jc w:val="center"/>
              <w:rPr>
                <w:rFonts w:ascii="Cambria" w:hAnsi="Cambria" w:cs="Arial"/>
                <w:bCs/>
                <w:sz w:val="20"/>
                <w:szCs w:val="20"/>
              </w:rPr>
            </w:pPr>
            <w:r w:rsidRPr="002D7C45">
              <w:rPr>
                <w:rFonts w:ascii="Cambria" w:hAnsi="Cambria" w:cs="Arial"/>
                <w:bCs/>
                <w:sz w:val="20"/>
                <w:szCs w:val="20"/>
              </w:rPr>
              <w:t>51.0 (36.9)</w:t>
            </w:r>
          </w:p>
        </w:tc>
        <w:tc>
          <w:tcPr>
            <w:tcW w:w="828" w:type="pct"/>
            <w:tcBorders>
              <w:top w:val="nil"/>
              <w:left w:val="nil"/>
              <w:bottom w:val="single" w:sz="12" w:space="0" w:color="auto"/>
              <w:right w:val="nil"/>
            </w:tcBorders>
            <w:shd w:val="clear" w:color="auto" w:fill="D9D9D9" w:themeFill="background1" w:themeFillShade="D9"/>
            <w:vAlign w:val="center"/>
          </w:tcPr>
          <w:p w14:paraId="3BC79022" w14:textId="77777777" w:rsidR="002D7C45" w:rsidRPr="002D7C45" w:rsidRDefault="002D7C45" w:rsidP="004E68BB">
            <w:pPr>
              <w:spacing w:after="0" w:line="360" w:lineRule="auto"/>
              <w:jc w:val="center"/>
              <w:rPr>
                <w:rFonts w:ascii="Cambria" w:hAnsi="Cambria" w:cs="Arial"/>
                <w:bCs/>
                <w:sz w:val="20"/>
                <w:szCs w:val="20"/>
              </w:rPr>
            </w:pPr>
            <w:r w:rsidRPr="002D7C45">
              <w:rPr>
                <w:rFonts w:ascii="Cambria" w:hAnsi="Cambria" w:cs="Arial"/>
                <w:bCs/>
                <w:sz w:val="20"/>
                <w:szCs w:val="20"/>
              </w:rPr>
              <w:t>44.4 (34.7)</w:t>
            </w:r>
          </w:p>
        </w:tc>
        <w:tc>
          <w:tcPr>
            <w:tcW w:w="873" w:type="pct"/>
            <w:tcBorders>
              <w:top w:val="nil"/>
              <w:left w:val="nil"/>
              <w:bottom w:val="single" w:sz="12" w:space="0" w:color="auto"/>
              <w:right w:val="nil"/>
            </w:tcBorders>
            <w:shd w:val="clear" w:color="auto" w:fill="D9D9D9" w:themeFill="background1" w:themeFillShade="D9"/>
            <w:vAlign w:val="center"/>
          </w:tcPr>
          <w:p w14:paraId="71F141F7" w14:textId="77777777" w:rsidR="002D7C45" w:rsidRPr="002D7C45" w:rsidRDefault="002D7C45" w:rsidP="004E68BB">
            <w:pPr>
              <w:spacing w:after="0" w:line="360" w:lineRule="auto"/>
              <w:jc w:val="center"/>
              <w:rPr>
                <w:rFonts w:ascii="Cambria" w:hAnsi="Cambria" w:cs="Arial"/>
                <w:bCs/>
                <w:sz w:val="20"/>
                <w:szCs w:val="20"/>
              </w:rPr>
            </w:pPr>
            <w:r w:rsidRPr="002D7C45">
              <w:rPr>
                <w:rFonts w:ascii="Cambria" w:hAnsi="Cambria" w:cs="Arial"/>
                <w:bCs/>
                <w:sz w:val="20"/>
                <w:szCs w:val="20"/>
              </w:rPr>
              <w:t>35.0(39.2)</w:t>
            </w:r>
          </w:p>
        </w:tc>
        <w:tc>
          <w:tcPr>
            <w:tcW w:w="766" w:type="pct"/>
            <w:tcBorders>
              <w:top w:val="nil"/>
              <w:left w:val="nil"/>
              <w:bottom w:val="single" w:sz="12" w:space="0" w:color="auto"/>
              <w:right w:val="nil"/>
            </w:tcBorders>
            <w:shd w:val="clear" w:color="auto" w:fill="D9D9D9" w:themeFill="background1" w:themeFillShade="D9"/>
            <w:vAlign w:val="center"/>
          </w:tcPr>
          <w:p w14:paraId="4F7C83DC" w14:textId="77777777" w:rsidR="002D7C45" w:rsidRPr="002D7C45" w:rsidRDefault="002D7C45" w:rsidP="004E68BB">
            <w:pPr>
              <w:spacing w:after="0" w:line="360" w:lineRule="auto"/>
              <w:jc w:val="center"/>
              <w:rPr>
                <w:rFonts w:ascii="Cambria" w:hAnsi="Cambria" w:cs="Arial"/>
                <w:bCs/>
                <w:sz w:val="20"/>
                <w:szCs w:val="20"/>
              </w:rPr>
            </w:pPr>
            <w:r w:rsidRPr="002D7C45">
              <w:rPr>
                <w:rFonts w:ascii="Cambria" w:hAnsi="Cambria" w:cs="Arial"/>
                <w:bCs/>
                <w:sz w:val="20"/>
                <w:szCs w:val="20"/>
              </w:rPr>
              <w:t>-</w:t>
            </w:r>
          </w:p>
        </w:tc>
        <w:tc>
          <w:tcPr>
            <w:tcW w:w="568" w:type="pct"/>
            <w:tcBorders>
              <w:top w:val="nil"/>
              <w:left w:val="nil"/>
              <w:bottom w:val="single" w:sz="12" w:space="0" w:color="auto"/>
            </w:tcBorders>
            <w:shd w:val="clear" w:color="auto" w:fill="D9D9D9" w:themeFill="background1" w:themeFillShade="D9"/>
            <w:vAlign w:val="center"/>
          </w:tcPr>
          <w:p w14:paraId="76DB74BF" w14:textId="77777777" w:rsidR="002D7C45" w:rsidRPr="002D7C45" w:rsidRDefault="002D7C45" w:rsidP="004E68BB">
            <w:pPr>
              <w:spacing w:after="0" w:line="360" w:lineRule="auto"/>
              <w:jc w:val="center"/>
              <w:rPr>
                <w:rFonts w:ascii="Cambria" w:hAnsi="Cambria" w:cs="Arial"/>
                <w:bCs/>
                <w:sz w:val="20"/>
                <w:szCs w:val="20"/>
              </w:rPr>
            </w:pPr>
            <w:r w:rsidRPr="002D7C45">
              <w:rPr>
                <w:rFonts w:ascii="Cambria" w:hAnsi="Cambria" w:cs="Arial"/>
                <w:bCs/>
                <w:sz w:val="20"/>
                <w:szCs w:val="20"/>
              </w:rPr>
              <w:t>0.52</w:t>
            </w:r>
          </w:p>
        </w:tc>
      </w:tr>
    </w:tbl>
    <w:p w14:paraId="6C6313CF" w14:textId="77777777" w:rsidR="004F7976" w:rsidRDefault="004F7976" w:rsidP="004F7976">
      <w:pPr>
        <w:pStyle w:val="BodyA"/>
        <w:widowControl w:val="0"/>
        <w:ind w:left="216" w:hanging="216"/>
      </w:pPr>
    </w:p>
    <w:p w14:paraId="2FFBDB18" w14:textId="77777777" w:rsidR="004F7976" w:rsidRDefault="004F7976" w:rsidP="004F7976">
      <w:pPr>
        <w:pStyle w:val="BodyA"/>
        <w:widowControl w:val="0"/>
        <w:ind w:left="108" w:hanging="108"/>
        <w:rPr>
          <w:rFonts w:ascii="Arial" w:eastAsia="Arial" w:hAnsi="Arial" w:cs="Arial"/>
        </w:rPr>
      </w:pPr>
    </w:p>
    <w:p w14:paraId="6278A800" w14:textId="5D092C50" w:rsidR="004F7976" w:rsidRDefault="004F7976" w:rsidP="004F7976">
      <w:pPr>
        <w:pStyle w:val="BodyA"/>
        <w:spacing w:line="480" w:lineRule="auto"/>
        <w:jc w:val="both"/>
        <w:rPr>
          <w:lang w:val="en-US"/>
        </w:rPr>
      </w:pPr>
      <w:r>
        <w:rPr>
          <w:lang w:val="en-US"/>
        </w:rPr>
        <w:t xml:space="preserve">Table 6.2 shows clinical, neurophysiological and skin biopsy data of the different groups. Neuropathy groups had significantly high NISLL+7 scores and very low </w:t>
      </w:r>
      <w:proofErr w:type="spellStart"/>
      <w:r>
        <w:rPr>
          <w:lang w:val="en-US"/>
        </w:rPr>
        <w:t>IENFD</w:t>
      </w:r>
      <w:proofErr w:type="spellEnd"/>
      <w:r>
        <w:rPr>
          <w:lang w:val="en-US"/>
        </w:rPr>
        <w:t xml:space="preserve"> (ANOVA p=&lt;0.01) indicating well established </w:t>
      </w:r>
      <w:proofErr w:type="spellStart"/>
      <w:r>
        <w:rPr>
          <w:lang w:val="en-US"/>
        </w:rPr>
        <w:t>DPN</w:t>
      </w:r>
      <w:proofErr w:type="spellEnd"/>
      <w:r>
        <w:rPr>
          <w:lang w:val="en-US"/>
        </w:rPr>
        <w:t xml:space="preserve">. This was also reflected in nerve conduction parameters.  </w:t>
      </w:r>
      <w:proofErr w:type="spellStart"/>
      <w:r>
        <w:rPr>
          <w:lang w:val="en-US"/>
        </w:rPr>
        <w:t>QST</w:t>
      </w:r>
      <w:proofErr w:type="spellEnd"/>
      <w:r>
        <w:rPr>
          <w:lang w:val="en-US"/>
        </w:rPr>
        <w:t xml:space="preserve"> parameters were abnormal in the neuropathy groups; however, cold detection threshold (CDT) was significantly lower in the Painful compared to Painless </w:t>
      </w:r>
      <w:proofErr w:type="spellStart"/>
      <w:r>
        <w:rPr>
          <w:lang w:val="en-US"/>
        </w:rPr>
        <w:t>DPN</w:t>
      </w:r>
      <w:proofErr w:type="spellEnd"/>
      <w:r>
        <w:rPr>
          <w:lang w:val="en-US"/>
        </w:rPr>
        <w:t xml:space="preserve"> group (ANOVA p=&lt;0.01). As expected, the Painful </w:t>
      </w:r>
      <w:proofErr w:type="spellStart"/>
      <w:r>
        <w:rPr>
          <w:lang w:val="en-US"/>
        </w:rPr>
        <w:t>DPN</w:t>
      </w:r>
      <w:proofErr w:type="spellEnd"/>
      <w:r>
        <w:rPr>
          <w:lang w:val="en-US"/>
        </w:rPr>
        <w:t xml:space="preserve"> group had highest Pain Catastrophizing Scale and significantly higher depression and anxiety scores.</w:t>
      </w:r>
    </w:p>
    <w:p w14:paraId="43F5D54D" w14:textId="77777777" w:rsidR="00A150B0" w:rsidRDefault="00A150B0" w:rsidP="004F7976">
      <w:pPr>
        <w:pStyle w:val="BodyA"/>
        <w:spacing w:line="480" w:lineRule="auto"/>
        <w:jc w:val="both"/>
      </w:pPr>
    </w:p>
    <w:tbl>
      <w:tblPr>
        <w:tblStyle w:val="TableGrid8"/>
        <w:tblpPr w:leftFromText="180" w:rightFromText="180" w:vertAnchor="text" w:horzAnchor="margin" w:tblpY="261"/>
        <w:tblW w:w="5000" w:type="pct"/>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shd w:val="clear" w:color="auto" w:fill="D9D9D9" w:themeFill="background1" w:themeFillShade="D9"/>
        <w:tblLook w:val="0000" w:firstRow="0" w:lastRow="0" w:firstColumn="0" w:lastColumn="0" w:noHBand="0" w:noVBand="0"/>
      </w:tblPr>
      <w:tblGrid>
        <w:gridCol w:w="2029"/>
        <w:gridCol w:w="1494"/>
        <w:gridCol w:w="1494"/>
        <w:gridCol w:w="1555"/>
        <w:gridCol w:w="1393"/>
        <w:gridCol w:w="1025"/>
      </w:tblGrid>
      <w:tr w:rsidR="00A150B0" w14:paraId="1CEFD710" w14:textId="77777777" w:rsidTr="00FD2D3D">
        <w:trPr>
          <w:trHeight w:val="961"/>
        </w:trPr>
        <w:tc>
          <w:tcPr>
            <w:tcW w:w="5000" w:type="pct"/>
            <w:gridSpan w:val="6"/>
            <w:tcBorders>
              <w:bottom w:val="single" w:sz="12" w:space="0" w:color="000000" w:themeColor="text1"/>
            </w:tcBorders>
            <w:shd w:val="clear" w:color="auto" w:fill="D9D9D9" w:themeFill="background1" w:themeFillShade="D9"/>
          </w:tcPr>
          <w:p w14:paraId="62456C62" w14:textId="77777777" w:rsidR="009807FE" w:rsidRDefault="009807FE" w:rsidP="004E68BB">
            <w:pPr>
              <w:spacing w:line="360" w:lineRule="auto"/>
              <w:rPr>
                <w:rFonts w:ascii="Cambria" w:hAnsi="Cambria" w:cs="Arial"/>
                <w:b/>
                <w:lang w:eastAsia="en-US"/>
              </w:rPr>
            </w:pPr>
          </w:p>
          <w:p w14:paraId="690C6E49" w14:textId="3127E33D" w:rsidR="00A150B0" w:rsidRPr="00A150B0" w:rsidRDefault="00A150B0" w:rsidP="004E68BB">
            <w:pPr>
              <w:spacing w:line="360" w:lineRule="auto"/>
              <w:rPr>
                <w:rFonts w:ascii="Cambria" w:hAnsi="Cambria" w:cs="Arial"/>
                <w:b/>
                <w:lang w:eastAsia="en-US"/>
              </w:rPr>
            </w:pPr>
            <w:r w:rsidRPr="00A150B0">
              <w:rPr>
                <w:rFonts w:ascii="Cambria" w:hAnsi="Cambria" w:cs="Arial"/>
                <w:b/>
                <w:lang w:eastAsia="en-US"/>
              </w:rPr>
              <w:t xml:space="preserve">Table 6.2 Neuropathy parameters of study subjects together with GABA and </w:t>
            </w:r>
            <w:proofErr w:type="spellStart"/>
            <w:r w:rsidRPr="00A150B0">
              <w:rPr>
                <w:rFonts w:ascii="Cambria" w:hAnsi="Cambria" w:cs="Arial"/>
                <w:b/>
                <w:lang w:eastAsia="en-US"/>
              </w:rPr>
              <w:t>Glx</w:t>
            </w:r>
            <w:proofErr w:type="spellEnd"/>
            <w:r w:rsidRPr="00A150B0">
              <w:rPr>
                <w:rFonts w:ascii="Cambria" w:hAnsi="Cambria" w:cs="Arial"/>
                <w:b/>
                <w:lang w:eastAsia="en-US"/>
              </w:rPr>
              <w:t xml:space="preserve"> results [mean (SD)]</w:t>
            </w:r>
          </w:p>
        </w:tc>
      </w:tr>
      <w:tr w:rsidR="00A150B0" w:rsidRPr="00141C45" w14:paraId="4BA8FB6E" w14:textId="77777777" w:rsidTr="00FD2D3D">
        <w:trPr>
          <w:trHeight w:val="510"/>
        </w:trPr>
        <w:tc>
          <w:tcPr>
            <w:tcW w:w="1128" w:type="pct"/>
            <w:tcBorders>
              <w:bottom w:val="nil"/>
              <w:right w:val="nil"/>
            </w:tcBorders>
            <w:shd w:val="clear" w:color="auto" w:fill="D9D9D9" w:themeFill="background1" w:themeFillShade="D9"/>
            <w:vAlign w:val="center"/>
          </w:tcPr>
          <w:p w14:paraId="381A53E9" w14:textId="77777777" w:rsidR="00A150B0" w:rsidRPr="00A150B0" w:rsidRDefault="00A150B0" w:rsidP="009807FE">
            <w:pPr>
              <w:spacing w:after="0" w:line="360" w:lineRule="auto"/>
              <w:rPr>
                <w:rFonts w:ascii="Cambria" w:hAnsi="Cambria" w:cs="Arial"/>
                <w:sz w:val="20"/>
                <w:szCs w:val="20"/>
              </w:rPr>
            </w:pPr>
          </w:p>
        </w:tc>
        <w:tc>
          <w:tcPr>
            <w:tcW w:w="831" w:type="pct"/>
            <w:tcBorders>
              <w:left w:val="nil"/>
              <w:bottom w:val="nil"/>
              <w:right w:val="nil"/>
            </w:tcBorders>
            <w:shd w:val="clear" w:color="auto" w:fill="D9D9D9" w:themeFill="background1" w:themeFillShade="D9"/>
            <w:vAlign w:val="center"/>
          </w:tcPr>
          <w:p w14:paraId="6511D5FA" w14:textId="77777777" w:rsidR="00A150B0" w:rsidRPr="00A150B0" w:rsidRDefault="00A150B0" w:rsidP="009807FE">
            <w:pPr>
              <w:spacing w:after="0"/>
              <w:jc w:val="center"/>
              <w:rPr>
                <w:rFonts w:ascii="Cambria" w:hAnsi="Cambria" w:cs="Arial"/>
                <w:b/>
                <w:sz w:val="20"/>
                <w:szCs w:val="20"/>
              </w:rPr>
            </w:pPr>
            <w:r w:rsidRPr="00A150B0">
              <w:rPr>
                <w:rFonts w:ascii="Cambria" w:hAnsi="Cambria" w:cs="Arial"/>
                <w:b/>
                <w:sz w:val="20"/>
                <w:szCs w:val="20"/>
              </w:rPr>
              <w:t xml:space="preserve">Painful </w:t>
            </w:r>
            <w:proofErr w:type="spellStart"/>
            <w:r w:rsidRPr="00A150B0">
              <w:rPr>
                <w:rFonts w:ascii="Cambria" w:hAnsi="Cambria" w:cs="Arial"/>
                <w:b/>
                <w:sz w:val="20"/>
                <w:szCs w:val="20"/>
              </w:rPr>
              <w:t>DPN</w:t>
            </w:r>
            <w:proofErr w:type="spellEnd"/>
          </w:p>
        </w:tc>
        <w:tc>
          <w:tcPr>
            <w:tcW w:w="831" w:type="pct"/>
            <w:tcBorders>
              <w:left w:val="nil"/>
              <w:bottom w:val="nil"/>
              <w:right w:val="nil"/>
            </w:tcBorders>
            <w:shd w:val="clear" w:color="auto" w:fill="D9D9D9" w:themeFill="background1" w:themeFillShade="D9"/>
            <w:vAlign w:val="center"/>
          </w:tcPr>
          <w:p w14:paraId="784ACAD5" w14:textId="77777777" w:rsidR="00A150B0" w:rsidRPr="00A150B0" w:rsidRDefault="00A150B0" w:rsidP="009807FE">
            <w:pPr>
              <w:spacing w:after="0"/>
              <w:jc w:val="center"/>
              <w:rPr>
                <w:rFonts w:ascii="Cambria" w:hAnsi="Cambria" w:cs="Arial"/>
                <w:b/>
                <w:sz w:val="20"/>
                <w:szCs w:val="20"/>
              </w:rPr>
            </w:pPr>
            <w:r w:rsidRPr="00A150B0">
              <w:rPr>
                <w:rFonts w:ascii="Cambria" w:hAnsi="Cambria" w:cs="Arial"/>
                <w:b/>
                <w:sz w:val="20"/>
                <w:szCs w:val="20"/>
              </w:rPr>
              <w:t>Painless</w:t>
            </w:r>
          </w:p>
          <w:p w14:paraId="6854469C" w14:textId="77777777" w:rsidR="00A150B0" w:rsidRPr="00A150B0" w:rsidRDefault="00A150B0" w:rsidP="009807FE">
            <w:pPr>
              <w:spacing w:after="0"/>
              <w:jc w:val="center"/>
              <w:rPr>
                <w:rFonts w:ascii="Cambria" w:hAnsi="Cambria" w:cs="Arial"/>
                <w:b/>
                <w:sz w:val="20"/>
                <w:szCs w:val="20"/>
              </w:rPr>
            </w:pPr>
            <w:proofErr w:type="spellStart"/>
            <w:r w:rsidRPr="00A150B0">
              <w:rPr>
                <w:rFonts w:ascii="Cambria" w:hAnsi="Cambria" w:cs="Arial"/>
                <w:b/>
                <w:sz w:val="20"/>
                <w:szCs w:val="20"/>
              </w:rPr>
              <w:t>DPN</w:t>
            </w:r>
            <w:proofErr w:type="spellEnd"/>
          </w:p>
        </w:tc>
        <w:tc>
          <w:tcPr>
            <w:tcW w:w="865" w:type="pct"/>
            <w:tcBorders>
              <w:left w:val="nil"/>
              <w:bottom w:val="nil"/>
              <w:right w:val="nil"/>
            </w:tcBorders>
            <w:shd w:val="clear" w:color="auto" w:fill="D9D9D9" w:themeFill="background1" w:themeFillShade="D9"/>
            <w:vAlign w:val="center"/>
          </w:tcPr>
          <w:p w14:paraId="0425CAFB" w14:textId="77777777" w:rsidR="00A150B0" w:rsidRPr="00A150B0" w:rsidRDefault="00A150B0" w:rsidP="009807FE">
            <w:pPr>
              <w:spacing w:after="0" w:line="360" w:lineRule="auto"/>
              <w:jc w:val="center"/>
              <w:rPr>
                <w:rFonts w:ascii="Cambria" w:hAnsi="Cambria" w:cs="Arial"/>
                <w:b/>
                <w:sz w:val="20"/>
                <w:szCs w:val="20"/>
              </w:rPr>
            </w:pPr>
            <w:r w:rsidRPr="00A150B0">
              <w:rPr>
                <w:rFonts w:ascii="Cambria" w:hAnsi="Cambria" w:cs="Arial"/>
                <w:b/>
                <w:sz w:val="20"/>
                <w:szCs w:val="20"/>
              </w:rPr>
              <w:t xml:space="preserve">No </w:t>
            </w:r>
            <w:proofErr w:type="spellStart"/>
            <w:r w:rsidRPr="00A150B0">
              <w:rPr>
                <w:rFonts w:ascii="Cambria" w:hAnsi="Cambria" w:cs="Arial"/>
                <w:b/>
                <w:sz w:val="20"/>
                <w:szCs w:val="20"/>
              </w:rPr>
              <w:t>DPN</w:t>
            </w:r>
            <w:proofErr w:type="spellEnd"/>
          </w:p>
        </w:tc>
        <w:tc>
          <w:tcPr>
            <w:tcW w:w="775" w:type="pct"/>
            <w:tcBorders>
              <w:left w:val="nil"/>
              <w:bottom w:val="nil"/>
              <w:right w:val="nil"/>
            </w:tcBorders>
            <w:shd w:val="clear" w:color="auto" w:fill="D9D9D9" w:themeFill="background1" w:themeFillShade="D9"/>
            <w:vAlign w:val="center"/>
          </w:tcPr>
          <w:p w14:paraId="38E8BFC6" w14:textId="77777777" w:rsidR="00A150B0" w:rsidRPr="00A150B0" w:rsidRDefault="00A150B0" w:rsidP="009807FE">
            <w:pPr>
              <w:spacing w:after="0" w:line="360" w:lineRule="auto"/>
              <w:jc w:val="center"/>
              <w:rPr>
                <w:rFonts w:ascii="Cambria" w:hAnsi="Cambria" w:cs="Arial"/>
                <w:b/>
                <w:sz w:val="20"/>
                <w:szCs w:val="20"/>
              </w:rPr>
            </w:pPr>
            <w:proofErr w:type="spellStart"/>
            <w:r w:rsidRPr="00A150B0">
              <w:rPr>
                <w:rFonts w:ascii="Cambria" w:hAnsi="Cambria" w:cs="Arial"/>
                <w:b/>
                <w:sz w:val="20"/>
                <w:szCs w:val="20"/>
              </w:rPr>
              <w:t>HV</w:t>
            </w:r>
            <w:proofErr w:type="spellEnd"/>
          </w:p>
        </w:tc>
        <w:tc>
          <w:tcPr>
            <w:tcW w:w="570" w:type="pct"/>
            <w:tcBorders>
              <w:left w:val="nil"/>
              <w:bottom w:val="nil"/>
            </w:tcBorders>
            <w:shd w:val="clear" w:color="auto" w:fill="D9D9D9" w:themeFill="background1" w:themeFillShade="D9"/>
            <w:vAlign w:val="center"/>
          </w:tcPr>
          <w:p w14:paraId="5411D86F" w14:textId="4294588B" w:rsidR="00A150B0" w:rsidRPr="00A150B0" w:rsidRDefault="00475EFD" w:rsidP="009807FE">
            <w:pPr>
              <w:spacing w:after="0" w:line="360" w:lineRule="auto"/>
              <w:jc w:val="center"/>
              <w:rPr>
                <w:rFonts w:ascii="Cambria" w:hAnsi="Cambria" w:cs="Arial"/>
                <w:b/>
                <w:sz w:val="20"/>
                <w:szCs w:val="20"/>
              </w:rPr>
            </w:pPr>
            <w:r>
              <w:rPr>
                <w:rFonts w:ascii="Cambria" w:hAnsi="Cambria" w:cs="Arial"/>
                <w:b/>
                <w:sz w:val="20"/>
                <w:szCs w:val="20"/>
              </w:rPr>
              <w:t xml:space="preserve">ANOVA </w:t>
            </w:r>
            <w:r w:rsidR="00A150B0" w:rsidRPr="00A150B0">
              <w:rPr>
                <w:rFonts w:ascii="Cambria" w:hAnsi="Cambria" w:cs="Arial"/>
                <w:b/>
                <w:sz w:val="20"/>
                <w:szCs w:val="20"/>
              </w:rPr>
              <w:t>p Value</w:t>
            </w:r>
          </w:p>
        </w:tc>
      </w:tr>
      <w:tr w:rsidR="00A150B0" w:rsidRPr="00141C45" w14:paraId="72189043" w14:textId="77777777" w:rsidTr="00FD2D3D">
        <w:trPr>
          <w:trHeight w:val="510"/>
        </w:trPr>
        <w:tc>
          <w:tcPr>
            <w:tcW w:w="1128" w:type="pct"/>
            <w:tcBorders>
              <w:top w:val="nil"/>
              <w:bottom w:val="nil"/>
              <w:right w:val="nil"/>
            </w:tcBorders>
            <w:shd w:val="clear" w:color="auto" w:fill="D9D9D9" w:themeFill="background1" w:themeFillShade="D9"/>
            <w:vAlign w:val="center"/>
          </w:tcPr>
          <w:p w14:paraId="2CC29463" w14:textId="77777777" w:rsidR="00A150B0" w:rsidRPr="00A150B0" w:rsidRDefault="00A150B0" w:rsidP="009807FE">
            <w:pPr>
              <w:spacing w:after="0" w:line="360" w:lineRule="auto"/>
              <w:rPr>
                <w:rFonts w:ascii="Cambria" w:hAnsi="Cambria" w:cs="Arial"/>
                <w:sz w:val="20"/>
                <w:szCs w:val="20"/>
              </w:rPr>
            </w:pPr>
            <w:r w:rsidRPr="00A150B0">
              <w:rPr>
                <w:rFonts w:ascii="Cambria" w:hAnsi="Cambria" w:cs="Arial"/>
                <w:sz w:val="20"/>
                <w:szCs w:val="20"/>
              </w:rPr>
              <w:t>NISLL+7</w:t>
            </w:r>
          </w:p>
        </w:tc>
        <w:tc>
          <w:tcPr>
            <w:tcW w:w="831" w:type="pct"/>
            <w:tcBorders>
              <w:top w:val="nil"/>
              <w:left w:val="nil"/>
              <w:bottom w:val="nil"/>
              <w:right w:val="nil"/>
            </w:tcBorders>
            <w:shd w:val="clear" w:color="auto" w:fill="D9D9D9" w:themeFill="background1" w:themeFillShade="D9"/>
            <w:vAlign w:val="center"/>
          </w:tcPr>
          <w:p w14:paraId="3FC3633F"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sz w:val="20"/>
                <w:szCs w:val="20"/>
                <w:lang w:eastAsia="en-US"/>
              </w:rPr>
              <w:t>29.4 (11.1)</w:t>
            </w:r>
          </w:p>
        </w:tc>
        <w:tc>
          <w:tcPr>
            <w:tcW w:w="831" w:type="pct"/>
            <w:tcBorders>
              <w:top w:val="nil"/>
              <w:left w:val="nil"/>
              <w:bottom w:val="nil"/>
              <w:right w:val="nil"/>
            </w:tcBorders>
            <w:shd w:val="clear" w:color="auto" w:fill="D9D9D9" w:themeFill="background1" w:themeFillShade="D9"/>
            <w:vAlign w:val="center"/>
          </w:tcPr>
          <w:p w14:paraId="45C33417"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sz w:val="20"/>
                <w:szCs w:val="20"/>
                <w:lang w:eastAsia="en-US"/>
              </w:rPr>
              <w:t>19.9 (6.3)</w:t>
            </w:r>
          </w:p>
        </w:tc>
        <w:tc>
          <w:tcPr>
            <w:tcW w:w="865" w:type="pct"/>
            <w:tcBorders>
              <w:top w:val="nil"/>
              <w:left w:val="nil"/>
              <w:bottom w:val="nil"/>
              <w:right w:val="nil"/>
            </w:tcBorders>
            <w:shd w:val="clear" w:color="auto" w:fill="D9D9D9" w:themeFill="background1" w:themeFillShade="D9"/>
            <w:vAlign w:val="center"/>
          </w:tcPr>
          <w:p w14:paraId="6CB225C7"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sz w:val="20"/>
                <w:szCs w:val="20"/>
                <w:lang w:eastAsia="en-US"/>
              </w:rPr>
              <w:t>1.6 (1.2)</w:t>
            </w:r>
          </w:p>
        </w:tc>
        <w:tc>
          <w:tcPr>
            <w:tcW w:w="775" w:type="pct"/>
            <w:tcBorders>
              <w:top w:val="nil"/>
              <w:left w:val="nil"/>
              <w:bottom w:val="nil"/>
              <w:right w:val="nil"/>
            </w:tcBorders>
            <w:shd w:val="clear" w:color="auto" w:fill="D9D9D9" w:themeFill="background1" w:themeFillShade="D9"/>
            <w:vAlign w:val="center"/>
          </w:tcPr>
          <w:p w14:paraId="096031D1"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sz w:val="20"/>
                <w:szCs w:val="20"/>
                <w:lang w:eastAsia="en-US"/>
              </w:rPr>
              <w:t>0.5 (0.8)</w:t>
            </w:r>
          </w:p>
        </w:tc>
        <w:tc>
          <w:tcPr>
            <w:tcW w:w="570" w:type="pct"/>
            <w:tcBorders>
              <w:top w:val="nil"/>
              <w:left w:val="nil"/>
              <w:bottom w:val="nil"/>
            </w:tcBorders>
            <w:shd w:val="clear" w:color="auto" w:fill="D9D9D9" w:themeFill="background1" w:themeFillShade="D9"/>
            <w:vAlign w:val="center"/>
          </w:tcPr>
          <w:p w14:paraId="4A63CF67"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sz w:val="20"/>
                <w:szCs w:val="20"/>
                <w:lang w:eastAsia="en-US"/>
              </w:rPr>
              <w:t>&lt;0.01</w:t>
            </w:r>
          </w:p>
        </w:tc>
      </w:tr>
      <w:tr w:rsidR="00A150B0" w:rsidRPr="00141C45" w14:paraId="2841687A" w14:textId="77777777" w:rsidTr="00FD2D3D">
        <w:trPr>
          <w:trHeight w:val="510"/>
        </w:trPr>
        <w:tc>
          <w:tcPr>
            <w:tcW w:w="1128" w:type="pct"/>
            <w:tcBorders>
              <w:top w:val="nil"/>
              <w:bottom w:val="nil"/>
              <w:right w:val="nil"/>
            </w:tcBorders>
            <w:shd w:val="clear" w:color="auto" w:fill="D9D9D9" w:themeFill="background1" w:themeFillShade="D9"/>
            <w:vAlign w:val="center"/>
          </w:tcPr>
          <w:p w14:paraId="33633F1F" w14:textId="77777777" w:rsidR="00A150B0" w:rsidRPr="00A150B0" w:rsidRDefault="00A150B0" w:rsidP="009807FE">
            <w:pPr>
              <w:spacing w:after="0"/>
              <w:rPr>
                <w:rFonts w:ascii="Cambria" w:hAnsi="Cambria" w:cs="Arial"/>
                <w:bCs/>
                <w:sz w:val="20"/>
                <w:szCs w:val="20"/>
              </w:rPr>
            </w:pPr>
            <w:r w:rsidRPr="00A150B0">
              <w:rPr>
                <w:rFonts w:ascii="Cambria" w:hAnsi="Cambria" w:cs="Arial"/>
                <w:bCs/>
                <w:sz w:val="20"/>
                <w:szCs w:val="20"/>
              </w:rPr>
              <w:t>Sural Nerve Amplitude (</w:t>
            </w:r>
            <w:r w:rsidRPr="00A150B0">
              <w:rPr>
                <w:rFonts w:ascii="Cambria" w:hAnsi="Cambria" w:cs="Arial"/>
                <w:bCs/>
                <w:sz w:val="20"/>
                <w:szCs w:val="20"/>
              </w:rPr>
              <w:t>V)</w:t>
            </w:r>
          </w:p>
        </w:tc>
        <w:tc>
          <w:tcPr>
            <w:tcW w:w="831" w:type="pct"/>
            <w:tcBorders>
              <w:top w:val="nil"/>
              <w:left w:val="nil"/>
              <w:bottom w:val="nil"/>
              <w:right w:val="nil"/>
            </w:tcBorders>
            <w:shd w:val="clear" w:color="auto" w:fill="D9D9D9" w:themeFill="background1" w:themeFillShade="D9"/>
            <w:vAlign w:val="center"/>
          </w:tcPr>
          <w:p w14:paraId="01794795"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1.5 (2.5)</w:t>
            </w:r>
          </w:p>
        </w:tc>
        <w:tc>
          <w:tcPr>
            <w:tcW w:w="831" w:type="pct"/>
            <w:tcBorders>
              <w:top w:val="nil"/>
              <w:left w:val="nil"/>
              <w:bottom w:val="nil"/>
              <w:right w:val="nil"/>
            </w:tcBorders>
            <w:shd w:val="clear" w:color="auto" w:fill="D9D9D9" w:themeFill="background1" w:themeFillShade="D9"/>
            <w:vAlign w:val="center"/>
          </w:tcPr>
          <w:p w14:paraId="24BBBEE7"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1.6 (2.8)</w:t>
            </w:r>
          </w:p>
        </w:tc>
        <w:tc>
          <w:tcPr>
            <w:tcW w:w="865" w:type="pct"/>
            <w:tcBorders>
              <w:top w:val="nil"/>
              <w:left w:val="nil"/>
              <w:bottom w:val="nil"/>
              <w:right w:val="nil"/>
            </w:tcBorders>
            <w:shd w:val="clear" w:color="auto" w:fill="D9D9D9" w:themeFill="background1" w:themeFillShade="D9"/>
            <w:vAlign w:val="center"/>
          </w:tcPr>
          <w:p w14:paraId="519757FE"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13.0 (5.6)</w:t>
            </w:r>
          </w:p>
        </w:tc>
        <w:tc>
          <w:tcPr>
            <w:tcW w:w="775" w:type="pct"/>
            <w:tcBorders>
              <w:top w:val="nil"/>
              <w:left w:val="nil"/>
              <w:bottom w:val="nil"/>
              <w:right w:val="nil"/>
            </w:tcBorders>
            <w:shd w:val="clear" w:color="auto" w:fill="D9D9D9" w:themeFill="background1" w:themeFillShade="D9"/>
            <w:vAlign w:val="center"/>
          </w:tcPr>
          <w:p w14:paraId="361799D5"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16.1 (7.4)</w:t>
            </w:r>
          </w:p>
        </w:tc>
        <w:tc>
          <w:tcPr>
            <w:tcW w:w="570" w:type="pct"/>
            <w:tcBorders>
              <w:top w:val="nil"/>
              <w:left w:val="nil"/>
              <w:bottom w:val="nil"/>
            </w:tcBorders>
            <w:shd w:val="clear" w:color="auto" w:fill="D9D9D9" w:themeFill="background1" w:themeFillShade="D9"/>
            <w:vAlign w:val="center"/>
          </w:tcPr>
          <w:p w14:paraId="42754769"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&lt;0.01</w:t>
            </w:r>
          </w:p>
        </w:tc>
      </w:tr>
      <w:tr w:rsidR="00A150B0" w:rsidRPr="00141C45" w14:paraId="06FB49C3" w14:textId="77777777" w:rsidTr="00FD2D3D">
        <w:trPr>
          <w:trHeight w:val="510"/>
        </w:trPr>
        <w:tc>
          <w:tcPr>
            <w:tcW w:w="1128" w:type="pct"/>
            <w:tcBorders>
              <w:top w:val="nil"/>
              <w:bottom w:val="nil"/>
              <w:right w:val="nil"/>
            </w:tcBorders>
            <w:shd w:val="clear" w:color="auto" w:fill="D9D9D9" w:themeFill="background1" w:themeFillShade="D9"/>
            <w:vAlign w:val="center"/>
          </w:tcPr>
          <w:p w14:paraId="7051E849" w14:textId="77777777" w:rsidR="00A150B0" w:rsidRPr="00A150B0" w:rsidRDefault="00A150B0" w:rsidP="009807FE">
            <w:pPr>
              <w:spacing w:after="0"/>
              <w:rPr>
                <w:rFonts w:ascii="Cambria" w:hAnsi="Cambria" w:cs="Arial"/>
                <w:bCs/>
                <w:sz w:val="20"/>
                <w:szCs w:val="20"/>
              </w:rPr>
            </w:pPr>
            <w:proofErr w:type="spellStart"/>
            <w:r w:rsidRPr="00A150B0">
              <w:rPr>
                <w:rFonts w:ascii="Cambria" w:hAnsi="Cambria" w:cs="Arial"/>
                <w:bCs/>
                <w:sz w:val="20"/>
                <w:szCs w:val="20"/>
              </w:rPr>
              <w:t>CPN</w:t>
            </w:r>
            <w:proofErr w:type="spellEnd"/>
            <w:r w:rsidRPr="00A150B0">
              <w:rPr>
                <w:rFonts w:ascii="Cambria" w:hAnsi="Cambria" w:cs="Arial"/>
                <w:bCs/>
                <w:sz w:val="20"/>
                <w:szCs w:val="20"/>
              </w:rPr>
              <w:t xml:space="preserve"> Velocity (m/sec)</w:t>
            </w:r>
          </w:p>
        </w:tc>
        <w:tc>
          <w:tcPr>
            <w:tcW w:w="831" w:type="pct"/>
            <w:tcBorders>
              <w:top w:val="nil"/>
              <w:left w:val="nil"/>
              <w:bottom w:val="nil"/>
              <w:right w:val="nil"/>
            </w:tcBorders>
            <w:shd w:val="clear" w:color="auto" w:fill="D9D9D9" w:themeFill="background1" w:themeFillShade="D9"/>
            <w:vAlign w:val="center"/>
          </w:tcPr>
          <w:p w14:paraId="11491BCD"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13.7 (19.7)</w:t>
            </w:r>
          </w:p>
        </w:tc>
        <w:tc>
          <w:tcPr>
            <w:tcW w:w="831" w:type="pct"/>
            <w:tcBorders>
              <w:top w:val="nil"/>
              <w:left w:val="nil"/>
              <w:bottom w:val="nil"/>
              <w:right w:val="nil"/>
            </w:tcBorders>
            <w:shd w:val="clear" w:color="auto" w:fill="D9D9D9" w:themeFill="background1" w:themeFillShade="D9"/>
            <w:vAlign w:val="center"/>
          </w:tcPr>
          <w:p w14:paraId="3CBC54E0"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34.3 (10.3)</w:t>
            </w:r>
          </w:p>
        </w:tc>
        <w:tc>
          <w:tcPr>
            <w:tcW w:w="865" w:type="pct"/>
            <w:tcBorders>
              <w:top w:val="nil"/>
              <w:left w:val="nil"/>
              <w:bottom w:val="nil"/>
              <w:right w:val="nil"/>
            </w:tcBorders>
            <w:shd w:val="clear" w:color="auto" w:fill="D9D9D9" w:themeFill="background1" w:themeFillShade="D9"/>
            <w:vAlign w:val="center"/>
          </w:tcPr>
          <w:p w14:paraId="2010E134"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42.8 (4.2)</w:t>
            </w:r>
          </w:p>
        </w:tc>
        <w:tc>
          <w:tcPr>
            <w:tcW w:w="775" w:type="pct"/>
            <w:tcBorders>
              <w:top w:val="nil"/>
              <w:left w:val="nil"/>
              <w:bottom w:val="nil"/>
              <w:right w:val="nil"/>
            </w:tcBorders>
            <w:shd w:val="clear" w:color="auto" w:fill="D9D9D9" w:themeFill="background1" w:themeFillShade="D9"/>
            <w:vAlign w:val="center"/>
          </w:tcPr>
          <w:p w14:paraId="429C5AD6"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46.6 (4.3)</w:t>
            </w:r>
          </w:p>
        </w:tc>
        <w:tc>
          <w:tcPr>
            <w:tcW w:w="570" w:type="pct"/>
            <w:tcBorders>
              <w:top w:val="nil"/>
              <w:left w:val="nil"/>
              <w:bottom w:val="nil"/>
            </w:tcBorders>
            <w:shd w:val="clear" w:color="auto" w:fill="D9D9D9" w:themeFill="background1" w:themeFillShade="D9"/>
            <w:vAlign w:val="center"/>
          </w:tcPr>
          <w:p w14:paraId="0355A082"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&lt;0.01</w:t>
            </w:r>
          </w:p>
        </w:tc>
      </w:tr>
      <w:tr w:rsidR="00A150B0" w:rsidRPr="00141C45" w14:paraId="546D709D" w14:textId="77777777" w:rsidTr="00FD2D3D">
        <w:trPr>
          <w:trHeight w:val="510"/>
        </w:trPr>
        <w:tc>
          <w:tcPr>
            <w:tcW w:w="1128" w:type="pct"/>
            <w:tcBorders>
              <w:top w:val="nil"/>
              <w:bottom w:val="nil"/>
              <w:right w:val="nil"/>
            </w:tcBorders>
            <w:shd w:val="clear" w:color="auto" w:fill="D9D9D9" w:themeFill="background1" w:themeFillShade="D9"/>
            <w:vAlign w:val="center"/>
          </w:tcPr>
          <w:p w14:paraId="71496998" w14:textId="77777777" w:rsidR="00A150B0" w:rsidRPr="00A150B0" w:rsidRDefault="00A150B0" w:rsidP="009807FE">
            <w:pPr>
              <w:spacing w:after="0"/>
              <w:rPr>
                <w:rFonts w:ascii="Cambria" w:hAnsi="Cambria" w:cs="Arial"/>
                <w:bCs/>
                <w:sz w:val="20"/>
                <w:szCs w:val="20"/>
              </w:rPr>
            </w:pPr>
            <w:proofErr w:type="spellStart"/>
            <w:r w:rsidRPr="00A150B0">
              <w:rPr>
                <w:rFonts w:ascii="Cambria" w:hAnsi="Cambria" w:cs="Arial"/>
                <w:bCs/>
                <w:sz w:val="20"/>
                <w:szCs w:val="20"/>
              </w:rPr>
              <w:t>CPN</w:t>
            </w:r>
            <w:proofErr w:type="spellEnd"/>
            <w:r w:rsidRPr="00A150B0">
              <w:rPr>
                <w:rFonts w:ascii="Cambria" w:hAnsi="Cambria" w:cs="Arial"/>
                <w:bCs/>
                <w:sz w:val="20"/>
                <w:szCs w:val="20"/>
              </w:rPr>
              <w:t xml:space="preserve"> Latency (</w:t>
            </w:r>
            <w:proofErr w:type="spellStart"/>
            <w:r w:rsidRPr="00A150B0">
              <w:rPr>
                <w:rFonts w:ascii="Cambria" w:hAnsi="Cambria" w:cs="Arial"/>
                <w:bCs/>
                <w:sz w:val="20"/>
                <w:szCs w:val="20"/>
              </w:rPr>
              <w:t>ms</w:t>
            </w:r>
            <w:proofErr w:type="spellEnd"/>
            <w:r w:rsidRPr="00A150B0">
              <w:rPr>
                <w:rFonts w:ascii="Cambria" w:hAnsi="Cambria" w:cs="Arial"/>
                <w:bCs/>
                <w:sz w:val="20"/>
                <w:szCs w:val="20"/>
              </w:rPr>
              <w:t>)</w:t>
            </w:r>
          </w:p>
        </w:tc>
        <w:tc>
          <w:tcPr>
            <w:tcW w:w="831" w:type="pct"/>
            <w:tcBorders>
              <w:top w:val="nil"/>
              <w:left w:val="nil"/>
              <w:bottom w:val="nil"/>
              <w:right w:val="nil"/>
            </w:tcBorders>
            <w:shd w:val="clear" w:color="auto" w:fill="D9D9D9" w:themeFill="background1" w:themeFillShade="D9"/>
            <w:vAlign w:val="center"/>
          </w:tcPr>
          <w:p w14:paraId="2864EF6C"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7.8 (3.8)</w:t>
            </w:r>
          </w:p>
        </w:tc>
        <w:tc>
          <w:tcPr>
            <w:tcW w:w="831" w:type="pct"/>
            <w:tcBorders>
              <w:top w:val="nil"/>
              <w:left w:val="nil"/>
              <w:bottom w:val="nil"/>
              <w:right w:val="nil"/>
            </w:tcBorders>
            <w:shd w:val="clear" w:color="auto" w:fill="D9D9D9" w:themeFill="background1" w:themeFillShade="D9"/>
            <w:vAlign w:val="center"/>
          </w:tcPr>
          <w:p w14:paraId="4341B7CF"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6.1 (1.8)</w:t>
            </w:r>
          </w:p>
        </w:tc>
        <w:tc>
          <w:tcPr>
            <w:tcW w:w="865" w:type="pct"/>
            <w:tcBorders>
              <w:top w:val="nil"/>
              <w:left w:val="nil"/>
              <w:bottom w:val="nil"/>
              <w:right w:val="nil"/>
            </w:tcBorders>
            <w:shd w:val="clear" w:color="auto" w:fill="D9D9D9" w:themeFill="background1" w:themeFillShade="D9"/>
            <w:vAlign w:val="center"/>
          </w:tcPr>
          <w:p w14:paraId="4B35552B"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5.2 (1.2)</w:t>
            </w:r>
          </w:p>
        </w:tc>
        <w:tc>
          <w:tcPr>
            <w:tcW w:w="775" w:type="pct"/>
            <w:tcBorders>
              <w:top w:val="nil"/>
              <w:left w:val="nil"/>
              <w:bottom w:val="nil"/>
              <w:right w:val="nil"/>
            </w:tcBorders>
            <w:shd w:val="clear" w:color="auto" w:fill="D9D9D9" w:themeFill="background1" w:themeFillShade="D9"/>
            <w:vAlign w:val="center"/>
          </w:tcPr>
          <w:p w14:paraId="58112BB6"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4.6 (0.4)</w:t>
            </w:r>
          </w:p>
        </w:tc>
        <w:tc>
          <w:tcPr>
            <w:tcW w:w="570" w:type="pct"/>
            <w:tcBorders>
              <w:top w:val="nil"/>
              <w:left w:val="nil"/>
              <w:bottom w:val="nil"/>
            </w:tcBorders>
            <w:shd w:val="clear" w:color="auto" w:fill="D9D9D9" w:themeFill="background1" w:themeFillShade="D9"/>
            <w:vAlign w:val="center"/>
          </w:tcPr>
          <w:p w14:paraId="25C6BDD6"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&lt;0.01</w:t>
            </w:r>
          </w:p>
        </w:tc>
      </w:tr>
      <w:tr w:rsidR="00A150B0" w:rsidRPr="00141C45" w14:paraId="01E31D8B" w14:textId="77777777" w:rsidTr="00FD2D3D">
        <w:trPr>
          <w:trHeight w:val="510"/>
        </w:trPr>
        <w:tc>
          <w:tcPr>
            <w:tcW w:w="1128" w:type="pct"/>
            <w:tcBorders>
              <w:top w:val="nil"/>
              <w:bottom w:val="nil"/>
              <w:right w:val="nil"/>
            </w:tcBorders>
            <w:shd w:val="clear" w:color="auto" w:fill="D9D9D9" w:themeFill="background1" w:themeFillShade="D9"/>
            <w:vAlign w:val="center"/>
          </w:tcPr>
          <w:p w14:paraId="058627E2" w14:textId="77777777" w:rsidR="00A150B0" w:rsidRPr="00A150B0" w:rsidRDefault="00A150B0" w:rsidP="009807FE">
            <w:pPr>
              <w:spacing w:after="0"/>
              <w:rPr>
                <w:rFonts w:ascii="Cambria" w:hAnsi="Cambria" w:cs="Arial"/>
                <w:bCs/>
                <w:sz w:val="20"/>
                <w:szCs w:val="20"/>
              </w:rPr>
            </w:pPr>
            <w:proofErr w:type="spellStart"/>
            <w:r w:rsidRPr="00A150B0">
              <w:rPr>
                <w:rFonts w:ascii="Cambria" w:hAnsi="Cambria" w:cs="Arial"/>
                <w:bCs/>
                <w:sz w:val="20"/>
                <w:szCs w:val="20"/>
              </w:rPr>
              <w:t>IENFD</w:t>
            </w:r>
            <w:proofErr w:type="spellEnd"/>
            <w:r w:rsidRPr="00A150B0">
              <w:rPr>
                <w:rFonts w:ascii="Cambria" w:hAnsi="Cambria" w:cs="Arial"/>
                <w:bCs/>
                <w:sz w:val="20"/>
                <w:szCs w:val="20"/>
              </w:rPr>
              <w:t xml:space="preserve"> (fibres/mm)</w:t>
            </w:r>
          </w:p>
        </w:tc>
        <w:tc>
          <w:tcPr>
            <w:tcW w:w="831" w:type="pct"/>
            <w:tcBorders>
              <w:top w:val="nil"/>
              <w:left w:val="nil"/>
              <w:bottom w:val="nil"/>
              <w:right w:val="nil"/>
            </w:tcBorders>
            <w:shd w:val="clear" w:color="auto" w:fill="D9D9D9" w:themeFill="background1" w:themeFillShade="D9"/>
            <w:vAlign w:val="center"/>
          </w:tcPr>
          <w:p w14:paraId="06B4AB59"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0.36 (1.2)</w:t>
            </w:r>
          </w:p>
        </w:tc>
        <w:tc>
          <w:tcPr>
            <w:tcW w:w="831" w:type="pct"/>
            <w:tcBorders>
              <w:top w:val="nil"/>
              <w:left w:val="nil"/>
              <w:bottom w:val="nil"/>
              <w:right w:val="nil"/>
            </w:tcBorders>
            <w:shd w:val="clear" w:color="auto" w:fill="D9D9D9" w:themeFill="background1" w:themeFillShade="D9"/>
            <w:vAlign w:val="center"/>
          </w:tcPr>
          <w:p w14:paraId="5C1E292E"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0.61 (1.4)</w:t>
            </w:r>
          </w:p>
        </w:tc>
        <w:tc>
          <w:tcPr>
            <w:tcW w:w="865" w:type="pct"/>
            <w:tcBorders>
              <w:top w:val="nil"/>
              <w:left w:val="nil"/>
              <w:bottom w:val="nil"/>
              <w:right w:val="nil"/>
            </w:tcBorders>
            <w:shd w:val="clear" w:color="auto" w:fill="D9D9D9" w:themeFill="background1" w:themeFillShade="D9"/>
            <w:vAlign w:val="center"/>
          </w:tcPr>
          <w:p w14:paraId="0C1EBE3A"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5.4 (2.9)</w:t>
            </w:r>
          </w:p>
        </w:tc>
        <w:tc>
          <w:tcPr>
            <w:tcW w:w="775" w:type="pct"/>
            <w:tcBorders>
              <w:top w:val="nil"/>
              <w:left w:val="nil"/>
              <w:bottom w:val="nil"/>
              <w:right w:val="nil"/>
            </w:tcBorders>
            <w:shd w:val="clear" w:color="auto" w:fill="D9D9D9" w:themeFill="background1" w:themeFillShade="D9"/>
            <w:vAlign w:val="center"/>
          </w:tcPr>
          <w:p w14:paraId="12747BDC"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5.4 (1.3)</w:t>
            </w:r>
          </w:p>
        </w:tc>
        <w:tc>
          <w:tcPr>
            <w:tcW w:w="570" w:type="pct"/>
            <w:tcBorders>
              <w:top w:val="nil"/>
              <w:left w:val="nil"/>
              <w:bottom w:val="nil"/>
            </w:tcBorders>
            <w:shd w:val="clear" w:color="auto" w:fill="D9D9D9" w:themeFill="background1" w:themeFillShade="D9"/>
            <w:vAlign w:val="center"/>
          </w:tcPr>
          <w:p w14:paraId="19C050A9"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&lt;0.01</w:t>
            </w:r>
          </w:p>
        </w:tc>
      </w:tr>
      <w:tr w:rsidR="00A150B0" w:rsidRPr="00141C45" w14:paraId="65D0F7C3" w14:textId="77777777" w:rsidTr="00FD2D3D">
        <w:trPr>
          <w:trHeight w:val="510"/>
        </w:trPr>
        <w:tc>
          <w:tcPr>
            <w:tcW w:w="1128" w:type="pct"/>
            <w:tcBorders>
              <w:top w:val="nil"/>
              <w:bottom w:val="nil"/>
              <w:right w:val="nil"/>
            </w:tcBorders>
            <w:shd w:val="clear" w:color="auto" w:fill="D9D9D9" w:themeFill="background1" w:themeFillShade="D9"/>
            <w:vAlign w:val="center"/>
          </w:tcPr>
          <w:p w14:paraId="00F10F2D" w14:textId="77777777" w:rsidR="00A150B0" w:rsidRPr="00A150B0" w:rsidRDefault="00A150B0" w:rsidP="009807FE">
            <w:pPr>
              <w:spacing w:after="0" w:line="360" w:lineRule="auto"/>
              <w:rPr>
                <w:rFonts w:ascii="Cambria" w:hAnsi="Cambria" w:cs="Arial"/>
                <w:bCs/>
                <w:sz w:val="20"/>
                <w:szCs w:val="20"/>
              </w:rPr>
            </w:pPr>
            <w:proofErr w:type="spellStart"/>
            <w:r w:rsidRPr="00A150B0">
              <w:rPr>
                <w:rFonts w:ascii="Cambria" w:hAnsi="Cambria" w:cs="Arial"/>
                <w:bCs/>
                <w:sz w:val="20"/>
                <w:szCs w:val="20"/>
              </w:rPr>
              <w:t>SENFD</w:t>
            </w:r>
            <w:proofErr w:type="spellEnd"/>
            <w:r w:rsidRPr="00A150B0">
              <w:rPr>
                <w:rFonts w:ascii="Cambria" w:hAnsi="Cambria" w:cs="Arial"/>
                <w:bCs/>
                <w:sz w:val="20"/>
                <w:szCs w:val="20"/>
              </w:rPr>
              <w:t xml:space="preserve"> (% area)</w:t>
            </w:r>
          </w:p>
        </w:tc>
        <w:tc>
          <w:tcPr>
            <w:tcW w:w="831" w:type="pct"/>
            <w:tcBorders>
              <w:top w:val="nil"/>
              <w:left w:val="nil"/>
              <w:bottom w:val="nil"/>
              <w:right w:val="nil"/>
            </w:tcBorders>
            <w:shd w:val="clear" w:color="auto" w:fill="D9D9D9" w:themeFill="background1" w:themeFillShade="D9"/>
            <w:vAlign w:val="center"/>
          </w:tcPr>
          <w:p w14:paraId="3ADFF53C"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0.12(0.2)</w:t>
            </w:r>
          </w:p>
        </w:tc>
        <w:tc>
          <w:tcPr>
            <w:tcW w:w="831" w:type="pct"/>
            <w:tcBorders>
              <w:top w:val="nil"/>
              <w:left w:val="nil"/>
              <w:bottom w:val="nil"/>
              <w:right w:val="nil"/>
            </w:tcBorders>
            <w:shd w:val="clear" w:color="auto" w:fill="D9D9D9" w:themeFill="background1" w:themeFillShade="D9"/>
            <w:vAlign w:val="center"/>
          </w:tcPr>
          <w:p w14:paraId="3CCFDF00"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0.38 (0.6)</w:t>
            </w:r>
          </w:p>
        </w:tc>
        <w:tc>
          <w:tcPr>
            <w:tcW w:w="865" w:type="pct"/>
            <w:tcBorders>
              <w:top w:val="nil"/>
              <w:left w:val="nil"/>
              <w:bottom w:val="nil"/>
              <w:right w:val="nil"/>
            </w:tcBorders>
            <w:shd w:val="clear" w:color="auto" w:fill="D9D9D9" w:themeFill="background1" w:themeFillShade="D9"/>
            <w:vAlign w:val="center"/>
          </w:tcPr>
          <w:p w14:paraId="0DAAD26D"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1.6(0.9)</w:t>
            </w:r>
          </w:p>
        </w:tc>
        <w:tc>
          <w:tcPr>
            <w:tcW w:w="775" w:type="pct"/>
            <w:tcBorders>
              <w:top w:val="nil"/>
              <w:left w:val="nil"/>
              <w:bottom w:val="nil"/>
              <w:right w:val="nil"/>
            </w:tcBorders>
            <w:shd w:val="clear" w:color="auto" w:fill="D9D9D9" w:themeFill="background1" w:themeFillShade="D9"/>
            <w:vAlign w:val="center"/>
          </w:tcPr>
          <w:p w14:paraId="6D5767C0"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1.0 (0.4)</w:t>
            </w:r>
          </w:p>
        </w:tc>
        <w:tc>
          <w:tcPr>
            <w:tcW w:w="570" w:type="pct"/>
            <w:tcBorders>
              <w:top w:val="nil"/>
              <w:left w:val="nil"/>
              <w:bottom w:val="nil"/>
            </w:tcBorders>
            <w:shd w:val="clear" w:color="auto" w:fill="D9D9D9" w:themeFill="background1" w:themeFillShade="D9"/>
            <w:vAlign w:val="center"/>
          </w:tcPr>
          <w:p w14:paraId="4D342DE1"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&lt;0.01</w:t>
            </w:r>
          </w:p>
        </w:tc>
      </w:tr>
      <w:tr w:rsidR="00A150B0" w:rsidRPr="00141C45" w14:paraId="453DFA03" w14:textId="77777777" w:rsidTr="00FD2D3D">
        <w:trPr>
          <w:trHeight w:val="510"/>
        </w:trPr>
        <w:tc>
          <w:tcPr>
            <w:tcW w:w="1128" w:type="pct"/>
            <w:tcBorders>
              <w:top w:val="nil"/>
              <w:bottom w:val="nil"/>
              <w:right w:val="nil"/>
            </w:tcBorders>
            <w:shd w:val="clear" w:color="auto" w:fill="D9D9D9" w:themeFill="background1" w:themeFillShade="D9"/>
            <w:vAlign w:val="center"/>
          </w:tcPr>
          <w:p w14:paraId="1CBDEAAE" w14:textId="77777777" w:rsidR="00A150B0" w:rsidRPr="00A150B0" w:rsidRDefault="00A150B0" w:rsidP="009807FE">
            <w:pPr>
              <w:spacing w:after="0" w:line="360" w:lineRule="auto"/>
              <w:rPr>
                <w:rFonts w:ascii="Cambria" w:hAnsi="Cambria" w:cs="Arial"/>
                <w:sz w:val="20"/>
                <w:szCs w:val="20"/>
              </w:rPr>
            </w:pPr>
            <w:r w:rsidRPr="00A150B0">
              <w:rPr>
                <w:rFonts w:ascii="Cambria" w:hAnsi="Cambria" w:cs="Arial"/>
                <w:sz w:val="20"/>
                <w:szCs w:val="20"/>
              </w:rPr>
              <w:t>CDT (°C)</w:t>
            </w:r>
          </w:p>
        </w:tc>
        <w:tc>
          <w:tcPr>
            <w:tcW w:w="831" w:type="pct"/>
            <w:tcBorders>
              <w:top w:val="nil"/>
              <w:left w:val="nil"/>
              <w:bottom w:val="nil"/>
              <w:right w:val="nil"/>
            </w:tcBorders>
            <w:shd w:val="clear" w:color="auto" w:fill="D9D9D9" w:themeFill="background1" w:themeFillShade="D9"/>
            <w:vAlign w:val="center"/>
          </w:tcPr>
          <w:p w14:paraId="3CE0CBD6"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10.4 (10.2)</w:t>
            </w:r>
          </w:p>
        </w:tc>
        <w:tc>
          <w:tcPr>
            <w:tcW w:w="831" w:type="pct"/>
            <w:tcBorders>
              <w:top w:val="nil"/>
              <w:left w:val="nil"/>
              <w:bottom w:val="nil"/>
              <w:right w:val="nil"/>
            </w:tcBorders>
            <w:shd w:val="clear" w:color="auto" w:fill="D9D9D9" w:themeFill="background1" w:themeFillShade="D9"/>
            <w:vAlign w:val="center"/>
          </w:tcPr>
          <w:p w14:paraId="16F8942E"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20.8 (10.2)</w:t>
            </w:r>
          </w:p>
        </w:tc>
        <w:tc>
          <w:tcPr>
            <w:tcW w:w="865" w:type="pct"/>
            <w:tcBorders>
              <w:top w:val="nil"/>
              <w:left w:val="nil"/>
              <w:bottom w:val="nil"/>
              <w:right w:val="nil"/>
            </w:tcBorders>
            <w:shd w:val="clear" w:color="auto" w:fill="D9D9D9" w:themeFill="background1" w:themeFillShade="D9"/>
            <w:vAlign w:val="center"/>
          </w:tcPr>
          <w:p w14:paraId="59596E78"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25.7 (2.6)</w:t>
            </w:r>
          </w:p>
        </w:tc>
        <w:tc>
          <w:tcPr>
            <w:tcW w:w="775" w:type="pct"/>
            <w:tcBorders>
              <w:top w:val="nil"/>
              <w:left w:val="nil"/>
              <w:bottom w:val="nil"/>
              <w:right w:val="nil"/>
            </w:tcBorders>
            <w:shd w:val="clear" w:color="auto" w:fill="D9D9D9" w:themeFill="background1" w:themeFillShade="D9"/>
            <w:vAlign w:val="center"/>
          </w:tcPr>
          <w:p w14:paraId="56EFCF8E"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rPr>
              <w:t>26.7 (3.</w:t>
            </w:r>
            <w:r w:rsidRPr="00A150B0">
              <w:rPr>
                <w:rFonts w:ascii="Cambria" w:hAnsi="Cambria" w:cs="Arial"/>
                <w:sz w:val="20"/>
                <w:szCs w:val="20"/>
                <w:lang w:val="it-IT"/>
              </w:rPr>
              <w:t>3)</w:t>
            </w:r>
          </w:p>
        </w:tc>
        <w:tc>
          <w:tcPr>
            <w:tcW w:w="570" w:type="pct"/>
            <w:tcBorders>
              <w:top w:val="nil"/>
              <w:left w:val="nil"/>
              <w:bottom w:val="nil"/>
            </w:tcBorders>
            <w:shd w:val="clear" w:color="auto" w:fill="D9D9D9" w:themeFill="background1" w:themeFillShade="D9"/>
            <w:vAlign w:val="center"/>
          </w:tcPr>
          <w:p w14:paraId="48FA4BE2"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&lt;0.01</w:t>
            </w:r>
          </w:p>
        </w:tc>
      </w:tr>
      <w:tr w:rsidR="00A150B0" w:rsidRPr="00141C45" w14:paraId="280B02B2" w14:textId="77777777" w:rsidTr="00FD2D3D">
        <w:trPr>
          <w:trHeight w:val="510"/>
        </w:trPr>
        <w:tc>
          <w:tcPr>
            <w:tcW w:w="1128" w:type="pct"/>
            <w:tcBorders>
              <w:top w:val="nil"/>
              <w:bottom w:val="nil"/>
              <w:right w:val="nil"/>
            </w:tcBorders>
            <w:shd w:val="clear" w:color="auto" w:fill="D9D9D9" w:themeFill="background1" w:themeFillShade="D9"/>
            <w:vAlign w:val="center"/>
          </w:tcPr>
          <w:p w14:paraId="75AD27EB" w14:textId="77777777" w:rsidR="00A150B0" w:rsidRPr="00A150B0" w:rsidRDefault="00A150B0" w:rsidP="009807FE">
            <w:pPr>
              <w:spacing w:after="0" w:line="360" w:lineRule="auto"/>
              <w:rPr>
                <w:rFonts w:ascii="Cambria" w:hAnsi="Cambria" w:cs="Arial"/>
                <w:sz w:val="20"/>
                <w:szCs w:val="20"/>
              </w:rPr>
            </w:pPr>
            <w:proofErr w:type="spellStart"/>
            <w:r w:rsidRPr="00A150B0">
              <w:rPr>
                <w:rFonts w:ascii="Cambria" w:hAnsi="Cambria" w:cs="Arial"/>
                <w:sz w:val="20"/>
                <w:szCs w:val="20"/>
              </w:rPr>
              <w:t>WDT</w:t>
            </w:r>
            <w:proofErr w:type="spellEnd"/>
            <w:r w:rsidRPr="00A150B0">
              <w:rPr>
                <w:rFonts w:ascii="Cambria" w:hAnsi="Cambria" w:cs="Arial"/>
                <w:sz w:val="20"/>
                <w:szCs w:val="20"/>
              </w:rPr>
              <w:t xml:space="preserve"> (°C)</w:t>
            </w:r>
          </w:p>
        </w:tc>
        <w:tc>
          <w:tcPr>
            <w:tcW w:w="831" w:type="pct"/>
            <w:tcBorders>
              <w:top w:val="nil"/>
              <w:left w:val="nil"/>
              <w:bottom w:val="nil"/>
              <w:right w:val="nil"/>
            </w:tcBorders>
            <w:shd w:val="clear" w:color="auto" w:fill="D9D9D9" w:themeFill="background1" w:themeFillShade="D9"/>
            <w:vAlign w:val="center"/>
          </w:tcPr>
          <w:p w14:paraId="0EE1529E"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46.4 (2.9)</w:t>
            </w:r>
          </w:p>
        </w:tc>
        <w:tc>
          <w:tcPr>
            <w:tcW w:w="831" w:type="pct"/>
            <w:tcBorders>
              <w:top w:val="nil"/>
              <w:left w:val="nil"/>
              <w:bottom w:val="nil"/>
              <w:right w:val="nil"/>
            </w:tcBorders>
            <w:shd w:val="clear" w:color="auto" w:fill="D9D9D9" w:themeFill="background1" w:themeFillShade="D9"/>
            <w:vAlign w:val="center"/>
          </w:tcPr>
          <w:p w14:paraId="752B2EC4"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46.2 (4.1)</w:t>
            </w:r>
          </w:p>
        </w:tc>
        <w:tc>
          <w:tcPr>
            <w:tcW w:w="865" w:type="pct"/>
            <w:tcBorders>
              <w:top w:val="nil"/>
              <w:left w:val="nil"/>
              <w:bottom w:val="nil"/>
              <w:right w:val="nil"/>
            </w:tcBorders>
            <w:shd w:val="clear" w:color="auto" w:fill="D9D9D9" w:themeFill="background1" w:themeFillShade="D9"/>
            <w:vAlign w:val="center"/>
          </w:tcPr>
          <w:p w14:paraId="14AE1E53"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38.9 (3.3)</w:t>
            </w:r>
          </w:p>
        </w:tc>
        <w:tc>
          <w:tcPr>
            <w:tcW w:w="775" w:type="pct"/>
            <w:tcBorders>
              <w:top w:val="nil"/>
              <w:left w:val="nil"/>
              <w:bottom w:val="nil"/>
              <w:right w:val="nil"/>
            </w:tcBorders>
            <w:shd w:val="clear" w:color="auto" w:fill="D9D9D9" w:themeFill="background1" w:themeFillShade="D9"/>
            <w:vAlign w:val="center"/>
          </w:tcPr>
          <w:p w14:paraId="76CE1936"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39.6 (3.9)</w:t>
            </w:r>
          </w:p>
        </w:tc>
        <w:tc>
          <w:tcPr>
            <w:tcW w:w="570" w:type="pct"/>
            <w:tcBorders>
              <w:top w:val="nil"/>
              <w:left w:val="nil"/>
              <w:bottom w:val="nil"/>
            </w:tcBorders>
            <w:shd w:val="clear" w:color="auto" w:fill="D9D9D9" w:themeFill="background1" w:themeFillShade="D9"/>
            <w:vAlign w:val="center"/>
          </w:tcPr>
          <w:p w14:paraId="5BAA1C42"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bCs/>
                <w:sz w:val="20"/>
                <w:szCs w:val="20"/>
              </w:rPr>
              <w:t>&lt;0.01</w:t>
            </w:r>
          </w:p>
        </w:tc>
      </w:tr>
      <w:tr w:rsidR="00A150B0" w:rsidRPr="00141C45" w14:paraId="291786EA" w14:textId="77777777" w:rsidTr="00FD2D3D">
        <w:trPr>
          <w:trHeight w:val="510"/>
        </w:trPr>
        <w:tc>
          <w:tcPr>
            <w:tcW w:w="1128" w:type="pct"/>
            <w:tcBorders>
              <w:top w:val="nil"/>
              <w:bottom w:val="nil"/>
              <w:right w:val="nil"/>
            </w:tcBorders>
            <w:shd w:val="clear" w:color="auto" w:fill="D9D9D9" w:themeFill="background1" w:themeFillShade="D9"/>
            <w:vAlign w:val="center"/>
          </w:tcPr>
          <w:p w14:paraId="49731DA9" w14:textId="77777777" w:rsidR="00A150B0" w:rsidRPr="00A150B0" w:rsidRDefault="00A150B0" w:rsidP="009807FE">
            <w:pPr>
              <w:spacing w:after="0" w:line="360" w:lineRule="auto"/>
              <w:rPr>
                <w:rFonts w:ascii="Cambria" w:hAnsi="Cambria" w:cs="Arial"/>
                <w:sz w:val="20"/>
                <w:szCs w:val="20"/>
              </w:rPr>
            </w:pPr>
            <w:r w:rsidRPr="00A150B0">
              <w:rPr>
                <w:rFonts w:ascii="Cambria" w:hAnsi="Cambria" w:cs="Arial"/>
                <w:sz w:val="20"/>
                <w:szCs w:val="20"/>
              </w:rPr>
              <w:t>VDT (°C)</w:t>
            </w:r>
          </w:p>
        </w:tc>
        <w:tc>
          <w:tcPr>
            <w:tcW w:w="831" w:type="pct"/>
            <w:tcBorders>
              <w:top w:val="nil"/>
              <w:left w:val="nil"/>
              <w:bottom w:val="nil"/>
              <w:right w:val="nil"/>
            </w:tcBorders>
            <w:shd w:val="clear" w:color="auto" w:fill="D9D9D9" w:themeFill="background1" w:themeFillShade="D9"/>
            <w:vAlign w:val="center"/>
          </w:tcPr>
          <w:p w14:paraId="6045C2AC"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3.1 (2.4)</w:t>
            </w:r>
          </w:p>
        </w:tc>
        <w:tc>
          <w:tcPr>
            <w:tcW w:w="831" w:type="pct"/>
            <w:tcBorders>
              <w:top w:val="nil"/>
              <w:left w:val="nil"/>
              <w:bottom w:val="nil"/>
              <w:right w:val="nil"/>
            </w:tcBorders>
            <w:shd w:val="clear" w:color="auto" w:fill="D9D9D9" w:themeFill="background1" w:themeFillShade="D9"/>
            <w:vAlign w:val="center"/>
          </w:tcPr>
          <w:p w14:paraId="6F4A1800"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4.1 (1.9)</w:t>
            </w:r>
          </w:p>
        </w:tc>
        <w:tc>
          <w:tcPr>
            <w:tcW w:w="865" w:type="pct"/>
            <w:tcBorders>
              <w:top w:val="nil"/>
              <w:left w:val="nil"/>
              <w:bottom w:val="nil"/>
              <w:right w:val="nil"/>
            </w:tcBorders>
            <w:shd w:val="clear" w:color="auto" w:fill="D9D9D9" w:themeFill="background1" w:themeFillShade="D9"/>
            <w:vAlign w:val="center"/>
          </w:tcPr>
          <w:p w14:paraId="088797D6"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7.1 (0.9)</w:t>
            </w:r>
          </w:p>
        </w:tc>
        <w:tc>
          <w:tcPr>
            <w:tcW w:w="775" w:type="pct"/>
            <w:tcBorders>
              <w:top w:val="nil"/>
              <w:left w:val="nil"/>
              <w:bottom w:val="nil"/>
              <w:right w:val="nil"/>
            </w:tcBorders>
            <w:shd w:val="clear" w:color="auto" w:fill="D9D9D9" w:themeFill="background1" w:themeFillShade="D9"/>
            <w:vAlign w:val="center"/>
          </w:tcPr>
          <w:p w14:paraId="54D8AC81"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7.1 (0.6)</w:t>
            </w:r>
          </w:p>
        </w:tc>
        <w:tc>
          <w:tcPr>
            <w:tcW w:w="570" w:type="pct"/>
            <w:tcBorders>
              <w:top w:val="nil"/>
              <w:left w:val="nil"/>
              <w:bottom w:val="nil"/>
            </w:tcBorders>
            <w:shd w:val="clear" w:color="auto" w:fill="D9D9D9" w:themeFill="background1" w:themeFillShade="D9"/>
            <w:vAlign w:val="center"/>
          </w:tcPr>
          <w:p w14:paraId="175EC0CF"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bCs/>
                <w:sz w:val="20"/>
                <w:szCs w:val="20"/>
              </w:rPr>
              <w:t>&lt;0.01</w:t>
            </w:r>
          </w:p>
        </w:tc>
      </w:tr>
      <w:tr w:rsidR="00A150B0" w:rsidRPr="00141C45" w14:paraId="268337E1" w14:textId="77777777" w:rsidTr="00FD2D3D">
        <w:trPr>
          <w:trHeight w:val="510"/>
        </w:trPr>
        <w:tc>
          <w:tcPr>
            <w:tcW w:w="1128" w:type="pct"/>
            <w:tcBorders>
              <w:top w:val="nil"/>
              <w:bottom w:val="nil"/>
              <w:right w:val="nil"/>
            </w:tcBorders>
            <w:shd w:val="clear" w:color="auto" w:fill="D9D9D9" w:themeFill="background1" w:themeFillShade="D9"/>
            <w:vAlign w:val="center"/>
          </w:tcPr>
          <w:p w14:paraId="069F7DF4" w14:textId="77777777" w:rsidR="00A150B0" w:rsidRPr="00A150B0" w:rsidRDefault="00A150B0" w:rsidP="009807FE">
            <w:pPr>
              <w:spacing w:after="0" w:line="360" w:lineRule="auto"/>
              <w:rPr>
                <w:rFonts w:ascii="Cambria" w:hAnsi="Cambria" w:cs="Arial"/>
                <w:sz w:val="20"/>
                <w:szCs w:val="20"/>
              </w:rPr>
            </w:pPr>
            <w:r w:rsidRPr="00A150B0">
              <w:rPr>
                <w:rFonts w:ascii="Cambria" w:hAnsi="Cambria" w:cs="Arial"/>
                <w:sz w:val="20"/>
                <w:szCs w:val="20"/>
              </w:rPr>
              <w:t>HPT (°C)</w:t>
            </w:r>
          </w:p>
        </w:tc>
        <w:tc>
          <w:tcPr>
            <w:tcW w:w="831" w:type="pct"/>
            <w:tcBorders>
              <w:top w:val="nil"/>
              <w:left w:val="nil"/>
              <w:bottom w:val="nil"/>
              <w:right w:val="nil"/>
            </w:tcBorders>
            <w:shd w:val="clear" w:color="auto" w:fill="D9D9D9" w:themeFill="background1" w:themeFillShade="D9"/>
            <w:vAlign w:val="center"/>
          </w:tcPr>
          <w:p w14:paraId="2FAF9CEF"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49.5 (0.7)</w:t>
            </w:r>
          </w:p>
        </w:tc>
        <w:tc>
          <w:tcPr>
            <w:tcW w:w="831" w:type="pct"/>
            <w:tcBorders>
              <w:top w:val="nil"/>
              <w:left w:val="nil"/>
              <w:bottom w:val="nil"/>
              <w:right w:val="nil"/>
            </w:tcBorders>
            <w:shd w:val="clear" w:color="auto" w:fill="D9D9D9" w:themeFill="background1" w:themeFillShade="D9"/>
            <w:vAlign w:val="center"/>
          </w:tcPr>
          <w:p w14:paraId="7F244580"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48.3 (2.6)</w:t>
            </w:r>
          </w:p>
        </w:tc>
        <w:tc>
          <w:tcPr>
            <w:tcW w:w="865" w:type="pct"/>
            <w:tcBorders>
              <w:top w:val="nil"/>
              <w:left w:val="nil"/>
              <w:bottom w:val="nil"/>
              <w:right w:val="nil"/>
            </w:tcBorders>
            <w:shd w:val="clear" w:color="auto" w:fill="D9D9D9" w:themeFill="background1" w:themeFillShade="D9"/>
            <w:vAlign w:val="center"/>
          </w:tcPr>
          <w:p w14:paraId="2D8B470C"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45.3 (2.4)</w:t>
            </w:r>
          </w:p>
        </w:tc>
        <w:tc>
          <w:tcPr>
            <w:tcW w:w="775" w:type="pct"/>
            <w:tcBorders>
              <w:top w:val="nil"/>
              <w:left w:val="nil"/>
              <w:bottom w:val="nil"/>
              <w:right w:val="nil"/>
            </w:tcBorders>
            <w:shd w:val="clear" w:color="auto" w:fill="D9D9D9" w:themeFill="background1" w:themeFillShade="D9"/>
            <w:vAlign w:val="center"/>
          </w:tcPr>
          <w:p w14:paraId="53316176"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45.8 (2.2)</w:t>
            </w:r>
          </w:p>
        </w:tc>
        <w:tc>
          <w:tcPr>
            <w:tcW w:w="570" w:type="pct"/>
            <w:tcBorders>
              <w:top w:val="nil"/>
              <w:left w:val="nil"/>
              <w:bottom w:val="nil"/>
            </w:tcBorders>
            <w:shd w:val="clear" w:color="auto" w:fill="D9D9D9" w:themeFill="background1" w:themeFillShade="D9"/>
            <w:vAlign w:val="center"/>
          </w:tcPr>
          <w:p w14:paraId="2874DE5C"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bCs/>
                <w:sz w:val="20"/>
                <w:szCs w:val="20"/>
              </w:rPr>
              <w:t>&lt;0.01</w:t>
            </w:r>
          </w:p>
        </w:tc>
      </w:tr>
      <w:tr w:rsidR="00A150B0" w:rsidRPr="00141C45" w14:paraId="5CA1E67B" w14:textId="77777777" w:rsidTr="00FD2D3D">
        <w:trPr>
          <w:trHeight w:val="510"/>
        </w:trPr>
        <w:tc>
          <w:tcPr>
            <w:tcW w:w="1128" w:type="pct"/>
            <w:tcBorders>
              <w:top w:val="nil"/>
              <w:bottom w:val="nil"/>
              <w:right w:val="nil"/>
            </w:tcBorders>
            <w:shd w:val="clear" w:color="auto" w:fill="D9D9D9" w:themeFill="background1" w:themeFillShade="D9"/>
            <w:vAlign w:val="center"/>
          </w:tcPr>
          <w:p w14:paraId="13037F05" w14:textId="77777777" w:rsidR="00A150B0" w:rsidRPr="00A150B0" w:rsidRDefault="00A150B0" w:rsidP="009807FE">
            <w:pPr>
              <w:spacing w:after="0" w:line="360" w:lineRule="auto"/>
              <w:rPr>
                <w:rFonts w:ascii="Cambria" w:hAnsi="Cambria" w:cs="Arial"/>
                <w:sz w:val="20"/>
                <w:szCs w:val="20"/>
              </w:rPr>
            </w:pPr>
            <w:r w:rsidRPr="00A150B0">
              <w:rPr>
                <w:rFonts w:ascii="Cambria" w:hAnsi="Cambria" w:cs="Arial"/>
                <w:sz w:val="20"/>
                <w:szCs w:val="20"/>
              </w:rPr>
              <w:t>CPT(°C)</w:t>
            </w:r>
          </w:p>
        </w:tc>
        <w:tc>
          <w:tcPr>
            <w:tcW w:w="831" w:type="pct"/>
            <w:tcBorders>
              <w:top w:val="nil"/>
              <w:left w:val="nil"/>
              <w:bottom w:val="nil"/>
              <w:right w:val="nil"/>
            </w:tcBorders>
            <w:shd w:val="clear" w:color="auto" w:fill="D9D9D9" w:themeFill="background1" w:themeFillShade="D9"/>
            <w:vAlign w:val="center"/>
          </w:tcPr>
          <w:p w14:paraId="082C92D9"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2.3 (5.2)</w:t>
            </w:r>
          </w:p>
        </w:tc>
        <w:tc>
          <w:tcPr>
            <w:tcW w:w="831" w:type="pct"/>
            <w:tcBorders>
              <w:top w:val="nil"/>
              <w:left w:val="nil"/>
              <w:bottom w:val="nil"/>
              <w:right w:val="nil"/>
            </w:tcBorders>
            <w:shd w:val="clear" w:color="auto" w:fill="D9D9D9" w:themeFill="background1" w:themeFillShade="D9"/>
            <w:vAlign w:val="center"/>
          </w:tcPr>
          <w:p w14:paraId="310A52DE"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5.8 (8.5)</w:t>
            </w:r>
          </w:p>
        </w:tc>
        <w:tc>
          <w:tcPr>
            <w:tcW w:w="865" w:type="pct"/>
            <w:tcBorders>
              <w:top w:val="nil"/>
              <w:left w:val="nil"/>
              <w:bottom w:val="nil"/>
              <w:right w:val="nil"/>
            </w:tcBorders>
            <w:shd w:val="clear" w:color="auto" w:fill="D9D9D9" w:themeFill="background1" w:themeFillShade="D9"/>
            <w:vAlign w:val="center"/>
          </w:tcPr>
          <w:p w14:paraId="7419E5CA"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11.4 (7.2)</w:t>
            </w:r>
          </w:p>
        </w:tc>
        <w:tc>
          <w:tcPr>
            <w:tcW w:w="775" w:type="pct"/>
            <w:tcBorders>
              <w:top w:val="nil"/>
              <w:left w:val="nil"/>
              <w:bottom w:val="nil"/>
              <w:right w:val="nil"/>
            </w:tcBorders>
            <w:shd w:val="clear" w:color="auto" w:fill="D9D9D9" w:themeFill="background1" w:themeFillShade="D9"/>
            <w:vAlign w:val="center"/>
          </w:tcPr>
          <w:p w14:paraId="209159BD"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8.1 (6.9)</w:t>
            </w:r>
          </w:p>
        </w:tc>
        <w:tc>
          <w:tcPr>
            <w:tcW w:w="570" w:type="pct"/>
            <w:tcBorders>
              <w:top w:val="nil"/>
              <w:left w:val="nil"/>
              <w:bottom w:val="nil"/>
            </w:tcBorders>
            <w:shd w:val="clear" w:color="auto" w:fill="D9D9D9" w:themeFill="background1" w:themeFillShade="D9"/>
            <w:vAlign w:val="center"/>
          </w:tcPr>
          <w:p w14:paraId="032C7C1C"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0.06</w:t>
            </w:r>
          </w:p>
        </w:tc>
      </w:tr>
      <w:tr w:rsidR="00A150B0" w:rsidRPr="00141C45" w14:paraId="7EE67129" w14:textId="77777777" w:rsidTr="00FD2D3D">
        <w:trPr>
          <w:trHeight w:val="510"/>
        </w:trPr>
        <w:tc>
          <w:tcPr>
            <w:tcW w:w="1128" w:type="pct"/>
            <w:tcBorders>
              <w:top w:val="nil"/>
              <w:bottom w:val="nil"/>
              <w:right w:val="nil"/>
            </w:tcBorders>
            <w:shd w:val="clear" w:color="auto" w:fill="D9D9D9" w:themeFill="background1" w:themeFillShade="D9"/>
            <w:vAlign w:val="center"/>
          </w:tcPr>
          <w:p w14:paraId="4A13F240" w14:textId="77777777" w:rsidR="00A150B0" w:rsidRPr="00A150B0" w:rsidRDefault="00A150B0" w:rsidP="009807FE">
            <w:pPr>
              <w:spacing w:after="0" w:line="360" w:lineRule="auto"/>
              <w:rPr>
                <w:rFonts w:ascii="Cambria" w:hAnsi="Cambria" w:cs="Arial"/>
                <w:sz w:val="20"/>
                <w:szCs w:val="20"/>
              </w:rPr>
            </w:pPr>
            <w:r w:rsidRPr="00A150B0">
              <w:rPr>
                <w:rFonts w:ascii="Cambria" w:hAnsi="Cambria" w:cs="Arial"/>
                <w:sz w:val="20"/>
                <w:szCs w:val="20"/>
              </w:rPr>
              <w:t>PPT (°C)</w:t>
            </w:r>
          </w:p>
        </w:tc>
        <w:tc>
          <w:tcPr>
            <w:tcW w:w="831" w:type="pct"/>
            <w:tcBorders>
              <w:top w:val="nil"/>
              <w:left w:val="nil"/>
              <w:bottom w:val="nil"/>
              <w:right w:val="nil"/>
            </w:tcBorders>
            <w:shd w:val="clear" w:color="auto" w:fill="D9D9D9" w:themeFill="background1" w:themeFillShade="D9"/>
            <w:vAlign w:val="center"/>
          </w:tcPr>
          <w:p w14:paraId="7A414B80"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648 (317)</w:t>
            </w:r>
          </w:p>
        </w:tc>
        <w:tc>
          <w:tcPr>
            <w:tcW w:w="831" w:type="pct"/>
            <w:tcBorders>
              <w:top w:val="nil"/>
              <w:left w:val="nil"/>
              <w:bottom w:val="nil"/>
              <w:right w:val="nil"/>
            </w:tcBorders>
            <w:shd w:val="clear" w:color="auto" w:fill="D9D9D9" w:themeFill="background1" w:themeFillShade="D9"/>
            <w:vAlign w:val="center"/>
          </w:tcPr>
          <w:p w14:paraId="35FA6DEE"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503 (183)</w:t>
            </w:r>
          </w:p>
        </w:tc>
        <w:tc>
          <w:tcPr>
            <w:tcW w:w="865" w:type="pct"/>
            <w:tcBorders>
              <w:top w:val="nil"/>
              <w:left w:val="nil"/>
              <w:bottom w:val="nil"/>
              <w:right w:val="nil"/>
            </w:tcBorders>
            <w:shd w:val="clear" w:color="auto" w:fill="D9D9D9" w:themeFill="background1" w:themeFillShade="D9"/>
            <w:vAlign w:val="center"/>
          </w:tcPr>
          <w:p w14:paraId="635803D3"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478 (83)</w:t>
            </w:r>
          </w:p>
        </w:tc>
        <w:tc>
          <w:tcPr>
            <w:tcW w:w="775" w:type="pct"/>
            <w:tcBorders>
              <w:top w:val="nil"/>
              <w:left w:val="nil"/>
              <w:bottom w:val="nil"/>
              <w:right w:val="nil"/>
            </w:tcBorders>
            <w:shd w:val="clear" w:color="auto" w:fill="D9D9D9" w:themeFill="background1" w:themeFillShade="D9"/>
            <w:vAlign w:val="center"/>
          </w:tcPr>
          <w:p w14:paraId="4297909E"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499 (80)</w:t>
            </w:r>
          </w:p>
        </w:tc>
        <w:tc>
          <w:tcPr>
            <w:tcW w:w="570" w:type="pct"/>
            <w:tcBorders>
              <w:top w:val="nil"/>
              <w:left w:val="nil"/>
              <w:bottom w:val="nil"/>
            </w:tcBorders>
            <w:shd w:val="clear" w:color="auto" w:fill="D9D9D9" w:themeFill="background1" w:themeFillShade="D9"/>
            <w:vAlign w:val="center"/>
          </w:tcPr>
          <w:p w14:paraId="4B93C481"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0.07</w:t>
            </w:r>
          </w:p>
        </w:tc>
      </w:tr>
      <w:tr w:rsidR="00A150B0" w:rsidRPr="00141C45" w14:paraId="6883734F" w14:textId="77777777" w:rsidTr="00FD2D3D">
        <w:trPr>
          <w:trHeight w:val="510"/>
        </w:trPr>
        <w:tc>
          <w:tcPr>
            <w:tcW w:w="1128" w:type="pct"/>
            <w:tcBorders>
              <w:top w:val="nil"/>
              <w:bottom w:val="nil"/>
              <w:right w:val="nil"/>
            </w:tcBorders>
            <w:shd w:val="clear" w:color="auto" w:fill="D9D9D9" w:themeFill="background1" w:themeFillShade="D9"/>
            <w:vAlign w:val="center"/>
          </w:tcPr>
          <w:p w14:paraId="69902C1A" w14:textId="77777777" w:rsidR="00A150B0" w:rsidRPr="00A150B0" w:rsidRDefault="00A150B0" w:rsidP="009807FE">
            <w:pPr>
              <w:spacing w:after="0" w:line="360" w:lineRule="auto"/>
              <w:rPr>
                <w:rFonts w:ascii="Cambria" w:hAnsi="Cambria" w:cs="Arial"/>
                <w:sz w:val="20"/>
                <w:szCs w:val="20"/>
              </w:rPr>
            </w:pPr>
            <w:proofErr w:type="spellStart"/>
            <w:r w:rsidRPr="00A150B0">
              <w:rPr>
                <w:rFonts w:ascii="Cambria" w:hAnsi="Cambria" w:cs="Arial"/>
                <w:sz w:val="20"/>
                <w:szCs w:val="20"/>
              </w:rPr>
              <w:t>HADS</w:t>
            </w:r>
            <w:proofErr w:type="spellEnd"/>
          </w:p>
        </w:tc>
        <w:tc>
          <w:tcPr>
            <w:tcW w:w="831" w:type="pct"/>
            <w:tcBorders>
              <w:top w:val="nil"/>
              <w:left w:val="nil"/>
              <w:bottom w:val="nil"/>
              <w:right w:val="nil"/>
            </w:tcBorders>
            <w:shd w:val="clear" w:color="auto" w:fill="D9D9D9" w:themeFill="background1" w:themeFillShade="D9"/>
            <w:vAlign w:val="center"/>
          </w:tcPr>
          <w:p w14:paraId="5AF8C52C"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19.0 (7.5)</w:t>
            </w:r>
          </w:p>
        </w:tc>
        <w:tc>
          <w:tcPr>
            <w:tcW w:w="831" w:type="pct"/>
            <w:tcBorders>
              <w:top w:val="nil"/>
              <w:left w:val="nil"/>
              <w:bottom w:val="nil"/>
              <w:right w:val="nil"/>
            </w:tcBorders>
            <w:shd w:val="clear" w:color="auto" w:fill="D9D9D9" w:themeFill="background1" w:themeFillShade="D9"/>
            <w:vAlign w:val="center"/>
          </w:tcPr>
          <w:p w14:paraId="14B12020"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4.7 (2.3)</w:t>
            </w:r>
          </w:p>
        </w:tc>
        <w:tc>
          <w:tcPr>
            <w:tcW w:w="865" w:type="pct"/>
            <w:tcBorders>
              <w:top w:val="nil"/>
              <w:left w:val="nil"/>
              <w:bottom w:val="nil"/>
              <w:right w:val="nil"/>
            </w:tcBorders>
            <w:shd w:val="clear" w:color="auto" w:fill="D9D9D9" w:themeFill="background1" w:themeFillShade="D9"/>
            <w:vAlign w:val="center"/>
          </w:tcPr>
          <w:p w14:paraId="6A2A17C1"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11.6 (7.8)</w:t>
            </w:r>
          </w:p>
        </w:tc>
        <w:tc>
          <w:tcPr>
            <w:tcW w:w="775" w:type="pct"/>
            <w:tcBorders>
              <w:top w:val="nil"/>
              <w:left w:val="nil"/>
              <w:bottom w:val="nil"/>
              <w:right w:val="nil"/>
            </w:tcBorders>
            <w:shd w:val="clear" w:color="auto" w:fill="D9D9D9" w:themeFill="background1" w:themeFillShade="D9"/>
            <w:vAlign w:val="center"/>
          </w:tcPr>
          <w:p w14:paraId="6BDE46CA"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6.3 (4.4)</w:t>
            </w:r>
          </w:p>
        </w:tc>
        <w:tc>
          <w:tcPr>
            <w:tcW w:w="570" w:type="pct"/>
            <w:tcBorders>
              <w:top w:val="nil"/>
              <w:left w:val="nil"/>
              <w:bottom w:val="nil"/>
            </w:tcBorders>
            <w:shd w:val="clear" w:color="auto" w:fill="D9D9D9" w:themeFill="background1" w:themeFillShade="D9"/>
            <w:vAlign w:val="center"/>
          </w:tcPr>
          <w:p w14:paraId="494EA101"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&lt;0.01</w:t>
            </w:r>
          </w:p>
        </w:tc>
      </w:tr>
      <w:tr w:rsidR="00A150B0" w:rsidRPr="00141C45" w14:paraId="3A4754D3" w14:textId="77777777" w:rsidTr="00FD2D3D">
        <w:trPr>
          <w:trHeight w:val="510"/>
        </w:trPr>
        <w:tc>
          <w:tcPr>
            <w:tcW w:w="1128" w:type="pct"/>
            <w:tcBorders>
              <w:top w:val="nil"/>
              <w:bottom w:val="nil"/>
              <w:right w:val="nil"/>
            </w:tcBorders>
            <w:shd w:val="clear" w:color="auto" w:fill="D9D9D9" w:themeFill="background1" w:themeFillShade="D9"/>
            <w:vAlign w:val="center"/>
          </w:tcPr>
          <w:p w14:paraId="15EB96A3" w14:textId="77777777" w:rsidR="00A150B0" w:rsidRPr="00A150B0" w:rsidRDefault="00A150B0" w:rsidP="009807FE">
            <w:pPr>
              <w:spacing w:after="0" w:line="360" w:lineRule="auto"/>
              <w:rPr>
                <w:rFonts w:ascii="Cambria" w:hAnsi="Cambria" w:cs="Arial"/>
                <w:sz w:val="20"/>
                <w:szCs w:val="20"/>
              </w:rPr>
            </w:pPr>
            <w:r w:rsidRPr="00A150B0">
              <w:rPr>
                <w:rFonts w:ascii="Cambria" w:hAnsi="Cambria" w:cs="Arial"/>
                <w:sz w:val="20"/>
                <w:szCs w:val="20"/>
              </w:rPr>
              <w:t>Anxiety Subset</w:t>
            </w:r>
          </w:p>
        </w:tc>
        <w:tc>
          <w:tcPr>
            <w:tcW w:w="831" w:type="pct"/>
            <w:tcBorders>
              <w:top w:val="nil"/>
              <w:left w:val="nil"/>
              <w:bottom w:val="nil"/>
              <w:right w:val="nil"/>
            </w:tcBorders>
            <w:shd w:val="clear" w:color="auto" w:fill="D9D9D9" w:themeFill="background1" w:themeFillShade="D9"/>
            <w:vAlign w:val="center"/>
          </w:tcPr>
          <w:p w14:paraId="09FEA523"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9.4 (3.9)</w:t>
            </w:r>
          </w:p>
        </w:tc>
        <w:tc>
          <w:tcPr>
            <w:tcW w:w="831" w:type="pct"/>
            <w:tcBorders>
              <w:top w:val="nil"/>
              <w:left w:val="nil"/>
              <w:bottom w:val="nil"/>
              <w:right w:val="nil"/>
            </w:tcBorders>
            <w:shd w:val="clear" w:color="auto" w:fill="D9D9D9" w:themeFill="background1" w:themeFillShade="D9"/>
            <w:vAlign w:val="center"/>
          </w:tcPr>
          <w:p w14:paraId="0911F2DB"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2.6 (1.7)</w:t>
            </w:r>
          </w:p>
        </w:tc>
        <w:tc>
          <w:tcPr>
            <w:tcW w:w="865" w:type="pct"/>
            <w:tcBorders>
              <w:top w:val="nil"/>
              <w:left w:val="nil"/>
              <w:bottom w:val="nil"/>
              <w:right w:val="nil"/>
            </w:tcBorders>
            <w:shd w:val="clear" w:color="auto" w:fill="D9D9D9" w:themeFill="background1" w:themeFillShade="D9"/>
            <w:vAlign w:val="center"/>
          </w:tcPr>
          <w:p w14:paraId="109E6572"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7.0 (4.5)</w:t>
            </w:r>
          </w:p>
        </w:tc>
        <w:tc>
          <w:tcPr>
            <w:tcW w:w="775" w:type="pct"/>
            <w:tcBorders>
              <w:top w:val="nil"/>
              <w:left w:val="nil"/>
              <w:bottom w:val="nil"/>
              <w:right w:val="nil"/>
            </w:tcBorders>
            <w:shd w:val="clear" w:color="auto" w:fill="D9D9D9" w:themeFill="background1" w:themeFillShade="D9"/>
            <w:vAlign w:val="center"/>
          </w:tcPr>
          <w:p w14:paraId="27A68E7F"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4.3 (3.2)</w:t>
            </w:r>
          </w:p>
        </w:tc>
        <w:tc>
          <w:tcPr>
            <w:tcW w:w="570" w:type="pct"/>
            <w:tcBorders>
              <w:top w:val="nil"/>
              <w:left w:val="nil"/>
              <w:bottom w:val="nil"/>
            </w:tcBorders>
            <w:shd w:val="clear" w:color="auto" w:fill="D9D9D9" w:themeFill="background1" w:themeFillShade="D9"/>
            <w:vAlign w:val="center"/>
          </w:tcPr>
          <w:p w14:paraId="3BB56DF0"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&lt;0.01</w:t>
            </w:r>
          </w:p>
        </w:tc>
      </w:tr>
      <w:tr w:rsidR="00A150B0" w:rsidRPr="00141C45" w14:paraId="53AFDFBE" w14:textId="77777777" w:rsidTr="00FD2D3D">
        <w:trPr>
          <w:trHeight w:val="510"/>
        </w:trPr>
        <w:tc>
          <w:tcPr>
            <w:tcW w:w="1128" w:type="pct"/>
            <w:tcBorders>
              <w:top w:val="nil"/>
              <w:bottom w:val="nil"/>
              <w:right w:val="nil"/>
            </w:tcBorders>
            <w:shd w:val="clear" w:color="auto" w:fill="D9D9D9" w:themeFill="background1" w:themeFillShade="D9"/>
            <w:vAlign w:val="center"/>
          </w:tcPr>
          <w:p w14:paraId="5D8DE4D0" w14:textId="77777777" w:rsidR="00A150B0" w:rsidRPr="00A150B0" w:rsidRDefault="00A150B0" w:rsidP="009807FE">
            <w:pPr>
              <w:spacing w:after="0" w:line="360" w:lineRule="auto"/>
              <w:rPr>
                <w:rFonts w:ascii="Cambria" w:hAnsi="Cambria" w:cs="Arial"/>
                <w:sz w:val="20"/>
                <w:szCs w:val="20"/>
              </w:rPr>
            </w:pPr>
            <w:r w:rsidRPr="00A150B0">
              <w:rPr>
                <w:rFonts w:ascii="Cambria" w:hAnsi="Cambria" w:cs="Arial"/>
                <w:sz w:val="20"/>
                <w:szCs w:val="20"/>
              </w:rPr>
              <w:t>Depression Subset</w:t>
            </w:r>
          </w:p>
        </w:tc>
        <w:tc>
          <w:tcPr>
            <w:tcW w:w="831" w:type="pct"/>
            <w:tcBorders>
              <w:top w:val="nil"/>
              <w:left w:val="nil"/>
              <w:bottom w:val="nil"/>
              <w:right w:val="nil"/>
            </w:tcBorders>
            <w:shd w:val="clear" w:color="auto" w:fill="D9D9D9" w:themeFill="background1" w:themeFillShade="D9"/>
            <w:vAlign w:val="center"/>
          </w:tcPr>
          <w:p w14:paraId="278FE850"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9.6 (4.0)</w:t>
            </w:r>
          </w:p>
        </w:tc>
        <w:tc>
          <w:tcPr>
            <w:tcW w:w="831" w:type="pct"/>
            <w:tcBorders>
              <w:top w:val="nil"/>
              <w:left w:val="nil"/>
              <w:bottom w:val="nil"/>
              <w:right w:val="nil"/>
            </w:tcBorders>
            <w:shd w:val="clear" w:color="auto" w:fill="D9D9D9" w:themeFill="background1" w:themeFillShade="D9"/>
            <w:vAlign w:val="center"/>
          </w:tcPr>
          <w:p w14:paraId="56D01C5A"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1.7 (1.4)</w:t>
            </w:r>
          </w:p>
        </w:tc>
        <w:tc>
          <w:tcPr>
            <w:tcW w:w="865" w:type="pct"/>
            <w:tcBorders>
              <w:top w:val="nil"/>
              <w:left w:val="nil"/>
              <w:bottom w:val="nil"/>
              <w:right w:val="nil"/>
            </w:tcBorders>
            <w:shd w:val="clear" w:color="auto" w:fill="D9D9D9" w:themeFill="background1" w:themeFillShade="D9"/>
            <w:vAlign w:val="center"/>
          </w:tcPr>
          <w:p w14:paraId="08DC99FE"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4.6 (3.6)</w:t>
            </w:r>
          </w:p>
        </w:tc>
        <w:tc>
          <w:tcPr>
            <w:tcW w:w="775" w:type="pct"/>
            <w:tcBorders>
              <w:top w:val="nil"/>
              <w:left w:val="nil"/>
              <w:bottom w:val="nil"/>
              <w:right w:val="nil"/>
            </w:tcBorders>
            <w:shd w:val="clear" w:color="auto" w:fill="D9D9D9" w:themeFill="background1" w:themeFillShade="D9"/>
            <w:vAlign w:val="center"/>
          </w:tcPr>
          <w:p w14:paraId="120C4AF7"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2.4 (2.6)</w:t>
            </w:r>
          </w:p>
        </w:tc>
        <w:tc>
          <w:tcPr>
            <w:tcW w:w="570" w:type="pct"/>
            <w:tcBorders>
              <w:top w:val="nil"/>
              <w:left w:val="nil"/>
              <w:bottom w:val="nil"/>
            </w:tcBorders>
            <w:shd w:val="clear" w:color="auto" w:fill="D9D9D9" w:themeFill="background1" w:themeFillShade="D9"/>
            <w:vAlign w:val="center"/>
          </w:tcPr>
          <w:p w14:paraId="7CA4A737"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&lt;0.01</w:t>
            </w:r>
          </w:p>
        </w:tc>
      </w:tr>
      <w:tr w:rsidR="00A150B0" w:rsidRPr="00141C45" w14:paraId="2831731B" w14:textId="77777777" w:rsidTr="00FD2D3D">
        <w:trPr>
          <w:trHeight w:val="510"/>
        </w:trPr>
        <w:tc>
          <w:tcPr>
            <w:tcW w:w="1128" w:type="pct"/>
            <w:tcBorders>
              <w:top w:val="nil"/>
              <w:bottom w:val="nil"/>
              <w:right w:val="nil"/>
            </w:tcBorders>
            <w:shd w:val="clear" w:color="auto" w:fill="D9D9D9" w:themeFill="background1" w:themeFillShade="D9"/>
            <w:vAlign w:val="center"/>
          </w:tcPr>
          <w:p w14:paraId="1D27521E" w14:textId="77777777" w:rsidR="00A150B0" w:rsidRPr="00A150B0" w:rsidRDefault="00A150B0" w:rsidP="009807FE">
            <w:pPr>
              <w:spacing w:after="0" w:line="360" w:lineRule="auto"/>
              <w:rPr>
                <w:rFonts w:ascii="Cambria" w:hAnsi="Cambria" w:cs="Arial"/>
                <w:sz w:val="20"/>
                <w:szCs w:val="20"/>
              </w:rPr>
            </w:pPr>
            <w:r w:rsidRPr="00A150B0">
              <w:rPr>
                <w:rFonts w:ascii="Cambria" w:hAnsi="Cambria" w:cs="Arial"/>
                <w:sz w:val="20"/>
                <w:szCs w:val="20"/>
              </w:rPr>
              <w:t>PCS</w:t>
            </w:r>
          </w:p>
        </w:tc>
        <w:tc>
          <w:tcPr>
            <w:tcW w:w="831" w:type="pct"/>
            <w:tcBorders>
              <w:top w:val="nil"/>
              <w:left w:val="nil"/>
              <w:bottom w:val="nil"/>
              <w:right w:val="nil"/>
            </w:tcBorders>
            <w:shd w:val="clear" w:color="auto" w:fill="D9D9D9" w:themeFill="background1" w:themeFillShade="D9"/>
            <w:vAlign w:val="center"/>
          </w:tcPr>
          <w:p w14:paraId="0886176D"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21.2 (16.3)</w:t>
            </w:r>
          </w:p>
        </w:tc>
        <w:tc>
          <w:tcPr>
            <w:tcW w:w="831" w:type="pct"/>
            <w:tcBorders>
              <w:top w:val="nil"/>
              <w:left w:val="nil"/>
              <w:bottom w:val="nil"/>
              <w:right w:val="nil"/>
            </w:tcBorders>
            <w:shd w:val="clear" w:color="auto" w:fill="D9D9D9" w:themeFill="background1" w:themeFillShade="D9"/>
            <w:vAlign w:val="center"/>
          </w:tcPr>
          <w:p w14:paraId="1B3D71DD"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5.3 (9.3)</w:t>
            </w:r>
          </w:p>
        </w:tc>
        <w:tc>
          <w:tcPr>
            <w:tcW w:w="865" w:type="pct"/>
            <w:tcBorders>
              <w:top w:val="nil"/>
              <w:left w:val="nil"/>
              <w:bottom w:val="nil"/>
              <w:right w:val="nil"/>
            </w:tcBorders>
            <w:shd w:val="clear" w:color="auto" w:fill="D9D9D9" w:themeFill="background1" w:themeFillShade="D9"/>
            <w:vAlign w:val="center"/>
          </w:tcPr>
          <w:p w14:paraId="1F45E6C8"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11.2 (10.5)</w:t>
            </w:r>
          </w:p>
        </w:tc>
        <w:tc>
          <w:tcPr>
            <w:tcW w:w="775" w:type="pct"/>
            <w:tcBorders>
              <w:top w:val="nil"/>
              <w:left w:val="nil"/>
              <w:bottom w:val="nil"/>
              <w:right w:val="nil"/>
            </w:tcBorders>
            <w:shd w:val="clear" w:color="auto" w:fill="D9D9D9" w:themeFill="background1" w:themeFillShade="D9"/>
            <w:vAlign w:val="center"/>
          </w:tcPr>
          <w:p w14:paraId="57B342AC"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3.5 95.3)</w:t>
            </w:r>
          </w:p>
        </w:tc>
        <w:tc>
          <w:tcPr>
            <w:tcW w:w="570" w:type="pct"/>
            <w:tcBorders>
              <w:top w:val="nil"/>
              <w:left w:val="nil"/>
              <w:bottom w:val="nil"/>
            </w:tcBorders>
            <w:shd w:val="clear" w:color="auto" w:fill="D9D9D9" w:themeFill="background1" w:themeFillShade="D9"/>
            <w:vAlign w:val="center"/>
          </w:tcPr>
          <w:p w14:paraId="1311AD49"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&lt;0.01</w:t>
            </w:r>
          </w:p>
        </w:tc>
      </w:tr>
      <w:tr w:rsidR="00A150B0" w:rsidRPr="00141C45" w14:paraId="0E02B538" w14:textId="77777777" w:rsidTr="00FD2D3D">
        <w:trPr>
          <w:trHeight w:val="510"/>
        </w:trPr>
        <w:tc>
          <w:tcPr>
            <w:tcW w:w="1128" w:type="pct"/>
            <w:tcBorders>
              <w:top w:val="nil"/>
              <w:bottom w:val="nil"/>
              <w:right w:val="nil"/>
            </w:tcBorders>
            <w:shd w:val="clear" w:color="auto" w:fill="D9D9D9" w:themeFill="background1" w:themeFillShade="D9"/>
            <w:vAlign w:val="center"/>
          </w:tcPr>
          <w:p w14:paraId="0C19A562" w14:textId="77777777" w:rsidR="00A150B0" w:rsidRPr="00A150B0" w:rsidRDefault="00A150B0" w:rsidP="009807FE">
            <w:pPr>
              <w:spacing w:after="0" w:line="360" w:lineRule="auto"/>
              <w:rPr>
                <w:rFonts w:ascii="Cambria" w:hAnsi="Cambria" w:cs="Arial"/>
                <w:sz w:val="20"/>
                <w:szCs w:val="20"/>
              </w:rPr>
            </w:pPr>
            <w:r w:rsidRPr="00A150B0">
              <w:rPr>
                <w:rFonts w:ascii="Cambria" w:hAnsi="Cambria" w:cs="Arial"/>
                <w:sz w:val="20"/>
                <w:szCs w:val="20"/>
              </w:rPr>
              <w:t>SF36 QOL Score</w:t>
            </w:r>
          </w:p>
        </w:tc>
        <w:tc>
          <w:tcPr>
            <w:tcW w:w="831" w:type="pct"/>
            <w:tcBorders>
              <w:top w:val="nil"/>
              <w:left w:val="nil"/>
              <w:bottom w:val="nil"/>
              <w:right w:val="nil"/>
            </w:tcBorders>
            <w:shd w:val="clear" w:color="auto" w:fill="D9D9D9" w:themeFill="background1" w:themeFillShade="D9"/>
            <w:vAlign w:val="center"/>
          </w:tcPr>
          <w:p w14:paraId="4EEA5A85"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97.0 (5.6)</w:t>
            </w:r>
          </w:p>
        </w:tc>
        <w:tc>
          <w:tcPr>
            <w:tcW w:w="831" w:type="pct"/>
            <w:tcBorders>
              <w:top w:val="nil"/>
              <w:left w:val="nil"/>
              <w:bottom w:val="nil"/>
              <w:right w:val="nil"/>
            </w:tcBorders>
            <w:shd w:val="clear" w:color="auto" w:fill="D9D9D9" w:themeFill="background1" w:themeFillShade="D9"/>
            <w:vAlign w:val="center"/>
          </w:tcPr>
          <w:p w14:paraId="0F9F89D2"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100.8 (6.6)</w:t>
            </w:r>
          </w:p>
        </w:tc>
        <w:tc>
          <w:tcPr>
            <w:tcW w:w="865" w:type="pct"/>
            <w:tcBorders>
              <w:top w:val="nil"/>
              <w:left w:val="nil"/>
              <w:bottom w:val="nil"/>
              <w:right w:val="nil"/>
            </w:tcBorders>
            <w:shd w:val="clear" w:color="auto" w:fill="D9D9D9" w:themeFill="background1" w:themeFillShade="D9"/>
            <w:vAlign w:val="center"/>
          </w:tcPr>
          <w:p w14:paraId="7676E72C"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98.5 (20.8)</w:t>
            </w:r>
          </w:p>
        </w:tc>
        <w:tc>
          <w:tcPr>
            <w:tcW w:w="775" w:type="pct"/>
            <w:tcBorders>
              <w:top w:val="nil"/>
              <w:left w:val="nil"/>
              <w:bottom w:val="nil"/>
              <w:right w:val="nil"/>
            </w:tcBorders>
            <w:shd w:val="clear" w:color="auto" w:fill="D9D9D9" w:themeFill="background1" w:themeFillShade="D9"/>
            <w:vAlign w:val="center"/>
          </w:tcPr>
          <w:p w14:paraId="4A8F716E"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101.9 (5.8)</w:t>
            </w:r>
          </w:p>
        </w:tc>
        <w:tc>
          <w:tcPr>
            <w:tcW w:w="570" w:type="pct"/>
            <w:tcBorders>
              <w:top w:val="nil"/>
              <w:left w:val="nil"/>
              <w:bottom w:val="nil"/>
            </w:tcBorders>
            <w:shd w:val="clear" w:color="auto" w:fill="D9D9D9" w:themeFill="background1" w:themeFillShade="D9"/>
            <w:vAlign w:val="center"/>
          </w:tcPr>
          <w:p w14:paraId="7BFF58E8" w14:textId="77777777" w:rsidR="00A150B0" w:rsidRPr="00A150B0" w:rsidRDefault="00A150B0" w:rsidP="009807FE">
            <w:pPr>
              <w:spacing w:after="0" w:line="360" w:lineRule="auto"/>
              <w:jc w:val="center"/>
              <w:rPr>
                <w:rFonts w:ascii="Cambria" w:hAnsi="Cambria" w:cs="Arial"/>
                <w:bCs/>
                <w:sz w:val="20"/>
                <w:szCs w:val="20"/>
              </w:rPr>
            </w:pPr>
            <w:r w:rsidRPr="00A150B0">
              <w:rPr>
                <w:rFonts w:ascii="Cambria" w:hAnsi="Cambria" w:cs="Arial"/>
                <w:bCs/>
                <w:sz w:val="20"/>
                <w:szCs w:val="20"/>
              </w:rPr>
              <w:t>0.74</w:t>
            </w:r>
          </w:p>
        </w:tc>
      </w:tr>
      <w:tr w:rsidR="00A150B0" w:rsidRPr="00141C45" w14:paraId="778CE258" w14:textId="77777777" w:rsidTr="00FD2D3D">
        <w:trPr>
          <w:trHeight w:val="510"/>
        </w:trPr>
        <w:tc>
          <w:tcPr>
            <w:tcW w:w="1128" w:type="pct"/>
            <w:tcBorders>
              <w:top w:val="nil"/>
              <w:bottom w:val="nil"/>
              <w:right w:val="nil"/>
            </w:tcBorders>
            <w:shd w:val="clear" w:color="auto" w:fill="D9D9D9" w:themeFill="background1" w:themeFillShade="D9"/>
            <w:vAlign w:val="center"/>
          </w:tcPr>
          <w:p w14:paraId="18EEDF6A" w14:textId="77777777" w:rsidR="00A150B0" w:rsidRPr="00A150B0" w:rsidRDefault="00A150B0" w:rsidP="009807FE">
            <w:pPr>
              <w:spacing w:after="0" w:line="360" w:lineRule="auto"/>
              <w:rPr>
                <w:rFonts w:ascii="Cambria" w:hAnsi="Cambria" w:cs="Arial"/>
                <w:sz w:val="20"/>
                <w:szCs w:val="20"/>
              </w:rPr>
            </w:pPr>
            <w:r w:rsidRPr="00A150B0">
              <w:rPr>
                <w:rFonts w:ascii="Cambria" w:hAnsi="Cambria" w:cs="Arial"/>
                <w:sz w:val="20"/>
                <w:szCs w:val="20"/>
              </w:rPr>
              <w:t>GABA/H2O</w:t>
            </w:r>
          </w:p>
        </w:tc>
        <w:tc>
          <w:tcPr>
            <w:tcW w:w="831" w:type="pct"/>
            <w:tcBorders>
              <w:top w:val="nil"/>
              <w:left w:val="nil"/>
              <w:bottom w:val="nil"/>
              <w:right w:val="nil"/>
            </w:tcBorders>
            <w:shd w:val="clear" w:color="auto" w:fill="D9D9D9" w:themeFill="background1" w:themeFillShade="D9"/>
            <w:vAlign w:val="center"/>
          </w:tcPr>
          <w:p w14:paraId="1EFDB695"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1.60 (0.3)</w:t>
            </w:r>
          </w:p>
        </w:tc>
        <w:tc>
          <w:tcPr>
            <w:tcW w:w="831" w:type="pct"/>
            <w:tcBorders>
              <w:top w:val="nil"/>
              <w:left w:val="nil"/>
              <w:bottom w:val="nil"/>
              <w:right w:val="nil"/>
            </w:tcBorders>
            <w:shd w:val="clear" w:color="auto" w:fill="D9D9D9" w:themeFill="background1" w:themeFillShade="D9"/>
            <w:vAlign w:val="center"/>
          </w:tcPr>
          <w:p w14:paraId="06523A24"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1.47 (0.2)</w:t>
            </w:r>
          </w:p>
        </w:tc>
        <w:tc>
          <w:tcPr>
            <w:tcW w:w="865" w:type="pct"/>
            <w:tcBorders>
              <w:top w:val="nil"/>
              <w:left w:val="nil"/>
              <w:bottom w:val="nil"/>
              <w:right w:val="nil"/>
            </w:tcBorders>
            <w:shd w:val="clear" w:color="auto" w:fill="D9D9D9" w:themeFill="background1" w:themeFillShade="D9"/>
            <w:vAlign w:val="center"/>
          </w:tcPr>
          <w:p w14:paraId="1B8D198C"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1.83 (0.3)</w:t>
            </w:r>
          </w:p>
        </w:tc>
        <w:tc>
          <w:tcPr>
            <w:tcW w:w="775" w:type="pct"/>
            <w:tcBorders>
              <w:top w:val="nil"/>
              <w:left w:val="nil"/>
              <w:bottom w:val="nil"/>
              <w:right w:val="nil"/>
            </w:tcBorders>
            <w:shd w:val="clear" w:color="auto" w:fill="D9D9D9" w:themeFill="background1" w:themeFillShade="D9"/>
            <w:vAlign w:val="center"/>
          </w:tcPr>
          <w:p w14:paraId="0F19D89E"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sz w:val="20"/>
                <w:szCs w:val="20"/>
                <w:lang w:val="it-IT"/>
              </w:rPr>
              <w:t>1.75 (0.2)</w:t>
            </w:r>
          </w:p>
        </w:tc>
        <w:tc>
          <w:tcPr>
            <w:tcW w:w="570" w:type="pct"/>
            <w:tcBorders>
              <w:top w:val="nil"/>
              <w:left w:val="nil"/>
              <w:bottom w:val="nil"/>
            </w:tcBorders>
            <w:shd w:val="clear" w:color="auto" w:fill="D9D9D9" w:themeFill="background1" w:themeFillShade="D9"/>
            <w:vAlign w:val="center"/>
          </w:tcPr>
          <w:p w14:paraId="6D97E72F" w14:textId="77777777" w:rsidR="00A150B0" w:rsidRPr="00A150B0" w:rsidRDefault="00A150B0" w:rsidP="009807FE">
            <w:pPr>
              <w:spacing w:after="0" w:line="360" w:lineRule="auto"/>
              <w:jc w:val="center"/>
              <w:rPr>
                <w:rFonts w:ascii="Cambria" w:hAnsi="Cambria" w:cs="Arial"/>
                <w:sz w:val="20"/>
                <w:szCs w:val="20"/>
                <w:lang w:val="it-IT"/>
              </w:rPr>
            </w:pPr>
            <w:r w:rsidRPr="00A150B0">
              <w:rPr>
                <w:rFonts w:ascii="Cambria" w:hAnsi="Cambria" w:cs="Arial"/>
                <w:bCs/>
                <w:sz w:val="20"/>
                <w:szCs w:val="20"/>
              </w:rPr>
              <w:t>&lt;0.01</w:t>
            </w:r>
          </w:p>
        </w:tc>
      </w:tr>
      <w:tr w:rsidR="00A150B0" w:rsidRPr="00141C45" w14:paraId="76D2771D" w14:textId="77777777" w:rsidTr="00FD2D3D">
        <w:trPr>
          <w:trHeight w:val="510"/>
        </w:trPr>
        <w:tc>
          <w:tcPr>
            <w:tcW w:w="1128" w:type="pct"/>
            <w:tcBorders>
              <w:top w:val="nil"/>
              <w:bottom w:val="nil"/>
              <w:right w:val="nil"/>
            </w:tcBorders>
            <w:shd w:val="clear" w:color="auto" w:fill="D9D9D9" w:themeFill="background1" w:themeFillShade="D9"/>
            <w:vAlign w:val="center"/>
          </w:tcPr>
          <w:p w14:paraId="72D435F0" w14:textId="77777777" w:rsidR="00A150B0" w:rsidRPr="00A150B0" w:rsidRDefault="00A150B0" w:rsidP="009807FE">
            <w:pPr>
              <w:spacing w:after="0" w:line="360" w:lineRule="auto"/>
              <w:rPr>
                <w:rFonts w:ascii="Cambria" w:hAnsi="Cambria" w:cs="Arial"/>
                <w:sz w:val="20"/>
                <w:szCs w:val="20"/>
              </w:rPr>
            </w:pPr>
            <w:proofErr w:type="spellStart"/>
            <w:r w:rsidRPr="00A150B0">
              <w:rPr>
                <w:rFonts w:ascii="Cambria" w:hAnsi="Cambria" w:cs="Arial"/>
                <w:sz w:val="20"/>
                <w:szCs w:val="20"/>
              </w:rPr>
              <w:t>Glx</w:t>
            </w:r>
            <w:proofErr w:type="spellEnd"/>
            <w:r w:rsidRPr="00A150B0">
              <w:rPr>
                <w:rFonts w:ascii="Cambria" w:hAnsi="Cambria" w:cs="Arial"/>
                <w:sz w:val="20"/>
                <w:szCs w:val="20"/>
              </w:rPr>
              <w:t>/H20</w:t>
            </w:r>
          </w:p>
        </w:tc>
        <w:tc>
          <w:tcPr>
            <w:tcW w:w="831" w:type="pct"/>
            <w:tcBorders>
              <w:top w:val="nil"/>
              <w:left w:val="nil"/>
              <w:bottom w:val="nil"/>
              <w:right w:val="nil"/>
            </w:tcBorders>
            <w:shd w:val="clear" w:color="auto" w:fill="D9D9D9" w:themeFill="background1" w:themeFillShade="D9"/>
            <w:vAlign w:val="center"/>
          </w:tcPr>
          <w:p w14:paraId="52262EA6"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1.26 (0.2)</w:t>
            </w:r>
          </w:p>
        </w:tc>
        <w:tc>
          <w:tcPr>
            <w:tcW w:w="831" w:type="pct"/>
            <w:tcBorders>
              <w:top w:val="nil"/>
              <w:left w:val="nil"/>
              <w:bottom w:val="nil"/>
              <w:right w:val="nil"/>
            </w:tcBorders>
            <w:shd w:val="clear" w:color="auto" w:fill="D9D9D9" w:themeFill="background1" w:themeFillShade="D9"/>
            <w:vAlign w:val="center"/>
          </w:tcPr>
          <w:p w14:paraId="1DD876E4"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1.36 (0.1)</w:t>
            </w:r>
          </w:p>
        </w:tc>
        <w:tc>
          <w:tcPr>
            <w:tcW w:w="865" w:type="pct"/>
            <w:tcBorders>
              <w:top w:val="nil"/>
              <w:left w:val="nil"/>
              <w:bottom w:val="nil"/>
              <w:right w:val="nil"/>
            </w:tcBorders>
            <w:shd w:val="clear" w:color="auto" w:fill="D9D9D9" w:themeFill="background1" w:themeFillShade="D9"/>
            <w:vAlign w:val="center"/>
          </w:tcPr>
          <w:p w14:paraId="1455C17A"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1.34 (0.2)</w:t>
            </w:r>
          </w:p>
        </w:tc>
        <w:tc>
          <w:tcPr>
            <w:tcW w:w="775" w:type="pct"/>
            <w:tcBorders>
              <w:top w:val="nil"/>
              <w:left w:val="nil"/>
              <w:bottom w:val="nil"/>
              <w:right w:val="nil"/>
            </w:tcBorders>
            <w:shd w:val="clear" w:color="auto" w:fill="D9D9D9" w:themeFill="background1" w:themeFillShade="D9"/>
            <w:vAlign w:val="center"/>
          </w:tcPr>
          <w:p w14:paraId="38EC2516"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1.44 (0.3)</w:t>
            </w:r>
          </w:p>
        </w:tc>
        <w:tc>
          <w:tcPr>
            <w:tcW w:w="570" w:type="pct"/>
            <w:tcBorders>
              <w:top w:val="nil"/>
              <w:left w:val="nil"/>
              <w:bottom w:val="nil"/>
            </w:tcBorders>
            <w:shd w:val="clear" w:color="auto" w:fill="D9D9D9" w:themeFill="background1" w:themeFillShade="D9"/>
            <w:vAlign w:val="center"/>
          </w:tcPr>
          <w:p w14:paraId="56578692"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0.28</w:t>
            </w:r>
          </w:p>
        </w:tc>
      </w:tr>
      <w:tr w:rsidR="00A150B0" w:rsidRPr="00141C45" w14:paraId="1CC97699" w14:textId="77777777" w:rsidTr="00FD2D3D">
        <w:trPr>
          <w:trHeight w:val="510"/>
        </w:trPr>
        <w:tc>
          <w:tcPr>
            <w:tcW w:w="1128" w:type="pct"/>
            <w:tcBorders>
              <w:top w:val="nil"/>
              <w:bottom w:val="nil"/>
              <w:right w:val="nil"/>
            </w:tcBorders>
            <w:shd w:val="clear" w:color="auto" w:fill="D9D9D9" w:themeFill="background1" w:themeFillShade="D9"/>
            <w:vAlign w:val="center"/>
          </w:tcPr>
          <w:p w14:paraId="033078D8" w14:textId="77777777" w:rsidR="00A150B0" w:rsidRPr="00A150B0" w:rsidRDefault="00A150B0" w:rsidP="009807FE">
            <w:pPr>
              <w:spacing w:after="0" w:line="360" w:lineRule="auto"/>
              <w:rPr>
                <w:rFonts w:ascii="Cambria" w:hAnsi="Cambria" w:cs="Arial"/>
                <w:sz w:val="20"/>
                <w:szCs w:val="20"/>
              </w:rPr>
            </w:pPr>
            <w:proofErr w:type="spellStart"/>
            <w:r w:rsidRPr="00A150B0">
              <w:rPr>
                <w:rFonts w:ascii="Cambria" w:hAnsi="Cambria" w:cs="Arial"/>
                <w:sz w:val="20"/>
                <w:szCs w:val="20"/>
              </w:rPr>
              <w:t>Glx</w:t>
            </w:r>
            <w:proofErr w:type="spellEnd"/>
            <w:r w:rsidRPr="00A150B0">
              <w:rPr>
                <w:rFonts w:ascii="Cambria" w:hAnsi="Cambria" w:cs="Arial"/>
                <w:sz w:val="20"/>
                <w:szCs w:val="20"/>
              </w:rPr>
              <w:t>/GABA</w:t>
            </w:r>
          </w:p>
        </w:tc>
        <w:tc>
          <w:tcPr>
            <w:tcW w:w="831" w:type="pct"/>
            <w:tcBorders>
              <w:top w:val="nil"/>
              <w:left w:val="nil"/>
              <w:bottom w:val="nil"/>
              <w:right w:val="nil"/>
            </w:tcBorders>
            <w:shd w:val="clear" w:color="auto" w:fill="D9D9D9" w:themeFill="background1" w:themeFillShade="D9"/>
            <w:vAlign w:val="center"/>
          </w:tcPr>
          <w:p w14:paraId="759899C2"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0.81 (0.2)</w:t>
            </w:r>
          </w:p>
        </w:tc>
        <w:tc>
          <w:tcPr>
            <w:tcW w:w="831" w:type="pct"/>
            <w:tcBorders>
              <w:top w:val="nil"/>
              <w:left w:val="nil"/>
              <w:bottom w:val="nil"/>
              <w:right w:val="nil"/>
            </w:tcBorders>
            <w:shd w:val="clear" w:color="auto" w:fill="D9D9D9" w:themeFill="background1" w:themeFillShade="D9"/>
            <w:vAlign w:val="center"/>
          </w:tcPr>
          <w:p w14:paraId="7A4F9685"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0.94(0.1)</w:t>
            </w:r>
          </w:p>
        </w:tc>
        <w:tc>
          <w:tcPr>
            <w:tcW w:w="865" w:type="pct"/>
            <w:tcBorders>
              <w:top w:val="nil"/>
              <w:left w:val="nil"/>
              <w:bottom w:val="nil"/>
              <w:right w:val="nil"/>
            </w:tcBorders>
            <w:shd w:val="clear" w:color="auto" w:fill="D9D9D9" w:themeFill="background1" w:themeFillShade="D9"/>
            <w:vAlign w:val="center"/>
          </w:tcPr>
          <w:p w14:paraId="5A4E6493"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0.74 (0.1)</w:t>
            </w:r>
          </w:p>
        </w:tc>
        <w:tc>
          <w:tcPr>
            <w:tcW w:w="775" w:type="pct"/>
            <w:tcBorders>
              <w:top w:val="nil"/>
              <w:left w:val="nil"/>
              <w:bottom w:val="nil"/>
              <w:right w:val="nil"/>
            </w:tcBorders>
            <w:shd w:val="clear" w:color="auto" w:fill="D9D9D9" w:themeFill="background1" w:themeFillShade="D9"/>
            <w:vAlign w:val="center"/>
          </w:tcPr>
          <w:p w14:paraId="0C7549C6"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0.84 (0.2)</w:t>
            </w:r>
          </w:p>
        </w:tc>
        <w:tc>
          <w:tcPr>
            <w:tcW w:w="570" w:type="pct"/>
            <w:tcBorders>
              <w:top w:val="nil"/>
              <w:left w:val="nil"/>
              <w:bottom w:val="nil"/>
            </w:tcBorders>
            <w:shd w:val="clear" w:color="auto" w:fill="D9D9D9" w:themeFill="background1" w:themeFillShade="D9"/>
            <w:vAlign w:val="center"/>
          </w:tcPr>
          <w:p w14:paraId="0A9BF9C3" w14:textId="77777777" w:rsidR="00A150B0" w:rsidRPr="00A150B0" w:rsidRDefault="00A150B0" w:rsidP="009807FE">
            <w:pPr>
              <w:spacing w:after="0" w:line="360" w:lineRule="auto"/>
              <w:jc w:val="center"/>
              <w:rPr>
                <w:rFonts w:ascii="Cambria" w:hAnsi="Cambria" w:cs="Arial"/>
                <w:sz w:val="20"/>
                <w:szCs w:val="20"/>
              </w:rPr>
            </w:pPr>
            <w:r w:rsidRPr="00A150B0">
              <w:rPr>
                <w:rFonts w:ascii="Cambria" w:hAnsi="Cambria" w:cs="Arial"/>
                <w:sz w:val="20"/>
                <w:szCs w:val="20"/>
              </w:rPr>
              <w:t>0.08</w:t>
            </w:r>
          </w:p>
        </w:tc>
      </w:tr>
      <w:tr w:rsidR="00A150B0" w14:paraId="23573B6C" w14:textId="77777777" w:rsidTr="00FD2D3D">
        <w:trPr>
          <w:trHeight w:val="510"/>
        </w:trPr>
        <w:tc>
          <w:tcPr>
            <w:tcW w:w="5000" w:type="pct"/>
            <w:gridSpan w:val="6"/>
            <w:tcBorders>
              <w:top w:val="nil"/>
            </w:tcBorders>
            <w:shd w:val="clear" w:color="auto" w:fill="D9D9D9" w:themeFill="background1" w:themeFillShade="D9"/>
            <w:vAlign w:val="center"/>
          </w:tcPr>
          <w:p w14:paraId="77D78D5E" w14:textId="77777777" w:rsidR="00A150B0" w:rsidRPr="00A150B0" w:rsidRDefault="00A150B0" w:rsidP="009807FE">
            <w:pPr>
              <w:spacing w:line="276" w:lineRule="auto"/>
              <w:jc w:val="center"/>
              <w:rPr>
                <w:rFonts w:ascii="Cambria" w:hAnsi="Cambria" w:cs="Arial"/>
                <w:sz w:val="20"/>
                <w:szCs w:val="20"/>
              </w:rPr>
            </w:pPr>
            <w:r w:rsidRPr="00A150B0">
              <w:rPr>
                <w:rFonts w:ascii="Cambria" w:hAnsi="Cambria" w:cs="Arial"/>
                <w:sz w:val="20"/>
                <w:szCs w:val="20"/>
              </w:rPr>
              <w:t xml:space="preserve">GABA/H2O; GABA relative to water, </w:t>
            </w:r>
            <w:proofErr w:type="spellStart"/>
            <w:r w:rsidRPr="00A150B0">
              <w:rPr>
                <w:rFonts w:ascii="Cambria" w:hAnsi="Cambria" w:cs="Arial"/>
                <w:sz w:val="20"/>
                <w:szCs w:val="20"/>
              </w:rPr>
              <w:t>Glx</w:t>
            </w:r>
            <w:proofErr w:type="spellEnd"/>
            <w:r w:rsidRPr="00A150B0">
              <w:rPr>
                <w:rFonts w:ascii="Cambria" w:hAnsi="Cambria" w:cs="Arial"/>
                <w:sz w:val="20"/>
                <w:szCs w:val="20"/>
              </w:rPr>
              <w:t xml:space="preserve">/H20; glutamate relative to water, </w:t>
            </w:r>
            <w:proofErr w:type="spellStart"/>
            <w:r w:rsidRPr="00A150B0">
              <w:rPr>
                <w:rFonts w:ascii="Cambria" w:hAnsi="Cambria" w:cs="Arial"/>
                <w:sz w:val="20"/>
                <w:szCs w:val="20"/>
              </w:rPr>
              <w:t>Glx</w:t>
            </w:r>
            <w:proofErr w:type="spellEnd"/>
            <w:r w:rsidRPr="00A150B0">
              <w:rPr>
                <w:rFonts w:ascii="Cambria" w:hAnsi="Cambria" w:cs="Arial"/>
                <w:sz w:val="20"/>
                <w:szCs w:val="20"/>
              </w:rPr>
              <w:t>/GABA; Glutamate to GABA ratio</w:t>
            </w:r>
          </w:p>
        </w:tc>
      </w:tr>
    </w:tbl>
    <w:p w14:paraId="2316E5B1" w14:textId="77777777" w:rsidR="004F7976" w:rsidRDefault="004F7976" w:rsidP="004F7976">
      <w:pPr>
        <w:pStyle w:val="BodyA"/>
        <w:widowControl w:val="0"/>
        <w:ind w:left="216" w:hanging="216"/>
      </w:pPr>
    </w:p>
    <w:p w14:paraId="78476C49" w14:textId="77777777" w:rsidR="004F7976" w:rsidRDefault="004F7976" w:rsidP="004F7976">
      <w:pPr>
        <w:pStyle w:val="BodyA"/>
        <w:spacing w:line="480" w:lineRule="auto"/>
        <w:jc w:val="both"/>
      </w:pPr>
      <w:r>
        <w:rPr>
          <w:lang w:val="en-US"/>
        </w:rPr>
        <w:t xml:space="preserve">Post-hoc analysis for neurophysiological measures revealed Painful </w:t>
      </w:r>
      <w:proofErr w:type="spellStart"/>
      <w:r>
        <w:rPr>
          <w:lang w:val="en-US"/>
        </w:rPr>
        <w:t>DPN</w:t>
      </w:r>
      <w:proofErr w:type="spellEnd"/>
      <w:r>
        <w:rPr>
          <w:lang w:val="en-US"/>
        </w:rPr>
        <w:t xml:space="preserve"> had significantly higher NISLL+7 (p=&lt;0.01) compared to Painless </w:t>
      </w:r>
      <w:proofErr w:type="spellStart"/>
      <w:r>
        <w:rPr>
          <w:lang w:val="en-US"/>
        </w:rPr>
        <w:t>DPN</w:t>
      </w:r>
      <w:proofErr w:type="spellEnd"/>
      <w:r>
        <w:rPr>
          <w:lang w:val="en-US"/>
        </w:rPr>
        <w:t xml:space="preserve"> but had equally reduced </w:t>
      </w:r>
      <w:proofErr w:type="spellStart"/>
      <w:r>
        <w:rPr>
          <w:lang w:val="en-US"/>
        </w:rPr>
        <w:t>IENFD</w:t>
      </w:r>
      <w:proofErr w:type="spellEnd"/>
      <w:r>
        <w:rPr>
          <w:lang w:val="en-US"/>
        </w:rPr>
        <w:t xml:space="preserve"> (p=0.72) and </w:t>
      </w:r>
      <w:proofErr w:type="spellStart"/>
      <w:r>
        <w:rPr>
          <w:lang w:val="en-US"/>
        </w:rPr>
        <w:t>SENFD</w:t>
      </w:r>
      <w:proofErr w:type="spellEnd"/>
      <w:r>
        <w:rPr>
          <w:lang w:val="en-US"/>
        </w:rPr>
        <w:t xml:space="preserve"> (p=0.29) with no significant differences between them. </w:t>
      </w:r>
    </w:p>
    <w:p w14:paraId="67122FA4" w14:textId="77777777" w:rsidR="004F7976" w:rsidRDefault="004F7976" w:rsidP="004F7976">
      <w:pPr>
        <w:pStyle w:val="BodyA"/>
        <w:spacing w:line="480" w:lineRule="auto"/>
        <w:jc w:val="both"/>
      </w:pPr>
      <w:r>
        <w:rPr>
          <w:lang w:val="en-US"/>
        </w:rPr>
        <w:t xml:space="preserve">The combined </w:t>
      </w:r>
      <w:proofErr w:type="spellStart"/>
      <w:r>
        <w:rPr>
          <w:lang w:val="en-US"/>
        </w:rPr>
        <w:t>DPN</w:t>
      </w:r>
      <w:proofErr w:type="spellEnd"/>
      <w:r>
        <w:rPr>
          <w:lang w:val="en-US"/>
        </w:rPr>
        <w:t xml:space="preserve"> group (painful and painless </w:t>
      </w:r>
      <w:proofErr w:type="spellStart"/>
      <w:r>
        <w:rPr>
          <w:lang w:val="en-US"/>
        </w:rPr>
        <w:t>DPN</w:t>
      </w:r>
      <w:proofErr w:type="spellEnd"/>
      <w:r>
        <w:rPr>
          <w:lang w:val="en-US"/>
        </w:rPr>
        <w:t xml:space="preserve">) had a significantly lower GABA: H2O ratio compared to that of the no </w:t>
      </w:r>
      <w:proofErr w:type="spellStart"/>
      <w:r>
        <w:rPr>
          <w:lang w:val="en-US"/>
        </w:rPr>
        <w:t>DPN</w:t>
      </w:r>
      <w:proofErr w:type="spellEnd"/>
      <w:r>
        <w:rPr>
          <w:lang w:val="en-US"/>
        </w:rPr>
        <w:t xml:space="preserve"> group (</w:t>
      </w:r>
      <w:proofErr w:type="spellStart"/>
      <w:r>
        <w:rPr>
          <w:lang w:val="en-US"/>
        </w:rPr>
        <w:t>HV</w:t>
      </w:r>
      <w:proofErr w:type="spellEnd"/>
      <w:r>
        <w:rPr>
          <w:lang w:val="en-US"/>
        </w:rPr>
        <w:t xml:space="preserve"> and No </w:t>
      </w:r>
      <w:proofErr w:type="spellStart"/>
      <w:r>
        <w:rPr>
          <w:lang w:val="en-US"/>
        </w:rPr>
        <w:t>DPN</w:t>
      </w:r>
      <w:proofErr w:type="spellEnd"/>
      <w:r>
        <w:rPr>
          <w:lang w:val="en-US"/>
        </w:rPr>
        <w:t xml:space="preserve">) (1.53(0.2) vs 1.79(0.3); </w:t>
      </w:r>
      <w:proofErr w:type="spellStart"/>
      <w:r>
        <w:rPr>
          <w:lang w:val="en-US"/>
        </w:rPr>
        <w:t>ANCOVA</w:t>
      </w:r>
      <w:proofErr w:type="spellEnd"/>
      <w:r>
        <w:rPr>
          <w:lang w:val="en-US"/>
        </w:rPr>
        <w:t xml:space="preserve"> p=&lt;0.01 (Figure 6.2).</w:t>
      </w:r>
    </w:p>
    <w:p w14:paraId="3FBAA1FC" w14:textId="7C086A27" w:rsidR="004F7976" w:rsidRDefault="004F7976" w:rsidP="004F7976">
      <w:pPr>
        <w:pStyle w:val="BodyA"/>
        <w:spacing w:line="360" w:lineRule="auto"/>
        <w:jc w:val="both"/>
      </w:pPr>
      <w:r>
        <w:rPr>
          <w:noProof/>
          <w:lang w:eastAsia="zh-CN"/>
        </w:rPr>
        <w:drawing>
          <wp:inline distT="0" distB="0" distL="0" distR="0" wp14:anchorId="70D90DA7" wp14:editId="51EDA472">
            <wp:extent cx="5727700" cy="4040921"/>
            <wp:effectExtent l="0" t="0" r="0" b="0"/>
            <wp:docPr id="1073741839" name="officeArt object" descr="image15.tif"/>
            <wp:cNvGraphicFramePr/>
            <a:graphic xmlns:a="http://schemas.openxmlformats.org/drawingml/2006/main">
              <a:graphicData uri="http://schemas.openxmlformats.org/drawingml/2006/picture">
                <pic:pic xmlns:pic="http://schemas.openxmlformats.org/drawingml/2006/picture">
                  <pic:nvPicPr>
                    <pic:cNvPr id="1073741839" name="image15.tif" descr="image15.tif"/>
                    <pic:cNvPicPr>
                      <a:picLocks noChangeAspect="1"/>
                    </pic:cNvPicPr>
                  </pic:nvPicPr>
                  <pic:blipFill>
                    <a:blip r:embed="rId22"/>
                    <a:stretch>
                      <a:fillRect/>
                    </a:stretch>
                  </pic:blipFill>
                  <pic:spPr>
                    <a:xfrm>
                      <a:off x="0" y="0"/>
                      <a:ext cx="5727700" cy="4040921"/>
                    </a:xfrm>
                    <a:prstGeom prst="rect">
                      <a:avLst/>
                    </a:prstGeom>
                    <a:ln w="12700" cap="flat">
                      <a:noFill/>
                      <a:miter lim="400000"/>
                    </a:ln>
                    <a:effectLst/>
                  </pic:spPr>
                </pic:pic>
              </a:graphicData>
            </a:graphic>
          </wp:inline>
        </w:drawing>
      </w:r>
      <w:r>
        <w:rPr>
          <w:b/>
          <w:bCs/>
          <w:lang w:val="en-US"/>
        </w:rPr>
        <w:t xml:space="preserve">Figure 6.2 Mean Thalamic GABA/H20 </w:t>
      </w:r>
      <w:r w:rsidR="00B44905">
        <w:rPr>
          <w:b/>
          <w:bCs/>
          <w:lang w:val="en-US"/>
        </w:rPr>
        <w:t>between</w:t>
      </w:r>
      <w:r>
        <w:rPr>
          <w:b/>
          <w:bCs/>
          <w:lang w:val="en-US"/>
        </w:rPr>
        <w:t xml:space="preserve"> </w:t>
      </w:r>
      <w:proofErr w:type="spellStart"/>
      <w:r>
        <w:rPr>
          <w:b/>
          <w:bCs/>
          <w:lang w:val="en-US"/>
        </w:rPr>
        <w:t>DPN</w:t>
      </w:r>
      <w:proofErr w:type="spellEnd"/>
      <w:r>
        <w:rPr>
          <w:b/>
          <w:bCs/>
          <w:lang w:val="en-US"/>
        </w:rPr>
        <w:t xml:space="preserve"> (painful and painless </w:t>
      </w:r>
      <w:proofErr w:type="spellStart"/>
      <w:r>
        <w:rPr>
          <w:b/>
          <w:bCs/>
          <w:lang w:val="en-US"/>
        </w:rPr>
        <w:t>DPN</w:t>
      </w:r>
      <w:proofErr w:type="spellEnd"/>
      <w:r>
        <w:rPr>
          <w:b/>
          <w:bCs/>
          <w:lang w:val="en-US"/>
        </w:rPr>
        <w:t xml:space="preserve">) and No </w:t>
      </w:r>
      <w:proofErr w:type="spellStart"/>
      <w:r>
        <w:rPr>
          <w:b/>
          <w:bCs/>
          <w:lang w:val="en-US"/>
        </w:rPr>
        <w:t>DPN</w:t>
      </w:r>
      <w:proofErr w:type="spellEnd"/>
      <w:r>
        <w:rPr>
          <w:b/>
          <w:bCs/>
          <w:lang w:val="en-US"/>
        </w:rPr>
        <w:t xml:space="preserve"> (</w:t>
      </w:r>
      <w:proofErr w:type="spellStart"/>
      <w:r>
        <w:rPr>
          <w:b/>
          <w:bCs/>
          <w:lang w:val="en-US"/>
        </w:rPr>
        <w:t>HV</w:t>
      </w:r>
      <w:proofErr w:type="spellEnd"/>
      <w:r>
        <w:rPr>
          <w:b/>
          <w:bCs/>
          <w:lang w:val="en-US"/>
        </w:rPr>
        <w:t xml:space="preserve"> and T2DM No </w:t>
      </w:r>
      <w:proofErr w:type="spellStart"/>
      <w:r>
        <w:rPr>
          <w:b/>
          <w:bCs/>
          <w:lang w:val="en-US"/>
        </w:rPr>
        <w:t>DPN</w:t>
      </w:r>
      <w:proofErr w:type="spellEnd"/>
      <w:r>
        <w:rPr>
          <w:b/>
          <w:bCs/>
          <w:lang w:val="en-US"/>
        </w:rPr>
        <w:t>) Groups</w:t>
      </w:r>
    </w:p>
    <w:p w14:paraId="75E5209A" w14:textId="77777777" w:rsidR="004F7976" w:rsidRDefault="004F7976" w:rsidP="004F7976">
      <w:pPr>
        <w:pStyle w:val="BodyA"/>
        <w:spacing w:line="480" w:lineRule="auto"/>
        <w:jc w:val="both"/>
      </w:pPr>
      <w:r>
        <w:rPr>
          <w:lang w:val="en-US"/>
        </w:rPr>
        <w:t>Next, we examined the four constituent groups (</w:t>
      </w:r>
      <w:proofErr w:type="spellStart"/>
      <w:r>
        <w:rPr>
          <w:lang w:val="en-US"/>
        </w:rPr>
        <w:t>HV</w:t>
      </w:r>
      <w:proofErr w:type="spellEnd"/>
      <w:r>
        <w:rPr>
          <w:lang w:val="en-US"/>
        </w:rPr>
        <w:t xml:space="preserve">, No </w:t>
      </w:r>
      <w:proofErr w:type="spellStart"/>
      <w:r>
        <w:rPr>
          <w:lang w:val="en-US"/>
        </w:rPr>
        <w:t>DPN</w:t>
      </w:r>
      <w:proofErr w:type="spellEnd"/>
      <w:r>
        <w:rPr>
          <w:lang w:val="en-US"/>
        </w:rPr>
        <w:t xml:space="preserve">, Painless </w:t>
      </w:r>
      <w:proofErr w:type="spellStart"/>
      <w:r>
        <w:rPr>
          <w:lang w:val="en-US"/>
        </w:rPr>
        <w:t>DPN</w:t>
      </w:r>
      <w:proofErr w:type="spellEnd"/>
      <w:r>
        <w:rPr>
          <w:lang w:val="en-US"/>
        </w:rPr>
        <w:t xml:space="preserve"> and Painful </w:t>
      </w:r>
      <w:proofErr w:type="spellStart"/>
      <w:r>
        <w:rPr>
          <w:lang w:val="en-US"/>
        </w:rPr>
        <w:t>DPN</w:t>
      </w:r>
      <w:proofErr w:type="spellEnd"/>
      <w:r>
        <w:rPr>
          <w:lang w:val="en-US"/>
        </w:rPr>
        <w:t xml:space="preserve">) and found that patients with painless </w:t>
      </w:r>
      <w:proofErr w:type="spellStart"/>
      <w:r>
        <w:rPr>
          <w:lang w:val="en-US"/>
        </w:rPr>
        <w:t>DPN</w:t>
      </w:r>
      <w:proofErr w:type="spellEnd"/>
      <w:r>
        <w:rPr>
          <w:lang w:val="en-US"/>
        </w:rPr>
        <w:t xml:space="preserve"> had significantly lower GABA:H20 compared to the means of the other groups (Table 6.2, Figure 6.3). Subsequent post-hoc </w:t>
      </w:r>
      <w:r>
        <w:rPr>
          <w:lang w:val="en-US"/>
        </w:rPr>
        <w:lastRenderedPageBreak/>
        <w:t xml:space="preserve">analysis showed </w:t>
      </w:r>
      <w:proofErr w:type="gramStart"/>
      <w:r>
        <w:rPr>
          <w:lang w:val="en-US"/>
        </w:rPr>
        <w:t>GABA:H2O</w:t>
      </w:r>
      <w:proofErr w:type="gramEnd"/>
      <w:r>
        <w:rPr>
          <w:lang w:val="en-US"/>
        </w:rPr>
        <w:t xml:space="preserve"> in painless </w:t>
      </w:r>
      <w:proofErr w:type="spellStart"/>
      <w:r>
        <w:rPr>
          <w:lang w:val="en-US"/>
        </w:rPr>
        <w:t>DPN</w:t>
      </w:r>
      <w:proofErr w:type="spellEnd"/>
      <w:r>
        <w:rPr>
          <w:lang w:val="en-US"/>
        </w:rPr>
        <w:t xml:space="preserve"> was significantly lower compared to </w:t>
      </w:r>
      <w:proofErr w:type="spellStart"/>
      <w:r>
        <w:rPr>
          <w:lang w:val="en-US"/>
        </w:rPr>
        <w:t>HV</w:t>
      </w:r>
      <w:proofErr w:type="spellEnd"/>
      <w:r>
        <w:rPr>
          <w:lang w:val="en-US"/>
        </w:rPr>
        <w:t xml:space="preserve"> (p= 0.01) and No </w:t>
      </w:r>
      <w:proofErr w:type="spellStart"/>
      <w:r>
        <w:rPr>
          <w:lang w:val="en-US"/>
        </w:rPr>
        <w:t>DPN</w:t>
      </w:r>
      <w:proofErr w:type="spellEnd"/>
      <w:r>
        <w:rPr>
          <w:lang w:val="en-US"/>
        </w:rPr>
        <w:t xml:space="preserve"> (p= &lt;0.01). There was no significant difference between painful and painless </w:t>
      </w:r>
      <w:proofErr w:type="spellStart"/>
      <w:r>
        <w:rPr>
          <w:lang w:val="en-US"/>
        </w:rPr>
        <w:t>DPN</w:t>
      </w:r>
      <w:proofErr w:type="spellEnd"/>
      <w:r>
        <w:rPr>
          <w:lang w:val="en-US"/>
        </w:rPr>
        <w:t xml:space="preserve"> (p=0.22)</w:t>
      </w:r>
    </w:p>
    <w:p w14:paraId="7220AEE6" w14:textId="1E93855F" w:rsidR="004F7976" w:rsidRDefault="004F7976" w:rsidP="00C40DFD">
      <w:pPr>
        <w:pStyle w:val="BodyA"/>
        <w:spacing w:line="360" w:lineRule="auto"/>
        <w:rPr>
          <w:b/>
          <w:bCs/>
        </w:rPr>
      </w:pPr>
      <w:r>
        <w:rPr>
          <w:noProof/>
          <w:lang w:eastAsia="zh-CN"/>
        </w:rPr>
        <w:drawing>
          <wp:inline distT="0" distB="0" distL="0" distR="0" wp14:anchorId="24CA8F18" wp14:editId="09E051DB">
            <wp:extent cx="5727700" cy="3661050"/>
            <wp:effectExtent l="0" t="0" r="0" b="0"/>
            <wp:docPr id="1073741840" name="officeArt object" descr="image16.tif"/>
            <wp:cNvGraphicFramePr/>
            <a:graphic xmlns:a="http://schemas.openxmlformats.org/drawingml/2006/main">
              <a:graphicData uri="http://schemas.openxmlformats.org/drawingml/2006/picture">
                <pic:pic xmlns:pic="http://schemas.openxmlformats.org/drawingml/2006/picture">
                  <pic:nvPicPr>
                    <pic:cNvPr id="1073741840" name="image16.tif" descr="image16.tif"/>
                    <pic:cNvPicPr>
                      <a:picLocks noChangeAspect="1"/>
                    </pic:cNvPicPr>
                  </pic:nvPicPr>
                  <pic:blipFill>
                    <a:blip r:embed="rId23"/>
                    <a:stretch>
                      <a:fillRect/>
                    </a:stretch>
                  </pic:blipFill>
                  <pic:spPr>
                    <a:xfrm>
                      <a:off x="0" y="0"/>
                      <a:ext cx="5727700" cy="3661050"/>
                    </a:xfrm>
                    <a:prstGeom prst="rect">
                      <a:avLst/>
                    </a:prstGeom>
                    <a:ln w="12700" cap="flat">
                      <a:noFill/>
                      <a:miter lim="400000"/>
                    </a:ln>
                    <a:effectLst/>
                  </pic:spPr>
                </pic:pic>
              </a:graphicData>
            </a:graphic>
          </wp:inline>
        </w:drawing>
      </w:r>
      <w:r>
        <w:rPr>
          <w:b/>
          <w:bCs/>
          <w:lang w:val="en-US"/>
        </w:rPr>
        <w:t xml:space="preserve">Figure 6.3 Mean Thalamic GABA/H20 </w:t>
      </w:r>
      <w:r w:rsidR="00B44905">
        <w:rPr>
          <w:b/>
          <w:bCs/>
          <w:lang w:val="en-US"/>
        </w:rPr>
        <w:t>between</w:t>
      </w:r>
      <w:r>
        <w:rPr>
          <w:b/>
          <w:bCs/>
          <w:lang w:val="en-US"/>
        </w:rPr>
        <w:t xml:space="preserve"> All Four Groups</w:t>
      </w:r>
    </w:p>
    <w:p w14:paraId="69818A22" w14:textId="77777777" w:rsidR="00C40DFD" w:rsidRDefault="00C40DFD" w:rsidP="004F7976">
      <w:pPr>
        <w:pStyle w:val="BodyA"/>
        <w:spacing w:line="480" w:lineRule="auto"/>
        <w:jc w:val="both"/>
        <w:rPr>
          <w:lang w:val="en-US"/>
        </w:rPr>
      </w:pPr>
    </w:p>
    <w:p w14:paraId="6AE2B09A" w14:textId="46F2BE76" w:rsidR="004F7976" w:rsidRDefault="004F7976" w:rsidP="004F7976">
      <w:pPr>
        <w:pStyle w:val="BodyA"/>
        <w:spacing w:line="480" w:lineRule="auto"/>
        <w:jc w:val="both"/>
      </w:pPr>
      <w:r>
        <w:rPr>
          <w:lang w:val="en-US"/>
        </w:rPr>
        <w:t xml:space="preserve">There was a significant negative correlation between NISLL+7 and GABA/H2O ratio (r=-0.321; p=0.03), suggesting patients with higher </w:t>
      </w:r>
      <w:proofErr w:type="spellStart"/>
      <w:r>
        <w:rPr>
          <w:lang w:val="en-US"/>
        </w:rPr>
        <w:t>NISLL</w:t>
      </w:r>
      <w:proofErr w:type="spellEnd"/>
      <w:r>
        <w:rPr>
          <w:lang w:val="en-US"/>
        </w:rPr>
        <w:t xml:space="preserve"> score or more severe neuropathy had lower GABA score (Figure 6.4)</w:t>
      </w:r>
    </w:p>
    <w:p w14:paraId="159DF850" w14:textId="77777777" w:rsidR="004F7976" w:rsidRDefault="004F7976" w:rsidP="004F7976">
      <w:pPr>
        <w:pStyle w:val="BodyA"/>
        <w:spacing w:line="360" w:lineRule="auto"/>
        <w:jc w:val="both"/>
        <w:rPr>
          <w:rFonts w:ascii="Arial" w:eastAsia="Arial" w:hAnsi="Arial" w:cs="Arial"/>
        </w:rPr>
      </w:pPr>
    </w:p>
    <w:p w14:paraId="684BCBFC" w14:textId="77777777" w:rsidR="004F7976" w:rsidRDefault="004F7976" w:rsidP="004F7976">
      <w:pPr>
        <w:pStyle w:val="BodyA"/>
        <w:spacing w:line="360" w:lineRule="auto"/>
        <w:jc w:val="both"/>
        <w:rPr>
          <w:rFonts w:ascii="Arial" w:eastAsia="Arial" w:hAnsi="Arial" w:cs="Arial"/>
        </w:rPr>
      </w:pPr>
    </w:p>
    <w:p w14:paraId="3EDD61DB" w14:textId="77777777" w:rsidR="004F7976" w:rsidRDefault="004F7976" w:rsidP="004F7976">
      <w:pPr>
        <w:pStyle w:val="BodyA"/>
        <w:spacing w:line="360" w:lineRule="auto"/>
        <w:jc w:val="both"/>
      </w:pPr>
      <w:r>
        <w:rPr>
          <w:noProof/>
          <w:lang w:eastAsia="zh-CN"/>
        </w:rPr>
        <w:lastRenderedPageBreak/>
        <mc:AlternateContent>
          <mc:Choice Requires="wps">
            <w:drawing>
              <wp:anchor distT="0" distB="0" distL="0" distR="0" simplePos="0" relativeHeight="251660288" behindDoc="0" locked="0" layoutInCell="1" allowOverlap="1" wp14:anchorId="7DB0F2A1" wp14:editId="085913E9">
                <wp:simplePos x="0" y="0"/>
                <wp:positionH relativeFrom="column">
                  <wp:posOffset>2175930</wp:posOffset>
                </wp:positionH>
                <wp:positionV relativeFrom="line">
                  <wp:posOffset>2345265</wp:posOffset>
                </wp:positionV>
                <wp:extent cx="1227668" cy="278976"/>
                <wp:effectExtent l="0" t="0" r="0" b="0"/>
                <wp:wrapNone/>
                <wp:docPr id="1073741841" name="officeArt object" descr="Text Box 37"/>
                <wp:cNvGraphicFramePr/>
                <a:graphic xmlns:a="http://schemas.openxmlformats.org/drawingml/2006/main">
                  <a:graphicData uri="http://schemas.microsoft.com/office/word/2010/wordprocessingShape">
                    <wps:wsp>
                      <wps:cNvSpPr txBox="1"/>
                      <wps:spPr>
                        <a:xfrm>
                          <a:off x="0" y="0"/>
                          <a:ext cx="1227668" cy="278976"/>
                        </a:xfrm>
                        <a:prstGeom prst="rect">
                          <a:avLst/>
                        </a:prstGeom>
                        <a:solidFill>
                          <a:srgbClr val="FFFFFF"/>
                        </a:solidFill>
                        <a:ln w="6350" cap="flat">
                          <a:solidFill>
                            <a:srgbClr val="000000"/>
                          </a:solidFill>
                          <a:prstDash val="solid"/>
                          <a:round/>
                        </a:ln>
                        <a:effectLst/>
                      </wps:spPr>
                      <wps:txbx>
                        <w:txbxContent>
                          <w:p w14:paraId="6832BDF7" w14:textId="77777777" w:rsidR="005F20A7" w:rsidRDefault="005F20A7" w:rsidP="004F7976">
                            <w:pPr>
                              <w:pStyle w:val="NormalWeb"/>
                              <w:spacing w:before="2" w:after="2"/>
                            </w:pPr>
                            <w:r>
                              <w:rPr>
                                <w:rFonts w:ascii="Arial" w:hAnsi="Arial"/>
                                <w:b/>
                                <w:bCs/>
                                <w:color w:val="7030A0"/>
                                <w:kern w:val="24"/>
                                <w:u w:color="7030A0"/>
                                <w:lang w:val="en-US"/>
                              </w:rPr>
                              <w:t>r= -0.321; p=0.03</w:t>
                            </w:r>
                          </w:p>
                        </w:txbxContent>
                      </wps:txbx>
                      <wps:bodyPr wrap="square" lIns="45718" tIns="45718" rIns="45718" bIns="45718" numCol="1" anchor="t">
                        <a:noAutofit/>
                      </wps:bodyPr>
                    </wps:wsp>
                  </a:graphicData>
                </a:graphic>
              </wp:anchor>
            </w:drawing>
          </mc:Choice>
          <mc:Fallback>
            <w:pict>
              <v:shapetype w14:anchorId="7DB0F2A1" id="_x0000_t202" coordsize="21600,21600" o:spt="202" path="m,l,21600r21600,l21600,xe">
                <v:stroke joinstyle="miter"/>
                <v:path gradientshapeok="t" o:connecttype="rect"/>
              </v:shapetype>
              <v:shape id="officeArt object" o:spid="_x0000_s1026" type="#_x0000_t202" alt="Text Box 37" style="position:absolute;left:0;text-align:left;margin-left:171.35pt;margin-top:184.65pt;width:96.65pt;height:21.95pt;z-index:251660288;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" strokeweight=".5pt">
                <v:stroke joinstyle="round"/>
                <v:textbox inset="1.2699mm,1.2699mm,1.2699mm,1.2699mm">
                  <w:txbxContent>
                    <w:p w14:paraId="6832BDF7" w14:textId="77777777" w:rsidR="005F20A7" w:rsidRDefault="005F20A7" w:rsidP="004F7976">
                      <w:pPr>
                        <w:pStyle w:val="NormalWeb"/>
                        <w:spacing w:before="2" w:after="2"/>
                      </w:pPr>
                      <w:r>
                        <w:rPr>
                          <w:rFonts w:ascii="Arial" w:hAnsi="Arial"/>
                          <w:b/>
                          <w:bCs/>
                          <w:color w:val="7030A0"/>
                          <w:kern w:val="24"/>
                          <w:u w:color="7030A0"/>
                          <w:lang w:val="en-US"/>
                        </w:rPr>
                        <w:t>r= -0.321; p=0.03</w:t>
                      </w:r>
                    </w:p>
                  </w:txbxContent>
                </v:textbox>
                <w10:wrap anchory="line"/>
              </v:shape>
            </w:pict>
          </mc:Fallback>
        </mc:AlternateContent>
      </w:r>
      <w:r>
        <w:rPr>
          <w:noProof/>
          <w:lang w:eastAsia="zh-CN"/>
        </w:rPr>
        <mc:AlternateContent>
          <mc:Choice Requires="wps">
            <w:drawing>
              <wp:anchor distT="0" distB="0" distL="0" distR="0" simplePos="0" relativeHeight="251659264" behindDoc="0" locked="0" layoutInCell="1" allowOverlap="1" wp14:anchorId="5C5D8A37" wp14:editId="0B8C3F25">
                <wp:simplePos x="0" y="0"/>
                <wp:positionH relativeFrom="column">
                  <wp:posOffset>4876800</wp:posOffset>
                </wp:positionH>
                <wp:positionV relativeFrom="line">
                  <wp:posOffset>0</wp:posOffset>
                </wp:positionV>
                <wp:extent cx="905933" cy="245534"/>
                <wp:effectExtent l="0" t="0" r="0" b="0"/>
                <wp:wrapNone/>
                <wp:docPr id="1073741842" name="officeArt object" descr="Text Box 36"/>
                <wp:cNvGraphicFramePr/>
                <a:graphic xmlns:a="http://schemas.openxmlformats.org/drawingml/2006/main">
                  <a:graphicData uri="http://schemas.microsoft.com/office/word/2010/wordprocessingShape">
                    <wps:wsp>
                      <wps:cNvSpPr/>
                      <wps:spPr>
                        <a:xfrm>
                          <a:off x="0" y="0"/>
                          <a:ext cx="905933" cy="245534"/>
                        </a:xfrm>
                        <a:prstGeom prst="rect">
                          <a:avLst/>
                        </a:prstGeom>
                        <a:solidFill>
                          <a:srgbClr val="FFFFFF"/>
                        </a:solidFill>
                        <a:ln w="12700" cap="flat">
                          <a:noFill/>
                          <a:miter lim="400000"/>
                        </a:ln>
                        <a:effectLst/>
                      </wps:spPr>
                      <wps:bodyPr/>
                    </wps:wsp>
                  </a:graphicData>
                </a:graphic>
              </wp:anchor>
            </w:drawing>
          </mc:Choice>
          <mc:Fallback>
            <w:pict>
              <v:rect w14:anchorId="2F293581" id="officeArt object" o:spid="_x0000_s1026" alt="Text Box 36" style="position:absolute;margin-left:384pt;margin-top:0;width:71.35pt;height:19.35pt;z-index:251659264;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" stroked="f" strokeweight="1pt">
                <v:stroke miterlimit="4"/>
                <w10:wrap anchory="line"/>
              </v:rect>
            </w:pict>
          </mc:Fallback>
        </mc:AlternateContent>
      </w:r>
      <w:r>
        <w:rPr>
          <w:noProof/>
          <w:lang w:eastAsia="zh-CN"/>
        </w:rPr>
        <w:drawing>
          <wp:inline distT="0" distB="0" distL="0" distR="0" wp14:anchorId="1E5F15C8" wp14:editId="40D35AFE">
            <wp:extent cx="5727700" cy="4792980"/>
            <wp:effectExtent l="0" t="0" r="0" b="0"/>
            <wp:docPr id="1073741843" name="officeArt object" descr="image17.tif"/>
            <wp:cNvGraphicFramePr/>
            <a:graphic xmlns:a="http://schemas.openxmlformats.org/drawingml/2006/main">
              <a:graphicData uri="http://schemas.openxmlformats.org/drawingml/2006/picture">
                <pic:pic xmlns:pic="http://schemas.openxmlformats.org/drawingml/2006/picture">
                  <pic:nvPicPr>
                    <pic:cNvPr id="1073741843" name="image17.tif" descr="image17.tif"/>
                    <pic:cNvPicPr>
                      <a:picLocks noChangeAspect="1"/>
                    </pic:cNvPicPr>
                  </pic:nvPicPr>
                  <pic:blipFill>
                    <a:blip r:embed="rId24"/>
                    <a:stretch>
                      <a:fillRect/>
                    </a:stretch>
                  </pic:blipFill>
                  <pic:spPr>
                    <a:xfrm>
                      <a:off x="0" y="0"/>
                      <a:ext cx="5727700" cy="4792980"/>
                    </a:xfrm>
                    <a:prstGeom prst="rect">
                      <a:avLst/>
                    </a:prstGeom>
                    <a:ln w="12700" cap="flat">
                      <a:noFill/>
                      <a:miter lim="400000"/>
                    </a:ln>
                    <a:effectLst/>
                  </pic:spPr>
                </pic:pic>
              </a:graphicData>
            </a:graphic>
          </wp:inline>
        </w:drawing>
      </w:r>
      <w:r w:rsidRPr="005B5764">
        <w:rPr>
          <w:b/>
          <w:bCs/>
        </w:rPr>
        <w:t>Figure 6.4 Spearman</w:t>
      </w:r>
      <w:r>
        <w:rPr>
          <w:b/>
          <w:bCs/>
          <w:lang w:val="en-US"/>
        </w:rPr>
        <w:t xml:space="preserve">’s Correlation between GABA/H2O and Neuropathy Composite Score NISLL+7 </w:t>
      </w:r>
    </w:p>
    <w:p w14:paraId="4DFFEA32" w14:textId="77777777" w:rsidR="004F7976" w:rsidRDefault="004F7976" w:rsidP="004F7976">
      <w:pPr>
        <w:pStyle w:val="BodyA"/>
        <w:spacing w:line="480" w:lineRule="auto"/>
        <w:jc w:val="both"/>
      </w:pPr>
      <w:r>
        <w:rPr>
          <w:lang w:val="en-US"/>
        </w:rPr>
        <w:t xml:space="preserve">Significant correlations were also found between thalamic GABA:H20 and </w:t>
      </w:r>
      <w:proofErr w:type="spellStart"/>
      <w:r>
        <w:rPr>
          <w:lang w:val="en-US"/>
        </w:rPr>
        <w:t>IENFD</w:t>
      </w:r>
      <w:proofErr w:type="spellEnd"/>
      <w:r>
        <w:rPr>
          <w:lang w:val="en-US"/>
        </w:rPr>
        <w:t xml:space="preserve"> (r=0.36; p=0.004), Vibration Detection Threshold (r=0.332; p=0.01), Warm Detection Threshold (r=-0.338; p=0.005) but not with Cold Detection Threshold and the other peripheral neuronal markers (Table 6.2). </w:t>
      </w:r>
    </w:p>
    <w:p w14:paraId="6DC85F9F" w14:textId="77777777" w:rsidR="004F7976" w:rsidRDefault="004F7976" w:rsidP="004F7976">
      <w:pPr>
        <w:pStyle w:val="BodyA"/>
        <w:spacing w:line="480" w:lineRule="auto"/>
        <w:jc w:val="both"/>
      </w:pPr>
      <w:r>
        <w:rPr>
          <w:lang w:val="en-US"/>
        </w:rPr>
        <w:t xml:space="preserve">Mean </w:t>
      </w:r>
      <w:proofErr w:type="gramStart"/>
      <w:r>
        <w:rPr>
          <w:lang w:val="en-US"/>
        </w:rPr>
        <w:t>Glx:H2O</w:t>
      </w:r>
      <w:proofErr w:type="gramEnd"/>
      <w:r>
        <w:rPr>
          <w:lang w:val="en-US"/>
        </w:rPr>
        <w:t xml:space="preserve"> and </w:t>
      </w:r>
      <w:proofErr w:type="spellStart"/>
      <w:r>
        <w:rPr>
          <w:lang w:val="en-US"/>
        </w:rPr>
        <w:t>Glx</w:t>
      </w:r>
      <w:proofErr w:type="spellEnd"/>
      <w:r>
        <w:rPr>
          <w:lang w:val="en-US"/>
        </w:rPr>
        <w:t xml:space="preserve">/GABA ratios were not statistically significant between study groups especially between painful </w:t>
      </w:r>
      <w:proofErr w:type="spellStart"/>
      <w:r>
        <w:rPr>
          <w:lang w:val="en-US"/>
        </w:rPr>
        <w:t>DPN</w:t>
      </w:r>
      <w:proofErr w:type="spellEnd"/>
      <w:r>
        <w:rPr>
          <w:lang w:val="en-US"/>
        </w:rPr>
        <w:t xml:space="preserve"> and Painless </w:t>
      </w:r>
      <w:proofErr w:type="spellStart"/>
      <w:r>
        <w:rPr>
          <w:lang w:val="en-US"/>
        </w:rPr>
        <w:t>DPN</w:t>
      </w:r>
      <w:proofErr w:type="spellEnd"/>
      <w:r>
        <w:rPr>
          <w:lang w:val="en-US"/>
        </w:rPr>
        <w:t xml:space="preserve">. Further exploratory analysis focused on the painful </w:t>
      </w:r>
      <w:proofErr w:type="spellStart"/>
      <w:r>
        <w:rPr>
          <w:lang w:val="en-US"/>
        </w:rPr>
        <w:t>DN</w:t>
      </w:r>
      <w:proofErr w:type="spellEnd"/>
      <w:r>
        <w:rPr>
          <w:lang w:val="en-US"/>
        </w:rPr>
        <w:t xml:space="preserve"> group divided into high pain and low pain also did not reveal any significant difference in any of the above H-MRS parameters. </w:t>
      </w:r>
    </w:p>
    <w:p w14:paraId="3B094056" w14:textId="77777777" w:rsidR="004F7976" w:rsidRDefault="004F7976" w:rsidP="004F7976">
      <w:pPr>
        <w:pStyle w:val="BodyA"/>
        <w:spacing w:line="480" w:lineRule="auto"/>
        <w:jc w:val="both"/>
      </w:pPr>
      <w:r>
        <w:rPr>
          <w:lang w:val="en-US"/>
        </w:rPr>
        <w:lastRenderedPageBreak/>
        <w:t xml:space="preserve">Painful </w:t>
      </w:r>
      <w:proofErr w:type="spellStart"/>
      <w:r>
        <w:rPr>
          <w:lang w:val="en-US"/>
        </w:rPr>
        <w:t>DPN</w:t>
      </w:r>
      <w:proofErr w:type="spellEnd"/>
      <w:r>
        <w:rPr>
          <w:lang w:val="en-US"/>
        </w:rPr>
        <w:t xml:space="preserve"> group had evidence of greater emotional distress (</w:t>
      </w:r>
      <w:proofErr w:type="spellStart"/>
      <w:r>
        <w:rPr>
          <w:lang w:val="en-US"/>
        </w:rPr>
        <w:t>HADs</w:t>
      </w:r>
      <w:proofErr w:type="spellEnd"/>
      <w:r>
        <w:rPr>
          <w:lang w:val="en-US"/>
        </w:rPr>
        <w:t xml:space="preserve">) and as expected abnormal pain </w:t>
      </w:r>
      <w:proofErr w:type="spellStart"/>
      <w:r>
        <w:rPr>
          <w:lang w:val="en-US"/>
        </w:rPr>
        <w:t>behaviours</w:t>
      </w:r>
      <w:proofErr w:type="spellEnd"/>
      <w:r>
        <w:rPr>
          <w:lang w:val="en-US"/>
        </w:rPr>
        <w:t xml:space="preserve"> (PCS) (Table 6.2; ANOVA; p=&lt;0.01). There was, however, no significant impairment in quality of life compared to the other study cohorts (p=0.74). Painful </w:t>
      </w:r>
      <w:proofErr w:type="spellStart"/>
      <w:r>
        <w:rPr>
          <w:lang w:val="en-US"/>
        </w:rPr>
        <w:t>DPN</w:t>
      </w:r>
      <w:proofErr w:type="spellEnd"/>
      <w:r>
        <w:rPr>
          <w:lang w:val="en-US"/>
        </w:rPr>
        <w:t xml:space="preserve"> had highest depression (p=&lt;0.01) and anxiety subset (p=&lt;0.01) scores especially when compared to painless </w:t>
      </w:r>
      <w:proofErr w:type="spellStart"/>
      <w:r>
        <w:rPr>
          <w:lang w:val="en-US"/>
        </w:rPr>
        <w:t>DPN</w:t>
      </w:r>
      <w:proofErr w:type="spellEnd"/>
      <w:r>
        <w:rPr>
          <w:lang w:val="en-US"/>
        </w:rPr>
        <w:t xml:space="preserve"> on post hoc analysis (Table 6.2). There was significant negative correlation for Glx:H2O to </w:t>
      </w:r>
      <w:proofErr w:type="spellStart"/>
      <w:r>
        <w:rPr>
          <w:lang w:val="en-US"/>
        </w:rPr>
        <w:t>HADs</w:t>
      </w:r>
      <w:proofErr w:type="spellEnd"/>
      <w:r>
        <w:rPr>
          <w:lang w:val="en-US"/>
        </w:rPr>
        <w:t xml:space="preserve"> (r=-0.29; p=0.03 ); especially to depression subset (r=-0.28; p=0.04)  but not to anxiety subset (p=0.09).There was no correlation of GABA to total </w:t>
      </w:r>
      <w:proofErr w:type="spellStart"/>
      <w:r>
        <w:rPr>
          <w:lang w:val="en-US"/>
        </w:rPr>
        <w:t>HADs</w:t>
      </w:r>
      <w:proofErr w:type="spellEnd"/>
      <w:r>
        <w:rPr>
          <w:lang w:val="en-US"/>
        </w:rPr>
        <w:t>, depression subset or Anxiety subset scores.</w:t>
      </w:r>
    </w:p>
    <w:p w14:paraId="6CF5FA88" w14:textId="77777777" w:rsidR="004F7976" w:rsidRDefault="004F7976" w:rsidP="004F7976">
      <w:pPr>
        <w:pStyle w:val="Heading2"/>
        <w:spacing w:line="480" w:lineRule="auto"/>
        <w:rPr>
          <w:i w:val="0"/>
          <w:iCs w:val="0"/>
          <w:sz w:val="24"/>
          <w:szCs w:val="24"/>
        </w:rPr>
      </w:pPr>
      <w:bookmarkStart w:id="156" w:name="_Toc70"/>
      <w:bookmarkStart w:id="157" w:name="_Toc6093046"/>
      <w:r>
        <w:rPr>
          <w:i w:val="0"/>
          <w:iCs w:val="0"/>
          <w:sz w:val="24"/>
          <w:szCs w:val="24"/>
          <w:lang w:val="en-US"/>
        </w:rPr>
        <w:t>6.4 Discussion</w:t>
      </w:r>
      <w:bookmarkEnd w:id="156"/>
      <w:bookmarkEnd w:id="157"/>
    </w:p>
    <w:p w14:paraId="339924B3" w14:textId="77777777" w:rsidR="004F7976" w:rsidRDefault="004F7976" w:rsidP="004F7976">
      <w:pPr>
        <w:pStyle w:val="BodyA"/>
        <w:spacing w:line="480" w:lineRule="auto"/>
        <w:jc w:val="both"/>
      </w:pPr>
      <w:r>
        <w:rPr>
          <w:lang w:val="en-US"/>
        </w:rPr>
        <w:t xml:space="preserve">Using H-MRS we have examined alterations in the excitatory and inhibitory neurotransmitters within the thalamus in well </w:t>
      </w:r>
      <w:proofErr w:type="spellStart"/>
      <w:r>
        <w:rPr>
          <w:lang w:val="en-US"/>
        </w:rPr>
        <w:t>characterised</w:t>
      </w:r>
      <w:proofErr w:type="spellEnd"/>
      <w:r>
        <w:rPr>
          <w:lang w:val="en-US"/>
        </w:rPr>
        <w:t xml:space="preserve"> patients with </w:t>
      </w:r>
      <w:proofErr w:type="spellStart"/>
      <w:r>
        <w:rPr>
          <w:lang w:val="en-US"/>
        </w:rPr>
        <w:t>DPN</w:t>
      </w:r>
      <w:proofErr w:type="spellEnd"/>
      <w:r>
        <w:rPr>
          <w:lang w:val="en-US"/>
        </w:rPr>
        <w:t xml:space="preserve">. We demonstrated a reduction in thalamic </w:t>
      </w:r>
      <w:proofErr w:type="gramStart"/>
      <w:r>
        <w:rPr>
          <w:lang w:val="en-US"/>
        </w:rPr>
        <w:t>GABA:H2O</w:t>
      </w:r>
      <w:proofErr w:type="gramEnd"/>
      <w:r>
        <w:rPr>
          <w:lang w:val="en-US"/>
        </w:rPr>
        <w:t xml:space="preserve"> in patients with established </w:t>
      </w:r>
      <w:proofErr w:type="spellStart"/>
      <w:r>
        <w:rPr>
          <w:lang w:val="en-US"/>
        </w:rPr>
        <w:t>DPN</w:t>
      </w:r>
      <w:proofErr w:type="spellEnd"/>
      <w:r>
        <w:rPr>
          <w:lang w:val="en-US"/>
        </w:rPr>
        <w:t xml:space="preserve"> (painful and painless </w:t>
      </w:r>
      <w:proofErr w:type="spellStart"/>
      <w:r>
        <w:rPr>
          <w:lang w:val="en-US"/>
        </w:rPr>
        <w:t>DPN</w:t>
      </w:r>
      <w:proofErr w:type="spellEnd"/>
      <w:r>
        <w:rPr>
          <w:lang w:val="en-US"/>
        </w:rPr>
        <w:t xml:space="preserve">). Subjects with painless </w:t>
      </w:r>
      <w:proofErr w:type="spellStart"/>
      <w:r>
        <w:rPr>
          <w:lang w:val="en-US"/>
        </w:rPr>
        <w:t>DPN</w:t>
      </w:r>
      <w:proofErr w:type="spellEnd"/>
      <w:r>
        <w:rPr>
          <w:lang w:val="en-US"/>
        </w:rPr>
        <w:t xml:space="preserve"> had the lowest mean </w:t>
      </w:r>
      <w:proofErr w:type="gramStart"/>
      <w:r>
        <w:rPr>
          <w:lang w:val="en-US"/>
        </w:rPr>
        <w:t>GABA:H2O</w:t>
      </w:r>
      <w:proofErr w:type="gramEnd"/>
      <w:r>
        <w:rPr>
          <w:lang w:val="en-US"/>
        </w:rPr>
        <w:t xml:space="preserve"> compared to the other study cohorts. Furthermore, there were significant correlations between </w:t>
      </w:r>
      <w:proofErr w:type="gramStart"/>
      <w:r>
        <w:rPr>
          <w:lang w:val="en-US"/>
        </w:rPr>
        <w:t>GABA:H2O</w:t>
      </w:r>
      <w:proofErr w:type="gramEnd"/>
      <w:r>
        <w:rPr>
          <w:lang w:val="en-US"/>
        </w:rPr>
        <w:t xml:space="preserve"> and measures of both large and small </w:t>
      </w:r>
      <w:proofErr w:type="spellStart"/>
      <w:r>
        <w:rPr>
          <w:lang w:val="en-US"/>
        </w:rPr>
        <w:t>fibre</w:t>
      </w:r>
      <w:proofErr w:type="spellEnd"/>
      <w:r>
        <w:rPr>
          <w:lang w:val="en-US"/>
        </w:rPr>
        <w:t xml:space="preserve"> function.</w:t>
      </w:r>
    </w:p>
    <w:p w14:paraId="1521B315" w14:textId="0E2CFEA9" w:rsidR="004F7976" w:rsidRDefault="004F7976" w:rsidP="004F7976">
      <w:pPr>
        <w:pStyle w:val="BodyA"/>
        <w:spacing w:line="480" w:lineRule="auto"/>
        <w:jc w:val="both"/>
      </w:pPr>
      <w:r>
        <w:rPr>
          <w:lang w:val="en-US"/>
        </w:rPr>
        <w:t xml:space="preserve">In this study, our diabetes subgroups were matched for age, BMI and Hba1c; however, patients with established </w:t>
      </w:r>
      <w:proofErr w:type="spellStart"/>
      <w:r>
        <w:rPr>
          <w:lang w:val="en-US"/>
        </w:rPr>
        <w:t>DPN</w:t>
      </w:r>
      <w:proofErr w:type="spellEnd"/>
      <w:r>
        <w:rPr>
          <w:lang w:val="en-US"/>
        </w:rPr>
        <w:t xml:space="preserve"> (painful and painless </w:t>
      </w:r>
      <w:proofErr w:type="spellStart"/>
      <w:r>
        <w:rPr>
          <w:lang w:val="en-US"/>
        </w:rPr>
        <w:t>DPN</w:t>
      </w:r>
      <w:proofErr w:type="spellEnd"/>
      <w:r>
        <w:rPr>
          <w:lang w:val="en-US"/>
        </w:rPr>
        <w:t xml:space="preserve">) had significantly longer duration of diabetes. Subjects with painful </w:t>
      </w:r>
      <w:proofErr w:type="spellStart"/>
      <w:r>
        <w:rPr>
          <w:lang w:val="en-US"/>
        </w:rPr>
        <w:t>DPN</w:t>
      </w:r>
      <w:proofErr w:type="spellEnd"/>
      <w:r>
        <w:rPr>
          <w:lang w:val="en-US"/>
        </w:rPr>
        <w:t xml:space="preserve"> had greater neuropathy composite score compared to those with painless </w:t>
      </w:r>
      <w:proofErr w:type="spellStart"/>
      <w:r>
        <w:rPr>
          <w:lang w:val="en-US"/>
        </w:rPr>
        <w:t>DPN</w:t>
      </w:r>
      <w:proofErr w:type="spellEnd"/>
      <w:r>
        <w:rPr>
          <w:lang w:val="en-US"/>
        </w:rPr>
        <w:t xml:space="preserve">. This suggests that our cohort of painful </w:t>
      </w:r>
      <w:proofErr w:type="spellStart"/>
      <w:r>
        <w:rPr>
          <w:lang w:val="en-US"/>
        </w:rPr>
        <w:t>DPN</w:t>
      </w:r>
      <w:proofErr w:type="spellEnd"/>
      <w:r>
        <w:rPr>
          <w:lang w:val="en-US"/>
        </w:rPr>
        <w:t xml:space="preserve"> subjects had greater impairment of both small and large peripheral nerve </w:t>
      </w:r>
      <w:proofErr w:type="spellStart"/>
      <w:r>
        <w:rPr>
          <w:lang w:val="en-US"/>
        </w:rPr>
        <w:t>fibres</w:t>
      </w:r>
      <w:proofErr w:type="spellEnd"/>
      <w:r>
        <w:rPr>
          <w:lang w:val="en-US"/>
        </w:rPr>
        <w:t xml:space="preserve">. This was confirmed by reduction in </w:t>
      </w:r>
      <w:proofErr w:type="spellStart"/>
      <w:r>
        <w:rPr>
          <w:lang w:val="en-US"/>
        </w:rPr>
        <w:t>IENFD</w:t>
      </w:r>
      <w:proofErr w:type="spellEnd"/>
      <w:r>
        <w:rPr>
          <w:lang w:val="en-US"/>
        </w:rPr>
        <w:t xml:space="preserve"> and </w:t>
      </w:r>
      <w:proofErr w:type="spellStart"/>
      <w:r>
        <w:rPr>
          <w:lang w:val="en-US"/>
        </w:rPr>
        <w:t>SENFD</w:t>
      </w:r>
      <w:proofErr w:type="spellEnd"/>
      <w:r>
        <w:rPr>
          <w:lang w:val="en-US"/>
        </w:rPr>
        <w:t xml:space="preserve">. Furthermore, patients with painful </w:t>
      </w:r>
      <w:proofErr w:type="spellStart"/>
      <w:r>
        <w:rPr>
          <w:lang w:val="en-US"/>
        </w:rPr>
        <w:t>DPN</w:t>
      </w:r>
      <w:proofErr w:type="spellEnd"/>
      <w:r>
        <w:rPr>
          <w:lang w:val="en-US"/>
        </w:rPr>
        <w:t xml:space="preserve"> had evidence of greater emotional distress (</w:t>
      </w:r>
      <w:proofErr w:type="spellStart"/>
      <w:r>
        <w:rPr>
          <w:lang w:val="en-US"/>
        </w:rPr>
        <w:t>HADs</w:t>
      </w:r>
      <w:proofErr w:type="spellEnd"/>
      <w:r>
        <w:rPr>
          <w:lang w:val="en-US"/>
        </w:rPr>
        <w:t xml:space="preserve">) and abnormal pain </w:t>
      </w:r>
      <w:r w:rsidR="00C40DFD">
        <w:rPr>
          <w:lang w:val="en-US"/>
        </w:rPr>
        <w:t>behaviors</w:t>
      </w:r>
      <w:r>
        <w:rPr>
          <w:lang w:val="en-US"/>
        </w:rPr>
        <w:t xml:space="preserve"> (PCS). There was also significant negative correlation between </w:t>
      </w:r>
      <w:proofErr w:type="spellStart"/>
      <w:r>
        <w:rPr>
          <w:lang w:val="en-US"/>
        </w:rPr>
        <w:t>HADS</w:t>
      </w:r>
      <w:proofErr w:type="spellEnd"/>
      <w:r>
        <w:rPr>
          <w:lang w:val="en-US"/>
        </w:rPr>
        <w:t xml:space="preserve"> depression score and </w:t>
      </w:r>
      <w:r>
        <w:rPr>
          <w:lang w:val="en-US"/>
        </w:rPr>
        <w:lastRenderedPageBreak/>
        <w:t xml:space="preserve">Glx:H20 but not between GABA level. There was, however, no significant impairment in quality of life compared to the other study cohorts. </w:t>
      </w:r>
    </w:p>
    <w:p w14:paraId="48DFEE1E" w14:textId="77777777" w:rsidR="004F7976" w:rsidRDefault="004F7976" w:rsidP="004F7976">
      <w:pPr>
        <w:pStyle w:val="BodyA"/>
        <w:spacing w:line="480" w:lineRule="auto"/>
        <w:jc w:val="both"/>
      </w:pPr>
      <w:r>
        <w:rPr>
          <w:lang w:val="en-US"/>
        </w:rPr>
        <w:t xml:space="preserve">GABA and </w:t>
      </w:r>
      <w:proofErr w:type="spellStart"/>
      <w:r>
        <w:rPr>
          <w:lang w:val="en-US"/>
        </w:rPr>
        <w:t>Glx</w:t>
      </w:r>
      <w:proofErr w:type="spellEnd"/>
      <w:r>
        <w:rPr>
          <w:lang w:val="en-US"/>
        </w:rPr>
        <w:t xml:space="preserve"> are the main inhibitory and excitatory neurotransmitters in the central nervous system. Numerous previous animal and human studies have suggested that the balance between these two neurotransmitters plays an important role in the chronic pain condition </w:t>
      </w:r>
      <w:r>
        <w:fldChar w:fldCharType="begin"/>
      </w:r>
      <w:r>
        <w:instrText xml:space="preserve"> ADDIN EN.CITE &lt;EndNote&gt;&lt;Cite  &gt;&lt;Author&gt;Cleve&lt;/Author&gt;&lt;Year&gt;2015&lt;/Year&gt;&lt;DisplayText&gt;(Cleve et al., 2015, Cleve et al., 2017, Pereira and Goudet, 2018, Watson, 2016)&lt;/DisplayText&gt;&lt;record&gt;&lt;keywords&gt;&lt;keyword&gt;Magnetic Resonance Spectroscopy&lt;/keyword&gt;&lt;keyword&gt;Functional Mrs&lt;/keyword&gt;&lt;keyword&gt;Mega- Press&lt;/keyword&gt;&lt;keyword&gt;Gaba&lt;/keyword&gt;&lt;keyword&gt;Glu&lt;/keyword&gt;&lt;keyword&gt;Glx&lt;/keyword&gt;&lt;keyword&gt;Acute Pain&lt;/keyword&gt;&lt;keyword&gt;Anterior Cingulate Cortex&lt;/keyword&gt;&lt;keyword&gt;Occipital Cortex&lt;/keyword&gt;&lt;/keywords&gt;&lt;isbn&gt;1053-8119&lt;/isbn&gt;&lt;titles&gt;&lt;title&gt;In vivo detection of acute pain- induced changes of GABA+ and Glx in the human brain by using functional 1H MEGA- PRESS MR spectroscopy&lt;/title&gt;&lt;secondary-title&gt;NeuroImage&lt;/secondary-title&gt;&lt;/titles&gt;&lt;pages&gt;67-75&lt;/pages&gt;&lt;contributors&gt;&lt;authors&gt;&lt;author&gt;Cleve, Marianne&lt;/author&gt;&lt;author&gt;Gussew, Alexander&lt;/author&gt;&lt;author&gt;Reichenbach, Jürgen R.&lt;/author&gt;&lt;/authors&gt;&lt;/contributors&gt;&lt;added-date format="utc"&gt;1485566055&lt;/added-date&gt;&lt;ref-type name="Journal Article"&gt;17&lt;/ref-type&gt;&lt;dates&gt;&lt;year&gt;2015&lt;/year&gt;&lt;/dates&gt;&lt;rec-number&gt;425&lt;/rec-number&gt;&lt;last-updated-date format="utc"&gt;1485566055&lt;/last-updated-date&gt;&lt;electronic-resource-num&gt;10.1016/j.neuroimage.2014.10.042&lt;/electronic-resource-num&gt;&lt;volume&gt;105&lt;/volume&gt;&lt;/record&gt;&lt;/Cite&gt;&lt;Cite  &gt;&lt;Author&gt;Cleve&lt;/Author&gt;&lt;Year&gt;2017&lt;/Year&gt;&lt;record&gt;&lt;dates&gt;&lt;pub-dates&gt;&lt;date&gt;Dec&lt;/date&gt;&lt;/pub-dates&gt;&lt;year&gt;2017&lt;/year&gt;&lt;/dates&gt;&lt;keywords&gt;&lt;keyword&gt;Adult&lt;/keyword&gt;&lt;keyword&gt;Brain&lt;/keyword&gt;&lt;keyword&gt;Brain Mapping&lt;/keyword&gt;&lt;keyword&gt;Functional Laterality&lt;/keyword&gt;&lt;keyword&gt;Glutamic Acid&lt;/keyword&gt;&lt;keyword&gt;Glutamine&lt;/keyword&gt;&lt;keyword&gt;Humans&lt;/keyword&gt;&lt;keyword&gt;Image Processing, Computer-Assisted&lt;/keyword&gt;&lt;keyword&gt;Magnetic Resonance Imaging&lt;/keyword&gt;&lt;keyword&gt;Male&lt;/keyword&gt;&lt;keyword&gt;Oxygen&lt;/keyword&gt;&lt;keyword&gt;Pain Perception&lt;/keyword&gt;&lt;keyword&gt;Proton Magnetic Resonance Spectroscopy&lt;/keyword&gt;&lt;keyword&gt;Statistics, Nonparametric&lt;/keyword&gt;&lt;keyword&gt;Young Adult&lt;/keyword&gt;&lt;keyword&gt;gamma-Aminobutyric Acid&lt;/keyword&gt;&lt;keyword&gt;GABA&lt;/keyword&gt;&lt;keyword&gt;Glx&lt;/keyword&gt;&lt;keyword&gt;MR spectroscopy&lt;/keyword&gt;&lt;keyword&gt;acute pain&lt;/keyword&gt;&lt;keyword&gt;fMRI&lt;/keyword&gt;&lt;keyword&gt;insular cortex&lt;/keyword&gt;&lt;/keywords&gt;&lt;urls&gt;&lt;related-urls&gt;&lt;url&gt;https://www.ncbi.nlm.nih.gov/pubmed/28965838&lt;/url&gt;&lt;/related-urls&gt;&lt;/urls&gt;&lt;isbn&gt;1873-7544&lt;/isbn&gt;&lt;titles&gt;&lt;title&gt;Assessment of intra- and inter-regional interrelations between GABA+, Glx and BOLD during pain perception in the human brain - A combined&lt;/title&gt;&lt;secondary-title&gt;Neuroscience&lt;/secondary-title&gt;&lt;/titles&gt;&lt;pages&gt;125-136&lt;/pages&gt;&lt;contributors&gt;&lt;authors&gt;&lt;author&gt;Cleve, M.&lt;/author&gt;&lt;author&gt;Gussew, A.&lt;/author&gt;&lt;author&gt;Wagner, G.&lt;/author&gt;&lt;author&gt;Bär, K. J.&lt;/author&gt;&lt;author&gt;Reichenbach, J. R.&lt;/author&gt;&lt;/authors&gt;&lt;/contributors&gt;&lt;edition&gt;2017/09/28&lt;/edition&gt;&lt;language&gt;eng&lt;/language&gt;&lt;added-date format="utc"&gt;1549929982&lt;/added-date&gt;&lt;ref-type name="Journal Article"&gt;17&lt;/ref-type&gt;&lt;rec-number&gt;558&lt;/rec-number&gt;&lt;last-updated-date format="utc"&gt;1549929982&lt;/last-updated-date&gt;&lt;accession-num&gt;28965838&lt;/accession-num&gt;&lt;electronic-resource-num&gt;10.1016/j.neuroscience.2017.09.037&lt;/electronic-resource-num&gt;&lt;volume&gt;365&lt;/volume&gt;&lt;/record&gt;&lt;/Cite&gt;&lt;Cite  &gt;&lt;Author&gt;Pereira&lt;/Author&gt;&lt;Year&gt;2018&lt;/Year&gt;&lt;RecNum&gt;559&lt;/RecNum&gt;&lt;record&gt;&lt;keywords&gt;&lt;keyword&gt;GPCR (G-protein-coupled receptors)&lt;/keyword&gt;&lt;keyword&gt;chronic pain&lt;/keyword&gt;&lt;keyword&gt;glutamate (Glu)&lt;/keyword&gt;&lt;keyword&gt;neuromodulation&lt;/keyword&gt;&lt;keyword&gt;neurotransmitter&lt;/keyword&gt;&lt;keyword&gt;pain&lt;/keyword&gt;&lt;keyword&gt;pharmacology&lt;/keyword&gt;&lt;keyword&gt;receptor&lt;/keyword&gt;&lt;/keywords&gt;&lt;urls&gt;&lt;related-urls&gt;&lt;url&gt;https://www.ncbi.nlm.nih.gov/pubmed/30662395&lt;/url&gt;&lt;/related-urls&gt;&lt;/urls&gt;&lt;isbn&gt;1662-5099&lt;/isbn&gt;&lt;custom2&gt;PMC6328474&lt;/custom2&gt;&lt;titles&gt;&lt;title&gt;Emerging Trends in Pain Modulation by Metabotropic Glutamate Receptors&lt;/title&gt;&lt;secondary-title&gt;Front Mol Neurosci&lt;/secondary-title&gt;&lt;/titles&gt;&lt;pages&gt;464&lt;/pages&gt;&lt;contributors&gt;&lt;authors&gt;&lt;author&gt;Pereira, V.&lt;/author&gt;&lt;author&gt;Goudet, C.&lt;/author&gt;&lt;/authors&gt;&lt;/contributors&gt;&lt;edition&gt;2019/01/04&lt;/edition&gt;&lt;language&gt;eng&lt;/language&gt;&lt;added-date format="utc"&gt;1549930277&lt;/added-date&gt;&lt;ref-type name="Journal Article"&gt;17&lt;/ref-type&gt;&lt;dates&gt;&lt;year&gt;2018&lt;/year&gt;&lt;/dates&gt;&lt;rec-number&gt;559&lt;/rec-number&gt;&lt;last-updated-date format="utc"&gt;1549930277&lt;/last-updated-date&gt;&lt;accession-num&gt;30662395&lt;/accession-num&gt;&lt;electronic-resource-num&gt;10.3389/fnmol.2018.00464&lt;/electronic-resource-num&gt;&lt;volume&gt;11&lt;/volume&gt;&lt;/record&gt;&lt;/Cite&gt;&lt;Cite  &gt;&lt;Author&gt;Watson&lt;/Author&gt;&lt;Year&gt;2016&lt;/Year&gt;&lt;RecNum&gt;563&lt;/RecNum&gt;&lt;record&gt;&lt;dates&gt;&lt;pub-dates&gt;&lt;date&gt;10&lt;/date&gt;&lt;/pub-dates&gt;&lt;year&gt;2016&lt;/year&gt;&lt;/dates&gt;&lt;keywords&gt;&lt;keyword&gt;Analysis of Variance&lt;/keyword&gt;&lt;keyword&gt;Animals&lt;/keyword&gt;&lt;keyword&gt;Avoidance Learning&lt;/keyword&gt;&lt;keyword&gt;Cerebral Cortex&lt;/keyword&gt;&lt;keyword&gt;Disease Models, Animal&lt;/keyword&gt;&lt;keyword&gt;Excitatory Amino Acid Agents&lt;/keyword&gt;&lt;keyword&gt;GABA Agents&lt;/keyword&gt;&lt;keyword&gt;Glutamates&lt;/keyword&gt;&lt;keyword&gt;Glycine&lt;/keyword&gt;&lt;keyword&gt;Glycine Agents&lt;/keyword&gt;&lt;keyword&gt;Hyperalgesia&lt;/keyword&gt;&lt;keyword&gt;Male&lt;/keyword&gt;&lt;keyword&gt;Microdialysis&lt;/keyword&gt;&lt;keyword&gt;Microinjections&lt;/keyword&gt;&lt;keyword&gt;Pain Measurement&lt;/keyword&gt;&lt;keyword&gt;Pain Threshold&lt;/keyword&gt;&lt;keyword&gt;Rats&lt;/keyword&gt;&lt;keyword&gt;Rats, Sprague-Dawley&lt;/keyword&gt;&lt;keyword&gt;Sciatica&lt;/keyword&gt;&lt;keyword&gt;Strychnine&lt;/keyword&gt;&lt;keyword&gt;gamma-Aminobutyric Acid&lt;/keyword&gt;&lt;/keywords&gt;&lt;urls&gt;&lt;related-urls&gt;&lt;url&gt;https://www.ncbi.nlm.nih.gov/pubmed/27218870&lt;/url&gt;&lt;/related-urls&gt;&lt;/urls&gt;&lt;isbn&gt;1872-6623&lt;/isbn&gt;&lt;titles&gt;&lt;title&gt;Insular balance of glutamatergic and GABAergic signaling modulates pain processing&lt;/title&gt;&lt;secondary-title&gt;Pain&lt;/secondary-title&gt;&lt;/titles&gt;&lt;pages&gt;2194-207&lt;/pages&gt;&lt;number&gt;10&lt;/number&gt;&lt;contributors&gt;&lt;authors&gt;&lt;author&gt;Watson, C. J.&lt;/author&gt;&lt;/authors&gt;&lt;/contributors&gt;&lt;language&gt;eng&lt;/language&gt;&lt;added-date format="utc"&gt;1549930812&lt;/added-date&gt;&lt;ref-type name="Journal Article"&gt;17&lt;/ref-type&gt;&lt;rec-number&gt;563&lt;/rec-number&gt;&lt;last-updated-date format="utc"&gt;1549930812&lt;/last-updated-date&gt;&lt;accession-num&gt;27218870&lt;/accession-num&gt;&lt;electronic-resource-num&gt;10.1097/j.pain.0000000000000615&lt;/electronic-resource-num&gt;&lt;volume&gt;157&lt;/volume&gt;&lt;/record&gt;&lt;/Cite&gt;&lt;/EndNote&gt;</w:instrText>
      </w:r>
      <w:r>
        <w:fldChar w:fldCharType="separate"/>
      </w:r>
      <w:r>
        <w:t>(Cleve et al., 2015, Cleve et al., 2017, Pereira and Goudet, 2018, Watson, 2016)</w:t>
      </w:r>
      <w:r>
        <w:fldChar w:fldCharType="end"/>
      </w:r>
      <w:r>
        <w:rPr>
          <w:lang w:val="en-US"/>
        </w:rPr>
        <w:t xml:space="preserve">. By far the largest population of patients (n=482) that have been studied are those with fibromyalgia </w:t>
      </w:r>
      <w:r>
        <w:rPr>
          <w:lang w:val="fr-FR"/>
        </w:rPr>
        <w:fldChar w:fldCharType="begin"/>
      </w:r>
      <w:r w:rsidRPr="005B5764">
        <w:instrText xml:space="preserve"> ADDIN EN.CITE &lt;EndNote&gt;&lt;Cite  &gt;&lt;Author&gt;Pyke&lt;/Author&gt;&lt;Year&gt;2017&lt;/Year&gt;&lt;RecNum&gt;560&lt;/RecNum&gt;&lt;DisplayText&gt;(Pyke et al., 2017, Fayed et al., 2010, Valdés et al., 2010)&lt;/DisplayText&gt;&lt;record&gt;&lt;dates&gt;&lt;pub-dates&gt;&lt;date&gt;Oct&lt;/date&gt;&lt;/pub-dates&gt;&lt;year&gt;2017&lt;/year&gt;&lt;/dates&gt;&lt;keywords&gt;&lt;keyword&gt;Brain&lt;/keyword&gt;&lt;keyword&gt;Fibromyalgia&lt;/keyword&gt;&lt;keyword&gt;Glutamic Acid&lt;/keyword&gt;&lt;keyword&gt;Humans&lt;/keyword&gt;&lt;keyword&gt;Proton Magnetic Resonance Spectroscopy&lt;/keyword&gt;&lt;/keywords&gt;&lt;urls&gt;&lt;related-urls&gt;&lt;url&gt;https://www.ncbi.nlm.nih.gov/pubmed/28033157&lt;/url&gt;&lt;/related-urls&gt;&lt;/urls&gt;&lt;isbn&gt;1536-5409&lt;/isbn&gt;&lt;titles&gt;&lt;title&gt;Measuring Glutamate Levels in the Brains of Fibromyalgia Patients and a Potential Role for Glutamate in the Pathophysiology of Fibromyalgia Symptoms: A Systematic Review&lt;/title&gt;&lt;secondary-title&gt;Clin J Pain&lt;/secondary-title&gt;&lt;/titles&gt;&lt;pages&gt;944-954&lt;/pages&gt;&lt;number&gt;10&lt;/number&gt;&lt;contributors&gt;&lt;authors&gt;&lt;author&gt;Pyke, T. L.&lt;/author&gt;&lt;author&gt;Osmotherly, P. G.&lt;/author&gt;&lt;author&gt;Baines, S.&lt;/author&gt;&lt;/authors&gt;&lt;/contributors&gt;&lt;language&gt;eng&lt;/language&gt;&lt;added-date format="utc"&gt;1549930600&lt;/added-date&gt;&lt;ref-type name="Journal Article"&gt;17&lt;/ref-type&gt;&lt;rec-number&gt;560&lt;/rec-number&gt;&lt;last-updated-date format="utc"&gt;1549930600&lt;/last-updated-date&gt;&lt;accession-num&gt;28033157&lt;/accession-num&gt;&lt;electronic-resource-num&gt;10.1097/AJP.0000000000000474&lt;/electronic-resource-num&gt;&lt;volume&gt;33&lt;/volume&gt;&lt;/record&gt;&lt;/Cite&gt;&lt;Cite  &gt;&lt;Author&gt;Fayed&lt;/Author&gt;&lt;Year&gt;2010&lt;/Year&gt;</w:instrText>
      </w:r>
      <w:r>
        <w:rPr>
          <w:lang w:val="fr-FR"/>
        </w:rPr>
        <w:instrText>&lt;record&gt;&lt;keywords&gt;&lt;keyword&gt;Adult&lt;/keyword&gt;&lt;keyword&gt;Aspartic Acid&lt;/keyword&gt;&lt;keyword&gt;Brain&lt;/keyword&gt;&lt;keyword&gt;Cholic Acid&lt;/keyword&gt;&lt;keyword&gt;Cross-Sectional Studies&lt;/keyword&gt;&lt;keyword&gt;Diffusion Tensor Imaging&lt;/keyword&gt;&lt;keyword&gt;Female&lt;/keyword&gt;&lt;keyword&gt;Fibromyalgia&lt;/keyword&gt;&lt;keyword&gt;Glutamic Acid&lt;/keyword&gt;&lt;keyword&gt;Glutamine&lt;/keyword&gt;&lt;keyword&gt;Hippocampus&lt;/keyword&gt;&lt;keyword&gt;Humans&lt;/keyword&gt;&lt;keyword&gt;Inositol&lt;/keyword&gt;&lt;keyword&gt;Male&lt;/keyword&gt;&lt;keyword&gt;Middle Aged&lt;/keyword&gt;&lt;keyword&gt;Motor Cortex&lt;/keyword&gt;&lt;keyword&gt;Nuclear Magnetic Resonance, Biomolecular&lt;/keyword&gt;&lt;keyword&gt;Pain&lt;/keyword&gt;&lt;keyword&gt;Protons&lt;/keyword&gt;&lt;keyword&gt;Somatosensory Cortex&lt;/keyword&gt;&lt;/keywords&gt;&lt;urls&gt;&lt;related-urls&gt;&lt;url&gt;https://www.ncbi.nlm.nih.gov/pubmed/20609227&lt;/url&gt;&lt;/related-urls&gt;&lt;/urls&gt;&lt;isbn&gt;1478-6362&lt;/isbn&gt;&lt;custom2&gt;PMC2945024&lt;/custom2&gt;&lt;titles&gt;&lt;title&gt;Localized 1H-NMR spectroscopy in patients with fibromyalgia: a controlled study of changes in cerebral glutamate/glutamine, inositol, choline, and N-acetylaspartate&lt;/title&gt;&lt;secondary-title&gt;Arthritis Res Ther&lt;/secondary-title&gt;&lt;/titles&gt;&lt;pages&gt;R134&lt;/pages&gt;&lt;number&gt;4&lt;/number&gt;&lt;contributors&gt;&lt;authors&gt;&lt;author&gt;Fayed, N.&lt;/author&gt;&lt;author&gt;Garcia-Campayo, J.&lt;/author&gt;&lt;author&gt;Magallón, R.&lt;/author&gt;&lt;author&gt;Andrés-Bergareche, H.&lt;/author&gt;&lt;author&gt;Luciano, J. V.&lt;/author&gt;&lt;author&gt;Andres, E.&lt;/author&gt;&lt;author&gt;Beltrán, J.&lt;/author&gt;&lt;/authors&gt;&lt;/contributors&gt;&lt;edition&gt;2010/07/07&lt;/edition&gt;&lt;language&gt;eng&lt;/language&gt;&lt;added-date format="utc"&gt;1549930600&lt;/added-date&gt;&lt;ref-type name="Journal Article"&gt;17&lt;/ref-type&gt;&lt;dates&gt;&lt;year&gt;2010&lt;/year&gt;&lt;/dates&gt;&lt;rec-number&gt;561&lt;/rec-number&gt;&lt;last-updated-date format="utc"&gt;1549930600&lt;/last-updated-date&gt;&lt;accession-num&gt;20609227&lt;/accession-num&gt;&lt;electronic-resource-num&gt;10.1186/ar3072&lt;/electronic-resource-num&gt;&lt;volume&gt;12&lt;/volume&gt;&lt;/record&gt;&lt;/Cite&gt;&lt;Cite  &gt;&lt;Author&gt;Valdés&lt;/Author&gt;&lt;Year</w:instrText>
      </w:r>
      <w:r w:rsidRPr="005B5764">
        <w:instrText>&gt;2010&lt;/Year&gt;&lt;record&gt;&lt;dates&gt;&lt;pub-dates&gt;&lt;date&gt;Jun&lt;/date&gt;&lt;/pub-dates&gt;&lt;year&gt;2010&lt;/year&gt;&lt;/dates&gt;&lt;keywords&gt;&lt;keyword&gt;Anxiety&lt;/keyword&gt;&lt;keyword&gt;Brain&lt;/keyword&gt;&lt;keyword&gt;Brain Mapping&lt;/keyword&gt;&lt;keyword&gt;Chi-Square Distribution&lt;/keyword&gt;&lt;keyword&gt;Creatine&lt;/keyword&gt;&lt;keyword&gt;Depression&lt;/keyword&gt;&lt;keyword&gt;Female&lt;/keyword&gt;&lt;keyword&gt;Fibromyalgia&lt;/keyword&gt;&lt;keyword&gt;Glutamic Acid&lt;/keyword&gt;&lt;keyword&gt;Glutamine&lt;/keyword&gt;&lt;keyword&gt;Humans&lt;/keyword&gt;&lt;keyword&gt;Magnetic Resonance Spectroscopy&lt;/keyword&gt;&lt;keyword&gt;Psychiatric Status Rating Scales&lt;/keyword&gt;&lt;/keywords&gt;&lt;urls&gt;&lt;related-urls&gt;&lt;url&gt;https://www.ncbi.nlm.nih.gov/pubmed/20191578&lt;/url&gt;&lt;/related-urls&gt;&lt;/urls&gt;&lt;isbn&gt;1529-0131&lt;/isbn&gt;&lt;titles&gt;&lt;title&gt;Increased glutamate/glutamine compounds in the brains of patients with fibromyalgia: a magnetic resonance spectroscopy study&lt;/title&gt;&lt;secondary-title&gt;Arthritis Rheum&lt;/secondary-title&gt;&lt;/titles&gt;&lt;pages&gt;1829-36&lt;/pages&gt;&lt;number&gt;6&lt;/number&gt;&lt;contributors&gt;&lt;authors&gt;&lt;author&gt;Valdés, M.&lt;/author&gt;&lt;author&gt;Collado, A.&lt;/author&gt;&lt;author&gt;Bargalló, N.&lt;/author&gt;&lt;author&gt;Vázquez, M.&lt;/author&gt;&lt;author&gt;Rami, L.&lt;/author&gt;&lt;author&gt;Gómez, E.&lt;/author&gt;&lt;author&gt;Salamero, M.&lt;/author&gt;&lt;/authors&gt;&lt;/contributors&gt;&lt;language&gt;eng&lt;/language&gt;&lt;added-date format="utc"&gt;1549930600&lt;/added-date&gt;&lt;ref-type name="Journal Article"&gt;17&lt;/ref-type&gt;&lt;rec-number&gt;562&lt;/rec-number&gt;&lt;last-updated-date format="utc"&gt;1549930600&lt;/last-updated-date&gt;&lt;accession-num&gt;20191578&lt;/accession-num&gt;&lt;electronic-resource-num&gt;10.1002/art.27430&lt;/electronic-resource-num&gt;&lt;volume&gt;62&lt;/volume&gt;&lt;/record&gt;&lt;/Cite&gt;&lt;/EndNote&gt;</w:instrText>
      </w:r>
      <w:r>
        <w:rPr>
          <w:lang w:val="fr-FR"/>
        </w:rPr>
        <w:fldChar w:fldCharType="separate"/>
      </w:r>
      <w:r w:rsidRPr="005B5764">
        <w:t>(Pyke et al., 2017, Fayed et al., 2010, Valdés et al., 2010)</w:t>
      </w:r>
      <w:r>
        <w:rPr>
          <w:lang w:val="fr-FR"/>
        </w:rPr>
        <w:fldChar w:fldCharType="end"/>
      </w:r>
      <w:r>
        <w:rPr>
          <w:lang w:val="en-US"/>
        </w:rPr>
        <w:t xml:space="preserve">and these studies have focused their attention on the insula cortex and found raised </w:t>
      </w:r>
      <w:proofErr w:type="spellStart"/>
      <w:r>
        <w:rPr>
          <w:lang w:val="en-US"/>
        </w:rPr>
        <w:t>Glx</w:t>
      </w:r>
      <w:proofErr w:type="spellEnd"/>
      <w:r>
        <w:rPr>
          <w:lang w:val="en-US"/>
        </w:rPr>
        <w:t xml:space="preserve">. In this study, we chose to focus on the thalamus as we have previously demonstrated abnormal thalamic neuronal dysfunction in subjects with painless neuropathy. Furthermore, the thalamus is also an important sensory gateway to the cerebral cortex. </w:t>
      </w:r>
    </w:p>
    <w:p w14:paraId="51BEC54C" w14:textId="77777777" w:rsidR="004F7976" w:rsidRDefault="004F7976" w:rsidP="004F7976">
      <w:pPr>
        <w:pStyle w:val="BodyA"/>
        <w:spacing w:line="480" w:lineRule="auto"/>
        <w:jc w:val="both"/>
      </w:pPr>
      <w:r>
        <w:rPr>
          <w:lang w:val="en-US"/>
        </w:rPr>
        <w:t xml:space="preserve"> Our study has demonstrated lower relative levels of the ‘</w:t>
      </w:r>
      <w:r>
        <w:t>H-MRS-visible</w:t>
      </w:r>
      <w:r>
        <w:rPr>
          <w:lang w:val="en-US"/>
        </w:rPr>
        <w:t xml:space="preserve">’ inhibitory neurotransmitter GABA in the thalamus of patients with painless </w:t>
      </w:r>
      <w:proofErr w:type="spellStart"/>
      <w:r>
        <w:rPr>
          <w:lang w:val="en-US"/>
        </w:rPr>
        <w:t>DPN</w:t>
      </w:r>
      <w:proofErr w:type="spellEnd"/>
      <w:r>
        <w:rPr>
          <w:lang w:val="en-US"/>
        </w:rPr>
        <w:t xml:space="preserve">. Reduction in neurotransmitter GABA ratio in painless </w:t>
      </w:r>
      <w:proofErr w:type="spellStart"/>
      <w:r>
        <w:rPr>
          <w:lang w:val="en-US"/>
        </w:rPr>
        <w:t>DPN</w:t>
      </w:r>
      <w:proofErr w:type="spellEnd"/>
      <w:r>
        <w:rPr>
          <w:lang w:val="en-US"/>
        </w:rPr>
        <w:t xml:space="preserve"> could reflect a decrease in the number of neurons and/or reduction in neuronal function. This was demonstrated by our previous publication which showed there was a reduction in thalamic </w:t>
      </w:r>
      <w:proofErr w:type="spellStart"/>
      <w:r>
        <w:rPr>
          <w:lang w:val="en-US"/>
        </w:rPr>
        <w:t>NAA</w:t>
      </w:r>
      <w:proofErr w:type="spellEnd"/>
      <w:r>
        <w:rPr>
          <w:lang w:val="en-US"/>
        </w:rPr>
        <w:t xml:space="preserve"> in painless but not in painful </w:t>
      </w:r>
      <w:proofErr w:type="spellStart"/>
      <w:r>
        <w:rPr>
          <w:lang w:val="en-US"/>
        </w:rPr>
        <w:t>DPN</w:t>
      </w:r>
      <w:proofErr w:type="spellEnd"/>
      <w:r>
        <w:rPr>
          <w:lang w:val="en-US"/>
        </w:rPr>
        <w:t xml:space="preserve"> subjects </w:t>
      </w:r>
      <w:r>
        <w:fldChar w:fldCharType="begin"/>
      </w:r>
      <w:r>
        <w:instrText xml:space="preserve"> ADDIN EN.CITE &lt;EndNote&gt;&lt;Cite  &gt;&lt;Author&gt;Selvarajah&lt;/Author&gt;&lt;Year&gt;2008&lt;/Year&gt;&lt;RecNum&gt;419&lt;/RecNum&gt;&lt;DisplayText&gt;(Selvarajah et al., 2008)&lt;/DisplayText&gt;&lt;record&gt;&lt;dates&gt;&lt;pub-dates&gt;&lt;date&gt;Nov&lt;/date&gt;&lt;/pub-dates&gt;&lt;year&gt;2008&lt;/year&gt;&lt;/dates&gt;&lt;keywords&gt;&lt;keyword&gt;Adult&lt;/keyword&gt;&lt;keyword&gt;Choline&lt;/keyword&gt;&lt;keyword&gt;Creatinine&lt;/keyword&gt;&lt;keyword&gt;Diabetes Mellitus, Type 1&lt;/keyword&gt;&lt;keyword&gt;Diabetic Neuropathies&lt;/keyword&gt;&lt;keyword&gt;Functional Laterality&lt;/keyword&gt;&lt;keyword&gt;Humans&lt;/keyword&gt;&lt;keyword&gt;Magnetic Resonance Spectroscopy&lt;/keyword&gt;&lt;keyword&gt;Male&lt;/keyword&gt;&lt;keyword&gt;Middle Aged&lt;/keyword&gt;&lt;keyword&gt;Peripheral Nerves&lt;/keyword&gt;&lt;keyword&gt;Peripheral Nervous System Diseases&lt;/keyword&gt;&lt;keyword&gt;Peroneal Nerve&lt;/keyword&gt;&lt;keyword&gt;Reference Values&lt;/keyword&gt;&lt;keyword&gt;Sural Nerve&lt;/keyword&gt;&lt;keyword&gt;Thalamus&lt;/keyword&gt;&lt;/keywords&gt;&lt;urls&gt;&lt;related-urls&gt;&lt;url&gt;https://www.ncbi.nlm.nih.gov/pubmed/18773192&lt;/url&gt;&lt;/related-urls&gt;&lt;/urls&gt;&lt;isbn&gt;0012-186X&lt;/isbn&gt;&lt;titles&gt;&lt;title&gt;Thalamic neuronal dysfunction and chronic sensorimotor distal symmetrical polyneuropathy in patients with type 1 diabetes mellitus&lt;/title&gt;&lt;secondary-title&gt;Diabetologia&lt;/secondary-title&gt;&lt;/titles&gt;&lt;pages&gt;2088-92&lt;/pages&gt;&lt;number&gt;11&lt;/number&gt;&lt;contributors&gt;&lt;authors&gt;&lt;author&gt;Selvarajah, D.&lt;/author&gt;&lt;author&gt;Wilkinson, I. D.&lt;/author&gt;&lt;author&gt;Emery, C. J.&lt;/author&gt;&lt;author&gt;Shaw, P. J.&lt;/author&gt;&lt;author&gt;Griffiths, P. D.&lt;/author&gt;&lt;author&gt;Gandhi, R.&lt;/author&gt;&lt;author&gt;Tesfaye, S.&lt;/author&gt;&lt;/authors&gt;&lt;/contributors&gt;&lt;edition&gt;2008/09/05&lt;/edition&gt;&lt;language&gt;eng&lt;/language&gt;&lt;added-date format="utc"&gt;1485564589&lt;/added-date&gt;&lt;ref-type name="Journal Article"&gt;17&lt;/ref-type&gt;&lt;rec-number&gt;419&lt;/rec-number&gt;&lt;last-updated-date format="utc"&gt;1485564589&lt;/last-updated-date&gt;&lt;accession-num&gt;18773192&lt;/accession-num&gt;&lt;electronic-resource-num&gt;10.1007/s00125-008-1139-0&lt;/electronic-resource-num&gt;&lt;volume&gt;51&lt;/volume&gt;&lt;/record&gt;&lt;/Cite&gt;&lt;/EndNote&gt;</w:instrText>
      </w:r>
      <w:r>
        <w:fldChar w:fldCharType="separate"/>
      </w:r>
      <w:r>
        <w:t>(Selvarajah et al., 2008)</w:t>
      </w:r>
      <w:r>
        <w:fldChar w:fldCharType="end"/>
      </w:r>
      <w:r>
        <w:rPr>
          <w:lang w:val="en-US"/>
        </w:rPr>
        <w:t xml:space="preserve">. We </w:t>
      </w:r>
      <w:proofErr w:type="spellStart"/>
      <w:r>
        <w:rPr>
          <w:lang w:val="en-US"/>
        </w:rPr>
        <w:t>hypothesise</w:t>
      </w:r>
      <w:proofErr w:type="spellEnd"/>
      <w:r>
        <w:rPr>
          <w:lang w:val="en-US"/>
        </w:rPr>
        <w:t xml:space="preserve"> that in painful </w:t>
      </w:r>
      <w:proofErr w:type="spellStart"/>
      <w:r>
        <w:rPr>
          <w:lang w:val="en-US"/>
        </w:rPr>
        <w:t>DPN</w:t>
      </w:r>
      <w:proofErr w:type="spellEnd"/>
      <w:r>
        <w:rPr>
          <w:lang w:val="en-US"/>
        </w:rPr>
        <w:t xml:space="preserve"> there is constant activation of higher pain </w:t>
      </w:r>
      <w:proofErr w:type="spellStart"/>
      <w:r>
        <w:rPr>
          <w:lang w:val="en-US"/>
        </w:rPr>
        <w:t>centres</w:t>
      </w:r>
      <w:proofErr w:type="spellEnd"/>
      <w:r>
        <w:rPr>
          <w:lang w:val="en-US"/>
        </w:rPr>
        <w:t xml:space="preserve"> by neurons passing through second order neurons in thalamus and hence higher number of active neurons in thalamus. This is reflected in H-MRS detectable higher </w:t>
      </w:r>
      <w:proofErr w:type="spellStart"/>
      <w:r>
        <w:rPr>
          <w:lang w:val="en-US"/>
        </w:rPr>
        <w:t>NAA</w:t>
      </w:r>
      <w:proofErr w:type="spellEnd"/>
      <w:r>
        <w:rPr>
          <w:lang w:val="en-US"/>
        </w:rPr>
        <w:t xml:space="preserve"> and GABA in painful </w:t>
      </w:r>
      <w:proofErr w:type="spellStart"/>
      <w:r>
        <w:rPr>
          <w:lang w:val="en-US"/>
        </w:rPr>
        <w:t>DPN</w:t>
      </w:r>
      <w:proofErr w:type="spellEnd"/>
      <w:r>
        <w:rPr>
          <w:lang w:val="en-US"/>
        </w:rPr>
        <w:t xml:space="preserve">. Conversely, in painless </w:t>
      </w:r>
      <w:proofErr w:type="spellStart"/>
      <w:r>
        <w:rPr>
          <w:lang w:val="en-US"/>
        </w:rPr>
        <w:t>DPN</w:t>
      </w:r>
      <w:proofErr w:type="spellEnd"/>
      <w:r>
        <w:rPr>
          <w:lang w:val="en-US"/>
        </w:rPr>
        <w:t xml:space="preserve">, due to a lack of afferent input, there is a loss of neuronal function resulting in reduction in </w:t>
      </w:r>
      <w:proofErr w:type="spellStart"/>
      <w:r>
        <w:rPr>
          <w:lang w:val="en-US"/>
        </w:rPr>
        <w:t>NAA</w:t>
      </w:r>
      <w:proofErr w:type="spellEnd"/>
      <w:r>
        <w:rPr>
          <w:lang w:val="en-US"/>
        </w:rPr>
        <w:t xml:space="preserve"> and GABA. This is in keeping with the known phenomenon of central </w:t>
      </w:r>
      <w:proofErr w:type="spellStart"/>
      <w:r>
        <w:rPr>
          <w:lang w:val="en-US"/>
        </w:rPr>
        <w:t>sensitisation</w:t>
      </w:r>
      <w:proofErr w:type="spellEnd"/>
      <w:r>
        <w:rPr>
          <w:lang w:val="en-US"/>
        </w:rPr>
        <w:t xml:space="preserve"> that plays a key role in maintaining chronicity of neuropathic pain. Repeated </w:t>
      </w:r>
      <w:r>
        <w:rPr>
          <w:lang w:val="en-US"/>
        </w:rPr>
        <w:lastRenderedPageBreak/>
        <w:t xml:space="preserve">peripheral nerve injury results in central </w:t>
      </w:r>
      <w:proofErr w:type="spellStart"/>
      <w:r>
        <w:rPr>
          <w:lang w:val="en-US"/>
        </w:rPr>
        <w:t>sensitisation</w:t>
      </w:r>
      <w:proofErr w:type="spellEnd"/>
      <w:r>
        <w:rPr>
          <w:lang w:val="en-US"/>
        </w:rPr>
        <w:t xml:space="preserve"> within the spinal cord. Higher cortical </w:t>
      </w:r>
      <w:proofErr w:type="spellStart"/>
      <w:r>
        <w:rPr>
          <w:lang w:val="en-US"/>
        </w:rPr>
        <w:t>centres</w:t>
      </w:r>
      <w:proofErr w:type="spellEnd"/>
      <w:r>
        <w:rPr>
          <w:lang w:val="en-US"/>
        </w:rPr>
        <w:t xml:space="preserve"> attempt to attenuate this response by increasing descending inhibitory neurotransmission and if this is successful results in a reduction in pain perception (Figure 6.5). However, if this descending inhibitory system is defective, central </w:t>
      </w:r>
      <w:proofErr w:type="spellStart"/>
      <w:r>
        <w:rPr>
          <w:lang w:val="en-US"/>
        </w:rPr>
        <w:t>sensitisation</w:t>
      </w:r>
      <w:proofErr w:type="spellEnd"/>
      <w:r>
        <w:rPr>
          <w:lang w:val="en-US"/>
        </w:rPr>
        <w:t xml:space="preserve"> is unchecked resulting in chronic pain. Therefore, we hypothesize that in painless </w:t>
      </w:r>
      <w:proofErr w:type="spellStart"/>
      <w:r>
        <w:rPr>
          <w:lang w:val="en-US"/>
        </w:rPr>
        <w:t>DPN</w:t>
      </w:r>
      <w:proofErr w:type="spellEnd"/>
      <w:r>
        <w:rPr>
          <w:lang w:val="en-US"/>
        </w:rPr>
        <w:t xml:space="preserve">, where there are no ascending nociceptive inputs, thalamic GABA levels are reduced. Furthermore, higher GABA in painful </w:t>
      </w:r>
      <w:proofErr w:type="spellStart"/>
      <w:r>
        <w:rPr>
          <w:lang w:val="en-US"/>
        </w:rPr>
        <w:t>DPN</w:t>
      </w:r>
      <w:proofErr w:type="spellEnd"/>
      <w:r>
        <w:rPr>
          <w:lang w:val="en-US"/>
        </w:rPr>
        <w:t xml:space="preserve"> could be explained as a failed compensatory response of descending inhibitory neurotransmission.</w:t>
      </w:r>
    </w:p>
    <w:p w14:paraId="1EA3CAA1" w14:textId="2C3871B4" w:rsidR="004F7976" w:rsidRDefault="000D18DD" w:rsidP="004F7976">
      <w:pPr>
        <w:pStyle w:val="BodyA"/>
        <w:spacing w:line="360" w:lineRule="auto"/>
        <w:jc w:val="both"/>
        <w:rPr>
          <w:rFonts w:ascii="Arial" w:eastAsia="Arial" w:hAnsi="Arial" w:cs="Arial"/>
        </w:rPr>
      </w:pPr>
      <w:r w:rsidRPr="00D814E1">
        <w:rPr>
          <w:rFonts w:ascii="Arial" w:hAnsi="Arial" w:cs="Arial"/>
          <w:noProof/>
        </w:rPr>
        <w:drawing>
          <wp:inline distT="0" distB="0" distL="0" distR="0" wp14:anchorId="0C6EC75B" wp14:editId="5C94B644">
            <wp:extent cx="5727700" cy="42957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4295775"/>
                    </a:xfrm>
                    <a:prstGeom prst="rect">
                      <a:avLst/>
                    </a:prstGeom>
                  </pic:spPr>
                </pic:pic>
              </a:graphicData>
            </a:graphic>
          </wp:inline>
        </w:drawing>
      </w:r>
    </w:p>
    <w:p w14:paraId="22A273BF" w14:textId="77777777" w:rsidR="004F7976" w:rsidRPr="00C40DFD" w:rsidRDefault="004F7976" w:rsidP="004F7976">
      <w:pPr>
        <w:pStyle w:val="NoSpacing"/>
        <w:spacing w:line="360" w:lineRule="auto"/>
        <w:jc w:val="both"/>
        <w:rPr>
          <w:rFonts w:ascii="Calibri" w:eastAsia="Calibri" w:hAnsi="Calibri" w:cs="Calibri"/>
          <w:b/>
        </w:rPr>
      </w:pPr>
      <w:r w:rsidRPr="00C40DFD">
        <w:rPr>
          <w:rFonts w:ascii="Calibri" w:eastAsia="Calibri" w:hAnsi="Calibri" w:cs="Calibri"/>
          <w:b/>
          <w:bCs/>
          <w:lang w:val="en-US"/>
        </w:rPr>
        <w:t xml:space="preserve">Figure 6.5 Spinal </w:t>
      </w:r>
      <w:proofErr w:type="spellStart"/>
      <w:r w:rsidRPr="00C40DFD">
        <w:rPr>
          <w:rFonts w:ascii="Calibri" w:eastAsia="Calibri" w:hAnsi="Calibri" w:cs="Calibri"/>
          <w:b/>
          <w:bCs/>
          <w:lang w:val="en-US"/>
        </w:rPr>
        <w:t>Neuroinhibition</w:t>
      </w:r>
      <w:proofErr w:type="spellEnd"/>
      <w:r w:rsidRPr="00C40DFD">
        <w:rPr>
          <w:rFonts w:ascii="Calibri" w:eastAsia="Calibri" w:hAnsi="Calibri" w:cs="Calibri"/>
          <w:b/>
          <w:bCs/>
          <w:lang w:val="en-US"/>
        </w:rPr>
        <w:t xml:space="preserve"> adapted from </w:t>
      </w:r>
      <w:r w:rsidRPr="00C40DFD">
        <w:rPr>
          <w:rFonts w:ascii="Calibri" w:eastAsia="Calibri" w:hAnsi="Calibri" w:cs="Calibri"/>
          <w:b/>
          <w:bCs/>
        </w:rPr>
        <w:fldChar w:fldCharType="begin"/>
      </w:r>
      <w:r w:rsidRPr="00C40DFD">
        <w:rPr>
          <w:rFonts w:ascii="Calibri" w:eastAsia="Calibri" w:hAnsi="Calibri" w:cs="Calibri"/>
          <w:b/>
          <w:bCs/>
        </w:rPr>
        <w:instrText xml:space="preserve"> ADDIN EN.CITE &lt;EndNote&gt;&lt;Cite  &gt;&lt;Author&gt;Taylor&lt;/Author&gt;&lt;Year&gt;2009&lt;/Year&gt;&lt;RecNum&gt;320&lt;/RecNum&gt;&lt;DisplayText&gt;(Taylor, 2009)&lt;/DisplayText&gt;&lt;record&gt;&lt;keywords&gt;&lt;keyword&gt;Neural Inhibition -- Physiology&lt;/keyword&gt;&lt;keyword&gt;Neuralgia -- Physiopathology&lt;/keyword&gt;&lt;keyword&gt;Spinal Cord -- Physiology&lt;/keyword&gt;&lt;keyword&gt;Synaptic Transmission -- Physiology&lt;/keyword&gt;&lt;/keywords&gt;&lt;isbn&gt;1534-3081&lt;/isbn&gt;&lt;titles&gt;&lt;title&gt;Spinal inhibitory neurotransmission in neuropathic pain&lt;/title&gt;&lt;secondary-title&gt;Current pain and headache reports&lt;/secondary-title&gt;&lt;/titles&gt;&lt;pages&gt;208&lt;/pages&gt;&lt;number&gt;3&lt;/number&gt;&lt;contributors&gt;&lt;authors&gt;&lt;author&gt;Taylor, Bradley K.&lt;/author&gt;&lt;/authors&gt;&lt;/contributors&gt;&lt;added-date format="utc"&gt;1386470278&lt;/added-date&gt;&lt;ref-type name="Journal Article"&gt;17&lt;/ref-type&gt;&lt;dates&gt;&lt;year&gt;2009&lt;/year&gt;&lt;/dates&gt;&lt;rec-number&gt;320&lt;/rec-number&gt;&lt;last-updated-date format="utc"&gt;1387847341&lt;/last-updated-date&gt;&lt;volume&gt;13&lt;/volume&gt;&lt;/record&gt;&lt;/Cite&gt;&lt;/EndNote&gt;</w:instrText>
      </w:r>
      <w:r w:rsidRPr="00C40DFD">
        <w:rPr>
          <w:rFonts w:ascii="Calibri" w:eastAsia="Calibri" w:hAnsi="Calibri" w:cs="Calibri"/>
          <w:b/>
          <w:bCs/>
        </w:rPr>
        <w:fldChar w:fldCharType="separate"/>
      </w:r>
      <w:r w:rsidRPr="00C40DFD">
        <w:rPr>
          <w:rFonts w:ascii="Calibri" w:eastAsia="Calibri" w:hAnsi="Calibri" w:cs="Calibri"/>
          <w:b/>
          <w:bCs/>
          <w:lang w:val="en-US"/>
        </w:rPr>
        <w:t>(Taylor, 2009)</w:t>
      </w:r>
      <w:r w:rsidRPr="00C40DFD">
        <w:rPr>
          <w:rFonts w:ascii="Calibri" w:eastAsia="Calibri" w:hAnsi="Calibri" w:cs="Calibri"/>
          <w:b/>
          <w:bCs/>
        </w:rPr>
        <w:fldChar w:fldCharType="end"/>
      </w:r>
      <w:r w:rsidRPr="00C40DFD">
        <w:rPr>
          <w:rFonts w:ascii="Calibri" w:eastAsia="Calibri" w:hAnsi="Calibri" w:cs="Calibri"/>
          <w:b/>
          <w:lang w:val="en-US"/>
        </w:rPr>
        <w:t xml:space="preserve"> - Proposed sequence of events leading to: early spinal nociceptive transmission and either normal resolution of pain following compensatory up regulation of inhibitory system (lower left box) or pathological development of neuropathic pain when compensatory mechanisms fail (lower right box).</w:t>
      </w:r>
    </w:p>
    <w:p w14:paraId="4D3F2181" w14:textId="77777777" w:rsidR="004F7976" w:rsidRDefault="004F7976" w:rsidP="004F7976">
      <w:pPr>
        <w:pStyle w:val="NoSpacing"/>
        <w:jc w:val="both"/>
        <w:rPr>
          <w:rFonts w:ascii="Calibri" w:eastAsia="Calibri" w:hAnsi="Calibri" w:cs="Calibri"/>
        </w:rPr>
      </w:pPr>
    </w:p>
    <w:p w14:paraId="09F537C5" w14:textId="5E6CA054" w:rsidR="004F7976" w:rsidRDefault="004F7976" w:rsidP="004F7976">
      <w:pPr>
        <w:pStyle w:val="BodyA"/>
        <w:spacing w:line="480" w:lineRule="auto"/>
        <w:jc w:val="both"/>
      </w:pPr>
      <w:r>
        <w:rPr>
          <w:lang w:val="en-US"/>
        </w:rPr>
        <w:lastRenderedPageBreak/>
        <w:t xml:space="preserve">In contrary to previous published data </w:t>
      </w:r>
      <w:r>
        <w:rPr>
          <w:lang w:val="fr-FR"/>
        </w:rPr>
        <w:fldChar w:fldCharType="begin"/>
      </w:r>
      <w:r w:rsidRPr="005B5764">
        <w:instrText xml:space="preserve"> ADDIN EN.CITE &lt;EndNote&gt;&lt;Cite  &gt;&lt;Author&gt;Petrou&lt;/Author&gt;&lt;Year&gt;2012&lt;/Year&gt;&lt;RecNum&gt;428&lt;/RecNum&gt;&lt;DisplayText&gt;(Petrou et al., 2012)&lt;/DisplayText&gt;&lt;record&gt;&lt;keywords&gt;&lt;keyword&gt;Diabetes&lt;/keyword&gt;&lt;keyword&gt;Neuropathy&lt;/keyword&gt;&lt;keyword&gt;Mr Spectroscopy&lt;/keyword&gt;&lt;keyword&gt;Pain&lt;/keyword&gt;&lt;/keywords&gt;&lt;isbn&gt;1076-6332&lt;/isbn&gt;&lt;titles&gt;&lt;title&gt;Altered Excitation- inhibition Balance in the Brain of Patients with Diabetic Neuropathy&lt;/title&gt;&lt;secondary-title&gt;Academic Radiology&lt;/secondary-title&gt;&lt;/titles&gt;&lt;pages&gt;607-612&lt;/pages&gt;&lt;number&gt;5&lt;/number&gt;&lt;contributors&gt;&lt;authors&gt;&lt;author&gt;Petrou, Myria&lt;/author&gt;&lt;author&gt;Pop-Busui, Rodica&lt;/author&gt;&lt;author&gt;Foerster, Bradley R.&lt;/author&gt;&lt;author&gt;Edden, Richard A.&lt;/author&gt;&lt;author&gt;Callaghan, Brian C.&lt;/author&gt;&lt;author&gt;Harte, Steve E.&lt;/author&gt;&lt;author&gt;Harris, Richard E.&lt;/author&gt;&lt;author&gt;Clauw, Daniel J.&lt;/author&gt;&lt;author&gt;Feldman, Eva L.&lt;/author&gt;&lt;/authors&gt;&lt;/contributors&gt;&lt;added-date format="utc"&gt;1485566717&lt;/added-date&gt;&lt;ref-type name="Journal Article"&gt;17&lt;/ref-type&gt;&lt;dates&gt;&lt;year&gt;2012&lt;/year&gt;&lt;/dates&gt;&lt;rec-number&gt;428&lt;/rec-number&gt;&lt;last-updated-date format="utc"&gt;1485566717&lt;/last-updated-date&gt;&lt;electronic-resource-num&gt;10.1016/j.acra.2012.02.004&lt;/electronic-resource-num&gt;&lt;volume&gt;19&lt;/volume&gt;&lt;/record&gt;&lt;/Cite&gt;&lt;/EndNote&gt;</w:instrText>
      </w:r>
      <w:r>
        <w:rPr>
          <w:lang w:val="fr-FR"/>
        </w:rPr>
        <w:fldChar w:fldCharType="separate"/>
      </w:r>
      <w:r w:rsidRPr="005B5764">
        <w:t>(Petrou et al., 2012)</w:t>
      </w:r>
      <w:r>
        <w:rPr>
          <w:lang w:val="fr-FR"/>
        </w:rPr>
        <w:fldChar w:fldCharType="end"/>
      </w:r>
      <w:r>
        <w:rPr>
          <w:lang w:val="en-US"/>
        </w:rPr>
        <w:t xml:space="preserve">, we failed to report any significant difference in Glx:H2O or </w:t>
      </w:r>
      <w:proofErr w:type="spellStart"/>
      <w:r>
        <w:rPr>
          <w:lang w:val="en-US"/>
        </w:rPr>
        <w:t>Glx</w:t>
      </w:r>
      <w:proofErr w:type="spellEnd"/>
      <w:r>
        <w:rPr>
          <w:lang w:val="en-US"/>
        </w:rPr>
        <w:t xml:space="preserve">/GABA ratios between the groups. The main difference between the two studies was that our patient cohort had more severe neuropathy as evidenced by high NISLL+7 score and very low </w:t>
      </w:r>
      <w:proofErr w:type="spellStart"/>
      <w:r>
        <w:rPr>
          <w:lang w:val="en-US"/>
        </w:rPr>
        <w:t>IENFD</w:t>
      </w:r>
      <w:proofErr w:type="spellEnd"/>
      <w:r>
        <w:rPr>
          <w:lang w:val="en-US"/>
        </w:rPr>
        <w:t xml:space="preserve">. Hence, in early painful </w:t>
      </w:r>
      <w:proofErr w:type="spellStart"/>
      <w:r>
        <w:rPr>
          <w:lang w:val="en-US"/>
        </w:rPr>
        <w:t>DPN</w:t>
      </w:r>
      <w:proofErr w:type="spellEnd"/>
      <w:r>
        <w:rPr>
          <w:lang w:val="en-US"/>
        </w:rPr>
        <w:t xml:space="preserve"> phase there might be higher excitatory neurotransmission which diminishes as neuropathy advances. A larger prospective trial in future might provide better insight in this respect. Another possible explanation is high prevalence of emotional burden in our painful </w:t>
      </w:r>
      <w:proofErr w:type="spellStart"/>
      <w:r>
        <w:rPr>
          <w:lang w:val="en-US"/>
        </w:rPr>
        <w:t>DPN</w:t>
      </w:r>
      <w:proofErr w:type="spellEnd"/>
      <w:r>
        <w:rPr>
          <w:lang w:val="en-US"/>
        </w:rPr>
        <w:t xml:space="preserve"> subgroup as evidenced by higher </w:t>
      </w:r>
      <w:proofErr w:type="spellStart"/>
      <w:r>
        <w:rPr>
          <w:lang w:val="en-US"/>
        </w:rPr>
        <w:t>HADs</w:t>
      </w:r>
      <w:proofErr w:type="spellEnd"/>
      <w:r>
        <w:rPr>
          <w:lang w:val="en-US"/>
        </w:rPr>
        <w:t xml:space="preserve"> and depression subset score. Previous studies in major depression and bipolar disorder has shown lower </w:t>
      </w:r>
      <w:proofErr w:type="spellStart"/>
      <w:r>
        <w:rPr>
          <w:lang w:val="en-US"/>
        </w:rPr>
        <w:t>Glx</w:t>
      </w:r>
      <w:proofErr w:type="spellEnd"/>
      <w:r>
        <w:rPr>
          <w:lang w:val="en-US"/>
        </w:rPr>
        <w:t xml:space="preserve"> in dorsolateral prefrontal cortex </w:t>
      </w:r>
      <w:r>
        <w:rPr>
          <w:lang w:val="de-DE"/>
        </w:rPr>
        <w:fldChar w:fldCharType="begin"/>
      </w:r>
      <w:r w:rsidRPr="005B5764">
        <w:instrText xml:space="preserve"> ADDIN EN.CITE &lt;EndNote&gt;&lt;Cite  &gt;&lt;Author&gt;Yildiz-Yesiloglu&lt;/Author&gt;&lt;Year&gt;2006&lt;/Year&gt;&lt;RecNum&gt;564&lt;/RecNum&gt;&lt;DisplayText&gt;(Yildiz-Yesiloglu and Ankerst, 2006)&lt;/DisplayText&gt;&lt;record&gt;&lt;dates&gt;&lt;pub-dates&gt;&lt;date&gt;Jun&lt;/date&gt;&lt;/pub-dates&gt;&lt;year&gt;2006&lt;/year&gt;&lt;/dates&gt;&lt;keywords&gt;&lt;keyword&gt;Aspartic Acid&lt;/keyword&gt;&lt;keyword&gt;Brain&lt;/keyword&gt;&lt;keyword&gt;Choline&lt;/keyword&gt;&lt;keyword&gt;Creatine&lt;/keyword&gt;&lt;keyword&gt;Depressive Disorder, Major&lt;/keyword&gt;&lt;keyword&gt;Glutamic Acid&lt;/keyword&gt;&lt;keyword&gt;Humans&lt;/keyword&gt;&lt;keyword&gt;Inositol&lt;/keyword&gt;&lt;keyword&gt;Magnetic Resonance Spectroscopy&lt;/keyword&gt;&lt;keyword&gt;Phosphocreatine&lt;/keyword&gt;&lt;keyword&gt;Protons&lt;/keyword&gt;&lt;keyword&gt;gamma-Aminobutyric Acid&lt;/keyword&gt;&lt;/keywords&gt;&lt;urls&gt;&lt;related-urls&gt;&lt;url&gt;https://www.ncbi.nlm.nih.gov/pubmed/16806850&lt;/url&gt;&lt;/related-urls&gt;&lt;/urls&gt;&lt;isbn&gt;0165-1781&lt;/isbn&gt;&lt;titles&gt;&lt;title&gt;Review of 1H magnetic resonance spectroscopy findings in major depressive disorder: a meta-analysis&lt;/title&gt;&lt;secondary-title&gt;Psychiatry Res&lt;/secondary-title&gt;&lt;/titles&gt;&lt;pages&gt;1-25&lt;/pages&gt;&lt;number&gt;1&lt;/number&gt;&lt;contributors&gt;&lt;authors&gt;&lt;author&gt;Yildiz-Yesiloglu, A.&lt;/author&gt;&lt;author&gt;Ankerst, D. P.&lt;/author&gt;&lt;/authors&gt;&lt;/contributors&gt;&lt;edition&gt;2006/06/27&lt;/edition&gt;&lt;language&gt;eng&lt;/language&gt;&lt;added-date format="utc"&gt;1549934238&lt;/added-date&gt;&lt;ref-type name="Journal Article"&gt;17&lt;/ref-type&gt;&lt;rec-number&gt;564&lt;/rec-number&gt;&lt;last-updated-date format="utc"&gt;1549934238&lt;/last-updated-date&gt;&lt;accession-num&gt;16806850&lt;/accession-num&gt;&lt;electronic-resource-num&gt;10.1016/j.pscychresns.2005.12.004&lt;/electronic-resource-num&gt;&lt;volume&gt;147&lt;/volume&gt;&lt;/record&gt;&lt;/Cite&gt;&lt;/EndNote&gt;</w:instrText>
      </w:r>
      <w:r>
        <w:rPr>
          <w:lang w:val="de-DE"/>
        </w:rPr>
        <w:fldChar w:fldCharType="separate"/>
      </w:r>
      <w:r w:rsidRPr="005B5764">
        <w:t>(Yildiz-Yesiloglu and Ankerst, 2006)</w:t>
      </w:r>
      <w:r>
        <w:rPr>
          <w:lang w:val="de-DE"/>
        </w:rPr>
        <w:fldChar w:fldCharType="end"/>
      </w:r>
      <w:r>
        <w:rPr>
          <w:lang w:val="en-US"/>
        </w:rPr>
        <w:t xml:space="preserve"> and other prefrontal cortical (PFC) areas such as the </w:t>
      </w:r>
      <w:proofErr w:type="spellStart"/>
      <w:r>
        <w:rPr>
          <w:lang w:val="en-US"/>
        </w:rPr>
        <w:t>dorso</w:t>
      </w:r>
      <w:proofErr w:type="spellEnd"/>
      <w:r>
        <w:rPr>
          <w:lang w:val="en-US"/>
        </w:rPr>
        <w:t xml:space="preserve">-medial and </w:t>
      </w:r>
      <w:proofErr w:type="spellStart"/>
      <w:r>
        <w:rPr>
          <w:lang w:val="en-US"/>
        </w:rPr>
        <w:t>dorso</w:t>
      </w:r>
      <w:proofErr w:type="spellEnd"/>
      <w:r>
        <w:rPr>
          <w:lang w:val="en-US"/>
        </w:rPr>
        <w:t xml:space="preserve">-anterolateral PFC </w:t>
      </w:r>
      <w:r>
        <w:fldChar w:fldCharType="begin"/>
      </w:r>
      <w:r>
        <w:instrText xml:space="preserve"> ADDIN EN.CITE &lt;EndNote&gt;&lt;Cite  &gt;&lt;Author&gt;Hasler&lt;/Author&gt;&lt;Year&gt;2007&lt;/Year&gt;&lt;RecNum&gt;565&lt;/RecNum&gt;&lt;DisplayText&gt;(Hasler et al., 2007)&lt;/DisplayText&gt;&lt;record&gt;&lt;dates&gt;&lt;pub-dates&gt;&lt;date&gt;Feb&lt;/date&gt;&lt;/pub-dates&gt;&lt;year&gt;2007&lt;/year&gt;&lt;/dates&gt;&lt;keywords&gt;&lt;keyword&gt;Adult&lt;/keyword&gt;&lt;keyword&gt;Ambulatory Care&lt;/keyword&gt;&lt;keyword&gt;Cell Count&lt;/keyword&gt;&lt;keyword&gt;Cross-Sectional Studies&lt;/keyword&gt;&lt;keyword&gt;Depressive Disorder, Major&lt;/keyword&gt;&lt;keyword&gt;Female&lt;/keyword&gt;&lt;keyword&gt;Glutamic Acid&lt;/keyword&gt;&lt;keyword&gt;Glutamine&lt;/keyword&gt;&lt;keyword&gt;Humans&lt;/keyword&gt;&lt;keyword&gt;Magnetic Resonance Spectroscopy&lt;/keyword&gt;&lt;keyword&gt;Male&lt;/keyword&gt;&lt;keyword&gt;Middle Aged&lt;/keyword&gt;&lt;keyword&gt;Neuroglia&lt;/keyword&gt;&lt;keyword&gt;Prefrontal Cortex&lt;/keyword&gt;&lt;keyword&gt;gamma-Aminobutyric Acid&lt;/keyword&gt;&lt;/keywords&gt;&lt;urls&gt;&lt;related-urls&gt;&lt;url&gt;https://www.ncbi.nlm.nih.gov/pubmed/17283286&lt;/url&gt;&lt;/related-urls&gt;&lt;/urls&gt;&lt;isbn&gt;0003-990X&lt;/isbn&gt;&lt;titles&gt;&lt;title&gt;Reduced prefrontal glutamate/glutamine and gamma-aminobutyric acid levels in major depression determined using proton magnetic resonance spectroscopy&lt;/title&gt;&lt;secondary-title&gt;Arch Gen Psychiatry&lt;/secondary-title&gt;&lt;/titles&gt;&lt;pages&gt;193-200&lt;/pages&gt;&lt;number&gt;2&lt;/number&gt;&lt;contributors&gt;&lt;authors&gt;&lt;author&gt;Hasler, G.&lt;/author&gt;&lt;author&gt;van der Veen, J. W.&lt;/author&gt;&lt;author&gt;Tumonis, T.&lt;/author&gt;&lt;author&gt;Meyers, N.&lt;/author&gt;&lt;author&gt;Shen, J.&lt;/author&gt;&lt;author&gt;Drevets, W. C.&lt;/author&gt;&lt;/authors&gt;&lt;/contributors&gt;&lt;language&gt;eng&lt;/language&gt;&lt;added-date format="utc"&gt;1549934455&lt;/added-date&gt;&lt;ref-type name="Journal Article"&gt;17&lt;/ref-type&gt;&lt;rec-number&gt;565&lt;/rec-number&gt;&lt;last-updated-date format="utc"&gt;1549934455&lt;/last-updated-date&gt;&lt;accession-num&gt;17283286&lt;/accession-num&gt;&lt;electronic-resource-num&gt;10.1001/archpsyc.64.2.193&lt;/electronic-resource-num&gt;&lt;volume&gt;64&lt;/volume&gt;&lt;/record&gt;&lt;/Cite&gt;&lt;/EndNote&gt;</w:instrText>
      </w:r>
      <w:r>
        <w:fldChar w:fldCharType="separate"/>
      </w:r>
      <w:r>
        <w:t>(Hasler et al., 2007)</w:t>
      </w:r>
      <w:r>
        <w:fldChar w:fldCharType="end"/>
      </w:r>
      <w:r>
        <w:rPr>
          <w:lang w:val="en-US"/>
        </w:rPr>
        <w:t xml:space="preserve"> and anterior cingulate cortex (ACC) </w:t>
      </w:r>
      <w:r>
        <w:fldChar w:fldCharType="begin"/>
      </w:r>
      <w:r>
        <w:instrText xml:space="preserve"> ADDIN EN.CITE &lt;EndNote&gt;&lt;Cite  &gt;&lt;Author&gt;Auer&lt;/Author&gt;&lt;Year&gt;2000&lt;/Year&gt;&lt;DisplayText&gt;(Auer et al., 2000)&lt;/DisplayText&gt;&lt;record&gt;&lt;dates&gt;&lt;pub-dates&gt;&lt;date&gt;Feb&lt;/date&gt;&lt;/pub-dates&gt;&lt;year&gt;2000&lt;/year&gt;&lt;/dates&gt;&lt;keywords&gt;&lt;keyword&gt;Adult&lt;/keyword&gt;&lt;keyword&gt;Aged&lt;/keyword&gt;&lt;keyword&gt;Aspartic Acid&lt;/keyword&gt;&lt;keyword&gt;Choline&lt;/keyword&gt;&lt;keyword&gt;Creatine&lt;/keyword&gt;&lt;keyword&gt;Depressive Disorder, Major&lt;/keyword&gt;&lt;keyword&gt;Female&lt;/keyword&gt;&lt;keyword&gt;Frontal Lobe&lt;/keyword&gt;&lt;keyword&gt;Glutamic Acid&lt;/keyword&gt;&lt;keyword&gt;Glutamine&lt;/keyword&gt;&lt;keyword&gt;Gyrus Cinguli&lt;/keyword&gt;&lt;keyword&gt;Humans&lt;/keyword&gt;&lt;keyword&gt;Magnetic Resonance Spectroscopy&lt;/keyword&gt;&lt;keyword&gt;Male&lt;/keyword&gt;&lt;keyword&gt;Middle Aged&lt;/keyword&gt;&lt;keyword&gt;Myo-Inositol-1-Phosphate Synthase&lt;/keyword&gt;&lt;keyword&gt;Severity of Illness Index&lt;/keyword&gt;&lt;/keywords&gt;&lt;urls&gt;&lt;related-urls&gt;&lt;url&gt;https://www.ncbi.nlm.nih.gov/pubmed/10686265&lt;/url&gt;&lt;/related-urls&gt;&lt;/urls&gt;&lt;isbn&gt;0006-3223&lt;/isbn&gt;&lt;titles&gt;&lt;title&gt;Reduced glutamate in the anterior cingulate cortex in depression: an in vivo proton magnetic resonance spectroscopy study&lt;/title&gt;&lt;secondary-title&gt;Biol Psychiatry&lt;/secondary-title&gt;&lt;/titles&gt;&lt;pages&gt;305-13&lt;/pages&gt;&lt;number&gt;4&lt;/number&gt;&lt;contributors&gt;&lt;authors&gt;&lt;author&gt;Auer, D. P.&lt;/author&gt;&lt;author&gt;Pütz, B.&lt;/author&gt;&lt;author&gt;Kraft, E.&lt;/author&gt;&lt;author&gt;Lipinski, B.&lt;/author&gt;&lt;author&gt;Schill, J.&lt;/author&gt;&lt;author&gt;Holsboer, F.&lt;/author&gt;&lt;/authors&gt;&lt;/contributors&gt;&lt;language&gt;eng&lt;/language&gt;&lt;added-date format="utc"&gt;1549934622&lt;/added-date&gt;&lt;ref-type name="Journal Article"&gt;17&lt;/ref-type&gt;&lt;rec-number&gt;566&lt;/rec-number&gt;&lt;last-updated-date format="utc"&gt;1549934622&lt;/last-updated-date&gt;&lt;accession-num&gt;10686265&lt;/accession-num&gt;&lt;volume&gt;47&lt;/volume&gt;&lt;/record&gt;&lt;/Cite&gt;&lt;/EndNote&gt;</w:instrText>
      </w:r>
      <w:r>
        <w:fldChar w:fldCharType="separate"/>
      </w:r>
      <w:r>
        <w:t>(Auer et al., 2000)</w:t>
      </w:r>
      <w:r>
        <w:fldChar w:fldCharType="end"/>
      </w:r>
      <w:r>
        <w:rPr>
          <w:lang w:val="en-US"/>
        </w:rPr>
        <w:t xml:space="preserve">. Our data also showed reduced </w:t>
      </w:r>
      <w:proofErr w:type="spellStart"/>
      <w:r>
        <w:rPr>
          <w:lang w:val="en-US"/>
        </w:rPr>
        <w:t>Glx</w:t>
      </w:r>
      <w:proofErr w:type="spellEnd"/>
      <w:r>
        <w:rPr>
          <w:lang w:val="en-US"/>
        </w:rPr>
        <w:t xml:space="preserve"> and </w:t>
      </w:r>
      <w:proofErr w:type="spellStart"/>
      <w:r>
        <w:rPr>
          <w:lang w:val="en-US"/>
        </w:rPr>
        <w:t>Glx</w:t>
      </w:r>
      <w:proofErr w:type="spellEnd"/>
      <w:r>
        <w:rPr>
          <w:lang w:val="en-US"/>
        </w:rPr>
        <w:t xml:space="preserve">/GABA ratio in painful </w:t>
      </w:r>
      <w:proofErr w:type="spellStart"/>
      <w:r>
        <w:rPr>
          <w:lang w:val="en-US"/>
        </w:rPr>
        <w:t>DPN</w:t>
      </w:r>
      <w:proofErr w:type="spellEnd"/>
      <w:r>
        <w:rPr>
          <w:lang w:val="en-US"/>
        </w:rPr>
        <w:t xml:space="preserve"> and </w:t>
      </w:r>
      <w:proofErr w:type="spellStart"/>
      <w:r>
        <w:rPr>
          <w:lang w:val="en-US"/>
        </w:rPr>
        <w:t>Glx</w:t>
      </w:r>
      <w:proofErr w:type="spellEnd"/>
      <w:r>
        <w:rPr>
          <w:lang w:val="en-US"/>
        </w:rPr>
        <w:t xml:space="preserve"> had significant negative correlation to total </w:t>
      </w:r>
      <w:proofErr w:type="spellStart"/>
      <w:r>
        <w:rPr>
          <w:lang w:val="en-US"/>
        </w:rPr>
        <w:t>HADs</w:t>
      </w:r>
      <w:proofErr w:type="spellEnd"/>
      <w:r>
        <w:rPr>
          <w:lang w:val="en-US"/>
        </w:rPr>
        <w:t xml:space="preserve"> and depression subset score. It is well known that effective treatment of depression can improve chronic pain outcome also </w:t>
      </w:r>
      <w:r>
        <w:fldChar w:fldCharType="begin"/>
      </w:r>
      <w:r>
        <w:instrText xml:space="preserve"> ADDIN EN.CITE &lt;EndNote&gt;&lt;Cite  &gt;&lt;Author&gt;Teh&lt;/Author&gt;&lt;Year&gt;2010&lt;/Year&gt;&lt;RecNum&gt;567&lt;/RecNum&gt;&lt;DisplayText&gt;(Teh et al., 2010)&lt;/DisplayText&gt;&lt;record&gt;&lt;dates&gt;&lt;pub-dates&gt;&lt;date&gt;Jan&lt;/date&gt;&lt;/pub-dates&gt;&lt;year&gt;2010&lt;/year&gt;&lt;/dates&gt;&lt;keywords&gt;&lt;keyword&gt;Chronic Disease&lt;/keyword&gt;&lt;keyword&gt;Comorbidity&lt;/keyword&gt;&lt;keyword&gt;Cost of Illness&lt;/keyword&gt;&lt;keyword&gt;Depressive Disorder, Major&lt;/keyword&gt;&lt;keyword&gt;Employment&lt;/keyword&gt;&lt;keyword&gt;Female&lt;/keyword&gt;&lt;keyword&gt;Health Status&lt;/keyword&gt;&lt;keyword&gt;Health Surveys&lt;/keyword&gt;&lt;keyword&gt;Humans&lt;/keyword&gt;&lt;keyword&gt;Logistic Models&lt;/keyword&gt;&lt;keyword&gt;Male&lt;/keyword&gt;&lt;keyword&gt;Mental Health&lt;/keyword&gt;&lt;keyword&gt;Middle Aged&lt;/keyword&gt;&lt;keyword&gt;Outcome Assessment (Health Care)&lt;/keyword&gt;&lt;keyword&gt;Pain&lt;/keyword&gt;&lt;keyword&gt;Pain Management&lt;/keyword&gt;&lt;keyword&gt;Propensity Score&lt;/keyword&gt;&lt;keyword&gt;Psychiatric Status Rating Scales&lt;/keyword&gt;&lt;keyword&gt;Quality of Health Care&lt;/keyword&gt;&lt;keyword&gt;Sickness Impact Profile&lt;/keyword&gt;&lt;keyword&gt;Surveys and Questionnaires&lt;/keyword&gt;&lt;/keywords&gt;&lt;urls&gt;&lt;related-urls&gt;&lt;url&gt;https://www.ncbi.nlm.nih.gov/pubmed/19875633&lt;/url&gt;&lt;/related-urls&gt;&lt;/urls&gt;&lt;isbn&gt;1534-7796&lt;/isbn&gt;&lt;custom2&gt;PMC3171143&lt;/custom2&gt;&lt;titles&gt;&lt;title&gt;Effect of depression treatment on chronic pain outcomes&lt;/title&gt;&lt;secondary-title&gt;Psychosom Med&lt;/secondary-title&gt;&lt;/titles&gt;&lt;pages&gt;61-7&lt;/pages&gt;&lt;number&gt;1&lt;/number&gt;&lt;contributors&gt;&lt;authors&gt;&lt;author&gt;Teh, C. F.&lt;/author&gt;&lt;author&gt;Zaslavsky, A. M.&lt;/author&gt;&lt;author&gt;Reynolds, C. F.&lt;/author&gt;&lt;author&gt;Cleary, P. D.&lt;/author&gt;&lt;/authors&gt;&lt;/contributors&gt;&lt;edition&gt;2009/10/29&lt;/edition&gt;&lt;language&gt;eng&lt;/language&gt;&lt;added-date format="utc"&gt;1549935448&lt;/added-date&gt;&lt;ref-type name="Journal Article"&gt;17&lt;/ref-type&gt;&lt;rec-number&gt;567&lt;/rec-number&gt;&lt;last-updated-date format="utc"&gt;1549935448&lt;/last-updated-date&gt;&lt;accession-num&gt;19875633&lt;/accession-num&gt;&lt;electronic-resource-num&gt;10.1097/PSY.0b013e3181c2a7a8&lt;/electronic-resource-num&gt;&lt;volume&gt;72&lt;/volume&gt;&lt;/record&gt;&lt;/Cite&gt;&lt;/EndNote&gt;</w:instrText>
      </w:r>
      <w:r>
        <w:fldChar w:fldCharType="separate"/>
      </w:r>
      <w:r>
        <w:t>(Teh et al., 2010)</w:t>
      </w:r>
      <w:r>
        <w:fldChar w:fldCharType="end"/>
      </w:r>
      <w:r w:rsidRPr="005B5764">
        <w:t xml:space="preserve">. </w:t>
      </w:r>
      <w:r>
        <w:rPr>
          <w:lang w:val="en-US"/>
        </w:rPr>
        <w:t xml:space="preserve">Depression and chronic pain often have similar neurobiological changes in common higher </w:t>
      </w:r>
      <w:proofErr w:type="spellStart"/>
      <w:r>
        <w:rPr>
          <w:lang w:val="en-US"/>
        </w:rPr>
        <w:t>centres</w:t>
      </w:r>
      <w:proofErr w:type="spellEnd"/>
      <w:r>
        <w:rPr>
          <w:lang w:val="en-US"/>
        </w:rPr>
        <w:t xml:space="preserve"> in brain. Chronic pain can result in anatomical and functional changes in insular cortex which is involved in pain processing and affective disorders </w:t>
      </w:r>
      <w:r>
        <w:fldChar w:fldCharType="begin"/>
      </w:r>
      <w:r>
        <w:instrText xml:space="preserve"> ADDIN EN.CITE &lt;EndNote&gt;&lt;Cite  &gt;&lt;Author&gt;Lu&lt;/Author&gt;&lt;Year&gt;2016&lt;/Year&gt;&lt;RecNum&gt;568&lt;/RecNum&gt;&lt;DisplayText&gt;(Lu et al., 2016)&lt;/DisplayText&gt;&lt;record&gt;&lt;dates&gt;&lt;pub-dates&gt;&lt;date&gt;Apr&lt;/date&gt;&lt;/pub-dates&gt;&lt;year&gt;2016&lt;/year&gt;&lt;/dates&gt;&lt;keywords&gt;&lt;keyword&gt;Cerebral Cortex&lt;/keyword&gt;&lt;keyword&gt;Chronic Pain&lt;/keyword&gt;&lt;keyword&gt;Discrimination (Psychology)&lt;/keyword&gt;&lt;keyword&gt;Emotions&lt;/keyword&gt;&lt;keyword&gt;Humans&lt;/keyword&gt;&lt;keyword&gt;Neural Pathways&lt;/keyword&gt;&lt;keyword&gt;Pain Perception&lt;/keyword&gt;&lt;keyword&gt;Dopamine&lt;/keyword&gt;&lt;keyword&gt;Emotion&lt;/keyword&gt;&lt;keyword&gt;GABA&lt;/keyword&gt;&lt;keyword&gt;Insular cortex&lt;/keyword&gt;&lt;keyword&gt;Molecular mechanism&lt;/keyword&gt;&lt;keyword&gt;Neural network&lt;/keyword&gt;&lt;keyword&gt;Pain&lt;/keyword&gt;&lt;/keywords&gt;&lt;urls&gt;&lt;related-urls&gt;&lt;url&gt;https://www.ncbi.nlm.nih.gov/pubmed/26898298&lt;/url&gt;&lt;/related-urls&gt;&lt;/urls&gt;&lt;isbn&gt;1995-8218&lt;/isbn&gt;&lt;custom2&gt;PMC5563738&lt;/custom2&gt;&lt;titles&gt;&lt;title&gt;Insular Cortex is Critical for the Perception, Modulation, and Chronification of Pain&lt;/title&gt;&lt;secondary-title&gt;Neurosci Bull&lt;/secondary-title&gt;&lt;/titles&gt;&lt;pages&gt;191-201&lt;/pages&gt;&lt;number&gt;2&lt;/number&gt;&lt;contributors&gt;&lt;authors&gt;&lt;author&gt;Lu, C.&lt;/author&gt;&lt;author&gt;Yang, T.&lt;/author&gt;&lt;author&gt;Zhao, H.&lt;/author&gt;&lt;author&gt;Zhang, M.&lt;/author&gt;&lt;author&gt;Meng, F.&lt;/author&gt;&lt;author&gt;Fu, H.&lt;/author&gt;&lt;author&gt;Xie, Y.&lt;/author&gt;&lt;author&gt;Xu, H.&lt;/author&gt;&lt;/authors&gt;&lt;/contributors&gt;&lt;edition&gt;2016/02/22&lt;/edition&gt;&lt;language&gt;eng&lt;/language&gt;&lt;added-date format="utc"&gt;1549936349&lt;/added-date&gt;&lt;ref-type name="Journal Article"&gt;17&lt;/ref-type&gt;&lt;rec-number&gt;568&lt;/rec-number&gt;&lt;last-updated-date format="utc"&gt;1549936349&lt;/last-updated-date&gt;&lt;accession-num&gt;26898298&lt;/accession-num&gt;&lt;electronic-resource-num&gt;10.1007/s12264-016-0016-y&lt;/electronic-resource-num&gt;&lt;volume&gt;32&lt;/volume&gt;&lt;/record&gt;&lt;/Cite&gt;&lt;/EndNote&gt;</w:instrText>
      </w:r>
      <w:r>
        <w:fldChar w:fldCharType="separate"/>
      </w:r>
      <w:r>
        <w:t>(Lu et al., 2016)</w:t>
      </w:r>
      <w:r>
        <w:fldChar w:fldCharType="end"/>
      </w:r>
      <w:r>
        <w:rPr>
          <w:lang w:val="en-US"/>
        </w:rPr>
        <w:t>. In future using this objective H+ MRS method, we might be able to identify these patients early and provide effective early treatment for depression and subsequently leading to better pain control also. It might be also possible to subjectively monitor effectiveness of treatment by monitoring ‘</w:t>
      </w:r>
      <w:r>
        <w:t>H-MRS-visible</w:t>
      </w:r>
      <w:r>
        <w:rPr>
          <w:lang w:val="en-US"/>
        </w:rPr>
        <w:t xml:space="preserve">’ inhibitory neurotransmitter GABA and excitatory neurotransmitter </w:t>
      </w:r>
      <w:proofErr w:type="spellStart"/>
      <w:r>
        <w:rPr>
          <w:lang w:val="en-US"/>
        </w:rPr>
        <w:t>Glx</w:t>
      </w:r>
      <w:proofErr w:type="spellEnd"/>
      <w:r>
        <w:rPr>
          <w:lang w:val="en-US"/>
        </w:rPr>
        <w:t xml:space="preserve">. </w:t>
      </w:r>
    </w:p>
    <w:p w14:paraId="1F69353E" w14:textId="6FBEF2CE" w:rsidR="004F7976" w:rsidRDefault="004F7976" w:rsidP="004F7976">
      <w:pPr>
        <w:pStyle w:val="BodyA"/>
        <w:spacing w:line="480" w:lineRule="auto"/>
        <w:jc w:val="both"/>
        <w:rPr>
          <w:lang w:val="en-US"/>
        </w:rPr>
      </w:pPr>
      <w:r>
        <w:rPr>
          <w:lang w:val="en-US"/>
        </w:rPr>
        <w:lastRenderedPageBreak/>
        <w:t>Finally, this study, containing a well-</w:t>
      </w:r>
      <w:proofErr w:type="spellStart"/>
      <w:r>
        <w:rPr>
          <w:lang w:val="en-US"/>
        </w:rPr>
        <w:t>characterised</w:t>
      </w:r>
      <w:proofErr w:type="spellEnd"/>
      <w:r>
        <w:rPr>
          <w:lang w:val="en-US"/>
        </w:rPr>
        <w:t xml:space="preserve"> cohort of </w:t>
      </w:r>
      <w:proofErr w:type="spellStart"/>
      <w:r>
        <w:rPr>
          <w:lang w:val="en-US"/>
        </w:rPr>
        <w:t>DPN</w:t>
      </w:r>
      <w:proofErr w:type="spellEnd"/>
      <w:r>
        <w:rPr>
          <w:lang w:val="en-US"/>
        </w:rPr>
        <w:t xml:space="preserve"> patients demonstrates lower levels of the ‘</w:t>
      </w:r>
      <w:r>
        <w:t>H-MRS-visible</w:t>
      </w:r>
      <w:r>
        <w:rPr>
          <w:lang w:val="en-US"/>
        </w:rPr>
        <w:t xml:space="preserve">’ inhibitory neurotransmitter GABA ratio in the thalamus of patients with painless </w:t>
      </w:r>
      <w:proofErr w:type="spellStart"/>
      <w:r>
        <w:rPr>
          <w:lang w:val="en-US"/>
        </w:rPr>
        <w:t>DPN</w:t>
      </w:r>
      <w:proofErr w:type="spellEnd"/>
      <w:r>
        <w:rPr>
          <w:lang w:val="en-US"/>
        </w:rPr>
        <w:t xml:space="preserve">. A further understanding of the cerebral neuronal excitatory/inhibitory balance inferred from H-MRS may help determine the mechanistic basis of pain perception in </w:t>
      </w:r>
      <w:proofErr w:type="spellStart"/>
      <w:r>
        <w:rPr>
          <w:lang w:val="en-US"/>
        </w:rPr>
        <w:t>DPN</w:t>
      </w:r>
      <w:proofErr w:type="spellEnd"/>
      <w:r>
        <w:rPr>
          <w:lang w:val="en-US"/>
        </w:rPr>
        <w:t>. Future studies with this non-invasive technique might support its role in predicting patients who might show improved response to treatments.</w:t>
      </w:r>
    </w:p>
    <w:p w14:paraId="0B75C7C5" w14:textId="3287F373" w:rsidR="00DF2C35" w:rsidRDefault="00DF2C35" w:rsidP="004F7976">
      <w:pPr>
        <w:pStyle w:val="BodyA"/>
        <w:spacing w:line="480" w:lineRule="auto"/>
        <w:jc w:val="both"/>
        <w:rPr>
          <w:lang w:val="en-US"/>
        </w:rPr>
      </w:pPr>
    </w:p>
    <w:p w14:paraId="24935C52" w14:textId="686559CE" w:rsidR="00DF2C35" w:rsidRDefault="00DF2C35" w:rsidP="004F7976">
      <w:pPr>
        <w:pStyle w:val="BodyA"/>
        <w:spacing w:line="480" w:lineRule="auto"/>
        <w:jc w:val="both"/>
        <w:rPr>
          <w:lang w:val="en-US"/>
        </w:rPr>
      </w:pPr>
    </w:p>
    <w:p w14:paraId="13332B33" w14:textId="3B6A4132" w:rsidR="00DF2C35" w:rsidRDefault="00DF2C35" w:rsidP="004F7976">
      <w:pPr>
        <w:pStyle w:val="BodyA"/>
        <w:spacing w:line="480" w:lineRule="auto"/>
        <w:jc w:val="both"/>
        <w:rPr>
          <w:lang w:val="en-US"/>
        </w:rPr>
      </w:pPr>
    </w:p>
    <w:p w14:paraId="7653EB8F" w14:textId="7A69FC97" w:rsidR="00DF2C35" w:rsidRDefault="00DF2C35" w:rsidP="004F7976">
      <w:pPr>
        <w:pStyle w:val="BodyA"/>
        <w:spacing w:line="480" w:lineRule="auto"/>
        <w:jc w:val="both"/>
        <w:rPr>
          <w:lang w:val="en-US"/>
        </w:rPr>
      </w:pPr>
    </w:p>
    <w:p w14:paraId="4F0C15E8" w14:textId="4E3772F2" w:rsidR="00DF2C35" w:rsidRDefault="00DF2C35" w:rsidP="004F7976">
      <w:pPr>
        <w:pStyle w:val="BodyA"/>
        <w:spacing w:line="480" w:lineRule="auto"/>
        <w:jc w:val="both"/>
        <w:rPr>
          <w:lang w:val="en-US"/>
        </w:rPr>
      </w:pPr>
    </w:p>
    <w:p w14:paraId="4041910B" w14:textId="150C8C9F" w:rsidR="00DF2C35" w:rsidRDefault="00DF2C35" w:rsidP="004F7976">
      <w:pPr>
        <w:pStyle w:val="BodyA"/>
        <w:spacing w:line="480" w:lineRule="auto"/>
        <w:jc w:val="both"/>
        <w:rPr>
          <w:lang w:val="en-US"/>
        </w:rPr>
      </w:pPr>
    </w:p>
    <w:p w14:paraId="1D7B6A22" w14:textId="6408A80C" w:rsidR="00DF2C35" w:rsidRDefault="00DF2C35" w:rsidP="004F7976">
      <w:pPr>
        <w:pStyle w:val="BodyA"/>
        <w:spacing w:line="480" w:lineRule="auto"/>
        <w:jc w:val="both"/>
        <w:rPr>
          <w:lang w:val="en-US"/>
        </w:rPr>
      </w:pPr>
    </w:p>
    <w:p w14:paraId="3B23C9D9" w14:textId="58FE7D9D" w:rsidR="00DF2C35" w:rsidRDefault="00DF2C35" w:rsidP="004F7976">
      <w:pPr>
        <w:pStyle w:val="BodyA"/>
        <w:spacing w:line="480" w:lineRule="auto"/>
        <w:jc w:val="both"/>
        <w:rPr>
          <w:lang w:val="en-US"/>
        </w:rPr>
      </w:pPr>
    </w:p>
    <w:p w14:paraId="3625CAA0" w14:textId="708B441C" w:rsidR="00DF2C35" w:rsidRDefault="00DF2C35" w:rsidP="004F7976">
      <w:pPr>
        <w:pStyle w:val="BodyA"/>
        <w:spacing w:line="480" w:lineRule="auto"/>
        <w:jc w:val="both"/>
        <w:rPr>
          <w:lang w:val="en-US"/>
        </w:rPr>
      </w:pPr>
    </w:p>
    <w:p w14:paraId="29C0D5AB" w14:textId="45268E5A" w:rsidR="00DF2C35" w:rsidRDefault="00DF2C35" w:rsidP="004F7976">
      <w:pPr>
        <w:pStyle w:val="BodyA"/>
        <w:spacing w:line="480" w:lineRule="auto"/>
        <w:jc w:val="both"/>
        <w:rPr>
          <w:lang w:val="en-US"/>
        </w:rPr>
      </w:pPr>
    </w:p>
    <w:p w14:paraId="732FFA8B" w14:textId="12DF7FC8" w:rsidR="00DF2C35" w:rsidRDefault="00DF2C35" w:rsidP="004F7976">
      <w:pPr>
        <w:pStyle w:val="BodyA"/>
        <w:spacing w:line="480" w:lineRule="auto"/>
        <w:jc w:val="both"/>
        <w:rPr>
          <w:lang w:val="en-US"/>
        </w:rPr>
      </w:pPr>
    </w:p>
    <w:p w14:paraId="2335E23E" w14:textId="77777777" w:rsidR="00DF2C35" w:rsidRDefault="00DF2C35" w:rsidP="004F7976">
      <w:pPr>
        <w:pStyle w:val="BodyA"/>
        <w:spacing w:line="480" w:lineRule="auto"/>
        <w:jc w:val="both"/>
      </w:pPr>
    </w:p>
    <w:p w14:paraId="423EFE70" w14:textId="77777777" w:rsidR="004F7976" w:rsidRPr="00782582" w:rsidRDefault="004F7976" w:rsidP="00782582">
      <w:pPr>
        <w:pStyle w:val="Heading1"/>
        <w:spacing w:line="480" w:lineRule="auto"/>
        <w:rPr>
          <w:sz w:val="24"/>
          <w:szCs w:val="24"/>
        </w:rPr>
      </w:pPr>
      <w:bookmarkStart w:id="158" w:name="_Toc71"/>
      <w:bookmarkStart w:id="159" w:name="_Toc6093047"/>
      <w:r w:rsidRPr="005B5764">
        <w:rPr>
          <w:sz w:val="24"/>
          <w:szCs w:val="24"/>
        </w:rPr>
        <w:lastRenderedPageBreak/>
        <w:t>7 Conclusion</w:t>
      </w:r>
      <w:bookmarkEnd w:id="158"/>
      <w:bookmarkEnd w:id="159"/>
    </w:p>
    <w:p w14:paraId="05B3DC51" w14:textId="77777777" w:rsidR="004F7976" w:rsidRDefault="004F7976" w:rsidP="004F7976">
      <w:pPr>
        <w:pStyle w:val="BodyA"/>
        <w:spacing w:line="480" w:lineRule="auto"/>
        <w:jc w:val="both"/>
      </w:pPr>
      <w:r>
        <w:rPr>
          <w:lang w:val="en-US"/>
        </w:rPr>
        <w:t xml:space="preserve">Despite considerable research the pathogenesis of painful </w:t>
      </w:r>
      <w:proofErr w:type="spellStart"/>
      <w:r>
        <w:rPr>
          <w:lang w:val="en-US"/>
        </w:rPr>
        <w:t>DPN</w:t>
      </w:r>
      <w:proofErr w:type="spellEnd"/>
      <w:r>
        <w:rPr>
          <w:lang w:val="en-US"/>
        </w:rPr>
        <w:t xml:space="preserve"> remains far from being completely understood. Various previous studies both in the animal models and humans produced inconsistent and non-reproducible results. The reasons for these inconsistent results could be many, but lack of careful </w:t>
      </w:r>
      <w:proofErr w:type="spellStart"/>
      <w:r>
        <w:rPr>
          <w:lang w:val="en-US"/>
        </w:rPr>
        <w:t>characterisation</w:t>
      </w:r>
      <w:proofErr w:type="spellEnd"/>
      <w:r>
        <w:rPr>
          <w:lang w:val="en-US"/>
        </w:rPr>
        <w:t xml:space="preserve"> of the pain phenotype and lack of objective biomarkers could be possible explanation.  We have made every attempt in our above studies to carefully phenotype our subject groups and </w:t>
      </w:r>
      <w:proofErr w:type="spellStart"/>
      <w:r>
        <w:rPr>
          <w:lang w:val="en-US"/>
        </w:rPr>
        <w:t>analyse</w:t>
      </w:r>
      <w:proofErr w:type="spellEnd"/>
      <w:r>
        <w:rPr>
          <w:lang w:val="en-US"/>
        </w:rPr>
        <w:t xml:space="preserve"> both peripheral and central potential biomarkers in painful </w:t>
      </w:r>
      <w:proofErr w:type="spellStart"/>
      <w:r>
        <w:rPr>
          <w:lang w:val="en-US"/>
        </w:rPr>
        <w:t>DPN</w:t>
      </w:r>
      <w:proofErr w:type="spellEnd"/>
      <w:r>
        <w:rPr>
          <w:lang w:val="en-US"/>
        </w:rPr>
        <w:t>.</w:t>
      </w:r>
    </w:p>
    <w:p w14:paraId="6017C9CB" w14:textId="1F1D784A" w:rsidR="004F7976" w:rsidRDefault="004F7976" w:rsidP="004F7976">
      <w:pPr>
        <w:pStyle w:val="BodyA"/>
        <w:spacing w:line="480" w:lineRule="auto"/>
        <w:jc w:val="both"/>
      </w:pPr>
      <w:r>
        <w:rPr>
          <w:lang w:val="en-US"/>
        </w:rPr>
        <w:t xml:space="preserve">In Chapter 4, we have studied the role of vitamin D in painful </w:t>
      </w:r>
      <w:proofErr w:type="spellStart"/>
      <w:r>
        <w:rPr>
          <w:lang w:val="en-US"/>
        </w:rPr>
        <w:t>DPN</w:t>
      </w:r>
      <w:proofErr w:type="spellEnd"/>
      <w:r>
        <w:rPr>
          <w:lang w:val="en-US"/>
        </w:rPr>
        <w:t xml:space="preserve">. Previous both animal and human studies have supported, role of vitamin D in the pathogenesis of </w:t>
      </w:r>
      <w:proofErr w:type="spellStart"/>
      <w:r>
        <w:rPr>
          <w:lang w:val="en-US"/>
        </w:rPr>
        <w:t>DPN</w:t>
      </w:r>
      <w:proofErr w:type="spellEnd"/>
      <w:r>
        <w:rPr>
          <w:lang w:val="en-US"/>
        </w:rPr>
        <w:t xml:space="preserve">. But results were not always consistent and also failed to account for main confounding factors including sunlight exposure and general physical activity. Even after adjusting for these confounding factors, we have demonstrated significantly lower serum 25(OH)D levels in patients with </w:t>
      </w:r>
      <w:r w:rsidR="00E676A3">
        <w:rPr>
          <w:lang w:val="en-US"/>
        </w:rPr>
        <w:t>p</w:t>
      </w:r>
      <w:r>
        <w:rPr>
          <w:lang w:val="en-US"/>
        </w:rPr>
        <w:t xml:space="preserve">ainful </w:t>
      </w:r>
      <w:proofErr w:type="spellStart"/>
      <w:r>
        <w:rPr>
          <w:lang w:val="en-US"/>
        </w:rPr>
        <w:t>DPN</w:t>
      </w:r>
      <w:proofErr w:type="spellEnd"/>
      <w:r>
        <w:rPr>
          <w:lang w:val="en-US"/>
        </w:rPr>
        <w:t xml:space="preserve"> compared to patients with </w:t>
      </w:r>
      <w:r w:rsidR="00E676A3">
        <w:rPr>
          <w:lang w:val="en-US"/>
        </w:rPr>
        <w:t>p</w:t>
      </w:r>
      <w:r>
        <w:rPr>
          <w:lang w:val="en-US"/>
        </w:rPr>
        <w:t xml:space="preserve">ainless </w:t>
      </w:r>
      <w:proofErr w:type="spellStart"/>
      <w:r>
        <w:rPr>
          <w:lang w:val="en-US"/>
        </w:rPr>
        <w:t>DPN</w:t>
      </w:r>
      <w:proofErr w:type="spellEnd"/>
      <w:r>
        <w:rPr>
          <w:lang w:val="en-US"/>
        </w:rPr>
        <w:t xml:space="preserve">, </w:t>
      </w:r>
      <w:r w:rsidR="00E676A3">
        <w:rPr>
          <w:lang w:val="en-US"/>
        </w:rPr>
        <w:t>n</w:t>
      </w:r>
      <w:r>
        <w:rPr>
          <w:lang w:val="en-US"/>
        </w:rPr>
        <w:t xml:space="preserve">o </w:t>
      </w:r>
      <w:proofErr w:type="spellStart"/>
      <w:r>
        <w:rPr>
          <w:lang w:val="en-US"/>
        </w:rPr>
        <w:t>DPN</w:t>
      </w:r>
      <w:proofErr w:type="spellEnd"/>
      <w:r>
        <w:rPr>
          <w:lang w:val="en-US"/>
        </w:rPr>
        <w:t xml:space="preserve"> and </w:t>
      </w:r>
      <w:proofErr w:type="spellStart"/>
      <w:r>
        <w:rPr>
          <w:lang w:val="en-US"/>
        </w:rPr>
        <w:t>HVs</w:t>
      </w:r>
      <w:proofErr w:type="spellEnd"/>
      <w:r>
        <w:rPr>
          <w:lang w:val="en-US"/>
        </w:rPr>
        <w:t xml:space="preserve">. Previous mouse and human studies in diabetes have </w:t>
      </w:r>
      <w:proofErr w:type="spellStart"/>
      <w:r>
        <w:rPr>
          <w:lang w:val="en-US"/>
        </w:rPr>
        <w:t>hypothesised</w:t>
      </w:r>
      <w:proofErr w:type="spellEnd"/>
      <w:r>
        <w:rPr>
          <w:lang w:val="en-US"/>
        </w:rPr>
        <w:t xml:space="preserve"> role of vitamin D in </w:t>
      </w:r>
      <w:proofErr w:type="spellStart"/>
      <w:r>
        <w:rPr>
          <w:lang w:val="en-US"/>
        </w:rPr>
        <w:t>NGF</w:t>
      </w:r>
      <w:proofErr w:type="spellEnd"/>
      <w:r>
        <w:rPr>
          <w:lang w:val="en-US"/>
        </w:rPr>
        <w:t xml:space="preserve"> secretion. There was marked reduction of cold detection threshold and </w:t>
      </w:r>
      <w:proofErr w:type="spellStart"/>
      <w:r>
        <w:rPr>
          <w:lang w:val="en-US"/>
        </w:rPr>
        <w:t>SENFD</w:t>
      </w:r>
      <w:proofErr w:type="spellEnd"/>
      <w:r>
        <w:rPr>
          <w:lang w:val="en-US"/>
        </w:rPr>
        <w:t xml:space="preserve"> in the </w:t>
      </w:r>
      <w:r w:rsidR="00E676A3">
        <w:rPr>
          <w:lang w:val="en-US"/>
        </w:rPr>
        <w:t>p</w:t>
      </w:r>
      <w:r>
        <w:rPr>
          <w:lang w:val="en-US"/>
        </w:rPr>
        <w:t xml:space="preserve">ainful </w:t>
      </w:r>
      <w:proofErr w:type="spellStart"/>
      <w:r>
        <w:rPr>
          <w:lang w:val="en-US"/>
        </w:rPr>
        <w:t>DPN</w:t>
      </w:r>
      <w:proofErr w:type="spellEnd"/>
      <w:r>
        <w:rPr>
          <w:lang w:val="en-US"/>
        </w:rPr>
        <w:t xml:space="preserve"> group in our study and these markers had significant correlation with vitamin D levels.  Hence our study data also support, </w:t>
      </w:r>
      <w:proofErr w:type="spellStart"/>
      <w:r>
        <w:rPr>
          <w:lang w:val="en-US"/>
        </w:rPr>
        <w:t>NGF</w:t>
      </w:r>
      <w:proofErr w:type="spellEnd"/>
      <w:r>
        <w:rPr>
          <w:lang w:val="en-US"/>
        </w:rPr>
        <w:t xml:space="preserve"> mediated small </w:t>
      </w:r>
      <w:proofErr w:type="spellStart"/>
      <w:r>
        <w:rPr>
          <w:lang w:val="en-US"/>
        </w:rPr>
        <w:t>fibre</w:t>
      </w:r>
      <w:proofErr w:type="spellEnd"/>
      <w:r>
        <w:rPr>
          <w:lang w:val="en-US"/>
        </w:rPr>
        <w:t xml:space="preserve"> neuropathy in vitamin D deficiency. Diabetic mouse models have also shown, vitamin D can be deactivated by CYP24A1 enzyme in the presence of glucotoxicity. In our study cohort also, there was significant negative correlation between vitamin D and HbA1c, suggesting higher glucose load was associated with lower vitamin D levels, which in turn might lead to small </w:t>
      </w:r>
      <w:proofErr w:type="spellStart"/>
      <w:r>
        <w:rPr>
          <w:lang w:val="en-US"/>
        </w:rPr>
        <w:t>fibre</w:t>
      </w:r>
      <w:proofErr w:type="spellEnd"/>
      <w:r>
        <w:rPr>
          <w:lang w:val="en-US"/>
        </w:rPr>
        <w:t xml:space="preserve"> neuropathy and painful </w:t>
      </w:r>
      <w:proofErr w:type="spellStart"/>
      <w:r>
        <w:rPr>
          <w:lang w:val="en-US"/>
        </w:rPr>
        <w:t>DPN</w:t>
      </w:r>
      <w:proofErr w:type="spellEnd"/>
      <w:r>
        <w:rPr>
          <w:lang w:val="en-US"/>
        </w:rPr>
        <w:t xml:space="preserve">. </w:t>
      </w:r>
    </w:p>
    <w:p w14:paraId="0BA55DB2" w14:textId="3802C944" w:rsidR="004F7976" w:rsidRDefault="004F7976" w:rsidP="004F7976">
      <w:pPr>
        <w:pStyle w:val="BodyA"/>
        <w:spacing w:line="480" w:lineRule="auto"/>
        <w:jc w:val="both"/>
      </w:pPr>
      <w:r>
        <w:rPr>
          <w:lang w:val="en-US"/>
        </w:rPr>
        <w:lastRenderedPageBreak/>
        <w:t xml:space="preserve">In chapter 5, we have studied a panel of peripheral neural and vascular biomarkers to differentiate painless from painful </w:t>
      </w:r>
      <w:proofErr w:type="spellStart"/>
      <w:r>
        <w:rPr>
          <w:lang w:val="en-US"/>
        </w:rPr>
        <w:t>DPN</w:t>
      </w:r>
      <w:proofErr w:type="spellEnd"/>
      <w:r>
        <w:rPr>
          <w:lang w:val="en-US"/>
        </w:rPr>
        <w:t xml:space="preserve">. We measured </w:t>
      </w:r>
      <w:proofErr w:type="spellStart"/>
      <w:r>
        <w:rPr>
          <w:lang w:val="en-US"/>
        </w:rPr>
        <w:t>IENFD</w:t>
      </w:r>
      <w:proofErr w:type="spellEnd"/>
      <w:r>
        <w:rPr>
          <w:lang w:val="en-US"/>
        </w:rPr>
        <w:t xml:space="preserve"> AND </w:t>
      </w:r>
      <w:proofErr w:type="spellStart"/>
      <w:r>
        <w:rPr>
          <w:lang w:val="en-US"/>
        </w:rPr>
        <w:t>SENFD</w:t>
      </w:r>
      <w:proofErr w:type="spellEnd"/>
      <w:r>
        <w:rPr>
          <w:lang w:val="en-US"/>
        </w:rPr>
        <w:t xml:space="preserve"> using PGP 9.5 antibody, regenerating nerve </w:t>
      </w:r>
      <w:proofErr w:type="spellStart"/>
      <w:r>
        <w:rPr>
          <w:lang w:val="en-US"/>
        </w:rPr>
        <w:t>fibres</w:t>
      </w:r>
      <w:proofErr w:type="spellEnd"/>
      <w:r>
        <w:rPr>
          <w:lang w:val="en-US"/>
        </w:rPr>
        <w:t xml:space="preserve"> using GAP 43, </w:t>
      </w:r>
      <w:proofErr w:type="spellStart"/>
      <w:r>
        <w:rPr>
          <w:lang w:val="en-US"/>
        </w:rPr>
        <w:t>peptidergic</w:t>
      </w:r>
      <w:proofErr w:type="spellEnd"/>
      <w:r>
        <w:rPr>
          <w:lang w:val="en-US"/>
        </w:rPr>
        <w:t xml:space="preserve"> nerve </w:t>
      </w:r>
      <w:proofErr w:type="spellStart"/>
      <w:r>
        <w:rPr>
          <w:lang w:val="en-US"/>
        </w:rPr>
        <w:t>fibres</w:t>
      </w:r>
      <w:proofErr w:type="spellEnd"/>
      <w:r>
        <w:rPr>
          <w:lang w:val="en-US"/>
        </w:rPr>
        <w:t xml:space="preserve"> with neuropeptide </w:t>
      </w:r>
      <w:proofErr w:type="spellStart"/>
      <w:r>
        <w:rPr>
          <w:lang w:val="en-US"/>
        </w:rPr>
        <w:t>CGRP</w:t>
      </w:r>
      <w:proofErr w:type="spellEnd"/>
      <w:r>
        <w:rPr>
          <w:lang w:val="en-US"/>
        </w:rPr>
        <w:t xml:space="preserve">, and the dermal blood vessels with vascular biomarker </w:t>
      </w:r>
      <w:proofErr w:type="spellStart"/>
      <w:r>
        <w:rPr>
          <w:lang w:val="en-US"/>
        </w:rPr>
        <w:t>vWF</w:t>
      </w:r>
      <w:proofErr w:type="spellEnd"/>
      <w:r>
        <w:rPr>
          <w:lang w:val="en-US"/>
        </w:rPr>
        <w:t xml:space="preserve">. Recent works have implicated peripheral neural biomarkers such as the </w:t>
      </w:r>
      <w:proofErr w:type="spellStart"/>
      <w:r>
        <w:rPr>
          <w:lang w:val="en-US"/>
        </w:rPr>
        <w:t>peptidergic</w:t>
      </w:r>
      <w:proofErr w:type="spellEnd"/>
      <w:r>
        <w:rPr>
          <w:lang w:val="en-US"/>
        </w:rPr>
        <w:t xml:space="preserve"> nerve-</w:t>
      </w:r>
      <w:proofErr w:type="spellStart"/>
      <w:r>
        <w:rPr>
          <w:lang w:val="en-US"/>
        </w:rPr>
        <w:t>fibre</w:t>
      </w:r>
      <w:proofErr w:type="spellEnd"/>
      <w:r>
        <w:rPr>
          <w:lang w:val="en-US"/>
        </w:rPr>
        <w:t xml:space="preserve"> expressing </w:t>
      </w:r>
      <w:proofErr w:type="spellStart"/>
      <w:r>
        <w:rPr>
          <w:lang w:val="en-US"/>
        </w:rPr>
        <w:t>Trk</w:t>
      </w:r>
      <w:proofErr w:type="spellEnd"/>
      <w:r>
        <w:rPr>
          <w:lang w:val="en-US"/>
        </w:rPr>
        <w:t xml:space="preserve"> A receptor, </w:t>
      </w:r>
      <w:proofErr w:type="spellStart"/>
      <w:r>
        <w:rPr>
          <w:lang w:val="en-US"/>
        </w:rPr>
        <w:t>CGRP</w:t>
      </w:r>
      <w:proofErr w:type="spellEnd"/>
      <w:r>
        <w:rPr>
          <w:lang w:val="en-US"/>
        </w:rPr>
        <w:t xml:space="preserve"> and substance P and the nerve regeneration marker, GAP-43 in painful </w:t>
      </w:r>
      <w:proofErr w:type="spellStart"/>
      <w:r>
        <w:rPr>
          <w:lang w:val="en-US"/>
        </w:rPr>
        <w:t>DPN</w:t>
      </w:r>
      <w:proofErr w:type="spellEnd"/>
      <w:r>
        <w:rPr>
          <w:lang w:val="en-US"/>
        </w:rPr>
        <w:t xml:space="preserve">. Vascular, </w:t>
      </w:r>
      <w:proofErr w:type="spellStart"/>
      <w:r>
        <w:rPr>
          <w:lang w:val="en-US"/>
        </w:rPr>
        <w:t>haemodynamic</w:t>
      </w:r>
      <w:proofErr w:type="spellEnd"/>
      <w:r>
        <w:rPr>
          <w:lang w:val="en-US"/>
        </w:rPr>
        <w:t xml:space="preserve"> factors </w:t>
      </w:r>
      <w:r w:rsidR="003B11B6">
        <w:rPr>
          <w:lang w:val="en-US"/>
        </w:rPr>
        <w:t>have also</w:t>
      </w:r>
      <w:r>
        <w:rPr>
          <w:lang w:val="en-US"/>
        </w:rPr>
        <w:t xml:space="preserve"> been implicated in the pathogenesis of painful </w:t>
      </w:r>
      <w:proofErr w:type="spellStart"/>
      <w:r>
        <w:rPr>
          <w:lang w:val="en-US"/>
        </w:rPr>
        <w:t>DPN</w:t>
      </w:r>
      <w:proofErr w:type="spellEnd"/>
      <w:r>
        <w:rPr>
          <w:lang w:val="en-US"/>
        </w:rPr>
        <w:t xml:space="preserve"> and hence we decided to look into dermal vasculature using </w:t>
      </w:r>
      <w:proofErr w:type="spellStart"/>
      <w:r>
        <w:rPr>
          <w:lang w:val="en-US"/>
        </w:rPr>
        <w:t>vWF</w:t>
      </w:r>
      <w:proofErr w:type="spellEnd"/>
      <w:r>
        <w:rPr>
          <w:lang w:val="en-US"/>
        </w:rPr>
        <w:t xml:space="preserve"> as a vascular marker. As expected, our cohort with advanced neuropathy had equally reduced </w:t>
      </w:r>
      <w:proofErr w:type="spellStart"/>
      <w:r>
        <w:rPr>
          <w:lang w:val="en-US"/>
        </w:rPr>
        <w:t>IENFD</w:t>
      </w:r>
      <w:proofErr w:type="spellEnd"/>
      <w:r>
        <w:rPr>
          <w:lang w:val="en-US"/>
        </w:rPr>
        <w:t xml:space="preserve"> and </w:t>
      </w:r>
      <w:proofErr w:type="spellStart"/>
      <w:r>
        <w:rPr>
          <w:lang w:val="en-US"/>
        </w:rPr>
        <w:t>SENFD</w:t>
      </w:r>
      <w:proofErr w:type="spellEnd"/>
      <w:r>
        <w:rPr>
          <w:lang w:val="en-US"/>
        </w:rPr>
        <w:t xml:space="preserve"> in both painful and painless </w:t>
      </w:r>
      <w:proofErr w:type="spellStart"/>
      <w:r>
        <w:rPr>
          <w:lang w:val="en-US"/>
        </w:rPr>
        <w:t>DPN</w:t>
      </w:r>
      <w:proofErr w:type="spellEnd"/>
      <w:r>
        <w:rPr>
          <w:lang w:val="en-US"/>
        </w:rPr>
        <w:t xml:space="preserve">. In contrary to previous published data, we found no difference in </w:t>
      </w:r>
      <w:proofErr w:type="spellStart"/>
      <w:r>
        <w:rPr>
          <w:lang w:val="en-US"/>
        </w:rPr>
        <w:t>CGRP</w:t>
      </w:r>
      <w:proofErr w:type="spellEnd"/>
      <w:r>
        <w:rPr>
          <w:lang w:val="en-US"/>
        </w:rPr>
        <w:t xml:space="preserve"> and GAP-43 between painful and painless </w:t>
      </w:r>
      <w:proofErr w:type="spellStart"/>
      <w:r>
        <w:rPr>
          <w:lang w:val="en-US"/>
        </w:rPr>
        <w:t>DPN</w:t>
      </w:r>
      <w:proofErr w:type="spellEnd"/>
      <w:r>
        <w:rPr>
          <w:lang w:val="en-US"/>
        </w:rPr>
        <w:t xml:space="preserve">. However, the most important result of this study was our finding of dermal microvascular proliferation in painful </w:t>
      </w:r>
      <w:proofErr w:type="spellStart"/>
      <w:r>
        <w:rPr>
          <w:lang w:val="en-US"/>
        </w:rPr>
        <w:t>DPN</w:t>
      </w:r>
      <w:proofErr w:type="spellEnd"/>
      <w:r>
        <w:rPr>
          <w:lang w:val="en-US"/>
        </w:rPr>
        <w:t xml:space="preserve">. In contrast to cutaneous neuronal markers, there was an increase in endothelial expression of </w:t>
      </w:r>
      <w:proofErr w:type="spellStart"/>
      <w:r>
        <w:rPr>
          <w:lang w:val="en-US"/>
        </w:rPr>
        <w:t>vWF</w:t>
      </w:r>
      <w:proofErr w:type="spellEnd"/>
      <w:r>
        <w:rPr>
          <w:lang w:val="en-US"/>
        </w:rPr>
        <w:t xml:space="preserve"> in all diabetes groups and was strikingly marked in the Painful </w:t>
      </w:r>
      <w:proofErr w:type="spellStart"/>
      <w:r>
        <w:rPr>
          <w:lang w:val="en-US"/>
        </w:rPr>
        <w:t>DPN</w:t>
      </w:r>
      <w:proofErr w:type="spellEnd"/>
      <w:r>
        <w:rPr>
          <w:lang w:val="en-US"/>
        </w:rPr>
        <w:t xml:space="preserve"> group when compared to all the other groups. Our further analysis comparing relative expression of these neural markers to vascular marker </w:t>
      </w:r>
      <w:proofErr w:type="spellStart"/>
      <w:r>
        <w:rPr>
          <w:lang w:val="en-US"/>
        </w:rPr>
        <w:t>vWF</w:t>
      </w:r>
      <w:proofErr w:type="spellEnd"/>
      <w:r>
        <w:rPr>
          <w:lang w:val="en-US"/>
        </w:rPr>
        <w:t xml:space="preserve"> in painful and painless </w:t>
      </w:r>
      <w:proofErr w:type="spellStart"/>
      <w:r>
        <w:rPr>
          <w:lang w:val="en-US"/>
        </w:rPr>
        <w:t>DPN</w:t>
      </w:r>
      <w:proofErr w:type="spellEnd"/>
      <w:r>
        <w:rPr>
          <w:lang w:val="en-US"/>
        </w:rPr>
        <w:t xml:space="preserve"> showed </w:t>
      </w:r>
      <w:proofErr w:type="spellStart"/>
      <w:r>
        <w:rPr>
          <w:lang w:val="en-US"/>
        </w:rPr>
        <w:t>CGRP</w:t>
      </w:r>
      <w:proofErr w:type="spellEnd"/>
      <w:r>
        <w:rPr>
          <w:lang w:val="en-US"/>
        </w:rPr>
        <w:t xml:space="preserve"> to </w:t>
      </w:r>
      <w:proofErr w:type="spellStart"/>
      <w:r>
        <w:rPr>
          <w:lang w:val="en-US"/>
        </w:rPr>
        <w:t>vWF</w:t>
      </w:r>
      <w:proofErr w:type="spellEnd"/>
      <w:r>
        <w:rPr>
          <w:lang w:val="en-US"/>
        </w:rPr>
        <w:t xml:space="preserve"> relative expression was lower in painful </w:t>
      </w:r>
      <w:proofErr w:type="spellStart"/>
      <w:r>
        <w:rPr>
          <w:lang w:val="en-US"/>
        </w:rPr>
        <w:t>DPN</w:t>
      </w:r>
      <w:proofErr w:type="spellEnd"/>
      <w:r>
        <w:rPr>
          <w:lang w:val="en-US"/>
        </w:rPr>
        <w:t xml:space="preserve">. This suggests a relatively higher blood vessel to </w:t>
      </w:r>
      <w:proofErr w:type="spellStart"/>
      <w:r>
        <w:rPr>
          <w:lang w:val="en-US"/>
        </w:rPr>
        <w:t>peptidergic</w:t>
      </w:r>
      <w:proofErr w:type="spellEnd"/>
      <w:r>
        <w:rPr>
          <w:lang w:val="en-US"/>
        </w:rPr>
        <w:t xml:space="preserve"> nerve </w:t>
      </w:r>
      <w:proofErr w:type="spellStart"/>
      <w:r>
        <w:rPr>
          <w:lang w:val="en-US"/>
        </w:rPr>
        <w:t>fibre</w:t>
      </w:r>
      <w:proofErr w:type="spellEnd"/>
      <w:r>
        <w:rPr>
          <w:lang w:val="en-US"/>
        </w:rPr>
        <w:t xml:space="preserve"> ratio in painful </w:t>
      </w:r>
      <w:proofErr w:type="spellStart"/>
      <w:r>
        <w:rPr>
          <w:lang w:val="en-US"/>
        </w:rPr>
        <w:t>DPN</w:t>
      </w:r>
      <w:proofErr w:type="spellEnd"/>
      <w:r>
        <w:rPr>
          <w:lang w:val="en-US"/>
        </w:rPr>
        <w:t xml:space="preserve"> compared to painless </w:t>
      </w:r>
      <w:proofErr w:type="spellStart"/>
      <w:r w:rsidR="003B11B6">
        <w:rPr>
          <w:lang w:val="en-US"/>
        </w:rPr>
        <w:t>DPN</w:t>
      </w:r>
      <w:proofErr w:type="spellEnd"/>
      <w:r w:rsidR="003B11B6">
        <w:rPr>
          <w:lang w:val="en-US"/>
        </w:rPr>
        <w:t xml:space="preserve"> and</w:t>
      </w:r>
      <w:r>
        <w:rPr>
          <w:lang w:val="en-US"/>
        </w:rPr>
        <w:t xml:space="preserve"> may be used as potential biomarker for painful </w:t>
      </w:r>
      <w:proofErr w:type="spellStart"/>
      <w:r>
        <w:rPr>
          <w:lang w:val="en-US"/>
        </w:rPr>
        <w:t>DPN</w:t>
      </w:r>
      <w:proofErr w:type="spellEnd"/>
      <w:r>
        <w:rPr>
          <w:lang w:val="en-US"/>
        </w:rPr>
        <w:t xml:space="preserve"> as well as being a potential target for future treatments. </w:t>
      </w:r>
      <w:r w:rsidR="003B11B6">
        <w:rPr>
          <w:lang w:val="en-US"/>
        </w:rPr>
        <w:t>Hence,</w:t>
      </w:r>
      <w:r>
        <w:rPr>
          <w:lang w:val="en-US"/>
        </w:rPr>
        <w:t xml:space="preserve"> we hypothesize that increased blood vessel proliferation following tissue </w:t>
      </w:r>
      <w:proofErr w:type="spellStart"/>
      <w:r>
        <w:rPr>
          <w:lang w:val="en-US"/>
        </w:rPr>
        <w:t>ischaemia</w:t>
      </w:r>
      <w:proofErr w:type="spellEnd"/>
      <w:r>
        <w:rPr>
          <w:lang w:val="en-US"/>
        </w:rPr>
        <w:t xml:space="preserve"> and in association with disproportionate levels of abnormal nerve </w:t>
      </w:r>
      <w:proofErr w:type="spellStart"/>
      <w:r>
        <w:rPr>
          <w:lang w:val="en-US"/>
        </w:rPr>
        <w:t>fibres</w:t>
      </w:r>
      <w:proofErr w:type="spellEnd"/>
      <w:r>
        <w:rPr>
          <w:lang w:val="en-US"/>
        </w:rPr>
        <w:t xml:space="preserve"> with irritable nociceptors may lead to so called “painful </w:t>
      </w:r>
      <w:proofErr w:type="spellStart"/>
      <w:r>
        <w:rPr>
          <w:lang w:val="en-US"/>
        </w:rPr>
        <w:t>vaso</w:t>
      </w:r>
      <w:proofErr w:type="spellEnd"/>
      <w:r>
        <w:rPr>
          <w:lang w:val="en-US"/>
        </w:rPr>
        <w:t>-neuropathy".</w:t>
      </w:r>
    </w:p>
    <w:p w14:paraId="62082D2F" w14:textId="1B3539DD" w:rsidR="004F7976" w:rsidRDefault="004F7976" w:rsidP="004F7976">
      <w:pPr>
        <w:pStyle w:val="BodyA"/>
        <w:spacing w:line="480" w:lineRule="auto"/>
        <w:jc w:val="both"/>
      </w:pPr>
      <w:r>
        <w:rPr>
          <w:lang w:val="en-US"/>
        </w:rPr>
        <w:lastRenderedPageBreak/>
        <w:t xml:space="preserve">In chapter 6, we have looked into the central neurotransmitters, GABA and </w:t>
      </w:r>
      <w:proofErr w:type="spellStart"/>
      <w:r>
        <w:rPr>
          <w:lang w:val="en-US"/>
        </w:rPr>
        <w:t>Glx</w:t>
      </w:r>
      <w:proofErr w:type="spellEnd"/>
      <w:r>
        <w:rPr>
          <w:lang w:val="en-US"/>
        </w:rPr>
        <w:t xml:space="preserve">, using H-MR spectroscopy. There is now ample evidence to suggest an early central nervous system involvement in painful </w:t>
      </w:r>
      <w:proofErr w:type="spellStart"/>
      <w:r>
        <w:rPr>
          <w:lang w:val="en-US"/>
        </w:rPr>
        <w:t>DPN</w:t>
      </w:r>
      <w:proofErr w:type="spellEnd"/>
      <w:r>
        <w:rPr>
          <w:lang w:val="en-US"/>
        </w:rPr>
        <w:t xml:space="preserve">. Our own unit had shown spinal cord atrophy even early in subclinical </w:t>
      </w:r>
      <w:proofErr w:type="spellStart"/>
      <w:r>
        <w:rPr>
          <w:lang w:val="en-US"/>
        </w:rPr>
        <w:t>DPN</w:t>
      </w:r>
      <w:proofErr w:type="spellEnd"/>
      <w:r>
        <w:rPr>
          <w:lang w:val="en-US"/>
        </w:rPr>
        <w:t xml:space="preserve">; perfusion studies have shown increased thalamic vascularity in painful </w:t>
      </w:r>
      <w:proofErr w:type="spellStart"/>
      <w:r>
        <w:rPr>
          <w:lang w:val="en-US"/>
        </w:rPr>
        <w:t>DPN</w:t>
      </w:r>
      <w:proofErr w:type="spellEnd"/>
      <w:r>
        <w:rPr>
          <w:lang w:val="en-US"/>
        </w:rPr>
        <w:t>; H-MR spectroscopy showed reduced thalamic</w:t>
      </w:r>
      <w:r w:rsidR="003B11B6">
        <w:rPr>
          <w:lang w:val="en-US"/>
        </w:rPr>
        <w:t xml:space="preserve"> </w:t>
      </w:r>
      <w:proofErr w:type="spellStart"/>
      <w:r>
        <w:rPr>
          <w:lang w:val="en-US"/>
        </w:rPr>
        <w:t>NAA</w:t>
      </w:r>
      <w:proofErr w:type="spellEnd"/>
      <w:r>
        <w:rPr>
          <w:lang w:val="en-US"/>
        </w:rPr>
        <w:t xml:space="preserve"> in </w:t>
      </w:r>
      <w:proofErr w:type="spellStart"/>
      <w:r>
        <w:rPr>
          <w:lang w:val="en-US"/>
        </w:rPr>
        <w:t>DPN</w:t>
      </w:r>
      <w:proofErr w:type="spellEnd"/>
      <w:r>
        <w:rPr>
          <w:lang w:val="en-US"/>
        </w:rPr>
        <w:t xml:space="preserve"> which is marker of neuronal loss; and volumetric studies showed reduction in peripheral grey matter volume in both painful and painless </w:t>
      </w:r>
      <w:proofErr w:type="spellStart"/>
      <w:r>
        <w:rPr>
          <w:lang w:val="en-US"/>
        </w:rPr>
        <w:t>DPN</w:t>
      </w:r>
      <w:proofErr w:type="spellEnd"/>
      <w:r>
        <w:rPr>
          <w:lang w:val="en-US"/>
        </w:rPr>
        <w:t xml:space="preserve">. Central </w:t>
      </w:r>
      <w:proofErr w:type="spellStart"/>
      <w:r>
        <w:rPr>
          <w:lang w:val="en-US"/>
        </w:rPr>
        <w:t>sensitisation</w:t>
      </w:r>
      <w:proofErr w:type="spellEnd"/>
      <w:r>
        <w:rPr>
          <w:lang w:val="en-US"/>
        </w:rPr>
        <w:t xml:space="preserve"> plays a key role in maintaining the chronicity of pain, which is mediated through an imbalance between the inhibitory neurotransmitter, GABA and the excitatory neurotransmitter, </w:t>
      </w:r>
      <w:proofErr w:type="spellStart"/>
      <w:r>
        <w:rPr>
          <w:lang w:val="en-US"/>
        </w:rPr>
        <w:t>Glx</w:t>
      </w:r>
      <w:proofErr w:type="spellEnd"/>
      <w:r>
        <w:rPr>
          <w:lang w:val="en-US"/>
        </w:rPr>
        <w:t xml:space="preserve">. The only published diabetes study on GABA and </w:t>
      </w:r>
      <w:proofErr w:type="spellStart"/>
      <w:r>
        <w:rPr>
          <w:lang w:val="en-US"/>
        </w:rPr>
        <w:t>Glx</w:t>
      </w:r>
      <w:proofErr w:type="spellEnd"/>
      <w:r>
        <w:rPr>
          <w:lang w:val="en-US"/>
        </w:rPr>
        <w:t xml:space="preserve"> had shown increased </w:t>
      </w:r>
      <w:proofErr w:type="spellStart"/>
      <w:r>
        <w:rPr>
          <w:lang w:val="en-US"/>
        </w:rPr>
        <w:t>Glx</w:t>
      </w:r>
      <w:proofErr w:type="spellEnd"/>
      <w:r>
        <w:rPr>
          <w:lang w:val="en-US"/>
        </w:rPr>
        <w:t xml:space="preserve"> and reduced GABA in the insula of subjects with painful </w:t>
      </w:r>
      <w:proofErr w:type="spellStart"/>
      <w:r>
        <w:rPr>
          <w:lang w:val="en-US"/>
        </w:rPr>
        <w:t>DPN</w:t>
      </w:r>
      <w:proofErr w:type="spellEnd"/>
      <w:r>
        <w:rPr>
          <w:lang w:val="en-US"/>
        </w:rPr>
        <w:t xml:space="preserve">. But this study compared painful </w:t>
      </w:r>
      <w:proofErr w:type="spellStart"/>
      <w:r>
        <w:rPr>
          <w:lang w:val="en-US"/>
        </w:rPr>
        <w:t>DPN</w:t>
      </w:r>
      <w:proofErr w:type="spellEnd"/>
      <w:r>
        <w:rPr>
          <w:lang w:val="en-US"/>
        </w:rPr>
        <w:t xml:space="preserve"> and </w:t>
      </w:r>
      <w:proofErr w:type="spellStart"/>
      <w:r>
        <w:rPr>
          <w:lang w:val="en-US"/>
        </w:rPr>
        <w:t>HV</w:t>
      </w:r>
      <w:proofErr w:type="spellEnd"/>
      <w:r>
        <w:rPr>
          <w:lang w:val="en-US"/>
        </w:rPr>
        <w:t xml:space="preserve"> with only 7 subjects in each group. Hence, we decided to perform a larger study with carefully </w:t>
      </w:r>
      <w:proofErr w:type="spellStart"/>
      <w:r>
        <w:rPr>
          <w:lang w:val="en-US"/>
        </w:rPr>
        <w:t>phenotyped</w:t>
      </w:r>
      <w:proofErr w:type="spellEnd"/>
      <w:r>
        <w:rPr>
          <w:lang w:val="en-US"/>
        </w:rPr>
        <w:t xml:space="preserve"> study groups. We measured GABA and </w:t>
      </w:r>
      <w:proofErr w:type="spellStart"/>
      <w:r>
        <w:rPr>
          <w:lang w:val="en-US"/>
        </w:rPr>
        <w:t>Glx</w:t>
      </w:r>
      <w:proofErr w:type="spellEnd"/>
      <w:r>
        <w:rPr>
          <w:lang w:val="en-US"/>
        </w:rPr>
        <w:t xml:space="preserve"> in thalamus, the sensory gateway to higher pain </w:t>
      </w:r>
      <w:proofErr w:type="spellStart"/>
      <w:r>
        <w:rPr>
          <w:lang w:val="en-US"/>
        </w:rPr>
        <w:t>centres</w:t>
      </w:r>
      <w:proofErr w:type="spellEnd"/>
      <w:r>
        <w:rPr>
          <w:lang w:val="en-US"/>
        </w:rPr>
        <w:t>. Our result</w:t>
      </w:r>
      <w:r w:rsidR="001F5C62">
        <w:rPr>
          <w:lang w:val="en-US"/>
        </w:rPr>
        <w:t>s</w:t>
      </w:r>
      <w:r>
        <w:rPr>
          <w:lang w:val="en-US"/>
        </w:rPr>
        <w:t xml:space="preserve"> showed the combined painful and painless </w:t>
      </w:r>
      <w:proofErr w:type="spellStart"/>
      <w:r>
        <w:rPr>
          <w:lang w:val="en-US"/>
        </w:rPr>
        <w:t>DPN</w:t>
      </w:r>
      <w:proofErr w:type="spellEnd"/>
      <w:r>
        <w:rPr>
          <w:lang w:val="en-US"/>
        </w:rPr>
        <w:t xml:space="preserve"> neuropathy groups had a relative </w:t>
      </w:r>
      <w:proofErr w:type="gramStart"/>
      <w:r>
        <w:rPr>
          <w:lang w:val="en-US"/>
        </w:rPr>
        <w:t>GABA:H2O</w:t>
      </w:r>
      <w:proofErr w:type="gramEnd"/>
      <w:r>
        <w:rPr>
          <w:lang w:val="en-US"/>
        </w:rPr>
        <w:t xml:space="preserve"> level significantly lower when compared to no-neuropathy groups consisting of </w:t>
      </w:r>
      <w:proofErr w:type="spellStart"/>
      <w:r>
        <w:rPr>
          <w:lang w:val="en-US"/>
        </w:rPr>
        <w:t>HV</w:t>
      </w:r>
      <w:proofErr w:type="spellEnd"/>
      <w:r>
        <w:rPr>
          <w:lang w:val="en-US"/>
        </w:rPr>
        <w:t xml:space="preserve"> and N</w:t>
      </w:r>
      <w:r w:rsidR="001F5C62">
        <w:rPr>
          <w:lang w:val="en-US"/>
        </w:rPr>
        <w:t>o-</w:t>
      </w:r>
      <w:proofErr w:type="spellStart"/>
      <w:r w:rsidR="001F5C62">
        <w:rPr>
          <w:lang w:val="en-US"/>
        </w:rPr>
        <w:t>DPN</w:t>
      </w:r>
      <w:proofErr w:type="spellEnd"/>
      <w:r w:rsidR="001F5C62">
        <w:rPr>
          <w:lang w:val="en-US"/>
        </w:rPr>
        <w:t xml:space="preserve"> subgroups. When these were </w:t>
      </w:r>
      <w:r>
        <w:rPr>
          <w:lang w:val="en-US"/>
        </w:rPr>
        <w:t>split into four groups (</w:t>
      </w:r>
      <w:proofErr w:type="spellStart"/>
      <w:r>
        <w:rPr>
          <w:lang w:val="en-US"/>
        </w:rPr>
        <w:t>HV</w:t>
      </w:r>
      <w:proofErr w:type="spellEnd"/>
      <w:r>
        <w:rPr>
          <w:lang w:val="en-US"/>
        </w:rPr>
        <w:t>, No-</w:t>
      </w:r>
      <w:proofErr w:type="spellStart"/>
      <w:r>
        <w:rPr>
          <w:lang w:val="en-US"/>
        </w:rPr>
        <w:t>DPN</w:t>
      </w:r>
      <w:proofErr w:type="spellEnd"/>
      <w:r>
        <w:rPr>
          <w:lang w:val="en-US"/>
        </w:rPr>
        <w:t xml:space="preserve">, painful </w:t>
      </w:r>
      <w:proofErr w:type="spellStart"/>
      <w:r>
        <w:rPr>
          <w:lang w:val="en-US"/>
        </w:rPr>
        <w:t>DPN</w:t>
      </w:r>
      <w:proofErr w:type="spellEnd"/>
      <w:r>
        <w:rPr>
          <w:lang w:val="en-US"/>
        </w:rPr>
        <w:t xml:space="preserve">, painless </w:t>
      </w:r>
      <w:proofErr w:type="spellStart"/>
      <w:r>
        <w:rPr>
          <w:lang w:val="en-US"/>
        </w:rPr>
        <w:t>DPN</w:t>
      </w:r>
      <w:proofErr w:type="spellEnd"/>
      <w:r>
        <w:rPr>
          <w:lang w:val="en-US"/>
        </w:rPr>
        <w:t>) the pai</w:t>
      </w:r>
      <w:r w:rsidR="001F5C62">
        <w:rPr>
          <w:lang w:val="en-US"/>
        </w:rPr>
        <w:t>n</w:t>
      </w:r>
      <w:r>
        <w:rPr>
          <w:lang w:val="en-US"/>
        </w:rPr>
        <w:t>l</w:t>
      </w:r>
      <w:r w:rsidR="001F5C62">
        <w:rPr>
          <w:lang w:val="en-US"/>
        </w:rPr>
        <w:t>es</w:t>
      </w:r>
      <w:r>
        <w:rPr>
          <w:lang w:val="en-US"/>
        </w:rPr>
        <w:t xml:space="preserve">s </w:t>
      </w:r>
      <w:proofErr w:type="spellStart"/>
      <w:r>
        <w:rPr>
          <w:lang w:val="en-US"/>
        </w:rPr>
        <w:t>DPN</w:t>
      </w:r>
      <w:proofErr w:type="spellEnd"/>
      <w:r>
        <w:rPr>
          <w:lang w:val="en-US"/>
        </w:rPr>
        <w:t xml:space="preserve"> had a significantly lower GABA:H20 compared to the other groups and the GABA score correlated negatively with the NISLL+7 composite neuropathy score.  </w:t>
      </w:r>
      <w:r w:rsidR="001F5C62">
        <w:rPr>
          <w:lang w:val="en-US"/>
        </w:rPr>
        <w:t>However</w:t>
      </w:r>
      <w:r>
        <w:rPr>
          <w:lang w:val="en-US"/>
        </w:rPr>
        <w:t xml:space="preserve">, there was no statistically significant difference of </w:t>
      </w:r>
      <w:proofErr w:type="gramStart"/>
      <w:r>
        <w:rPr>
          <w:lang w:val="en-US"/>
        </w:rPr>
        <w:t>GABA:H2O</w:t>
      </w:r>
      <w:proofErr w:type="gramEnd"/>
      <w:r>
        <w:rPr>
          <w:lang w:val="en-US"/>
        </w:rPr>
        <w:t xml:space="preserve"> between painful and painless </w:t>
      </w:r>
      <w:proofErr w:type="spellStart"/>
      <w:r>
        <w:rPr>
          <w:lang w:val="en-US"/>
        </w:rPr>
        <w:t>DPN</w:t>
      </w:r>
      <w:proofErr w:type="spellEnd"/>
      <w:r>
        <w:rPr>
          <w:lang w:val="en-US"/>
        </w:rPr>
        <w:t xml:space="preserve"> groups. Mean </w:t>
      </w:r>
      <w:proofErr w:type="gramStart"/>
      <w:r>
        <w:rPr>
          <w:lang w:val="en-US"/>
        </w:rPr>
        <w:t>Glx:H2O</w:t>
      </w:r>
      <w:proofErr w:type="gramEnd"/>
      <w:r>
        <w:rPr>
          <w:lang w:val="en-US"/>
        </w:rPr>
        <w:t xml:space="preserve"> and </w:t>
      </w:r>
      <w:proofErr w:type="spellStart"/>
      <w:r>
        <w:rPr>
          <w:lang w:val="en-US"/>
        </w:rPr>
        <w:t>Glx</w:t>
      </w:r>
      <w:proofErr w:type="spellEnd"/>
      <w:r>
        <w:rPr>
          <w:lang w:val="en-US"/>
        </w:rPr>
        <w:t xml:space="preserve">/GABA ratios were not statistically significant between study groups especially between painful </w:t>
      </w:r>
      <w:proofErr w:type="spellStart"/>
      <w:r>
        <w:rPr>
          <w:lang w:val="en-US"/>
        </w:rPr>
        <w:t>DPN</w:t>
      </w:r>
      <w:proofErr w:type="spellEnd"/>
      <w:r>
        <w:rPr>
          <w:lang w:val="en-US"/>
        </w:rPr>
        <w:t xml:space="preserve"> and painless </w:t>
      </w:r>
      <w:proofErr w:type="spellStart"/>
      <w:r>
        <w:rPr>
          <w:lang w:val="en-US"/>
        </w:rPr>
        <w:t>DPN</w:t>
      </w:r>
      <w:proofErr w:type="spellEnd"/>
      <w:r>
        <w:rPr>
          <w:lang w:val="en-US"/>
        </w:rPr>
        <w:t xml:space="preserve"> in contrary to previous published data. This might be due to the advanced neuropathy status of our </w:t>
      </w:r>
      <w:proofErr w:type="spellStart"/>
      <w:r>
        <w:rPr>
          <w:lang w:val="en-US"/>
        </w:rPr>
        <w:t>DPN</w:t>
      </w:r>
      <w:proofErr w:type="spellEnd"/>
      <w:r>
        <w:rPr>
          <w:lang w:val="en-US"/>
        </w:rPr>
        <w:t xml:space="preserve"> study cohorts, and possibly due to the high emotional burden our painful </w:t>
      </w:r>
      <w:proofErr w:type="spellStart"/>
      <w:r>
        <w:rPr>
          <w:lang w:val="en-US"/>
        </w:rPr>
        <w:t>DPN</w:t>
      </w:r>
      <w:proofErr w:type="spellEnd"/>
      <w:r>
        <w:rPr>
          <w:lang w:val="en-US"/>
        </w:rPr>
        <w:t xml:space="preserve"> group as evidenced by the high mean </w:t>
      </w:r>
      <w:proofErr w:type="spellStart"/>
      <w:r>
        <w:rPr>
          <w:lang w:val="en-US"/>
        </w:rPr>
        <w:t>HADS</w:t>
      </w:r>
      <w:proofErr w:type="spellEnd"/>
      <w:r>
        <w:rPr>
          <w:lang w:val="en-US"/>
        </w:rPr>
        <w:t xml:space="preserve"> score. This is in keeping with previous MRS studies </w:t>
      </w:r>
      <w:r>
        <w:rPr>
          <w:lang w:val="en-US"/>
        </w:rPr>
        <w:lastRenderedPageBreak/>
        <w:t xml:space="preserve">which have shown reduced </w:t>
      </w:r>
      <w:proofErr w:type="spellStart"/>
      <w:r>
        <w:rPr>
          <w:lang w:val="en-US"/>
        </w:rPr>
        <w:t>Glx</w:t>
      </w:r>
      <w:proofErr w:type="spellEnd"/>
      <w:r>
        <w:rPr>
          <w:lang w:val="en-US"/>
        </w:rPr>
        <w:t xml:space="preserve"> in patients with severe depression and bipolar disorders </w:t>
      </w:r>
      <w:r>
        <w:fldChar w:fldCharType="begin"/>
      </w:r>
      <w:r>
        <w:instrText xml:space="preserve"> ADDIN EN.CITE &lt;EndNote&gt;&lt;Cite  &gt;&lt;Author&gt;Hasler&lt;/Author&gt;&lt;Year&gt;2007&lt;/Year&gt;&lt;RecNum&gt;565&lt;/RecNum&gt;&lt;DisplayText&gt;(Hasler et al., 2007, Auer et al., 2000)&lt;/DisplayText&gt;&lt;record&gt;&lt;dates&gt;&lt;pub-dates&gt;&lt;date&gt;Feb&lt;/date&gt;&lt;/pub-dates&gt;&lt;year&gt;2007&lt;/year&gt;&lt;/dates&gt;&lt;keywords&gt;&lt;keyword&gt;Adult&lt;/keyword&gt;&lt;keyword&gt;Ambulatory Care&lt;/keyword&gt;&lt;keyword&gt;Cell Count&lt;/keyword&gt;&lt;keyword&gt;Cross-Sectional Studies&lt;/keyword&gt;&lt;keyword&gt;Depressive Disorder, Major&lt;/keyword&gt;&lt;keyword&gt;Female&lt;/keyword&gt;&lt;keyword&gt;Glutamic Acid&lt;/keyword&gt;&lt;keyword&gt;Glutamine&lt;/keyword&gt;&lt;keyword&gt;Humans&lt;/keyword&gt;&lt;keyword&gt;Magnetic Resonance Spectroscopy&lt;/keyword&gt;&lt;keyword&gt;Male&lt;/keyword&gt;&lt;keyword&gt;Middle Aged&lt;/keyword&gt;&lt;keyword&gt;Neuroglia&lt;/keyword&gt;&lt;keyword&gt;Prefrontal Cortex&lt;/keyword&gt;&lt;keyword&gt;gamma-Aminobutyric Acid&lt;/keyword&gt;&lt;/keywords&gt;&lt;urls&gt;&lt;related-urls&gt;&lt;url&gt;https://www.ncbi.nlm.nih.gov/pubmed/17283286&lt;/url&gt;&lt;/related-urls&gt;&lt;/urls&gt;&lt;isbn&gt;0003-990X&lt;/isbn&gt;&lt;titles&gt;&lt;title&gt;Reduced prefrontal glutamate/glutamine and gamma-aminobutyric acid levels in major depression determined using proton magnetic resonance spectroscopy&lt;/title&gt;&lt;secondary-title&gt;Arch Gen Psychiatry&lt;/secondary-title&gt;&lt;/titles&gt;&lt;pages&gt;193-200&lt;/pages&gt;&lt;number&gt;2&lt;/number&gt;&lt;contributors&gt;&lt;authors&gt;&lt;author&gt;Hasler, G.&lt;/author&gt;&lt;author&gt;van der Veen, J. W.&lt;/author&gt;&lt;author&gt;Tumonis, T.&lt;/author&gt;&lt;author&gt;Meyers, N.&lt;/author&gt;&lt;author&gt;Shen, J.&lt;/author&gt;&lt;author&gt;Drevets, W. C.&lt;/author&gt;&lt;/authors&gt;&lt;/contributors&gt;&lt;language&gt;eng&lt;/language&gt;&lt;added-date format="utc"&gt;1549934455&lt;/added-date&gt;&lt;ref-type name="Journal Article"&gt;17&lt;/ref-type&gt;&lt;rec-number&gt;565&lt;/rec-number&gt;&lt;last-updated-date format="utc"&gt;1549934455&lt;/last-updated-date&gt;&lt;accession-num&gt;17283286&lt;/accession-num&gt;&lt;electronic-resource-num&gt;10.1001/archpsyc.64.2.193&lt;/electronic-resource-num&gt;&lt;volume&gt;64&lt;/volume&gt;&lt;/record&gt;&lt;/Cite&gt;&lt;Cite  &gt;&lt;Author&gt;Auer&lt;/Author&gt;&lt;Year&gt;2000&lt;/Year&gt;&lt;record&gt;&lt;dates&gt;&lt;pub-dates&gt;&lt;date&gt;Feb&lt;/date&gt;&lt;/pub-dates&gt;&lt;year&gt;2000&lt;/year&gt;&lt;/dates&gt;&lt;keywords&gt;&lt;keyword&gt;Adult&lt;/keyword&gt;&lt;keyword&gt;Aged&lt;/keyword&gt;&lt;keyword&gt;Aspartic Acid&lt;/keyword&gt;&lt;keyword&gt;Choline&lt;/keyword&gt;&lt;keyword&gt;Creatine&lt;/keyword&gt;&lt;keyword&gt;Depressive Disorder, Major&lt;/keyword&gt;&lt;keyword&gt;Female&lt;/keyword&gt;&lt;keyword&gt;Frontal Lobe&lt;/keyword&gt;&lt;keyword&gt;Glutamic Acid&lt;/keyword&gt;&lt;keyword&gt;Glutamine&lt;/keyword&gt;&lt;keyword&gt;Gyrus Cinguli&lt;/keyword&gt;&lt;keyword&gt;Humans&lt;/keyword&gt;&lt;keyword&gt;Magnetic Resonance Spectroscopy&lt;/keyword&gt;&lt;keyword&gt;Male&lt;/keyword&gt;&lt;keyword&gt;Middle Aged&lt;/keyword&gt;&lt;keyword&gt;Myo-Inositol-1-Phosphate Synthase&lt;/keyword&gt;&lt;keyword&gt;Severity of Illness Index&lt;/keyword&gt;&lt;/keywords&gt;&lt;urls&gt;&lt;related-urls&gt;&lt;url&gt;https://www.ncbi.nlm.nih.gov/pubmed/10686265&lt;/url&gt;&lt;/related-urls&gt;&lt;/urls&gt;&lt;isbn&gt;0006-3223&lt;/isbn&gt;&lt;titles&gt;&lt;title&gt;Reduced glutamate in the anterior cingulate cortex in depression: an in vivo proton magnetic resonance spectroscopy study&lt;/title&gt;&lt;secondary-title&gt;Biol Psychiatry&lt;/secondary-title&gt;&lt;/titles&gt;&lt;pages&gt;305-13&lt;/pages&gt;&lt;number&gt;4&lt;/number&gt;&lt;contributors&gt;&lt;authors&gt;&lt;author&gt;Auer, D. P.&lt;/author&gt;&lt;author&gt;Pütz, B.&lt;/author&gt;&lt;author&gt;Kraft, E.&lt;/author&gt;&lt;author&gt;Lipinski, B.&lt;/author&gt;&lt;author&gt;Schill, J.&lt;/author&gt;&lt;author&gt;Holsboer, F.&lt;/author&gt;&lt;/authors&gt;&lt;/contributors&gt;&lt;language&gt;eng&lt;/language&gt;&lt;added-date format="utc"&gt;1549934622&lt;/added-date&gt;&lt;ref-type name="Journal Article"&gt;17&lt;/ref-type&gt;&lt;rec-number&gt;566&lt;/rec-number&gt;&lt;last-updated-date format="utc"&gt;1549934622&lt;/last-updated-date&gt;&lt;accession-num&gt;10686265&lt;/accession-num&gt;&lt;volume&gt;47&lt;/volume&gt;&lt;/record&gt;&lt;/Cite&gt;&lt;/EndNote&gt;</w:instrText>
      </w:r>
      <w:r>
        <w:fldChar w:fldCharType="separate"/>
      </w:r>
      <w:r>
        <w:t>(Hasler et al., 2007, Auer et al., 2000)</w:t>
      </w:r>
      <w:r>
        <w:fldChar w:fldCharType="end"/>
      </w:r>
      <w:r>
        <w:t>.</w:t>
      </w:r>
    </w:p>
    <w:p w14:paraId="6EBA54C4" w14:textId="77777777" w:rsidR="004F7976" w:rsidRDefault="004F7976" w:rsidP="004F7976">
      <w:pPr>
        <w:pStyle w:val="Heading2"/>
        <w:spacing w:line="480" w:lineRule="auto"/>
        <w:rPr>
          <w:i w:val="0"/>
          <w:iCs w:val="0"/>
          <w:sz w:val="24"/>
          <w:szCs w:val="24"/>
        </w:rPr>
      </w:pPr>
      <w:bookmarkStart w:id="160" w:name="_Toc72"/>
      <w:bookmarkStart w:id="161" w:name="_Toc6093048"/>
      <w:r>
        <w:rPr>
          <w:i w:val="0"/>
          <w:iCs w:val="0"/>
          <w:sz w:val="24"/>
          <w:szCs w:val="24"/>
          <w:lang w:val="en-US"/>
        </w:rPr>
        <w:t>7.1 Limitations of the Study and Future studies</w:t>
      </w:r>
      <w:bookmarkEnd w:id="160"/>
      <w:bookmarkEnd w:id="161"/>
    </w:p>
    <w:p w14:paraId="7D52C43B" w14:textId="77777777" w:rsidR="004F7976" w:rsidRDefault="004F7976" w:rsidP="004F7976">
      <w:pPr>
        <w:pStyle w:val="BodyA"/>
        <w:spacing w:line="480" w:lineRule="auto"/>
        <w:jc w:val="both"/>
      </w:pPr>
      <w:r>
        <w:rPr>
          <w:lang w:val="en-US"/>
        </w:rPr>
        <w:t xml:space="preserve">The main limitation of the above studies was the relatively small cohort sizes of the study groups and the cross-sectional design which limits the determination of causality in our findings.  Nevertheless, all our patient groups were carefully </w:t>
      </w:r>
      <w:proofErr w:type="spellStart"/>
      <w:r>
        <w:rPr>
          <w:lang w:val="en-US"/>
        </w:rPr>
        <w:t>characterised</w:t>
      </w:r>
      <w:proofErr w:type="spellEnd"/>
      <w:r>
        <w:rPr>
          <w:lang w:val="en-US"/>
        </w:rPr>
        <w:t xml:space="preserve"> and well matched. </w:t>
      </w:r>
    </w:p>
    <w:p w14:paraId="6B3F1453" w14:textId="53A96293" w:rsidR="004F7976" w:rsidRDefault="004F7976" w:rsidP="004F7976">
      <w:pPr>
        <w:pStyle w:val="BodyA"/>
        <w:spacing w:line="480" w:lineRule="auto"/>
        <w:jc w:val="both"/>
      </w:pPr>
      <w:r>
        <w:rPr>
          <w:lang w:val="en-US"/>
        </w:rPr>
        <w:t xml:space="preserve">In the Vitamin D study, the only statistically significant difference between subgroups was higher body mass index (BMI) and the age of patients in the Painful </w:t>
      </w:r>
      <w:proofErr w:type="spellStart"/>
      <w:r>
        <w:rPr>
          <w:lang w:val="en-US"/>
        </w:rPr>
        <w:t>DPN</w:t>
      </w:r>
      <w:proofErr w:type="spellEnd"/>
      <w:r>
        <w:rPr>
          <w:lang w:val="en-US"/>
        </w:rPr>
        <w:t xml:space="preserve"> cohort.  </w:t>
      </w:r>
      <w:r w:rsidR="003B11B6">
        <w:rPr>
          <w:lang w:val="en-US"/>
        </w:rPr>
        <w:t>Hence,</w:t>
      </w:r>
      <w:r>
        <w:rPr>
          <w:lang w:val="en-US"/>
        </w:rPr>
        <w:t xml:space="preserve"> we included BMI and age as covariates in the </w:t>
      </w:r>
      <w:proofErr w:type="spellStart"/>
      <w:r>
        <w:rPr>
          <w:lang w:val="en-US"/>
        </w:rPr>
        <w:t>ANCOVA</w:t>
      </w:r>
      <w:proofErr w:type="spellEnd"/>
      <w:r>
        <w:rPr>
          <w:lang w:val="en-US"/>
        </w:rPr>
        <w:t xml:space="preserve">, and still found mean serum 25(OH)D levels were significantly lower in patients with Painful </w:t>
      </w:r>
      <w:proofErr w:type="spellStart"/>
      <w:r>
        <w:rPr>
          <w:lang w:val="en-US"/>
        </w:rPr>
        <w:t>DPN</w:t>
      </w:r>
      <w:proofErr w:type="spellEnd"/>
      <w:r>
        <w:rPr>
          <w:lang w:val="en-US"/>
        </w:rPr>
        <w:t xml:space="preserve">. Another limitation is the advanced neuropathy our </w:t>
      </w:r>
      <w:proofErr w:type="spellStart"/>
      <w:r>
        <w:rPr>
          <w:lang w:val="en-US"/>
        </w:rPr>
        <w:t>DPN</w:t>
      </w:r>
      <w:proofErr w:type="spellEnd"/>
      <w:r>
        <w:rPr>
          <w:lang w:val="en-US"/>
        </w:rPr>
        <w:t xml:space="preserve"> cohorts as evidenced by the high NISLL+7 scores. This resulted in absent or significantly reduced </w:t>
      </w:r>
      <w:proofErr w:type="spellStart"/>
      <w:r>
        <w:rPr>
          <w:lang w:val="en-US"/>
        </w:rPr>
        <w:t>IENF</w:t>
      </w:r>
      <w:proofErr w:type="spellEnd"/>
      <w:r>
        <w:rPr>
          <w:lang w:val="en-US"/>
        </w:rPr>
        <w:t xml:space="preserve"> on distal calf skin biopsy, and we had to rely on </w:t>
      </w:r>
      <w:proofErr w:type="spellStart"/>
      <w:r>
        <w:rPr>
          <w:lang w:val="en-US"/>
        </w:rPr>
        <w:t>SENFD</w:t>
      </w:r>
      <w:proofErr w:type="spellEnd"/>
      <w:r>
        <w:rPr>
          <w:lang w:val="en-US"/>
        </w:rPr>
        <w:t xml:space="preserve"> for the assessment of small </w:t>
      </w:r>
      <w:proofErr w:type="spellStart"/>
      <w:r>
        <w:rPr>
          <w:lang w:val="en-US"/>
        </w:rPr>
        <w:t>fibre</w:t>
      </w:r>
      <w:proofErr w:type="spellEnd"/>
      <w:r>
        <w:rPr>
          <w:lang w:val="en-US"/>
        </w:rPr>
        <w:t xml:space="preserve"> function and correlations. </w:t>
      </w:r>
    </w:p>
    <w:p w14:paraId="6DFBAEF5" w14:textId="019F12C2" w:rsidR="004F7976" w:rsidRDefault="004F7976" w:rsidP="004F7976">
      <w:pPr>
        <w:pStyle w:val="BodyA"/>
        <w:spacing w:line="480" w:lineRule="auto"/>
        <w:jc w:val="both"/>
      </w:pPr>
      <w:r>
        <w:rPr>
          <w:lang w:val="en-US"/>
        </w:rPr>
        <w:t xml:space="preserve">The main limitation of skin biopsy study with neural and vascular biomarkers was again the </w:t>
      </w:r>
      <w:proofErr w:type="gramStart"/>
      <w:r>
        <w:rPr>
          <w:lang w:val="en-US"/>
        </w:rPr>
        <w:t>cross sectional</w:t>
      </w:r>
      <w:proofErr w:type="gramEnd"/>
      <w:r>
        <w:rPr>
          <w:lang w:val="en-US"/>
        </w:rPr>
        <w:t xml:space="preserve"> design and hence the difficult to prove causality. Prospective studies would be required to determine causality. The main positive result from this study was with the use of the vascular biomarker, </w:t>
      </w:r>
      <w:proofErr w:type="spellStart"/>
      <w:r>
        <w:rPr>
          <w:lang w:val="en-US"/>
        </w:rPr>
        <w:t>vWF</w:t>
      </w:r>
      <w:proofErr w:type="spellEnd"/>
      <w:r>
        <w:rPr>
          <w:lang w:val="en-US"/>
        </w:rPr>
        <w:t xml:space="preserve">. However, </w:t>
      </w:r>
      <w:proofErr w:type="spellStart"/>
      <w:r>
        <w:rPr>
          <w:lang w:val="en-US"/>
        </w:rPr>
        <w:t>VWF</w:t>
      </w:r>
      <w:proofErr w:type="spellEnd"/>
      <w:r>
        <w:rPr>
          <w:lang w:val="en-US"/>
        </w:rPr>
        <w:t xml:space="preserve"> is a general endothelial marker and hence is difficult to confirm whether the increased vascular expression in the dermis of subjects with painful </w:t>
      </w:r>
      <w:proofErr w:type="spellStart"/>
      <w:r>
        <w:rPr>
          <w:lang w:val="en-US"/>
        </w:rPr>
        <w:t>DPN</w:t>
      </w:r>
      <w:proofErr w:type="spellEnd"/>
      <w:r>
        <w:rPr>
          <w:lang w:val="en-US"/>
        </w:rPr>
        <w:t xml:space="preserve"> represents new vessel formation </w:t>
      </w:r>
      <w:r w:rsidR="003B11B6">
        <w:rPr>
          <w:lang w:val="en-US"/>
        </w:rPr>
        <w:t>unequivocally</w:t>
      </w:r>
      <w:r>
        <w:rPr>
          <w:lang w:val="en-US"/>
        </w:rPr>
        <w:t>, as in proliferative diabetic retinopathy. Staining with VEGF would be necessary to confirm our findings.</w:t>
      </w:r>
    </w:p>
    <w:p w14:paraId="6B73E21D" w14:textId="77777777" w:rsidR="004F7976" w:rsidRDefault="004F7976" w:rsidP="004F7976">
      <w:pPr>
        <w:pStyle w:val="BodyA"/>
        <w:spacing w:line="480" w:lineRule="auto"/>
        <w:jc w:val="both"/>
      </w:pPr>
      <w:r>
        <w:rPr>
          <w:lang w:val="en-US"/>
        </w:rPr>
        <w:lastRenderedPageBreak/>
        <w:t xml:space="preserve">With H-MRS study, in contrary to previous published data our results showed no difference in the excitatory neurotransmitter, </w:t>
      </w:r>
      <w:proofErr w:type="spellStart"/>
      <w:r>
        <w:rPr>
          <w:lang w:val="en-US"/>
        </w:rPr>
        <w:t>Glx</w:t>
      </w:r>
      <w:proofErr w:type="spellEnd"/>
      <w:r>
        <w:rPr>
          <w:lang w:val="en-US"/>
        </w:rPr>
        <w:t xml:space="preserve"> and </w:t>
      </w:r>
      <w:proofErr w:type="spellStart"/>
      <w:r>
        <w:rPr>
          <w:lang w:val="en-US"/>
        </w:rPr>
        <w:t>Glx</w:t>
      </w:r>
      <w:proofErr w:type="spellEnd"/>
      <w:r>
        <w:rPr>
          <w:lang w:val="en-US"/>
        </w:rPr>
        <w:t xml:space="preserve">/GABA ratio, particularly between painful and painless </w:t>
      </w:r>
      <w:proofErr w:type="spellStart"/>
      <w:r>
        <w:rPr>
          <w:lang w:val="en-US"/>
        </w:rPr>
        <w:t>DPN</w:t>
      </w:r>
      <w:proofErr w:type="spellEnd"/>
      <w:r>
        <w:rPr>
          <w:lang w:val="en-US"/>
        </w:rPr>
        <w:t xml:space="preserve">. This might be because of the advanced neuropathy our </w:t>
      </w:r>
      <w:proofErr w:type="spellStart"/>
      <w:r>
        <w:rPr>
          <w:lang w:val="en-US"/>
        </w:rPr>
        <w:t>DPN</w:t>
      </w:r>
      <w:proofErr w:type="spellEnd"/>
      <w:r>
        <w:rPr>
          <w:lang w:val="en-US"/>
        </w:rPr>
        <w:t xml:space="preserve"> groups, and also possibly due to the increased emotional burden of the painful </w:t>
      </w:r>
      <w:proofErr w:type="spellStart"/>
      <w:r>
        <w:rPr>
          <w:lang w:val="en-US"/>
        </w:rPr>
        <w:t>DPN</w:t>
      </w:r>
      <w:proofErr w:type="spellEnd"/>
      <w:r>
        <w:rPr>
          <w:lang w:val="en-US"/>
        </w:rPr>
        <w:t xml:space="preserve"> group as evidenced by the high mean </w:t>
      </w:r>
      <w:proofErr w:type="spellStart"/>
      <w:r>
        <w:rPr>
          <w:lang w:val="en-US"/>
        </w:rPr>
        <w:t>HADS</w:t>
      </w:r>
      <w:proofErr w:type="spellEnd"/>
      <w:r>
        <w:rPr>
          <w:lang w:val="en-US"/>
        </w:rPr>
        <w:t xml:space="preserve"> score. Previous H-MRS studies in chronic pain conditions mainly focused on the insula as region of interest.  We did not examine this region in order to </w:t>
      </w:r>
      <w:proofErr w:type="spellStart"/>
      <w:r>
        <w:rPr>
          <w:lang w:val="en-US"/>
        </w:rPr>
        <w:t>minimise</w:t>
      </w:r>
      <w:proofErr w:type="spellEnd"/>
      <w:r>
        <w:rPr>
          <w:lang w:val="en-US"/>
        </w:rPr>
        <w:t xml:space="preserve"> the total time spent by subjects in the MR scanner.</w:t>
      </w:r>
    </w:p>
    <w:p w14:paraId="57B66F24" w14:textId="77777777" w:rsidR="004F7976" w:rsidRDefault="004F7976" w:rsidP="004F7976">
      <w:pPr>
        <w:pStyle w:val="Heading2"/>
        <w:spacing w:line="480" w:lineRule="auto"/>
        <w:rPr>
          <w:i w:val="0"/>
          <w:iCs w:val="0"/>
          <w:sz w:val="24"/>
          <w:szCs w:val="24"/>
        </w:rPr>
      </w:pPr>
      <w:bookmarkStart w:id="162" w:name="_Toc6093049"/>
      <w:bookmarkStart w:id="163" w:name="_Toc73"/>
      <w:r>
        <w:rPr>
          <w:i w:val="0"/>
          <w:iCs w:val="0"/>
          <w:sz w:val="24"/>
          <w:szCs w:val="24"/>
          <w:lang w:val="en-US"/>
        </w:rPr>
        <w:t>7.2 Future Prospects</w:t>
      </w:r>
      <w:bookmarkEnd w:id="162"/>
      <w:r>
        <w:rPr>
          <w:i w:val="0"/>
          <w:iCs w:val="0"/>
          <w:sz w:val="24"/>
          <w:szCs w:val="24"/>
          <w:lang w:val="en-US"/>
        </w:rPr>
        <w:t xml:space="preserve"> </w:t>
      </w:r>
      <w:bookmarkEnd w:id="163"/>
    </w:p>
    <w:p w14:paraId="0CD2949E" w14:textId="4EFC4A22" w:rsidR="004F7976" w:rsidRDefault="004F7976" w:rsidP="004F7976">
      <w:pPr>
        <w:pStyle w:val="BodyA"/>
        <w:spacing w:line="480" w:lineRule="auto"/>
        <w:jc w:val="both"/>
      </w:pPr>
      <w:r>
        <w:rPr>
          <w:lang w:val="en-US"/>
        </w:rPr>
        <w:t xml:space="preserve">To prove a causal role of vitamin D in painful </w:t>
      </w:r>
      <w:proofErr w:type="spellStart"/>
      <w:r>
        <w:rPr>
          <w:lang w:val="en-US"/>
        </w:rPr>
        <w:t>DPN</w:t>
      </w:r>
      <w:proofErr w:type="spellEnd"/>
      <w:r>
        <w:rPr>
          <w:lang w:val="en-US"/>
        </w:rPr>
        <w:t xml:space="preserve">, we will require a prospective interventional trial. Our unit has already taken steps towards this and currently vitamin D interventional trial is in the planning stage. The study will also have a mechanistic component to see vitamin D supplementation leads to nerve repair and an increase in </w:t>
      </w:r>
      <w:proofErr w:type="spellStart"/>
      <w:r>
        <w:rPr>
          <w:lang w:val="en-US"/>
        </w:rPr>
        <w:t>NGF</w:t>
      </w:r>
      <w:proofErr w:type="spellEnd"/>
      <w:r>
        <w:rPr>
          <w:lang w:val="en-US"/>
        </w:rPr>
        <w:t xml:space="preserve">. If the study finds that vitamin D causes an improvement in pain outcomes, its routine use could be recommended in vitamin D deficient individuals; and there would be a good rationale for the routine measurement of vitamin D in diabetes patients with painful </w:t>
      </w:r>
      <w:proofErr w:type="spellStart"/>
      <w:r>
        <w:rPr>
          <w:lang w:val="en-US"/>
        </w:rPr>
        <w:t>DPN</w:t>
      </w:r>
      <w:proofErr w:type="spellEnd"/>
      <w:r>
        <w:rPr>
          <w:lang w:val="en-US"/>
        </w:rPr>
        <w:t xml:space="preserve">. This might prove a </w:t>
      </w:r>
      <w:r w:rsidR="003B11B6">
        <w:rPr>
          <w:lang w:val="en-US"/>
        </w:rPr>
        <w:t>cost-effective</w:t>
      </w:r>
      <w:r>
        <w:rPr>
          <w:lang w:val="en-US"/>
        </w:rPr>
        <w:t xml:space="preserve"> treatment option for painful </w:t>
      </w:r>
      <w:proofErr w:type="spellStart"/>
      <w:r>
        <w:rPr>
          <w:lang w:val="en-US"/>
        </w:rPr>
        <w:t>DPN</w:t>
      </w:r>
      <w:proofErr w:type="spellEnd"/>
      <w:r>
        <w:rPr>
          <w:lang w:val="en-US"/>
        </w:rPr>
        <w:t xml:space="preserve"> as vitamin D is cheap and without significant side effects.</w:t>
      </w:r>
    </w:p>
    <w:p w14:paraId="059C3164" w14:textId="0E5C0C23" w:rsidR="004F7976" w:rsidRDefault="009E34D4" w:rsidP="004F7976">
      <w:pPr>
        <w:pStyle w:val="BodyA"/>
        <w:spacing w:line="480" w:lineRule="auto"/>
        <w:jc w:val="both"/>
      </w:pPr>
      <w:r>
        <w:rPr>
          <w:lang w:val="en-US"/>
        </w:rPr>
        <w:t>Our skin biopsy data support</w:t>
      </w:r>
      <w:r w:rsidR="004F7976">
        <w:rPr>
          <w:lang w:val="en-US"/>
        </w:rPr>
        <w:t xml:space="preserve"> a potential role for vascular, </w:t>
      </w:r>
      <w:proofErr w:type="spellStart"/>
      <w:r w:rsidR="004F7976">
        <w:rPr>
          <w:lang w:val="en-US"/>
        </w:rPr>
        <w:t>haemodynamic</w:t>
      </w:r>
      <w:proofErr w:type="spellEnd"/>
      <w:r w:rsidR="004F7976">
        <w:rPr>
          <w:lang w:val="en-US"/>
        </w:rPr>
        <w:t xml:space="preserve"> factors in the pathogenesis of painful </w:t>
      </w:r>
      <w:proofErr w:type="spellStart"/>
      <w:r w:rsidR="004F7976">
        <w:rPr>
          <w:lang w:val="en-US"/>
        </w:rPr>
        <w:t>DPN</w:t>
      </w:r>
      <w:proofErr w:type="spellEnd"/>
      <w:r w:rsidR="004F7976">
        <w:rPr>
          <w:lang w:val="en-US"/>
        </w:rPr>
        <w:t xml:space="preserve">, but again we will require larger and prospective data to prove causality. It is not easy to design large prospective studies with subjects undergoing multiple skin biopsies over a long period. We know, classic </w:t>
      </w:r>
      <w:proofErr w:type="spellStart"/>
      <w:r w:rsidR="004F7976">
        <w:rPr>
          <w:lang w:val="en-US"/>
        </w:rPr>
        <w:t>DPN</w:t>
      </w:r>
      <w:proofErr w:type="spellEnd"/>
      <w:r w:rsidR="004F7976">
        <w:rPr>
          <w:lang w:val="en-US"/>
        </w:rPr>
        <w:t xml:space="preserve"> is a length dependent process and nerve damage begins at the terminals of the longest nerve </w:t>
      </w:r>
      <w:proofErr w:type="spellStart"/>
      <w:r w:rsidR="004F7976">
        <w:rPr>
          <w:lang w:val="en-US"/>
        </w:rPr>
        <w:t>fibres</w:t>
      </w:r>
      <w:proofErr w:type="spellEnd"/>
      <w:r w:rsidR="004F7976">
        <w:rPr>
          <w:lang w:val="en-US"/>
        </w:rPr>
        <w:t xml:space="preserve"> and slowly progress proximally. </w:t>
      </w:r>
      <w:r w:rsidR="003B11B6">
        <w:rPr>
          <w:lang w:val="en-US"/>
        </w:rPr>
        <w:t>So,</w:t>
      </w:r>
      <w:r w:rsidR="004F7976">
        <w:rPr>
          <w:lang w:val="en-US"/>
        </w:rPr>
        <w:t xml:space="preserve"> we intend to do biopsy from proximal thigh from same patients, which might give insight to the vascular process in early neuropathy state </w:t>
      </w:r>
      <w:r w:rsidR="004F7976">
        <w:rPr>
          <w:lang w:val="en-US"/>
        </w:rPr>
        <w:lastRenderedPageBreak/>
        <w:t xml:space="preserve">also. Vascular biomarker </w:t>
      </w:r>
      <w:proofErr w:type="spellStart"/>
      <w:r w:rsidR="004F7976">
        <w:rPr>
          <w:lang w:val="en-US"/>
        </w:rPr>
        <w:t>vWF</w:t>
      </w:r>
      <w:proofErr w:type="spellEnd"/>
      <w:r w:rsidR="004F7976">
        <w:rPr>
          <w:lang w:val="en-US"/>
        </w:rPr>
        <w:t xml:space="preserve"> was a general endothelial marker and we might also look into other specific vascular markers like nitric oxide bioavailability, endothelial nitric oxide synthase (</w:t>
      </w:r>
      <w:proofErr w:type="spellStart"/>
      <w:r w:rsidR="004F7976">
        <w:rPr>
          <w:lang w:val="en-US"/>
        </w:rPr>
        <w:t>eNOS</w:t>
      </w:r>
      <w:proofErr w:type="spellEnd"/>
      <w:r w:rsidR="004F7976">
        <w:rPr>
          <w:lang w:val="en-US"/>
        </w:rPr>
        <w:t xml:space="preserve">) and vascular endothelial growth factor (VEGF). Again, if vascular etiology proven, those markers could be used as potential objective biomarkers in future painful </w:t>
      </w:r>
      <w:proofErr w:type="spellStart"/>
      <w:r w:rsidR="004F7976">
        <w:rPr>
          <w:lang w:val="en-US"/>
        </w:rPr>
        <w:t>DPN</w:t>
      </w:r>
      <w:proofErr w:type="spellEnd"/>
      <w:r w:rsidR="004F7976">
        <w:rPr>
          <w:lang w:val="en-US"/>
        </w:rPr>
        <w:t xml:space="preserve"> studies and also targeted for future therapeutic trials. </w:t>
      </w:r>
    </w:p>
    <w:p w14:paraId="541F8173" w14:textId="77777777" w:rsidR="004F7976" w:rsidRDefault="004F7976" w:rsidP="004F7976">
      <w:pPr>
        <w:pStyle w:val="BodyA"/>
        <w:spacing w:line="480" w:lineRule="auto"/>
        <w:jc w:val="both"/>
      </w:pPr>
      <w:r>
        <w:rPr>
          <w:lang w:val="en-US"/>
        </w:rPr>
        <w:t xml:space="preserve">Our study has also supported central involvement in </w:t>
      </w:r>
      <w:proofErr w:type="spellStart"/>
      <w:r>
        <w:rPr>
          <w:lang w:val="en-US"/>
        </w:rPr>
        <w:t>DPN</w:t>
      </w:r>
      <w:proofErr w:type="spellEnd"/>
      <w:r>
        <w:rPr>
          <w:lang w:val="en-US"/>
        </w:rPr>
        <w:t xml:space="preserve"> as evidenced by reduced GABA in painless </w:t>
      </w:r>
      <w:proofErr w:type="spellStart"/>
      <w:r>
        <w:rPr>
          <w:lang w:val="en-US"/>
        </w:rPr>
        <w:t>DPN</w:t>
      </w:r>
      <w:proofErr w:type="spellEnd"/>
      <w:r>
        <w:rPr>
          <w:lang w:val="en-US"/>
        </w:rPr>
        <w:t xml:space="preserve">. We had negative results for </w:t>
      </w:r>
      <w:proofErr w:type="spellStart"/>
      <w:r>
        <w:rPr>
          <w:lang w:val="en-US"/>
        </w:rPr>
        <w:t>Glx</w:t>
      </w:r>
      <w:proofErr w:type="spellEnd"/>
      <w:r>
        <w:rPr>
          <w:lang w:val="en-US"/>
        </w:rPr>
        <w:t xml:space="preserve"> and in future similar H-MR spectroscopy studies we need to take into account for confounding factor like emotional burden.  We also need to assess other central pain processing areas including ACC and insula. Depression and chronic pain often have similar neurobiological changes in common higher </w:t>
      </w:r>
      <w:proofErr w:type="spellStart"/>
      <w:r>
        <w:rPr>
          <w:lang w:val="en-US"/>
        </w:rPr>
        <w:t>centres</w:t>
      </w:r>
      <w:proofErr w:type="spellEnd"/>
      <w:r>
        <w:rPr>
          <w:lang w:val="en-US"/>
        </w:rPr>
        <w:t xml:space="preserve"> in brain. Chronic pain can result in anatomical and functional changes in insular cortex which is involved in pain processing and affective disorders (Lu et al., 2016). In future using this objective H- MRS method, we might be able to identify these patients early and provide effective early treatment for depression and might get better chronic pain reduction. It might be also possible to subjectively monitor effectiveness of painful </w:t>
      </w:r>
      <w:proofErr w:type="spellStart"/>
      <w:r>
        <w:rPr>
          <w:lang w:val="en-US"/>
        </w:rPr>
        <w:t>DPN</w:t>
      </w:r>
      <w:proofErr w:type="spellEnd"/>
      <w:r>
        <w:rPr>
          <w:lang w:val="en-US"/>
        </w:rPr>
        <w:t xml:space="preserve"> treatment by monitoring ‘</w:t>
      </w:r>
      <w:r>
        <w:t>H-MRS-visible</w:t>
      </w:r>
      <w:r>
        <w:rPr>
          <w:lang w:val="en-US"/>
        </w:rPr>
        <w:t xml:space="preserve">’ inhibitory neurotransmitter GABA and excitatory neurotransmitter </w:t>
      </w:r>
      <w:proofErr w:type="spellStart"/>
      <w:r>
        <w:rPr>
          <w:lang w:val="en-US"/>
        </w:rPr>
        <w:t>Glx</w:t>
      </w:r>
      <w:proofErr w:type="spellEnd"/>
      <w:r>
        <w:rPr>
          <w:lang w:val="en-US"/>
        </w:rPr>
        <w:t xml:space="preserve">. </w:t>
      </w:r>
    </w:p>
    <w:p w14:paraId="57B5F47D" w14:textId="77777777" w:rsidR="004F7976" w:rsidRDefault="004F7976" w:rsidP="004F7976">
      <w:pPr>
        <w:pStyle w:val="BodyA"/>
        <w:spacing w:line="480" w:lineRule="auto"/>
        <w:jc w:val="both"/>
      </w:pPr>
      <w:r>
        <w:rPr>
          <w:lang w:val="en-US"/>
        </w:rPr>
        <w:t xml:space="preserve">In conclusion, we have conducted a carefully designed study which included detailed clinical, neurophysiological and skin biopsy assessment of all participants, in order to carefully phenotype our subjects. Our study results have provided better understanding of peripheral and central mechanism behind painful </w:t>
      </w:r>
      <w:proofErr w:type="spellStart"/>
      <w:r>
        <w:rPr>
          <w:lang w:val="en-US"/>
        </w:rPr>
        <w:t>DPN</w:t>
      </w:r>
      <w:proofErr w:type="spellEnd"/>
      <w:r>
        <w:rPr>
          <w:lang w:val="en-US"/>
        </w:rPr>
        <w:t xml:space="preserve"> and come up with few reliable biomarkers. Our future trials might provide further insight into pain mechanism in painful </w:t>
      </w:r>
      <w:proofErr w:type="spellStart"/>
      <w:r>
        <w:rPr>
          <w:lang w:val="en-US"/>
        </w:rPr>
        <w:t>DPN</w:t>
      </w:r>
      <w:proofErr w:type="spellEnd"/>
      <w:r>
        <w:rPr>
          <w:lang w:val="en-US"/>
        </w:rPr>
        <w:t xml:space="preserve"> and come up with better treatment strategies. </w:t>
      </w:r>
    </w:p>
    <w:p w14:paraId="26B4EE0E" w14:textId="77777777" w:rsidR="00A9255F" w:rsidRPr="00AD7B00" w:rsidRDefault="00A9255F" w:rsidP="00542AFE">
      <w:pPr>
        <w:spacing w:line="480" w:lineRule="auto"/>
        <w:jc w:val="both"/>
        <w:rPr>
          <w:rFonts w:eastAsiaTheme="minorHAnsi" w:cs="Arial"/>
          <w:b/>
          <w:lang w:eastAsia="en-US"/>
        </w:rPr>
      </w:pPr>
    </w:p>
    <w:p w14:paraId="01517EF4" w14:textId="1CB0BCC2" w:rsidR="006D4D3B" w:rsidRPr="00AD7B00" w:rsidRDefault="006D4D3B" w:rsidP="006D4D3B">
      <w:pPr>
        <w:spacing w:after="0"/>
        <w:rPr>
          <w:rFonts w:eastAsia="SimSun" w:cs="Arial"/>
          <w:b/>
          <w:bCs/>
          <w:kern w:val="32"/>
        </w:rPr>
      </w:pPr>
      <w:bookmarkStart w:id="164" w:name="_Toc517633889"/>
    </w:p>
    <w:p w14:paraId="7F1E41EC" w14:textId="1051FC29" w:rsidR="00A462CF" w:rsidRPr="00AD7B00" w:rsidRDefault="006D4D3B" w:rsidP="006D4D3B">
      <w:pPr>
        <w:pStyle w:val="Heading1"/>
        <w:spacing w:line="480" w:lineRule="auto"/>
        <w:rPr>
          <w:rFonts w:cs="Arial"/>
          <w:sz w:val="24"/>
          <w:szCs w:val="24"/>
        </w:rPr>
      </w:pPr>
      <w:bookmarkStart w:id="165" w:name="_Toc6093050"/>
      <w:r w:rsidRPr="00AD7B00">
        <w:rPr>
          <w:rFonts w:cs="Arial"/>
          <w:sz w:val="24"/>
          <w:szCs w:val="24"/>
        </w:rPr>
        <w:t xml:space="preserve">8 </w:t>
      </w:r>
      <w:r w:rsidR="00A462CF" w:rsidRPr="00AD7B00">
        <w:rPr>
          <w:rFonts w:cs="Arial"/>
          <w:sz w:val="24"/>
          <w:szCs w:val="24"/>
        </w:rPr>
        <w:t>Research Output</w:t>
      </w:r>
      <w:bookmarkEnd w:id="165"/>
    </w:p>
    <w:p w14:paraId="2F7439AB" w14:textId="33909160" w:rsidR="00A462CF" w:rsidRPr="00AD7B00" w:rsidRDefault="00DC7662" w:rsidP="00DB2FC8">
      <w:pPr>
        <w:pStyle w:val="Heading2"/>
        <w:spacing w:line="480" w:lineRule="auto"/>
        <w:jc w:val="both"/>
        <w:rPr>
          <w:rFonts w:cs="Arial"/>
          <w:i w:val="0"/>
          <w:noProof/>
          <w:sz w:val="24"/>
          <w:szCs w:val="24"/>
        </w:rPr>
      </w:pPr>
      <w:bookmarkStart w:id="166" w:name="_Toc6093051"/>
      <w:r w:rsidRPr="00AD7B00">
        <w:rPr>
          <w:rFonts w:cs="Arial"/>
          <w:i w:val="0"/>
          <w:sz w:val="24"/>
          <w:szCs w:val="24"/>
        </w:rPr>
        <w:t>8.1</w:t>
      </w:r>
      <w:r w:rsidR="00A462CF" w:rsidRPr="00AD7B00">
        <w:rPr>
          <w:rFonts w:cs="Arial"/>
          <w:i w:val="0"/>
          <w:sz w:val="24"/>
          <w:szCs w:val="24"/>
        </w:rPr>
        <w:t xml:space="preserve"> </w:t>
      </w:r>
      <w:r w:rsidR="00A462CF" w:rsidRPr="00AD7B00">
        <w:rPr>
          <w:rFonts w:cs="Arial"/>
          <w:i w:val="0"/>
          <w:noProof/>
          <w:sz w:val="24"/>
          <w:szCs w:val="24"/>
        </w:rPr>
        <w:t>Peer reviewed first author papers</w:t>
      </w:r>
      <w:bookmarkEnd w:id="166"/>
    </w:p>
    <w:p w14:paraId="0E69FA9F" w14:textId="5C3BFD4D" w:rsidR="00A462CF" w:rsidRPr="008F09AD" w:rsidRDefault="00574289" w:rsidP="00DB2FC8">
      <w:pPr>
        <w:spacing w:after="0" w:line="480" w:lineRule="auto"/>
        <w:jc w:val="both"/>
        <w:rPr>
          <w:rFonts w:eastAsia="Times New Roman" w:cs="Arial"/>
          <w:color w:val="000000"/>
          <w:lang w:eastAsia="zh-CN"/>
        </w:rPr>
      </w:pPr>
      <w:r w:rsidRPr="00AD7B00">
        <w:rPr>
          <w:rFonts w:eastAsia="Times New Roman" w:cs="Arial"/>
          <w:color w:val="000000"/>
          <w:lang w:eastAsia="zh-CN"/>
        </w:rPr>
        <w:t>1</w:t>
      </w:r>
      <w:r w:rsidR="00A462CF" w:rsidRPr="00AD7B00">
        <w:rPr>
          <w:rFonts w:eastAsia="Times New Roman" w:cs="Arial"/>
          <w:color w:val="000000"/>
          <w:lang w:eastAsia="zh-CN"/>
        </w:rPr>
        <w:t xml:space="preserve">) </w:t>
      </w:r>
      <w:hyperlink r:id="rId25" w:history="1">
        <w:r w:rsidR="00A462CF" w:rsidRPr="008F09AD">
          <w:rPr>
            <w:rFonts w:eastAsia="Times New Roman" w:cs="Arial"/>
            <w:color w:val="2222CC"/>
            <w:lang w:eastAsia="zh-CN"/>
          </w:rPr>
          <w:t>Reduced vitamin D levels in painful diabetic peripheral neuropathy.</w:t>
        </w:r>
      </w:hyperlink>
    </w:p>
    <w:p w14:paraId="04760929" w14:textId="6E2D7E55" w:rsidR="00AE482C" w:rsidRPr="00E161AD" w:rsidRDefault="00AE482C" w:rsidP="00AE482C">
      <w:pPr>
        <w:pStyle w:val="EndNoteBibliography"/>
        <w:spacing w:before="2" w:after="2"/>
        <w:ind w:left="720" w:hanging="720"/>
        <w:rPr>
          <w:noProof/>
        </w:rPr>
      </w:pPr>
      <w:r w:rsidRPr="00E161AD">
        <w:rPr>
          <w:noProof/>
        </w:rPr>
        <w:t xml:space="preserve">SHILLO, P., SELVARAJAH, D., GREIG, M., GANDHI, R., RAO, G., WILKINSON, I. D., ANAND, P. &amp; TESFAYE, S. 2019a. </w:t>
      </w:r>
      <w:r w:rsidRPr="00E161AD">
        <w:rPr>
          <w:i/>
          <w:noProof/>
        </w:rPr>
        <w:t>Diabet Med,</w:t>
      </w:r>
      <w:r w:rsidRPr="00E161AD">
        <w:rPr>
          <w:noProof/>
        </w:rPr>
        <w:t xml:space="preserve"> 36</w:t>
      </w:r>
      <w:r w:rsidRPr="00E161AD">
        <w:rPr>
          <w:b/>
          <w:noProof/>
        </w:rPr>
        <w:t>,</w:t>
      </w:r>
      <w:r w:rsidRPr="00E161AD">
        <w:rPr>
          <w:noProof/>
        </w:rPr>
        <w:t xml:space="preserve"> 44-51.</w:t>
      </w:r>
    </w:p>
    <w:p w14:paraId="75BFE55C" w14:textId="77777777" w:rsidR="008666C8" w:rsidRPr="00AD7B00" w:rsidRDefault="008666C8" w:rsidP="00DB2FC8">
      <w:pPr>
        <w:spacing w:after="27" w:line="480" w:lineRule="auto"/>
        <w:jc w:val="both"/>
        <w:rPr>
          <w:rFonts w:eastAsia="Times New Roman" w:cs="Arial"/>
          <w:color w:val="000000"/>
          <w:lang w:eastAsia="zh-CN"/>
        </w:rPr>
      </w:pPr>
    </w:p>
    <w:p w14:paraId="76EC4DAB" w14:textId="77777777" w:rsidR="008666C8" w:rsidRPr="008F09AD" w:rsidRDefault="007F2FAF" w:rsidP="00DB2FC8">
      <w:pPr>
        <w:spacing w:after="27" w:line="480" w:lineRule="auto"/>
        <w:jc w:val="both"/>
        <w:rPr>
          <w:rFonts w:eastAsia="Times New Roman" w:cs="Arial"/>
          <w:color w:val="0000FF"/>
          <w:lang w:eastAsia="zh-CN"/>
        </w:rPr>
      </w:pPr>
      <w:r w:rsidRPr="00AD7B00">
        <w:rPr>
          <w:rFonts w:eastAsia="Times New Roman" w:cs="Arial"/>
          <w:color w:val="000000"/>
          <w:lang w:eastAsia="zh-CN"/>
        </w:rPr>
        <w:t>2</w:t>
      </w:r>
      <w:r w:rsidRPr="00AD7B00">
        <w:rPr>
          <w:rFonts w:eastAsia="Times New Roman" w:cs="Arial"/>
          <w:color w:val="0000FF"/>
          <w:lang w:eastAsia="zh-CN"/>
        </w:rPr>
        <w:t xml:space="preserve">) </w:t>
      </w:r>
      <w:r w:rsidR="008666C8" w:rsidRPr="008F09AD">
        <w:rPr>
          <w:rFonts w:eastAsia="Times New Roman" w:cs="Arial"/>
          <w:color w:val="0000FF"/>
          <w:lang w:eastAsia="zh-CN"/>
        </w:rPr>
        <w:t>Painful and Painless Diabetic Neuropathies: What is the Difference?</w:t>
      </w:r>
    </w:p>
    <w:p w14:paraId="0A1C67AC" w14:textId="44F2FE1D" w:rsidR="00AE482C" w:rsidRPr="00E161AD" w:rsidRDefault="00AE482C" w:rsidP="00AE482C">
      <w:pPr>
        <w:pStyle w:val="EndNoteBibliography"/>
        <w:spacing w:before="2" w:after="2"/>
        <w:ind w:left="720" w:hanging="720"/>
        <w:rPr>
          <w:noProof/>
        </w:rPr>
      </w:pPr>
      <w:bookmarkStart w:id="167" w:name="_Toc6093052"/>
      <w:r w:rsidRPr="00E161AD">
        <w:rPr>
          <w:noProof/>
        </w:rPr>
        <w:t xml:space="preserve">SHILLO, P., SLOAN, G., GREIG, M., HUNT, L., SELVARAJAH, D., ELLIOTT, J., GANDHI, R., WILKINSON, I. D. &amp; TESFAYE, S. 2019b. </w:t>
      </w:r>
      <w:r w:rsidRPr="00E161AD">
        <w:rPr>
          <w:i/>
          <w:noProof/>
        </w:rPr>
        <w:t>Curr Diab Rep,</w:t>
      </w:r>
      <w:r w:rsidRPr="00E161AD">
        <w:rPr>
          <w:noProof/>
        </w:rPr>
        <w:t xml:space="preserve"> 19</w:t>
      </w:r>
      <w:r w:rsidRPr="00E161AD">
        <w:rPr>
          <w:b/>
          <w:noProof/>
        </w:rPr>
        <w:t>,</w:t>
      </w:r>
      <w:r w:rsidRPr="00E161AD">
        <w:rPr>
          <w:noProof/>
        </w:rPr>
        <w:t xml:space="preserve"> 32.</w:t>
      </w:r>
    </w:p>
    <w:p w14:paraId="56CD2813" w14:textId="32CE569A" w:rsidR="007F2FAF" w:rsidRPr="00AD7B00" w:rsidRDefault="00DC7662" w:rsidP="00DB2FC8">
      <w:pPr>
        <w:pStyle w:val="Heading2"/>
        <w:spacing w:line="480" w:lineRule="auto"/>
        <w:jc w:val="both"/>
        <w:rPr>
          <w:rFonts w:cs="Arial"/>
          <w:i w:val="0"/>
          <w:sz w:val="24"/>
          <w:szCs w:val="24"/>
          <w:lang w:eastAsia="zh-CN"/>
        </w:rPr>
      </w:pPr>
      <w:r w:rsidRPr="00AD7B00">
        <w:rPr>
          <w:rFonts w:cs="Arial"/>
          <w:i w:val="0"/>
          <w:sz w:val="24"/>
          <w:szCs w:val="24"/>
          <w:lang w:eastAsia="zh-CN"/>
        </w:rPr>
        <w:t xml:space="preserve">8.2 </w:t>
      </w:r>
      <w:r w:rsidR="007F2FAF" w:rsidRPr="00AD7B00">
        <w:rPr>
          <w:rFonts w:cs="Arial"/>
          <w:i w:val="0"/>
          <w:sz w:val="24"/>
          <w:szCs w:val="24"/>
          <w:lang w:eastAsia="zh-CN"/>
        </w:rPr>
        <w:t>Peer reviewed first author paper submitted</w:t>
      </w:r>
      <w:bookmarkEnd w:id="167"/>
    </w:p>
    <w:p w14:paraId="62CDD6E6" w14:textId="77777777" w:rsidR="00023015" w:rsidRPr="008F09AD" w:rsidRDefault="00023015" w:rsidP="00E917AD">
      <w:pPr>
        <w:spacing w:after="27" w:line="360" w:lineRule="auto"/>
        <w:jc w:val="both"/>
        <w:rPr>
          <w:rFonts w:eastAsia="Times New Roman" w:cs="Arial"/>
          <w:color w:val="0000FF"/>
          <w:lang w:eastAsia="zh-CN"/>
        </w:rPr>
      </w:pPr>
      <w:r w:rsidRPr="008F09AD">
        <w:rPr>
          <w:rFonts w:eastAsia="Times New Roman" w:cs="Arial"/>
          <w:lang w:eastAsia="zh-CN"/>
        </w:rPr>
        <w:t xml:space="preserve">1) </w:t>
      </w:r>
      <w:r w:rsidRPr="008F09AD">
        <w:rPr>
          <w:rFonts w:eastAsia="Times New Roman" w:cs="Arial"/>
          <w:color w:val="0000FF"/>
          <w:lang w:eastAsia="zh-CN"/>
        </w:rPr>
        <w:t xml:space="preserve">Nerve and vascular skin biomarkers differentiate painful from painless diabetic neuropathy: increased microvasculature in painful neuropathy </w:t>
      </w:r>
    </w:p>
    <w:p w14:paraId="3AE48374" w14:textId="47643F3F" w:rsidR="00DC7662" w:rsidRPr="00AD7B00" w:rsidRDefault="00AE482C" w:rsidP="00DB2FC8">
      <w:pPr>
        <w:spacing w:after="27" w:line="480" w:lineRule="auto"/>
        <w:jc w:val="both"/>
        <w:rPr>
          <w:rFonts w:eastAsia="Times New Roman" w:cs="Arial"/>
          <w:color w:val="000000"/>
          <w:lang w:eastAsia="zh-CN"/>
        </w:rPr>
      </w:pPr>
      <w:r w:rsidRPr="00AD7B00">
        <w:rPr>
          <w:rFonts w:eastAsia="Times New Roman" w:cs="Arial"/>
          <w:color w:val="000000"/>
          <w:lang w:eastAsia="zh-CN"/>
        </w:rPr>
        <w:t xml:space="preserve"> </w:t>
      </w:r>
      <w:r w:rsidR="00DC7662" w:rsidRPr="00AD7B00">
        <w:rPr>
          <w:rFonts w:eastAsia="Times New Roman" w:cs="Arial"/>
          <w:color w:val="000000"/>
          <w:lang w:eastAsia="zh-CN"/>
        </w:rPr>
        <w:t>(</w:t>
      </w:r>
      <w:r w:rsidR="00023015" w:rsidRPr="00AD7B00">
        <w:rPr>
          <w:rFonts w:eastAsia="Times New Roman" w:cs="Arial"/>
          <w:color w:val="000000"/>
          <w:lang w:eastAsia="zh-CN"/>
        </w:rPr>
        <w:t xml:space="preserve">Submitted to </w:t>
      </w:r>
      <w:r w:rsidRPr="00AD7B00">
        <w:rPr>
          <w:rFonts w:eastAsia="Times New Roman" w:cs="Arial"/>
          <w:color w:val="000000"/>
          <w:lang w:eastAsia="zh-CN"/>
        </w:rPr>
        <w:t>Diabetes,</w:t>
      </w:r>
      <w:r w:rsidR="00023015" w:rsidRPr="00AD7B00">
        <w:rPr>
          <w:rFonts w:eastAsia="Times New Roman" w:cs="Arial"/>
          <w:color w:val="000000"/>
          <w:lang w:eastAsia="zh-CN"/>
        </w:rPr>
        <w:t xml:space="preserve"> awaiting response</w:t>
      </w:r>
      <w:r w:rsidR="00DC7662" w:rsidRPr="00AD7B00">
        <w:rPr>
          <w:rFonts w:eastAsia="Times New Roman" w:cs="Arial"/>
          <w:color w:val="000000"/>
          <w:lang w:eastAsia="zh-CN"/>
        </w:rPr>
        <w:t>)</w:t>
      </w:r>
    </w:p>
    <w:p w14:paraId="4E4441F6" w14:textId="151D00D7" w:rsidR="00A462CF" w:rsidRPr="00AD7B00" w:rsidRDefault="00DC7662" w:rsidP="00DB2FC8">
      <w:pPr>
        <w:pStyle w:val="Heading2"/>
        <w:spacing w:line="480" w:lineRule="auto"/>
        <w:jc w:val="both"/>
        <w:rPr>
          <w:rFonts w:eastAsia="Times New Roman" w:cs="Arial"/>
          <w:i w:val="0"/>
          <w:color w:val="000000"/>
          <w:sz w:val="24"/>
          <w:szCs w:val="24"/>
          <w:lang w:eastAsia="zh-CN"/>
        </w:rPr>
      </w:pPr>
      <w:bookmarkStart w:id="168" w:name="_Toc6093053"/>
      <w:r w:rsidRPr="00AD7B00">
        <w:rPr>
          <w:rFonts w:eastAsia="Times New Roman" w:cs="Arial"/>
          <w:i w:val="0"/>
          <w:color w:val="000000"/>
          <w:sz w:val="24"/>
          <w:szCs w:val="24"/>
          <w:lang w:eastAsia="zh-CN"/>
        </w:rPr>
        <w:t>8.3</w:t>
      </w:r>
      <w:r w:rsidR="00A462CF" w:rsidRPr="00AD7B00">
        <w:rPr>
          <w:rFonts w:cs="Arial"/>
          <w:i w:val="0"/>
          <w:noProof/>
          <w:sz w:val="24"/>
          <w:szCs w:val="24"/>
        </w:rPr>
        <w:t xml:space="preserve"> Peer reviewed </w:t>
      </w:r>
      <w:r w:rsidR="007F2FAF" w:rsidRPr="00AD7B00">
        <w:rPr>
          <w:rFonts w:cs="Arial"/>
          <w:i w:val="0"/>
          <w:noProof/>
          <w:sz w:val="24"/>
          <w:szCs w:val="24"/>
        </w:rPr>
        <w:t>other</w:t>
      </w:r>
      <w:r w:rsidR="00A462CF" w:rsidRPr="00AD7B00">
        <w:rPr>
          <w:rFonts w:cs="Arial"/>
          <w:i w:val="0"/>
          <w:noProof/>
          <w:sz w:val="24"/>
          <w:szCs w:val="24"/>
        </w:rPr>
        <w:t xml:space="preserve"> papers </w:t>
      </w:r>
      <w:r w:rsidR="007F2FAF" w:rsidRPr="00AD7B00">
        <w:rPr>
          <w:rFonts w:cs="Arial"/>
          <w:i w:val="0"/>
          <w:noProof/>
          <w:sz w:val="24"/>
          <w:szCs w:val="24"/>
        </w:rPr>
        <w:t>published</w:t>
      </w:r>
      <w:bookmarkEnd w:id="168"/>
    </w:p>
    <w:p w14:paraId="6EE6E779" w14:textId="72FF21CD" w:rsidR="00574289" w:rsidRPr="008F09AD" w:rsidRDefault="00574289" w:rsidP="00DB2FC8">
      <w:pPr>
        <w:spacing w:after="0" w:line="480" w:lineRule="auto"/>
        <w:jc w:val="both"/>
        <w:rPr>
          <w:rFonts w:eastAsia="Times New Roman" w:cs="Arial"/>
          <w:color w:val="0000FF"/>
          <w:lang w:eastAsia="zh-CN"/>
        </w:rPr>
      </w:pPr>
      <w:r w:rsidRPr="008F09AD">
        <w:rPr>
          <w:rFonts w:eastAsia="Times New Roman" w:cs="Arial"/>
          <w:color w:val="000000"/>
          <w:lang w:eastAsia="zh-CN"/>
        </w:rPr>
        <w:t xml:space="preserve">1) </w:t>
      </w:r>
      <w:hyperlink r:id="rId26" w:history="1">
        <w:r w:rsidRPr="008F09AD">
          <w:rPr>
            <w:rFonts w:eastAsia="Times New Roman" w:cs="Arial"/>
            <w:color w:val="0000FF"/>
            <w:lang w:eastAsia="zh-CN"/>
          </w:rPr>
          <w:t>A new look at painful diabetic neuropathy.</w:t>
        </w:r>
      </w:hyperlink>
    </w:p>
    <w:p w14:paraId="509E9F73" w14:textId="6CAAFC41" w:rsidR="00AE482C" w:rsidRDefault="00AE482C" w:rsidP="00AE482C">
      <w:pPr>
        <w:pStyle w:val="EndNoteBibliography"/>
        <w:spacing w:before="2" w:after="2"/>
        <w:ind w:left="720" w:hanging="720"/>
        <w:rPr>
          <w:noProof/>
        </w:rPr>
      </w:pPr>
      <w:r w:rsidRPr="00E161AD">
        <w:rPr>
          <w:noProof/>
        </w:rPr>
        <w:t xml:space="preserve">SLOAN, G., SHILLO, P., SELVARAJAH, D., WU, J., WILKINSON, I. D., TRACEY, I., ANAND, P. &amp; TESFAYE, S. 2018. </w:t>
      </w:r>
      <w:r w:rsidRPr="00E161AD">
        <w:rPr>
          <w:i/>
          <w:noProof/>
        </w:rPr>
        <w:t>Diabetes Res Clin Pract,</w:t>
      </w:r>
      <w:r w:rsidRPr="00E161AD">
        <w:rPr>
          <w:noProof/>
        </w:rPr>
        <w:t xml:space="preserve"> 144</w:t>
      </w:r>
      <w:r w:rsidRPr="00E161AD">
        <w:rPr>
          <w:b/>
          <w:noProof/>
        </w:rPr>
        <w:t>,</w:t>
      </w:r>
      <w:r w:rsidRPr="00E161AD">
        <w:rPr>
          <w:noProof/>
        </w:rPr>
        <w:t xml:space="preserve"> 177-191.</w:t>
      </w:r>
    </w:p>
    <w:p w14:paraId="206165C5" w14:textId="77777777" w:rsidR="00AE482C" w:rsidRPr="00E161AD" w:rsidRDefault="00AE482C" w:rsidP="00AE482C">
      <w:pPr>
        <w:pStyle w:val="EndNoteBibliography"/>
        <w:spacing w:before="2" w:after="2"/>
        <w:ind w:left="720" w:hanging="720"/>
        <w:rPr>
          <w:noProof/>
        </w:rPr>
      </w:pPr>
    </w:p>
    <w:p w14:paraId="3144D60E" w14:textId="781BFDAB" w:rsidR="00574289" w:rsidRPr="008F09AD" w:rsidRDefault="00574289" w:rsidP="00E917AD">
      <w:pPr>
        <w:spacing w:after="0" w:line="360" w:lineRule="auto"/>
        <w:jc w:val="both"/>
        <w:rPr>
          <w:rFonts w:eastAsia="Times New Roman" w:cs="Arial"/>
          <w:color w:val="0000FF"/>
          <w:lang w:eastAsia="zh-CN"/>
        </w:rPr>
      </w:pPr>
      <w:r w:rsidRPr="008F09AD">
        <w:rPr>
          <w:rFonts w:eastAsia="Times New Roman" w:cs="Arial"/>
          <w:color w:val="000000"/>
          <w:lang w:eastAsia="zh-CN"/>
        </w:rPr>
        <w:t xml:space="preserve">2) </w:t>
      </w:r>
      <w:hyperlink r:id="rId27" w:history="1">
        <w:r w:rsidRPr="008F09AD">
          <w:rPr>
            <w:rFonts w:eastAsia="Times New Roman" w:cs="Arial"/>
            <w:color w:val="0000FF"/>
            <w:lang w:eastAsia="zh-CN"/>
          </w:rPr>
          <w:t xml:space="preserve">Neuropathic pain drives anxiety </w:t>
        </w:r>
        <w:proofErr w:type="spellStart"/>
        <w:r w:rsidRPr="008F09AD">
          <w:rPr>
            <w:rFonts w:eastAsia="Times New Roman" w:cs="Arial"/>
            <w:color w:val="0000FF"/>
            <w:lang w:eastAsia="zh-CN"/>
          </w:rPr>
          <w:t>behavior</w:t>
        </w:r>
        <w:proofErr w:type="spellEnd"/>
        <w:r w:rsidRPr="008F09AD">
          <w:rPr>
            <w:rFonts w:eastAsia="Times New Roman" w:cs="Arial"/>
            <w:color w:val="0000FF"/>
            <w:lang w:eastAsia="zh-CN"/>
          </w:rPr>
          <w:t xml:space="preserve"> in mice, results consistent with anxiety levels in diabetic neuropathy patients.</w:t>
        </w:r>
      </w:hyperlink>
    </w:p>
    <w:p w14:paraId="2472515F" w14:textId="6DEBBBDB" w:rsidR="00993980" w:rsidRDefault="00993980" w:rsidP="00993980">
      <w:pPr>
        <w:pStyle w:val="EndNoteBibliography"/>
        <w:spacing w:before="2" w:after="2"/>
        <w:ind w:left="720" w:hanging="720"/>
        <w:rPr>
          <w:noProof/>
        </w:rPr>
      </w:pPr>
      <w:r w:rsidRPr="00E161AD">
        <w:rPr>
          <w:noProof/>
        </w:rPr>
        <w:t xml:space="preserve">SIEBERG, C. B., TARAS, C., GOMAA, A., NICKERSON, C., WONG, C., WARD, C., BASKOZOS, G., BENNETT, D. L. H., RAMIREZ, J. D., THEMISTOCLEOUS, A. C., RICE, A. S. C., SHILLO, P. R., TESFAYE, S., EDWARDS, R. R., ANDREWS, N. A., BERDE, C. &amp; COSTIGAN, M. 2018. </w:t>
      </w:r>
      <w:r w:rsidRPr="00E161AD">
        <w:rPr>
          <w:i/>
          <w:noProof/>
        </w:rPr>
        <w:t>Pain Rep,</w:t>
      </w:r>
      <w:r w:rsidRPr="00E161AD">
        <w:rPr>
          <w:noProof/>
        </w:rPr>
        <w:t xml:space="preserve"> 3</w:t>
      </w:r>
      <w:r w:rsidRPr="00E161AD">
        <w:rPr>
          <w:b/>
          <w:noProof/>
        </w:rPr>
        <w:t>,</w:t>
      </w:r>
      <w:r w:rsidRPr="00E161AD">
        <w:rPr>
          <w:noProof/>
        </w:rPr>
        <w:t xml:space="preserve"> e651.</w:t>
      </w:r>
    </w:p>
    <w:p w14:paraId="0792C3B0" w14:textId="77777777" w:rsidR="00993980" w:rsidRPr="00E161AD" w:rsidRDefault="00993980" w:rsidP="00993980">
      <w:pPr>
        <w:pStyle w:val="EndNoteBibliography"/>
        <w:spacing w:before="2" w:after="2"/>
        <w:ind w:left="720" w:hanging="720"/>
        <w:rPr>
          <w:noProof/>
        </w:rPr>
      </w:pPr>
    </w:p>
    <w:p w14:paraId="74CCE29F" w14:textId="77777777" w:rsidR="00574289" w:rsidRPr="008F09AD" w:rsidRDefault="00574289" w:rsidP="00DB2FC8">
      <w:pPr>
        <w:pStyle w:val="Title1"/>
        <w:spacing w:before="0" w:beforeAutospacing="0" w:after="0" w:afterAutospacing="0" w:line="480" w:lineRule="auto"/>
        <w:jc w:val="both"/>
        <w:rPr>
          <w:rFonts w:ascii="Cambria" w:hAnsi="Cambria" w:cs="Arial"/>
          <w:color w:val="0000FF"/>
        </w:rPr>
      </w:pPr>
      <w:r w:rsidRPr="008F09AD">
        <w:rPr>
          <w:rFonts w:ascii="Cambria" w:hAnsi="Cambria" w:cs="Arial"/>
          <w:color w:val="0000FF"/>
        </w:rPr>
        <w:t xml:space="preserve">3) </w:t>
      </w:r>
      <w:hyperlink r:id="rId28" w:history="1">
        <w:r w:rsidRPr="008F09AD">
          <w:rPr>
            <w:rFonts w:ascii="Cambria" w:hAnsi="Cambria" w:cs="Arial"/>
            <w:color w:val="0000FF"/>
          </w:rPr>
          <w:t>Rare NaV1.7 variants associated with painful diabetic peripheral neuropathy.</w:t>
        </w:r>
      </w:hyperlink>
    </w:p>
    <w:p w14:paraId="0D9ABE76" w14:textId="57F5CD03" w:rsidR="00993980" w:rsidRDefault="00993980" w:rsidP="00993980">
      <w:pPr>
        <w:pStyle w:val="EndNoteBibliography"/>
        <w:spacing w:before="2" w:after="2"/>
        <w:ind w:left="720" w:hanging="720"/>
        <w:rPr>
          <w:noProof/>
        </w:rPr>
      </w:pPr>
      <w:r w:rsidRPr="00E161AD">
        <w:rPr>
          <w:noProof/>
        </w:rPr>
        <w:t xml:space="preserve">BLESNEAC, I., THEMISTOCLEOUS, A. C., FRATTER, C., CONRAD, L. J., RAMIREZ, J. D., COX, J. J., TESFAYE, S., SHILLO, P. R., RICE, A. S. C., TUCKER, S. J. &amp; BENNETT, D. L. H. 2018. </w:t>
      </w:r>
      <w:r w:rsidRPr="00E161AD">
        <w:rPr>
          <w:i/>
          <w:noProof/>
        </w:rPr>
        <w:t>Pain,</w:t>
      </w:r>
      <w:r w:rsidRPr="00E161AD">
        <w:rPr>
          <w:noProof/>
        </w:rPr>
        <w:t xml:space="preserve"> 159</w:t>
      </w:r>
      <w:r w:rsidRPr="00E161AD">
        <w:rPr>
          <w:b/>
          <w:noProof/>
        </w:rPr>
        <w:t>,</w:t>
      </w:r>
      <w:r w:rsidRPr="00E161AD">
        <w:rPr>
          <w:noProof/>
        </w:rPr>
        <w:t xml:space="preserve"> 469-480.</w:t>
      </w:r>
    </w:p>
    <w:p w14:paraId="0BC6D01F" w14:textId="77777777" w:rsidR="008F09AD" w:rsidRPr="00E161AD" w:rsidRDefault="008F09AD" w:rsidP="00993980">
      <w:pPr>
        <w:pStyle w:val="EndNoteBibliography"/>
        <w:spacing w:before="2" w:after="2"/>
        <w:ind w:left="720" w:hanging="720"/>
        <w:rPr>
          <w:noProof/>
        </w:rPr>
      </w:pPr>
    </w:p>
    <w:p w14:paraId="0ADFD178" w14:textId="77777777" w:rsidR="0098042E" w:rsidRPr="008F09AD" w:rsidRDefault="0098042E" w:rsidP="00E917AD">
      <w:pPr>
        <w:pStyle w:val="Title1"/>
        <w:spacing w:before="0" w:beforeAutospacing="0" w:after="0" w:afterAutospacing="0" w:line="360" w:lineRule="auto"/>
        <w:jc w:val="both"/>
        <w:rPr>
          <w:rFonts w:ascii="Cambria" w:hAnsi="Cambria" w:cs="Arial"/>
          <w:color w:val="0000FF"/>
        </w:rPr>
      </w:pPr>
      <w:r w:rsidRPr="008F09AD">
        <w:rPr>
          <w:rFonts w:ascii="Cambria" w:hAnsi="Cambria" w:cs="Arial"/>
          <w:color w:val="000000"/>
        </w:rPr>
        <w:lastRenderedPageBreak/>
        <w:t xml:space="preserve">4) </w:t>
      </w:r>
      <w:hyperlink r:id="rId29" w:history="1">
        <w:r w:rsidRPr="008F09AD">
          <w:rPr>
            <w:rFonts w:ascii="Cambria" w:hAnsi="Cambria" w:cs="Arial"/>
            <w:color w:val="0000FF"/>
          </w:rPr>
          <w:t>Stratifying patients with peripheral neuropathic pain based on sensory profiles: algorithm and sample size recommendations.</w:t>
        </w:r>
      </w:hyperlink>
    </w:p>
    <w:p w14:paraId="448302B6" w14:textId="56BD04B3" w:rsidR="00993980" w:rsidRPr="00E917AD" w:rsidRDefault="00993980" w:rsidP="00993980">
      <w:pPr>
        <w:pStyle w:val="EndNoteBibliography"/>
        <w:spacing w:before="2" w:after="2"/>
        <w:ind w:left="720" w:hanging="720"/>
        <w:rPr>
          <w:noProof/>
        </w:rPr>
      </w:pPr>
      <w:r w:rsidRPr="00E161AD">
        <w:rPr>
          <w:noProof/>
        </w:rPr>
        <w:t xml:space="preserve">VOLLERT, J., MAIER, C., ATTAL, N., BENNETT, D. L. H., BOUHASSIRA, D., ENAX-KRUMOVA, E. K., FINNERUP, N. B., FREYNHAGEN, R., GIERTHMÜHLEN, J., HAANPÄÄ, M., HANSSON, P., HÜLLEMANN, P., JENSEN, T. S., MAGERL, W., RAMIREZ, J. D., RICE, A. S. C., SCHUH-HOFER, S., SEGERDAHL, M., SERRA, J., SHILLO, P. R., SINDRUP, S., TESFAYE, S., THEMISTOCLEOUS, A. C., TÖLLE, T. R., TREEDE, R. D. &amp; BARON, R. </w:t>
      </w:r>
      <w:r w:rsidRPr="00E917AD">
        <w:rPr>
          <w:noProof/>
        </w:rPr>
        <w:t xml:space="preserve">2017. </w:t>
      </w:r>
      <w:r w:rsidRPr="00E917AD">
        <w:rPr>
          <w:i/>
          <w:noProof/>
        </w:rPr>
        <w:t>Pain,</w:t>
      </w:r>
      <w:r w:rsidRPr="00E917AD">
        <w:rPr>
          <w:noProof/>
        </w:rPr>
        <w:t xml:space="preserve"> 158</w:t>
      </w:r>
      <w:r w:rsidRPr="00E917AD">
        <w:rPr>
          <w:b/>
          <w:noProof/>
        </w:rPr>
        <w:t>,</w:t>
      </w:r>
      <w:r w:rsidRPr="00E917AD">
        <w:rPr>
          <w:noProof/>
        </w:rPr>
        <w:t xml:space="preserve"> 1446-1455.</w:t>
      </w:r>
    </w:p>
    <w:p w14:paraId="2C6A2583" w14:textId="77777777" w:rsidR="005F20A7" w:rsidRPr="00E161AD" w:rsidRDefault="005F20A7" w:rsidP="00993980">
      <w:pPr>
        <w:pStyle w:val="EndNoteBibliography"/>
        <w:spacing w:before="2" w:after="2"/>
        <w:ind w:left="720" w:hanging="720"/>
        <w:rPr>
          <w:noProof/>
        </w:rPr>
      </w:pPr>
    </w:p>
    <w:p w14:paraId="13AEEAD3" w14:textId="77777777" w:rsidR="007F2FAF" w:rsidRPr="008F09AD" w:rsidRDefault="007F2FAF" w:rsidP="00E917AD">
      <w:pPr>
        <w:pStyle w:val="Title1"/>
        <w:spacing w:before="0" w:beforeAutospacing="0" w:after="0" w:afterAutospacing="0" w:line="360" w:lineRule="auto"/>
        <w:jc w:val="both"/>
        <w:rPr>
          <w:rFonts w:ascii="Cambria" w:hAnsi="Cambria" w:cs="Arial"/>
          <w:color w:val="0000FF"/>
        </w:rPr>
      </w:pPr>
      <w:r w:rsidRPr="008F09AD">
        <w:rPr>
          <w:rFonts w:ascii="Cambria" w:hAnsi="Cambria" w:cs="Arial"/>
          <w:color w:val="000000"/>
        </w:rPr>
        <w:t xml:space="preserve">5) </w:t>
      </w:r>
      <w:hyperlink r:id="rId30" w:history="1">
        <w:r w:rsidRPr="008F09AD">
          <w:rPr>
            <w:rFonts w:ascii="Cambria" w:hAnsi="Cambria" w:cs="Arial"/>
            <w:color w:val="0000FF"/>
          </w:rPr>
          <w:t>The Pain in Neuropathy Study (</w:t>
        </w:r>
        <w:proofErr w:type="spellStart"/>
        <w:r w:rsidRPr="008F09AD">
          <w:rPr>
            <w:rFonts w:ascii="Cambria" w:hAnsi="Cambria" w:cs="Arial"/>
            <w:color w:val="0000FF"/>
          </w:rPr>
          <w:t>PiNS</w:t>
        </w:r>
        <w:proofErr w:type="spellEnd"/>
        <w:r w:rsidRPr="008F09AD">
          <w:rPr>
            <w:rFonts w:ascii="Cambria" w:hAnsi="Cambria" w:cs="Arial"/>
            <w:color w:val="0000FF"/>
          </w:rPr>
          <w:t>): a cross-sectional observational study determining the somatosensory phenotype of painful and painless diabetic neuropathy.</w:t>
        </w:r>
      </w:hyperlink>
    </w:p>
    <w:p w14:paraId="0F004A1E" w14:textId="0A8D77B5" w:rsidR="005F20A7" w:rsidRDefault="005F20A7" w:rsidP="005F20A7">
      <w:pPr>
        <w:pStyle w:val="EndNoteBibliography"/>
        <w:spacing w:before="2" w:after="2"/>
        <w:ind w:left="720" w:hanging="720"/>
        <w:rPr>
          <w:noProof/>
        </w:rPr>
      </w:pPr>
      <w:r w:rsidRPr="00E161AD">
        <w:rPr>
          <w:noProof/>
        </w:rPr>
        <w:t xml:space="preserve">THEMISTOCLEOUS, A. C., RAMIREZ, J. D., SHILLO, P. R., LEES, J. G., SELVARAJAH, D., ORENGO, C., TESFAYE, S., RICE, A. S. &amp; BENNETT, D. L. 2016. </w:t>
      </w:r>
      <w:r w:rsidRPr="00E161AD">
        <w:rPr>
          <w:i/>
          <w:noProof/>
        </w:rPr>
        <w:t>Pain,</w:t>
      </w:r>
      <w:r w:rsidRPr="00E161AD">
        <w:rPr>
          <w:noProof/>
        </w:rPr>
        <w:t xml:space="preserve"> 157</w:t>
      </w:r>
      <w:r w:rsidRPr="00E161AD">
        <w:rPr>
          <w:b/>
          <w:noProof/>
        </w:rPr>
        <w:t>,</w:t>
      </w:r>
      <w:r w:rsidRPr="00E161AD">
        <w:rPr>
          <w:noProof/>
        </w:rPr>
        <w:t xml:space="preserve"> 1132-45.</w:t>
      </w:r>
    </w:p>
    <w:p w14:paraId="70361A37" w14:textId="77777777" w:rsidR="00E917AD" w:rsidRPr="00E161AD" w:rsidRDefault="00E917AD" w:rsidP="005F20A7">
      <w:pPr>
        <w:pStyle w:val="EndNoteBibliography"/>
        <w:spacing w:before="2" w:after="2"/>
        <w:ind w:left="720" w:hanging="720"/>
        <w:rPr>
          <w:noProof/>
        </w:rPr>
      </w:pPr>
    </w:p>
    <w:p w14:paraId="7414C1AD" w14:textId="77777777" w:rsidR="007F2FAF" w:rsidRPr="008F09AD" w:rsidRDefault="007F2FAF" w:rsidP="00E917AD">
      <w:pPr>
        <w:pStyle w:val="Title1"/>
        <w:spacing w:before="0" w:beforeAutospacing="0" w:after="0" w:afterAutospacing="0" w:line="360" w:lineRule="auto"/>
        <w:jc w:val="both"/>
        <w:rPr>
          <w:rFonts w:ascii="Cambria" w:hAnsi="Cambria" w:cs="Arial"/>
          <w:color w:val="0000FF"/>
        </w:rPr>
      </w:pPr>
      <w:r w:rsidRPr="008F09AD">
        <w:rPr>
          <w:rFonts w:ascii="Cambria" w:hAnsi="Cambria" w:cs="Arial"/>
          <w:color w:val="000000"/>
        </w:rPr>
        <w:t xml:space="preserve">6) </w:t>
      </w:r>
      <w:hyperlink r:id="rId31" w:history="1">
        <w:r w:rsidRPr="008F09AD">
          <w:rPr>
            <w:rFonts w:ascii="Cambria" w:hAnsi="Cambria" w:cs="Arial"/>
            <w:color w:val="0000FF"/>
          </w:rPr>
          <w:t>Diabetic peripheral neuropathy may not be as its name suggests: evidence from magnetic resonance imaging.</w:t>
        </w:r>
      </w:hyperlink>
    </w:p>
    <w:p w14:paraId="09CE76DC" w14:textId="47DC26C1" w:rsidR="00E917AD" w:rsidRDefault="00E917AD" w:rsidP="00E917AD">
      <w:pPr>
        <w:pStyle w:val="EndNoteBibliography"/>
        <w:spacing w:before="2" w:after="2"/>
        <w:ind w:left="720" w:hanging="720"/>
        <w:rPr>
          <w:noProof/>
        </w:rPr>
      </w:pPr>
      <w:r w:rsidRPr="00E161AD">
        <w:rPr>
          <w:noProof/>
        </w:rPr>
        <w:t xml:space="preserve">TESFAYE, S., SELVARAJAH, D., GANDHI, R., GREIG, M., SHILLO, P., FANG, F. &amp; WILKINSON, I. D. 2016. </w:t>
      </w:r>
      <w:r w:rsidRPr="00E161AD">
        <w:rPr>
          <w:i/>
          <w:noProof/>
        </w:rPr>
        <w:t>Pain,</w:t>
      </w:r>
      <w:r w:rsidRPr="00E161AD">
        <w:rPr>
          <w:noProof/>
        </w:rPr>
        <w:t xml:space="preserve"> 157 Suppl 1</w:t>
      </w:r>
      <w:r w:rsidRPr="00E161AD">
        <w:rPr>
          <w:b/>
          <w:noProof/>
        </w:rPr>
        <w:t>,</w:t>
      </w:r>
      <w:r w:rsidRPr="00E161AD">
        <w:rPr>
          <w:noProof/>
        </w:rPr>
        <w:t xml:space="preserve"> S72-80.</w:t>
      </w:r>
    </w:p>
    <w:p w14:paraId="63C79FA4" w14:textId="77777777" w:rsidR="00E917AD" w:rsidRPr="00E161AD" w:rsidRDefault="00E917AD" w:rsidP="00E917AD">
      <w:pPr>
        <w:pStyle w:val="EndNoteBibliography"/>
        <w:spacing w:before="2" w:after="2"/>
        <w:ind w:left="720" w:hanging="720"/>
        <w:rPr>
          <w:noProof/>
        </w:rPr>
      </w:pPr>
    </w:p>
    <w:p w14:paraId="23EDF47A" w14:textId="77777777" w:rsidR="007F2FAF" w:rsidRPr="008F09AD" w:rsidRDefault="007F2FAF" w:rsidP="00EB3E8A">
      <w:pPr>
        <w:pStyle w:val="Title1"/>
        <w:spacing w:before="0" w:beforeAutospacing="0" w:after="0" w:afterAutospacing="0" w:line="480" w:lineRule="auto"/>
        <w:jc w:val="both"/>
        <w:rPr>
          <w:rFonts w:ascii="Cambria" w:hAnsi="Cambria" w:cs="Arial"/>
          <w:color w:val="0000FF"/>
        </w:rPr>
      </w:pPr>
      <w:r w:rsidRPr="008F09AD">
        <w:rPr>
          <w:rFonts w:ascii="Cambria" w:hAnsi="Cambria" w:cs="Arial"/>
          <w:color w:val="000000"/>
        </w:rPr>
        <w:t xml:space="preserve">7) </w:t>
      </w:r>
      <w:hyperlink r:id="rId32" w:history="1">
        <w:r w:rsidRPr="008F09AD">
          <w:rPr>
            <w:rFonts w:ascii="Cambria" w:hAnsi="Cambria" w:cs="Arial"/>
            <w:color w:val="0000FF"/>
          </w:rPr>
          <w:t>Magnetic resonance imaging of the central nervous system in diabetic neuropathy.</w:t>
        </w:r>
      </w:hyperlink>
    </w:p>
    <w:p w14:paraId="5FB76265" w14:textId="7225D3CB" w:rsidR="00E917AD" w:rsidRDefault="00E917AD" w:rsidP="00E917AD">
      <w:pPr>
        <w:pStyle w:val="EndNoteBibliography"/>
        <w:spacing w:before="2" w:after="2"/>
        <w:ind w:left="720" w:hanging="720"/>
        <w:rPr>
          <w:noProof/>
        </w:rPr>
      </w:pPr>
      <w:r w:rsidRPr="00E161AD">
        <w:rPr>
          <w:noProof/>
        </w:rPr>
        <w:t xml:space="preserve">WILKINSON, I. D., SELVARAJAH, D., GREIG, M., SHILLO, P., BOLAND, E., GANDHI, R. &amp; TESFAYE, S. 2013. </w:t>
      </w:r>
      <w:r w:rsidRPr="00E161AD">
        <w:rPr>
          <w:i/>
          <w:noProof/>
        </w:rPr>
        <w:t>Curr Diab Rep,</w:t>
      </w:r>
      <w:r w:rsidRPr="00E161AD">
        <w:rPr>
          <w:noProof/>
        </w:rPr>
        <w:t xml:space="preserve"> 13</w:t>
      </w:r>
      <w:r w:rsidRPr="00E161AD">
        <w:rPr>
          <w:b/>
          <w:noProof/>
        </w:rPr>
        <w:t>,</w:t>
      </w:r>
      <w:r w:rsidRPr="00E161AD">
        <w:rPr>
          <w:noProof/>
        </w:rPr>
        <w:t xml:space="preserve"> 509-16.</w:t>
      </w:r>
    </w:p>
    <w:p w14:paraId="643C235F" w14:textId="77777777" w:rsidR="00E917AD" w:rsidRPr="00E161AD" w:rsidRDefault="00E917AD" w:rsidP="00E917AD">
      <w:pPr>
        <w:pStyle w:val="EndNoteBibliography"/>
        <w:spacing w:before="2" w:after="2"/>
        <w:ind w:left="720" w:hanging="720"/>
        <w:rPr>
          <w:noProof/>
        </w:rPr>
      </w:pPr>
    </w:p>
    <w:p w14:paraId="3B98D760" w14:textId="3439AE0A" w:rsidR="00EB3E8A" w:rsidRPr="008F09AD" w:rsidRDefault="00EB3E8A" w:rsidP="00E917AD">
      <w:pPr>
        <w:spacing w:after="27" w:line="360" w:lineRule="auto"/>
        <w:jc w:val="both"/>
        <w:rPr>
          <w:rFonts w:eastAsia="Times New Roman" w:cs="Arial"/>
          <w:color w:val="0000FF"/>
          <w:lang w:eastAsia="zh-CN"/>
        </w:rPr>
      </w:pPr>
      <w:r w:rsidRPr="008F09AD">
        <w:rPr>
          <w:rFonts w:eastAsia="Times New Roman" w:cs="Arial"/>
          <w:color w:val="000000"/>
          <w:lang w:eastAsia="zh-CN"/>
        </w:rPr>
        <w:t xml:space="preserve">8) </w:t>
      </w:r>
      <w:proofErr w:type="spellStart"/>
      <w:r w:rsidRPr="008F09AD">
        <w:rPr>
          <w:rFonts w:eastAsia="Times New Roman" w:cs="Arial"/>
          <w:color w:val="0000FF"/>
          <w:lang w:eastAsia="zh-CN"/>
        </w:rPr>
        <w:t>SUDOSCAN</w:t>
      </w:r>
      <w:proofErr w:type="spellEnd"/>
      <w:r w:rsidRPr="008F09AD">
        <w:rPr>
          <w:rFonts w:eastAsia="Times New Roman" w:cs="Arial"/>
          <w:color w:val="0000FF"/>
          <w:lang w:eastAsia="zh-CN"/>
        </w:rPr>
        <w:t>: A Simple, Rapid, and Objective Method with Potential for Screening for Diabetic Peripheral Neuropathy.</w:t>
      </w:r>
    </w:p>
    <w:p w14:paraId="61EBCD22" w14:textId="0CAFA348" w:rsidR="00E917AD" w:rsidRPr="00E161AD" w:rsidRDefault="00E917AD" w:rsidP="00E917AD">
      <w:pPr>
        <w:pStyle w:val="EndNoteBibliography"/>
        <w:spacing w:before="2" w:after="2"/>
        <w:ind w:left="720" w:hanging="720"/>
        <w:rPr>
          <w:noProof/>
        </w:rPr>
      </w:pPr>
      <w:bookmarkStart w:id="169" w:name="_Toc6093054"/>
      <w:r w:rsidRPr="00E161AD">
        <w:rPr>
          <w:noProof/>
        </w:rPr>
        <w:t xml:space="preserve">SELVARAJAH, D., CASH, T., DAVIES, J., SANKAR, A., RAO, G., GRIEG, M., PALLAI, S., GANDHI, R., WILKINSON, I. D. &amp; TESFAYE, S. 2015. </w:t>
      </w:r>
      <w:r w:rsidRPr="00E161AD">
        <w:rPr>
          <w:i/>
          <w:noProof/>
        </w:rPr>
        <w:t>PLoS One,</w:t>
      </w:r>
      <w:r w:rsidRPr="00E161AD">
        <w:rPr>
          <w:noProof/>
        </w:rPr>
        <w:t xml:space="preserve"> 10</w:t>
      </w:r>
      <w:r w:rsidRPr="00E161AD">
        <w:rPr>
          <w:b/>
          <w:noProof/>
        </w:rPr>
        <w:t>,</w:t>
      </w:r>
      <w:r w:rsidRPr="00E161AD">
        <w:rPr>
          <w:noProof/>
        </w:rPr>
        <w:t xml:space="preserve"> e0138224.</w:t>
      </w:r>
    </w:p>
    <w:p w14:paraId="256FFD73" w14:textId="49117178" w:rsidR="00A462CF" w:rsidRPr="00AD7B00" w:rsidRDefault="00DC7662" w:rsidP="008A7ECF">
      <w:pPr>
        <w:pStyle w:val="Heading2"/>
        <w:spacing w:line="480" w:lineRule="auto"/>
        <w:jc w:val="both"/>
        <w:rPr>
          <w:rFonts w:cs="Arial"/>
          <w:i w:val="0"/>
          <w:noProof/>
          <w:sz w:val="24"/>
          <w:szCs w:val="24"/>
        </w:rPr>
      </w:pPr>
      <w:r w:rsidRPr="00AD7B00">
        <w:rPr>
          <w:rFonts w:cs="Arial"/>
          <w:i w:val="0"/>
          <w:noProof/>
          <w:sz w:val="24"/>
          <w:szCs w:val="24"/>
        </w:rPr>
        <w:t xml:space="preserve">8.4 </w:t>
      </w:r>
      <w:r w:rsidR="00A462CF" w:rsidRPr="00AD7B00">
        <w:rPr>
          <w:rFonts w:cs="Arial"/>
          <w:i w:val="0"/>
          <w:noProof/>
          <w:sz w:val="24"/>
          <w:szCs w:val="24"/>
        </w:rPr>
        <w:t>International and national oral presentations</w:t>
      </w:r>
      <w:bookmarkEnd w:id="169"/>
    </w:p>
    <w:p w14:paraId="3D3AEFEC" w14:textId="55ADE14B" w:rsidR="00BB35A9" w:rsidRPr="00AD7B00" w:rsidRDefault="00BB35A9" w:rsidP="003B11B6">
      <w:pPr>
        <w:spacing w:line="480" w:lineRule="auto"/>
        <w:jc w:val="both"/>
        <w:rPr>
          <w:rFonts w:cs="Arial"/>
        </w:rPr>
      </w:pPr>
      <w:r w:rsidRPr="00AD7B00">
        <w:rPr>
          <w:rFonts w:cs="Arial"/>
        </w:rPr>
        <w:t xml:space="preserve">1) “Increased Dermal Microvasculature in Painful Diabetic Peripheral Neuropathy” Oral presentation American Diabetes Association </w:t>
      </w:r>
      <w:r w:rsidR="00DB2FC8" w:rsidRPr="00AD7B00">
        <w:rPr>
          <w:rFonts w:cs="Arial"/>
        </w:rPr>
        <w:t>(</w:t>
      </w:r>
      <w:r w:rsidRPr="00AD7B00">
        <w:rPr>
          <w:rFonts w:cs="Arial"/>
        </w:rPr>
        <w:t>ADA</w:t>
      </w:r>
      <w:r w:rsidR="00DB2FC8" w:rsidRPr="00AD7B00">
        <w:rPr>
          <w:rFonts w:cs="Arial"/>
        </w:rPr>
        <w:t xml:space="preserve">) </w:t>
      </w:r>
      <w:r w:rsidR="003B11B6" w:rsidRPr="003B11B6">
        <w:rPr>
          <w:rFonts w:cs="Arial"/>
        </w:rPr>
        <w:t>77th Scientific Sessions</w:t>
      </w:r>
      <w:r w:rsidR="003B11B6">
        <w:rPr>
          <w:rFonts w:cs="Arial"/>
        </w:rPr>
        <w:t xml:space="preserve"> </w:t>
      </w:r>
      <w:r w:rsidR="003B11B6" w:rsidRPr="003B11B6">
        <w:rPr>
          <w:rFonts w:cs="Arial"/>
        </w:rPr>
        <w:t>2017, San Diego, California</w:t>
      </w:r>
      <w:r w:rsidR="003B11B6">
        <w:rPr>
          <w:rFonts w:cs="Arial"/>
        </w:rPr>
        <w:t>.</w:t>
      </w:r>
    </w:p>
    <w:p w14:paraId="2ADDE1E3" w14:textId="7C64C6FC" w:rsidR="00BB35A9" w:rsidRPr="00AD7B00" w:rsidRDefault="00BB35A9" w:rsidP="008A7ECF">
      <w:pPr>
        <w:spacing w:line="480" w:lineRule="auto"/>
        <w:jc w:val="both"/>
        <w:rPr>
          <w:rFonts w:cs="Arial"/>
        </w:rPr>
      </w:pPr>
      <w:r w:rsidRPr="00AD7B00">
        <w:rPr>
          <w:rFonts w:cs="Arial"/>
        </w:rPr>
        <w:t xml:space="preserve">2) “Neural and Vascular Biomarkers in Painful Diabetic Peripheral Neuropathy” Oral presentation </w:t>
      </w:r>
      <w:r w:rsidR="00DB2FC8" w:rsidRPr="00AD7B00">
        <w:rPr>
          <w:rFonts w:cs="Arial"/>
        </w:rPr>
        <w:t xml:space="preserve">Diabetes UK </w:t>
      </w:r>
      <w:r w:rsidR="003B11B6">
        <w:rPr>
          <w:rFonts w:cs="Arial"/>
        </w:rPr>
        <w:t xml:space="preserve">Professional Conference </w:t>
      </w:r>
      <w:r w:rsidR="00DB2FC8" w:rsidRPr="00AD7B00">
        <w:rPr>
          <w:rFonts w:cs="Arial"/>
        </w:rPr>
        <w:t>2017</w:t>
      </w:r>
      <w:r w:rsidR="003B11B6">
        <w:rPr>
          <w:rFonts w:cs="Arial"/>
        </w:rPr>
        <w:t>.</w:t>
      </w:r>
    </w:p>
    <w:p w14:paraId="2B5717A3" w14:textId="0930A96D" w:rsidR="00DB2FC8" w:rsidRPr="00AD7B00" w:rsidRDefault="00DB2FC8" w:rsidP="008A7ECF">
      <w:pPr>
        <w:spacing w:line="480" w:lineRule="auto"/>
        <w:jc w:val="both"/>
        <w:rPr>
          <w:rFonts w:cs="Arial"/>
        </w:rPr>
      </w:pPr>
      <w:r w:rsidRPr="00AD7B00">
        <w:rPr>
          <w:rFonts w:cs="Arial"/>
        </w:rPr>
        <w:lastRenderedPageBreak/>
        <w:t xml:space="preserve">3) “Nerve and vascular biomarkers in skin biopsies differentiate painful from painless advanced diabetic peripheral neuropathy” Oral presentation in </w:t>
      </w:r>
      <w:proofErr w:type="spellStart"/>
      <w:r w:rsidRPr="00AD7B00">
        <w:rPr>
          <w:rFonts w:cs="Arial"/>
        </w:rPr>
        <w:t>NEURODIAB</w:t>
      </w:r>
      <w:proofErr w:type="spellEnd"/>
      <w:r w:rsidRPr="00AD7B00">
        <w:rPr>
          <w:rFonts w:cs="Arial"/>
        </w:rPr>
        <w:t xml:space="preserve"> 2017 (</w:t>
      </w:r>
      <w:proofErr w:type="spellStart"/>
      <w:r w:rsidRPr="00AD7B00">
        <w:rPr>
          <w:rFonts w:cs="Arial"/>
        </w:rPr>
        <w:t>NEURODIAB</w:t>
      </w:r>
      <w:proofErr w:type="spellEnd"/>
      <w:r w:rsidRPr="00AD7B00">
        <w:rPr>
          <w:rFonts w:cs="Arial"/>
        </w:rPr>
        <w:t xml:space="preserve"> is </w:t>
      </w:r>
      <w:r w:rsidR="008A6D21" w:rsidRPr="00AD7B00">
        <w:rPr>
          <w:rFonts w:cs="Arial"/>
        </w:rPr>
        <w:t>neuropathy study</w:t>
      </w:r>
      <w:r w:rsidRPr="00AD7B00">
        <w:rPr>
          <w:rFonts w:cs="Arial"/>
        </w:rPr>
        <w:t xml:space="preserve"> group of the European Association for the Study of Diabetes (</w:t>
      </w:r>
      <w:proofErr w:type="spellStart"/>
      <w:r w:rsidRPr="00AD7B00">
        <w:rPr>
          <w:rFonts w:cs="Arial"/>
        </w:rPr>
        <w:t>EASD</w:t>
      </w:r>
      <w:proofErr w:type="spellEnd"/>
      <w:r w:rsidRPr="00AD7B00">
        <w:rPr>
          <w:rFonts w:cs="Arial"/>
        </w:rPr>
        <w:t>))</w:t>
      </w:r>
      <w:r w:rsidR="003B11B6">
        <w:rPr>
          <w:rFonts w:cs="Arial"/>
        </w:rPr>
        <w:t>.</w:t>
      </w:r>
    </w:p>
    <w:p w14:paraId="587AFDA4" w14:textId="4132A097" w:rsidR="008A7ECF" w:rsidRPr="00AD7B00" w:rsidRDefault="00977C8F" w:rsidP="008A7ECF">
      <w:pPr>
        <w:spacing w:line="480" w:lineRule="auto"/>
        <w:jc w:val="both"/>
        <w:rPr>
          <w:rFonts w:cs="Arial"/>
        </w:rPr>
      </w:pPr>
      <w:r w:rsidRPr="00AD7B00">
        <w:rPr>
          <w:rFonts w:cs="Arial"/>
        </w:rPr>
        <w:t xml:space="preserve">4) </w:t>
      </w:r>
      <w:r w:rsidR="008A7ECF" w:rsidRPr="00AD7B00">
        <w:rPr>
          <w:rFonts w:cs="Arial"/>
        </w:rPr>
        <w:t xml:space="preserve">“Lower Thalamic γ-aminobutyric Acid (GABA) in Painless Diabetic Peripheral Neuropathy” Oral presentation in Diabetes </w:t>
      </w:r>
      <w:r w:rsidR="00B07F7D" w:rsidRPr="00AD7B00">
        <w:rPr>
          <w:rFonts w:cs="Arial"/>
        </w:rPr>
        <w:t>UK Professional</w:t>
      </w:r>
      <w:r w:rsidR="008A7ECF" w:rsidRPr="00AD7B00">
        <w:rPr>
          <w:rFonts w:cs="Arial"/>
        </w:rPr>
        <w:t xml:space="preserve"> Conference 2016</w:t>
      </w:r>
      <w:r w:rsidR="003B11B6">
        <w:rPr>
          <w:rFonts w:cs="Arial"/>
        </w:rPr>
        <w:t>.</w:t>
      </w:r>
    </w:p>
    <w:p w14:paraId="0B0EFF9B" w14:textId="4E47A230" w:rsidR="00977C8F" w:rsidRPr="00AD7B00" w:rsidRDefault="008A7ECF" w:rsidP="008A7ECF">
      <w:pPr>
        <w:spacing w:after="0" w:line="480" w:lineRule="auto"/>
        <w:rPr>
          <w:rFonts w:cs="Arial"/>
        </w:rPr>
      </w:pPr>
      <w:r w:rsidRPr="00AD7B00">
        <w:rPr>
          <w:rFonts w:cs="Arial"/>
        </w:rPr>
        <w:t>5</w:t>
      </w:r>
      <w:r w:rsidR="00977C8F" w:rsidRPr="00AD7B00">
        <w:rPr>
          <w:rFonts w:cs="Arial"/>
        </w:rPr>
        <w:t xml:space="preserve">) “Assessment of Peripheral Biomarkers in Painful Diabetic Peripheral Neuropathy” Oral presentation </w:t>
      </w:r>
      <w:proofErr w:type="spellStart"/>
      <w:r w:rsidR="00977C8F" w:rsidRPr="00AD7B00">
        <w:rPr>
          <w:rFonts w:cs="Arial"/>
        </w:rPr>
        <w:t>NEURODIAB</w:t>
      </w:r>
      <w:proofErr w:type="spellEnd"/>
      <w:r w:rsidR="00977C8F" w:rsidRPr="00AD7B00">
        <w:rPr>
          <w:rFonts w:cs="Arial"/>
        </w:rPr>
        <w:t xml:space="preserve"> 2015</w:t>
      </w:r>
      <w:r w:rsidR="003B11B6">
        <w:rPr>
          <w:rFonts w:cs="Arial"/>
        </w:rPr>
        <w:t>.</w:t>
      </w:r>
    </w:p>
    <w:p w14:paraId="4D3F84D1" w14:textId="2D25E368" w:rsidR="00977C8F" w:rsidRPr="00AD7B00" w:rsidRDefault="008A7ECF" w:rsidP="00DB2FC8">
      <w:pPr>
        <w:spacing w:line="480" w:lineRule="auto"/>
        <w:jc w:val="both"/>
        <w:rPr>
          <w:rFonts w:cs="Arial"/>
        </w:rPr>
      </w:pPr>
      <w:r w:rsidRPr="00AD7B00">
        <w:rPr>
          <w:rFonts w:cs="Arial"/>
        </w:rPr>
        <w:t>6</w:t>
      </w:r>
      <w:r w:rsidR="00977C8F" w:rsidRPr="00AD7B00">
        <w:rPr>
          <w:rFonts w:cs="Arial"/>
        </w:rPr>
        <w:t xml:space="preserve">) </w:t>
      </w:r>
      <w:r w:rsidR="008A6D21" w:rsidRPr="00AD7B00">
        <w:rPr>
          <w:rFonts w:cs="Arial"/>
        </w:rPr>
        <w:t>“</w:t>
      </w:r>
      <w:r w:rsidR="00977C8F" w:rsidRPr="00AD7B00">
        <w:rPr>
          <w:rFonts w:cs="Arial"/>
        </w:rPr>
        <w:t>Low Vitamin D Levels in Patients with Painful Diabetic Peripheral Neuropathy: A Potential Role in Pathogenesis?</w:t>
      </w:r>
      <w:r w:rsidR="008A6D21" w:rsidRPr="00AD7B00">
        <w:rPr>
          <w:rFonts w:cs="Arial"/>
        </w:rPr>
        <w:t xml:space="preserve">” oral presentation </w:t>
      </w:r>
      <w:proofErr w:type="spellStart"/>
      <w:r w:rsidR="008A6D21" w:rsidRPr="00AD7B00">
        <w:rPr>
          <w:rFonts w:cs="Arial"/>
        </w:rPr>
        <w:t>NEURODIAB</w:t>
      </w:r>
      <w:proofErr w:type="spellEnd"/>
      <w:r w:rsidR="008A6D21" w:rsidRPr="00AD7B00">
        <w:rPr>
          <w:rFonts w:cs="Arial"/>
        </w:rPr>
        <w:t xml:space="preserve"> 2015</w:t>
      </w:r>
      <w:r w:rsidR="003B11B6">
        <w:rPr>
          <w:rFonts w:cs="Arial"/>
        </w:rPr>
        <w:t>.</w:t>
      </w:r>
    </w:p>
    <w:p w14:paraId="28AC47AB" w14:textId="2191C9B3" w:rsidR="008A6D21" w:rsidRPr="00AD7B00" w:rsidRDefault="008A7ECF" w:rsidP="008A7ECF">
      <w:pPr>
        <w:spacing w:line="480" w:lineRule="auto"/>
        <w:jc w:val="both"/>
        <w:rPr>
          <w:rFonts w:cs="Arial"/>
        </w:rPr>
      </w:pPr>
      <w:r w:rsidRPr="00AD7B00">
        <w:rPr>
          <w:rFonts w:cs="Arial"/>
        </w:rPr>
        <w:t>7</w:t>
      </w:r>
      <w:r w:rsidR="008A6D21" w:rsidRPr="00AD7B00">
        <w:rPr>
          <w:rFonts w:cs="Arial"/>
        </w:rPr>
        <w:t xml:space="preserve">) “Lower Thalamic γ-aminobutyric Acid (GABA) in Painless Diabetic Peripheral Neuropathy” Oral presentation in </w:t>
      </w:r>
      <w:proofErr w:type="spellStart"/>
      <w:r w:rsidR="008A6D21" w:rsidRPr="00AD7B00">
        <w:rPr>
          <w:rFonts w:cs="Arial"/>
        </w:rPr>
        <w:t>NEURODIAB</w:t>
      </w:r>
      <w:proofErr w:type="spellEnd"/>
      <w:r w:rsidR="008A6D21" w:rsidRPr="00AD7B00">
        <w:rPr>
          <w:rFonts w:cs="Arial"/>
        </w:rPr>
        <w:t xml:space="preserve"> 2015</w:t>
      </w:r>
      <w:r w:rsidR="003B11B6">
        <w:rPr>
          <w:rFonts w:cs="Arial"/>
        </w:rPr>
        <w:t>.</w:t>
      </w:r>
    </w:p>
    <w:p w14:paraId="0B4B5773" w14:textId="4AA44FF0" w:rsidR="00A462CF" w:rsidRPr="00AD7B00" w:rsidRDefault="00DC7662" w:rsidP="008A7ECF">
      <w:pPr>
        <w:pStyle w:val="Heading2"/>
        <w:spacing w:line="480" w:lineRule="auto"/>
        <w:jc w:val="both"/>
        <w:rPr>
          <w:rFonts w:cs="Arial"/>
          <w:i w:val="0"/>
          <w:noProof/>
          <w:sz w:val="24"/>
          <w:szCs w:val="24"/>
        </w:rPr>
      </w:pPr>
      <w:bookmarkStart w:id="170" w:name="_Toc6093055"/>
      <w:r w:rsidRPr="00AD7B00">
        <w:rPr>
          <w:rFonts w:cs="Arial"/>
          <w:i w:val="0"/>
          <w:noProof/>
          <w:sz w:val="24"/>
          <w:szCs w:val="24"/>
        </w:rPr>
        <w:t>8.</w:t>
      </w:r>
      <w:r w:rsidR="008A6D21" w:rsidRPr="00AD7B00">
        <w:rPr>
          <w:rFonts w:cs="Arial"/>
          <w:i w:val="0"/>
          <w:noProof/>
          <w:sz w:val="24"/>
          <w:szCs w:val="24"/>
        </w:rPr>
        <w:t>5</w:t>
      </w:r>
      <w:r w:rsidR="00A462CF" w:rsidRPr="00AD7B00">
        <w:rPr>
          <w:rFonts w:cs="Arial"/>
          <w:i w:val="0"/>
          <w:noProof/>
          <w:sz w:val="24"/>
          <w:szCs w:val="24"/>
        </w:rPr>
        <w:t xml:space="preserve"> Awards</w:t>
      </w:r>
      <w:bookmarkEnd w:id="170"/>
    </w:p>
    <w:p w14:paraId="1C9B8C45" w14:textId="3C61EE80" w:rsidR="008A6D21" w:rsidRPr="00AD7B00" w:rsidRDefault="008A6D21" w:rsidP="008A7ECF">
      <w:pPr>
        <w:spacing w:line="480" w:lineRule="auto"/>
        <w:jc w:val="both"/>
        <w:rPr>
          <w:rFonts w:cs="Arial"/>
        </w:rPr>
      </w:pPr>
      <w:r w:rsidRPr="00AD7B00">
        <w:rPr>
          <w:rFonts w:cs="Arial"/>
        </w:rPr>
        <w:t>Diabetes UK Type 2 Diabetes Research Award</w:t>
      </w:r>
      <w:r w:rsidR="008A7ECF" w:rsidRPr="00AD7B00">
        <w:rPr>
          <w:rFonts w:cs="Arial"/>
        </w:rPr>
        <w:t xml:space="preserve"> for outstanding contribution to the advancement of the understanding of Type 2 diabetes, awarded at the Diabetes UK professional Conference 2016 Glasgow</w:t>
      </w:r>
    </w:p>
    <w:p w14:paraId="72FB9394" w14:textId="05E3B7BF" w:rsidR="00A462CF" w:rsidRPr="008A7ECF" w:rsidRDefault="00A462CF" w:rsidP="008A7ECF">
      <w:pPr>
        <w:spacing w:line="480" w:lineRule="auto"/>
        <w:jc w:val="both"/>
        <w:rPr>
          <w:rFonts w:ascii="Arial" w:hAnsi="Arial" w:cs="Arial"/>
        </w:rPr>
      </w:pPr>
    </w:p>
    <w:p w14:paraId="0C0CD98E" w14:textId="6402D4C8" w:rsidR="00DC7662" w:rsidRPr="00DC7662" w:rsidRDefault="00DC7662" w:rsidP="00DC7662"/>
    <w:p w14:paraId="5BA9DF56" w14:textId="1EE9C88D" w:rsidR="00DC7662" w:rsidRPr="00DC7662" w:rsidRDefault="00DC7662" w:rsidP="00DC7662"/>
    <w:p w14:paraId="09BF88B1" w14:textId="13EB9C03" w:rsidR="00DC7662" w:rsidRPr="00DC7662" w:rsidRDefault="00DC7662" w:rsidP="00DC7662"/>
    <w:p w14:paraId="50CCCAEC" w14:textId="5B91A38A" w:rsidR="00DC7662" w:rsidRPr="00DC7662" w:rsidRDefault="00DC7662" w:rsidP="00DC7662"/>
    <w:p w14:paraId="7D3BBCDF" w14:textId="77C9ABBF" w:rsidR="00DC7662" w:rsidRPr="00DC7662" w:rsidRDefault="00DC7662" w:rsidP="00DC7662"/>
    <w:p w14:paraId="44CC014C" w14:textId="77777777" w:rsidR="009A5EA4" w:rsidRDefault="009A5EA4" w:rsidP="008A7ECF">
      <w:pPr>
        <w:spacing w:after="0"/>
      </w:pPr>
    </w:p>
    <w:p w14:paraId="69269F01" w14:textId="77777777" w:rsidR="009A5EA4" w:rsidRDefault="009A5EA4" w:rsidP="008A7ECF">
      <w:pPr>
        <w:spacing w:after="0"/>
      </w:pPr>
    </w:p>
    <w:p w14:paraId="7FE739D4" w14:textId="615A882A" w:rsidR="00B620B4" w:rsidRPr="005B5764" w:rsidRDefault="00B620B4" w:rsidP="008A7ECF">
      <w:pPr>
        <w:spacing w:after="0"/>
        <w:rPr>
          <w:lang w:val="sv-SE"/>
        </w:rPr>
      </w:pPr>
      <w:proofErr w:type="spellStart"/>
      <w:r w:rsidRPr="005B5764">
        <w:rPr>
          <w:rFonts w:ascii="Arial" w:hAnsi="Arial" w:cs="Arial"/>
          <w:b/>
          <w:lang w:val="sv-SE"/>
        </w:rPr>
        <w:lastRenderedPageBreak/>
        <w:t>References</w:t>
      </w:r>
      <w:bookmarkEnd w:id="164"/>
      <w:proofErr w:type="spellEnd"/>
    </w:p>
    <w:p w14:paraId="7217F2DA" w14:textId="77777777" w:rsidR="00B620B4" w:rsidRPr="005B5764" w:rsidRDefault="00B620B4" w:rsidP="007B47E4">
      <w:pPr>
        <w:widowControl w:val="0"/>
        <w:tabs>
          <w:tab w:val="left" w:pos="142"/>
        </w:tabs>
        <w:autoSpaceDE w:val="0"/>
        <w:autoSpaceDN w:val="0"/>
        <w:adjustRightInd w:val="0"/>
        <w:spacing w:after="0"/>
        <w:jc w:val="both"/>
        <w:rPr>
          <w:rFonts w:ascii="Arial" w:hAnsi="Arial" w:cs="Arial"/>
          <w:i/>
          <w:iCs/>
          <w:color w:val="0E0E0E"/>
          <w:lang w:val="sv-SE" w:eastAsia="en-GB"/>
        </w:rPr>
      </w:pPr>
    </w:p>
    <w:p w14:paraId="5B1DEF98" w14:textId="024A8800" w:rsidR="00041678" w:rsidRPr="00041678" w:rsidRDefault="00B620B4" w:rsidP="00041678">
      <w:pPr>
        <w:pStyle w:val="EndNoteBibliography"/>
        <w:spacing w:after="0"/>
        <w:ind w:left="720" w:hanging="720"/>
        <w:rPr>
          <w:noProof/>
        </w:rPr>
      </w:pPr>
      <w:r w:rsidRPr="00047565">
        <w:rPr>
          <w:rFonts w:ascii="Arial" w:hAnsi="Arial" w:cs="Arial"/>
          <w:lang w:val="nl-NL"/>
        </w:rPr>
        <w:fldChar w:fldCharType="begin"/>
      </w:r>
      <w:r w:rsidRPr="005B5764">
        <w:rPr>
          <w:rFonts w:ascii="Arial" w:hAnsi="Arial" w:cs="Arial"/>
          <w:lang w:val="sv-SE"/>
        </w:rPr>
        <w:instrText xml:space="preserve"> ADDIN EN.REFLIST </w:instrText>
      </w:r>
      <w:r w:rsidRPr="00047565">
        <w:rPr>
          <w:rFonts w:ascii="Arial" w:hAnsi="Arial" w:cs="Arial"/>
          <w:lang w:val="nl-NL"/>
        </w:rPr>
        <w:fldChar w:fldCharType="separate"/>
      </w:r>
      <w:r w:rsidR="00041678" w:rsidRPr="00041678">
        <w:rPr>
          <w:noProof/>
        </w:rPr>
        <w:t>ABBOTT, C. A., MALIK, R. A., VAN ROSS, E. R. E., KULKARNI, J., BOULTON, A. J. M</w:t>
      </w:r>
      <w:r w:rsidR="0060477E">
        <w:rPr>
          <w:noProof/>
        </w:rPr>
        <w:t xml:space="preserve">, </w:t>
      </w:r>
      <w:r w:rsidR="00041678" w:rsidRPr="00041678">
        <w:rPr>
          <w:noProof/>
        </w:rPr>
        <w:t xml:space="preserve">E. R. E. 2011. Prevalence and characteristics of painful diabetic neuropathy in a large community- based diabetic population in the U.K. </w:t>
      </w:r>
      <w:r w:rsidR="00041678" w:rsidRPr="00041678">
        <w:rPr>
          <w:i/>
          <w:noProof/>
        </w:rPr>
        <w:t xml:space="preserve">Diabetes </w:t>
      </w:r>
      <w:r w:rsidR="0060477E">
        <w:rPr>
          <w:i/>
          <w:noProof/>
        </w:rPr>
        <w:t>C</w:t>
      </w:r>
      <w:r w:rsidR="00041678" w:rsidRPr="00041678">
        <w:rPr>
          <w:i/>
          <w:noProof/>
        </w:rPr>
        <w:t>are,</w:t>
      </w:r>
      <w:r w:rsidR="00041678" w:rsidRPr="00041678">
        <w:rPr>
          <w:noProof/>
        </w:rPr>
        <w:t xml:space="preserve"> 34</w:t>
      </w:r>
      <w:r w:rsidR="00041678" w:rsidRPr="00041678">
        <w:rPr>
          <w:b/>
          <w:noProof/>
        </w:rPr>
        <w:t>,</w:t>
      </w:r>
      <w:r w:rsidR="00041678" w:rsidRPr="00041678">
        <w:rPr>
          <w:noProof/>
        </w:rPr>
        <w:t xml:space="preserve"> 2220.</w:t>
      </w:r>
    </w:p>
    <w:p w14:paraId="3A0D44C1" w14:textId="77777777" w:rsidR="00041678" w:rsidRPr="00041678" w:rsidRDefault="00041678" w:rsidP="00041678">
      <w:pPr>
        <w:pStyle w:val="EndNoteBibliography"/>
        <w:spacing w:after="0"/>
        <w:ind w:left="720" w:hanging="720"/>
        <w:rPr>
          <w:noProof/>
        </w:rPr>
      </w:pPr>
      <w:r w:rsidRPr="00041678">
        <w:rPr>
          <w:noProof/>
        </w:rPr>
        <w:t xml:space="preserve">ADAM ANDY, D. A., GILLARD JONATHAN, SCHAEFER-PROKOP CORNELIA, GRAINGER RONALD 2014. Magnetic Resonance Imaging. </w:t>
      </w:r>
      <w:r w:rsidRPr="00041678">
        <w:rPr>
          <w:i/>
          <w:noProof/>
        </w:rPr>
        <w:t>In:</w:t>
      </w:r>
      <w:r w:rsidRPr="00041678">
        <w:rPr>
          <w:noProof/>
        </w:rPr>
        <w:t xml:space="preserve"> ID, W. (ed.) </w:t>
      </w:r>
      <w:r w:rsidRPr="00041678">
        <w:rPr>
          <w:i/>
          <w:noProof/>
        </w:rPr>
        <w:t>Grainger and Allison's Diagnostic Radiology - 6th Edition.</w:t>
      </w:r>
      <w:r w:rsidRPr="00041678">
        <w:rPr>
          <w:noProof/>
        </w:rPr>
        <w:t xml:space="preserve"> Philadelphia.</w:t>
      </w:r>
    </w:p>
    <w:p w14:paraId="26CCBBF3" w14:textId="5B375CDE" w:rsidR="00041678" w:rsidRPr="00041678" w:rsidRDefault="00041678" w:rsidP="00041678">
      <w:pPr>
        <w:pStyle w:val="EndNoteBibliography"/>
        <w:spacing w:after="0"/>
        <w:ind w:left="720" w:hanging="720"/>
        <w:rPr>
          <w:noProof/>
        </w:rPr>
      </w:pPr>
      <w:r w:rsidRPr="00041678">
        <w:rPr>
          <w:noProof/>
        </w:rPr>
        <w:t xml:space="preserve">AGUILA, M.-E. R., REBBECK, T., LEAVER, A. M., LAGOPOULOS, J., BRENNAN, P. C., HÜBSCHER, M. &amp; REFSHAUGE, K. M. 2016. The Association Between Clinical Characteristics of Migraine and Brain GABA Levels: An Exploratory Study. </w:t>
      </w:r>
      <w:r w:rsidR="00B743AE">
        <w:rPr>
          <w:i/>
          <w:noProof/>
        </w:rPr>
        <w:t>J.</w:t>
      </w:r>
      <w:r w:rsidRPr="00041678">
        <w:rPr>
          <w:i/>
          <w:noProof/>
        </w:rPr>
        <w:t xml:space="preserve"> Pain,</w:t>
      </w:r>
      <w:r w:rsidRPr="00041678">
        <w:rPr>
          <w:noProof/>
        </w:rPr>
        <w:t xml:space="preserve"> 17</w:t>
      </w:r>
      <w:r w:rsidRPr="00041678">
        <w:rPr>
          <w:b/>
          <w:noProof/>
        </w:rPr>
        <w:t>,</w:t>
      </w:r>
      <w:r w:rsidRPr="00041678">
        <w:rPr>
          <w:noProof/>
        </w:rPr>
        <w:t xml:space="preserve"> 1058-1067.</w:t>
      </w:r>
    </w:p>
    <w:p w14:paraId="5071F4E0" w14:textId="77777777" w:rsidR="00041678" w:rsidRPr="00041678" w:rsidRDefault="00041678" w:rsidP="00041678">
      <w:pPr>
        <w:pStyle w:val="EndNoteBibliography"/>
        <w:spacing w:after="0"/>
        <w:ind w:left="720" w:hanging="720"/>
        <w:rPr>
          <w:noProof/>
        </w:rPr>
      </w:pPr>
      <w:r w:rsidRPr="00041678">
        <w:rPr>
          <w:noProof/>
        </w:rPr>
        <w:t xml:space="preserve">ANAND, P. 1995. Nerve growth factor regulates nociception in human health and disease. </w:t>
      </w:r>
      <w:r w:rsidRPr="00041678">
        <w:rPr>
          <w:i/>
          <w:noProof/>
        </w:rPr>
        <w:t>Br J Anaesth,</w:t>
      </w:r>
      <w:r w:rsidRPr="00041678">
        <w:rPr>
          <w:noProof/>
        </w:rPr>
        <w:t xml:space="preserve"> 75</w:t>
      </w:r>
      <w:r w:rsidRPr="00041678">
        <w:rPr>
          <w:b/>
          <w:noProof/>
        </w:rPr>
        <w:t>,</w:t>
      </w:r>
      <w:r w:rsidRPr="00041678">
        <w:rPr>
          <w:noProof/>
        </w:rPr>
        <w:t xml:space="preserve"> 201-8.</w:t>
      </w:r>
    </w:p>
    <w:p w14:paraId="3850618C" w14:textId="77777777" w:rsidR="00041678" w:rsidRPr="00041678" w:rsidRDefault="00041678" w:rsidP="00041678">
      <w:pPr>
        <w:pStyle w:val="EndNoteBibliography"/>
        <w:spacing w:after="0"/>
        <w:ind w:left="720" w:hanging="720"/>
        <w:rPr>
          <w:noProof/>
        </w:rPr>
      </w:pPr>
      <w:r w:rsidRPr="00041678">
        <w:rPr>
          <w:noProof/>
        </w:rPr>
        <w:t xml:space="preserve">ANAND, P. 2004. Neurotrophic factors and their receptors in human sensory neuropathies. </w:t>
      </w:r>
      <w:r w:rsidRPr="00041678">
        <w:rPr>
          <w:i/>
          <w:noProof/>
        </w:rPr>
        <w:t>Prog Brain Res,</w:t>
      </w:r>
      <w:r w:rsidRPr="00041678">
        <w:rPr>
          <w:noProof/>
        </w:rPr>
        <w:t xml:space="preserve"> 146</w:t>
      </w:r>
      <w:r w:rsidRPr="00041678">
        <w:rPr>
          <w:b/>
          <w:noProof/>
        </w:rPr>
        <w:t>,</w:t>
      </w:r>
      <w:r w:rsidRPr="00041678">
        <w:rPr>
          <w:noProof/>
        </w:rPr>
        <w:t xml:space="preserve"> 477-92.</w:t>
      </w:r>
    </w:p>
    <w:p w14:paraId="4A433A10" w14:textId="77777777" w:rsidR="00041678" w:rsidRPr="00041678" w:rsidRDefault="00041678" w:rsidP="00041678">
      <w:pPr>
        <w:pStyle w:val="EndNoteBibliography"/>
        <w:spacing w:after="0"/>
        <w:ind w:left="720" w:hanging="720"/>
        <w:rPr>
          <w:noProof/>
        </w:rPr>
      </w:pPr>
      <w:r w:rsidRPr="00041678">
        <w:rPr>
          <w:noProof/>
        </w:rPr>
        <w:t xml:space="preserve">ANAND, P. &amp; BLEY, K. 2011. Topical capsaicin for pain management: therapeutic potential and mechanisms of action of the new high-concentration capsaicin 8% patch. </w:t>
      </w:r>
      <w:r w:rsidRPr="00041678">
        <w:rPr>
          <w:i/>
          <w:noProof/>
        </w:rPr>
        <w:t>Br J Anaesth,</w:t>
      </w:r>
      <w:r w:rsidRPr="00041678">
        <w:rPr>
          <w:noProof/>
        </w:rPr>
        <w:t xml:space="preserve"> 107</w:t>
      </w:r>
      <w:r w:rsidRPr="00041678">
        <w:rPr>
          <w:b/>
          <w:noProof/>
        </w:rPr>
        <w:t>,</w:t>
      </w:r>
      <w:r w:rsidRPr="00041678">
        <w:rPr>
          <w:noProof/>
        </w:rPr>
        <w:t xml:space="preserve"> 490-502.</w:t>
      </w:r>
    </w:p>
    <w:p w14:paraId="738C523B" w14:textId="77777777" w:rsidR="00041678" w:rsidRPr="00041678" w:rsidRDefault="00041678" w:rsidP="00041678">
      <w:pPr>
        <w:pStyle w:val="EndNoteBibliography"/>
        <w:spacing w:after="0"/>
        <w:ind w:left="720" w:hanging="720"/>
        <w:rPr>
          <w:noProof/>
        </w:rPr>
      </w:pPr>
      <w:r w:rsidRPr="00041678">
        <w:rPr>
          <w:noProof/>
        </w:rPr>
        <w:t xml:space="preserve">ANAND, P., PRIVITERA, R., YIANGOU, Y., DONATIEN, P., BIRCH, R. &amp; MISRA, P. 2017. Trench Foot or Non-Freezing Cold Injury As a Painful Vaso-Neuropathy: Clinical and Skin Biopsy Assessments. </w:t>
      </w:r>
      <w:r w:rsidRPr="00041678">
        <w:rPr>
          <w:i/>
          <w:noProof/>
        </w:rPr>
        <w:t>Front Neurol,</w:t>
      </w:r>
      <w:r w:rsidRPr="00041678">
        <w:rPr>
          <w:noProof/>
        </w:rPr>
        <w:t xml:space="preserve"> 8</w:t>
      </w:r>
      <w:r w:rsidRPr="00041678">
        <w:rPr>
          <w:b/>
          <w:noProof/>
        </w:rPr>
        <w:t>,</w:t>
      </w:r>
      <w:r w:rsidRPr="00041678">
        <w:rPr>
          <w:noProof/>
        </w:rPr>
        <w:t xml:space="preserve"> 514.</w:t>
      </w:r>
    </w:p>
    <w:p w14:paraId="5DCA9ED6" w14:textId="77777777" w:rsidR="00041678" w:rsidRPr="00041678" w:rsidRDefault="00041678" w:rsidP="00041678">
      <w:pPr>
        <w:pStyle w:val="EndNoteBibliography"/>
        <w:spacing w:after="0"/>
        <w:ind w:left="720" w:hanging="720"/>
        <w:rPr>
          <w:noProof/>
        </w:rPr>
      </w:pPr>
      <w:r w:rsidRPr="00041678">
        <w:rPr>
          <w:noProof/>
        </w:rPr>
        <w:t xml:space="preserve">ANAND, P., TERENGHI, G., WARNER, G., KOPELMAN, P., WILLIAMS-CHESTNUT, R. E. &amp; SINICROPI, D. V. 1996. The role of endogenous nerve growth factor in human diabetic neuropathy. </w:t>
      </w:r>
      <w:r w:rsidRPr="00041678">
        <w:rPr>
          <w:i/>
          <w:noProof/>
        </w:rPr>
        <w:t>Nat Med,</w:t>
      </w:r>
      <w:r w:rsidRPr="00041678">
        <w:rPr>
          <w:noProof/>
        </w:rPr>
        <w:t xml:space="preserve"> 2</w:t>
      </w:r>
      <w:r w:rsidRPr="00041678">
        <w:rPr>
          <w:b/>
          <w:noProof/>
        </w:rPr>
        <w:t>,</w:t>
      </w:r>
      <w:r w:rsidRPr="00041678">
        <w:rPr>
          <w:noProof/>
        </w:rPr>
        <w:t xml:space="preserve"> 703-7.</w:t>
      </w:r>
    </w:p>
    <w:p w14:paraId="4531AED9" w14:textId="71E088CC" w:rsidR="00041678" w:rsidRPr="00041678" w:rsidRDefault="00041678" w:rsidP="00041678">
      <w:pPr>
        <w:pStyle w:val="EndNoteBibliography"/>
        <w:spacing w:after="0"/>
        <w:ind w:left="720" w:hanging="720"/>
        <w:rPr>
          <w:noProof/>
        </w:rPr>
      </w:pPr>
      <w:r w:rsidRPr="00041678">
        <w:rPr>
          <w:noProof/>
        </w:rPr>
        <w:t xml:space="preserve">ARMSTRONG, D. G., LAVERY, L. A. &amp; HARKLESS, L. B. 1998. Validation of a diabetic wound classification system. The contribution of depth, infection, and ischemia to risk of amputation. </w:t>
      </w:r>
      <w:r w:rsidRPr="00041678">
        <w:rPr>
          <w:i/>
          <w:noProof/>
        </w:rPr>
        <w:t xml:space="preserve">Diabetes </w:t>
      </w:r>
      <w:r w:rsidR="001E079B">
        <w:rPr>
          <w:i/>
          <w:noProof/>
        </w:rPr>
        <w:t>C</w:t>
      </w:r>
      <w:r w:rsidRPr="00041678">
        <w:rPr>
          <w:i/>
          <w:noProof/>
        </w:rPr>
        <w:t>are,</w:t>
      </w:r>
      <w:r w:rsidRPr="00041678">
        <w:rPr>
          <w:noProof/>
        </w:rPr>
        <w:t xml:space="preserve"> 21</w:t>
      </w:r>
      <w:r w:rsidRPr="00041678">
        <w:rPr>
          <w:b/>
          <w:noProof/>
        </w:rPr>
        <w:t>,</w:t>
      </w:r>
      <w:r w:rsidRPr="00041678">
        <w:rPr>
          <w:noProof/>
        </w:rPr>
        <w:t xml:space="preserve"> 855.</w:t>
      </w:r>
    </w:p>
    <w:p w14:paraId="4F2FBCEC" w14:textId="3D2E7E37" w:rsidR="00041678" w:rsidRPr="00041678" w:rsidRDefault="00041678" w:rsidP="00041678">
      <w:pPr>
        <w:pStyle w:val="EndNoteBibliography"/>
        <w:spacing w:after="0"/>
        <w:ind w:left="720" w:hanging="720"/>
        <w:rPr>
          <w:noProof/>
        </w:rPr>
      </w:pPr>
      <w:r w:rsidRPr="00041678">
        <w:rPr>
          <w:noProof/>
        </w:rPr>
        <w:t xml:space="preserve">AS-SANIE, S., KIM, J., SCHMIDT-WILCKE, T., SUNDGREN, P. C., CLAUW, D. J., NAPADOW, V. &amp; HARRIS, R. E. 2016. Functional Connectivity Is Associated With Altered Brain Chemistry in Women With Endometriosis- Associated Chronic Pelvic Pain. </w:t>
      </w:r>
      <w:r w:rsidRPr="00041678">
        <w:rPr>
          <w:i/>
          <w:noProof/>
        </w:rPr>
        <w:t>J</w:t>
      </w:r>
      <w:r w:rsidR="001E079B">
        <w:rPr>
          <w:i/>
          <w:noProof/>
        </w:rPr>
        <w:t>.</w:t>
      </w:r>
      <w:r w:rsidRPr="00041678">
        <w:rPr>
          <w:i/>
          <w:noProof/>
        </w:rPr>
        <w:t xml:space="preserve"> Pain,</w:t>
      </w:r>
      <w:r w:rsidRPr="00041678">
        <w:rPr>
          <w:noProof/>
        </w:rPr>
        <w:t xml:space="preserve"> 17</w:t>
      </w:r>
      <w:r w:rsidRPr="00041678">
        <w:rPr>
          <w:b/>
          <w:noProof/>
        </w:rPr>
        <w:t>,</w:t>
      </w:r>
      <w:r w:rsidRPr="00041678">
        <w:rPr>
          <w:noProof/>
        </w:rPr>
        <w:t xml:space="preserve"> 1-13.</w:t>
      </w:r>
    </w:p>
    <w:p w14:paraId="7B95A253" w14:textId="77777777" w:rsidR="00041678" w:rsidRPr="00041678" w:rsidRDefault="00041678" w:rsidP="00041678">
      <w:pPr>
        <w:pStyle w:val="EndNoteBibliography"/>
        <w:spacing w:after="0"/>
        <w:ind w:left="720" w:hanging="720"/>
        <w:rPr>
          <w:noProof/>
        </w:rPr>
      </w:pPr>
      <w:r w:rsidRPr="00041678">
        <w:rPr>
          <w:noProof/>
        </w:rPr>
        <w:t xml:space="preserve">AUER, D. P., PÜTZ, B., KRAFT, E., LIPINSKI, B., SCHILL, J. &amp; HOLSBOER, F. 2000. Reduced glutamate in the anterior cingulate cortex in depression: an in vivo proton magnetic resonance spectroscopy study. </w:t>
      </w:r>
      <w:r w:rsidRPr="00041678">
        <w:rPr>
          <w:i/>
          <w:noProof/>
        </w:rPr>
        <w:t>Biol Psychiatry,</w:t>
      </w:r>
      <w:r w:rsidRPr="00041678">
        <w:rPr>
          <w:noProof/>
        </w:rPr>
        <w:t xml:space="preserve"> 47</w:t>
      </w:r>
      <w:r w:rsidRPr="00041678">
        <w:rPr>
          <w:b/>
          <w:noProof/>
        </w:rPr>
        <w:t>,</w:t>
      </w:r>
      <w:r w:rsidRPr="00041678">
        <w:rPr>
          <w:noProof/>
        </w:rPr>
        <w:t xml:space="preserve"> 305-13.</w:t>
      </w:r>
    </w:p>
    <w:p w14:paraId="685DE799" w14:textId="77777777" w:rsidR="00041678" w:rsidRPr="00041678" w:rsidRDefault="00041678" w:rsidP="00041678">
      <w:pPr>
        <w:pStyle w:val="EndNoteBibliography"/>
        <w:spacing w:after="0"/>
        <w:ind w:left="720" w:hanging="720"/>
        <w:rPr>
          <w:noProof/>
        </w:rPr>
      </w:pPr>
      <w:r w:rsidRPr="00041678">
        <w:rPr>
          <w:noProof/>
        </w:rPr>
        <w:t xml:space="preserve">BANNISTER, K., BEE, L. &amp; DICKENSON, A. 2009. Preclinical and early clinical investigations related to monoaminergic pain modulation. </w:t>
      </w:r>
      <w:r w:rsidRPr="00041678">
        <w:rPr>
          <w:i/>
          <w:noProof/>
        </w:rPr>
        <w:t>Neurotherapeutics,</w:t>
      </w:r>
      <w:r w:rsidRPr="00041678">
        <w:rPr>
          <w:noProof/>
        </w:rPr>
        <w:t xml:space="preserve"> 6</w:t>
      </w:r>
      <w:r w:rsidRPr="00041678">
        <w:rPr>
          <w:b/>
          <w:noProof/>
        </w:rPr>
        <w:t>,</w:t>
      </w:r>
      <w:r w:rsidRPr="00041678">
        <w:rPr>
          <w:noProof/>
        </w:rPr>
        <w:t xml:space="preserve"> 703-712.</w:t>
      </w:r>
    </w:p>
    <w:p w14:paraId="682B8F3F" w14:textId="77777777" w:rsidR="00041678" w:rsidRPr="00041678" w:rsidRDefault="00041678" w:rsidP="00041678">
      <w:pPr>
        <w:pStyle w:val="EndNoteBibliography"/>
        <w:spacing w:after="0"/>
        <w:ind w:left="720" w:hanging="720"/>
        <w:rPr>
          <w:noProof/>
        </w:rPr>
      </w:pPr>
      <w:r w:rsidRPr="00041678">
        <w:rPr>
          <w:noProof/>
        </w:rPr>
        <w:t xml:space="preserve">BASBAUM, A. I., BAUTISTA, D. M., SCHERRER, G. &amp; JULIUS, D. 2009. Cellular and molecular mechanisms of pain. </w:t>
      </w:r>
      <w:r w:rsidRPr="00041678">
        <w:rPr>
          <w:i/>
          <w:noProof/>
        </w:rPr>
        <w:t>Cell,</w:t>
      </w:r>
      <w:r w:rsidRPr="00041678">
        <w:rPr>
          <w:noProof/>
        </w:rPr>
        <w:t xml:space="preserve"> 139</w:t>
      </w:r>
      <w:r w:rsidRPr="00041678">
        <w:rPr>
          <w:b/>
          <w:noProof/>
        </w:rPr>
        <w:t>,</w:t>
      </w:r>
      <w:r w:rsidRPr="00041678">
        <w:rPr>
          <w:noProof/>
        </w:rPr>
        <w:t xml:space="preserve"> 267-84.</w:t>
      </w:r>
    </w:p>
    <w:p w14:paraId="74A50581" w14:textId="77777777" w:rsidR="00041678" w:rsidRPr="00041678" w:rsidRDefault="00041678" w:rsidP="00041678">
      <w:pPr>
        <w:pStyle w:val="EndNoteBibliography"/>
        <w:spacing w:after="0"/>
        <w:ind w:left="720" w:hanging="720"/>
        <w:rPr>
          <w:noProof/>
        </w:rPr>
      </w:pPr>
      <w:r w:rsidRPr="00041678">
        <w:rPr>
          <w:noProof/>
        </w:rPr>
        <w:t xml:space="preserve">BASIT, A., BASIT, K. A., FAWWAD, A., SHAHEEN, F., FATIMA, N., PETROPOULOS, I. N., ALAM, U. &amp; MALIK, R. A. 2016. Vitamin D for the treatment of painful diabetic neuropathy. </w:t>
      </w:r>
      <w:r w:rsidRPr="00041678">
        <w:rPr>
          <w:i/>
          <w:noProof/>
        </w:rPr>
        <w:t>BMJ Open Diabetes Res Care,</w:t>
      </w:r>
      <w:r w:rsidRPr="00041678">
        <w:rPr>
          <w:noProof/>
        </w:rPr>
        <w:t xml:space="preserve"> 4</w:t>
      </w:r>
      <w:r w:rsidRPr="00041678">
        <w:rPr>
          <w:b/>
          <w:noProof/>
        </w:rPr>
        <w:t>,</w:t>
      </w:r>
      <w:r w:rsidRPr="00041678">
        <w:rPr>
          <w:noProof/>
        </w:rPr>
        <w:t xml:space="preserve"> e000148.</w:t>
      </w:r>
    </w:p>
    <w:p w14:paraId="07B48061" w14:textId="12C892C1" w:rsidR="00041678" w:rsidRPr="00041678" w:rsidRDefault="00041678" w:rsidP="00041678">
      <w:pPr>
        <w:pStyle w:val="EndNoteBibliography"/>
        <w:spacing w:after="0"/>
        <w:ind w:left="720" w:hanging="720"/>
        <w:rPr>
          <w:noProof/>
        </w:rPr>
      </w:pPr>
      <w:r w:rsidRPr="00041678">
        <w:rPr>
          <w:noProof/>
        </w:rPr>
        <w:t xml:space="preserve">BAUER, C. S., NIETO-ROSTRO, M., RAHMAN, W., TRAN-VAN-MINH, A., FERRON, L., DOUGLAS, L., KADURIN, I., SRI RANJAN, Y., FERNANDEZ-ALACID, L., MILLAR, N. S., DICKENSON, A. H., LUJAN, R., DOLPHIN, A. C., NIETO-ROSTRO, M., TRAN-VAN-MINH, A. &amp; FERNANDEZ-ALACID, L. 2009. The increased trafficking of the calcium channel subunit alpha2delta- 1 to presynaptic terminals in neuropathic pain is inhibited by the alpha2delta ligand pregabalin. </w:t>
      </w:r>
      <w:r w:rsidRPr="00041678">
        <w:rPr>
          <w:i/>
          <w:noProof/>
        </w:rPr>
        <w:t>J</w:t>
      </w:r>
      <w:r w:rsidR="001E079B">
        <w:rPr>
          <w:i/>
          <w:noProof/>
        </w:rPr>
        <w:t>.</w:t>
      </w:r>
      <w:r w:rsidRPr="00041678">
        <w:rPr>
          <w:i/>
          <w:noProof/>
        </w:rPr>
        <w:t xml:space="preserve"> neuroscience </w:t>
      </w:r>
      <w:r w:rsidRPr="00041678">
        <w:rPr>
          <w:noProof/>
        </w:rPr>
        <w:t>29</w:t>
      </w:r>
      <w:r w:rsidRPr="00041678">
        <w:rPr>
          <w:b/>
          <w:noProof/>
        </w:rPr>
        <w:t>,</w:t>
      </w:r>
      <w:r w:rsidRPr="00041678">
        <w:rPr>
          <w:noProof/>
        </w:rPr>
        <w:t xml:space="preserve"> 4076.</w:t>
      </w:r>
    </w:p>
    <w:p w14:paraId="2C4E39F0" w14:textId="77777777" w:rsidR="00041678" w:rsidRPr="00041678" w:rsidRDefault="00041678" w:rsidP="00041678">
      <w:pPr>
        <w:pStyle w:val="EndNoteBibliography"/>
        <w:spacing w:after="0"/>
        <w:ind w:left="720" w:hanging="720"/>
        <w:rPr>
          <w:noProof/>
        </w:rPr>
      </w:pPr>
      <w:r w:rsidRPr="00041678">
        <w:rPr>
          <w:noProof/>
        </w:rPr>
        <w:lastRenderedPageBreak/>
        <w:t xml:space="preserve">BEE, L. A., BANNISTER, K., RAHMAN, W. &amp; DICKENSON, A. H. 2011. Mu- opioid and noradrenergic α( 2)-adrenoceptor contributions to the effects of tapentadol on spinal electrophysiological measures of nociception in nerve- injured rats. </w:t>
      </w:r>
      <w:r w:rsidRPr="00041678">
        <w:rPr>
          <w:i/>
          <w:noProof/>
        </w:rPr>
        <w:t>Pain,</w:t>
      </w:r>
      <w:r w:rsidRPr="00041678">
        <w:rPr>
          <w:noProof/>
        </w:rPr>
        <w:t xml:space="preserve"> 152</w:t>
      </w:r>
      <w:r w:rsidRPr="00041678">
        <w:rPr>
          <w:b/>
          <w:noProof/>
        </w:rPr>
        <w:t>,</w:t>
      </w:r>
      <w:r w:rsidRPr="00041678">
        <w:rPr>
          <w:noProof/>
        </w:rPr>
        <w:t xml:space="preserve"> 131.</w:t>
      </w:r>
    </w:p>
    <w:p w14:paraId="7D530E30" w14:textId="77777777" w:rsidR="00041678" w:rsidRPr="00041678" w:rsidRDefault="00041678" w:rsidP="00041678">
      <w:pPr>
        <w:pStyle w:val="EndNoteBibliography"/>
        <w:spacing w:after="0"/>
        <w:ind w:left="720" w:hanging="720"/>
        <w:rPr>
          <w:noProof/>
        </w:rPr>
      </w:pPr>
      <w:r w:rsidRPr="00041678">
        <w:rPr>
          <w:noProof/>
        </w:rPr>
        <w:t xml:space="preserve">BEE, L. A. &amp; DICKENSON, A. H. 2009. The importance of the descending monoamine system for the pain experience and its treatment. </w:t>
      </w:r>
      <w:r w:rsidRPr="00041678">
        <w:rPr>
          <w:i/>
          <w:noProof/>
        </w:rPr>
        <w:t>F1000 Medicine Reports,</w:t>
      </w:r>
      <w:r w:rsidRPr="00041678">
        <w:rPr>
          <w:noProof/>
        </w:rPr>
        <w:t xml:space="preserve"> 1.</w:t>
      </w:r>
    </w:p>
    <w:p w14:paraId="3AF4B5A1" w14:textId="77777777" w:rsidR="00041678" w:rsidRPr="00041678" w:rsidRDefault="00041678" w:rsidP="00041678">
      <w:pPr>
        <w:pStyle w:val="EndNoteBibliography"/>
        <w:spacing w:after="0"/>
        <w:ind w:left="720" w:hanging="720"/>
        <w:rPr>
          <w:noProof/>
        </w:rPr>
      </w:pPr>
      <w:r w:rsidRPr="00041678">
        <w:rPr>
          <w:noProof/>
        </w:rPr>
        <w:t xml:space="preserve">BIERHAUS, A., FLEMING, T., STOYANOV, S., LEFFLER, A., BABES, A., NEACSU, C., SAUER, S. K., EBERHARDT, M., SCHNÖLZER, M., LASISCHKA, F., NEUHUBER, W. L., KICHKO, T. I., KONRADE, I., ELVERT, R., MIER, W., PIRAGS, V., LUKIC, I. K., MORCOS, M., DEHMER, T., RABBANI, N., THORNALLEY, P. J., EDELSTEIN, D., NAU, C., FORBES, J., HUMPERT, P. M., SCHWANINGER, M., ZIEGLER, D., STERN, D. M., COOPER, M. E., HABERKORN, U., BROWNLEE, M., REEH, P. W. &amp; NAWROTH, P. P. 2012. Methylglyoxal modification of Nav1.8 facilitates nociceptive neuron firing and causes hyperalgesia in diabetic neuropathy. </w:t>
      </w:r>
      <w:r w:rsidRPr="00041678">
        <w:rPr>
          <w:i/>
          <w:noProof/>
        </w:rPr>
        <w:t>Nature Medicine,</w:t>
      </w:r>
      <w:r w:rsidRPr="00041678">
        <w:rPr>
          <w:noProof/>
        </w:rPr>
        <w:t xml:space="preserve"> 18</w:t>
      </w:r>
      <w:r w:rsidRPr="00041678">
        <w:rPr>
          <w:b/>
          <w:noProof/>
        </w:rPr>
        <w:t>,</w:t>
      </w:r>
      <w:r w:rsidRPr="00041678">
        <w:rPr>
          <w:noProof/>
        </w:rPr>
        <w:t xml:space="preserve"> 1445-1445.</w:t>
      </w:r>
    </w:p>
    <w:p w14:paraId="07EEB874" w14:textId="77777777" w:rsidR="00041678" w:rsidRPr="00041678" w:rsidRDefault="00041678" w:rsidP="00041678">
      <w:pPr>
        <w:pStyle w:val="EndNoteBibliography"/>
        <w:spacing w:after="0"/>
        <w:ind w:left="720" w:hanging="720"/>
        <w:rPr>
          <w:noProof/>
        </w:rPr>
      </w:pPr>
      <w:r w:rsidRPr="00041678">
        <w:rPr>
          <w:noProof/>
        </w:rPr>
        <w:t xml:space="preserve">BISHNOI, M., BOSGRAAF, C., ABOOJ, M., ZHONG, L. &amp; PREMKUMAR, L. 2011. Streptozotocin- Induced Early Thermal Hyperalgesia is independent of Glycemic State of Rats: Role of Transient Receptor Potential Vanilloid 1( TRPV1) and Inflammatory mediators. </w:t>
      </w:r>
      <w:r w:rsidRPr="00041678">
        <w:rPr>
          <w:i/>
          <w:noProof/>
        </w:rPr>
        <w:t>Molecular Pain,</w:t>
      </w:r>
      <w:r w:rsidRPr="00041678">
        <w:rPr>
          <w:noProof/>
        </w:rPr>
        <w:t xml:space="preserve"> 7</w:t>
      </w:r>
      <w:r w:rsidRPr="00041678">
        <w:rPr>
          <w:b/>
          <w:noProof/>
        </w:rPr>
        <w:t>,</w:t>
      </w:r>
      <w:r w:rsidRPr="00041678">
        <w:rPr>
          <w:noProof/>
        </w:rPr>
        <w:t xml:space="preserve"> 52.</w:t>
      </w:r>
    </w:p>
    <w:p w14:paraId="622B35E8" w14:textId="77777777" w:rsidR="00041678" w:rsidRPr="00041678" w:rsidRDefault="00041678" w:rsidP="00041678">
      <w:pPr>
        <w:pStyle w:val="EndNoteBibliography"/>
        <w:spacing w:after="0"/>
        <w:ind w:left="720" w:hanging="720"/>
        <w:rPr>
          <w:noProof/>
        </w:rPr>
      </w:pPr>
      <w:r w:rsidRPr="00041678">
        <w:rPr>
          <w:noProof/>
        </w:rPr>
        <w:t xml:space="preserve">BLACK, J. A., FRÉZEL, N., DIB-HAJJ, S. D. &amp; WAXMAN, S. G. 2012. Expression of Nav1.7 in DRG neurons extends from peripheral terminals in the skin to central preterminal branches and terminals in the dorsal horn. </w:t>
      </w:r>
      <w:r w:rsidRPr="00041678">
        <w:rPr>
          <w:i/>
          <w:noProof/>
        </w:rPr>
        <w:t>Mol Pain,</w:t>
      </w:r>
      <w:r w:rsidRPr="00041678">
        <w:rPr>
          <w:noProof/>
        </w:rPr>
        <w:t xml:space="preserve"> 8</w:t>
      </w:r>
      <w:r w:rsidRPr="00041678">
        <w:rPr>
          <w:b/>
          <w:noProof/>
        </w:rPr>
        <w:t>,</w:t>
      </w:r>
      <w:r w:rsidRPr="00041678">
        <w:rPr>
          <w:noProof/>
        </w:rPr>
        <w:t xml:space="preserve"> 82.</w:t>
      </w:r>
    </w:p>
    <w:p w14:paraId="025C2C04" w14:textId="04642BFA" w:rsidR="00041678" w:rsidRPr="00041678" w:rsidRDefault="00041678" w:rsidP="00041678">
      <w:pPr>
        <w:pStyle w:val="EndNoteBibliography"/>
        <w:spacing w:after="0"/>
        <w:ind w:left="720" w:hanging="720"/>
        <w:rPr>
          <w:noProof/>
        </w:rPr>
      </w:pPr>
      <w:r w:rsidRPr="00041678">
        <w:rPr>
          <w:noProof/>
        </w:rPr>
        <w:t xml:space="preserve">BLACKBURN-MUNRO, G. &amp; JENSEN, B. S. 2003. The anticonvulsant retigabine attenuates nociceptive behaviours in rat models of persistent and neuropathic pain. </w:t>
      </w:r>
      <w:r w:rsidRPr="00041678">
        <w:rPr>
          <w:i/>
          <w:noProof/>
        </w:rPr>
        <w:t>Europ J</w:t>
      </w:r>
      <w:r w:rsidR="001E079B">
        <w:rPr>
          <w:i/>
          <w:noProof/>
        </w:rPr>
        <w:t>.</w:t>
      </w:r>
      <w:r w:rsidRPr="00041678">
        <w:rPr>
          <w:i/>
          <w:noProof/>
        </w:rPr>
        <w:t xml:space="preserve"> Pharmacology,</w:t>
      </w:r>
      <w:r w:rsidRPr="00041678">
        <w:rPr>
          <w:noProof/>
        </w:rPr>
        <w:t xml:space="preserve"> 460</w:t>
      </w:r>
      <w:r w:rsidRPr="00041678">
        <w:rPr>
          <w:b/>
          <w:noProof/>
        </w:rPr>
        <w:t>,</w:t>
      </w:r>
      <w:r w:rsidRPr="00041678">
        <w:rPr>
          <w:noProof/>
        </w:rPr>
        <w:t xml:space="preserve"> 109-116.</w:t>
      </w:r>
    </w:p>
    <w:p w14:paraId="2F4F3FAE" w14:textId="77777777" w:rsidR="00041678" w:rsidRPr="00041678" w:rsidRDefault="00041678" w:rsidP="00041678">
      <w:pPr>
        <w:pStyle w:val="EndNoteBibliography"/>
        <w:spacing w:after="0"/>
        <w:ind w:left="720" w:hanging="720"/>
        <w:rPr>
          <w:noProof/>
        </w:rPr>
      </w:pPr>
      <w:r w:rsidRPr="00041678">
        <w:rPr>
          <w:noProof/>
        </w:rPr>
        <w:t xml:space="preserve">BLESNEAC, I., THEMISTOCLEOUS, A. C., FRATTER, C., CONRAD, L. J., RAMIREZ, J. D., COX, J. J., TESFAYE, S., SHILLO, P. R., RICE, A. S. C., TUCKER, S. J. &amp; BENNETT, D. L. H. 2018. Rare NaV1.7 variants associated with painful diabetic peripheral neuropathy. </w:t>
      </w:r>
      <w:r w:rsidRPr="00041678">
        <w:rPr>
          <w:i/>
          <w:noProof/>
        </w:rPr>
        <w:t>Pain,</w:t>
      </w:r>
      <w:r w:rsidRPr="00041678">
        <w:rPr>
          <w:noProof/>
        </w:rPr>
        <w:t xml:space="preserve"> 159</w:t>
      </w:r>
      <w:r w:rsidRPr="00041678">
        <w:rPr>
          <w:b/>
          <w:noProof/>
        </w:rPr>
        <w:t>,</w:t>
      </w:r>
      <w:r w:rsidRPr="00041678">
        <w:rPr>
          <w:noProof/>
        </w:rPr>
        <w:t xml:space="preserve"> 469-480.</w:t>
      </w:r>
    </w:p>
    <w:p w14:paraId="0C414CF3" w14:textId="6CCF173D" w:rsidR="00041678" w:rsidRPr="00041678" w:rsidRDefault="00041678" w:rsidP="00041678">
      <w:pPr>
        <w:pStyle w:val="EndNoteBibliography"/>
        <w:spacing w:after="0"/>
        <w:ind w:left="720" w:hanging="720"/>
        <w:rPr>
          <w:noProof/>
        </w:rPr>
      </w:pPr>
      <w:r w:rsidRPr="00041678">
        <w:rPr>
          <w:noProof/>
        </w:rPr>
        <w:t xml:space="preserve">BONNINGTON, J. K. &amp; MCNAUGHTON, P. A. 2003. Signalling pathways involved in the sensitisation of mouse nociceptive neurones by nerve growth factor. </w:t>
      </w:r>
      <w:r w:rsidRPr="00041678">
        <w:rPr>
          <w:i/>
          <w:noProof/>
        </w:rPr>
        <w:t>J</w:t>
      </w:r>
      <w:r w:rsidR="001E079B">
        <w:rPr>
          <w:i/>
          <w:noProof/>
        </w:rPr>
        <w:t>.</w:t>
      </w:r>
      <w:r w:rsidRPr="00041678">
        <w:rPr>
          <w:i/>
          <w:noProof/>
        </w:rPr>
        <w:t xml:space="preserve"> physiology,</w:t>
      </w:r>
      <w:r w:rsidRPr="00041678">
        <w:rPr>
          <w:noProof/>
        </w:rPr>
        <w:t xml:space="preserve"> 551</w:t>
      </w:r>
      <w:r w:rsidRPr="00041678">
        <w:rPr>
          <w:b/>
          <w:noProof/>
        </w:rPr>
        <w:t>,</w:t>
      </w:r>
      <w:r w:rsidRPr="00041678">
        <w:rPr>
          <w:noProof/>
        </w:rPr>
        <w:t xml:space="preserve"> 433.</w:t>
      </w:r>
    </w:p>
    <w:p w14:paraId="4F5F4AE5" w14:textId="354BB8F7" w:rsidR="00041678" w:rsidRPr="00041678" w:rsidRDefault="00041678" w:rsidP="00041678">
      <w:pPr>
        <w:pStyle w:val="EndNoteBibliography"/>
        <w:spacing w:after="0"/>
        <w:ind w:left="720" w:hanging="720"/>
        <w:rPr>
          <w:noProof/>
        </w:rPr>
      </w:pPr>
      <w:r w:rsidRPr="00041678">
        <w:rPr>
          <w:noProof/>
        </w:rPr>
        <w:t xml:space="preserve">BOULTON, A. J. M., MALIK, R. A., AREZZO, J. C. &amp; SOSENKO, J. M. 2004. Diabetic somatic neuropathies. </w:t>
      </w:r>
      <w:r w:rsidRPr="00041678">
        <w:rPr>
          <w:i/>
          <w:noProof/>
        </w:rPr>
        <w:t xml:space="preserve">Diabetes </w:t>
      </w:r>
      <w:r w:rsidR="001E079B">
        <w:rPr>
          <w:i/>
          <w:noProof/>
        </w:rPr>
        <w:t>C</w:t>
      </w:r>
      <w:r w:rsidRPr="00041678">
        <w:rPr>
          <w:i/>
          <w:noProof/>
        </w:rPr>
        <w:t>are,</w:t>
      </w:r>
      <w:r w:rsidRPr="00041678">
        <w:rPr>
          <w:noProof/>
        </w:rPr>
        <w:t xml:space="preserve"> 27</w:t>
      </w:r>
      <w:r w:rsidRPr="00041678">
        <w:rPr>
          <w:b/>
          <w:noProof/>
        </w:rPr>
        <w:t>,</w:t>
      </w:r>
      <w:r w:rsidRPr="00041678">
        <w:rPr>
          <w:noProof/>
        </w:rPr>
        <w:t xml:space="preserve"> 1458.</w:t>
      </w:r>
    </w:p>
    <w:p w14:paraId="4F9CEDC6" w14:textId="77777777" w:rsidR="00041678" w:rsidRPr="00041678" w:rsidRDefault="00041678" w:rsidP="00041678">
      <w:pPr>
        <w:pStyle w:val="EndNoteBibliography"/>
        <w:spacing w:after="0"/>
        <w:ind w:left="720" w:hanging="720"/>
        <w:rPr>
          <w:noProof/>
        </w:rPr>
      </w:pPr>
      <w:r w:rsidRPr="00041678">
        <w:rPr>
          <w:noProof/>
        </w:rPr>
        <w:t xml:space="preserve">BROWNLEE, M. 2001. Biochemistry and molecular cell biology of diabetic complications. </w:t>
      </w:r>
      <w:r w:rsidRPr="00041678">
        <w:rPr>
          <w:i/>
          <w:noProof/>
        </w:rPr>
        <w:t>Nature,</w:t>
      </w:r>
      <w:r w:rsidRPr="00041678">
        <w:rPr>
          <w:noProof/>
        </w:rPr>
        <w:t xml:space="preserve"> 414</w:t>
      </w:r>
      <w:r w:rsidRPr="00041678">
        <w:rPr>
          <w:b/>
          <w:noProof/>
        </w:rPr>
        <w:t>,</w:t>
      </w:r>
      <w:r w:rsidRPr="00041678">
        <w:rPr>
          <w:noProof/>
        </w:rPr>
        <w:t xml:space="preserve"> 813.</w:t>
      </w:r>
    </w:p>
    <w:p w14:paraId="22932D8D" w14:textId="77777777" w:rsidR="00041678" w:rsidRPr="00041678" w:rsidRDefault="00041678" w:rsidP="00041678">
      <w:pPr>
        <w:pStyle w:val="EndNoteBibliography"/>
        <w:spacing w:after="0"/>
        <w:ind w:left="720" w:hanging="720"/>
        <w:rPr>
          <w:noProof/>
        </w:rPr>
      </w:pPr>
      <w:r w:rsidRPr="00041678">
        <w:rPr>
          <w:noProof/>
        </w:rPr>
        <w:t xml:space="preserve">BÖNHOF, G. J., STROM, A., PÜTTGEN, S., RINGEL, B., BRÜGGEMANN, J., BÓDIS, K., MÜSSIG, K., SZENDROEDI, J., RODEN, M. &amp; ZIEGLER, D. 2017. Patterns of cutaneous nerve fibre loss and regeneration in type 2 diabetes with painful and painless polyneuropathy. </w:t>
      </w:r>
      <w:r w:rsidRPr="00041678">
        <w:rPr>
          <w:i/>
          <w:noProof/>
        </w:rPr>
        <w:t>Diabetologia,</w:t>
      </w:r>
      <w:r w:rsidRPr="00041678">
        <w:rPr>
          <w:noProof/>
        </w:rPr>
        <w:t xml:space="preserve"> 60</w:t>
      </w:r>
      <w:r w:rsidRPr="00041678">
        <w:rPr>
          <w:b/>
          <w:noProof/>
        </w:rPr>
        <w:t>,</w:t>
      </w:r>
      <w:r w:rsidRPr="00041678">
        <w:rPr>
          <w:noProof/>
        </w:rPr>
        <w:t xml:space="preserve"> 2495-2503.</w:t>
      </w:r>
    </w:p>
    <w:p w14:paraId="6B754D43" w14:textId="2229511F" w:rsidR="00041678" w:rsidRPr="00041678" w:rsidRDefault="00041678" w:rsidP="00041678">
      <w:pPr>
        <w:pStyle w:val="EndNoteBibliography"/>
        <w:spacing w:after="0"/>
        <w:ind w:left="720" w:hanging="720"/>
        <w:rPr>
          <w:noProof/>
        </w:rPr>
      </w:pPr>
      <w:r w:rsidRPr="00041678">
        <w:rPr>
          <w:noProof/>
        </w:rPr>
        <w:t>CARLSON, J. D., MAIRE, J. J., MARTENSON, M. E. &amp; HEINRICHER, M. M. 2007. Sensitization of pain- modulating neurons in the rostral ventromedial medulla after peripheral nerve injury.</w:t>
      </w:r>
      <w:r w:rsidRPr="00041678">
        <w:rPr>
          <w:i/>
          <w:noProof/>
        </w:rPr>
        <w:t xml:space="preserve"> J</w:t>
      </w:r>
      <w:r w:rsidR="000A2039">
        <w:rPr>
          <w:i/>
          <w:noProof/>
        </w:rPr>
        <w:t>.</w:t>
      </w:r>
      <w:r w:rsidRPr="00041678">
        <w:rPr>
          <w:i/>
          <w:noProof/>
        </w:rPr>
        <w:t xml:space="preserve"> neuroscience</w:t>
      </w:r>
      <w:r w:rsidR="000A2039">
        <w:rPr>
          <w:i/>
          <w:noProof/>
        </w:rPr>
        <w:t>,</w:t>
      </w:r>
      <w:r w:rsidRPr="00041678">
        <w:rPr>
          <w:i/>
          <w:noProof/>
        </w:rPr>
        <w:t xml:space="preserve"> </w:t>
      </w:r>
      <w:r w:rsidRPr="00041678">
        <w:rPr>
          <w:noProof/>
        </w:rPr>
        <w:t xml:space="preserve"> 27</w:t>
      </w:r>
      <w:r w:rsidRPr="00041678">
        <w:rPr>
          <w:b/>
          <w:noProof/>
        </w:rPr>
        <w:t>,</w:t>
      </w:r>
      <w:r w:rsidRPr="00041678">
        <w:rPr>
          <w:noProof/>
        </w:rPr>
        <w:t xml:space="preserve"> 13222.</w:t>
      </w:r>
    </w:p>
    <w:p w14:paraId="2C1C8278" w14:textId="4AD6FAE0" w:rsidR="00041678" w:rsidRPr="00041678" w:rsidRDefault="00041678" w:rsidP="00041678">
      <w:pPr>
        <w:pStyle w:val="EndNoteBibliography"/>
        <w:spacing w:after="0"/>
        <w:ind w:left="720" w:hanging="720"/>
        <w:rPr>
          <w:noProof/>
        </w:rPr>
      </w:pPr>
      <w:r w:rsidRPr="00041678">
        <w:rPr>
          <w:noProof/>
        </w:rPr>
        <w:t xml:space="preserve">CARRINGTON, A. L., SHAW, J. E., VAN SCHIE, C. H. M., ABBOTT, C. A., VILEIKYTE, L. &amp; BOULTON, A. J. M. 2002. Can motor nerve conduction velocity predict foot problems in diabetic subjects over a 6- year outcome period? </w:t>
      </w:r>
      <w:r w:rsidRPr="00041678">
        <w:rPr>
          <w:i/>
          <w:noProof/>
        </w:rPr>
        <w:t xml:space="preserve">Diabetes </w:t>
      </w:r>
      <w:r w:rsidR="000A2039">
        <w:rPr>
          <w:i/>
          <w:noProof/>
        </w:rPr>
        <w:t>C</w:t>
      </w:r>
      <w:r w:rsidRPr="00041678">
        <w:rPr>
          <w:i/>
          <w:noProof/>
        </w:rPr>
        <w:t>are,</w:t>
      </w:r>
      <w:r w:rsidRPr="00041678">
        <w:rPr>
          <w:noProof/>
        </w:rPr>
        <w:t xml:space="preserve"> 25</w:t>
      </w:r>
      <w:r w:rsidRPr="00041678">
        <w:rPr>
          <w:b/>
          <w:noProof/>
        </w:rPr>
        <w:t>,</w:t>
      </w:r>
      <w:r w:rsidRPr="00041678">
        <w:rPr>
          <w:noProof/>
        </w:rPr>
        <w:t xml:space="preserve"> 2010.</w:t>
      </w:r>
    </w:p>
    <w:p w14:paraId="13A5B9F7" w14:textId="77777777" w:rsidR="00041678" w:rsidRPr="00041678" w:rsidRDefault="00041678" w:rsidP="00041678">
      <w:pPr>
        <w:pStyle w:val="EndNoteBibliography"/>
        <w:spacing w:after="0"/>
        <w:ind w:left="720" w:hanging="720"/>
        <w:rPr>
          <w:noProof/>
        </w:rPr>
      </w:pPr>
      <w:r w:rsidRPr="00041678">
        <w:rPr>
          <w:noProof/>
        </w:rPr>
        <w:t xml:space="preserve">CASELLINI, C. M., PARSON, H. K., RICHARDSON, M. S., NEVORET, M. L. &amp; VINIK, A. I. 2013. Sudoscan, a noninvasive tool for detecting diabetic small fiber neuropathy and autonomic dysfunction. </w:t>
      </w:r>
      <w:r w:rsidRPr="00041678">
        <w:rPr>
          <w:i/>
          <w:noProof/>
        </w:rPr>
        <w:t>Diabetes Technol Ther,</w:t>
      </w:r>
      <w:r w:rsidRPr="00041678">
        <w:rPr>
          <w:noProof/>
        </w:rPr>
        <w:t xml:space="preserve"> 15</w:t>
      </w:r>
      <w:r w:rsidRPr="00041678">
        <w:rPr>
          <w:b/>
          <w:noProof/>
        </w:rPr>
        <w:t>,</w:t>
      </w:r>
      <w:r w:rsidRPr="00041678">
        <w:rPr>
          <w:noProof/>
        </w:rPr>
        <w:t xml:space="preserve"> 948-53.</w:t>
      </w:r>
    </w:p>
    <w:p w14:paraId="2CFE4809" w14:textId="77777777" w:rsidR="00041678" w:rsidRPr="00041678" w:rsidRDefault="00041678" w:rsidP="00041678">
      <w:pPr>
        <w:pStyle w:val="EndNoteBibliography"/>
        <w:spacing w:after="0"/>
        <w:ind w:left="720" w:hanging="720"/>
        <w:rPr>
          <w:noProof/>
        </w:rPr>
      </w:pPr>
      <w:r w:rsidRPr="00041678">
        <w:rPr>
          <w:noProof/>
        </w:rPr>
        <w:lastRenderedPageBreak/>
        <w:t xml:space="preserve">CHENG, H. T., DAUCH, J. R., HAYES, J. M., HONG, Y. &amp; FELDMAN, E. L. 2009. Nerve Growth Factor Mediates Mechanical Allodynia in a Mouse Model of Type 2 Diabetes. </w:t>
      </w:r>
      <w:r w:rsidRPr="00041678">
        <w:rPr>
          <w:i/>
          <w:noProof/>
        </w:rPr>
        <w:t>J. Neuropathol. Exp. Neurol.,</w:t>
      </w:r>
      <w:r w:rsidRPr="00041678">
        <w:rPr>
          <w:noProof/>
        </w:rPr>
        <w:t xml:space="preserve"> 68</w:t>
      </w:r>
      <w:r w:rsidRPr="00041678">
        <w:rPr>
          <w:b/>
          <w:noProof/>
        </w:rPr>
        <w:t>,</w:t>
      </w:r>
      <w:r w:rsidRPr="00041678">
        <w:rPr>
          <w:noProof/>
        </w:rPr>
        <w:t xml:space="preserve"> 1229-1243.</w:t>
      </w:r>
    </w:p>
    <w:p w14:paraId="053E6149" w14:textId="1C0A0BCA" w:rsidR="00041678" w:rsidRPr="00041678" w:rsidRDefault="00041678" w:rsidP="00041678">
      <w:pPr>
        <w:pStyle w:val="EndNoteBibliography"/>
        <w:spacing w:after="0"/>
        <w:ind w:left="720" w:hanging="720"/>
        <w:rPr>
          <w:noProof/>
        </w:rPr>
      </w:pPr>
      <w:r w:rsidRPr="00041678">
        <w:rPr>
          <w:noProof/>
        </w:rPr>
        <w:t xml:space="preserve">CHENG, H. T., DAUCH, J. R., HAYES, J. M., YANIK, B. M. &amp; FELDMAN, E. L. 2012. Nerve growth factor/ p38 signaling increases intraepidermal nerve fiber densities in painful neuropathy of type 2 diabetes. </w:t>
      </w:r>
      <w:r w:rsidRPr="00041678">
        <w:rPr>
          <w:i/>
          <w:noProof/>
        </w:rPr>
        <w:t xml:space="preserve">Neurobiol </w:t>
      </w:r>
      <w:r w:rsidR="000A2039">
        <w:rPr>
          <w:i/>
          <w:noProof/>
        </w:rPr>
        <w:t>D</w:t>
      </w:r>
      <w:r w:rsidRPr="00041678">
        <w:rPr>
          <w:i/>
          <w:noProof/>
        </w:rPr>
        <w:t>isease,</w:t>
      </w:r>
      <w:r w:rsidRPr="00041678">
        <w:rPr>
          <w:noProof/>
        </w:rPr>
        <w:t xml:space="preserve"> 45</w:t>
      </w:r>
      <w:r w:rsidRPr="00041678">
        <w:rPr>
          <w:b/>
          <w:noProof/>
        </w:rPr>
        <w:t>,</w:t>
      </w:r>
      <w:r w:rsidRPr="00041678">
        <w:rPr>
          <w:noProof/>
        </w:rPr>
        <w:t xml:space="preserve"> 280.</w:t>
      </w:r>
    </w:p>
    <w:p w14:paraId="204EEC0D" w14:textId="481020D9" w:rsidR="00041678" w:rsidRPr="00041678" w:rsidRDefault="00041678" w:rsidP="00041678">
      <w:pPr>
        <w:pStyle w:val="EndNoteBibliography"/>
        <w:spacing w:after="0"/>
        <w:ind w:left="720" w:hanging="720"/>
        <w:rPr>
          <w:noProof/>
        </w:rPr>
      </w:pPr>
      <w:r w:rsidRPr="00041678">
        <w:rPr>
          <w:noProof/>
        </w:rPr>
        <w:t xml:space="preserve">CHENG, H. T., DAUCH, J. R., PORZIO, M. T., YANIK, B. M., HSIEH, W., SMITH, A. G., SINGLETON, J. R. &amp; FELDMAN, E. L. 2013. Increased axonal regeneration and swellings in intraepidermal nerve fibers characterize painful phenotypes of diabetic neuropathy. </w:t>
      </w:r>
      <w:r w:rsidR="000A2039">
        <w:rPr>
          <w:i/>
          <w:noProof/>
        </w:rPr>
        <w:t>J.</w:t>
      </w:r>
      <w:r w:rsidRPr="00041678">
        <w:rPr>
          <w:i/>
          <w:noProof/>
        </w:rPr>
        <w:t>pain,</w:t>
      </w:r>
      <w:r w:rsidRPr="00041678">
        <w:rPr>
          <w:noProof/>
        </w:rPr>
        <w:t xml:space="preserve"> 14</w:t>
      </w:r>
      <w:r w:rsidRPr="00041678">
        <w:rPr>
          <w:b/>
          <w:noProof/>
        </w:rPr>
        <w:t>,</w:t>
      </w:r>
      <w:r w:rsidRPr="00041678">
        <w:rPr>
          <w:noProof/>
        </w:rPr>
        <w:t xml:space="preserve"> 941.</w:t>
      </w:r>
    </w:p>
    <w:p w14:paraId="59605F5E" w14:textId="77777777" w:rsidR="00041678" w:rsidRPr="00041678" w:rsidRDefault="00041678" w:rsidP="00041678">
      <w:pPr>
        <w:pStyle w:val="EndNoteBibliography"/>
        <w:spacing w:after="0"/>
        <w:ind w:left="720" w:hanging="720"/>
        <w:rPr>
          <w:noProof/>
        </w:rPr>
      </w:pPr>
      <w:r w:rsidRPr="00041678">
        <w:rPr>
          <w:noProof/>
        </w:rPr>
        <w:t xml:space="preserve">CHILELLI, N. C., BURLINA, S. &amp; LAPOLLA, A. 2013. AGEs, rather than hyperglycemia, are responsible for  microvascular complications in diabetes: A &amp;#034; glycoxidation- centric&amp;#034; point of view. </w:t>
      </w:r>
      <w:r w:rsidRPr="00041678">
        <w:rPr>
          <w:i/>
          <w:noProof/>
        </w:rPr>
        <w:t>Nutrition, Metabolism and Cardiovascular Diseases</w:t>
      </w:r>
      <w:r w:rsidRPr="00041678">
        <w:rPr>
          <w:noProof/>
        </w:rPr>
        <w:t>.</w:t>
      </w:r>
    </w:p>
    <w:p w14:paraId="2B8D342E" w14:textId="77777777" w:rsidR="00041678" w:rsidRPr="00041678" w:rsidRDefault="00041678" w:rsidP="00041678">
      <w:pPr>
        <w:pStyle w:val="EndNoteBibliography"/>
        <w:spacing w:after="0"/>
        <w:ind w:left="720" w:hanging="720"/>
        <w:rPr>
          <w:noProof/>
        </w:rPr>
      </w:pPr>
      <w:r w:rsidRPr="00041678">
        <w:rPr>
          <w:noProof/>
        </w:rPr>
        <w:t xml:space="preserve">CHUNG, K., LEE, B. H., YOON, Y. W. &amp; CHUNG, J. M. 1996. Sympathetic sprouting in the dorsal root ganglia of the injured peripheral nerve in a rat neuropathic pain model. </w:t>
      </w:r>
      <w:r w:rsidRPr="00041678">
        <w:rPr>
          <w:i/>
          <w:noProof/>
        </w:rPr>
        <w:t>The Journal of comparative neurology,</w:t>
      </w:r>
      <w:r w:rsidRPr="00041678">
        <w:rPr>
          <w:noProof/>
        </w:rPr>
        <w:t xml:space="preserve"> 376</w:t>
      </w:r>
      <w:r w:rsidRPr="00041678">
        <w:rPr>
          <w:b/>
          <w:noProof/>
        </w:rPr>
        <w:t>,</w:t>
      </w:r>
      <w:r w:rsidRPr="00041678">
        <w:rPr>
          <w:noProof/>
        </w:rPr>
        <w:t xml:space="preserve"> 241.</w:t>
      </w:r>
    </w:p>
    <w:p w14:paraId="1C7ED000" w14:textId="77777777" w:rsidR="00041678" w:rsidRPr="00041678" w:rsidRDefault="00041678" w:rsidP="00041678">
      <w:pPr>
        <w:pStyle w:val="EndNoteBibliography"/>
        <w:spacing w:after="0"/>
        <w:ind w:left="720" w:hanging="720"/>
        <w:rPr>
          <w:noProof/>
        </w:rPr>
      </w:pPr>
      <w:r w:rsidRPr="00041678">
        <w:rPr>
          <w:noProof/>
        </w:rPr>
        <w:t xml:space="preserve">CLEVE, M., GUSSEW, A. &amp; REICHENBACH, J. R. 2015. In vivo detection of acute pain- induced changes of GABA+ and Glx in the human brain by using functional 1H MEGA- PRESS MR spectroscopy. </w:t>
      </w:r>
      <w:r w:rsidRPr="00041678">
        <w:rPr>
          <w:i/>
          <w:noProof/>
        </w:rPr>
        <w:t>NeuroImage,</w:t>
      </w:r>
      <w:r w:rsidRPr="00041678">
        <w:rPr>
          <w:noProof/>
        </w:rPr>
        <w:t xml:space="preserve"> 105</w:t>
      </w:r>
      <w:r w:rsidRPr="00041678">
        <w:rPr>
          <w:b/>
          <w:noProof/>
        </w:rPr>
        <w:t>,</w:t>
      </w:r>
      <w:r w:rsidRPr="00041678">
        <w:rPr>
          <w:noProof/>
        </w:rPr>
        <w:t xml:space="preserve"> 67-75.</w:t>
      </w:r>
    </w:p>
    <w:p w14:paraId="3A128DF5" w14:textId="77777777" w:rsidR="00041678" w:rsidRPr="00041678" w:rsidRDefault="00041678" w:rsidP="00041678">
      <w:pPr>
        <w:pStyle w:val="EndNoteBibliography"/>
        <w:spacing w:after="0"/>
        <w:ind w:left="720" w:hanging="720"/>
        <w:rPr>
          <w:noProof/>
        </w:rPr>
      </w:pPr>
      <w:r w:rsidRPr="00041678">
        <w:rPr>
          <w:noProof/>
        </w:rPr>
        <w:t xml:space="preserve">CLEVE, M., GUSSEW, A., WAGNER, G., BÄR, K. J. &amp; REICHENBACH, J. R. 2017. Assessment of intra- and inter-regional interrelations between GABA+, Glx and BOLD during pain perception in the human brain - A combined. </w:t>
      </w:r>
      <w:r w:rsidRPr="00041678">
        <w:rPr>
          <w:i/>
          <w:noProof/>
        </w:rPr>
        <w:t>Neuroscience,</w:t>
      </w:r>
      <w:r w:rsidRPr="00041678">
        <w:rPr>
          <w:noProof/>
        </w:rPr>
        <w:t xml:space="preserve"> 365</w:t>
      </w:r>
      <w:r w:rsidRPr="00041678">
        <w:rPr>
          <w:b/>
          <w:noProof/>
        </w:rPr>
        <w:t>,</w:t>
      </w:r>
      <w:r w:rsidRPr="00041678">
        <w:rPr>
          <w:noProof/>
        </w:rPr>
        <w:t xml:space="preserve"> 125-136.</w:t>
      </w:r>
    </w:p>
    <w:p w14:paraId="7E614BD2" w14:textId="2172CA86" w:rsidR="00041678" w:rsidRPr="00041678" w:rsidRDefault="00041678" w:rsidP="00041678">
      <w:pPr>
        <w:pStyle w:val="EndNoteBibliography"/>
        <w:spacing w:after="0"/>
        <w:ind w:left="720" w:hanging="720"/>
        <w:rPr>
          <w:noProof/>
        </w:rPr>
      </w:pPr>
      <w:r w:rsidRPr="00041678">
        <w:rPr>
          <w:noProof/>
        </w:rPr>
        <w:t xml:space="preserve">DAOUSI, C., MACFARLANE, I. A., WOODWARD, A., NURMIKKO, T. J., BUNDRED, P. E., BENBOW, S. J. &amp; MACFARLANE, I. A. 2004. Chronic painful peripheral neuropathy in an urban community: a controlled comparison of people with and without diabetes. </w:t>
      </w:r>
      <w:r w:rsidRPr="00041678">
        <w:rPr>
          <w:i/>
          <w:noProof/>
        </w:rPr>
        <w:t xml:space="preserve">Diabetic </w:t>
      </w:r>
      <w:r w:rsidR="00003B3C">
        <w:rPr>
          <w:i/>
          <w:noProof/>
        </w:rPr>
        <w:t>M</w:t>
      </w:r>
      <w:r w:rsidRPr="00041678">
        <w:rPr>
          <w:i/>
          <w:noProof/>
        </w:rPr>
        <w:t>edicine</w:t>
      </w:r>
      <w:r w:rsidR="00003B3C">
        <w:rPr>
          <w:i/>
          <w:noProof/>
        </w:rPr>
        <w:t>,</w:t>
      </w:r>
      <w:r w:rsidRPr="00041678">
        <w:rPr>
          <w:i/>
          <w:noProof/>
        </w:rPr>
        <w:t>,</w:t>
      </w:r>
      <w:r w:rsidRPr="00041678">
        <w:rPr>
          <w:noProof/>
        </w:rPr>
        <w:t xml:space="preserve"> 21</w:t>
      </w:r>
      <w:r w:rsidRPr="00041678">
        <w:rPr>
          <w:b/>
          <w:noProof/>
        </w:rPr>
        <w:t>,</w:t>
      </w:r>
      <w:r w:rsidRPr="00041678">
        <w:rPr>
          <w:noProof/>
        </w:rPr>
        <w:t xml:space="preserve"> 976.</w:t>
      </w:r>
    </w:p>
    <w:p w14:paraId="15D4C5CD" w14:textId="77777777" w:rsidR="00041678" w:rsidRPr="00041678" w:rsidRDefault="00041678" w:rsidP="00041678">
      <w:pPr>
        <w:pStyle w:val="EndNoteBibliography"/>
        <w:spacing w:after="0"/>
        <w:ind w:left="720" w:hanging="720"/>
        <w:rPr>
          <w:noProof/>
        </w:rPr>
      </w:pPr>
      <w:r w:rsidRPr="00041678">
        <w:rPr>
          <w:noProof/>
        </w:rPr>
        <w:t xml:space="preserve">DAVIES, M., BROPHY, S., WILLIAMS, R. &amp; TAYLOR, A. 2006. The prevalence, severity, and impact of painful diabetic peripheral neuropathy in type 2 diabetes. </w:t>
      </w:r>
      <w:r w:rsidRPr="00041678">
        <w:rPr>
          <w:i/>
          <w:noProof/>
        </w:rPr>
        <w:t>Diabetes Care,</w:t>
      </w:r>
      <w:r w:rsidRPr="00041678">
        <w:rPr>
          <w:noProof/>
        </w:rPr>
        <w:t xml:space="preserve"> 29</w:t>
      </w:r>
      <w:r w:rsidRPr="00041678">
        <w:rPr>
          <w:b/>
          <w:noProof/>
        </w:rPr>
        <w:t>,</w:t>
      </w:r>
      <w:r w:rsidRPr="00041678">
        <w:rPr>
          <w:noProof/>
        </w:rPr>
        <w:t xml:space="preserve"> 1518-1522.</w:t>
      </w:r>
    </w:p>
    <w:p w14:paraId="0F1E7912" w14:textId="5C86524D" w:rsidR="00041678" w:rsidRPr="00041678" w:rsidRDefault="00041678" w:rsidP="00041678">
      <w:pPr>
        <w:pStyle w:val="EndNoteBibliography"/>
        <w:spacing w:after="0"/>
        <w:ind w:left="720" w:hanging="720"/>
        <w:rPr>
          <w:noProof/>
        </w:rPr>
      </w:pPr>
      <w:r w:rsidRPr="00041678">
        <w:rPr>
          <w:noProof/>
        </w:rPr>
        <w:t xml:space="preserve">DIECKMANN, A., KRIEBEL, M., ANDRIAMBELOSON, E., ZIEGLER, D. &amp; ELMLINGER, M. 2012. Treatment with Actovegin® improves sensory nerve function and pathology in streptozotocin- diabetic rats via mechanisms involving inhibition of PARP activation. </w:t>
      </w:r>
      <w:r w:rsidRPr="00041678">
        <w:rPr>
          <w:i/>
          <w:noProof/>
        </w:rPr>
        <w:t>Experimental and clinical endocrinology &amp; diabetes</w:t>
      </w:r>
      <w:r w:rsidR="00003B3C">
        <w:rPr>
          <w:i/>
          <w:noProof/>
        </w:rPr>
        <w:t>,</w:t>
      </w:r>
      <w:r w:rsidRPr="00041678">
        <w:rPr>
          <w:noProof/>
        </w:rPr>
        <w:t xml:space="preserve"> 120</w:t>
      </w:r>
      <w:r w:rsidRPr="00041678">
        <w:rPr>
          <w:b/>
          <w:noProof/>
        </w:rPr>
        <w:t>,</w:t>
      </w:r>
      <w:r w:rsidRPr="00041678">
        <w:rPr>
          <w:noProof/>
        </w:rPr>
        <w:t xml:space="preserve"> 132.</w:t>
      </w:r>
    </w:p>
    <w:p w14:paraId="48575422" w14:textId="605F74F1" w:rsidR="00041678" w:rsidRPr="00041678" w:rsidRDefault="00041678" w:rsidP="00041678">
      <w:pPr>
        <w:pStyle w:val="EndNoteBibliography"/>
        <w:spacing w:after="0"/>
        <w:ind w:left="720" w:hanging="720"/>
        <w:rPr>
          <w:noProof/>
        </w:rPr>
      </w:pPr>
      <w:r w:rsidRPr="00041678">
        <w:rPr>
          <w:noProof/>
        </w:rPr>
        <w:t xml:space="preserve">DJOUHRI, L., KOUTSIKOU, S., FANG, X., MCMULLAN, S. &amp; LAWSON, S. N. 2006. Spontaneous pain, both neuropathic and inflammatory, is related to frequency of spontaneous firing in intact C- fiber nociceptors. </w:t>
      </w:r>
      <w:r w:rsidRPr="00041678">
        <w:rPr>
          <w:i/>
          <w:noProof/>
        </w:rPr>
        <w:t>J</w:t>
      </w:r>
      <w:r w:rsidR="00003B3C">
        <w:rPr>
          <w:i/>
          <w:noProof/>
        </w:rPr>
        <w:t>.</w:t>
      </w:r>
      <w:r w:rsidRPr="00041678">
        <w:rPr>
          <w:i/>
          <w:noProof/>
        </w:rPr>
        <w:t xml:space="preserve"> </w:t>
      </w:r>
      <w:r w:rsidR="00003B3C">
        <w:rPr>
          <w:i/>
          <w:noProof/>
        </w:rPr>
        <w:t>N</w:t>
      </w:r>
      <w:r w:rsidRPr="00041678">
        <w:rPr>
          <w:i/>
          <w:noProof/>
        </w:rPr>
        <w:t>euroscience,</w:t>
      </w:r>
      <w:r w:rsidRPr="00041678">
        <w:rPr>
          <w:noProof/>
        </w:rPr>
        <w:t xml:space="preserve"> 26</w:t>
      </w:r>
      <w:r w:rsidRPr="00041678">
        <w:rPr>
          <w:b/>
          <w:noProof/>
        </w:rPr>
        <w:t>,</w:t>
      </w:r>
      <w:r w:rsidRPr="00041678">
        <w:rPr>
          <w:noProof/>
        </w:rPr>
        <w:t xml:space="preserve"> 1281.</w:t>
      </w:r>
    </w:p>
    <w:p w14:paraId="3D9ACAEF" w14:textId="77777777" w:rsidR="00041678" w:rsidRPr="00041678" w:rsidRDefault="00041678" w:rsidP="00041678">
      <w:pPr>
        <w:pStyle w:val="EndNoteBibliography"/>
        <w:spacing w:after="0"/>
        <w:ind w:left="720" w:hanging="720"/>
        <w:rPr>
          <w:noProof/>
        </w:rPr>
      </w:pPr>
      <w:r w:rsidRPr="00041678">
        <w:rPr>
          <w:noProof/>
        </w:rPr>
        <w:t xml:space="preserve">DREL, V. R., LUPACHYK, S., SHEVALYE, H., VARENIUK, I., XU, W., ZHANG, J., DELAMERE, N. A., SHAHIDULLAH, M., SLUSHER, B. &amp; OBROSOVA, I. G. 2010. New therapeutic and biomarker discovery for peripheral diabetic neuropathy: PARP inhibitor, nitrotyrosine, and tumor necrosis factor-{alpha}. </w:t>
      </w:r>
      <w:r w:rsidRPr="00041678">
        <w:rPr>
          <w:i/>
          <w:noProof/>
        </w:rPr>
        <w:t>Endocrinology,</w:t>
      </w:r>
      <w:r w:rsidRPr="00041678">
        <w:rPr>
          <w:noProof/>
        </w:rPr>
        <w:t xml:space="preserve"> 151</w:t>
      </w:r>
      <w:r w:rsidRPr="00041678">
        <w:rPr>
          <w:b/>
          <w:noProof/>
        </w:rPr>
        <w:t>,</w:t>
      </w:r>
      <w:r w:rsidRPr="00041678">
        <w:rPr>
          <w:noProof/>
        </w:rPr>
        <w:t xml:space="preserve"> 2547.</w:t>
      </w:r>
    </w:p>
    <w:p w14:paraId="655EAA33" w14:textId="77777777" w:rsidR="00041678" w:rsidRPr="00041678" w:rsidRDefault="00041678" w:rsidP="00041678">
      <w:pPr>
        <w:pStyle w:val="EndNoteBibliography"/>
        <w:spacing w:after="0"/>
        <w:ind w:left="720" w:hanging="720"/>
        <w:rPr>
          <w:noProof/>
        </w:rPr>
      </w:pPr>
      <w:r w:rsidRPr="00041678">
        <w:rPr>
          <w:noProof/>
        </w:rPr>
        <w:t>DYCK, P. J., ALBERS, J. W., ANDERSEN, H., AREZZO, J. C., BIESSELS, G. J., BRIL, V., FELDMAN, E. L., LITCHY, W. J., BRIEN, P. C. &amp; RUSSELL, J. W. 2011. Diabetic polyneuropathies: update on research definition, diagnostic criteria and estimation of severity. Chichester, UK.</w:t>
      </w:r>
    </w:p>
    <w:p w14:paraId="1CD7E8EF" w14:textId="10D229EF" w:rsidR="00041678" w:rsidRPr="00041678" w:rsidRDefault="00041678" w:rsidP="00041678">
      <w:pPr>
        <w:pStyle w:val="EndNoteBibliography"/>
        <w:spacing w:after="0"/>
        <w:ind w:left="720" w:hanging="720"/>
        <w:rPr>
          <w:noProof/>
        </w:rPr>
      </w:pPr>
      <w:r w:rsidRPr="00041678">
        <w:rPr>
          <w:noProof/>
        </w:rPr>
        <w:t xml:space="preserve">DYCK, P. J., DAVIES, J. L., WILSON, D. M., SERVICE, F. J., MELTON, L. J., BRIEN, P. C. &amp; BRIEN, P. C. 1999. Risk factors for severity of diabetic polyneuropathy: intensive longitudinal assessment of the Rochester Diabetic Neuropathy Study cohort. </w:t>
      </w:r>
      <w:r w:rsidRPr="00041678">
        <w:rPr>
          <w:i/>
          <w:noProof/>
        </w:rPr>
        <w:t xml:space="preserve">Diabetes </w:t>
      </w:r>
      <w:r w:rsidR="00CF12DA">
        <w:rPr>
          <w:i/>
          <w:noProof/>
        </w:rPr>
        <w:t>C</w:t>
      </w:r>
      <w:r w:rsidRPr="00041678">
        <w:rPr>
          <w:i/>
          <w:noProof/>
        </w:rPr>
        <w:t>are,</w:t>
      </w:r>
      <w:r w:rsidRPr="00041678">
        <w:rPr>
          <w:noProof/>
        </w:rPr>
        <w:t xml:space="preserve"> 22</w:t>
      </w:r>
      <w:r w:rsidRPr="00041678">
        <w:rPr>
          <w:b/>
          <w:noProof/>
        </w:rPr>
        <w:t>,</w:t>
      </w:r>
      <w:r w:rsidRPr="00041678">
        <w:rPr>
          <w:noProof/>
        </w:rPr>
        <w:t xml:space="preserve"> 1479.</w:t>
      </w:r>
    </w:p>
    <w:p w14:paraId="7266E1F8" w14:textId="77777777" w:rsidR="00041678" w:rsidRPr="00041678" w:rsidRDefault="00041678" w:rsidP="00041678">
      <w:pPr>
        <w:pStyle w:val="EndNoteBibliography"/>
        <w:spacing w:after="0"/>
        <w:ind w:left="720" w:hanging="720"/>
        <w:rPr>
          <w:noProof/>
        </w:rPr>
      </w:pPr>
      <w:r w:rsidRPr="00041678">
        <w:rPr>
          <w:noProof/>
        </w:rPr>
        <w:lastRenderedPageBreak/>
        <w:t xml:space="preserve">DYCK, P. J., KRATZ, K. M., KARNES, J. L., LITCHY, W. J., KLEIN, R., PACH, J. M., WILSON, D. M., BRIEN, P. C., MELTON, L. J., SERVICE, F. J. &amp; BRIEN, P. C. 1993. The prevalence by staged severity of various types of diabetic neuropathy, retinopathy, and nephropathy in a population- based cohort: the Rochester Diabetic Neuropathy Study. </w:t>
      </w:r>
      <w:r w:rsidRPr="00041678">
        <w:rPr>
          <w:i/>
          <w:noProof/>
        </w:rPr>
        <w:t>Neurology,</w:t>
      </w:r>
      <w:r w:rsidRPr="00041678">
        <w:rPr>
          <w:noProof/>
        </w:rPr>
        <w:t xml:space="preserve"> 43</w:t>
      </w:r>
      <w:r w:rsidRPr="00041678">
        <w:rPr>
          <w:b/>
          <w:noProof/>
        </w:rPr>
        <w:t>,</w:t>
      </w:r>
      <w:r w:rsidRPr="00041678">
        <w:rPr>
          <w:noProof/>
        </w:rPr>
        <w:t xml:space="preserve"> 817.</w:t>
      </w:r>
    </w:p>
    <w:p w14:paraId="222FBAD4" w14:textId="77777777" w:rsidR="00041678" w:rsidRPr="00041678" w:rsidRDefault="00041678" w:rsidP="00041678">
      <w:pPr>
        <w:pStyle w:val="EndNoteBibliography"/>
        <w:spacing w:after="0"/>
        <w:ind w:left="720" w:hanging="720"/>
        <w:rPr>
          <w:noProof/>
        </w:rPr>
      </w:pPr>
      <w:r w:rsidRPr="00041678">
        <w:rPr>
          <w:noProof/>
        </w:rPr>
        <w:t xml:space="preserve">DYCK, P. J., LITCHY, W. J., DAUBE, J. R., HARPER, C. M., DYCK, P. J. B., DAVIES, J. &amp; BRIEN, P. C. 2003. Individual attributes versus composite scores of nerve conduction abnormality: Sensitivity, reproducibility, and concordance with impairment. </w:t>
      </w:r>
      <w:r w:rsidRPr="00041678">
        <w:rPr>
          <w:i/>
          <w:noProof/>
        </w:rPr>
        <w:t>Muscle &amp; Nerve,</w:t>
      </w:r>
      <w:r w:rsidRPr="00041678">
        <w:rPr>
          <w:noProof/>
        </w:rPr>
        <w:t xml:space="preserve"> 27</w:t>
      </w:r>
      <w:r w:rsidRPr="00041678">
        <w:rPr>
          <w:b/>
          <w:noProof/>
        </w:rPr>
        <w:t>,</w:t>
      </w:r>
      <w:r w:rsidRPr="00041678">
        <w:rPr>
          <w:noProof/>
        </w:rPr>
        <w:t xml:space="preserve"> 202-210.</w:t>
      </w:r>
    </w:p>
    <w:p w14:paraId="6B70B753" w14:textId="77777777" w:rsidR="00041678" w:rsidRPr="00041678" w:rsidRDefault="00041678" w:rsidP="00041678">
      <w:pPr>
        <w:pStyle w:val="EndNoteBibliography"/>
        <w:spacing w:after="0"/>
        <w:ind w:left="720" w:hanging="720"/>
        <w:rPr>
          <w:noProof/>
        </w:rPr>
      </w:pPr>
      <w:r w:rsidRPr="00041678">
        <w:rPr>
          <w:noProof/>
        </w:rPr>
        <w:t xml:space="preserve">DYCK, P. J., PEROUTKA, S., RASK, C., BURTON, E., BAKER, M. K., LEHMAN, K. A., GILLEN, D. A., HOKANSON, J. L. &amp; OBRIEN, P. C. 1997. Intradermal recombinant human nerve growth factor induces pressure allodynia and lowered heat- pain threshold in humans. </w:t>
      </w:r>
      <w:r w:rsidRPr="00041678">
        <w:rPr>
          <w:i/>
          <w:noProof/>
        </w:rPr>
        <w:t>Neurology,</w:t>
      </w:r>
      <w:r w:rsidRPr="00041678">
        <w:rPr>
          <w:noProof/>
        </w:rPr>
        <w:t xml:space="preserve"> 48</w:t>
      </w:r>
      <w:r w:rsidRPr="00041678">
        <w:rPr>
          <w:b/>
          <w:noProof/>
        </w:rPr>
        <w:t>,</w:t>
      </w:r>
      <w:r w:rsidRPr="00041678">
        <w:rPr>
          <w:noProof/>
        </w:rPr>
        <w:t xml:space="preserve"> 501-505.</w:t>
      </w:r>
    </w:p>
    <w:p w14:paraId="7983127E" w14:textId="77777777" w:rsidR="00041678" w:rsidRPr="00041678" w:rsidRDefault="00041678" w:rsidP="00041678">
      <w:pPr>
        <w:pStyle w:val="EndNoteBibliography"/>
        <w:spacing w:after="0"/>
        <w:ind w:left="720" w:hanging="720"/>
        <w:rPr>
          <w:noProof/>
        </w:rPr>
      </w:pPr>
      <w:r w:rsidRPr="00041678">
        <w:rPr>
          <w:noProof/>
        </w:rPr>
        <w:t xml:space="preserve">EATON, S. E., HARRIS, N. D., RAJBHANDARI, S. M., GREENWOOD, P., WILKINSON, I. D., WARD, J. D., GRIFFITHS, P. D. &amp; TESFAYE, S. 2001. Spinal- cord involvement in diabetic peripheral neuropathy. </w:t>
      </w:r>
      <w:r w:rsidRPr="00041678">
        <w:rPr>
          <w:i/>
          <w:noProof/>
        </w:rPr>
        <w:t>Lancet,</w:t>
      </w:r>
      <w:r w:rsidRPr="00041678">
        <w:rPr>
          <w:noProof/>
        </w:rPr>
        <w:t xml:space="preserve"> 358</w:t>
      </w:r>
      <w:r w:rsidRPr="00041678">
        <w:rPr>
          <w:b/>
          <w:noProof/>
        </w:rPr>
        <w:t>,</w:t>
      </w:r>
      <w:r w:rsidRPr="00041678">
        <w:rPr>
          <w:noProof/>
        </w:rPr>
        <w:t xml:space="preserve"> 35.</w:t>
      </w:r>
    </w:p>
    <w:p w14:paraId="62FC9E8D" w14:textId="77777777" w:rsidR="00041678" w:rsidRPr="00041678" w:rsidRDefault="00041678" w:rsidP="00041678">
      <w:pPr>
        <w:pStyle w:val="EndNoteBibliography"/>
        <w:spacing w:after="0"/>
        <w:ind w:left="720" w:hanging="720"/>
        <w:rPr>
          <w:noProof/>
        </w:rPr>
      </w:pPr>
      <w:r w:rsidRPr="00041678">
        <w:rPr>
          <w:noProof/>
        </w:rPr>
        <w:t xml:space="preserve">EATON, S. E. M., HARRIS, N. D., IBRAHIM, S., PATEL, K. A., SELMI, F., RADATZ, M., WARD, J. D. &amp; TESFAYE, S. 2003. Increased sural nerve epineurial blood flow in human subjects with painful diabetic neuropathy. </w:t>
      </w:r>
      <w:r w:rsidRPr="00041678">
        <w:rPr>
          <w:i/>
          <w:noProof/>
        </w:rPr>
        <w:t>Diabetologia,</w:t>
      </w:r>
      <w:r w:rsidRPr="00041678">
        <w:rPr>
          <w:noProof/>
        </w:rPr>
        <w:t xml:space="preserve"> 46</w:t>
      </w:r>
      <w:r w:rsidRPr="00041678">
        <w:rPr>
          <w:b/>
          <w:noProof/>
        </w:rPr>
        <w:t>,</w:t>
      </w:r>
      <w:r w:rsidRPr="00041678">
        <w:rPr>
          <w:noProof/>
        </w:rPr>
        <w:t xml:space="preserve"> 934.</w:t>
      </w:r>
    </w:p>
    <w:p w14:paraId="3D621011" w14:textId="77777777" w:rsidR="00041678" w:rsidRPr="00041678" w:rsidRDefault="00041678" w:rsidP="00041678">
      <w:pPr>
        <w:pStyle w:val="EndNoteBibliography"/>
        <w:spacing w:after="0"/>
        <w:ind w:left="720" w:hanging="720"/>
        <w:rPr>
          <w:noProof/>
        </w:rPr>
      </w:pPr>
      <w:r w:rsidRPr="00041678">
        <w:rPr>
          <w:noProof/>
        </w:rPr>
        <w:t xml:space="preserve">EDDEN, R. A., PUTS, N. A., HARRIS, A. D., BARKER, P. B. &amp; EVANS, C. J. 2014. Gannet: A batch-processing tool for the quantitative analysis of gamma-aminobutyric acid–edited MR spectroscopy spectra. </w:t>
      </w:r>
      <w:r w:rsidRPr="00041678">
        <w:rPr>
          <w:i/>
          <w:noProof/>
        </w:rPr>
        <w:t>J Magn Reson Imaging,</w:t>
      </w:r>
      <w:r w:rsidRPr="00041678">
        <w:rPr>
          <w:noProof/>
        </w:rPr>
        <w:t xml:space="preserve"> 40</w:t>
      </w:r>
      <w:r w:rsidRPr="00041678">
        <w:rPr>
          <w:b/>
          <w:noProof/>
        </w:rPr>
        <w:t>,</w:t>
      </w:r>
      <w:r w:rsidRPr="00041678">
        <w:rPr>
          <w:noProof/>
        </w:rPr>
        <w:t xml:space="preserve"> 1445-52.</w:t>
      </w:r>
    </w:p>
    <w:p w14:paraId="768D7CA0" w14:textId="77777777" w:rsidR="00041678" w:rsidRPr="00041678" w:rsidRDefault="00041678" w:rsidP="00041678">
      <w:pPr>
        <w:pStyle w:val="EndNoteBibliography"/>
        <w:spacing w:after="0"/>
        <w:ind w:left="720" w:hanging="720"/>
        <w:rPr>
          <w:noProof/>
        </w:rPr>
      </w:pPr>
      <w:r w:rsidRPr="00041678">
        <w:rPr>
          <w:noProof/>
        </w:rPr>
        <w:t xml:space="preserve">ENGLAND, J. D., GRONSETH, G. S., FRANKLIN, G., CARTER, G. T., KINSELLA, L. J., COHEN, J. A., ASBURY, A. K., SZIGETI, K., LUPSKI, J. R., LATOV, N., LEWIS, R. A., LOW, P. A., FISHER, M. A., HERRMANN, D. N., HOWARD, J. F., LAURIA, G., MILLER, R. G., POLYDEFKIS, M. &amp; SUMNER, A. J. 2009. Practice Parameter: evaluation of distal symmetric polyneuropathy: role of autonomic testing, nerve biopsy, and skin biopsy (an evidence- based review). Report of the American Academy of Neurology, American Association of Neuromuscular and Electrodiagnostic Medicine, and American Academy of Physical Medicine and Rehabilitation. </w:t>
      </w:r>
      <w:r w:rsidRPr="00041678">
        <w:rPr>
          <w:i/>
          <w:noProof/>
        </w:rPr>
        <w:t>Neurology,</w:t>
      </w:r>
      <w:r w:rsidRPr="00041678">
        <w:rPr>
          <w:noProof/>
        </w:rPr>
        <w:t xml:space="preserve"> 72</w:t>
      </w:r>
      <w:r w:rsidRPr="00041678">
        <w:rPr>
          <w:b/>
          <w:noProof/>
        </w:rPr>
        <w:t>,</w:t>
      </w:r>
      <w:r w:rsidRPr="00041678">
        <w:rPr>
          <w:noProof/>
        </w:rPr>
        <w:t xml:space="preserve"> 177.</w:t>
      </w:r>
    </w:p>
    <w:p w14:paraId="02F0209A" w14:textId="77777777" w:rsidR="00041678" w:rsidRPr="00041678" w:rsidRDefault="00041678" w:rsidP="00041678">
      <w:pPr>
        <w:pStyle w:val="EndNoteBibliography"/>
        <w:spacing w:after="0"/>
        <w:ind w:left="720" w:hanging="720"/>
        <w:rPr>
          <w:noProof/>
        </w:rPr>
      </w:pPr>
      <w:r w:rsidRPr="00041678">
        <w:rPr>
          <w:noProof/>
        </w:rPr>
        <w:t xml:space="preserve">FACER, P., MANN, D., MATHUR, R., PANDYA, S., LADIWALA, U., SINGHAL, B., HONGO, J., SINICROPI, D. V., TERENGHI, G. &amp; ANAND, P. 2000. Do nerve growth factor-related mechanisms contribute to loss of cutaneous nociception in leprosy? </w:t>
      </w:r>
      <w:r w:rsidRPr="00041678">
        <w:rPr>
          <w:i/>
          <w:noProof/>
        </w:rPr>
        <w:t>Pain,</w:t>
      </w:r>
      <w:r w:rsidRPr="00041678">
        <w:rPr>
          <w:noProof/>
        </w:rPr>
        <w:t xml:space="preserve"> 85</w:t>
      </w:r>
      <w:r w:rsidRPr="00041678">
        <w:rPr>
          <w:b/>
          <w:noProof/>
        </w:rPr>
        <w:t>,</w:t>
      </w:r>
      <w:r w:rsidRPr="00041678">
        <w:rPr>
          <w:noProof/>
        </w:rPr>
        <w:t xml:space="preserve"> 231-8.</w:t>
      </w:r>
    </w:p>
    <w:p w14:paraId="242B3B53" w14:textId="77777777" w:rsidR="00041678" w:rsidRPr="00041678" w:rsidRDefault="00041678" w:rsidP="00041678">
      <w:pPr>
        <w:pStyle w:val="EndNoteBibliography"/>
        <w:spacing w:after="0"/>
        <w:ind w:left="720" w:hanging="720"/>
        <w:rPr>
          <w:noProof/>
        </w:rPr>
      </w:pPr>
      <w:r w:rsidRPr="00041678">
        <w:rPr>
          <w:noProof/>
        </w:rPr>
        <w:t xml:space="preserve">FAYED, N., GARCIA-CAMPAYO, J., MAGALLÓN, R., ANDRÉS-BERGARECHE, H., LUCIANO, J. V., ANDRES, E. &amp; BELTRÁN, J. 2010. Localized 1H-NMR spectroscopy in patients with fibromyalgia: a controlled study of changes in cerebral glutamate/glutamine, inositol, choline, and N-acetylaspartate. </w:t>
      </w:r>
      <w:r w:rsidRPr="00041678">
        <w:rPr>
          <w:i/>
          <w:noProof/>
        </w:rPr>
        <w:t>Arthritis Res Ther,</w:t>
      </w:r>
      <w:r w:rsidRPr="00041678">
        <w:rPr>
          <w:noProof/>
        </w:rPr>
        <w:t xml:space="preserve"> 12</w:t>
      </w:r>
      <w:r w:rsidRPr="00041678">
        <w:rPr>
          <w:b/>
          <w:noProof/>
        </w:rPr>
        <w:t>,</w:t>
      </w:r>
      <w:r w:rsidRPr="00041678">
        <w:rPr>
          <w:noProof/>
        </w:rPr>
        <w:t xml:space="preserve"> R134.</w:t>
      </w:r>
    </w:p>
    <w:p w14:paraId="4A7D8C92" w14:textId="77777777" w:rsidR="00041678" w:rsidRPr="00041678" w:rsidRDefault="00041678" w:rsidP="00041678">
      <w:pPr>
        <w:pStyle w:val="EndNoteBibliography"/>
        <w:spacing w:after="0"/>
        <w:ind w:left="720" w:hanging="720"/>
        <w:rPr>
          <w:noProof/>
        </w:rPr>
      </w:pPr>
      <w:r w:rsidRPr="00041678">
        <w:rPr>
          <w:noProof/>
        </w:rPr>
        <w:t xml:space="preserve">FIELDS, H. L., ROWBOTHAM, M. &amp; BARON, R. 1998. Postherpetic neuralgia: irritable nociceptors and deafferentation. </w:t>
      </w:r>
      <w:r w:rsidRPr="00041678">
        <w:rPr>
          <w:i/>
          <w:noProof/>
        </w:rPr>
        <w:t>Neurobiol Dis,</w:t>
      </w:r>
      <w:r w:rsidRPr="00041678">
        <w:rPr>
          <w:noProof/>
        </w:rPr>
        <w:t xml:space="preserve"> 5</w:t>
      </w:r>
      <w:r w:rsidRPr="00041678">
        <w:rPr>
          <w:b/>
          <w:noProof/>
        </w:rPr>
        <w:t>,</w:t>
      </w:r>
      <w:r w:rsidRPr="00041678">
        <w:rPr>
          <w:noProof/>
        </w:rPr>
        <w:t xml:space="preserve"> 209-27.</w:t>
      </w:r>
    </w:p>
    <w:p w14:paraId="221946E7" w14:textId="77777777" w:rsidR="00041678" w:rsidRPr="00041678" w:rsidRDefault="00041678" w:rsidP="00041678">
      <w:pPr>
        <w:pStyle w:val="EndNoteBibliography"/>
        <w:spacing w:after="0"/>
        <w:ind w:left="720" w:hanging="720"/>
        <w:rPr>
          <w:noProof/>
        </w:rPr>
      </w:pPr>
      <w:r w:rsidRPr="00041678">
        <w:rPr>
          <w:noProof/>
        </w:rPr>
        <w:t xml:space="preserve">FILIPOVIC, N., FERHATOVIC, L., MARELJA, I., PULJAK, L. &amp; GRKOVIC, I. 2013. Increased vitamin D receptor expression in dorsal root ganglia neurons of diabetic rats. </w:t>
      </w:r>
      <w:r w:rsidRPr="00041678">
        <w:rPr>
          <w:i/>
          <w:noProof/>
        </w:rPr>
        <w:t>Neuroscience Letters,</w:t>
      </w:r>
      <w:r w:rsidRPr="00041678">
        <w:rPr>
          <w:noProof/>
        </w:rPr>
        <w:t xml:space="preserve"> 549</w:t>
      </w:r>
      <w:r w:rsidRPr="00041678">
        <w:rPr>
          <w:b/>
          <w:noProof/>
        </w:rPr>
        <w:t>,</w:t>
      </w:r>
      <w:r w:rsidRPr="00041678">
        <w:rPr>
          <w:noProof/>
        </w:rPr>
        <w:t xml:space="preserve"> 140-145.</w:t>
      </w:r>
    </w:p>
    <w:p w14:paraId="2A625128" w14:textId="7ED626EA" w:rsidR="00041678" w:rsidRPr="00041678" w:rsidRDefault="00041678" w:rsidP="00041678">
      <w:pPr>
        <w:pStyle w:val="EndNoteBibliography"/>
        <w:spacing w:after="0"/>
        <w:ind w:left="720" w:hanging="720"/>
        <w:rPr>
          <w:noProof/>
        </w:rPr>
      </w:pPr>
      <w:r w:rsidRPr="00041678">
        <w:rPr>
          <w:noProof/>
        </w:rPr>
        <w:t xml:space="preserve">FJELL, J., CUMMINS, T. R., FRIED, K., BLACK, J. A. &amp; WAXMAN, S. G. 1999. In vivo NGF deprivation reduces SNS expression and TTX- R sodium currents in IB4- negative DRG neurons. </w:t>
      </w:r>
      <w:r w:rsidRPr="00041678">
        <w:rPr>
          <w:i/>
          <w:noProof/>
        </w:rPr>
        <w:t>J</w:t>
      </w:r>
      <w:r w:rsidR="00CF12DA">
        <w:rPr>
          <w:i/>
          <w:noProof/>
        </w:rPr>
        <w:t>. N</w:t>
      </w:r>
      <w:r w:rsidRPr="00041678">
        <w:rPr>
          <w:i/>
          <w:noProof/>
        </w:rPr>
        <w:t>europhysiology,</w:t>
      </w:r>
      <w:r w:rsidRPr="00041678">
        <w:rPr>
          <w:noProof/>
        </w:rPr>
        <w:t xml:space="preserve"> 81</w:t>
      </w:r>
      <w:r w:rsidRPr="00041678">
        <w:rPr>
          <w:b/>
          <w:noProof/>
        </w:rPr>
        <w:t>,</w:t>
      </w:r>
      <w:r w:rsidRPr="00041678">
        <w:rPr>
          <w:noProof/>
        </w:rPr>
        <w:t xml:space="preserve"> 803.</w:t>
      </w:r>
    </w:p>
    <w:p w14:paraId="0E1ADD05" w14:textId="77777777" w:rsidR="00041678" w:rsidRPr="00041678" w:rsidRDefault="00041678" w:rsidP="00041678">
      <w:pPr>
        <w:pStyle w:val="EndNoteBibliography"/>
        <w:spacing w:after="0"/>
        <w:ind w:left="720" w:hanging="720"/>
        <w:rPr>
          <w:noProof/>
        </w:rPr>
      </w:pPr>
      <w:r w:rsidRPr="00041678">
        <w:rPr>
          <w:noProof/>
        </w:rPr>
        <w:t xml:space="preserve">FOERSTER, B. R., NASCIMENTO, T. D., DEBOER, M., BENDER, M. A., RICE, I. C., TRUONG, D. Q., BIKSON, M., CLAUW, D. J., ZUBIETA, J.-K., HARRIS, R. E. &amp; DASILVA, A. F. 2015. </w:t>
      </w:r>
      <w:r w:rsidRPr="00041678">
        <w:rPr>
          <w:noProof/>
        </w:rPr>
        <w:lastRenderedPageBreak/>
        <w:t xml:space="preserve">Excitatory and inhibitory brain metabolites as targets of motor cortex transcranial direct current stimulation therapy and predictors of its efficacy in fibromyalgia. </w:t>
      </w:r>
      <w:r w:rsidRPr="00041678">
        <w:rPr>
          <w:i/>
          <w:noProof/>
        </w:rPr>
        <w:t>Arthritis &amp;amp; rheumatology (Hoboken, N.J.),</w:t>
      </w:r>
      <w:r w:rsidRPr="00041678">
        <w:rPr>
          <w:noProof/>
        </w:rPr>
        <w:t xml:space="preserve"> 67</w:t>
      </w:r>
      <w:r w:rsidRPr="00041678">
        <w:rPr>
          <w:b/>
          <w:noProof/>
        </w:rPr>
        <w:t>,</w:t>
      </w:r>
      <w:r w:rsidRPr="00041678">
        <w:rPr>
          <w:noProof/>
        </w:rPr>
        <w:t xml:space="preserve"> 576.</w:t>
      </w:r>
    </w:p>
    <w:p w14:paraId="35E9713E" w14:textId="77777777" w:rsidR="00041678" w:rsidRPr="00041678" w:rsidRDefault="00041678" w:rsidP="00041678">
      <w:pPr>
        <w:pStyle w:val="EndNoteBibliography"/>
        <w:spacing w:after="0"/>
        <w:ind w:left="720" w:hanging="720"/>
        <w:rPr>
          <w:noProof/>
        </w:rPr>
      </w:pPr>
      <w:r w:rsidRPr="00041678">
        <w:rPr>
          <w:noProof/>
        </w:rPr>
        <w:t xml:space="preserve">FOROUHI, N. G., YE, Z., RICKARD, A. P., KHAW, K. T., LUBEN, R., LANGENBERG, C. &amp; WAREHAM, N. J. 2012. Circulating 25-hydroxyvitamin D concentration and the risk of type 2 diabetes: results from the European Prospective Investigation into Cancer (EPIC)-Norfolk cohort and updated meta-analysis of prospective studies. </w:t>
      </w:r>
      <w:r w:rsidRPr="00041678">
        <w:rPr>
          <w:i/>
          <w:noProof/>
        </w:rPr>
        <w:t>Diabetologia,</w:t>
      </w:r>
      <w:r w:rsidRPr="00041678">
        <w:rPr>
          <w:noProof/>
        </w:rPr>
        <w:t xml:space="preserve"> 55</w:t>
      </w:r>
      <w:r w:rsidRPr="00041678">
        <w:rPr>
          <w:b/>
          <w:noProof/>
        </w:rPr>
        <w:t>,</w:t>
      </w:r>
      <w:r w:rsidRPr="00041678">
        <w:rPr>
          <w:noProof/>
        </w:rPr>
        <w:t xml:space="preserve"> 2173-82.</w:t>
      </w:r>
    </w:p>
    <w:p w14:paraId="127EEB2E" w14:textId="77777777" w:rsidR="00041678" w:rsidRPr="00041678" w:rsidRDefault="00041678" w:rsidP="00041678">
      <w:pPr>
        <w:pStyle w:val="EndNoteBibliography"/>
        <w:spacing w:after="0"/>
        <w:ind w:left="720" w:hanging="720"/>
        <w:rPr>
          <w:noProof/>
        </w:rPr>
      </w:pPr>
      <w:r w:rsidRPr="00041678">
        <w:rPr>
          <w:noProof/>
        </w:rPr>
        <w:t xml:space="preserve">GALOSI, E., LA CESA, S., DI STEFANO, G., KARLSSON, P., FASOLINO, A., LEONE, C., BIASIOTTA, A., CRUCCU, G. &amp; TRUINI, A. 2018. A pain in the skin. Regenerating nerve sprouts are distinctly associated with ongoing burning pain in patients with diabetes. </w:t>
      </w:r>
      <w:r w:rsidRPr="00041678">
        <w:rPr>
          <w:i/>
          <w:noProof/>
        </w:rPr>
        <w:t>Eur J Pain,</w:t>
      </w:r>
      <w:r w:rsidRPr="00041678">
        <w:rPr>
          <w:noProof/>
        </w:rPr>
        <w:t xml:space="preserve"> 22</w:t>
      </w:r>
      <w:r w:rsidRPr="00041678">
        <w:rPr>
          <w:b/>
          <w:noProof/>
        </w:rPr>
        <w:t>,</w:t>
      </w:r>
      <w:r w:rsidRPr="00041678">
        <w:rPr>
          <w:noProof/>
        </w:rPr>
        <w:t xml:space="preserve"> 1727-1734.</w:t>
      </w:r>
    </w:p>
    <w:p w14:paraId="523A75A8" w14:textId="77777777" w:rsidR="00041678" w:rsidRPr="00041678" w:rsidRDefault="00041678" w:rsidP="00041678">
      <w:pPr>
        <w:pStyle w:val="EndNoteBibliography"/>
        <w:spacing w:after="0"/>
        <w:ind w:left="720" w:hanging="720"/>
        <w:rPr>
          <w:noProof/>
        </w:rPr>
      </w:pPr>
      <w:r w:rsidRPr="00041678">
        <w:rPr>
          <w:noProof/>
        </w:rPr>
        <w:t xml:space="preserve">HAANPÄÄ, M., ATTAL, N., BACKONJA, M., BARON, R., BENNETT, M., BOUHASSIRA, D., CRUCCU, G., HANSSON, P., HAYTHORNTHWAITE, J. A., IANNETTI, G. D., JENSEN, T. S., KAUPPILA, T., NURMIKKO, T. J., RICE, A. S. C., ROWBOTHAM, M., SERRA, J., SOMMER, C., SMITH, B. H. &amp; TREEDE, R.-D. 2011. NeuPSIG guidelines on neuropathic pain assessment. </w:t>
      </w:r>
      <w:r w:rsidRPr="00041678">
        <w:rPr>
          <w:i/>
          <w:noProof/>
        </w:rPr>
        <w:t>Pain,</w:t>
      </w:r>
      <w:r w:rsidRPr="00041678">
        <w:rPr>
          <w:noProof/>
        </w:rPr>
        <w:t xml:space="preserve"> 152</w:t>
      </w:r>
      <w:r w:rsidRPr="00041678">
        <w:rPr>
          <w:b/>
          <w:noProof/>
        </w:rPr>
        <w:t>,</w:t>
      </w:r>
      <w:r w:rsidRPr="00041678">
        <w:rPr>
          <w:noProof/>
        </w:rPr>
        <w:t xml:space="preserve"> 14-27.</w:t>
      </w:r>
    </w:p>
    <w:p w14:paraId="1F7F48F9" w14:textId="77777777" w:rsidR="00041678" w:rsidRPr="00041678" w:rsidRDefault="00041678" w:rsidP="00041678">
      <w:pPr>
        <w:pStyle w:val="EndNoteBibliography"/>
        <w:spacing w:after="0"/>
        <w:ind w:left="720" w:hanging="720"/>
        <w:rPr>
          <w:noProof/>
        </w:rPr>
      </w:pPr>
      <w:r w:rsidRPr="00041678">
        <w:rPr>
          <w:noProof/>
        </w:rPr>
        <w:t xml:space="preserve">HARRIS, R. E., NAPADOW, V., HUGGINS, J. P., PAUER, L., KIM, J., HAMPSON, J., SUNDGREN, P. C., FOERSTER, B., PETROU, M., SCHMIDT-WILCKE, T. &amp; CLAUW, D. J. 2013. Pregabalin rectifies aberrant brain chemistry, connectivity, and functional response in chronic pain patients. </w:t>
      </w:r>
      <w:r w:rsidRPr="00041678">
        <w:rPr>
          <w:i/>
          <w:noProof/>
        </w:rPr>
        <w:t>Anesthesiology,</w:t>
      </w:r>
      <w:r w:rsidRPr="00041678">
        <w:rPr>
          <w:noProof/>
        </w:rPr>
        <w:t xml:space="preserve"> 119</w:t>
      </w:r>
      <w:r w:rsidRPr="00041678">
        <w:rPr>
          <w:b/>
          <w:noProof/>
        </w:rPr>
        <w:t>,</w:t>
      </w:r>
      <w:r w:rsidRPr="00041678">
        <w:rPr>
          <w:noProof/>
        </w:rPr>
        <w:t xml:space="preserve"> 1453.</w:t>
      </w:r>
    </w:p>
    <w:p w14:paraId="53A5B091" w14:textId="77777777" w:rsidR="00041678" w:rsidRPr="00041678" w:rsidRDefault="00041678" w:rsidP="00041678">
      <w:pPr>
        <w:pStyle w:val="EndNoteBibliography"/>
        <w:spacing w:after="0"/>
        <w:ind w:left="720" w:hanging="720"/>
        <w:rPr>
          <w:noProof/>
        </w:rPr>
      </w:pPr>
      <w:r w:rsidRPr="00041678">
        <w:rPr>
          <w:noProof/>
        </w:rPr>
        <w:t xml:space="preserve">HARRIS, R. E., SUNDGREN, P. C., CRAIG, A. D., KIRSHENBAUM, E., SEN, A., NAPADOW, V. &amp; CLAUW, D. J. 2009. Elevated insular glutamate in fibromyalgia is associated with experimental pain. </w:t>
      </w:r>
      <w:r w:rsidRPr="00041678">
        <w:rPr>
          <w:i/>
          <w:noProof/>
        </w:rPr>
        <w:t>Arthritis &amp;amp; Rheumatism,</w:t>
      </w:r>
      <w:r w:rsidRPr="00041678">
        <w:rPr>
          <w:noProof/>
        </w:rPr>
        <w:t xml:space="preserve"> 60</w:t>
      </w:r>
      <w:r w:rsidRPr="00041678">
        <w:rPr>
          <w:b/>
          <w:noProof/>
        </w:rPr>
        <w:t>,</w:t>
      </w:r>
      <w:r w:rsidRPr="00041678">
        <w:rPr>
          <w:noProof/>
        </w:rPr>
        <w:t xml:space="preserve"> 3146-3152.</w:t>
      </w:r>
    </w:p>
    <w:p w14:paraId="6744090E" w14:textId="77777777" w:rsidR="00041678" w:rsidRPr="00041678" w:rsidRDefault="00041678" w:rsidP="00041678">
      <w:pPr>
        <w:pStyle w:val="EndNoteBibliography"/>
        <w:spacing w:after="0"/>
        <w:ind w:left="720" w:hanging="720"/>
        <w:rPr>
          <w:noProof/>
        </w:rPr>
      </w:pPr>
      <w:r w:rsidRPr="00041678">
        <w:rPr>
          <w:noProof/>
        </w:rPr>
        <w:t xml:space="preserve">HASLER, G., VAN DER VEEN, J. W., TUMONIS, T., MEYERS, N., SHEN, J. &amp; DREVETS, W. C. 2007. Reduced prefrontal glutamate/glutamine and gamma-aminobutyric acid levels in major depression determined using proton magnetic resonance spectroscopy. </w:t>
      </w:r>
      <w:r w:rsidRPr="00041678">
        <w:rPr>
          <w:i/>
          <w:noProof/>
        </w:rPr>
        <w:t>Arch Gen Psychiatry,</w:t>
      </w:r>
      <w:r w:rsidRPr="00041678">
        <w:rPr>
          <w:noProof/>
        </w:rPr>
        <w:t xml:space="preserve"> 64</w:t>
      </w:r>
      <w:r w:rsidRPr="00041678">
        <w:rPr>
          <w:b/>
          <w:noProof/>
        </w:rPr>
        <w:t>,</w:t>
      </w:r>
      <w:r w:rsidRPr="00041678">
        <w:rPr>
          <w:noProof/>
        </w:rPr>
        <w:t xml:space="preserve"> 193-200.</w:t>
      </w:r>
    </w:p>
    <w:p w14:paraId="7435D0A6" w14:textId="77777777" w:rsidR="00041678" w:rsidRPr="00041678" w:rsidRDefault="00041678" w:rsidP="00041678">
      <w:pPr>
        <w:pStyle w:val="EndNoteBibliography"/>
        <w:spacing w:after="0"/>
        <w:ind w:left="720" w:hanging="720"/>
        <w:rPr>
          <w:noProof/>
        </w:rPr>
      </w:pPr>
      <w:r w:rsidRPr="00041678">
        <w:rPr>
          <w:noProof/>
        </w:rPr>
        <w:t xml:space="preserve">HIRADE, M., YASUDA, H., OMATSU-KANBE, M., KIKKAWA, R., KITASATO, H. &amp; OMATSU-KANBE, M. 1999. Tetrodotoxin- resistant sodium channels of dorsal root ganglion neurons are readily activated in diabetic rats. </w:t>
      </w:r>
      <w:r w:rsidRPr="00041678">
        <w:rPr>
          <w:i/>
          <w:noProof/>
        </w:rPr>
        <w:t>Neuroscience,</w:t>
      </w:r>
      <w:r w:rsidRPr="00041678">
        <w:rPr>
          <w:noProof/>
        </w:rPr>
        <w:t xml:space="preserve"> 90</w:t>
      </w:r>
      <w:r w:rsidRPr="00041678">
        <w:rPr>
          <w:b/>
          <w:noProof/>
        </w:rPr>
        <w:t>,</w:t>
      </w:r>
      <w:r w:rsidRPr="00041678">
        <w:rPr>
          <w:noProof/>
        </w:rPr>
        <w:t xml:space="preserve"> 933.</w:t>
      </w:r>
    </w:p>
    <w:p w14:paraId="6A211854" w14:textId="2312E24F" w:rsidR="00041678" w:rsidRPr="00041678" w:rsidRDefault="00041678" w:rsidP="00041678">
      <w:pPr>
        <w:pStyle w:val="EndNoteBibliography"/>
        <w:spacing w:after="0"/>
        <w:ind w:left="720" w:hanging="720"/>
        <w:rPr>
          <w:noProof/>
        </w:rPr>
      </w:pPr>
      <w:r w:rsidRPr="00041678">
        <w:rPr>
          <w:noProof/>
        </w:rPr>
        <w:t xml:space="preserve">HONG, S., AGRESTA, L., GUO, C. &amp; WILEY, J. W. 2008. The TRPV1 receptor is associated with preferential stress in large dorsal root ganglion neurons in early diabetic sensory neuropathy. </w:t>
      </w:r>
      <w:r w:rsidRPr="00041678">
        <w:rPr>
          <w:i/>
          <w:noProof/>
        </w:rPr>
        <w:t>J</w:t>
      </w:r>
      <w:r w:rsidR="00CF12DA">
        <w:rPr>
          <w:i/>
          <w:noProof/>
        </w:rPr>
        <w:t>. N</w:t>
      </w:r>
      <w:r w:rsidRPr="00041678">
        <w:rPr>
          <w:i/>
          <w:noProof/>
        </w:rPr>
        <w:t>eurochemistry,</w:t>
      </w:r>
      <w:r w:rsidRPr="00041678">
        <w:rPr>
          <w:noProof/>
        </w:rPr>
        <w:t xml:space="preserve"> 105</w:t>
      </w:r>
      <w:r w:rsidRPr="00041678">
        <w:rPr>
          <w:b/>
          <w:noProof/>
        </w:rPr>
        <w:t>,</w:t>
      </w:r>
      <w:r w:rsidRPr="00041678">
        <w:rPr>
          <w:noProof/>
        </w:rPr>
        <w:t xml:space="preserve"> 1212.</w:t>
      </w:r>
    </w:p>
    <w:p w14:paraId="1566073C" w14:textId="40D63D2D" w:rsidR="00041678" w:rsidRPr="00041678" w:rsidRDefault="00041678" w:rsidP="00041678">
      <w:pPr>
        <w:pStyle w:val="EndNoteBibliography"/>
        <w:spacing w:after="0"/>
        <w:ind w:left="720" w:hanging="720"/>
        <w:rPr>
          <w:noProof/>
        </w:rPr>
      </w:pPr>
      <w:r w:rsidRPr="00041678">
        <w:rPr>
          <w:noProof/>
        </w:rPr>
        <w:t>HORIE, K., MIYATA, T., MAEDA, K., MIYATA, S., SUGIYAMA, S., SAKAI, H., VAN YPERSOLE DE STRIHOU, C., MONNIER, V. M., WITZTUM, J. L., KUROKAWA, K. &amp; VAN YPERSOLE DE STRIHOU, C. 1997. Immunohistochemical colocalization of glycoxidation products and lipid peroxidation products in diabetic renal glomerular lesions. Implication for glycoxidative stress in the pathogenesis of diabetic nephropathy.</w:t>
      </w:r>
      <w:r w:rsidR="00CF12DA">
        <w:rPr>
          <w:noProof/>
        </w:rPr>
        <w:t xml:space="preserve"> </w:t>
      </w:r>
      <w:r w:rsidRPr="00041678">
        <w:rPr>
          <w:i/>
          <w:noProof/>
        </w:rPr>
        <w:t>J</w:t>
      </w:r>
      <w:r w:rsidR="00CF12DA">
        <w:rPr>
          <w:i/>
          <w:noProof/>
        </w:rPr>
        <w:t>. C</w:t>
      </w:r>
      <w:r w:rsidRPr="00041678">
        <w:rPr>
          <w:i/>
          <w:noProof/>
        </w:rPr>
        <w:t>linical investigation,</w:t>
      </w:r>
      <w:r w:rsidRPr="00041678">
        <w:rPr>
          <w:noProof/>
        </w:rPr>
        <w:t xml:space="preserve"> 100</w:t>
      </w:r>
      <w:r w:rsidRPr="00041678">
        <w:rPr>
          <w:b/>
          <w:noProof/>
        </w:rPr>
        <w:t>,</w:t>
      </w:r>
      <w:r w:rsidRPr="00041678">
        <w:rPr>
          <w:noProof/>
        </w:rPr>
        <w:t xml:space="preserve"> 2995.</w:t>
      </w:r>
    </w:p>
    <w:p w14:paraId="5EFE748F" w14:textId="6F3AC908" w:rsidR="00041678" w:rsidRPr="00041678" w:rsidRDefault="00041678" w:rsidP="00041678">
      <w:pPr>
        <w:pStyle w:val="EndNoteBibliography"/>
        <w:spacing w:after="0"/>
        <w:ind w:left="720" w:hanging="720"/>
        <w:rPr>
          <w:noProof/>
        </w:rPr>
      </w:pPr>
      <w:r w:rsidRPr="00041678">
        <w:rPr>
          <w:noProof/>
        </w:rPr>
        <w:t xml:space="preserve">HOTTA, N., TOYOTA, T., MATSUOKA, K., SHIGETA, Y., KIKKAWA, R., KANEKO, T., TAKAHASHI, A., SUGIMURA, K., KOIKE, Y., ISHII, J. &amp; SAKAMOTO, N. 2001. Clinical efficacy of fidarestat, a novel aldose reductase inhibitor, for diabetic peripheral neuropathy: a 52- week multicenter placebo- controlled double- blind parallel group study. </w:t>
      </w:r>
      <w:r w:rsidRPr="00041678">
        <w:rPr>
          <w:i/>
          <w:noProof/>
        </w:rPr>
        <w:t xml:space="preserve">Diabetes </w:t>
      </w:r>
      <w:r w:rsidR="00CF12DA">
        <w:rPr>
          <w:i/>
          <w:noProof/>
        </w:rPr>
        <w:t>C</w:t>
      </w:r>
      <w:r w:rsidRPr="00041678">
        <w:rPr>
          <w:i/>
          <w:noProof/>
        </w:rPr>
        <w:t>are,</w:t>
      </w:r>
      <w:r w:rsidRPr="00041678">
        <w:rPr>
          <w:noProof/>
        </w:rPr>
        <w:t xml:space="preserve"> 24</w:t>
      </w:r>
      <w:r w:rsidRPr="00041678">
        <w:rPr>
          <w:b/>
          <w:noProof/>
        </w:rPr>
        <w:t>,</w:t>
      </w:r>
      <w:r w:rsidRPr="00041678">
        <w:rPr>
          <w:noProof/>
        </w:rPr>
        <w:t xml:space="preserve"> 1776.</w:t>
      </w:r>
    </w:p>
    <w:p w14:paraId="21A8F39E" w14:textId="39845513" w:rsidR="00041678" w:rsidRPr="00041678" w:rsidRDefault="00041678" w:rsidP="00041678">
      <w:pPr>
        <w:pStyle w:val="EndNoteBibliography"/>
        <w:spacing w:after="0"/>
        <w:ind w:left="720" w:hanging="720"/>
        <w:rPr>
          <w:noProof/>
        </w:rPr>
      </w:pPr>
      <w:r w:rsidRPr="00041678">
        <w:rPr>
          <w:noProof/>
        </w:rPr>
        <w:t xml:space="preserve">HSU, W. C., CHIU, S. Y. H., YEN, A. M. F., CHEN, L. S., FANN, C. Y., LIAO, C. S., CHEN, H. H., HSU, W. C., CHIU, S. Y. H., YEN, A. M. F., CHEN, L. S., FANN, C. Y., LIAO, C. S. &amp; CHEN, H. H. 2012. Somatic neuropathy is an independent predictor of all- and diabetes- </w:t>
      </w:r>
      <w:r w:rsidRPr="00041678">
        <w:rPr>
          <w:noProof/>
        </w:rPr>
        <w:lastRenderedPageBreak/>
        <w:t xml:space="preserve">related mortality in type 2 diabetic patients: a population- based 5- year follow- up study (KCIS No. 29). </w:t>
      </w:r>
      <w:r w:rsidRPr="00041678">
        <w:rPr>
          <w:i/>
          <w:noProof/>
        </w:rPr>
        <w:t xml:space="preserve">Europ </w:t>
      </w:r>
      <w:r w:rsidR="00CF12DA">
        <w:rPr>
          <w:i/>
          <w:noProof/>
        </w:rPr>
        <w:t xml:space="preserve">J. </w:t>
      </w:r>
      <w:r w:rsidRPr="00041678">
        <w:rPr>
          <w:i/>
          <w:noProof/>
        </w:rPr>
        <w:t>neurology,</w:t>
      </w:r>
      <w:r w:rsidRPr="00041678">
        <w:rPr>
          <w:noProof/>
        </w:rPr>
        <w:t xml:space="preserve"> 19</w:t>
      </w:r>
      <w:r w:rsidRPr="00041678">
        <w:rPr>
          <w:b/>
          <w:noProof/>
        </w:rPr>
        <w:t>,</w:t>
      </w:r>
      <w:r w:rsidRPr="00041678">
        <w:rPr>
          <w:noProof/>
        </w:rPr>
        <w:t xml:space="preserve"> 1192.</w:t>
      </w:r>
    </w:p>
    <w:p w14:paraId="5692ECF0" w14:textId="77777777" w:rsidR="00041678" w:rsidRPr="00041678" w:rsidRDefault="00041678" w:rsidP="00041678">
      <w:pPr>
        <w:pStyle w:val="EndNoteBibliography"/>
        <w:spacing w:after="0"/>
        <w:ind w:left="720" w:hanging="720"/>
        <w:rPr>
          <w:noProof/>
        </w:rPr>
      </w:pPr>
      <w:r w:rsidRPr="00041678">
        <w:rPr>
          <w:noProof/>
        </w:rPr>
        <w:t xml:space="preserve">IBRAHIMPASIC, K. 2013. Alpha lipoic acid and glycaemic control in diabetic neuropathies at type 2 diabetes treatment. </w:t>
      </w:r>
      <w:r w:rsidRPr="00041678">
        <w:rPr>
          <w:i/>
          <w:noProof/>
        </w:rPr>
        <w:t>Medicinski arhiv,</w:t>
      </w:r>
      <w:r w:rsidRPr="00041678">
        <w:rPr>
          <w:noProof/>
        </w:rPr>
        <w:t xml:space="preserve"> 67</w:t>
      </w:r>
      <w:r w:rsidRPr="00041678">
        <w:rPr>
          <w:b/>
          <w:noProof/>
        </w:rPr>
        <w:t>,</w:t>
      </w:r>
      <w:r w:rsidRPr="00041678">
        <w:rPr>
          <w:noProof/>
        </w:rPr>
        <w:t xml:space="preserve"> 7.</w:t>
      </w:r>
    </w:p>
    <w:p w14:paraId="7EB5DB08" w14:textId="77777777" w:rsidR="00041678" w:rsidRPr="00041678" w:rsidRDefault="00041678" w:rsidP="00041678">
      <w:pPr>
        <w:pStyle w:val="EndNoteBibliography"/>
        <w:spacing w:after="0"/>
        <w:ind w:left="720" w:hanging="720"/>
        <w:rPr>
          <w:noProof/>
        </w:rPr>
      </w:pPr>
      <w:r w:rsidRPr="00041678">
        <w:rPr>
          <w:noProof/>
        </w:rPr>
        <w:t xml:space="preserve">ILNYTSKA, O., LYZOGUBOV, V. V., STEVENS, M. J., DREL, V. R., MASHTALIR, N., PACHER, P., YOREK, M. A. &amp; OBROSOVA, I. G. 2006. Poly( ADP- ribose) polymerase inhibition alleviates experimental diabetic sensory neuropathy. </w:t>
      </w:r>
      <w:r w:rsidRPr="00041678">
        <w:rPr>
          <w:i/>
          <w:noProof/>
        </w:rPr>
        <w:t>Diabetes,</w:t>
      </w:r>
      <w:r w:rsidRPr="00041678">
        <w:rPr>
          <w:noProof/>
        </w:rPr>
        <w:t xml:space="preserve"> 55</w:t>
      </w:r>
      <w:r w:rsidRPr="00041678">
        <w:rPr>
          <w:b/>
          <w:noProof/>
        </w:rPr>
        <w:t>,</w:t>
      </w:r>
      <w:r w:rsidRPr="00041678">
        <w:rPr>
          <w:noProof/>
        </w:rPr>
        <w:t xml:space="preserve"> 1686.</w:t>
      </w:r>
    </w:p>
    <w:p w14:paraId="60CCBED6" w14:textId="77777777" w:rsidR="00041678" w:rsidRPr="00041678" w:rsidRDefault="00041678" w:rsidP="00041678">
      <w:pPr>
        <w:pStyle w:val="EndNoteBibliography"/>
        <w:spacing w:after="0"/>
        <w:ind w:left="720" w:hanging="720"/>
        <w:rPr>
          <w:noProof/>
        </w:rPr>
      </w:pPr>
      <w:r w:rsidRPr="00041678">
        <w:rPr>
          <w:noProof/>
        </w:rPr>
        <w:t xml:space="preserve">INDO, Y. 2001. Molecular basis of congenital insensitivity to pain with anhidrosis ( CIPA): Mutations and polymorphisms in TRKA ( NTRK1) gene encoding the receptor tyrosine kinase for nerve growth factor. </w:t>
      </w:r>
      <w:r w:rsidRPr="00041678">
        <w:rPr>
          <w:i/>
          <w:noProof/>
        </w:rPr>
        <w:t>Human Mutation,</w:t>
      </w:r>
      <w:r w:rsidRPr="00041678">
        <w:rPr>
          <w:noProof/>
        </w:rPr>
        <w:t xml:space="preserve"> 18</w:t>
      </w:r>
      <w:r w:rsidRPr="00041678">
        <w:rPr>
          <w:b/>
          <w:noProof/>
        </w:rPr>
        <w:t>,</w:t>
      </w:r>
      <w:r w:rsidRPr="00041678">
        <w:rPr>
          <w:noProof/>
        </w:rPr>
        <w:t xml:space="preserve"> 462-471.</w:t>
      </w:r>
    </w:p>
    <w:p w14:paraId="3A627606" w14:textId="77777777" w:rsidR="00041678" w:rsidRPr="00041678" w:rsidRDefault="00041678" w:rsidP="00041678">
      <w:pPr>
        <w:pStyle w:val="EndNoteBibliography"/>
        <w:spacing w:after="0"/>
        <w:ind w:left="720" w:hanging="720"/>
        <w:rPr>
          <w:noProof/>
        </w:rPr>
      </w:pPr>
      <w:r w:rsidRPr="00041678">
        <w:rPr>
          <w:noProof/>
        </w:rPr>
        <w:t xml:space="preserve">JACK, M., RYALS, J. &amp; WRIGHT, D. 2011. Characterisation of glyoxalase I in a streptozocin- induced mouse model of diabetes with painful and insensate neuropathy. </w:t>
      </w:r>
      <w:r w:rsidRPr="00041678">
        <w:rPr>
          <w:i/>
          <w:noProof/>
        </w:rPr>
        <w:t>Clinical and Experimental Diabetes and Metabolism,</w:t>
      </w:r>
      <w:r w:rsidRPr="00041678">
        <w:rPr>
          <w:noProof/>
        </w:rPr>
        <w:t xml:space="preserve"> 54</w:t>
      </w:r>
      <w:r w:rsidRPr="00041678">
        <w:rPr>
          <w:b/>
          <w:noProof/>
        </w:rPr>
        <w:t>,</w:t>
      </w:r>
      <w:r w:rsidRPr="00041678">
        <w:rPr>
          <w:noProof/>
        </w:rPr>
        <w:t xml:space="preserve"> 2174-2182.</w:t>
      </w:r>
    </w:p>
    <w:p w14:paraId="6F8B8D99" w14:textId="77777777" w:rsidR="00041678" w:rsidRPr="00041678" w:rsidRDefault="00041678" w:rsidP="00041678">
      <w:pPr>
        <w:pStyle w:val="EndNoteBibliography"/>
        <w:spacing w:after="0"/>
        <w:ind w:left="720" w:hanging="720"/>
        <w:rPr>
          <w:noProof/>
        </w:rPr>
      </w:pPr>
      <w:r w:rsidRPr="00041678">
        <w:rPr>
          <w:noProof/>
        </w:rPr>
        <w:t xml:space="preserve">JHAVERI, M. D., ELMES, S. J. R., KENDALL, D. A. &amp; CHAPMAN, V. 2005. Inhibition of peripheral vanilloid TRPV1 receptors reduces noxious heat- evoked responses of dorsal horn neurons in naïve, carrageenan- inflamed and neuropathic rats. </w:t>
      </w:r>
      <w:r w:rsidRPr="00041678">
        <w:rPr>
          <w:i/>
          <w:noProof/>
        </w:rPr>
        <w:t>The European journal of neuroscience,</w:t>
      </w:r>
      <w:r w:rsidRPr="00041678">
        <w:rPr>
          <w:noProof/>
        </w:rPr>
        <w:t xml:space="preserve"> 22</w:t>
      </w:r>
      <w:r w:rsidRPr="00041678">
        <w:rPr>
          <w:b/>
          <w:noProof/>
        </w:rPr>
        <w:t>,</w:t>
      </w:r>
      <w:r w:rsidRPr="00041678">
        <w:rPr>
          <w:noProof/>
        </w:rPr>
        <w:t xml:space="preserve"> 361.</w:t>
      </w:r>
    </w:p>
    <w:p w14:paraId="709B8523" w14:textId="77777777" w:rsidR="00041678" w:rsidRPr="00041678" w:rsidRDefault="00041678" w:rsidP="00041678">
      <w:pPr>
        <w:pStyle w:val="EndNoteBibliography"/>
        <w:spacing w:after="0"/>
        <w:ind w:left="720" w:hanging="720"/>
        <w:rPr>
          <w:noProof/>
        </w:rPr>
      </w:pPr>
      <w:r w:rsidRPr="00041678">
        <w:rPr>
          <w:noProof/>
        </w:rPr>
        <w:t xml:space="preserve">JORDE, R. &amp; GRIMNES, G. 2011. Vitamin D and metabolic health with special reference to the effect of vitamin D on serum lipids. </w:t>
      </w:r>
      <w:r w:rsidRPr="00041678">
        <w:rPr>
          <w:i/>
          <w:noProof/>
        </w:rPr>
        <w:t>Prog Lipid Res,</w:t>
      </w:r>
      <w:r w:rsidRPr="00041678">
        <w:rPr>
          <w:noProof/>
        </w:rPr>
        <w:t xml:space="preserve"> 50</w:t>
      </w:r>
      <w:r w:rsidRPr="00041678">
        <w:rPr>
          <w:b/>
          <w:noProof/>
        </w:rPr>
        <w:t>,</w:t>
      </w:r>
      <w:r w:rsidRPr="00041678">
        <w:rPr>
          <w:noProof/>
        </w:rPr>
        <w:t xml:space="preserve"> 303-12.</w:t>
      </w:r>
    </w:p>
    <w:p w14:paraId="196B5D7D" w14:textId="77777777" w:rsidR="00041678" w:rsidRPr="00041678" w:rsidRDefault="00041678" w:rsidP="00041678">
      <w:pPr>
        <w:pStyle w:val="EndNoteBibliography"/>
        <w:spacing w:after="0"/>
        <w:ind w:left="720" w:hanging="720"/>
        <w:rPr>
          <w:noProof/>
        </w:rPr>
      </w:pPr>
      <w:r w:rsidRPr="00041678">
        <w:rPr>
          <w:noProof/>
        </w:rPr>
        <w:t xml:space="preserve">KENNEDY, W. R., WENDELSCHAFER-CRABB, G., JOHNSON, T. &amp; WENDELSCHAFER-CRABB, G. 1996. Quantitation of epidermal nerves in diabetic neuropathy. </w:t>
      </w:r>
      <w:r w:rsidRPr="00041678">
        <w:rPr>
          <w:i/>
          <w:noProof/>
        </w:rPr>
        <w:t>Neurology,</w:t>
      </w:r>
      <w:r w:rsidRPr="00041678">
        <w:rPr>
          <w:noProof/>
        </w:rPr>
        <w:t xml:space="preserve"> 47</w:t>
      </w:r>
      <w:r w:rsidRPr="00041678">
        <w:rPr>
          <w:b/>
          <w:noProof/>
        </w:rPr>
        <w:t>,</w:t>
      </w:r>
      <w:r w:rsidRPr="00041678">
        <w:rPr>
          <w:noProof/>
        </w:rPr>
        <w:t xml:space="preserve"> 1042.</w:t>
      </w:r>
    </w:p>
    <w:p w14:paraId="1D439D8F" w14:textId="77777777" w:rsidR="00041678" w:rsidRPr="00041678" w:rsidRDefault="00041678" w:rsidP="00041678">
      <w:pPr>
        <w:pStyle w:val="EndNoteBibliography"/>
        <w:spacing w:after="0"/>
        <w:ind w:left="720" w:hanging="720"/>
        <w:rPr>
          <w:noProof/>
        </w:rPr>
      </w:pPr>
      <w:r w:rsidRPr="00041678">
        <w:rPr>
          <w:noProof/>
        </w:rPr>
        <w:t xml:space="preserve">KHASAR, S. G., LIN, Y. H., MARTIN, A., DADGAR, J., MCMAHON, T., WANG, D., HUNDLE, B., ALEY, K. O., ISENBERG, W., MCCARTER, G., GREEN, P. G., HODGE, C. W., LEVINE, J. D. &amp; MESSING, R. O. 1999. A novel nociceptor signaling pathway revealed in protein kinase C epsilon mutant mice. </w:t>
      </w:r>
      <w:r w:rsidRPr="00041678">
        <w:rPr>
          <w:i/>
          <w:noProof/>
        </w:rPr>
        <w:t>Neuron,</w:t>
      </w:r>
      <w:r w:rsidRPr="00041678">
        <w:rPr>
          <w:noProof/>
        </w:rPr>
        <w:t xml:space="preserve"> 24</w:t>
      </w:r>
      <w:r w:rsidRPr="00041678">
        <w:rPr>
          <w:b/>
          <w:noProof/>
        </w:rPr>
        <w:t>,</w:t>
      </w:r>
      <w:r w:rsidRPr="00041678">
        <w:rPr>
          <w:noProof/>
        </w:rPr>
        <w:t xml:space="preserve"> 253.</w:t>
      </w:r>
    </w:p>
    <w:p w14:paraId="35A5A44D" w14:textId="77777777" w:rsidR="00041678" w:rsidRPr="00041678" w:rsidRDefault="00041678" w:rsidP="00041678">
      <w:pPr>
        <w:pStyle w:val="EndNoteBibliography"/>
        <w:spacing w:after="0"/>
        <w:ind w:left="720" w:hanging="720"/>
        <w:rPr>
          <w:noProof/>
        </w:rPr>
      </w:pPr>
      <w:r w:rsidRPr="00041678">
        <w:rPr>
          <w:noProof/>
        </w:rPr>
        <w:t xml:space="preserve">KHOMULA, E. V., VIATCHENKO-KARPINSKI, V. Y., BORISYUK, A. L., DUZHYY, D. E., BELAN, P. V., VOITENKO, N. V. &amp; VIATCHENKO-KARPINSKI, V. Y. 2013. Specific functioning of Cav3.2 T- type calcium and TRPV1 channels under different types of STZ- diabetic neuropathy. </w:t>
      </w:r>
      <w:r w:rsidRPr="00041678">
        <w:rPr>
          <w:i/>
          <w:noProof/>
        </w:rPr>
        <w:t>Biochimica et biophysica acta,</w:t>
      </w:r>
      <w:r w:rsidRPr="00041678">
        <w:rPr>
          <w:noProof/>
        </w:rPr>
        <w:t xml:space="preserve"> 1832</w:t>
      </w:r>
      <w:r w:rsidRPr="00041678">
        <w:rPr>
          <w:b/>
          <w:noProof/>
        </w:rPr>
        <w:t>,</w:t>
      </w:r>
      <w:r w:rsidRPr="00041678">
        <w:rPr>
          <w:noProof/>
        </w:rPr>
        <w:t xml:space="preserve"> 636.</w:t>
      </w:r>
    </w:p>
    <w:p w14:paraId="56857C1D" w14:textId="77777777" w:rsidR="00041678" w:rsidRPr="00041678" w:rsidRDefault="00041678" w:rsidP="00041678">
      <w:pPr>
        <w:pStyle w:val="EndNoteBibliography"/>
        <w:spacing w:after="0"/>
        <w:ind w:left="720" w:hanging="720"/>
        <w:rPr>
          <w:noProof/>
        </w:rPr>
      </w:pPr>
      <w:r w:rsidRPr="00041678">
        <w:rPr>
          <w:noProof/>
        </w:rPr>
        <w:t xml:space="preserve">KOYA, D. &amp; KING, G. L. 1998. Protein kinase C activation and the development of diabetic complications. </w:t>
      </w:r>
      <w:r w:rsidRPr="00041678">
        <w:rPr>
          <w:i/>
          <w:noProof/>
        </w:rPr>
        <w:t>Diabetes,</w:t>
      </w:r>
      <w:r w:rsidRPr="00041678">
        <w:rPr>
          <w:noProof/>
        </w:rPr>
        <w:t xml:space="preserve"> 47</w:t>
      </w:r>
      <w:r w:rsidRPr="00041678">
        <w:rPr>
          <w:b/>
          <w:noProof/>
        </w:rPr>
        <w:t>,</w:t>
      </w:r>
      <w:r w:rsidRPr="00041678">
        <w:rPr>
          <w:noProof/>
        </w:rPr>
        <w:t xml:space="preserve"> 859.</w:t>
      </w:r>
    </w:p>
    <w:p w14:paraId="71561270" w14:textId="77777777" w:rsidR="00041678" w:rsidRPr="00041678" w:rsidRDefault="00041678" w:rsidP="00041678">
      <w:pPr>
        <w:pStyle w:val="EndNoteBibliography"/>
        <w:spacing w:after="0"/>
        <w:ind w:left="720" w:hanging="720"/>
        <w:rPr>
          <w:noProof/>
        </w:rPr>
      </w:pPr>
      <w:r w:rsidRPr="00041678">
        <w:rPr>
          <w:noProof/>
        </w:rPr>
        <w:t xml:space="preserve">KUNUTSOR, S. K., APEKEY, T. A. &amp; STEUR, M. 2013. Vitamin D and risk of future hypertension: meta-analysis of 283,537 participants. </w:t>
      </w:r>
      <w:r w:rsidRPr="00041678">
        <w:rPr>
          <w:i/>
          <w:noProof/>
        </w:rPr>
        <w:t>Eur J Epidemiol,</w:t>
      </w:r>
      <w:r w:rsidRPr="00041678">
        <w:rPr>
          <w:noProof/>
        </w:rPr>
        <w:t xml:space="preserve"> 28</w:t>
      </w:r>
      <w:r w:rsidRPr="00041678">
        <w:rPr>
          <w:b/>
          <w:noProof/>
        </w:rPr>
        <w:t>,</w:t>
      </w:r>
      <w:r w:rsidRPr="00041678">
        <w:rPr>
          <w:noProof/>
        </w:rPr>
        <w:t xml:space="preserve"> 205-21.</w:t>
      </w:r>
    </w:p>
    <w:p w14:paraId="552496DE" w14:textId="38381B35" w:rsidR="00041678" w:rsidRPr="00041678" w:rsidRDefault="00041678" w:rsidP="00041678">
      <w:pPr>
        <w:pStyle w:val="EndNoteBibliography"/>
        <w:spacing w:after="0"/>
        <w:ind w:left="720" w:hanging="720"/>
        <w:rPr>
          <w:noProof/>
        </w:rPr>
      </w:pPr>
      <w:r w:rsidRPr="00041678">
        <w:rPr>
          <w:noProof/>
        </w:rPr>
        <w:t xml:space="preserve">LAMPERT, A., REILLY, A. O., REEH, P., LEFFLER, A. &amp; REILLY, A. O. 2010. Sodium channelopathies and pain. </w:t>
      </w:r>
      <w:r w:rsidRPr="00041678">
        <w:rPr>
          <w:i/>
          <w:noProof/>
        </w:rPr>
        <w:t>Pflügers Archiv : Europ</w:t>
      </w:r>
      <w:r w:rsidR="00CF12DA">
        <w:rPr>
          <w:i/>
          <w:noProof/>
        </w:rPr>
        <w:t xml:space="preserve"> J.</w:t>
      </w:r>
      <w:r w:rsidRPr="00041678">
        <w:rPr>
          <w:i/>
          <w:noProof/>
        </w:rPr>
        <w:t xml:space="preserve"> </w:t>
      </w:r>
      <w:r w:rsidR="00CF12DA">
        <w:rPr>
          <w:i/>
          <w:noProof/>
        </w:rPr>
        <w:t>P</w:t>
      </w:r>
      <w:r w:rsidRPr="00041678">
        <w:rPr>
          <w:i/>
          <w:noProof/>
        </w:rPr>
        <w:t>hysiology,</w:t>
      </w:r>
      <w:r w:rsidRPr="00041678">
        <w:rPr>
          <w:noProof/>
        </w:rPr>
        <w:t xml:space="preserve"> 460</w:t>
      </w:r>
      <w:r w:rsidRPr="00041678">
        <w:rPr>
          <w:b/>
          <w:noProof/>
        </w:rPr>
        <w:t>,</w:t>
      </w:r>
      <w:r w:rsidRPr="00041678">
        <w:rPr>
          <w:noProof/>
        </w:rPr>
        <w:t xml:space="preserve"> 249.</w:t>
      </w:r>
    </w:p>
    <w:p w14:paraId="4C02069F" w14:textId="54963D16" w:rsidR="00041678" w:rsidRPr="00041678" w:rsidRDefault="00041678" w:rsidP="00041678">
      <w:pPr>
        <w:pStyle w:val="EndNoteBibliography"/>
        <w:spacing w:after="0"/>
        <w:ind w:left="720" w:hanging="720"/>
        <w:rPr>
          <w:noProof/>
        </w:rPr>
      </w:pPr>
      <w:r w:rsidRPr="00041678">
        <w:rPr>
          <w:noProof/>
        </w:rPr>
        <w:t xml:space="preserve">LATREMOLIERE, A. &amp; WOOLF, C. J. 2009. Central Sensitization: A Generator of Pain Hypersensitivity by Central Neural Plasticity. </w:t>
      </w:r>
      <w:r w:rsidRPr="00041678">
        <w:rPr>
          <w:i/>
          <w:noProof/>
        </w:rPr>
        <w:t>J</w:t>
      </w:r>
      <w:r w:rsidR="00CF12DA">
        <w:rPr>
          <w:i/>
          <w:noProof/>
        </w:rPr>
        <w:t xml:space="preserve">. </w:t>
      </w:r>
      <w:r w:rsidRPr="00041678">
        <w:rPr>
          <w:i/>
          <w:noProof/>
        </w:rPr>
        <w:t xml:space="preserve"> Pain,</w:t>
      </w:r>
      <w:r w:rsidRPr="00041678">
        <w:rPr>
          <w:noProof/>
        </w:rPr>
        <w:t xml:space="preserve"> 10</w:t>
      </w:r>
      <w:r w:rsidRPr="00041678">
        <w:rPr>
          <w:b/>
          <w:noProof/>
        </w:rPr>
        <w:t>,</w:t>
      </w:r>
      <w:r w:rsidRPr="00041678">
        <w:rPr>
          <w:noProof/>
        </w:rPr>
        <w:t xml:space="preserve"> 895-926.</w:t>
      </w:r>
    </w:p>
    <w:p w14:paraId="1C38AF95" w14:textId="77777777" w:rsidR="00041678" w:rsidRPr="00041678" w:rsidRDefault="00041678" w:rsidP="00041678">
      <w:pPr>
        <w:pStyle w:val="EndNoteBibliography"/>
        <w:spacing w:after="0"/>
        <w:ind w:left="720" w:hanging="720"/>
        <w:rPr>
          <w:noProof/>
        </w:rPr>
      </w:pPr>
      <w:r w:rsidRPr="00041678">
        <w:rPr>
          <w:noProof/>
        </w:rPr>
        <w:t xml:space="preserve">LAURIA, G., HSIEH, S. T., JOHANSSON, O., KENNEDY, W. R., LEGER, J. M., MELLGREN, S. I., NOLAND, M., MERKIES, I. S. J., POLYDEFKIS, M., SMITH, A. G., SOMMER, C. &amp; VALLS-SOLE, J. 2010a. European Federation of Neurological Societies/ Peripheral Nerve Society Guideline on the use of skin biopsy in the diagnosis of small fiber neuropathy. Report of a joint task force of the European Federation of Neurological Societies and the Peripheral Nerve Society. </w:t>
      </w:r>
      <w:r w:rsidRPr="00041678">
        <w:rPr>
          <w:i/>
          <w:noProof/>
        </w:rPr>
        <w:t>J. Peripher. Nerv. Syst.,</w:t>
      </w:r>
      <w:r w:rsidRPr="00041678">
        <w:rPr>
          <w:noProof/>
        </w:rPr>
        <w:t xml:space="preserve"> 15</w:t>
      </w:r>
      <w:r w:rsidRPr="00041678">
        <w:rPr>
          <w:b/>
          <w:noProof/>
        </w:rPr>
        <w:t>,</w:t>
      </w:r>
      <w:r w:rsidRPr="00041678">
        <w:rPr>
          <w:noProof/>
        </w:rPr>
        <w:t xml:space="preserve"> 79-92.</w:t>
      </w:r>
    </w:p>
    <w:p w14:paraId="29D3DA53" w14:textId="77777777" w:rsidR="00041678" w:rsidRPr="00041678" w:rsidRDefault="00041678" w:rsidP="00041678">
      <w:pPr>
        <w:pStyle w:val="EndNoteBibliography"/>
        <w:spacing w:after="0"/>
        <w:ind w:left="720" w:hanging="720"/>
        <w:rPr>
          <w:noProof/>
        </w:rPr>
      </w:pPr>
      <w:r w:rsidRPr="00041678">
        <w:rPr>
          <w:noProof/>
        </w:rPr>
        <w:t xml:space="preserve">LAURIA, G., HSIEH, S. T., JOHANSSON, O., KENNEDY, W. R., LEGER, J. M., MELLGREN, S. I., NOLANO, M., MERKIES, I. S. J., POLYDEFKIS, M., SMITH, A. G., SOMMER, C. &amp; VALLS-SOLE, J. 2010b. European Federation of Neurological Societies/ Peripheral Nerve Society Guideline on the use of skin biopsy in the diagnosis of small fiber </w:t>
      </w:r>
      <w:r w:rsidRPr="00041678">
        <w:rPr>
          <w:noProof/>
        </w:rPr>
        <w:lastRenderedPageBreak/>
        <w:t xml:space="preserve">neuropathy. Report of a joint task force of the European Fe-deration of Neurological Societies and the Peripheral Nerve Society. </w:t>
      </w:r>
      <w:r w:rsidRPr="00041678">
        <w:rPr>
          <w:i/>
          <w:noProof/>
        </w:rPr>
        <w:t>Eur. J. Neurol.,</w:t>
      </w:r>
      <w:r w:rsidRPr="00041678">
        <w:rPr>
          <w:noProof/>
        </w:rPr>
        <w:t xml:space="preserve"> 17</w:t>
      </w:r>
      <w:r w:rsidRPr="00041678">
        <w:rPr>
          <w:b/>
          <w:noProof/>
        </w:rPr>
        <w:t>,</w:t>
      </w:r>
      <w:r w:rsidRPr="00041678">
        <w:rPr>
          <w:noProof/>
        </w:rPr>
        <w:t xml:space="preserve"> 903-E49.</w:t>
      </w:r>
    </w:p>
    <w:p w14:paraId="54DE436D" w14:textId="77777777" w:rsidR="00041678" w:rsidRPr="00041678" w:rsidRDefault="00041678" w:rsidP="00041678">
      <w:pPr>
        <w:pStyle w:val="EndNoteBibliography"/>
        <w:spacing w:after="0"/>
        <w:ind w:left="720" w:hanging="720"/>
        <w:rPr>
          <w:noProof/>
        </w:rPr>
      </w:pPr>
      <w:r w:rsidRPr="00041678">
        <w:rPr>
          <w:noProof/>
        </w:rPr>
        <w:t xml:space="preserve">LU, C., YANG, T., ZHAO, H., ZHANG, M., MENG, F., FU, H., XIE, Y. &amp; XU, H. 2016. Insular Cortex is Critical for the Perception, Modulation, and Chronification of Pain. </w:t>
      </w:r>
      <w:r w:rsidRPr="00041678">
        <w:rPr>
          <w:i/>
          <w:noProof/>
        </w:rPr>
        <w:t>Neurosci Bull,</w:t>
      </w:r>
      <w:r w:rsidRPr="00041678">
        <w:rPr>
          <w:noProof/>
        </w:rPr>
        <w:t xml:space="preserve"> 32</w:t>
      </w:r>
      <w:r w:rsidRPr="00041678">
        <w:rPr>
          <w:b/>
          <w:noProof/>
        </w:rPr>
        <w:t>,</w:t>
      </w:r>
      <w:r w:rsidRPr="00041678">
        <w:rPr>
          <w:noProof/>
        </w:rPr>
        <w:t xml:space="preserve"> 191-201.</w:t>
      </w:r>
    </w:p>
    <w:p w14:paraId="7131A477" w14:textId="77777777" w:rsidR="00041678" w:rsidRPr="00041678" w:rsidRDefault="00041678" w:rsidP="00041678">
      <w:pPr>
        <w:pStyle w:val="EndNoteBibliography"/>
        <w:spacing w:after="0"/>
        <w:ind w:left="720" w:hanging="720"/>
        <w:rPr>
          <w:noProof/>
        </w:rPr>
      </w:pPr>
      <w:r w:rsidRPr="00041678">
        <w:rPr>
          <w:noProof/>
        </w:rPr>
        <w:t xml:space="preserve">LV, W. S., ZHAO, W. J., GONG, S. L., FANG, D. D., WANG, B., FU, Z. J., YAN, S. L. &amp; WANG, Y. G. 2015. Serum 25-hydroxyvitamin D levels and peripheral neuropathy in patients with type 2 diabetes: a systematic review and meta-analysis. </w:t>
      </w:r>
      <w:r w:rsidRPr="00041678">
        <w:rPr>
          <w:i/>
          <w:noProof/>
        </w:rPr>
        <w:t>J Endocrinol Invest,</w:t>
      </w:r>
      <w:r w:rsidRPr="00041678">
        <w:rPr>
          <w:noProof/>
        </w:rPr>
        <w:t xml:space="preserve"> 38</w:t>
      </w:r>
      <w:r w:rsidRPr="00041678">
        <w:rPr>
          <w:b/>
          <w:noProof/>
        </w:rPr>
        <w:t>,</w:t>
      </w:r>
      <w:r w:rsidRPr="00041678">
        <w:rPr>
          <w:noProof/>
        </w:rPr>
        <w:t xml:space="preserve"> 513-8.</w:t>
      </w:r>
    </w:p>
    <w:p w14:paraId="0F44C6C7" w14:textId="77777777" w:rsidR="00041678" w:rsidRPr="00041678" w:rsidRDefault="00041678" w:rsidP="00041678">
      <w:pPr>
        <w:pStyle w:val="EndNoteBibliography"/>
        <w:spacing w:after="0"/>
        <w:ind w:left="720" w:hanging="720"/>
        <w:rPr>
          <w:noProof/>
        </w:rPr>
      </w:pPr>
      <w:r w:rsidRPr="00041678">
        <w:rPr>
          <w:noProof/>
        </w:rPr>
        <w:t xml:space="preserve">MACDONALD, H. M., MAVROEIDI, A., BARR, R., BLACK, A., FRASER, W. &amp; REID, D. M. 2008. Vitamin D status in postmenopausal women living at higher latitudes in the UK in relation to bone health, overweight, sunlight exposure and dietary vitamin D. </w:t>
      </w:r>
      <w:r w:rsidRPr="00041678">
        <w:rPr>
          <w:i/>
          <w:noProof/>
        </w:rPr>
        <w:t>Bone,</w:t>
      </w:r>
      <w:r w:rsidRPr="00041678">
        <w:rPr>
          <w:noProof/>
        </w:rPr>
        <w:t xml:space="preserve"> 42</w:t>
      </w:r>
      <w:r w:rsidRPr="00041678">
        <w:rPr>
          <w:b/>
          <w:noProof/>
        </w:rPr>
        <w:t>,</w:t>
      </w:r>
      <w:r w:rsidRPr="00041678">
        <w:rPr>
          <w:noProof/>
        </w:rPr>
        <w:t xml:space="preserve"> 996-1003.</w:t>
      </w:r>
    </w:p>
    <w:p w14:paraId="484E49CE" w14:textId="77777777" w:rsidR="00041678" w:rsidRPr="00041678" w:rsidRDefault="00041678" w:rsidP="00041678">
      <w:pPr>
        <w:pStyle w:val="EndNoteBibliography"/>
        <w:spacing w:after="0"/>
        <w:ind w:left="720" w:hanging="720"/>
        <w:rPr>
          <w:noProof/>
        </w:rPr>
      </w:pPr>
      <w:r w:rsidRPr="00041678">
        <w:rPr>
          <w:noProof/>
        </w:rPr>
        <w:t xml:space="preserve">MANTYH, P. W., KOLTZENBURG, M., MENDELL, L. M., TIVE, L. &amp; SHELTON, D. L. 2011. Antagonism of nerve growth factor-TrkA signaling and the relief of pain. </w:t>
      </w:r>
      <w:r w:rsidRPr="00041678">
        <w:rPr>
          <w:i/>
          <w:noProof/>
        </w:rPr>
        <w:t>Anesthesiology,</w:t>
      </w:r>
      <w:r w:rsidRPr="00041678">
        <w:rPr>
          <w:noProof/>
        </w:rPr>
        <w:t xml:space="preserve"> 115</w:t>
      </w:r>
      <w:r w:rsidRPr="00041678">
        <w:rPr>
          <w:b/>
          <w:noProof/>
        </w:rPr>
        <w:t>,</w:t>
      </w:r>
      <w:r w:rsidRPr="00041678">
        <w:rPr>
          <w:noProof/>
        </w:rPr>
        <w:t xml:space="preserve"> 189-204.</w:t>
      </w:r>
    </w:p>
    <w:p w14:paraId="4C5601FB" w14:textId="77777777" w:rsidR="00041678" w:rsidRPr="00041678" w:rsidRDefault="00041678" w:rsidP="00041678">
      <w:pPr>
        <w:pStyle w:val="EndNoteBibliography"/>
        <w:spacing w:after="0"/>
        <w:ind w:left="720" w:hanging="720"/>
        <w:rPr>
          <w:noProof/>
        </w:rPr>
      </w:pPr>
      <w:r w:rsidRPr="00041678">
        <w:rPr>
          <w:noProof/>
        </w:rPr>
        <w:t xml:space="preserve">MATHERS, C. D. &amp; LONCAR, D. 2006. Projections of global mortality and burden of disease from 2002 to 2030. </w:t>
      </w:r>
      <w:r w:rsidRPr="00041678">
        <w:rPr>
          <w:i/>
          <w:noProof/>
        </w:rPr>
        <w:t>PLoS Med,</w:t>
      </w:r>
      <w:r w:rsidRPr="00041678">
        <w:rPr>
          <w:noProof/>
        </w:rPr>
        <w:t xml:space="preserve"> 3</w:t>
      </w:r>
      <w:r w:rsidRPr="00041678">
        <w:rPr>
          <w:b/>
          <w:noProof/>
        </w:rPr>
        <w:t>,</w:t>
      </w:r>
      <w:r w:rsidRPr="00041678">
        <w:rPr>
          <w:noProof/>
        </w:rPr>
        <w:t xml:space="preserve"> e442.</w:t>
      </w:r>
    </w:p>
    <w:p w14:paraId="63113BB6" w14:textId="77777777" w:rsidR="00041678" w:rsidRPr="00041678" w:rsidRDefault="00041678" w:rsidP="00041678">
      <w:pPr>
        <w:pStyle w:val="EndNoteBibliography"/>
        <w:spacing w:after="0"/>
        <w:ind w:left="720" w:hanging="720"/>
        <w:rPr>
          <w:noProof/>
        </w:rPr>
      </w:pPr>
      <w:r w:rsidRPr="00041678">
        <w:rPr>
          <w:noProof/>
        </w:rPr>
        <w:t xml:space="preserve">MCILDUFF, C. E. &amp; RUTKOVE, S. B. 2011. Critical appraisal of the use of alpha lipoic acid ( thioctic acid) in the treatment of symptomatic diabetic polyneuropathy. </w:t>
      </w:r>
      <w:r w:rsidRPr="00041678">
        <w:rPr>
          <w:i/>
          <w:noProof/>
        </w:rPr>
        <w:t>Therapeutics and clinical risk management,</w:t>
      </w:r>
      <w:r w:rsidRPr="00041678">
        <w:rPr>
          <w:noProof/>
        </w:rPr>
        <w:t xml:space="preserve"> 7</w:t>
      </w:r>
      <w:r w:rsidRPr="00041678">
        <w:rPr>
          <w:b/>
          <w:noProof/>
        </w:rPr>
        <w:t>,</w:t>
      </w:r>
      <w:r w:rsidRPr="00041678">
        <w:rPr>
          <w:noProof/>
        </w:rPr>
        <w:t xml:space="preserve"> 377.</w:t>
      </w:r>
    </w:p>
    <w:p w14:paraId="75C26429" w14:textId="77777777" w:rsidR="00041678" w:rsidRPr="00041678" w:rsidRDefault="00041678" w:rsidP="00041678">
      <w:pPr>
        <w:pStyle w:val="EndNoteBibliography"/>
        <w:spacing w:after="0"/>
        <w:ind w:left="720" w:hanging="720"/>
        <w:rPr>
          <w:noProof/>
        </w:rPr>
      </w:pPr>
      <w:r w:rsidRPr="00041678">
        <w:rPr>
          <w:noProof/>
        </w:rPr>
        <w:t xml:space="preserve">MESCHER, M., MERKLE, H., KIRSCH, J., GARWOOD, M. &amp; GRUETTER, R. 1998. Simultaneous in vivo spectral editing and water suppression. </w:t>
      </w:r>
      <w:r w:rsidRPr="00041678">
        <w:rPr>
          <w:i/>
          <w:noProof/>
        </w:rPr>
        <w:t>NMR Biomed,</w:t>
      </w:r>
      <w:r w:rsidRPr="00041678">
        <w:rPr>
          <w:noProof/>
        </w:rPr>
        <w:t xml:space="preserve"> 11</w:t>
      </w:r>
      <w:r w:rsidRPr="00041678">
        <w:rPr>
          <w:b/>
          <w:noProof/>
        </w:rPr>
        <w:t>,</w:t>
      </w:r>
      <w:r w:rsidRPr="00041678">
        <w:rPr>
          <w:noProof/>
        </w:rPr>
        <w:t xml:space="preserve"> 266-72.</w:t>
      </w:r>
    </w:p>
    <w:p w14:paraId="108EA16D" w14:textId="77777777" w:rsidR="00041678" w:rsidRPr="00041678" w:rsidRDefault="00041678" w:rsidP="00041678">
      <w:pPr>
        <w:pStyle w:val="EndNoteBibliography"/>
        <w:spacing w:after="0"/>
        <w:ind w:left="720" w:hanging="720"/>
        <w:rPr>
          <w:noProof/>
        </w:rPr>
      </w:pPr>
      <w:r w:rsidRPr="00041678">
        <w:rPr>
          <w:noProof/>
        </w:rPr>
        <w:t xml:space="preserve">MICHAEL, G. J., AVERILL, S., NITKUNAN, A., RATTRAY, M., BENNETT, D. L. H., YAN, Q. &amp; PRIESTLEY, J. V. 1997. Nerve growth factor treatment increases brain- derived neurotrophic factor selectively in TrkA- expressing dorsal root ganglion cells and in their central terminations within the spinal cord. </w:t>
      </w:r>
      <w:r w:rsidRPr="00041678">
        <w:rPr>
          <w:i/>
          <w:noProof/>
        </w:rPr>
        <w:t>J. Neurosci.,</w:t>
      </w:r>
      <w:r w:rsidRPr="00041678">
        <w:rPr>
          <w:noProof/>
        </w:rPr>
        <w:t xml:space="preserve"> 17</w:t>
      </w:r>
      <w:r w:rsidRPr="00041678">
        <w:rPr>
          <w:b/>
          <w:noProof/>
        </w:rPr>
        <w:t>,</w:t>
      </w:r>
      <w:r w:rsidRPr="00041678">
        <w:rPr>
          <w:noProof/>
        </w:rPr>
        <w:t xml:space="preserve"> 8476-8490.</w:t>
      </w:r>
    </w:p>
    <w:p w14:paraId="1B0CEEE0" w14:textId="77777777" w:rsidR="00041678" w:rsidRPr="00041678" w:rsidRDefault="00041678" w:rsidP="00041678">
      <w:pPr>
        <w:pStyle w:val="EndNoteBibliography"/>
        <w:spacing w:after="0"/>
        <w:ind w:left="720" w:hanging="720"/>
        <w:rPr>
          <w:noProof/>
        </w:rPr>
      </w:pPr>
      <w:r w:rsidRPr="00041678">
        <w:rPr>
          <w:noProof/>
        </w:rPr>
        <w:t xml:space="preserve">MIJNHOUT, G. S., KOLLEN, B. J., ALKHALAF, A., KLEEFSTRA, N. &amp; BILO, H. J. G. 2012. Alpha Lipoic Acid for Symptomatic Peripheral Neuropathy in Patients with Diabetes: A Meta- Analysis of Randomized Controlled Trials. </w:t>
      </w:r>
      <w:r w:rsidRPr="00041678">
        <w:rPr>
          <w:i/>
          <w:noProof/>
        </w:rPr>
        <w:t>International Journal of Endocrinology,</w:t>
      </w:r>
      <w:r w:rsidRPr="00041678">
        <w:rPr>
          <w:noProof/>
        </w:rPr>
        <w:t xml:space="preserve"> 2012.</w:t>
      </w:r>
    </w:p>
    <w:p w14:paraId="4DD6AA95" w14:textId="77777777" w:rsidR="00041678" w:rsidRPr="00041678" w:rsidRDefault="00041678" w:rsidP="00041678">
      <w:pPr>
        <w:pStyle w:val="EndNoteBibliography"/>
        <w:spacing w:after="0"/>
        <w:ind w:left="720" w:hanging="720"/>
        <w:rPr>
          <w:noProof/>
        </w:rPr>
      </w:pPr>
      <w:r w:rsidRPr="00041678">
        <w:rPr>
          <w:noProof/>
        </w:rPr>
        <w:t xml:space="preserve">MIKKELSEN, M., BARKER, P. B., BHATTACHARYYA, P. K., BRIX, M. K., BUUR, P. F., CECIL, K. M., CHAN, K. L., CHEN, D. Y., CRAVEN, A. R., CUYPERS, K., DACKO, M., DUNCAN, N. W., DYDAK, U., EDMONDSON, D. A., ENDE, G., ERSLAND, L., GAO, F., GREENHOUSE, I., HARRIS, A. D., HE, N., HEBA, S., HOGGARD, N., HSU, T. W., JANSEN, J. F. A., KANGARLU, A., LANGE, T., LEBEL, R. M., LI, Y., LIN, C. E., LIOU, J. K., LIRNG, J. F., LIU, F., MA, R., MAES, C., MORENO-ORTEGA, M., MURRAY, S. O., NOAH, S., NOESKE, R., NOSEWORTHY, M. D., OELTZSCHNER, G., PRISCIANDARO, J. J., PUTS, N. A. J., ROBERTS, T. P. L., SACK, M., SAILASUTA, N., SALEH, M. G., SCHALLMO, M. P., SIMARD, N., SWINNEN, S. P., TEGENTHOFF, M., TRUONG, P., WANG, G., WILKINSON, I. D., WITTSACK, H. J., XU, H., YAN, F., ZHANG, C., ZIPUNNIKOV, V., ZÖLLNER, H. J. &amp; EDDEN, R. A. E. 2017. Big GABA: Edited MR spectroscopy at 24 research sites. </w:t>
      </w:r>
      <w:r w:rsidRPr="00041678">
        <w:rPr>
          <w:i/>
          <w:noProof/>
        </w:rPr>
        <w:t>Neuroimage,</w:t>
      </w:r>
      <w:r w:rsidRPr="00041678">
        <w:rPr>
          <w:noProof/>
        </w:rPr>
        <w:t xml:space="preserve"> 159</w:t>
      </w:r>
      <w:r w:rsidRPr="00041678">
        <w:rPr>
          <w:b/>
          <w:noProof/>
        </w:rPr>
        <w:t>,</w:t>
      </w:r>
      <w:r w:rsidRPr="00041678">
        <w:rPr>
          <w:noProof/>
        </w:rPr>
        <w:t xml:space="preserve"> 32-45.</w:t>
      </w:r>
    </w:p>
    <w:p w14:paraId="36CE374D" w14:textId="317245EB" w:rsidR="00041678" w:rsidRPr="00041678" w:rsidRDefault="00041678" w:rsidP="00041678">
      <w:pPr>
        <w:pStyle w:val="EndNoteBibliography"/>
        <w:spacing w:after="0"/>
        <w:ind w:left="720" w:hanging="720"/>
        <w:rPr>
          <w:noProof/>
        </w:rPr>
      </w:pPr>
      <w:r w:rsidRPr="00041678">
        <w:rPr>
          <w:noProof/>
        </w:rPr>
        <w:t xml:space="preserve">MOULIK, P. K., MTONGA, R. &amp; GILL, G. V. 2003. Amputation and mortality in new- onset diabetic foot ulcers stratified by etiology. </w:t>
      </w:r>
      <w:r w:rsidRPr="00041678">
        <w:rPr>
          <w:i/>
          <w:noProof/>
        </w:rPr>
        <w:t xml:space="preserve">Diabetes </w:t>
      </w:r>
      <w:r w:rsidR="00CF12DA">
        <w:rPr>
          <w:i/>
          <w:noProof/>
        </w:rPr>
        <w:t>C</w:t>
      </w:r>
      <w:r w:rsidRPr="00041678">
        <w:rPr>
          <w:i/>
          <w:noProof/>
        </w:rPr>
        <w:t>are,</w:t>
      </w:r>
      <w:r w:rsidRPr="00041678">
        <w:rPr>
          <w:noProof/>
        </w:rPr>
        <w:t xml:space="preserve"> 26</w:t>
      </w:r>
      <w:r w:rsidRPr="00041678">
        <w:rPr>
          <w:b/>
          <w:noProof/>
        </w:rPr>
        <w:t>,</w:t>
      </w:r>
      <w:r w:rsidRPr="00041678">
        <w:rPr>
          <w:noProof/>
        </w:rPr>
        <w:t xml:space="preserve"> 491.</w:t>
      </w:r>
    </w:p>
    <w:p w14:paraId="694A74A5" w14:textId="14C5FDEA" w:rsidR="00041678" w:rsidRPr="00041678" w:rsidRDefault="00041678" w:rsidP="00041678">
      <w:pPr>
        <w:pStyle w:val="EndNoteBibliography"/>
        <w:spacing w:after="0"/>
        <w:ind w:left="720" w:hanging="720"/>
        <w:rPr>
          <w:noProof/>
        </w:rPr>
      </w:pPr>
      <w:r w:rsidRPr="00041678">
        <w:rPr>
          <w:noProof/>
        </w:rPr>
        <w:lastRenderedPageBreak/>
        <w:t xml:space="preserve">NANGLE, M. R., COTTER, M. A. &amp; CAMERON, N. E. 2004. Effects of the peroxynitrite decomposition catalyst, FeTMPyP, on function of corpus cavernosum from diabetic mice. </w:t>
      </w:r>
      <w:r w:rsidRPr="00041678">
        <w:rPr>
          <w:i/>
          <w:noProof/>
        </w:rPr>
        <w:t>Europ</w:t>
      </w:r>
      <w:r w:rsidR="00CF12DA">
        <w:rPr>
          <w:i/>
          <w:noProof/>
        </w:rPr>
        <w:t xml:space="preserve"> </w:t>
      </w:r>
      <w:r w:rsidRPr="00041678">
        <w:rPr>
          <w:i/>
          <w:noProof/>
        </w:rPr>
        <w:t>J</w:t>
      </w:r>
      <w:r w:rsidR="00CF12DA">
        <w:rPr>
          <w:i/>
          <w:noProof/>
        </w:rPr>
        <w:t xml:space="preserve">. </w:t>
      </w:r>
      <w:r w:rsidRPr="00041678">
        <w:rPr>
          <w:i/>
          <w:noProof/>
        </w:rPr>
        <w:t xml:space="preserve"> Pharmacology,</w:t>
      </w:r>
      <w:r w:rsidRPr="00041678">
        <w:rPr>
          <w:noProof/>
        </w:rPr>
        <w:t xml:space="preserve"> 502</w:t>
      </w:r>
      <w:r w:rsidRPr="00041678">
        <w:rPr>
          <w:b/>
          <w:noProof/>
        </w:rPr>
        <w:t>,</w:t>
      </w:r>
      <w:r w:rsidRPr="00041678">
        <w:rPr>
          <w:noProof/>
        </w:rPr>
        <w:t xml:space="preserve"> 143-148.</w:t>
      </w:r>
    </w:p>
    <w:p w14:paraId="0CC53C36" w14:textId="3154B62D" w:rsidR="00041678" w:rsidRPr="00041678" w:rsidRDefault="00041678" w:rsidP="00041678">
      <w:pPr>
        <w:pStyle w:val="EndNoteBibliography"/>
        <w:spacing w:after="0"/>
        <w:ind w:left="720" w:hanging="720"/>
        <w:rPr>
          <w:noProof/>
        </w:rPr>
      </w:pPr>
      <w:r w:rsidRPr="00041678">
        <w:rPr>
          <w:noProof/>
        </w:rPr>
        <w:t xml:space="preserve">NARAYANASWAMY, H., FACER, P., MISRA, V. P., TIMMERS, M., BYTTEBIER, G., MEERT, T. &amp; ANAND, P. 2012. A longitudinal study of sensory biomarkers of progression in patients with diabetic peripheral neuropathy using skin biopsies. </w:t>
      </w:r>
      <w:r w:rsidRPr="00041678">
        <w:rPr>
          <w:i/>
          <w:noProof/>
        </w:rPr>
        <w:t>J</w:t>
      </w:r>
      <w:r w:rsidR="00CF12DA">
        <w:rPr>
          <w:i/>
          <w:noProof/>
        </w:rPr>
        <w:t>.</w:t>
      </w:r>
      <w:r w:rsidRPr="00041678">
        <w:rPr>
          <w:i/>
          <w:noProof/>
        </w:rPr>
        <w:t xml:space="preserve"> </w:t>
      </w:r>
      <w:r w:rsidR="00CF12DA">
        <w:rPr>
          <w:i/>
          <w:noProof/>
        </w:rPr>
        <w:t>C</w:t>
      </w:r>
      <w:r w:rsidRPr="00041678">
        <w:rPr>
          <w:i/>
          <w:noProof/>
        </w:rPr>
        <w:t>linical neuroscience,</w:t>
      </w:r>
      <w:r w:rsidRPr="00041678">
        <w:rPr>
          <w:noProof/>
        </w:rPr>
        <w:t xml:space="preserve"> 19</w:t>
      </w:r>
      <w:r w:rsidRPr="00041678">
        <w:rPr>
          <w:b/>
          <w:noProof/>
        </w:rPr>
        <w:t>,</w:t>
      </w:r>
      <w:r w:rsidRPr="00041678">
        <w:rPr>
          <w:noProof/>
        </w:rPr>
        <w:t xml:space="preserve"> 1490.</w:t>
      </w:r>
    </w:p>
    <w:p w14:paraId="3870AA2A" w14:textId="77777777" w:rsidR="00041678" w:rsidRPr="00041678" w:rsidRDefault="00041678" w:rsidP="00041678">
      <w:pPr>
        <w:pStyle w:val="EndNoteBibliography"/>
        <w:spacing w:after="0"/>
        <w:ind w:left="720" w:hanging="720"/>
        <w:rPr>
          <w:noProof/>
        </w:rPr>
      </w:pPr>
      <w:r w:rsidRPr="00041678">
        <w:rPr>
          <w:noProof/>
        </w:rPr>
        <w:t xml:space="preserve">NAVARRO, X., SUTHERLAND, D. E. &amp; KENNEDY, W. R. 1997. Long- term effects of pancreatic transplantation on diabetic neuropathy. </w:t>
      </w:r>
      <w:r w:rsidRPr="00041678">
        <w:rPr>
          <w:i/>
          <w:noProof/>
        </w:rPr>
        <w:t>Annals of neurology,</w:t>
      </w:r>
      <w:r w:rsidRPr="00041678">
        <w:rPr>
          <w:noProof/>
        </w:rPr>
        <w:t xml:space="preserve"> 42</w:t>
      </w:r>
      <w:r w:rsidRPr="00041678">
        <w:rPr>
          <w:b/>
          <w:noProof/>
        </w:rPr>
        <w:t>,</w:t>
      </w:r>
      <w:r w:rsidRPr="00041678">
        <w:rPr>
          <w:noProof/>
        </w:rPr>
        <w:t xml:space="preserve"> 727.</w:t>
      </w:r>
    </w:p>
    <w:p w14:paraId="1C740287" w14:textId="77777777" w:rsidR="00041678" w:rsidRPr="00041678" w:rsidRDefault="00041678" w:rsidP="00041678">
      <w:pPr>
        <w:pStyle w:val="EndNoteBibliography"/>
        <w:spacing w:after="0"/>
        <w:ind w:left="720" w:hanging="720"/>
        <w:rPr>
          <w:noProof/>
        </w:rPr>
      </w:pPr>
      <w:r w:rsidRPr="00041678">
        <w:rPr>
          <w:noProof/>
        </w:rPr>
        <w:t xml:space="preserve">NISHIKAWA, T., EDELSTEIN, D., DU, X. L., YAMAGISHI, S., MATSUMURA, T., KANEDA, Y., YOREK, M. A., BEEBE, D., OATES, P. J., HAMMES, H. P., GIARDINO, I. &amp; BROWNLEE, M. 2000. Normalizing mitochondrial superoxide production blocks three pathways of hyperglycaemic damage. </w:t>
      </w:r>
      <w:r w:rsidRPr="00041678">
        <w:rPr>
          <w:i/>
          <w:noProof/>
        </w:rPr>
        <w:t>Nature,</w:t>
      </w:r>
      <w:r w:rsidRPr="00041678">
        <w:rPr>
          <w:noProof/>
        </w:rPr>
        <w:t xml:space="preserve"> 404</w:t>
      </w:r>
      <w:r w:rsidRPr="00041678">
        <w:rPr>
          <w:b/>
          <w:noProof/>
        </w:rPr>
        <w:t>,</w:t>
      </w:r>
      <w:r w:rsidRPr="00041678">
        <w:rPr>
          <w:noProof/>
        </w:rPr>
        <w:t xml:space="preserve"> 787.</w:t>
      </w:r>
    </w:p>
    <w:p w14:paraId="561FCF49" w14:textId="77777777" w:rsidR="00041678" w:rsidRPr="00041678" w:rsidRDefault="00041678" w:rsidP="00041678">
      <w:pPr>
        <w:pStyle w:val="EndNoteBibliography"/>
        <w:spacing w:after="0"/>
        <w:ind w:left="720" w:hanging="720"/>
        <w:rPr>
          <w:noProof/>
        </w:rPr>
      </w:pPr>
      <w:r w:rsidRPr="00041678">
        <w:rPr>
          <w:noProof/>
        </w:rPr>
        <w:t xml:space="preserve">NODERA, H., SPIEKER, A., SUNG, M. &amp; RUTKOVE, S. 2011. Neuroprotective effects of Kv7 channel agonist, retigabine, for cisplatin- induced peripheral neuropathy. </w:t>
      </w:r>
      <w:r w:rsidRPr="00041678">
        <w:rPr>
          <w:i/>
          <w:noProof/>
        </w:rPr>
        <w:t>Neuroscience letters,</w:t>
      </w:r>
      <w:r w:rsidRPr="00041678">
        <w:rPr>
          <w:noProof/>
        </w:rPr>
        <w:t xml:space="preserve"> 505</w:t>
      </w:r>
      <w:r w:rsidRPr="00041678">
        <w:rPr>
          <w:b/>
          <w:noProof/>
        </w:rPr>
        <w:t>,</w:t>
      </w:r>
      <w:r w:rsidRPr="00041678">
        <w:rPr>
          <w:noProof/>
        </w:rPr>
        <w:t xml:space="preserve"> 223.</w:t>
      </w:r>
    </w:p>
    <w:p w14:paraId="682D15C2" w14:textId="77777777" w:rsidR="00041678" w:rsidRPr="00041678" w:rsidRDefault="00041678" w:rsidP="00041678">
      <w:pPr>
        <w:pStyle w:val="EndNoteBibliography"/>
        <w:spacing w:after="0"/>
        <w:ind w:left="720" w:hanging="720"/>
        <w:rPr>
          <w:noProof/>
        </w:rPr>
      </w:pPr>
      <w:r w:rsidRPr="00041678">
        <w:rPr>
          <w:noProof/>
        </w:rPr>
        <w:t xml:space="preserve">OATES, P. J. 2002. Polyol pathway and diabetic peripheral neuropathy. </w:t>
      </w:r>
      <w:r w:rsidRPr="00041678">
        <w:rPr>
          <w:i/>
          <w:noProof/>
        </w:rPr>
        <w:t>International review of neurobiology,</w:t>
      </w:r>
      <w:r w:rsidRPr="00041678">
        <w:rPr>
          <w:noProof/>
        </w:rPr>
        <w:t xml:space="preserve"> 50</w:t>
      </w:r>
      <w:r w:rsidRPr="00041678">
        <w:rPr>
          <w:b/>
          <w:noProof/>
        </w:rPr>
        <w:t>,</w:t>
      </w:r>
      <w:r w:rsidRPr="00041678">
        <w:rPr>
          <w:noProof/>
        </w:rPr>
        <w:t xml:space="preserve"> 325.</w:t>
      </w:r>
    </w:p>
    <w:p w14:paraId="46160FA1" w14:textId="77777777" w:rsidR="00041678" w:rsidRPr="00041678" w:rsidRDefault="00041678" w:rsidP="00041678">
      <w:pPr>
        <w:pStyle w:val="EndNoteBibliography"/>
        <w:spacing w:after="0"/>
        <w:ind w:left="720" w:hanging="720"/>
        <w:rPr>
          <w:noProof/>
        </w:rPr>
      </w:pPr>
      <w:r w:rsidRPr="00041678">
        <w:rPr>
          <w:noProof/>
        </w:rPr>
        <w:t xml:space="preserve">OBROSOVA, I. G., DREL, V. R., OLTMAN, C. L., MASHTALIR, N., TIBREWALA, J., GROVES, J. T. &amp; YOREK, M. A. 2007. Role of nitrosative stress in early neuropathy and vascular dysfunction in streptozotocin- diabetic rats. </w:t>
      </w:r>
      <w:r w:rsidRPr="00041678">
        <w:rPr>
          <w:i/>
          <w:noProof/>
        </w:rPr>
        <w:t>American journal of physiology. Endocrinology and metabolism,</w:t>
      </w:r>
      <w:r w:rsidRPr="00041678">
        <w:rPr>
          <w:noProof/>
        </w:rPr>
        <w:t xml:space="preserve"> 293</w:t>
      </w:r>
      <w:r w:rsidRPr="00041678">
        <w:rPr>
          <w:b/>
          <w:noProof/>
        </w:rPr>
        <w:t>,</w:t>
      </w:r>
      <w:r w:rsidRPr="00041678">
        <w:rPr>
          <w:noProof/>
        </w:rPr>
        <w:t xml:space="preserve"> E1645.</w:t>
      </w:r>
    </w:p>
    <w:p w14:paraId="7BE57A73" w14:textId="77777777" w:rsidR="00041678" w:rsidRPr="00041678" w:rsidRDefault="00041678" w:rsidP="00041678">
      <w:pPr>
        <w:pStyle w:val="EndNoteBibliography"/>
        <w:spacing w:after="0"/>
        <w:ind w:left="720" w:hanging="720"/>
        <w:rPr>
          <w:noProof/>
        </w:rPr>
      </w:pPr>
      <w:r w:rsidRPr="00041678">
        <w:rPr>
          <w:noProof/>
        </w:rPr>
        <w:t xml:space="preserve">OBROSOVA, I. G., DREL, V. R., PACHER, P., ILNYTSKA, O., WANG, Z. Q., STEVENS, M. J. &amp; YOREK, M. A. 2005. Oxidative- nitrosative stress and poly( ADP- ribose) polymerase ( PARP) activation in experimental diabetic neuropathy: the relation is revisited. </w:t>
      </w:r>
      <w:r w:rsidRPr="00041678">
        <w:rPr>
          <w:i/>
          <w:noProof/>
        </w:rPr>
        <w:t>Diabetes,</w:t>
      </w:r>
      <w:r w:rsidRPr="00041678">
        <w:rPr>
          <w:noProof/>
        </w:rPr>
        <w:t xml:space="preserve"> 54</w:t>
      </w:r>
      <w:r w:rsidRPr="00041678">
        <w:rPr>
          <w:b/>
          <w:noProof/>
        </w:rPr>
        <w:t>,</w:t>
      </w:r>
      <w:r w:rsidRPr="00041678">
        <w:rPr>
          <w:noProof/>
        </w:rPr>
        <w:t xml:space="preserve"> 3435.</w:t>
      </w:r>
    </w:p>
    <w:p w14:paraId="538FDFC7" w14:textId="77777777" w:rsidR="00041678" w:rsidRPr="00041678" w:rsidRDefault="00041678" w:rsidP="00041678">
      <w:pPr>
        <w:pStyle w:val="EndNoteBibliography"/>
        <w:spacing w:after="0"/>
        <w:ind w:left="720" w:hanging="720"/>
        <w:rPr>
          <w:noProof/>
        </w:rPr>
      </w:pPr>
      <w:r w:rsidRPr="00041678">
        <w:rPr>
          <w:noProof/>
        </w:rPr>
        <w:t xml:space="preserve">OBROSOVA, I. G., XU, W., LYZOGUBOV, V. V., ILNYTSKA, O., MASHTALIR, N., VARENIUK, I., PAVLOV, I. A., ZHANG, J., SLUSHER, B. &amp; DREL, V. R. 2008. PARP inhibition or gene deficiency counteracts intraepidermal nerve fiber loss and neuropathic pain in advanced diabetic neuropathy. </w:t>
      </w:r>
      <w:r w:rsidRPr="00041678">
        <w:rPr>
          <w:i/>
          <w:noProof/>
        </w:rPr>
        <w:t>Free Radical Biology and Medicine,</w:t>
      </w:r>
      <w:r w:rsidRPr="00041678">
        <w:rPr>
          <w:noProof/>
        </w:rPr>
        <w:t xml:space="preserve"> 44</w:t>
      </w:r>
      <w:r w:rsidRPr="00041678">
        <w:rPr>
          <w:b/>
          <w:noProof/>
        </w:rPr>
        <w:t>,</w:t>
      </w:r>
      <w:r w:rsidRPr="00041678">
        <w:rPr>
          <w:noProof/>
        </w:rPr>
        <w:t xml:space="preserve"> 972-981.</w:t>
      </w:r>
    </w:p>
    <w:p w14:paraId="23B5F562" w14:textId="77777777" w:rsidR="00041678" w:rsidRPr="00041678" w:rsidRDefault="00041678" w:rsidP="00041678">
      <w:pPr>
        <w:pStyle w:val="EndNoteBibliography"/>
        <w:spacing w:after="0"/>
        <w:ind w:left="720" w:hanging="720"/>
        <w:rPr>
          <w:noProof/>
        </w:rPr>
      </w:pPr>
      <w:r w:rsidRPr="00041678">
        <w:rPr>
          <w:noProof/>
        </w:rPr>
        <w:t xml:space="preserve">OZUGUZ, U., ORUC, S., ULU, M. S., DEMIRBAS, H., ACAY, A., COKER, B., BEYAZIT, B., YAMAN, M. &amp; KOKEN, T. 2016. Does vitamin D have any role in the improvement of diabetic peripheral neuropathy in type 1 diabetic patients? </w:t>
      </w:r>
      <w:r w:rsidRPr="00041678">
        <w:rPr>
          <w:i/>
          <w:noProof/>
        </w:rPr>
        <w:t>J Endocrinol Invest</w:t>
      </w:r>
      <w:r w:rsidRPr="00041678">
        <w:rPr>
          <w:noProof/>
        </w:rPr>
        <w:t>.</w:t>
      </w:r>
    </w:p>
    <w:p w14:paraId="767E07E4" w14:textId="77777777" w:rsidR="00041678" w:rsidRPr="00041678" w:rsidRDefault="00041678" w:rsidP="00041678">
      <w:pPr>
        <w:pStyle w:val="EndNoteBibliography"/>
        <w:spacing w:after="0"/>
        <w:ind w:left="720" w:hanging="720"/>
        <w:rPr>
          <w:noProof/>
        </w:rPr>
      </w:pPr>
      <w:r w:rsidRPr="00041678">
        <w:rPr>
          <w:noProof/>
        </w:rPr>
        <w:t xml:space="preserve">PABBIDI, R. M., YU, S.-Q., PENG, S., KHARDORI, R., PAUZA, M. E., PREMKUMAR, L. S. &amp; YU, S.-Q. 2008. Influence of TRPV1 on diabetes- induced alterations in thermal pain sensitivity. </w:t>
      </w:r>
      <w:r w:rsidRPr="00041678">
        <w:rPr>
          <w:i/>
          <w:noProof/>
        </w:rPr>
        <w:t>Molecular pain,</w:t>
      </w:r>
      <w:r w:rsidRPr="00041678">
        <w:rPr>
          <w:noProof/>
        </w:rPr>
        <w:t xml:space="preserve"> 4</w:t>
      </w:r>
      <w:r w:rsidRPr="00041678">
        <w:rPr>
          <w:b/>
          <w:noProof/>
        </w:rPr>
        <w:t>,</w:t>
      </w:r>
      <w:r w:rsidRPr="00041678">
        <w:rPr>
          <w:noProof/>
        </w:rPr>
        <w:t xml:space="preserve"> 9.</w:t>
      </w:r>
    </w:p>
    <w:p w14:paraId="4C825FFC" w14:textId="77777777" w:rsidR="00041678" w:rsidRPr="00041678" w:rsidRDefault="00041678" w:rsidP="00041678">
      <w:pPr>
        <w:pStyle w:val="EndNoteBibliography"/>
        <w:spacing w:after="0"/>
        <w:ind w:left="720" w:hanging="720"/>
        <w:rPr>
          <w:noProof/>
        </w:rPr>
      </w:pPr>
      <w:r w:rsidRPr="00041678">
        <w:rPr>
          <w:noProof/>
        </w:rPr>
        <w:t xml:space="preserve">PATEL, T. D., JACKMAN, A., RICE, F. L., KUCERA, J. &amp; SNIDER, W. D. 2000. Development of sensory neurons in the absence of NGF/ TrkA signaling in vivo. </w:t>
      </w:r>
      <w:r w:rsidRPr="00041678">
        <w:rPr>
          <w:i/>
          <w:noProof/>
        </w:rPr>
        <w:t>Neuron,</w:t>
      </w:r>
      <w:r w:rsidRPr="00041678">
        <w:rPr>
          <w:noProof/>
        </w:rPr>
        <w:t xml:space="preserve"> 25</w:t>
      </w:r>
      <w:r w:rsidRPr="00041678">
        <w:rPr>
          <w:b/>
          <w:noProof/>
        </w:rPr>
        <w:t>,</w:t>
      </w:r>
      <w:r w:rsidRPr="00041678">
        <w:rPr>
          <w:noProof/>
        </w:rPr>
        <w:t xml:space="preserve"> 345.</w:t>
      </w:r>
    </w:p>
    <w:p w14:paraId="332F88EE" w14:textId="77777777" w:rsidR="00041678" w:rsidRPr="00041678" w:rsidRDefault="00041678" w:rsidP="00041678">
      <w:pPr>
        <w:pStyle w:val="EndNoteBibliography"/>
        <w:spacing w:after="0"/>
        <w:ind w:left="720" w:hanging="720"/>
        <w:rPr>
          <w:noProof/>
        </w:rPr>
      </w:pPr>
      <w:r w:rsidRPr="00041678">
        <w:rPr>
          <w:noProof/>
        </w:rPr>
        <w:t xml:space="preserve">PEREIRA, V. &amp; GOUDET, C. 2018. Emerging Trends in Pain Modulation by Metabotropic Glutamate Receptors. </w:t>
      </w:r>
      <w:r w:rsidRPr="00041678">
        <w:rPr>
          <w:i/>
          <w:noProof/>
        </w:rPr>
        <w:t>Front Mol Neurosci,</w:t>
      </w:r>
      <w:r w:rsidRPr="00041678">
        <w:rPr>
          <w:noProof/>
        </w:rPr>
        <w:t xml:space="preserve"> 11</w:t>
      </w:r>
      <w:r w:rsidRPr="00041678">
        <w:rPr>
          <w:b/>
          <w:noProof/>
        </w:rPr>
        <w:t>,</w:t>
      </w:r>
      <w:r w:rsidRPr="00041678">
        <w:rPr>
          <w:noProof/>
        </w:rPr>
        <w:t xml:space="preserve"> 464.</w:t>
      </w:r>
    </w:p>
    <w:p w14:paraId="3A072AD5" w14:textId="77777777" w:rsidR="00041678" w:rsidRPr="00041678" w:rsidRDefault="00041678" w:rsidP="00041678">
      <w:pPr>
        <w:pStyle w:val="EndNoteBibliography"/>
        <w:spacing w:after="0"/>
        <w:ind w:left="720" w:hanging="720"/>
        <w:rPr>
          <w:noProof/>
        </w:rPr>
      </w:pPr>
      <w:r w:rsidRPr="00041678">
        <w:rPr>
          <w:noProof/>
        </w:rPr>
        <w:t xml:space="preserve">PETROU, M., POP-BUSUI, R., FOERSTER, B. R., EDDEN, R. A., CALLAGHAN, B. C., HARTE, S. E., HARRIS, R. E., CLAUW, D. J. &amp; FELDMAN, E. L. 2012. Altered Excitation- inhibition Balance in the Brain of Patients with Diabetic Neuropathy. </w:t>
      </w:r>
      <w:r w:rsidRPr="00041678">
        <w:rPr>
          <w:i/>
          <w:noProof/>
        </w:rPr>
        <w:t>Academic Radiology,</w:t>
      </w:r>
      <w:r w:rsidRPr="00041678">
        <w:rPr>
          <w:noProof/>
        </w:rPr>
        <w:t xml:space="preserve"> 19</w:t>
      </w:r>
      <w:r w:rsidRPr="00041678">
        <w:rPr>
          <w:b/>
          <w:noProof/>
        </w:rPr>
        <w:t>,</w:t>
      </w:r>
      <w:r w:rsidRPr="00041678">
        <w:rPr>
          <w:noProof/>
        </w:rPr>
        <w:t xml:space="preserve"> 607-612.</w:t>
      </w:r>
    </w:p>
    <w:p w14:paraId="64F80B2F" w14:textId="77777777" w:rsidR="00041678" w:rsidRPr="00041678" w:rsidRDefault="00041678" w:rsidP="00041678">
      <w:pPr>
        <w:pStyle w:val="EndNoteBibliography"/>
        <w:spacing w:after="0"/>
        <w:ind w:left="720" w:hanging="720"/>
        <w:rPr>
          <w:noProof/>
        </w:rPr>
      </w:pPr>
      <w:r w:rsidRPr="00041678">
        <w:rPr>
          <w:noProof/>
        </w:rPr>
        <w:t xml:space="preserve">PEZET, S. &amp; MCMAHON, S. B. 2006. Neurotrophins: mediators and modulators of pain. </w:t>
      </w:r>
      <w:r w:rsidRPr="00041678">
        <w:rPr>
          <w:i/>
          <w:noProof/>
        </w:rPr>
        <w:t>Annual review of neuroscience,</w:t>
      </w:r>
      <w:r w:rsidRPr="00041678">
        <w:rPr>
          <w:noProof/>
        </w:rPr>
        <w:t xml:space="preserve"> 29</w:t>
      </w:r>
      <w:r w:rsidRPr="00041678">
        <w:rPr>
          <w:b/>
          <w:noProof/>
        </w:rPr>
        <w:t>,</w:t>
      </w:r>
      <w:r w:rsidRPr="00041678">
        <w:rPr>
          <w:noProof/>
        </w:rPr>
        <w:t xml:space="preserve"> 507.</w:t>
      </w:r>
    </w:p>
    <w:p w14:paraId="2BEC554A" w14:textId="77777777" w:rsidR="00041678" w:rsidRPr="00041678" w:rsidRDefault="00041678" w:rsidP="00041678">
      <w:pPr>
        <w:pStyle w:val="EndNoteBibliography"/>
        <w:spacing w:after="0"/>
        <w:ind w:left="720" w:hanging="720"/>
        <w:rPr>
          <w:noProof/>
        </w:rPr>
      </w:pPr>
      <w:r w:rsidRPr="00041678">
        <w:rPr>
          <w:noProof/>
        </w:rPr>
        <w:t xml:space="preserve">PFAU, D. B., GEBER, C., BIRKLEIN, F., TREEDE, R.-D. &amp; TREEDE, R.-D. 2012. Quantitative sensory testing of neuropathic pain patients: potential mechanistic and therapeutic implications. </w:t>
      </w:r>
      <w:r w:rsidRPr="00041678">
        <w:rPr>
          <w:i/>
          <w:noProof/>
        </w:rPr>
        <w:t>Current pain and headache reports,</w:t>
      </w:r>
      <w:r w:rsidRPr="00041678">
        <w:rPr>
          <w:noProof/>
        </w:rPr>
        <w:t xml:space="preserve"> 16</w:t>
      </w:r>
      <w:r w:rsidRPr="00041678">
        <w:rPr>
          <w:b/>
          <w:noProof/>
        </w:rPr>
        <w:t>,</w:t>
      </w:r>
      <w:r w:rsidRPr="00041678">
        <w:rPr>
          <w:noProof/>
        </w:rPr>
        <w:t xml:space="preserve"> 199.</w:t>
      </w:r>
    </w:p>
    <w:p w14:paraId="1AAEF16F" w14:textId="77777777" w:rsidR="00041678" w:rsidRPr="00041678" w:rsidRDefault="00041678" w:rsidP="00041678">
      <w:pPr>
        <w:pStyle w:val="EndNoteBibliography"/>
        <w:spacing w:after="0"/>
        <w:ind w:left="720" w:hanging="720"/>
        <w:rPr>
          <w:noProof/>
        </w:rPr>
      </w:pPr>
      <w:r w:rsidRPr="00041678">
        <w:rPr>
          <w:noProof/>
        </w:rPr>
        <w:lastRenderedPageBreak/>
        <w:t xml:space="preserve">POLYDEFKIS, M., HAUER, P., SHETH, S., SIRDOFSKY, M., GRIFFIN, J. W. &amp; MCARTHUR, J. C. 2004. The time course of epidermal nerve fibre regeneration: studies in normal controls and in people with diabetes, with and without neuropathy. </w:t>
      </w:r>
      <w:r w:rsidRPr="00041678">
        <w:rPr>
          <w:i/>
          <w:noProof/>
        </w:rPr>
        <w:t>Brain,</w:t>
      </w:r>
      <w:r w:rsidRPr="00041678">
        <w:rPr>
          <w:noProof/>
        </w:rPr>
        <w:t xml:space="preserve"> 127</w:t>
      </w:r>
      <w:r w:rsidRPr="00041678">
        <w:rPr>
          <w:b/>
          <w:noProof/>
        </w:rPr>
        <w:t>,</w:t>
      </w:r>
      <w:r w:rsidRPr="00041678">
        <w:rPr>
          <w:noProof/>
        </w:rPr>
        <w:t xml:space="preserve"> 1606-15.</w:t>
      </w:r>
    </w:p>
    <w:p w14:paraId="4B21EE59" w14:textId="77777777" w:rsidR="00041678" w:rsidRPr="00041678" w:rsidRDefault="00041678" w:rsidP="00041678">
      <w:pPr>
        <w:pStyle w:val="EndNoteBibliography"/>
        <w:spacing w:after="0"/>
        <w:ind w:left="720" w:hanging="720"/>
        <w:rPr>
          <w:noProof/>
        </w:rPr>
      </w:pPr>
      <w:r w:rsidRPr="00041678">
        <w:rPr>
          <w:noProof/>
        </w:rPr>
        <w:t xml:space="preserve">POP-BUSUI, R., BOULTON, A. J., FELDMAN, E. L., BRIL, V., FREEMAN, R., MALIK, R. A., SOSENKO, J. M. &amp; ZIEGLER, D. 2017. Diabetic Neuropathy: A Position Statement by the American Diabetes Association. </w:t>
      </w:r>
      <w:r w:rsidRPr="00041678">
        <w:rPr>
          <w:i/>
          <w:noProof/>
        </w:rPr>
        <w:t>Diabetes Care,</w:t>
      </w:r>
      <w:r w:rsidRPr="00041678">
        <w:rPr>
          <w:noProof/>
        </w:rPr>
        <w:t xml:space="preserve"> 40</w:t>
      </w:r>
      <w:r w:rsidRPr="00041678">
        <w:rPr>
          <w:b/>
          <w:noProof/>
        </w:rPr>
        <w:t>,</w:t>
      </w:r>
      <w:r w:rsidRPr="00041678">
        <w:rPr>
          <w:noProof/>
        </w:rPr>
        <w:t xml:space="preserve"> 136-154.</w:t>
      </w:r>
    </w:p>
    <w:p w14:paraId="73A07130" w14:textId="77777777" w:rsidR="00041678" w:rsidRPr="00041678" w:rsidRDefault="00041678" w:rsidP="00041678">
      <w:pPr>
        <w:pStyle w:val="EndNoteBibliography"/>
        <w:spacing w:after="0"/>
        <w:ind w:left="720" w:hanging="720"/>
        <w:rPr>
          <w:noProof/>
        </w:rPr>
      </w:pPr>
      <w:r w:rsidRPr="00041678">
        <w:rPr>
          <w:noProof/>
        </w:rPr>
        <w:t xml:space="preserve">PUTS, N. A. J. &amp; EDDEN, R. A. E. 2011. In vivo magnetic resonance spectroscopy of GABA: A methodological review. </w:t>
      </w:r>
      <w:r w:rsidRPr="00041678">
        <w:rPr>
          <w:i/>
          <w:noProof/>
        </w:rPr>
        <w:t>Progress in Nuclear Magnetic Resonance Spectroscopy</w:t>
      </w:r>
      <w:r w:rsidRPr="00041678">
        <w:rPr>
          <w:noProof/>
        </w:rPr>
        <w:t>.</w:t>
      </w:r>
    </w:p>
    <w:p w14:paraId="0E359D05" w14:textId="77777777" w:rsidR="00041678" w:rsidRPr="00041678" w:rsidRDefault="00041678" w:rsidP="00041678">
      <w:pPr>
        <w:pStyle w:val="EndNoteBibliography"/>
        <w:spacing w:after="0"/>
        <w:ind w:left="720" w:hanging="720"/>
        <w:rPr>
          <w:noProof/>
        </w:rPr>
      </w:pPr>
      <w:r w:rsidRPr="00041678">
        <w:rPr>
          <w:noProof/>
        </w:rPr>
        <w:t xml:space="preserve">PUTZ, Z., MARTOS, T., NEMETH, N., KOEREI, A. E., VAGI, O. E., KEMPLER, M. S. &amp; KEMPLER, P. 2014. Is There an Association Between Diabetic Neuropathy and Low Vitamin D Levels? </w:t>
      </w:r>
      <w:r w:rsidRPr="00041678">
        <w:rPr>
          <w:i/>
          <w:noProof/>
        </w:rPr>
        <w:t>Current Diabetes Reports,</w:t>
      </w:r>
      <w:r w:rsidRPr="00041678">
        <w:rPr>
          <w:noProof/>
        </w:rPr>
        <w:t xml:space="preserve"> 14.</w:t>
      </w:r>
    </w:p>
    <w:p w14:paraId="0A5DBAA3" w14:textId="77777777" w:rsidR="00041678" w:rsidRPr="00041678" w:rsidRDefault="00041678" w:rsidP="00041678">
      <w:pPr>
        <w:pStyle w:val="EndNoteBibliography"/>
        <w:spacing w:after="0"/>
        <w:ind w:left="720" w:hanging="720"/>
        <w:rPr>
          <w:noProof/>
        </w:rPr>
      </w:pPr>
      <w:r w:rsidRPr="00041678">
        <w:rPr>
          <w:noProof/>
        </w:rPr>
        <w:t xml:space="preserve">PYKE, T. L., OSMOTHERLY, P. G. &amp; BAINES, S. 2017. Measuring Glutamate Levels in the Brains of Fibromyalgia Patients and a Potential Role for Glutamate in the Pathophysiology of Fibromyalgia Symptoms: A Systematic Review. </w:t>
      </w:r>
      <w:r w:rsidRPr="00041678">
        <w:rPr>
          <w:i/>
          <w:noProof/>
        </w:rPr>
        <w:t>Clin J Pain,</w:t>
      </w:r>
      <w:r w:rsidRPr="00041678">
        <w:rPr>
          <w:noProof/>
        </w:rPr>
        <w:t xml:space="preserve"> 33</w:t>
      </w:r>
      <w:r w:rsidRPr="00041678">
        <w:rPr>
          <w:b/>
          <w:noProof/>
        </w:rPr>
        <w:t>,</w:t>
      </w:r>
      <w:r w:rsidRPr="00041678">
        <w:rPr>
          <w:noProof/>
        </w:rPr>
        <w:t xml:space="preserve"> 944-954.</w:t>
      </w:r>
    </w:p>
    <w:p w14:paraId="587E492C" w14:textId="77777777" w:rsidR="00041678" w:rsidRPr="00041678" w:rsidRDefault="00041678" w:rsidP="00041678">
      <w:pPr>
        <w:pStyle w:val="EndNoteBibliography"/>
        <w:spacing w:after="0"/>
        <w:ind w:left="720" w:hanging="720"/>
        <w:rPr>
          <w:noProof/>
        </w:rPr>
      </w:pPr>
      <w:r w:rsidRPr="00041678">
        <w:rPr>
          <w:noProof/>
        </w:rPr>
        <w:t xml:space="preserve">QU, G. B., WANG, L. L., TANG, X., WU, W. &amp; SUN, Y. H. 2017. The association between vitamin D level and diabetic peripheral neuropathy in patients with type 2 diabetes mellitus: An update systematic review and meta-analysis. </w:t>
      </w:r>
      <w:r w:rsidRPr="00041678">
        <w:rPr>
          <w:i/>
          <w:noProof/>
        </w:rPr>
        <w:t>J Clin Transl Endocrinol,</w:t>
      </w:r>
      <w:r w:rsidRPr="00041678">
        <w:rPr>
          <w:noProof/>
        </w:rPr>
        <w:t xml:space="preserve"> 9</w:t>
      </w:r>
      <w:r w:rsidRPr="00041678">
        <w:rPr>
          <w:b/>
          <w:noProof/>
        </w:rPr>
        <w:t>,</w:t>
      </w:r>
      <w:r w:rsidRPr="00041678">
        <w:rPr>
          <w:noProof/>
        </w:rPr>
        <w:t xml:space="preserve"> 25-31.</w:t>
      </w:r>
    </w:p>
    <w:p w14:paraId="5F1F9626" w14:textId="04CAC59E" w:rsidR="00041678" w:rsidRPr="00041678" w:rsidRDefault="00041678" w:rsidP="00041678">
      <w:pPr>
        <w:pStyle w:val="EndNoteBibliography"/>
        <w:spacing w:after="0"/>
        <w:ind w:left="720" w:hanging="720"/>
        <w:rPr>
          <w:noProof/>
        </w:rPr>
      </w:pPr>
      <w:r w:rsidRPr="00041678">
        <w:rPr>
          <w:noProof/>
        </w:rPr>
        <w:t xml:space="preserve">QUATTRINI, C., HARRIS, N. D., MALIK, R. A. &amp; TESFAYE, S. 2007. Impaired skin microvascular reactivity in painful diabetic neuropathy. </w:t>
      </w:r>
      <w:r w:rsidRPr="00041678">
        <w:rPr>
          <w:i/>
          <w:noProof/>
        </w:rPr>
        <w:t xml:space="preserve">Diabetes </w:t>
      </w:r>
      <w:r w:rsidR="006C6009">
        <w:rPr>
          <w:i/>
          <w:noProof/>
        </w:rPr>
        <w:t>C</w:t>
      </w:r>
      <w:r w:rsidRPr="00041678">
        <w:rPr>
          <w:i/>
          <w:noProof/>
        </w:rPr>
        <w:t>are,</w:t>
      </w:r>
      <w:r w:rsidRPr="00041678">
        <w:rPr>
          <w:noProof/>
        </w:rPr>
        <w:t xml:space="preserve"> 30</w:t>
      </w:r>
      <w:r w:rsidRPr="00041678">
        <w:rPr>
          <w:b/>
          <w:noProof/>
        </w:rPr>
        <w:t>,</w:t>
      </w:r>
      <w:r w:rsidRPr="00041678">
        <w:rPr>
          <w:noProof/>
        </w:rPr>
        <w:t xml:space="preserve"> 655.</w:t>
      </w:r>
    </w:p>
    <w:p w14:paraId="0B9FCC5A" w14:textId="77777777" w:rsidR="00041678" w:rsidRPr="00041678" w:rsidRDefault="00041678" w:rsidP="00041678">
      <w:pPr>
        <w:pStyle w:val="EndNoteBibliography"/>
        <w:spacing w:after="0"/>
        <w:ind w:left="720" w:hanging="720"/>
        <w:rPr>
          <w:noProof/>
        </w:rPr>
      </w:pPr>
      <w:r w:rsidRPr="00041678">
        <w:rPr>
          <w:noProof/>
        </w:rPr>
        <w:t xml:space="preserve">QUATTRINI, C., JEZIORSKA, M., BOULTON, A. J. &amp; MALIK, R. A. 2008. Reduced vascular endothelial growth factor expression and intra-epidermal nerve fiber loss in human diabetic neuropathy. </w:t>
      </w:r>
      <w:r w:rsidRPr="00041678">
        <w:rPr>
          <w:i/>
          <w:noProof/>
        </w:rPr>
        <w:t>Diabetes Care,</w:t>
      </w:r>
      <w:r w:rsidRPr="00041678">
        <w:rPr>
          <w:noProof/>
        </w:rPr>
        <w:t xml:space="preserve"> 31</w:t>
      </w:r>
      <w:r w:rsidRPr="00041678">
        <w:rPr>
          <w:b/>
          <w:noProof/>
        </w:rPr>
        <w:t>,</w:t>
      </w:r>
      <w:r w:rsidRPr="00041678">
        <w:rPr>
          <w:noProof/>
        </w:rPr>
        <w:t xml:space="preserve"> 140-5.</w:t>
      </w:r>
    </w:p>
    <w:p w14:paraId="241D8D6B" w14:textId="77777777" w:rsidR="00041678" w:rsidRPr="00041678" w:rsidRDefault="00041678" w:rsidP="00041678">
      <w:pPr>
        <w:pStyle w:val="EndNoteBibliography"/>
        <w:spacing w:after="0"/>
        <w:ind w:left="720" w:hanging="720"/>
        <w:rPr>
          <w:noProof/>
        </w:rPr>
      </w:pPr>
      <w:r w:rsidRPr="00041678">
        <w:rPr>
          <w:noProof/>
        </w:rPr>
        <w:t xml:space="preserve">RAHMAN, W., BANNISTER, K., BEE, L. A. &amp; DICKENSON, A. H. 2011. A pronociceptive role for the 5- HT2 receptor on spinal nociceptive transmission: An in vivo electrophysiological study in the rat. </w:t>
      </w:r>
      <w:r w:rsidRPr="00041678">
        <w:rPr>
          <w:i/>
          <w:noProof/>
        </w:rPr>
        <w:t>Brain Research,</w:t>
      </w:r>
      <w:r w:rsidRPr="00041678">
        <w:rPr>
          <w:noProof/>
        </w:rPr>
        <w:t xml:space="preserve"> 1382</w:t>
      </w:r>
      <w:r w:rsidRPr="00041678">
        <w:rPr>
          <w:b/>
          <w:noProof/>
        </w:rPr>
        <w:t>,</w:t>
      </w:r>
      <w:r w:rsidRPr="00041678">
        <w:rPr>
          <w:noProof/>
        </w:rPr>
        <w:t xml:space="preserve"> 29-36.</w:t>
      </w:r>
    </w:p>
    <w:p w14:paraId="16461B5B" w14:textId="77777777" w:rsidR="00041678" w:rsidRPr="00041678" w:rsidRDefault="00041678" w:rsidP="00041678">
      <w:pPr>
        <w:pStyle w:val="EndNoteBibliography"/>
        <w:spacing w:after="0"/>
        <w:ind w:left="720" w:hanging="720"/>
        <w:rPr>
          <w:noProof/>
        </w:rPr>
      </w:pPr>
      <w:r w:rsidRPr="00041678">
        <w:rPr>
          <w:noProof/>
        </w:rPr>
        <w:t xml:space="preserve">RAPUTOVA, J., SROTOVA, I., VLCKOVA, E., SOMMER, C., ÜÇEYLER, N., BIRKLEIN, F., RITTNER, H. L., REBHORN, C., ADAMOVA, B., KOVALOVA, I., KRALICKOVA NEKVAPILOVA, E., FORER, L., BELOBRADKOVA, J., OLSOVSKY, J., WEBER, P., DUSEK, L., JARKOVSKY, J. &amp; BEDNARIK, J. 2017. Sensory phenotype and risk factors for painful diabetic neuropathy: a cross-sectional observational study. </w:t>
      </w:r>
      <w:r w:rsidRPr="00041678">
        <w:rPr>
          <w:i/>
          <w:noProof/>
        </w:rPr>
        <w:t>Pain,</w:t>
      </w:r>
      <w:r w:rsidRPr="00041678">
        <w:rPr>
          <w:noProof/>
        </w:rPr>
        <w:t xml:space="preserve"> 158</w:t>
      </w:r>
      <w:r w:rsidRPr="00041678">
        <w:rPr>
          <w:b/>
          <w:noProof/>
        </w:rPr>
        <w:t>,</w:t>
      </w:r>
      <w:r w:rsidRPr="00041678">
        <w:rPr>
          <w:noProof/>
        </w:rPr>
        <w:t xml:space="preserve"> 2340-2353.</w:t>
      </w:r>
    </w:p>
    <w:p w14:paraId="41D4F03A" w14:textId="77777777" w:rsidR="00041678" w:rsidRPr="00041678" w:rsidRDefault="00041678" w:rsidP="00041678">
      <w:pPr>
        <w:pStyle w:val="EndNoteBibliography"/>
        <w:spacing w:after="0"/>
        <w:ind w:left="720" w:hanging="720"/>
        <w:rPr>
          <w:noProof/>
        </w:rPr>
      </w:pPr>
      <w:r w:rsidRPr="00041678">
        <w:rPr>
          <w:noProof/>
        </w:rPr>
        <w:t xml:space="preserve">RAYMAN, G., BAKER, N. R. &amp; KRISHNAN, S. T. 2003. Glyceryl trinitrate patches as an alternative to isosorbide dinitrate spray in the treatment of chronic painful diabetic neuropathy. </w:t>
      </w:r>
      <w:r w:rsidRPr="00041678">
        <w:rPr>
          <w:i/>
          <w:noProof/>
        </w:rPr>
        <w:t>Diabetes Care,</w:t>
      </w:r>
      <w:r w:rsidRPr="00041678">
        <w:rPr>
          <w:noProof/>
        </w:rPr>
        <w:t xml:space="preserve"> 26</w:t>
      </w:r>
      <w:r w:rsidRPr="00041678">
        <w:rPr>
          <w:b/>
          <w:noProof/>
        </w:rPr>
        <w:t>,</w:t>
      </w:r>
      <w:r w:rsidRPr="00041678">
        <w:rPr>
          <w:noProof/>
        </w:rPr>
        <w:t xml:space="preserve"> 2697-8.</w:t>
      </w:r>
    </w:p>
    <w:p w14:paraId="19AE7084" w14:textId="77777777" w:rsidR="00041678" w:rsidRPr="00041678" w:rsidRDefault="00041678" w:rsidP="00041678">
      <w:pPr>
        <w:pStyle w:val="EndNoteBibliography"/>
        <w:spacing w:after="0"/>
        <w:ind w:left="720" w:hanging="720"/>
        <w:rPr>
          <w:noProof/>
        </w:rPr>
      </w:pPr>
      <w:r w:rsidRPr="00041678">
        <w:rPr>
          <w:noProof/>
        </w:rPr>
        <w:t xml:space="preserve">RIAZ, S. S. &amp; TOMLINSON, D. R. 1999. Clenbuterol stimulates neurotrophic support in streptozotocin-diabetic rats. </w:t>
      </w:r>
      <w:r w:rsidRPr="00041678">
        <w:rPr>
          <w:i/>
          <w:noProof/>
        </w:rPr>
        <w:t>Diabetes Obes Metab,</w:t>
      </w:r>
      <w:r w:rsidRPr="00041678">
        <w:rPr>
          <w:noProof/>
        </w:rPr>
        <w:t xml:space="preserve"> 1</w:t>
      </w:r>
      <w:r w:rsidRPr="00041678">
        <w:rPr>
          <w:b/>
          <w:noProof/>
        </w:rPr>
        <w:t>,</w:t>
      </w:r>
      <w:r w:rsidRPr="00041678">
        <w:rPr>
          <w:noProof/>
        </w:rPr>
        <w:t xml:space="preserve"> 43-51.</w:t>
      </w:r>
    </w:p>
    <w:p w14:paraId="27AFA94E" w14:textId="77777777" w:rsidR="00041678" w:rsidRPr="00041678" w:rsidRDefault="00041678" w:rsidP="00041678">
      <w:pPr>
        <w:pStyle w:val="EndNoteBibliography"/>
        <w:spacing w:after="0"/>
        <w:ind w:left="720" w:hanging="720"/>
        <w:rPr>
          <w:noProof/>
        </w:rPr>
      </w:pPr>
      <w:r w:rsidRPr="00041678">
        <w:rPr>
          <w:noProof/>
        </w:rPr>
        <w:t xml:space="preserve">ROLKE, R., BARON, R., MAIER, C., TÖLLE, T. R., TREEDE, R. D., BEYER, A., BINDER, A., BIRBAUMER, N., BIRKLEIN, F., BÖTEFÜR, I. C., BRAUNE, S., FLOR, H., HUGE, V., KLUG, R., LANDWEHRMEYER, G. B., MAGERL, W., MAIHÖFNER, C., ROLKO, C., SCHAUB, C., SCHERENS, A., SPRENGER, T., VALET, M. &amp; WASSERKA, B. 2006. Quantitative sensory testing in the German Research Network on Neuropathic Pain (DFNS): Standardized protocol and reference values. </w:t>
      </w:r>
      <w:r w:rsidRPr="00041678">
        <w:rPr>
          <w:i/>
          <w:noProof/>
        </w:rPr>
        <w:t>Pain,</w:t>
      </w:r>
      <w:r w:rsidRPr="00041678">
        <w:rPr>
          <w:noProof/>
        </w:rPr>
        <w:t xml:space="preserve"> 123</w:t>
      </w:r>
      <w:r w:rsidRPr="00041678">
        <w:rPr>
          <w:b/>
          <w:noProof/>
        </w:rPr>
        <w:t>,</w:t>
      </w:r>
      <w:r w:rsidRPr="00041678">
        <w:rPr>
          <w:noProof/>
        </w:rPr>
        <w:t xml:space="preserve"> 231-243.</w:t>
      </w:r>
    </w:p>
    <w:p w14:paraId="6B1AA665" w14:textId="77777777" w:rsidR="00041678" w:rsidRPr="00041678" w:rsidRDefault="00041678" w:rsidP="00041678">
      <w:pPr>
        <w:pStyle w:val="EndNoteBibliography"/>
        <w:spacing w:after="0"/>
        <w:ind w:left="720" w:hanging="720"/>
        <w:rPr>
          <w:noProof/>
        </w:rPr>
      </w:pPr>
      <w:r w:rsidRPr="00041678">
        <w:rPr>
          <w:noProof/>
        </w:rPr>
        <w:t xml:space="preserve">SCHEYTT, S., RIEDIGER, N., BRAUNSDORF, S., SOMMER, C. &amp; ÜÇEYLER, N. 2015. Increased gene expression of growth associated protein-43 in skin of patients with early-stage peripheral neuropathies. </w:t>
      </w:r>
      <w:r w:rsidRPr="00041678">
        <w:rPr>
          <w:i/>
          <w:noProof/>
        </w:rPr>
        <w:t>J Neurol Sci,</w:t>
      </w:r>
      <w:r w:rsidRPr="00041678">
        <w:rPr>
          <w:noProof/>
        </w:rPr>
        <w:t xml:space="preserve"> 355</w:t>
      </w:r>
      <w:r w:rsidRPr="00041678">
        <w:rPr>
          <w:b/>
          <w:noProof/>
        </w:rPr>
        <w:t>,</w:t>
      </w:r>
      <w:r w:rsidRPr="00041678">
        <w:rPr>
          <w:noProof/>
        </w:rPr>
        <w:t xml:space="preserve"> 131-7.</w:t>
      </w:r>
    </w:p>
    <w:p w14:paraId="1A64CB95" w14:textId="5208507E" w:rsidR="00041678" w:rsidRPr="00041678" w:rsidRDefault="00041678" w:rsidP="00041678">
      <w:pPr>
        <w:pStyle w:val="EndNoteBibliography"/>
        <w:spacing w:after="0"/>
        <w:ind w:left="720" w:hanging="720"/>
        <w:rPr>
          <w:noProof/>
        </w:rPr>
      </w:pPr>
      <w:r w:rsidRPr="00041678">
        <w:rPr>
          <w:noProof/>
        </w:rPr>
        <w:lastRenderedPageBreak/>
        <w:t xml:space="preserve">SELVARAJAH, D., WILKINSON, I. D., EMERY, C. J., HARRIS, N. D., SHAW, P. J., WITTE, D. R., GRIFFITHS, P. D. &amp; TESFAYE, S. 2006. Early involvement of the spinal cord in diabetic peripheral neuropathy. </w:t>
      </w:r>
      <w:r w:rsidRPr="00041678">
        <w:rPr>
          <w:i/>
          <w:noProof/>
        </w:rPr>
        <w:t xml:space="preserve">Diabetes </w:t>
      </w:r>
      <w:r w:rsidR="006C6009">
        <w:rPr>
          <w:i/>
          <w:noProof/>
        </w:rPr>
        <w:t>C</w:t>
      </w:r>
      <w:r w:rsidRPr="00041678">
        <w:rPr>
          <w:i/>
          <w:noProof/>
        </w:rPr>
        <w:t>are,</w:t>
      </w:r>
      <w:r w:rsidRPr="00041678">
        <w:rPr>
          <w:noProof/>
        </w:rPr>
        <w:t xml:space="preserve"> 29</w:t>
      </w:r>
      <w:r w:rsidRPr="00041678">
        <w:rPr>
          <w:b/>
          <w:noProof/>
        </w:rPr>
        <w:t>,</w:t>
      </w:r>
      <w:r w:rsidRPr="00041678">
        <w:rPr>
          <w:noProof/>
        </w:rPr>
        <w:t xml:space="preserve"> 2664.</w:t>
      </w:r>
    </w:p>
    <w:p w14:paraId="63A23037" w14:textId="77777777" w:rsidR="00041678" w:rsidRPr="00041678" w:rsidRDefault="00041678" w:rsidP="00041678">
      <w:pPr>
        <w:pStyle w:val="EndNoteBibliography"/>
        <w:spacing w:after="0"/>
        <w:ind w:left="720" w:hanging="720"/>
        <w:rPr>
          <w:noProof/>
        </w:rPr>
      </w:pPr>
      <w:r w:rsidRPr="00041678">
        <w:rPr>
          <w:noProof/>
        </w:rPr>
        <w:t xml:space="preserve">SELVARAJAH, D., WILKINSON, I. D., EMERY, C. J., SHAW, P. J., GRIFFITHS, P. D., GANDHI, R. &amp; TESFAYE, S. 2008. Thalamic neuronal dysfunction and chronic sensorimotor distal symmetrical polyneuropathy in patients with type 1 diabetes mellitus. </w:t>
      </w:r>
      <w:r w:rsidRPr="00041678">
        <w:rPr>
          <w:i/>
          <w:noProof/>
        </w:rPr>
        <w:t>Diabetologia,</w:t>
      </w:r>
      <w:r w:rsidRPr="00041678">
        <w:rPr>
          <w:noProof/>
        </w:rPr>
        <w:t xml:space="preserve"> 51</w:t>
      </w:r>
      <w:r w:rsidRPr="00041678">
        <w:rPr>
          <w:b/>
          <w:noProof/>
        </w:rPr>
        <w:t>,</w:t>
      </w:r>
      <w:r w:rsidRPr="00041678">
        <w:rPr>
          <w:noProof/>
        </w:rPr>
        <w:t xml:space="preserve"> 2088-92.</w:t>
      </w:r>
    </w:p>
    <w:p w14:paraId="081474EC" w14:textId="65C22631" w:rsidR="00041678" w:rsidRPr="00041678" w:rsidRDefault="00041678" w:rsidP="00041678">
      <w:pPr>
        <w:pStyle w:val="EndNoteBibliography"/>
        <w:spacing w:after="0"/>
        <w:ind w:left="720" w:hanging="720"/>
        <w:rPr>
          <w:noProof/>
        </w:rPr>
      </w:pPr>
      <w:r w:rsidRPr="00041678">
        <w:rPr>
          <w:noProof/>
        </w:rPr>
        <w:t xml:space="preserve">SELVARAJAH, D., WILKINSON, I. D., GANDHI, R., GRIFFITHS, P. D. &amp; TESFAYE, S. 2011. Microvascular perfusion abnormalities of the Thalamus in painful but not painless diabetic polyneuropathy: a clue to the pathogenesis of pain in type 1 diabetes. </w:t>
      </w:r>
      <w:r w:rsidRPr="00041678">
        <w:rPr>
          <w:i/>
          <w:noProof/>
        </w:rPr>
        <w:t xml:space="preserve">Diabetes </w:t>
      </w:r>
      <w:r w:rsidR="006C6009">
        <w:rPr>
          <w:i/>
          <w:noProof/>
        </w:rPr>
        <w:t>C</w:t>
      </w:r>
      <w:r w:rsidRPr="00041678">
        <w:rPr>
          <w:i/>
          <w:noProof/>
        </w:rPr>
        <w:t>are,</w:t>
      </w:r>
      <w:r w:rsidRPr="00041678">
        <w:rPr>
          <w:noProof/>
        </w:rPr>
        <w:t xml:space="preserve"> 34</w:t>
      </w:r>
      <w:r w:rsidRPr="00041678">
        <w:rPr>
          <w:b/>
          <w:noProof/>
        </w:rPr>
        <w:t>,</w:t>
      </w:r>
      <w:r w:rsidRPr="00041678">
        <w:rPr>
          <w:noProof/>
        </w:rPr>
        <w:t xml:space="preserve"> 718.</w:t>
      </w:r>
    </w:p>
    <w:p w14:paraId="55E76FFF" w14:textId="77777777" w:rsidR="00041678" w:rsidRPr="00041678" w:rsidRDefault="00041678" w:rsidP="00041678">
      <w:pPr>
        <w:pStyle w:val="EndNoteBibliography"/>
        <w:spacing w:after="0"/>
        <w:ind w:left="720" w:hanging="720"/>
        <w:rPr>
          <w:noProof/>
        </w:rPr>
      </w:pPr>
      <w:r w:rsidRPr="00041678">
        <w:rPr>
          <w:noProof/>
        </w:rPr>
        <w:t xml:space="preserve">SELVARAJAH, D., WILKINSON, I. D., MAXWELL, M., DAVIES, J., SANKAR, A., BOLAND, E., GANDHI, R., TRACEY, I. &amp; TESFAYE, S. 2014. Magnetic resonance neuroimaging study of brain structural differences in diabetic peripheral neuropathy. </w:t>
      </w:r>
      <w:r w:rsidRPr="00041678">
        <w:rPr>
          <w:i/>
          <w:noProof/>
        </w:rPr>
        <w:t>Diabetes Care,</w:t>
      </w:r>
      <w:r w:rsidRPr="00041678">
        <w:rPr>
          <w:noProof/>
        </w:rPr>
        <w:t xml:space="preserve"> 37</w:t>
      </w:r>
      <w:r w:rsidRPr="00041678">
        <w:rPr>
          <w:b/>
          <w:noProof/>
        </w:rPr>
        <w:t>,</w:t>
      </w:r>
      <w:r w:rsidRPr="00041678">
        <w:rPr>
          <w:noProof/>
        </w:rPr>
        <w:t xml:space="preserve"> 1681-8.</w:t>
      </w:r>
    </w:p>
    <w:p w14:paraId="0BC4294D" w14:textId="64400063" w:rsidR="00041678" w:rsidRPr="00041678" w:rsidRDefault="00041678" w:rsidP="00041678">
      <w:pPr>
        <w:pStyle w:val="EndNoteBibliography"/>
        <w:spacing w:after="0"/>
        <w:ind w:left="720" w:hanging="720"/>
        <w:rPr>
          <w:noProof/>
        </w:rPr>
      </w:pPr>
      <w:r w:rsidRPr="00041678">
        <w:rPr>
          <w:noProof/>
        </w:rPr>
        <w:t xml:space="preserve">SHUN, C.-T., CHANG, Y.-C., WU, H.-P., HSIEH, S.-C., LIN, W.-M., LIN, Y.-H., TAI, T.-Y., HSIEH, S.-T., SHUN, C.-T., CHANG, Y.-C., WU, H.-P., HSIEH, S.-C., LIN, W.-M., LIN, Y.-H., TAI, T.-Y. &amp; HSIEH, S.-T. 2004. Skin denervation in type 2 diabetes: correlations with diabetic duration and functional impairments. </w:t>
      </w:r>
      <w:r w:rsidRPr="00041678">
        <w:rPr>
          <w:i/>
          <w:noProof/>
        </w:rPr>
        <w:t>Brain,</w:t>
      </w:r>
      <w:r w:rsidRPr="00041678">
        <w:rPr>
          <w:noProof/>
        </w:rPr>
        <w:t xml:space="preserve"> 127</w:t>
      </w:r>
      <w:r w:rsidRPr="00041678">
        <w:rPr>
          <w:b/>
          <w:noProof/>
        </w:rPr>
        <w:t>,</w:t>
      </w:r>
      <w:r w:rsidRPr="00041678">
        <w:rPr>
          <w:noProof/>
        </w:rPr>
        <w:t xml:space="preserve"> 1593.</w:t>
      </w:r>
    </w:p>
    <w:p w14:paraId="07AF0156" w14:textId="77777777" w:rsidR="00041678" w:rsidRPr="00041678" w:rsidRDefault="00041678" w:rsidP="00041678">
      <w:pPr>
        <w:pStyle w:val="EndNoteBibliography"/>
        <w:spacing w:after="0"/>
        <w:ind w:left="720" w:hanging="720"/>
        <w:rPr>
          <w:noProof/>
        </w:rPr>
      </w:pPr>
      <w:r w:rsidRPr="00041678">
        <w:rPr>
          <w:noProof/>
        </w:rPr>
        <w:t xml:space="preserve">SILOS-SANTIAGO, I. &amp; SILOS-SANTIAGO, I. 2008. The role of tetrodotoxin- resistant sodium channels in pain states: are they the next target for analgesic drugs? </w:t>
      </w:r>
      <w:r w:rsidRPr="00041678">
        <w:rPr>
          <w:i/>
          <w:noProof/>
        </w:rPr>
        <w:t>Current opinion in investigational drugs (London, England : 2000),</w:t>
      </w:r>
      <w:r w:rsidRPr="00041678">
        <w:rPr>
          <w:noProof/>
        </w:rPr>
        <w:t xml:space="preserve"> 9</w:t>
      </w:r>
      <w:r w:rsidRPr="00041678">
        <w:rPr>
          <w:b/>
          <w:noProof/>
        </w:rPr>
        <w:t>,</w:t>
      </w:r>
      <w:r w:rsidRPr="00041678">
        <w:rPr>
          <w:noProof/>
        </w:rPr>
        <w:t xml:space="preserve"> 83.</w:t>
      </w:r>
    </w:p>
    <w:p w14:paraId="2F184883" w14:textId="77777777" w:rsidR="00041678" w:rsidRPr="00041678" w:rsidRDefault="00041678" w:rsidP="00041678">
      <w:pPr>
        <w:pStyle w:val="EndNoteBibliography"/>
        <w:spacing w:after="0"/>
        <w:ind w:left="720" w:hanging="720"/>
        <w:rPr>
          <w:noProof/>
        </w:rPr>
      </w:pPr>
      <w:r w:rsidRPr="00041678">
        <w:rPr>
          <w:noProof/>
        </w:rPr>
        <w:t xml:space="preserve">SODERSTROM, L. H., JOHNSON, S. P., DIAZ, V. A. &amp; MAINOUS, A. G., III 2012. Association between vitamin D and diabetic neuropathy in a nationally representative sample: results from 2001-2004 NHANES. </w:t>
      </w:r>
      <w:r w:rsidRPr="00041678">
        <w:rPr>
          <w:i/>
          <w:noProof/>
        </w:rPr>
        <w:t>Diabetic Medicine,</w:t>
      </w:r>
      <w:r w:rsidRPr="00041678">
        <w:rPr>
          <w:noProof/>
        </w:rPr>
        <w:t xml:space="preserve"> 29</w:t>
      </w:r>
      <w:r w:rsidRPr="00041678">
        <w:rPr>
          <w:b/>
          <w:noProof/>
        </w:rPr>
        <w:t>,</w:t>
      </w:r>
      <w:r w:rsidRPr="00041678">
        <w:rPr>
          <w:noProof/>
        </w:rPr>
        <w:t xml:space="preserve"> 50-55.</w:t>
      </w:r>
    </w:p>
    <w:p w14:paraId="108C680D" w14:textId="77777777" w:rsidR="00041678" w:rsidRPr="00041678" w:rsidRDefault="00041678" w:rsidP="00041678">
      <w:pPr>
        <w:pStyle w:val="EndNoteBibliography"/>
        <w:spacing w:after="0"/>
        <w:ind w:left="720" w:hanging="720"/>
        <w:rPr>
          <w:noProof/>
        </w:rPr>
      </w:pPr>
      <w:r w:rsidRPr="00041678">
        <w:rPr>
          <w:noProof/>
        </w:rPr>
        <w:t xml:space="preserve">SORENSEN, L., MOLYNEAUX, L. &amp; YUE, D. K. 2006a. The level of small nerve fiber dysfunction does not predict pain in diabetic Neuropathy: a study using quantitative sensory testing. </w:t>
      </w:r>
      <w:r w:rsidRPr="00041678">
        <w:rPr>
          <w:i/>
          <w:noProof/>
        </w:rPr>
        <w:t>The Clinical journal of pain,</w:t>
      </w:r>
      <w:r w:rsidRPr="00041678">
        <w:rPr>
          <w:noProof/>
        </w:rPr>
        <w:t xml:space="preserve"> 22</w:t>
      </w:r>
      <w:r w:rsidRPr="00041678">
        <w:rPr>
          <w:b/>
          <w:noProof/>
        </w:rPr>
        <w:t>,</w:t>
      </w:r>
      <w:r w:rsidRPr="00041678">
        <w:rPr>
          <w:noProof/>
        </w:rPr>
        <w:t xml:space="preserve"> 261.</w:t>
      </w:r>
    </w:p>
    <w:p w14:paraId="5891D005" w14:textId="09EC7B8D" w:rsidR="00041678" w:rsidRPr="00041678" w:rsidRDefault="00041678" w:rsidP="00041678">
      <w:pPr>
        <w:pStyle w:val="EndNoteBibliography"/>
        <w:spacing w:after="0"/>
        <w:ind w:left="720" w:hanging="720"/>
        <w:rPr>
          <w:noProof/>
        </w:rPr>
      </w:pPr>
      <w:r w:rsidRPr="00041678">
        <w:rPr>
          <w:noProof/>
        </w:rPr>
        <w:t xml:space="preserve">SORENSEN, L., MOLYNEAUX, L. &amp; YUE, D. K. 2006b. The relationship among pain, sensory loss, and small nerve fibers in diabetes. </w:t>
      </w:r>
      <w:r w:rsidRPr="00041678">
        <w:rPr>
          <w:i/>
          <w:noProof/>
        </w:rPr>
        <w:t xml:space="preserve">Diabetes </w:t>
      </w:r>
      <w:r w:rsidR="006C6009">
        <w:rPr>
          <w:i/>
          <w:noProof/>
        </w:rPr>
        <w:t>C</w:t>
      </w:r>
      <w:r w:rsidRPr="00041678">
        <w:rPr>
          <w:i/>
          <w:noProof/>
        </w:rPr>
        <w:t>are,</w:t>
      </w:r>
      <w:r w:rsidRPr="00041678">
        <w:rPr>
          <w:noProof/>
        </w:rPr>
        <w:t xml:space="preserve"> 29</w:t>
      </w:r>
      <w:r w:rsidRPr="00041678">
        <w:rPr>
          <w:b/>
          <w:noProof/>
        </w:rPr>
        <w:t>,</w:t>
      </w:r>
      <w:r w:rsidRPr="00041678">
        <w:rPr>
          <w:noProof/>
        </w:rPr>
        <w:t xml:space="preserve"> 883.</w:t>
      </w:r>
    </w:p>
    <w:p w14:paraId="555FFDA0" w14:textId="77777777" w:rsidR="00041678" w:rsidRPr="00041678" w:rsidRDefault="00041678" w:rsidP="00041678">
      <w:pPr>
        <w:pStyle w:val="EndNoteBibliography"/>
        <w:spacing w:after="0"/>
        <w:ind w:left="720" w:hanging="720"/>
        <w:rPr>
          <w:noProof/>
        </w:rPr>
      </w:pPr>
      <w:r w:rsidRPr="00041678">
        <w:rPr>
          <w:noProof/>
        </w:rPr>
        <w:t xml:space="preserve">SPALLONE, V., MORGANTI, R., D'AMATO, C., GRECO, C., CACCIOTTI, L. &amp; MARFIA, G. A. 2012. Validation of DN4 as a screening tool for neuropathic pain in painful diabetic polyneuropathy. </w:t>
      </w:r>
      <w:r w:rsidRPr="00041678">
        <w:rPr>
          <w:i/>
          <w:noProof/>
        </w:rPr>
        <w:t>Diabet Med,</w:t>
      </w:r>
      <w:r w:rsidRPr="00041678">
        <w:rPr>
          <w:noProof/>
        </w:rPr>
        <w:t xml:space="preserve"> 29</w:t>
      </w:r>
      <w:r w:rsidRPr="00041678">
        <w:rPr>
          <w:b/>
          <w:noProof/>
        </w:rPr>
        <w:t>,</w:t>
      </w:r>
      <w:r w:rsidRPr="00041678">
        <w:rPr>
          <w:noProof/>
        </w:rPr>
        <w:t xml:space="preserve"> 578-85.</w:t>
      </w:r>
    </w:p>
    <w:p w14:paraId="7B4A7E57" w14:textId="77777777" w:rsidR="00041678" w:rsidRPr="00041678" w:rsidRDefault="00041678" w:rsidP="00041678">
      <w:pPr>
        <w:pStyle w:val="EndNoteBibliography"/>
        <w:spacing w:after="0"/>
        <w:ind w:left="720" w:hanging="720"/>
        <w:rPr>
          <w:noProof/>
        </w:rPr>
      </w:pPr>
      <w:r w:rsidRPr="00041678">
        <w:rPr>
          <w:noProof/>
        </w:rPr>
        <w:t xml:space="preserve">STITT, A. W., LI, Y. M., GARDINER, T. A., BUCALA, R., ARCHER, D. B. &amp; VLASSARA, H. 1997. Advanced glycation end products ( AGEs) co- localize with AGE receptors in the retinal vasculature of diabetic and of AGE- infused rats. </w:t>
      </w:r>
      <w:r w:rsidRPr="00041678">
        <w:rPr>
          <w:i/>
          <w:noProof/>
        </w:rPr>
        <w:t>The American journal of pathology,</w:t>
      </w:r>
      <w:r w:rsidRPr="00041678">
        <w:rPr>
          <w:noProof/>
        </w:rPr>
        <w:t xml:space="preserve"> 150</w:t>
      </w:r>
      <w:r w:rsidRPr="00041678">
        <w:rPr>
          <w:b/>
          <w:noProof/>
        </w:rPr>
        <w:t>,</w:t>
      </w:r>
      <w:r w:rsidRPr="00041678">
        <w:rPr>
          <w:noProof/>
        </w:rPr>
        <w:t xml:space="preserve"> 523.</w:t>
      </w:r>
    </w:p>
    <w:p w14:paraId="1BF3728F" w14:textId="77777777" w:rsidR="00041678" w:rsidRPr="00041678" w:rsidRDefault="00041678" w:rsidP="00041678">
      <w:pPr>
        <w:pStyle w:val="EndNoteBibliography"/>
        <w:spacing w:after="0"/>
        <w:ind w:left="720" w:hanging="720"/>
        <w:rPr>
          <w:noProof/>
        </w:rPr>
      </w:pPr>
      <w:r w:rsidRPr="00041678">
        <w:rPr>
          <w:noProof/>
        </w:rPr>
        <w:t xml:space="preserve">STRAUBE, S., DERRY, S., MOORE, R. A. &amp; MCQUAY, H. J. 2010. Vitamin D for the treatment of chronic painful conditions in adults. </w:t>
      </w:r>
      <w:r w:rsidRPr="00041678">
        <w:rPr>
          <w:i/>
          <w:noProof/>
        </w:rPr>
        <w:t>Cochrane Database of Systematic Reviews</w:t>
      </w:r>
      <w:r w:rsidRPr="00041678">
        <w:rPr>
          <w:noProof/>
        </w:rPr>
        <w:t>.</w:t>
      </w:r>
    </w:p>
    <w:p w14:paraId="10827298" w14:textId="65CEACE5" w:rsidR="00041678" w:rsidRPr="00041678" w:rsidRDefault="00041678" w:rsidP="00041678">
      <w:pPr>
        <w:pStyle w:val="EndNoteBibliography"/>
        <w:spacing w:after="0"/>
        <w:ind w:left="720" w:hanging="720"/>
        <w:rPr>
          <w:noProof/>
        </w:rPr>
      </w:pPr>
      <w:r w:rsidRPr="00041678">
        <w:rPr>
          <w:noProof/>
        </w:rPr>
        <w:t xml:space="preserve">SUNDKVIST, G., DAHLIN, L. B., NILSSON, H., ERIKSSON, K. F., LINDGÄRDE, F., ROSÉN, I., LATTIMER, S. A., SIMA, A. A., SULLIVAN, K. &amp; GREENE, D. A. 2000. Sorbitol and myo- inositol levels and morphology of sural nerve in relation to peripheral nerve function and clinical neuropathy in men with diabetic, impaired, and normal glucose tolerance. </w:t>
      </w:r>
      <w:r w:rsidRPr="00041678">
        <w:rPr>
          <w:i/>
          <w:noProof/>
        </w:rPr>
        <w:t xml:space="preserve">Diabetic </w:t>
      </w:r>
      <w:r w:rsidR="006C6009">
        <w:rPr>
          <w:i/>
          <w:noProof/>
        </w:rPr>
        <w:t>M</w:t>
      </w:r>
      <w:r w:rsidRPr="00041678">
        <w:rPr>
          <w:i/>
          <w:noProof/>
        </w:rPr>
        <w:t>edicine,</w:t>
      </w:r>
      <w:r w:rsidRPr="00041678">
        <w:rPr>
          <w:noProof/>
        </w:rPr>
        <w:t xml:space="preserve"> 17</w:t>
      </w:r>
      <w:r w:rsidRPr="00041678">
        <w:rPr>
          <w:b/>
          <w:noProof/>
        </w:rPr>
        <w:t>,</w:t>
      </w:r>
      <w:r w:rsidRPr="00041678">
        <w:rPr>
          <w:noProof/>
        </w:rPr>
        <w:t xml:space="preserve"> 259.</w:t>
      </w:r>
    </w:p>
    <w:p w14:paraId="0F040399" w14:textId="77777777" w:rsidR="00041678" w:rsidRPr="00041678" w:rsidRDefault="00041678" w:rsidP="00041678">
      <w:pPr>
        <w:pStyle w:val="EndNoteBibliography"/>
        <w:spacing w:after="0"/>
        <w:ind w:left="720" w:hanging="720"/>
        <w:rPr>
          <w:noProof/>
        </w:rPr>
      </w:pPr>
      <w:r w:rsidRPr="00041678">
        <w:rPr>
          <w:noProof/>
        </w:rPr>
        <w:t xml:space="preserve">TAYLOR, B. K. 2001. Pathophysiologic mechanisms of neuropathic pain. </w:t>
      </w:r>
      <w:r w:rsidRPr="00041678">
        <w:rPr>
          <w:i/>
          <w:noProof/>
        </w:rPr>
        <w:t>Current pain and headache reports,</w:t>
      </w:r>
      <w:r w:rsidRPr="00041678">
        <w:rPr>
          <w:noProof/>
        </w:rPr>
        <w:t xml:space="preserve"> 5</w:t>
      </w:r>
      <w:r w:rsidRPr="00041678">
        <w:rPr>
          <w:b/>
          <w:noProof/>
        </w:rPr>
        <w:t>,</w:t>
      </w:r>
      <w:r w:rsidRPr="00041678">
        <w:rPr>
          <w:noProof/>
        </w:rPr>
        <w:t xml:space="preserve"> 151.</w:t>
      </w:r>
    </w:p>
    <w:p w14:paraId="72048A15" w14:textId="77777777" w:rsidR="00041678" w:rsidRPr="00041678" w:rsidRDefault="00041678" w:rsidP="00041678">
      <w:pPr>
        <w:pStyle w:val="EndNoteBibliography"/>
        <w:spacing w:after="0"/>
        <w:ind w:left="720" w:hanging="720"/>
        <w:rPr>
          <w:noProof/>
        </w:rPr>
      </w:pPr>
      <w:r w:rsidRPr="00041678">
        <w:rPr>
          <w:noProof/>
        </w:rPr>
        <w:t xml:space="preserve">TAYLOR, B. K. 2009. Spinal inhibitory neurotransmission in neuropathic pain. </w:t>
      </w:r>
      <w:r w:rsidRPr="00041678">
        <w:rPr>
          <w:i/>
          <w:noProof/>
        </w:rPr>
        <w:t>Current pain and headache reports,</w:t>
      </w:r>
      <w:r w:rsidRPr="00041678">
        <w:rPr>
          <w:noProof/>
        </w:rPr>
        <w:t xml:space="preserve"> 13</w:t>
      </w:r>
      <w:r w:rsidRPr="00041678">
        <w:rPr>
          <w:b/>
          <w:noProof/>
        </w:rPr>
        <w:t>,</w:t>
      </w:r>
      <w:r w:rsidRPr="00041678">
        <w:rPr>
          <w:noProof/>
        </w:rPr>
        <w:t xml:space="preserve"> 208.</w:t>
      </w:r>
    </w:p>
    <w:p w14:paraId="27938F3D" w14:textId="77777777" w:rsidR="00041678" w:rsidRPr="00041678" w:rsidRDefault="00041678" w:rsidP="00041678">
      <w:pPr>
        <w:pStyle w:val="EndNoteBibliography"/>
        <w:spacing w:after="0"/>
        <w:ind w:left="720" w:hanging="720"/>
        <w:rPr>
          <w:noProof/>
        </w:rPr>
      </w:pPr>
      <w:r w:rsidRPr="00041678">
        <w:rPr>
          <w:noProof/>
        </w:rPr>
        <w:lastRenderedPageBreak/>
        <w:t xml:space="preserve">TEH, C. F., ZASLAVSKY, A. M., REYNOLDS, C. F. &amp; CLEARY, P. D. 2010. Effect of depression treatment on chronic pain outcomes. </w:t>
      </w:r>
      <w:r w:rsidRPr="00041678">
        <w:rPr>
          <w:i/>
          <w:noProof/>
        </w:rPr>
        <w:t>Psychosom Med,</w:t>
      </w:r>
      <w:r w:rsidRPr="00041678">
        <w:rPr>
          <w:noProof/>
        </w:rPr>
        <w:t xml:space="preserve"> 72</w:t>
      </w:r>
      <w:r w:rsidRPr="00041678">
        <w:rPr>
          <w:b/>
          <w:noProof/>
        </w:rPr>
        <w:t>,</w:t>
      </w:r>
      <w:r w:rsidRPr="00041678">
        <w:rPr>
          <w:noProof/>
        </w:rPr>
        <w:t xml:space="preserve"> 61-7.</w:t>
      </w:r>
    </w:p>
    <w:p w14:paraId="2C08BDCA" w14:textId="77777777" w:rsidR="00041678" w:rsidRPr="00041678" w:rsidRDefault="00041678" w:rsidP="00041678">
      <w:pPr>
        <w:pStyle w:val="EndNoteBibliography"/>
        <w:spacing w:after="0"/>
        <w:ind w:left="720" w:hanging="720"/>
        <w:rPr>
          <w:noProof/>
        </w:rPr>
      </w:pPr>
      <w:r w:rsidRPr="00041678">
        <w:rPr>
          <w:noProof/>
        </w:rPr>
        <w:t xml:space="preserve">TESFAYE, S., BOULTON, A. J. M. &amp; DICKENSON, A. H. 2013. Mechanisms and management of diabetic painful distal symmetrical polyneuropathy. </w:t>
      </w:r>
      <w:r w:rsidRPr="00041678">
        <w:rPr>
          <w:i/>
          <w:noProof/>
        </w:rPr>
        <w:t>Diabetes care,</w:t>
      </w:r>
      <w:r w:rsidRPr="00041678">
        <w:rPr>
          <w:noProof/>
        </w:rPr>
        <w:t xml:space="preserve"> 36</w:t>
      </w:r>
      <w:r w:rsidRPr="00041678">
        <w:rPr>
          <w:b/>
          <w:noProof/>
        </w:rPr>
        <w:t>,</w:t>
      </w:r>
      <w:r w:rsidRPr="00041678">
        <w:rPr>
          <w:noProof/>
        </w:rPr>
        <w:t xml:space="preserve"> 2456.</w:t>
      </w:r>
    </w:p>
    <w:p w14:paraId="412D212E" w14:textId="77777777" w:rsidR="00041678" w:rsidRPr="00041678" w:rsidRDefault="00041678" w:rsidP="00041678">
      <w:pPr>
        <w:pStyle w:val="EndNoteBibliography"/>
        <w:spacing w:after="0"/>
        <w:ind w:left="720" w:hanging="720"/>
        <w:rPr>
          <w:noProof/>
        </w:rPr>
      </w:pPr>
      <w:r w:rsidRPr="00041678">
        <w:rPr>
          <w:noProof/>
        </w:rPr>
        <w:t xml:space="preserve">TESFAYE, S., CHATURVEDI, N., EATON, S. E. M., WARD, J. D., MANES, C., IONESCU-TIRGOVISTE, C., WITTE, D. R., FULLER, J. H. &amp; IONESCU-TIRGOVISTE, C. 2005. Vascular risk factors and diabetic neuropathy. </w:t>
      </w:r>
      <w:r w:rsidRPr="00041678">
        <w:rPr>
          <w:i/>
          <w:noProof/>
        </w:rPr>
        <w:t>The New England journal of medicine,</w:t>
      </w:r>
      <w:r w:rsidRPr="00041678">
        <w:rPr>
          <w:noProof/>
        </w:rPr>
        <w:t xml:space="preserve"> 352</w:t>
      </w:r>
      <w:r w:rsidRPr="00041678">
        <w:rPr>
          <w:b/>
          <w:noProof/>
        </w:rPr>
        <w:t>,</w:t>
      </w:r>
      <w:r w:rsidRPr="00041678">
        <w:rPr>
          <w:noProof/>
        </w:rPr>
        <w:t xml:space="preserve"> 341.</w:t>
      </w:r>
    </w:p>
    <w:p w14:paraId="7A11DBA1" w14:textId="77777777" w:rsidR="00041678" w:rsidRPr="00041678" w:rsidRDefault="00041678" w:rsidP="00041678">
      <w:pPr>
        <w:pStyle w:val="EndNoteBibliography"/>
        <w:spacing w:after="0"/>
        <w:ind w:left="720" w:hanging="720"/>
        <w:rPr>
          <w:noProof/>
        </w:rPr>
      </w:pPr>
      <w:r w:rsidRPr="00041678">
        <w:rPr>
          <w:noProof/>
        </w:rPr>
        <w:t xml:space="preserve">TESFAYE, S. &amp; KEMPLER, P. 2005. Painful diabetic neuropathy. </w:t>
      </w:r>
      <w:r w:rsidRPr="00041678">
        <w:rPr>
          <w:i/>
          <w:noProof/>
        </w:rPr>
        <w:t>Diabetologia,</w:t>
      </w:r>
      <w:r w:rsidRPr="00041678">
        <w:rPr>
          <w:noProof/>
        </w:rPr>
        <w:t xml:space="preserve"> 48</w:t>
      </w:r>
      <w:r w:rsidRPr="00041678">
        <w:rPr>
          <w:b/>
          <w:noProof/>
        </w:rPr>
        <w:t>,</w:t>
      </w:r>
      <w:r w:rsidRPr="00041678">
        <w:rPr>
          <w:noProof/>
        </w:rPr>
        <w:t xml:space="preserve"> 805.</w:t>
      </w:r>
    </w:p>
    <w:p w14:paraId="2D830725" w14:textId="77777777" w:rsidR="00041678" w:rsidRPr="00041678" w:rsidRDefault="00041678" w:rsidP="00041678">
      <w:pPr>
        <w:pStyle w:val="EndNoteBibliography"/>
        <w:spacing w:after="0"/>
        <w:ind w:left="720" w:hanging="720"/>
        <w:rPr>
          <w:noProof/>
        </w:rPr>
      </w:pPr>
      <w:r w:rsidRPr="00041678">
        <w:rPr>
          <w:noProof/>
        </w:rPr>
        <w:t xml:space="preserve">TESFAYE, S., MALIK, R., HARRIS, N., JAKUBOWSKI, J. J., MODY, C., RENNIE, I. G. &amp; WARD, J. D. 1996a. Arterio-venous shunting and proliferating new vessels in acute painful neuropathy of rapid glycaemic control (insulin neuritis). </w:t>
      </w:r>
      <w:r w:rsidRPr="00041678">
        <w:rPr>
          <w:i/>
          <w:noProof/>
        </w:rPr>
        <w:t>Diabetologia,</w:t>
      </w:r>
      <w:r w:rsidRPr="00041678">
        <w:rPr>
          <w:noProof/>
        </w:rPr>
        <w:t xml:space="preserve"> 39</w:t>
      </w:r>
      <w:r w:rsidRPr="00041678">
        <w:rPr>
          <w:b/>
          <w:noProof/>
        </w:rPr>
        <w:t>,</w:t>
      </w:r>
      <w:r w:rsidRPr="00041678">
        <w:rPr>
          <w:noProof/>
        </w:rPr>
        <w:t xml:space="preserve"> 329-35.</w:t>
      </w:r>
    </w:p>
    <w:p w14:paraId="0D271166" w14:textId="77777777" w:rsidR="00041678" w:rsidRPr="00041678" w:rsidRDefault="00041678" w:rsidP="00041678">
      <w:pPr>
        <w:pStyle w:val="EndNoteBibliography"/>
        <w:spacing w:after="0"/>
        <w:ind w:left="720" w:hanging="720"/>
        <w:rPr>
          <w:noProof/>
        </w:rPr>
      </w:pPr>
      <w:r w:rsidRPr="00041678">
        <w:rPr>
          <w:noProof/>
        </w:rPr>
        <w:t xml:space="preserve">TESFAYE, S., STEVENS, L. K., STEPHENSON, J. M., FULLER, J. H., PLATER, M., IONESCU-TIRGOVISTE, C., NUBER, A., POZZA, G., WARD, J. D. &amp; IONESCU-TIRGOVISTE, C. 1996b. Prevalence of diabetic peripheral neuropathy and its relation to glycaemic control and potential risk factors: the EURODIAB IDDM Complications Study. </w:t>
      </w:r>
      <w:r w:rsidRPr="00041678">
        <w:rPr>
          <w:i/>
          <w:noProof/>
        </w:rPr>
        <w:t>Diabetologia,</w:t>
      </w:r>
      <w:r w:rsidRPr="00041678">
        <w:rPr>
          <w:noProof/>
        </w:rPr>
        <w:t xml:space="preserve"> 39</w:t>
      </w:r>
      <w:r w:rsidRPr="00041678">
        <w:rPr>
          <w:b/>
          <w:noProof/>
        </w:rPr>
        <w:t>,</w:t>
      </w:r>
      <w:r w:rsidRPr="00041678">
        <w:rPr>
          <w:noProof/>
        </w:rPr>
        <w:t xml:space="preserve"> 1377.</w:t>
      </w:r>
    </w:p>
    <w:p w14:paraId="126551DF" w14:textId="77777777" w:rsidR="00041678" w:rsidRPr="00041678" w:rsidRDefault="00041678" w:rsidP="00041678">
      <w:pPr>
        <w:pStyle w:val="EndNoteBibliography"/>
        <w:spacing w:after="0"/>
        <w:ind w:left="720" w:hanging="720"/>
        <w:rPr>
          <w:noProof/>
        </w:rPr>
      </w:pPr>
      <w:r w:rsidRPr="00041678">
        <w:rPr>
          <w:noProof/>
        </w:rPr>
        <w:t xml:space="preserve">THEMISTOCLEOUS, A. C., RAMIREZ, J. D., SHILLO, P. R., LEES, J. G., SELVARAJAH, D., ORENGO, C., TESFAYE, S., RICE, A. S. &amp; BENNETT, D. L. 2016. The Pain in Neuropathy Study (PiNS): a cross-sectional observational study determining the somatosensory phenotype of painful and painless diabetic neuropathy. </w:t>
      </w:r>
      <w:r w:rsidRPr="00041678">
        <w:rPr>
          <w:i/>
          <w:noProof/>
        </w:rPr>
        <w:t>Pain,</w:t>
      </w:r>
      <w:r w:rsidRPr="00041678">
        <w:rPr>
          <w:noProof/>
        </w:rPr>
        <w:t xml:space="preserve"> 157</w:t>
      </w:r>
      <w:r w:rsidRPr="00041678">
        <w:rPr>
          <w:b/>
          <w:noProof/>
        </w:rPr>
        <w:t>,</w:t>
      </w:r>
      <w:r w:rsidRPr="00041678">
        <w:rPr>
          <w:noProof/>
        </w:rPr>
        <w:t xml:space="preserve"> 1132-45.</w:t>
      </w:r>
    </w:p>
    <w:p w14:paraId="1C90FDF4" w14:textId="77777777" w:rsidR="00041678" w:rsidRPr="00041678" w:rsidRDefault="00041678" w:rsidP="00041678">
      <w:pPr>
        <w:pStyle w:val="EndNoteBibliography"/>
        <w:spacing w:after="0"/>
        <w:ind w:left="720" w:hanging="720"/>
        <w:rPr>
          <w:noProof/>
        </w:rPr>
      </w:pPr>
      <w:r w:rsidRPr="00041678">
        <w:rPr>
          <w:noProof/>
        </w:rPr>
        <w:t xml:space="preserve">THORNALLEY, P. J. 2003. Glyoxalase I-- structure, function and a critical role in the enzymatic defence against glycation. </w:t>
      </w:r>
      <w:r w:rsidRPr="00041678">
        <w:rPr>
          <w:i/>
          <w:noProof/>
        </w:rPr>
        <w:t>Biochemical Society transactions,</w:t>
      </w:r>
      <w:r w:rsidRPr="00041678">
        <w:rPr>
          <w:noProof/>
        </w:rPr>
        <w:t xml:space="preserve"> 31</w:t>
      </w:r>
      <w:r w:rsidRPr="00041678">
        <w:rPr>
          <w:b/>
          <w:noProof/>
        </w:rPr>
        <w:t>,</w:t>
      </w:r>
      <w:r w:rsidRPr="00041678">
        <w:rPr>
          <w:noProof/>
        </w:rPr>
        <w:t xml:space="preserve"> 1343.</w:t>
      </w:r>
    </w:p>
    <w:p w14:paraId="0BD639B9" w14:textId="77777777" w:rsidR="00041678" w:rsidRPr="00041678" w:rsidRDefault="00041678" w:rsidP="00041678">
      <w:pPr>
        <w:pStyle w:val="EndNoteBibliography"/>
        <w:spacing w:after="0"/>
        <w:ind w:left="720" w:hanging="720"/>
        <w:rPr>
          <w:noProof/>
        </w:rPr>
      </w:pPr>
      <w:r w:rsidRPr="00041678">
        <w:rPr>
          <w:noProof/>
        </w:rPr>
        <w:t xml:space="preserve">THORNALLEY, P. J. 2005. Dicarbonyl intermediates in the maillard reaction. </w:t>
      </w:r>
      <w:r w:rsidRPr="00041678">
        <w:rPr>
          <w:i/>
          <w:noProof/>
        </w:rPr>
        <w:t>Annals of the New York Academy of Sciences,</w:t>
      </w:r>
      <w:r w:rsidRPr="00041678">
        <w:rPr>
          <w:noProof/>
        </w:rPr>
        <w:t xml:space="preserve"> 1043</w:t>
      </w:r>
      <w:r w:rsidRPr="00041678">
        <w:rPr>
          <w:b/>
          <w:noProof/>
        </w:rPr>
        <w:t>,</w:t>
      </w:r>
      <w:r w:rsidRPr="00041678">
        <w:rPr>
          <w:noProof/>
        </w:rPr>
        <w:t xml:space="preserve"> 111.</w:t>
      </w:r>
    </w:p>
    <w:p w14:paraId="00EBB8DF" w14:textId="77777777" w:rsidR="00041678" w:rsidRPr="00041678" w:rsidRDefault="00041678" w:rsidP="00041678">
      <w:pPr>
        <w:pStyle w:val="EndNoteBibliography"/>
        <w:spacing w:after="0"/>
        <w:ind w:left="720" w:hanging="720"/>
        <w:rPr>
          <w:noProof/>
        </w:rPr>
      </w:pPr>
      <w:r w:rsidRPr="00041678">
        <w:rPr>
          <w:noProof/>
        </w:rPr>
        <w:t xml:space="preserve">TREEDE, R. D., JENSEN, T. S., CAMPBELL, J. N., CRUCCU, G., DOSTROVSKY, J. O., GRIFFIN, J. W., HANSSON, P., HUGHES, R., NURMIKKO, T., SERRA, J. &amp; TREEDE, R. D. 2008. Neuropathic pain: redefinition and a grading system for clinical and research purposes. </w:t>
      </w:r>
      <w:r w:rsidRPr="00041678">
        <w:rPr>
          <w:i/>
          <w:noProof/>
        </w:rPr>
        <w:t>Neurology,</w:t>
      </w:r>
      <w:r w:rsidRPr="00041678">
        <w:rPr>
          <w:noProof/>
        </w:rPr>
        <w:t xml:space="preserve"> 70</w:t>
      </w:r>
      <w:r w:rsidRPr="00041678">
        <w:rPr>
          <w:b/>
          <w:noProof/>
        </w:rPr>
        <w:t>,</w:t>
      </w:r>
      <w:r w:rsidRPr="00041678">
        <w:rPr>
          <w:noProof/>
        </w:rPr>
        <w:t xml:space="preserve"> 1630.</w:t>
      </w:r>
    </w:p>
    <w:p w14:paraId="0329DDEF" w14:textId="77777777" w:rsidR="00041678" w:rsidRPr="00041678" w:rsidRDefault="00041678" w:rsidP="00041678">
      <w:pPr>
        <w:pStyle w:val="EndNoteBibliography"/>
        <w:spacing w:after="0"/>
        <w:ind w:left="720" w:hanging="720"/>
        <w:rPr>
          <w:noProof/>
        </w:rPr>
      </w:pPr>
      <w:r w:rsidRPr="00041678">
        <w:rPr>
          <w:noProof/>
        </w:rPr>
        <w:t xml:space="preserve">VALDÉS, M., COLLADO, A., BARGALLÓ, N., VÁZQUEZ, M., RAMI, L., GÓMEZ, E. &amp; SALAMERO, M. 2010. Increased glutamate/glutamine compounds in the brains of patients with fibromyalgia: a magnetic resonance spectroscopy study. </w:t>
      </w:r>
      <w:r w:rsidRPr="00041678">
        <w:rPr>
          <w:i/>
          <w:noProof/>
        </w:rPr>
        <w:t>Arthritis Rheum,</w:t>
      </w:r>
      <w:r w:rsidRPr="00041678">
        <w:rPr>
          <w:noProof/>
        </w:rPr>
        <w:t xml:space="preserve"> 62</w:t>
      </w:r>
      <w:r w:rsidRPr="00041678">
        <w:rPr>
          <w:b/>
          <w:noProof/>
        </w:rPr>
        <w:t>,</w:t>
      </w:r>
      <w:r w:rsidRPr="00041678">
        <w:rPr>
          <w:noProof/>
        </w:rPr>
        <w:t xml:space="preserve"> 1829-36.</w:t>
      </w:r>
    </w:p>
    <w:p w14:paraId="3BDAD4B3" w14:textId="77777777" w:rsidR="00041678" w:rsidRPr="00041678" w:rsidRDefault="00041678" w:rsidP="00041678">
      <w:pPr>
        <w:pStyle w:val="EndNoteBibliography"/>
        <w:spacing w:after="0"/>
        <w:ind w:left="720" w:hanging="720"/>
        <w:rPr>
          <w:noProof/>
        </w:rPr>
      </w:pPr>
      <w:r w:rsidRPr="00041678">
        <w:rPr>
          <w:noProof/>
        </w:rPr>
        <w:t xml:space="preserve">VERA-PORTOCARRERO, L. P., ZHANG, E. T., OSSIPOV, M. H., XIE, J. Y., KING, T., LAI, J., PORRECA, F., VERA-PORTOCARRERO, L. P. &amp; ZHANG, E. T. 2006. Descending facilitation from the rostral ventromedial medulla maintains nerve injury- induced central sensitization. </w:t>
      </w:r>
      <w:r w:rsidRPr="00041678">
        <w:rPr>
          <w:i/>
          <w:noProof/>
        </w:rPr>
        <w:t>Neuroscience,</w:t>
      </w:r>
      <w:r w:rsidRPr="00041678">
        <w:rPr>
          <w:noProof/>
        </w:rPr>
        <w:t xml:space="preserve"> 140</w:t>
      </w:r>
      <w:r w:rsidRPr="00041678">
        <w:rPr>
          <w:b/>
          <w:noProof/>
        </w:rPr>
        <w:t>,</w:t>
      </w:r>
      <w:r w:rsidRPr="00041678">
        <w:rPr>
          <w:noProof/>
        </w:rPr>
        <w:t xml:space="preserve"> 1311.</w:t>
      </w:r>
    </w:p>
    <w:p w14:paraId="1B55890E" w14:textId="77777777" w:rsidR="00041678" w:rsidRPr="00041678" w:rsidRDefault="00041678" w:rsidP="00041678">
      <w:pPr>
        <w:pStyle w:val="EndNoteBibliography"/>
        <w:spacing w:after="0"/>
        <w:ind w:left="720" w:hanging="720"/>
        <w:rPr>
          <w:noProof/>
        </w:rPr>
      </w:pPr>
      <w:r w:rsidRPr="00041678">
        <w:rPr>
          <w:noProof/>
        </w:rPr>
        <w:t xml:space="preserve">VEVES, A., BACKONJA, M. &amp; MALIK, R. A. 2008. Painful diabetic neuropathy: epidemiology, natural history, early diagnosis, and treatment options. </w:t>
      </w:r>
      <w:r w:rsidRPr="00041678">
        <w:rPr>
          <w:i/>
          <w:noProof/>
        </w:rPr>
        <w:t>Pain medicine (Malden, Mass.),</w:t>
      </w:r>
      <w:r w:rsidRPr="00041678">
        <w:rPr>
          <w:noProof/>
        </w:rPr>
        <w:t xml:space="preserve"> 9</w:t>
      </w:r>
      <w:r w:rsidRPr="00041678">
        <w:rPr>
          <w:b/>
          <w:noProof/>
        </w:rPr>
        <w:t>,</w:t>
      </w:r>
      <w:r w:rsidRPr="00041678">
        <w:rPr>
          <w:noProof/>
        </w:rPr>
        <w:t xml:space="preserve"> 660.</w:t>
      </w:r>
    </w:p>
    <w:p w14:paraId="6CC9E943" w14:textId="77777777" w:rsidR="00041678" w:rsidRPr="00041678" w:rsidRDefault="00041678" w:rsidP="00041678">
      <w:pPr>
        <w:pStyle w:val="EndNoteBibliography"/>
        <w:spacing w:after="0"/>
        <w:ind w:left="720" w:hanging="720"/>
        <w:rPr>
          <w:noProof/>
        </w:rPr>
      </w:pPr>
      <w:r w:rsidRPr="00041678">
        <w:rPr>
          <w:noProof/>
        </w:rPr>
        <w:t xml:space="preserve">VOUILLARMET, J., MAUCORT-BOULCH, D., MICHON, P., THIVOLET, C. &amp; MAUCORT-BOULCH, D. 2013. Advanced glycation end products assessed by skin autofluorescence: a new marker of diabetic foot ulceration. </w:t>
      </w:r>
      <w:r w:rsidRPr="00041678">
        <w:rPr>
          <w:i/>
          <w:noProof/>
        </w:rPr>
        <w:t>Diabetes technology &amp;amp; therapeutics,</w:t>
      </w:r>
      <w:r w:rsidRPr="00041678">
        <w:rPr>
          <w:noProof/>
        </w:rPr>
        <w:t xml:space="preserve"> 15</w:t>
      </w:r>
      <w:r w:rsidRPr="00041678">
        <w:rPr>
          <w:b/>
          <w:noProof/>
        </w:rPr>
        <w:t>,</w:t>
      </w:r>
      <w:r w:rsidRPr="00041678">
        <w:rPr>
          <w:noProof/>
        </w:rPr>
        <w:t xml:space="preserve"> 601.</w:t>
      </w:r>
    </w:p>
    <w:p w14:paraId="2EA64EF9" w14:textId="77777777" w:rsidR="00041678" w:rsidRPr="00041678" w:rsidRDefault="00041678" w:rsidP="00041678">
      <w:pPr>
        <w:pStyle w:val="EndNoteBibliography"/>
        <w:spacing w:after="0"/>
        <w:ind w:left="720" w:hanging="720"/>
        <w:rPr>
          <w:noProof/>
        </w:rPr>
      </w:pPr>
      <w:r w:rsidRPr="00041678">
        <w:rPr>
          <w:noProof/>
        </w:rPr>
        <w:t xml:space="preserve">WATSON, C. J. 2016. Insular balance of glutamatergic and GABAergic signaling modulates pain processing. </w:t>
      </w:r>
      <w:r w:rsidRPr="00041678">
        <w:rPr>
          <w:i/>
          <w:noProof/>
        </w:rPr>
        <w:t>Pain,</w:t>
      </w:r>
      <w:r w:rsidRPr="00041678">
        <w:rPr>
          <w:noProof/>
        </w:rPr>
        <w:t xml:space="preserve"> 157</w:t>
      </w:r>
      <w:r w:rsidRPr="00041678">
        <w:rPr>
          <w:b/>
          <w:noProof/>
        </w:rPr>
        <w:t>,</w:t>
      </w:r>
      <w:r w:rsidRPr="00041678">
        <w:rPr>
          <w:noProof/>
        </w:rPr>
        <w:t xml:space="preserve"> 2194-207.</w:t>
      </w:r>
    </w:p>
    <w:p w14:paraId="28098664" w14:textId="77777777" w:rsidR="00041678" w:rsidRPr="00041678" w:rsidRDefault="00041678" w:rsidP="00041678">
      <w:pPr>
        <w:pStyle w:val="EndNoteBibliography"/>
        <w:spacing w:after="0"/>
        <w:ind w:left="720" w:hanging="720"/>
        <w:rPr>
          <w:noProof/>
        </w:rPr>
      </w:pPr>
      <w:r w:rsidRPr="00041678">
        <w:rPr>
          <w:noProof/>
        </w:rPr>
        <w:t xml:space="preserve">WIDERSTRÖM-NOGA, E., PATTANY, P. M., CRUZ-ALMEIDA, Y., FELIX, E. R., PEREZ, S., CARDENAS, D. D. &amp; MARTINEZ-ARIZALA, A. 2013. Metabolite concentrations in </w:t>
      </w:r>
      <w:r w:rsidRPr="00041678">
        <w:rPr>
          <w:noProof/>
        </w:rPr>
        <w:lastRenderedPageBreak/>
        <w:t xml:space="preserve">the anterior cingulate cortex predict high neuropathic pain impact after spinal cord injury. </w:t>
      </w:r>
      <w:r w:rsidRPr="00041678">
        <w:rPr>
          <w:i/>
          <w:noProof/>
        </w:rPr>
        <w:t>Pain,</w:t>
      </w:r>
      <w:r w:rsidRPr="00041678">
        <w:rPr>
          <w:noProof/>
        </w:rPr>
        <w:t xml:space="preserve"> 154</w:t>
      </w:r>
      <w:r w:rsidRPr="00041678">
        <w:rPr>
          <w:b/>
          <w:noProof/>
        </w:rPr>
        <w:t>,</w:t>
      </w:r>
      <w:r w:rsidRPr="00041678">
        <w:rPr>
          <w:noProof/>
        </w:rPr>
        <w:t xml:space="preserve"> 204-212.</w:t>
      </w:r>
    </w:p>
    <w:p w14:paraId="38F3BDE2" w14:textId="77777777" w:rsidR="00041678" w:rsidRPr="00041678" w:rsidRDefault="00041678" w:rsidP="00041678">
      <w:pPr>
        <w:pStyle w:val="EndNoteBibliography"/>
        <w:spacing w:after="0"/>
        <w:ind w:left="720" w:hanging="720"/>
        <w:rPr>
          <w:noProof/>
        </w:rPr>
      </w:pPr>
      <w:r w:rsidRPr="00041678">
        <w:rPr>
          <w:noProof/>
        </w:rPr>
        <w:t xml:space="preserve">WONG, G. Y. &amp; GAVVA, N. R. 2009. Therapeutic potential of vanilloid receptor TRPV1 agonists and antagonists as analgesics: Recent advances and setbacks. </w:t>
      </w:r>
      <w:r w:rsidRPr="00041678">
        <w:rPr>
          <w:i/>
          <w:noProof/>
        </w:rPr>
        <w:t>Brain research reviews,</w:t>
      </w:r>
      <w:r w:rsidRPr="00041678">
        <w:rPr>
          <w:noProof/>
        </w:rPr>
        <w:t xml:space="preserve"> 60</w:t>
      </w:r>
      <w:r w:rsidRPr="00041678">
        <w:rPr>
          <w:b/>
          <w:noProof/>
        </w:rPr>
        <w:t>,</w:t>
      </w:r>
      <w:r w:rsidRPr="00041678">
        <w:rPr>
          <w:noProof/>
        </w:rPr>
        <w:t xml:space="preserve"> 267.</w:t>
      </w:r>
    </w:p>
    <w:p w14:paraId="7AB39F5D" w14:textId="77777777" w:rsidR="00041678" w:rsidRPr="00041678" w:rsidRDefault="00041678" w:rsidP="00041678">
      <w:pPr>
        <w:pStyle w:val="EndNoteBibliography"/>
        <w:spacing w:after="0"/>
        <w:ind w:left="720" w:hanging="720"/>
        <w:rPr>
          <w:noProof/>
        </w:rPr>
      </w:pPr>
      <w:r w:rsidRPr="00041678">
        <w:rPr>
          <w:noProof/>
        </w:rPr>
        <w:t xml:space="preserve">YEN, L. D., BENNETT, G. J., RIBEIRO-DA-SILVA, A. &amp; RIBEIRO-DA-SILVA, A. 2006. Sympathetic sprouting and changes in nociceptive sensory innervation in the glabrous skin of the rat hind paw following partial peripheral nerve injury. </w:t>
      </w:r>
      <w:r w:rsidRPr="00041678">
        <w:rPr>
          <w:i/>
          <w:noProof/>
        </w:rPr>
        <w:t>The Journal of comparative neurology,</w:t>
      </w:r>
      <w:r w:rsidRPr="00041678">
        <w:rPr>
          <w:noProof/>
        </w:rPr>
        <w:t xml:space="preserve"> 495</w:t>
      </w:r>
      <w:r w:rsidRPr="00041678">
        <w:rPr>
          <w:b/>
          <w:noProof/>
        </w:rPr>
        <w:t>,</w:t>
      </w:r>
      <w:r w:rsidRPr="00041678">
        <w:rPr>
          <w:noProof/>
        </w:rPr>
        <w:t xml:space="preserve"> 679.</w:t>
      </w:r>
    </w:p>
    <w:p w14:paraId="7217B20D" w14:textId="77777777" w:rsidR="00041678" w:rsidRPr="00041678" w:rsidRDefault="00041678" w:rsidP="00041678">
      <w:pPr>
        <w:pStyle w:val="EndNoteBibliography"/>
        <w:spacing w:after="0"/>
        <w:ind w:left="720" w:hanging="720"/>
        <w:rPr>
          <w:noProof/>
        </w:rPr>
      </w:pPr>
      <w:r w:rsidRPr="00041678">
        <w:rPr>
          <w:noProof/>
        </w:rPr>
        <w:t xml:space="preserve">YILDIZ-YESILOGLU, A. &amp; ANKERST, D. P. 2006. Review of 1H magnetic resonance spectroscopy findings in major depressive disorder: a meta-analysis. </w:t>
      </w:r>
      <w:r w:rsidRPr="00041678">
        <w:rPr>
          <w:i/>
          <w:noProof/>
        </w:rPr>
        <w:t>Psychiatry Res,</w:t>
      </w:r>
      <w:r w:rsidRPr="00041678">
        <w:rPr>
          <w:noProof/>
        </w:rPr>
        <w:t xml:space="preserve"> 147</w:t>
      </w:r>
      <w:r w:rsidRPr="00041678">
        <w:rPr>
          <w:b/>
          <w:noProof/>
        </w:rPr>
        <w:t>,</w:t>
      </w:r>
      <w:r w:rsidRPr="00041678">
        <w:rPr>
          <w:noProof/>
        </w:rPr>
        <w:t xml:space="preserve"> 1-25.</w:t>
      </w:r>
    </w:p>
    <w:p w14:paraId="305329CC" w14:textId="77777777" w:rsidR="00041678" w:rsidRPr="00041678" w:rsidRDefault="00041678" w:rsidP="00041678">
      <w:pPr>
        <w:pStyle w:val="EndNoteBibliography"/>
        <w:spacing w:after="0"/>
        <w:ind w:left="720" w:hanging="720"/>
        <w:rPr>
          <w:noProof/>
        </w:rPr>
      </w:pPr>
      <w:r w:rsidRPr="00041678">
        <w:rPr>
          <w:noProof/>
        </w:rPr>
        <w:t xml:space="preserve">YOUNG, M. J., BOULTON, A. J., MACLEOD, A. F., WILLIAMS, D. R., SONKSEN, P. H. &amp; MACLEOD, A. F. 1993. A multicentre study of the prevalence of diabetic peripheral neuropathy in the United Kingdom hospital clinic population. </w:t>
      </w:r>
      <w:r w:rsidRPr="00041678">
        <w:rPr>
          <w:i/>
          <w:noProof/>
        </w:rPr>
        <w:t>Diabetologia,</w:t>
      </w:r>
      <w:r w:rsidRPr="00041678">
        <w:rPr>
          <w:noProof/>
        </w:rPr>
        <w:t xml:space="preserve"> 36</w:t>
      </w:r>
      <w:r w:rsidRPr="00041678">
        <w:rPr>
          <w:b/>
          <w:noProof/>
        </w:rPr>
        <w:t>,</w:t>
      </w:r>
      <w:r w:rsidRPr="00041678">
        <w:rPr>
          <w:noProof/>
        </w:rPr>
        <w:t xml:space="preserve"> 150.</w:t>
      </w:r>
    </w:p>
    <w:p w14:paraId="7D0F6B77" w14:textId="77777777" w:rsidR="00041678" w:rsidRPr="00041678" w:rsidRDefault="00041678" w:rsidP="00041678">
      <w:pPr>
        <w:pStyle w:val="EndNoteBibliography"/>
        <w:spacing w:after="0"/>
        <w:ind w:left="720" w:hanging="720"/>
        <w:rPr>
          <w:noProof/>
        </w:rPr>
      </w:pPr>
      <w:r w:rsidRPr="00041678">
        <w:rPr>
          <w:noProof/>
        </w:rPr>
        <w:t xml:space="preserve">YUEN, K. C., BAKER, N. R. &amp; RAYMAN, G. 2002. Treatment of chronic painful diabetic neuropathy with isosorbide dinitrate spray: a double-blind placebo-controlled cross-over study. </w:t>
      </w:r>
      <w:r w:rsidRPr="00041678">
        <w:rPr>
          <w:i/>
          <w:noProof/>
        </w:rPr>
        <w:t>Diabetes Care,</w:t>
      </w:r>
      <w:r w:rsidRPr="00041678">
        <w:rPr>
          <w:noProof/>
        </w:rPr>
        <w:t xml:space="preserve"> 25</w:t>
      </w:r>
      <w:r w:rsidRPr="00041678">
        <w:rPr>
          <w:b/>
          <w:noProof/>
        </w:rPr>
        <w:t>,</w:t>
      </w:r>
      <w:r w:rsidRPr="00041678">
        <w:rPr>
          <w:noProof/>
        </w:rPr>
        <w:t xml:space="preserve"> 1699-703.</w:t>
      </w:r>
    </w:p>
    <w:p w14:paraId="716A93AC" w14:textId="77777777" w:rsidR="00041678" w:rsidRPr="00041678" w:rsidRDefault="00041678" w:rsidP="00041678">
      <w:pPr>
        <w:pStyle w:val="EndNoteBibliography"/>
        <w:spacing w:after="0"/>
        <w:ind w:left="720" w:hanging="720"/>
        <w:rPr>
          <w:noProof/>
        </w:rPr>
      </w:pPr>
      <w:r w:rsidRPr="00041678">
        <w:rPr>
          <w:noProof/>
        </w:rPr>
        <w:t xml:space="preserve">ZHANG, P., ZHANG, X., BROWN, J., VISTISEN, D., SICREE, R., SHAW, J. &amp; NICHOLS, G. 2010. Global healthcare expenditure on diabetes for 2010 and 2030. </w:t>
      </w:r>
      <w:r w:rsidRPr="00041678">
        <w:rPr>
          <w:i/>
          <w:noProof/>
        </w:rPr>
        <w:t>Diabetes Research and Clinical Practice,</w:t>
      </w:r>
      <w:r w:rsidRPr="00041678">
        <w:rPr>
          <w:noProof/>
        </w:rPr>
        <w:t xml:space="preserve"> 87</w:t>
      </w:r>
      <w:r w:rsidRPr="00041678">
        <w:rPr>
          <w:b/>
          <w:noProof/>
        </w:rPr>
        <w:t>,</w:t>
      </w:r>
      <w:r w:rsidRPr="00041678">
        <w:rPr>
          <w:noProof/>
        </w:rPr>
        <w:t xml:space="preserve"> 293-301.</w:t>
      </w:r>
    </w:p>
    <w:p w14:paraId="56BE3DF4" w14:textId="77777777" w:rsidR="00041678" w:rsidRPr="00041678" w:rsidRDefault="00041678" w:rsidP="00041678">
      <w:pPr>
        <w:pStyle w:val="EndNoteBibliography"/>
        <w:spacing w:after="0"/>
        <w:ind w:left="720" w:hanging="720"/>
        <w:rPr>
          <w:noProof/>
        </w:rPr>
      </w:pPr>
      <w:r w:rsidRPr="00041678">
        <w:rPr>
          <w:noProof/>
        </w:rPr>
        <w:t xml:space="preserve">ZHOU, Y.-K., LIANG, Z., GUO, Y., ZHANG, H.-T. &amp; WANG, K.-H. 2015. High glucose upregulates CYP24A1 expression which attenuates the ability of 1,25( OH) 2D3 to increase NGF secretion in a rat Schwann cell line RSC96. </w:t>
      </w:r>
      <w:r w:rsidRPr="00041678">
        <w:rPr>
          <w:i/>
          <w:noProof/>
        </w:rPr>
        <w:t>Molecular and Cellular Endocrinology,</w:t>
      </w:r>
      <w:r w:rsidRPr="00041678">
        <w:rPr>
          <w:noProof/>
        </w:rPr>
        <w:t xml:space="preserve"> 404</w:t>
      </w:r>
      <w:r w:rsidRPr="00041678">
        <w:rPr>
          <w:b/>
          <w:noProof/>
        </w:rPr>
        <w:t>,</w:t>
      </w:r>
      <w:r w:rsidRPr="00041678">
        <w:rPr>
          <w:noProof/>
        </w:rPr>
        <w:t xml:space="preserve"> 75-81.</w:t>
      </w:r>
    </w:p>
    <w:p w14:paraId="3D911848" w14:textId="75695F39" w:rsidR="00041678" w:rsidRPr="00041678" w:rsidRDefault="00041678" w:rsidP="00041678">
      <w:pPr>
        <w:pStyle w:val="EndNoteBibliography"/>
        <w:spacing w:after="0"/>
        <w:ind w:left="720" w:hanging="720"/>
        <w:rPr>
          <w:noProof/>
        </w:rPr>
      </w:pPr>
      <w:r w:rsidRPr="00041678">
        <w:rPr>
          <w:noProof/>
        </w:rPr>
        <w:t xml:space="preserve">ZHUANG, Z.-Y., XU, H., CLAPHAM, D. E., JI, R.-R., ZHUANG, Z.-Y. &amp; JI, R.-R. 2004. Phosphatidylinositol 3- kinase activates ERK in primary sensory neurons and mediates inflammatory heat hyperalgesia through TRPV1 sensitization. </w:t>
      </w:r>
      <w:r w:rsidRPr="00041678">
        <w:rPr>
          <w:i/>
          <w:noProof/>
        </w:rPr>
        <w:t>J</w:t>
      </w:r>
      <w:r w:rsidR="006C6009">
        <w:rPr>
          <w:i/>
          <w:noProof/>
        </w:rPr>
        <w:t>.</w:t>
      </w:r>
      <w:r w:rsidRPr="00041678">
        <w:rPr>
          <w:i/>
          <w:noProof/>
        </w:rPr>
        <w:t xml:space="preserve"> </w:t>
      </w:r>
      <w:r w:rsidR="006C6009">
        <w:rPr>
          <w:i/>
          <w:noProof/>
        </w:rPr>
        <w:t>N</w:t>
      </w:r>
      <w:bookmarkStart w:id="171" w:name="_GoBack"/>
      <w:bookmarkEnd w:id="171"/>
      <w:r w:rsidRPr="00041678">
        <w:rPr>
          <w:i/>
          <w:noProof/>
        </w:rPr>
        <w:t>euroscience,</w:t>
      </w:r>
      <w:r w:rsidRPr="00041678">
        <w:rPr>
          <w:noProof/>
        </w:rPr>
        <w:t xml:space="preserve"> 24</w:t>
      </w:r>
      <w:r w:rsidRPr="00041678">
        <w:rPr>
          <w:b/>
          <w:noProof/>
        </w:rPr>
        <w:t>,</w:t>
      </w:r>
      <w:r w:rsidRPr="00041678">
        <w:rPr>
          <w:noProof/>
        </w:rPr>
        <w:t xml:space="preserve"> 8300.</w:t>
      </w:r>
    </w:p>
    <w:p w14:paraId="53F2480C" w14:textId="77777777" w:rsidR="00041678" w:rsidRPr="00041678" w:rsidRDefault="00041678" w:rsidP="00041678">
      <w:pPr>
        <w:pStyle w:val="EndNoteBibliography"/>
        <w:spacing w:after="0"/>
        <w:ind w:left="720" w:hanging="720"/>
        <w:rPr>
          <w:noProof/>
        </w:rPr>
      </w:pPr>
      <w:r w:rsidRPr="00041678">
        <w:rPr>
          <w:noProof/>
        </w:rPr>
        <w:t xml:space="preserve">ZIEGLER, D., GRIES, F. A., SPÜLER, M. &amp; LESSMANN, F. 1993. The epidemiology of diabetic neuropathy. DiaCAN Multicenter Study Group. </w:t>
      </w:r>
      <w:r w:rsidRPr="00041678">
        <w:rPr>
          <w:i/>
          <w:noProof/>
        </w:rPr>
        <w:t>Diabet Med,</w:t>
      </w:r>
      <w:r w:rsidRPr="00041678">
        <w:rPr>
          <w:noProof/>
        </w:rPr>
        <w:t xml:space="preserve"> 10 Suppl 2</w:t>
      </w:r>
      <w:r w:rsidRPr="00041678">
        <w:rPr>
          <w:b/>
          <w:noProof/>
        </w:rPr>
        <w:t>,</w:t>
      </w:r>
      <w:r w:rsidRPr="00041678">
        <w:rPr>
          <w:noProof/>
        </w:rPr>
        <w:t xml:space="preserve"> 82S-86S.</w:t>
      </w:r>
    </w:p>
    <w:p w14:paraId="1785C0B9" w14:textId="77777777" w:rsidR="00041678" w:rsidRPr="00041678" w:rsidRDefault="00041678" w:rsidP="00041678">
      <w:pPr>
        <w:pStyle w:val="EndNoteBibliography"/>
        <w:ind w:left="720" w:hanging="720"/>
        <w:rPr>
          <w:noProof/>
        </w:rPr>
      </w:pPr>
      <w:r w:rsidRPr="00041678">
        <w:rPr>
          <w:noProof/>
        </w:rPr>
        <w:t xml:space="preserve">ÜÇEYLER, N., VOLLERT, J., BROLL, B., RIEDIGER, N., LANGJAHR, M., SAFFER, N., SCHUBERT, A. L., SIEDLER, G. &amp; SOMMER, C. 2018. Sensory profiles and skin innervation of patients with painful and painless neuropathies. </w:t>
      </w:r>
      <w:r w:rsidRPr="00041678">
        <w:rPr>
          <w:i/>
          <w:noProof/>
        </w:rPr>
        <w:t>Pain,</w:t>
      </w:r>
      <w:r w:rsidRPr="00041678">
        <w:rPr>
          <w:noProof/>
        </w:rPr>
        <w:t xml:space="preserve"> 159</w:t>
      </w:r>
      <w:r w:rsidRPr="00041678">
        <w:rPr>
          <w:b/>
          <w:noProof/>
        </w:rPr>
        <w:t>,</w:t>
      </w:r>
      <w:r w:rsidRPr="00041678">
        <w:rPr>
          <w:noProof/>
        </w:rPr>
        <w:t xml:space="preserve"> 1867-1876.</w:t>
      </w:r>
    </w:p>
    <w:p w14:paraId="5A7D9344" w14:textId="1E394E83" w:rsidR="00B620B4" w:rsidRPr="00A33B11" w:rsidRDefault="00B620B4" w:rsidP="00B8299F">
      <w:pPr>
        <w:tabs>
          <w:tab w:val="left" w:pos="480"/>
          <w:tab w:val="right" w:pos="8299"/>
        </w:tabs>
        <w:spacing w:before="360" w:after="0" w:line="480" w:lineRule="auto"/>
        <w:jc w:val="both"/>
        <w:rPr>
          <w:rFonts w:ascii="Arial" w:hAnsi="Arial" w:cs="Arial"/>
        </w:rPr>
      </w:pPr>
      <w:r w:rsidRPr="00047565">
        <w:rPr>
          <w:rFonts w:ascii="Arial" w:hAnsi="Arial" w:cs="Arial"/>
          <w:lang w:val="nl-NL"/>
        </w:rPr>
        <w:fldChar w:fldCharType="end"/>
      </w:r>
    </w:p>
    <w:p w14:paraId="6B36333B" w14:textId="0316A6ED" w:rsidR="00CD3FEB" w:rsidRPr="00CD3FEB" w:rsidRDefault="00CD3FEB" w:rsidP="007B47E4">
      <w:pPr>
        <w:tabs>
          <w:tab w:val="left" w:pos="480"/>
          <w:tab w:val="right" w:pos="8299"/>
        </w:tabs>
        <w:spacing w:before="360" w:after="0" w:line="480" w:lineRule="auto"/>
        <w:jc w:val="both"/>
        <w:rPr>
          <w:rFonts w:ascii="Arial" w:hAnsi="Arial" w:cs="Arial"/>
          <w:b/>
          <w:sz w:val="28"/>
          <w:szCs w:val="28"/>
        </w:rPr>
      </w:pPr>
    </w:p>
    <w:sectPr w:rsidR="00CD3FEB" w:rsidRPr="00CD3FEB" w:rsidSect="00D964A0">
      <w:footerReference w:type="even" r:id="rId33"/>
      <w:footerReference w:type="default" r:id="rId34"/>
      <w:pgSz w:w="11900" w:h="16820"/>
      <w:pgMar w:top="1440" w:right="1440" w:bottom="1440" w:left="1440" w:header="709" w:footer="709"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A22BF0" w14:textId="77777777" w:rsidR="00C279F2" w:rsidRDefault="00C279F2" w:rsidP="0024591C">
      <w:pPr>
        <w:spacing w:after="0"/>
      </w:pPr>
      <w:r>
        <w:separator/>
      </w:r>
    </w:p>
  </w:endnote>
  <w:endnote w:type="continuationSeparator" w:id="0">
    <w:p w14:paraId="6F5ED6B1" w14:textId="77777777" w:rsidR="00C279F2" w:rsidRDefault="00C279F2" w:rsidP="0024591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
    <w:altName w:val="Arial Unicode MS"/>
    <w:panose1 w:val="020B0604020202020204"/>
    <w:charset w:val="80"/>
    <w:family w:val="auto"/>
    <w:notTrueType/>
    <w:pitch w:val="variable"/>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panose1 w:val="0200050000000000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Neue">
    <w:panose1 w:val="02000503000000020004"/>
    <w:charset w:val="00"/>
    <w:family w:val="auto"/>
    <w:pitch w:val="variable"/>
    <w:sig w:usb0="E50002FF" w:usb1="500079DB" w:usb2="00000010" w:usb3="00000000" w:csb0="00000001"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4C6DB8" w14:textId="77777777" w:rsidR="005F20A7" w:rsidRDefault="005F20A7" w:rsidP="006836A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19DE0B" w14:textId="77777777" w:rsidR="005F20A7" w:rsidRDefault="005F20A7" w:rsidP="006836A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85661E" w14:textId="3C9CA489" w:rsidR="005F20A7" w:rsidRDefault="005F20A7" w:rsidP="006836A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112</w:t>
    </w:r>
    <w:r>
      <w:rPr>
        <w:rStyle w:val="PageNumber"/>
      </w:rPr>
      <w:fldChar w:fldCharType="end"/>
    </w:r>
  </w:p>
  <w:p w14:paraId="5CAB54C1" w14:textId="77777777" w:rsidR="005F20A7" w:rsidRDefault="005F20A7" w:rsidP="006836A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33E071" w14:textId="77777777" w:rsidR="00C279F2" w:rsidRDefault="00C279F2" w:rsidP="0024591C">
      <w:pPr>
        <w:spacing w:after="0"/>
      </w:pPr>
      <w:r>
        <w:separator/>
      </w:r>
    </w:p>
  </w:footnote>
  <w:footnote w:type="continuationSeparator" w:id="0">
    <w:p w14:paraId="1E019F97" w14:textId="77777777" w:rsidR="00C279F2" w:rsidRDefault="00C279F2" w:rsidP="0024591C">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977EE"/>
    <w:multiLevelType w:val="hybridMultilevel"/>
    <w:tmpl w:val="7FA0C068"/>
    <w:lvl w:ilvl="0" w:tplc="D49CE30E">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862B8F2">
      <w:start w:val="1"/>
      <w:numFmt w:val="bullet"/>
      <w:lvlText w:val="o"/>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9446C24">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7C8C7C8">
      <w:start w:val="1"/>
      <w:numFmt w:val="bullet"/>
      <w:lvlText w:val="·"/>
      <w:lvlJc w:val="left"/>
      <w:pPr>
        <w:ind w:left="36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1056D4">
      <w:start w:val="1"/>
      <w:numFmt w:val="bullet"/>
      <w:lvlText w:val="o"/>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DE29274">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27EBC52">
      <w:start w:val="1"/>
      <w:numFmt w:val="bullet"/>
      <w:lvlText w:val="·"/>
      <w:lvlJc w:val="left"/>
      <w:pPr>
        <w:ind w:left="57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848A024">
      <w:start w:val="1"/>
      <w:numFmt w:val="bullet"/>
      <w:lvlText w:val="o"/>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112EB8E">
      <w:start w:val="1"/>
      <w:numFmt w:val="bullet"/>
      <w:lvlText w:val="▪"/>
      <w:lvlJc w:val="left"/>
      <w:pPr>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4DD30BC"/>
    <w:multiLevelType w:val="hybridMultilevel"/>
    <w:tmpl w:val="BE820052"/>
    <w:lvl w:ilvl="0" w:tplc="AC34D494">
      <w:start w:val="1"/>
      <w:numFmt w:val="decimal"/>
      <w:lvlText w:val="%1)"/>
      <w:lvlJc w:val="left"/>
      <w:pPr>
        <w:ind w:left="128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AE9ADBAA">
      <w:start w:val="1"/>
      <w:numFmt w:val="lowerLetter"/>
      <w:lvlText w:val="%2."/>
      <w:lvlJc w:val="left"/>
      <w:pPr>
        <w:ind w:left="200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9FEC8B2C">
      <w:start w:val="1"/>
      <w:numFmt w:val="lowerRoman"/>
      <w:lvlText w:val="%3."/>
      <w:lvlJc w:val="left"/>
      <w:pPr>
        <w:ind w:left="2727" w:hanging="313"/>
      </w:pPr>
      <w:rPr>
        <w:rFonts w:hAnsi="Arial Unicode MS"/>
        <w:b/>
        <w:bCs/>
        <w:caps w:val="0"/>
        <w:smallCaps w:val="0"/>
        <w:strike w:val="0"/>
        <w:dstrike w:val="0"/>
        <w:outline w:val="0"/>
        <w:emboss w:val="0"/>
        <w:imprint w:val="0"/>
        <w:spacing w:val="0"/>
        <w:w w:val="100"/>
        <w:kern w:val="0"/>
        <w:position w:val="0"/>
        <w:highlight w:val="none"/>
        <w:vertAlign w:val="baseline"/>
      </w:rPr>
    </w:lvl>
    <w:lvl w:ilvl="3" w:tplc="B072A99A">
      <w:start w:val="1"/>
      <w:numFmt w:val="decimal"/>
      <w:lvlText w:val="%4."/>
      <w:lvlJc w:val="left"/>
      <w:pPr>
        <w:ind w:left="344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FFD2A19C">
      <w:start w:val="1"/>
      <w:numFmt w:val="lowerLetter"/>
      <w:lvlText w:val="%5."/>
      <w:lvlJc w:val="left"/>
      <w:pPr>
        <w:ind w:left="416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8FDED19A">
      <w:start w:val="1"/>
      <w:numFmt w:val="lowerRoman"/>
      <w:lvlText w:val="%6."/>
      <w:lvlJc w:val="left"/>
      <w:pPr>
        <w:ind w:left="4887" w:hanging="313"/>
      </w:pPr>
      <w:rPr>
        <w:rFonts w:hAnsi="Arial Unicode MS"/>
        <w:b/>
        <w:bCs/>
        <w:caps w:val="0"/>
        <w:smallCaps w:val="0"/>
        <w:strike w:val="0"/>
        <w:dstrike w:val="0"/>
        <w:outline w:val="0"/>
        <w:emboss w:val="0"/>
        <w:imprint w:val="0"/>
        <w:spacing w:val="0"/>
        <w:w w:val="100"/>
        <w:kern w:val="0"/>
        <w:position w:val="0"/>
        <w:highlight w:val="none"/>
        <w:vertAlign w:val="baseline"/>
      </w:rPr>
    </w:lvl>
    <w:lvl w:ilvl="6" w:tplc="8FCE44EE">
      <w:start w:val="1"/>
      <w:numFmt w:val="decimal"/>
      <w:lvlText w:val="%7."/>
      <w:lvlJc w:val="left"/>
      <w:pPr>
        <w:ind w:left="560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B7B29F20">
      <w:start w:val="1"/>
      <w:numFmt w:val="lowerLetter"/>
      <w:lvlText w:val="%8."/>
      <w:lvlJc w:val="left"/>
      <w:pPr>
        <w:ind w:left="632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2BA6C840">
      <w:start w:val="1"/>
      <w:numFmt w:val="lowerRoman"/>
      <w:lvlText w:val="%9."/>
      <w:lvlJc w:val="left"/>
      <w:pPr>
        <w:ind w:left="7047" w:hanging="313"/>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B90528C"/>
    <w:multiLevelType w:val="hybridMultilevel"/>
    <w:tmpl w:val="1E7CF17C"/>
    <w:lvl w:ilvl="0" w:tplc="B0C62268">
      <w:start w:val="1"/>
      <w:numFmt w:val="decimal"/>
      <w:lvlText w:val="%1)"/>
      <w:lvlJc w:val="left"/>
      <w:pPr>
        <w:ind w:left="128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5E9CF9E6">
      <w:start w:val="1"/>
      <w:numFmt w:val="lowerLetter"/>
      <w:lvlText w:val="%2."/>
      <w:lvlJc w:val="left"/>
      <w:pPr>
        <w:ind w:left="200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B53C5E9E">
      <w:start w:val="1"/>
      <w:numFmt w:val="lowerRoman"/>
      <w:lvlText w:val="%3."/>
      <w:lvlJc w:val="left"/>
      <w:pPr>
        <w:ind w:left="2727" w:hanging="313"/>
      </w:pPr>
      <w:rPr>
        <w:rFonts w:hAnsi="Arial Unicode MS"/>
        <w:b/>
        <w:bCs/>
        <w:caps w:val="0"/>
        <w:smallCaps w:val="0"/>
        <w:strike w:val="0"/>
        <w:dstrike w:val="0"/>
        <w:outline w:val="0"/>
        <w:emboss w:val="0"/>
        <w:imprint w:val="0"/>
        <w:spacing w:val="0"/>
        <w:w w:val="100"/>
        <w:kern w:val="0"/>
        <w:position w:val="0"/>
        <w:highlight w:val="none"/>
        <w:vertAlign w:val="baseline"/>
      </w:rPr>
    </w:lvl>
    <w:lvl w:ilvl="3" w:tplc="551A3596">
      <w:start w:val="1"/>
      <w:numFmt w:val="decimal"/>
      <w:lvlText w:val="%4."/>
      <w:lvlJc w:val="left"/>
      <w:pPr>
        <w:ind w:left="344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17CC70D0">
      <w:start w:val="1"/>
      <w:numFmt w:val="lowerLetter"/>
      <w:lvlText w:val="%5."/>
      <w:lvlJc w:val="left"/>
      <w:pPr>
        <w:ind w:left="416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67F80D2A">
      <w:start w:val="1"/>
      <w:numFmt w:val="lowerRoman"/>
      <w:lvlText w:val="%6."/>
      <w:lvlJc w:val="left"/>
      <w:pPr>
        <w:ind w:left="4887" w:hanging="313"/>
      </w:pPr>
      <w:rPr>
        <w:rFonts w:hAnsi="Arial Unicode MS"/>
        <w:b/>
        <w:bCs/>
        <w:caps w:val="0"/>
        <w:smallCaps w:val="0"/>
        <w:strike w:val="0"/>
        <w:dstrike w:val="0"/>
        <w:outline w:val="0"/>
        <w:emboss w:val="0"/>
        <w:imprint w:val="0"/>
        <w:spacing w:val="0"/>
        <w:w w:val="100"/>
        <w:kern w:val="0"/>
        <w:position w:val="0"/>
        <w:highlight w:val="none"/>
        <w:vertAlign w:val="baseline"/>
      </w:rPr>
    </w:lvl>
    <w:lvl w:ilvl="6" w:tplc="4870860A">
      <w:start w:val="1"/>
      <w:numFmt w:val="decimal"/>
      <w:lvlText w:val="%7."/>
      <w:lvlJc w:val="left"/>
      <w:pPr>
        <w:ind w:left="560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B83C758A">
      <w:start w:val="1"/>
      <w:numFmt w:val="lowerLetter"/>
      <w:lvlText w:val="%8."/>
      <w:lvlJc w:val="left"/>
      <w:pPr>
        <w:ind w:left="632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8B4AF9DC">
      <w:start w:val="1"/>
      <w:numFmt w:val="lowerRoman"/>
      <w:lvlText w:val="%9."/>
      <w:lvlJc w:val="left"/>
      <w:pPr>
        <w:ind w:left="7047" w:hanging="313"/>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10233362"/>
    <w:multiLevelType w:val="hybridMultilevel"/>
    <w:tmpl w:val="FB6E3F6A"/>
    <w:lvl w:ilvl="0" w:tplc="3FBEDDAE">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92E4AE8">
      <w:start w:val="1"/>
      <w:numFmt w:val="bullet"/>
      <w:lvlText w:val="o"/>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4561AB0">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72247E0">
      <w:start w:val="1"/>
      <w:numFmt w:val="bullet"/>
      <w:lvlText w:val="·"/>
      <w:lvlJc w:val="left"/>
      <w:pPr>
        <w:ind w:left="36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9E67062">
      <w:start w:val="1"/>
      <w:numFmt w:val="bullet"/>
      <w:lvlText w:val="o"/>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360E862">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2E64060">
      <w:start w:val="1"/>
      <w:numFmt w:val="bullet"/>
      <w:lvlText w:val="·"/>
      <w:lvlJc w:val="left"/>
      <w:pPr>
        <w:ind w:left="57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390F5D8">
      <w:start w:val="1"/>
      <w:numFmt w:val="bullet"/>
      <w:lvlText w:val="o"/>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58AF684">
      <w:start w:val="1"/>
      <w:numFmt w:val="bullet"/>
      <w:lvlText w:val="▪"/>
      <w:lvlJc w:val="left"/>
      <w:pPr>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153D01C1"/>
    <w:multiLevelType w:val="hybridMultilevel"/>
    <w:tmpl w:val="EC82C7A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16EC044E"/>
    <w:multiLevelType w:val="hybridMultilevel"/>
    <w:tmpl w:val="8F5654E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200C2917"/>
    <w:multiLevelType w:val="hybridMultilevel"/>
    <w:tmpl w:val="1C7876F2"/>
    <w:lvl w:ilvl="0" w:tplc="B27847F4">
      <w:start w:val="1"/>
      <w:numFmt w:val="upperLetter"/>
      <w:lvlText w:val="%1."/>
      <w:lvlJc w:val="left"/>
      <w:pPr>
        <w:ind w:left="7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B676830E">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40986E1A">
      <w:start w:val="1"/>
      <w:numFmt w:val="lowerRoman"/>
      <w:lvlText w:val="%3."/>
      <w:lvlJc w:val="left"/>
      <w:pPr>
        <w:ind w:left="2160" w:hanging="313"/>
      </w:pPr>
      <w:rPr>
        <w:rFonts w:hAnsi="Arial Unicode MS"/>
        <w:b/>
        <w:bCs/>
        <w:caps w:val="0"/>
        <w:smallCaps w:val="0"/>
        <w:strike w:val="0"/>
        <w:dstrike w:val="0"/>
        <w:outline w:val="0"/>
        <w:emboss w:val="0"/>
        <w:imprint w:val="0"/>
        <w:spacing w:val="0"/>
        <w:w w:val="100"/>
        <w:kern w:val="0"/>
        <w:position w:val="0"/>
        <w:highlight w:val="none"/>
        <w:vertAlign w:val="baseline"/>
      </w:rPr>
    </w:lvl>
    <w:lvl w:ilvl="3" w:tplc="45263922">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57605F82">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76D41BEE">
      <w:start w:val="1"/>
      <w:numFmt w:val="lowerRoman"/>
      <w:lvlText w:val="%6."/>
      <w:lvlJc w:val="left"/>
      <w:pPr>
        <w:ind w:left="4320" w:hanging="313"/>
      </w:pPr>
      <w:rPr>
        <w:rFonts w:hAnsi="Arial Unicode MS"/>
        <w:b/>
        <w:bCs/>
        <w:caps w:val="0"/>
        <w:smallCaps w:val="0"/>
        <w:strike w:val="0"/>
        <w:dstrike w:val="0"/>
        <w:outline w:val="0"/>
        <w:emboss w:val="0"/>
        <w:imprint w:val="0"/>
        <w:spacing w:val="0"/>
        <w:w w:val="100"/>
        <w:kern w:val="0"/>
        <w:position w:val="0"/>
        <w:highlight w:val="none"/>
        <w:vertAlign w:val="baseline"/>
      </w:rPr>
    </w:lvl>
    <w:lvl w:ilvl="6" w:tplc="01161DC4">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5CF8072C">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6C14CE24">
      <w:start w:val="1"/>
      <w:numFmt w:val="lowerRoman"/>
      <w:lvlText w:val="%9."/>
      <w:lvlJc w:val="left"/>
      <w:pPr>
        <w:ind w:left="6480" w:hanging="313"/>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21C673D4"/>
    <w:multiLevelType w:val="hybridMultilevel"/>
    <w:tmpl w:val="CA442712"/>
    <w:lvl w:ilvl="0" w:tplc="328EE5A8">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08CEC84">
      <w:start w:val="1"/>
      <w:numFmt w:val="bullet"/>
      <w:lvlText w:val="o"/>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4805EA2">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6B0C7A8">
      <w:start w:val="1"/>
      <w:numFmt w:val="bullet"/>
      <w:lvlText w:val="·"/>
      <w:lvlJc w:val="left"/>
      <w:pPr>
        <w:ind w:left="36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8E43300">
      <w:start w:val="1"/>
      <w:numFmt w:val="bullet"/>
      <w:lvlText w:val="o"/>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0D4D866">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F940AC8">
      <w:start w:val="1"/>
      <w:numFmt w:val="bullet"/>
      <w:lvlText w:val="·"/>
      <w:lvlJc w:val="left"/>
      <w:pPr>
        <w:ind w:left="57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9249A90">
      <w:start w:val="1"/>
      <w:numFmt w:val="bullet"/>
      <w:lvlText w:val="o"/>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5AE4CF0">
      <w:start w:val="1"/>
      <w:numFmt w:val="bullet"/>
      <w:lvlText w:val="▪"/>
      <w:lvlJc w:val="left"/>
      <w:pPr>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32953568"/>
    <w:multiLevelType w:val="hybridMultilevel"/>
    <w:tmpl w:val="8EB09ECE"/>
    <w:lvl w:ilvl="0" w:tplc="188AB9F6">
      <w:start w:val="1"/>
      <w:numFmt w:val="decimal"/>
      <w:lvlText w:val="%1)"/>
      <w:lvlJc w:val="left"/>
      <w:pPr>
        <w:ind w:left="1287" w:hanging="360"/>
      </w:pPr>
      <w:rPr>
        <w:rFonts w:hint="default"/>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9" w15:restartNumberingAfterBreak="0">
    <w:nsid w:val="365C3317"/>
    <w:multiLevelType w:val="hybridMultilevel"/>
    <w:tmpl w:val="AD08843E"/>
    <w:lvl w:ilvl="0" w:tplc="04090015">
      <w:start w:val="5"/>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67B409D"/>
    <w:multiLevelType w:val="hybridMultilevel"/>
    <w:tmpl w:val="13D2DECC"/>
    <w:lvl w:ilvl="0" w:tplc="BFDA96B4">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F4296FE">
      <w:start w:val="1"/>
      <w:numFmt w:val="bullet"/>
      <w:lvlText w:val="o"/>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6C6A552">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5E6B288">
      <w:start w:val="1"/>
      <w:numFmt w:val="bullet"/>
      <w:lvlText w:val="·"/>
      <w:lvlJc w:val="left"/>
      <w:pPr>
        <w:ind w:left="36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DC8C3CA">
      <w:start w:val="1"/>
      <w:numFmt w:val="bullet"/>
      <w:lvlText w:val="o"/>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1222148">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D8AD3DA">
      <w:start w:val="1"/>
      <w:numFmt w:val="bullet"/>
      <w:lvlText w:val="·"/>
      <w:lvlJc w:val="left"/>
      <w:pPr>
        <w:ind w:left="57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ADEC68E">
      <w:start w:val="1"/>
      <w:numFmt w:val="bullet"/>
      <w:lvlText w:val="o"/>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DB0F8C0">
      <w:start w:val="1"/>
      <w:numFmt w:val="bullet"/>
      <w:lvlText w:val="▪"/>
      <w:lvlJc w:val="left"/>
      <w:pPr>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37E454C5"/>
    <w:multiLevelType w:val="hybridMultilevel"/>
    <w:tmpl w:val="E29C138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B4E550C"/>
    <w:multiLevelType w:val="hybridMultilevel"/>
    <w:tmpl w:val="CD6E7E0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15:restartNumberingAfterBreak="0">
    <w:nsid w:val="45A2136E"/>
    <w:multiLevelType w:val="hybridMultilevel"/>
    <w:tmpl w:val="547C80A6"/>
    <w:numStyleLink w:val="ImportedStyle1"/>
  </w:abstractNum>
  <w:abstractNum w:abstractNumId="14" w15:restartNumberingAfterBreak="0">
    <w:nsid w:val="474A12A6"/>
    <w:multiLevelType w:val="hybridMultilevel"/>
    <w:tmpl w:val="547C80A6"/>
    <w:styleLink w:val="ImportedStyle1"/>
    <w:lvl w:ilvl="0" w:tplc="E6FE2C1C">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7340686">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D2C2A5C">
      <w:start w:val="1"/>
      <w:numFmt w:val="lowerRoman"/>
      <w:lvlText w:val="%3."/>
      <w:lvlJc w:val="left"/>
      <w:pPr>
        <w:ind w:left="2160" w:hanging="313"/>
      </w:pPr>
      <w:rPr>
        <w:rFonts w:hAnsi="Arial Unicode MS"/>
        <w:caps w:val="0"/>
        <w:smallCaps w:val="0"/>
        <w:strike w:val="0"/>
        <w:dstrike w:val="0"/>
        <w:outline w:val="0"/>
        <w:emboss w:val="0"/>
        <w:imprint w:val="0"/>
        <w:spacing w:val="0"/>
        <w:w w:val="100"/>
        <w:kern w:val="0"/>
        <w:position w:val="0"/>
        <w:highlight w:val="none"/>
        <w:vertAlign w:val="baseline"/>
      </w:rPr>
    </w:lvl>
    <w:lvl w:ilvl="3" w:tplc="58CCF39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44B0819E">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CA8A6D6">
      <w:start w:val="1"/>
      <w:numFmt w:val="lowerRoman"/>
      <w:lvlText w:val="%6."/>
      <w:lvlJc w:val="left"/>
      <w:pPr>
        <w:ind w:left="4320" w:hanging="313"/>
      </w:pPr>
      <w:rPr>
        <w:rFonts w:hAnsi="Arial Unicode MS"/>
        <w:caps w:val="0"/>
        <w:smallCaps w:val="0"/>
        <w:strike w:val="0"/>
        <w:dstrike w:val="0"/>
        <w:outline w:val="0"/>
        <w:emboss w:val="0"/>
        <w:imprint w:val="0"/>
        <w:spacing w:val="0"/>
        <w:w w:val="100"/>
        <w:kern w:val="0"/>
        <w:position w:val="0"/>
        <w:highlight w:val="none"/>
        <w:vertAlign w:val="baseline"/>
      </w:rPr>
    </w:lvl>
    <w:lvl w:ilvl="6" w:tplc="FE76B81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DEEC16C">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118EADA">
      <w:start w:val="1"/>
      <w:numFmt w:val="lowerRoman"/>
      <w:lvlText w:val="%9."/>
      <w:lvlJc w:val="left"/>
      <w:pPr>
        <w:ind w:left="6480" w:hanging="31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5" w15:restartNumberingAfterBreak="0">
    <w:nsid w:val="48EE0F8D"/>
    <w:multiLevelType w:val="hybridMultilevel"/>
    <w:tmpl w:val="85267F94"/>
    <w:lvl w:ilvl="0" w:tplc="D3F88F58">
      <w:start w:val="1"/>
      <w:numFmt w:val="decimal"/>
      <w:lvlText w:val="%1)"/>
      <w:lvlJc w:val="left"/>
      <w:pPr>
        <w:ind w:left="128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855C85EC">
      <w:start w:val="1"/>
      <w:numFmt w:val="lowerLetter"/>
      <w:lvlText w:val="%2."/>
      <w:lvlJc w:val="left"/>
      <w:pPr>
        <w:ind w:left="200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4DDEB2D0">
      <w:start w:val="1"/>
      <w:numFmt w:val="lowerRoman"/>
      <w:lvlText w:val="%3."/>
      <w:lvlJc w:val="left"/>
      <w:pPr>
        <w:ind w:left="2727" w:hanging="313"/>
      </w:pPr>
      <w:rPr>
        <w:rFonts w:hAnsi="Arial Unicode MS"/>
        <w:b/>
        <w:bCs/>
        <w:caps w:val="0"/>
        <w:smallCaps w:val="0"/>
        <w:strike w:val="0"/>
        <w:dstrike w:val="0"/>
        <w:outline w:val="0"/>
        <w:emboss w:val="0"/>
        <w:imprint w:val="0"/>
        <w:spacing w:val="0"/>
        <w:w w:val="100"/>
        <w:kern w:val="0"/>
        <w:position w:val="0"/>
        <w:highlight w:val="none"/>
        <w:vertAlign w:val="baseline"/>
      </w:rPr>
    </w:lvl>
    <w:lvl w:ilvl="3" w:tplc="6E7CF370">
      <w:start w:val="1"/>
      <w:numFmt w:val="decimal"/>
      <w:lvlText w:val="%4."/>
      <w:lvlJc w:val="left"/>
      <w:pPr>
        <w:ind w:left="344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B83A103C">
      <w:start w:val="1"/>
      <w:numFmt w:val="lowerLetter"/>
      <w:lvlText w:val="%5."/>
      <w:lvlJc w:val="left"/>
      <w:pPr>
        <w:ind w:left="416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19C26C70">
      <w:start w:val="1"/>
      <w:numFmt w:val="lowerRoman"/>
      <w:lvlText w:val="%6."/>
      <w:lvlJc w:val="left"/>
      <w:pPr>
        <w:ind w:left="4887" w:hanging="313"/>
      </w:pPr>
      <w:rPr>
        <w:rFonts w:hAnsi="Arial Unicode MS"/>
        <w:b/>
        <w:bCs/>
        <w:caps w:val="0"/>
        <w:smallCaps w:val="0"/>
        <w:strike w:val="0"/>
        <w:dstrike w:val="0"/>
        <w:outline w:val="0"/>
        <w:emboss w:val="0"/>
        <w:imprint w:val="0"/>
        <w:spacing w:val="0"/>
        <w:w w:val="100"/>
        <w:kern w:val="0"/>
        <w:position w:val="0"/>
        <w:highlight w:val="none"/>
        <w:vertAlign w:val="baseline"/>
      </w:rPr>
    </w:lvl>
    <w:lvl w:ilvl="6" w:tplc="666A4FE8">
      <w:start w:val="1"/>
      <w:numFmt w:val="decimal"/>
      <w:lvlText w:val="%7."/>
      <w:lvlJc w:val="left"/>
      <w:pPr>
        <w:ind w:left="560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01D81FB8">
      <w:start w:val="1"/>
      <w:numFmt w:val="lowerLetter"/>
      <w:lvlText w:val="%8."/>
      <w:lvlJc w:val="left"/>
      <w:pPr>
        <w:ind w:left="632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55ECADF0">
      <w:start w:val="1"/>
      <w:numFmt w:val="lowerRoman"/>
      <w:lvlText w:val="%9."/>
      <w:lvlJc w:val="left"/>
      <w:pPr>
        <w:ind w:left="7047" w:hanging="313"/>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65FB2353"/>
    <w:multiLevelType w:val="hybridMultilevel"/>
    <w:tmpl w:val="D742AFA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6E0F7A77"/>
    <w:multiLevelType w:val="hybridMultilevel"/>
    <w:tmpl w:val="2FE2694A"/>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8" w15:restartNumberingAfterBreak="0">
    <w:nsid w:val="74C20BFD"/>
    <w:multiLevelType w:val="hybridMultilevel"/>
    <w:tmpl w:val="0FBAD0E8"/>
    <w:lvl w:ilvl="0" w:tplc="D4AEAE42">
      <w:start w:val="1"/>
      <w:numFmt w:val="decimal"/>
      <w:lvlText w:val="%1)"/>
      <w:lvlJc w:val="left"/>
      <w:pPr>
        <w:ind w:left="128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AD66B904">
      <w:start w:val="1"/>
      <w:numFmt w:val="lowerLetter"/>
      <w:lvlText w:val="%2."/>
      <w:lvlJc w:val="left"/>
      <w:pPr>
        <w:ind w:left="200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5E4C127E">
      <w:start w:val="1"/>
      <w:numFmt w:val="lowerRoman"/>
      <w:lvlText w:val="%3."/>
      <w:lvlJc w:val="left"/>
      <w:pPr>
        <w:ind w:left="2727" w:hanging="313"/>
      </w:pPr>
      <w:rPr>
        <w:rFonts w:hAnsi="Arial Unicode MS"/>
        <w:b/>
        <w:bCs/>
        <w:caps w:val="0"/>
        <w:smallCaps w:val="0"/>
        <w:strike w:val="0"/>
        <w:dstrike w:val="0"/>
        <w:outline w:val="0"/>
        <w:emboss w:val="0"/>
        <w:imprint w:val="0"/>
        <w:spacing w:val="0"/>
        <w:w w:val="100"/>
        <w:kern w:val="0"/>
        <w:position w:val="0"/>
        <w:highlight w:val="none"/>
        <w:vertAlign w:val="baseline"/>
      </w:rPr>
    </w:lvl>
    <w:lvl w:ilvl="3" w:tplc="DAD26B46">
      <w:start w:val="1"/>
      <w:numFmt w:val="decimal"/>
      <w:lvlText w:val="%4."/>
      <w:lvlJc w:val="left"/>
      <w:pPr>
        <w:ind w:left="344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DC125FDC">
      <w:start w:val="1"/>
      <w:numFmt w:val="lowerLetter"/>
      <w:lvlText w:val="%5."/>
      <w:lvlJc w:val="left"/>
      <w:pPr>
        <w:ind w:left="416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E5BAD200">
      <w:start w:val="1"/>
      <w:numFmt w:val="lowerRoman"/>
      <w:lvlText w:val="%6."/>
      <w:lvlJc w:val="left"/>
      <w:pPr>
        <w:ind w:left="4887" w:hanging="313"/>
      </w:pPr>
      <w:rPr>
        <w:rFonts w:hAnsi="Arial Unicode MS"/>
        <w:b/>
        <w:bCs/>
        <w:caps w:val="0"/>
        <w:smallCaps w:val="0"/>
        <w:strike w:val="0"/>
        <w:dstrike w:val="0"/>
        <w:outline w:val="0"/>
        <w:emboss w:val="0"/>
        <w:imprint w:val="0"/>
        <w:spacing w:val="0"/>
        <w:w w:val="100"/>
        <w:kern w:val="0"/>
        <w:position w:val="0"/>
        <w:highlight w:val="none"/>
        <w:vertAlign w:val="baseline"/>
      </w:rPr>
    </w:lvl>
    <w:lvl w:ilvl="6" w:tplc="EC94B172">
      <w:start w:val="1"/>
      <w:numFmt w:val="decimal"/>
      <w:lvlText w:val="%7."/>
      <w:lvlJc w:val="left"/>
      <w:pPr>
        <w:ind w:left="560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DD048BAE">
      <w:start w:val="1"/>
      <w:numFmt w:val="lowerLetter"/>
      <w:lvlText w:val="%8."/>
      <w:lvlJc w:val="left"/>
      <w:pPr>
        <w:ind w:left="6327"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14BA9364">
      <w:start w:val="1"/>
      <w:numFmt w:val="lowerRoman"/>
      <w:lvlText w:val="%9."/>
      <w:lvlJc w:val="left"/>
      <w:pPr>
        <w:ind w:left="7047" w:hanging="313"/>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765B5CA9"/>
    <w:multiLevelType w:val="hybridMultilevel"/>
    <w:tmpl w:val="F0DCD62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7AFC56B7"/>
    <w:multiLevelType w:val="hybridMultilevel"/>
    <w:tmpl w:val="F1A016E6"/>
    <w:lvl w:ilvl="0" w:tplc="E39674C4">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434A886">
      <w:start w:val="1"/>
      <w:numFmt w:val="bullet"/>
      <w:lvlText w:val="o"/>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94E7C96">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BAC01E4">
      <w:start w:val="1"/>
      <w:numFmt w:val="bullet"/>
      <w:lvlText w:val="·"/>
      <w:lvlJc w:val="left"/>
      <w:pPr>
        <w:ind w:left="36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9C2608C">
      <w:start w:val="1"/>
      <w:numFmt w:val="bullet"/>
      <w:lvlText w:val="o"/>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C8637DC">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CFEFA80">
      <w:start w:val="1"/>
      <w:numFmt w:val="bullet"/>
      <w:lvlText w:val="·"/>
      <w:lvlJc w:val="left"/>
      <w:pPr>
        <w:ind w:left="57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0A237A">
      <w:start w:val="1"/>
      <w:numFmt w:val="bullet"/>
      <w:lvlText w:val="o"/>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E06893A">
      <w:start w:val="1"/>
      <w:numFmt w:val="bullet"/>
      <w:lvlText w:val="▪"/>
      <w:lvlJc w:val="left"/>
      <w:pPr>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11"/>
  </w:num>
  <w:num w:numId="2">
    <w:abstractNumId w:val="16"/>
  </w:num>
  <w:num w:numId="3">
    <w:abstractNumId w:val="12"/>
  </w:num>
  <w:num w:numId="4">
    <w:abstractNumId w:val="19"/>
  </w:num>
  <w:num w:numId="5">
    <w:abstractNumId w:val="5"/>
  </w:num>
  <w:num w:numId="6">
    <w:abstractNumId w:val="4"/>
  </w:num>
  <w:num w:numId="7">
    <w:abstractNumId w:val="8"/>
  </w:num>
  <w:num w:numId="8">
    <w:abstractNumId w:val="17"/>
  </w:num>
  <w:num w:numId="9">
    <w:abstractNumId w:val="14"/>
  </w:num>
  <w:num w:numId="10">
    <w:abstractNumId w:val="13"/>
  </w:num>
  <w:num w:numId="11">
    <w:abstractNumId w:val="6"/>
  </w:num>
  <w:num w:numId="12">
    <w:abstractNumId w:val="18"/>
  </w:num>
  <w:num w:numId="13">
    <w:abstractNumId w:val="0"/>
  </w:num>
  <w:num w:numId="14">
    <w:abstractNumId w:val="18"/>
    <w:lvlOverride w:ilvl="0">
      <w:startOverride w:val="2"/>
    </w:lvlOverride>
  </w:num>
  <w:num w:numId="15">
    <w:abstractNumId w:val="10"/>
  </w:num>
  <w:num w:numId="16">
    <w:abstractNumId w:val="15"/>
  </w:num>
  <w:num w:numId="17">
    <w:abstractNumId w:val="15"/>
    <w:lvlOverride w:ilvl="0">
      <w:startOverride w:val="3"/>
    </w:lvlOverride>
  </w:num>
  <w:num w:numId="18">
    <w:abstractNumId w:val="7"/>
  </w:num>
  <w:num w:numId="19">
    <w:abstractNumId w:val="1"/>
  </w:num>
  <w:num w:numId="20">
    <w:abstractNumId w:val="1"/>
    <w:lvlOverride w:ilvl="0">
      <w:startOverride w:val="4"/>
    </w:lvlOverride>
  </w:num>
  <w:num w:numId="21">
    <w:abstractNumId w:val="20"/>
  </w:num>
  <w:num w:numId="22">
    <w:abstractNumId w:val="2"/>
  </w:num>
  <w:num w:numId="23">
    <w:abstractNumId w:val="2"/>
    <w:lvlOverride w:ilvl="0">
      <w:startOverride w:val="5"/>
    </w:lvlOverride>
  </w:num>
  <w:num w:numId="24">
    <w:abstractNumId w:val="3"/>
  </w:num>
  <w:num w:numId="25">
    <w:abstractNumId w:val="9"/>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embedSystemFonts/>
  <w:activeWritingStyle w:appName="MSWord" w:lang="da-DK" w:vendorID="64" w:dllVersion="4096" w:nlCheck="1" w:checkStyle="0"/>
  <w:activeWritingStyle w:appName="MSWord" w:lang="en-GB" w:vendorID="64" w:dllVersion="4096" w:nlCheck="1" w:checkStyle="0"/>
  <w:activeWritingStyle w:appName="MSWord" w:lang="fr-FR" w:vendorID="64" w:dllVersion="4096" w:nlCheck="1" w:checkStyle="0"/>
  <w:activeWritingStyle w:appName="MSWord" w:lang="en-US" w:vendorID="64" w:dllVersion="4096" w:nlCheck="1" w:checkStyle="0"/>
  <w:activeWritingStyle w:appName="MSWord" w:lang="en-GB" w:vendorID="64" w:dllVersion="6" w:nlCheck="1" w:checkStyle="1"/>
  <w:activeWritingStyle w:appName="MSWord" w:lang="fr-FR" w:vendorID="64" w:dllVersion="6" w:nlCheck="1" w:checkStyle="0"/>
  <w:activeWritingStyle w:appName="MSWord" w:lang="es-ES_tradnl" w:vendorID="64" w:dllVersion="6" w:nlCheck="1" w:checkStyle="0"/>
  <w:activeWritingStyle w:appName="MSWord" w:lang="en-US" w:vendorID="64" w:dllVersion="6" w:nlCheck="1" w:checkStyle="1"/>
  <w:activeWritingStyle w:appName="MSWord" w:lang="it-IT" w:vendorID="64" w:dllVersion="4096" w:nlCheck="1" w:checkStyle="0"/>
  <w:activeWritingStyle w:appName="MSWord" w:lang="pt-PT" w:vendorID="64" w:dllVersion="4096" w:nlCheck="1" w:checkStyle="0"/>
  <w:activeWritingStyle w:appName="MSWord" w:lang="es-ES_tradnl" w:vendorID="64" w:dllVersion="4096" w:nlCheck="1" w:checkStyle="0"/>
  <w:activeWritingStyle w:appName="MSWord" w:lang="ja-JP" w:vendorID="64" w:dllVersion="0" w:nlCheck="1" w:checkStyle="1"/>
  <w:activeWritingStyle w:appName="MSWord" w:lang="sv-SE" w:vendorID="64" w:dllVersion="4096" w:nlCheck="1" w:checkStyle="0"/>
  <w:activeWritingStyle w:appName="MSWord" w:lang="de-DE" w:vendorID="64" w:dllVersion="4096" w:nlCheck="1" w:checkStyle="0"/>
  <w:activeWritingStyle w:appName="MSWord" w:lang="nl-NL" w:vendorID="64" w:dllVersion="4096" w:nlCheck="1" w:checkStyle="0"/>
  <w:activeWritingStyle w:appName="MSWord" w:lang="it-IT" w:vendorID="64" w:dllVersion="6" w:nlCheck="1" w:checkStyle="0"/>
  <w:activeWritingStyle w:appName="MSWord" w:lang="pt-PT" w:vendorID="64" w:dllVersion="6" w:nlCheck="1" w:checkStyle="0"/>
  <w:activeWritingStyle w:appName="MSWord" w:lang="nl-NL" w:vendorID="64" w:dllVersion="6" w:nlCheck="1" w:checkStyle="0"/>
  <w:activeWritingStyle w:appName="MSWord" w:lang="da-DK" w:vendorID="64" w:dllVersion="6" w:nlCheck="1" w:checkStyle="0"/>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F259AD"/>
    <w:rsid w:val="000003A6"/>
    <w:rsid w:val="000007CC"/>
    <w:rsid w:val="00001B2F"/>
    <w:rsid w:val="00002D79"/>
    <w:rsid w:val="000032DC"/>
    <w:rsid w:val="00003B3C"/>
    <w:rsid w:val="0000530E"/>
    <w:rsid w:val="00006F4C"/>
    <w:rsid w:val="000102C6"/>
    <w:rsid w:val="00010A64"/>
    <w:rsid w:val="0002266E"/>
    <w:rsid w:val="00022A9D"/>
    <w:rsid w:val="00023015"/>
    <w:rsid w:val="00024FA7"/>
    <w:rsid w:val="00025092"/>
    <w:rsid w:val="00031E64"/>
    <w:rsid w:val="00032335"/>
    <w:rsid w:val="00033203"/>
    <w:rsid w:val="000334C4"/>
    <w:rsid w:val="00034E75"/>
    <w:rsid w:val="00036326"/>
    <w:rsid w:val="00036930"/>
    <w:rsid w:val="000373C6"/>
    <w:rsid w:val="0004055E"/>
    <w:rsid w:val="00040D1B"/>
    <w:rsid w:val="00041678"/>
    <w:rsid w:val="00042DC8"/>
    <w:rsid w:val="0004437C"/>
    <w:rsid w:val="000446B6"/>
    <w:rsid w:val="0004528C"/>
    <w:rsid w:val="000467B2"/>
    <w:rsid w:val="00046FF5"/>
    <w:rsid w:val="00047565"/>
    <w:rsid w:val="0005036D"/>
    <w:rsid w:val="000601CA"/>
    <w:rsid w:val="000605FF"/>
    <w:rsid w:val="000646F9"/>
    <w:rsid w:val="00064DE2"/>
    <w:rsid w:val="000657E2"/>
    <w:rsid w:val="000662A0"/>
    <w:rsid w:val="00066752"/>
    <w:rsid w:val="00067451"/>
    <w:rsid w:val="000716DB"/>
    <w:rsid w:val="00073579"/>
    <w:rsid w:val="000736EE"/>
    <w:rsid w:val="00074722"/>
    <w:rsid w:val="00074B1C"/>
    <w:rsid w:val="0007605A"/>
    <w:rsid w:val="00080F53"/>
    <w:rsid w:val="00081C03"/>
    <w:rsid w:val="0008326A"/>
    <w:rsid w:val="0008544C"/>
    <w:rsid w:val="00085EBC"/>
    <w:rsid w:val="00090CB4"/>
    <w:rsid w:val="00092715"/>
    <w:rsid w:val="000934E5"/>
    <w:rsid w:val="00093B5C"/>
    <w:rsid w:val="00094B45"/>
    <w:rsid w:val="00097C07"/>
    <w:rsid w:val="00097CF6"/>
    <w:rsid w:val="000A2039"/>
    <w:rsid w:val="000A3C2A"/>
    <w:rsid w:val="000A4F2B"/>
    <w:rsid w:val="000A5D7D"/>
    <w:rsid w:val="000B08C9"/>
    <w:rsid w:val="000B10D0"/>
    <w:rsid w:val="000B1264"/>
    <w:rsid w:val="000B4069"/>
    <w:rsid w:val="000B5000"/>
    <w:rsid w:val="000B702F"/>
    <w:rsid w:val="000C1AA7"/>
    <w:rsid w:val="000C37EB"/>
    <w:rsid w:val="000C3B49"/>
    <w:rsid w:val="000C3D54"/>
    <w:rsid w:val="000C6332"/>
    <w:rsid w:val="000C6EE3"/>
    <w:rsid w:val="000C73AB"/>
    <w:rsid w:val="000C7EE9"/>
    <w:rsid w:val="000D0337"/>
    <w:rsid w:val="000D0E1F"/>
    <w:rsid w:val="000D11F0"/>
    <w:rsid w:val="000D18DD"/>
    <w:rsid w:val="000D3056"/>
    <w:rsid w:val="000D3B08"/>
    <w:rsid w:val="000D4C75"/>
    <w:rsid w:val="000D4D96"/>
    <w:rsid w:val="000D532E"/>
    <w:rsid w:val="000D5AD7"/>
    <w:rsid w:val="000E195A"/>
    <w:rsid w:val="000E3513"/>
    <w:rsid w:val="000E3756"/>
    <w:rsid w:val="000E7231"/>
    <w:rsid w:val="000F442D"/>
    <w:rsid w:val="000F70D0"/>
    <w:rsid w:val="0010204D"/>
    <w:rsid w:val="00107147"/>
    <w:rsid w:val="00111FD2"/>
    <w:rsid w:val="00113228"/>
    <w:rsid w:val="0011667F"/>
    <w:rsid w:val="00121063"/>
    <w:rsid w:val="0012120F"/>
    <w:rsid w:val="001260B1"/>
    <w:rsid w:val="0013013B"/>
    <w:rsid w:val="00130176"/>
    <w:rsid w:val="00130FD5"/>
    <w:rsid w:val="0013125A"/>
    <w:rsid w:val="00132748"/>
    <w:rsid w:val="00133E3A"/>
    <w:rsid w:val="00135455"/>
    <w:rsid w:val="0013594E"/>
    <w:rsid w:val="00136695"/>
    <w:rsid w:val="0013730D"/>
    <w:rsid w:val="00137B25"/>
    <w:rsid w:val="00141C45"/>
    <w:rsid w:val="00143157"/>
    <w:rsid w:val="00145774"/>
    <w:rsid w:val="00145B34"/>
    <w:rsid w:val="00145DCE"/>
    <w:rsid w:val="00146E81"/>
    <w:rsid w:val="00146F7A"/>
    <w:rsid w:val="0015020E"/>
    <w:rsid w:val="0015129C"/>
    <w:rsid w:val="001548C5"/>
    <w:rsid w:val="001549E9"/>
    <w:rsid w:val="00155999"/>
    <w:rsid w:val="0016359C"/>
    <w:rsid w:val="001635A6"/>
    <w:rsid w:val="00163AC0"/>
    <w:rsid w:val="00165CAF"/>
    <w:rsid w:val="00167E54"/>
    <w:rsid w:val="00173DDB"/>
    <w:rsid w:val="001772A2"/>
    <w:rsid w:val="001774F9"/>
    <w:rsid w:val="0018520A"/>
    <w:rsid w:val="001861D4"/>
    <w:rsid w:val="00186212"/>
    <w:rsid w:val="001919AB"/>
    <w:rsid w:val="00195753"/>
    <w:rsid w:val="001962DC"/>
    <w:rsid w:val="00196C94"/>
    <w:rsid w:val="00197AA2"/>
    <w:rsid w:val="001A2E83"/>
    <w:rsid w:val="001A4D4B"/>
    <w:rsid w:val="001A5763"/>
    <w:rsid w:val="001A5ACD"/>
    <w:rsid w:val="001A6593"/>
    <w:rsid w:val="001B2534"/>
    <w:rsid w:val="001B31CC"/>
    <w:rsid w:val="001B3F98"/>
    <w:rsid w:val="001B4311"/>
    <w:rsid w:val="001B4A3B"/>
    <w:rsid w:val="001C12DC"/>
    <w:rsid w:val="001C43AE"/>
    <w:rsid w:val="001C5C6C"/>
    <w:rsid w:val="001C73DD"/>
    <w:rsid w:val="001D06C5"/>
    <w:rsid w:val="001D2AB7"/>
    <w:rsid w:val="001D3954"/>
    <w:rsid w:val="001D3B04"/>
    <w:rsid w:val="001D3F0B"/>
    <w:rsid w:val="001D4EF1"/>
    <w:rsid w:val="001D643F"/>
    <w:rsid w:val="001D70EE"/>
    <w:rsid w:val="001E079B"/>
    <w:rsid w:val="001E0F95"/>
    <w:rsid w:val="001E2656"/>
    <w:rsid w:val="001E2940"/>
    <w:rsid w:val="001E5460"/>
    <w:rsid w:val="001F0840"/>
    <w:rsid w:val="001F3309"/>
    <w:rsid w:val="001F3915"/>
    <w:rsid w:val="001F5C62"/>
    <w:rsid w:val="001F6C6C"/>
    <w:rsid w:val="002017C7"/>
    <w:rsid w:val="002032F4"/>
    <w:rsid w:val="002048B3"/>
    <w:rsid w:val="002078E6"/>
    <w:rsid w:val="002133C1"/>
    <w:rsid w:val="00214019"/>
    <w:rsid w:val="00214BEE"/>
    <w:rsid w:val="00215106"/>
    <w:rsid w:val="00222460"/>
    <w:rsid w:val="00224323"/>
    <w:rsid w:val="002253BA"/>
    <w:rsid w:val="00230F39"/>
    <w:rsid w:val="00232927"/>
    <w:rsid w:val="00236D29"/>
    <w:rsid w:val="002403B3"/>
    <w:rsid w:val="00242AD6"/>
    <w:rsid w:val="0024518A"/>
    <w:rsid w:val="0024591C"/>
    <w:rsid w:val="002467DD"/>
    <w:rsid w:val="002503A7"/>
    <w:rsid w:val="00251BCF"/>
    <w:rsid w:val="002566C3"/>
    <w:rsid w:val="00257E2B"/>
    <w:rsid w:val="00261BE9"/>
    <w:rsid w:val="002661DE"/>
    <w:rsid w:val="00266698"/>
    <w:rsid w:val="00267D7C"/>
    <w:rsid w:val="00271BCC"/>
    <w:rsid w:val="00273A91"/>
    <w:rsid w:val="00274C2F"/>
    <w:rsid w:val="00276F99"/>
    <w:rsid w:val="0028159E"/>
    <w:rsid w:val="00282AC7"/>
    <w:rsid w:val="00283D46"/>
    <w:rsid w:val="002842B3"/>
    <w:rsid w:val="0028534D"/>
    <w:rsid w:val="00285841"/>
    <w:rsid w:val="00291CEE"/>
    <w:rsid w:val="00292378"/>
    <w:rsid w:val="002937ED"/>
    <w:rsid w:val="002A0444"/>
    <w:rsid w:val="002A24E6"/>
    <w:rsid w:val="002A2620"/>
    <w:rsid w:val="002A274F"/>
    <w:rsid w:val="002A3C33"/>
    <w:rsid w:val="002A41F8"/>
    <w:rsid w:val="002A6694"/>
    <w:rsid w:val="002B265F"/>
    <w:rsid w:val="002B30E7"/>
    <w:rsid w:val="002B6645"/>
    <w:rsid w:val="002B76EF"/>
    <w:rsid w:val="002B77AD"/>
    <w:rsid w:val="002C3143"/>
    <w:rsid w:val="002C3211"/>
    <w:rsid w:val="002C3CE5"/>
    <w:rsid w:val="002C500A"/>
    <w:rsid w:val="002C6889"/>
    <w:rsid w:val="002C693B"/>
    <w:rsid w:val="002C77AB"/>
    <w:rsid w:val="002D068B"/>
    <w:rsid w:val="002D292F"/>
    <w:rsid w:val="002D6D80"/>
    <w:rsid w:val="002D7C45"/>
    <w:rsid w:val="002D7C92"/>
    <w:rsid w:val="002D7E95"/>
    <w:rsid w:val="002E18C7"/>
    <w:rsid w:val="002E3AED"/>
    <w:rsid w:val="002E446C"/>
    <w:rsid w:val="002E646B"/>
    <w:rsid w:val="002E6DCB"/>
    <w:rsid w:val="002E7EB7"/>
    <w:rsid w:val="002F1A61"/>
    <w:rsid w:val="002F396F"/>
    <w:rsid w:val="002F583A"/>
    <w:rsid w:val="002F5907"/>
    <w:rsid w:val="00303392"/>
    <w:rsid w:val="00305990"/>
    <w:rsid w:val="00305D5D"/>
    <w:rsid w:val="0030697A"/>
    <w:rsid w:val="0030749A"/>
    <w:rsid w:val="003078CF"/>
    <w:rsid w:val="00307DA1"/>
    <w:rsid w:val="00311433"/>
    <w:rsid w:val="00311CF1"/>
    <w:rsid w:val="0031383C"/>
    <w:rsid w:val="00316BD6"/>
    <w:rsid w:val="003202C3"/>
    <w:rsid w:val="00320565"/>
    <w:rsid w:val="00333DD5"/>
    <w:rsid w:val="00335BB4"/>
    <w:rsid w:val="003371DE"/>
    <w:rsid w:val="0034396A"/>
    <w:rsid w:val="00343ADF"/>
    <w:rsid w:val="00343E50"/>
    <w:rsid w:val="0034409F"/>
    <w:rsid w:val="003440A2"/>
    <w:rsid w:val="00344750"/>
    <w:rsid w:val="0035257F"/>
    <w:rsid w:val="00353377"/>
    <w:rsid w:val="00357775"/>
    <w:rsid w:val="003579D3"/>
    <w:rsid w:val="00360AD5"/>
    <w:rsid w:val="003649AB"/>
    <w:rsid w:val="00365663"/>
    <w:rsid w:val="0036569B"/>
    <w:rsid w:val="00366DC9"/>
    <w:rsid w:val="00367BF9"/>
    <w:rsid w:val="00370A0E"/>
    <w:rsid w:val="00372370"/>
    <w:rsid w:val="003770A7"/>
    <w:rsid w:val="00383594"/>
    <w:rsid w:val="00383E6D"/>
    <w:rsid w:val="003847F1"/>
    <w:rsid w:val="0038606D"/>
    <w:rsid w:val="00386D6A"/>
    <w:rsid w:val="00391BD6"/>
    <w:rsid w:val="0039209E"/>
    <w:rsid w:val="0039268C"/>
    <w:rsid w:val="003930D0"/>
    <w:rsid w:val="00394918"/>
    <w:rsid w:val="003951D1"/>
    <w:rsid w:val="003A1B44"/>
    <w:rsid w:val="003A3E13"/>
    <w:rsid w:val="003A523F"/>
    <w:rsid w:val="003B11B6"/>
    <w:rsid w:val="003B1445"/>
    <w:rsid w:val="003B1485"/>
    <w:rsid w:val="003B2BB3"/>
    <w:rsid w:val="003B324D"/>
    <w:rsid w:val="003B3531"/>
    <w:rsid w:val="003B5141"/>
    <w:rsid w:val="003C05CB"/>
    <w:rsid w:val="003C161A"/>
    <w:rsid w:val="003C32CD"/>
    <w:rsid w:val="003C3D65"/>
    <w:rsid w:val="003C4751"/>
    <w:rsid w:val="003C5716"/>
    <w:rsid w:val="003C58B3"/>
    <w:rsid w:val="003C72BF"/>
    <w:rsid w:val="003D02A3"/>
    <w:rsid w:val="003D131B"/>
    <w:rsid w:val="003D1661"/>
    <w:rsid w:val="003D23D5"/>
    <w:rsid w:val="003D2661"/>
    <w:rsid w:val="003D5DEE"/>
    <w:rsid w:val="003D73A0"/>
    <w:rsid w:val="003D7929"/>
    <w:rsid w:val="003E0BAE"/>
    <w:rsid w:val="003E3E9B"/>
    <w:rsid w:val="003E43D5"/>
    <w:rsid w:val="003E50FC"/>
    <w:rsid w:val="003E6866"/>
    <w:rsid w:val="003E70D6"/>
    <w:rsid w:val="003E7594"/>
    <w:rsid w:val="003F3009"/>
    <w:rsid w:val="003F3471"/>
    <w:rsid w:val="003F4013"/>
    <w:rsid w:val="0040018D"/>
    <w:rsid w:val="00400D3E"/>
    <w:rsid w:val="0040252A"/>
    <w:rsid w:val="00402625"/>
    <w:rsid w:val="00410C96"/>
    <w:rsid w:val="00411B08"/>
    <w:rsid w:val="004153BF"/>
    <w:rsid w:val="00417527"/>
    <w:rsid w:val="00417563"/>
    <w:rsid w:val="00417F45"/>
    <w:rsid w:val="00420756"/>
    <w:rsid w:val="0042107D"/>
    <w:rsid w:val="004223BA"/>
    <w:rsid w:val="00425468"/>
    <w:rsid w:val="00425C19"/>
    <w:rsid w:val="00426598"/>
    <w:rsid w:val="00426D5E"/>
    <w:rsid w:val="00431E4B"/>
    <w:rsid w:val="00433274"/>
    <w:rsid w:val="00433F79"/>
    <w:rsid w:val="0043671E"/>
    <w:rsid w:val="00437259"/>
    <w:rsid w:val="0043743A"/>
    <w:rsid w:val="00437D66"/>
    <w:rsid w:val="00440072"/>
    <w:rsid w:val="0044030D"/>
    <w:rsid w:val="0044062C"/>
    <w:rsid w:val="0044068A"/>
    <w:rsid w:val="00441641"/>
    <w:rsid w:val="0044328A"/>
    <w:rsid w:val="00446FCB"/>
    <w:rsid w:val="0045089D"/>
    <w:rsid w:val="00451282"/>
    <w:rsid w:val="00451AF4"/>
    <w:rsid w:val="004536BC"/>
    <w:rsid w:val="004566FD"/>
    <w:rsid w:val="00457540"/>
    <w:rsid w:val="00464B37"/>
    <w:rsid w:val="004656CA"/>
    <w:rsid w:val="00467ABE"/>
    <w:rsid w:val="00470BDD"/>
    <w:rsid w:val="00470EC2"/>
    <w:rsid w:val="00473491"/>
    <w:rsid w:val="00474380"/>
    <w:rsid w:val="00474D57"/>
    <w:rsid w:val="00475EFD"/>
    <w:rsid w:val="00476BD6"/>
    <w:rsid w:val="004826D5"/>
    <w:rsid w:val="004858EE"/>
    <w:rsid w:val="00490399"/>
    <w:rsid w:val="00491D05"/>
    <w:rsid w:val="00492207"/>
    <w:rsid w:val="004928F0"/>
    <w:rsid w:val="004958FC"/>
    <w:rsid w:val="0049734F"/>
    <w:rsid w:val="004A2AF5"/>
    <w:rsid w:val="004A46A7"/>
    <w:rsid w:val="004A6CAA"/>
    <w:rsid w:val="004A7910"/>
    <w:rsid w:val="004B07AF"/>
    <w:rsid w:val="004B1771"/>
    <w:rsid w:val="004B38EE"/>
    <w:rsid w:val="004B3EA1"/>
    <w:rsid w:val="004C1D11"/>
    <w:rsid w:val="004C5E4D"/>
    <w:rsid w:val="004C74B7"/>
    <w:rsid w:val="004D0272"/>
    <w:rsid w:val="004D4682"/>
    <w:rsid w:val="004D5752"/>
    <w:rsid w:val="004D75D0"/>
    <w:rsid w:val="004D7889"/>
    <w:rsid w:val="004D7ECA"/>
    <w:rsid w:val="004E177B"/>
    <w:rsid w:val="004E24D0"/>
    <w:rsid w:val="004E2EAF"/>
    <w:rsid w:val="004E3E3F"/>
    <w:rsid w:val="004E456E"/>
    <w:rsid w:val="004E4865"/>
    <w:rsid w:val="004E5075"/>
    <w:rsid w:val="004E594A"/>
    <w:rsid w:val="004E596D"/>
    <w:rsid w:val="004E5DA5"/>
    <w:rsid w:val="004E68BB"/>
    <w:rsid w:val="004E707C"/>
    <w:rsid w:val="004F02D0"/>
    <w:rsid w:val="004F0AEB"/>
    <w:rsid w:val="004F1D93"/>
    <w:rsid w:val="004F2545"/>
    <w:rsid w:val="004F29ED"/>
    <w:rsid w:val="004F32E9"/>
    <w:rsid w:val="004F6FDD"/>
    <w:rsid w:val="004F7976"/>
    <w:rsid w:val="004F7CAA"/>
    <w:rsid w:val="00500685"/>
    <w:rsid w:val="005029F2"/>
    <w:rsid w:val="00503E31"/>
    <w:rsid w:val="0050472E"/>
    <w:rsid w:val="00505497"/>
    <w:rsid w:val="00505CEA"/>
    <w:rsid w:val="0050763D"/>
    <w:rsid w:val="00507AC2"/>
    <w:rsid w:val="0051082C"/>
    <w:rsid w:val="00512865"/>
    <w:rsid w:val="00512F9F"/>
    <w:rsid w:val="00521F6F"/>
    <w:rsid w:val="00525B4C"/>
    <w:rsid w:val="00527B5E"/>
    <w:rsid w:val="005363B5"/>
    <w:rsid w:val="00536527"/>
    <w:rsid w:val="005374D5"/>
    <w:rsid w:val="005379BC"/>
    <w:rsid w:val="00537B3F"/>
    <w:rsid w:val="00542AFE"/>
    <w:rsid w:val="00543CFC"/>
    <w:rsid w:val="00544F36"/>
    <w:rsid w:val="00546A6D"/>
    <w:rsid w:val="00546F96"/>
    <w:rsid w:val="005479AC"/>
    <w:rsid w:val="00547CC0"/>
    <w:rsid w:val="00550246"/>
    <w:rsid w:val="00550AF9"/>
    <w:rsid w:val="00551A26"/>
    <w:rsid w:val="005521EE"/>
    <w:rsid w:val="005522DD"/>
    <w:rsid w:val="00552FAC"/>
    <w:rsid w:val="0055313E"/>
    <w:rsid w:val="005536D5"/>
    <w:rsid w:val="005649E2"/>
    <w:rsid w:val="00566105"/>
    <w:rsid w:val="00567A54"/>
    <w:rsid w:val="00567D41"/>
    <w:rsid w:val="005716CD"/>
    <w:rsid w:val="00571B60"/>
    <w:rsid w:val="00573141"/>
    <w:rsid w:val="00574289"/>
    <w:rsid w:val="00574B4F"/>
    <w:rsid w:val="00575CD2"/>
    <w:rsid w:val="005763EF"/>
    <w:rsid w:val="005774D0"/>
    <w:rsid w:val="00581F86"/>
    <w:rsid w:val="00582217"/>
    <w:rsid w:val="00584370"/>
    <w:rsid w:val="00584E11"/>
    <w:rsid w:val="0058557C"/>
    <w:rsid w:val="00585D0A"/>
    <w:rsid w:val="00586FB0"/>
    <w:rsid w:val="005906F4"/>
    <w:rsid w:val="0059324B"/>
    <w:rsid w:val="00595420"/>
    <w:rsid w:val="00596223"/>
    <w:rsid w:val="00597299"/>
    <w:rsid w:val="00597FBB"/>
    <w:rsid w:val="005A0042"/>
    <w:rsid w:val="005A0E21"/>
    <w:rsid w:val="005A234D"/>
    <w:rsid w:val="005A4188"/>
    <w:rsid w:val="005A4E47"/>
    <w:rsid w:val="005A57E7"/>
    <w:rsid w:val="005A76A2"/>
    <w:rsid w:val="005B24C9"/>
    <w:rsid w:val="005B5764"/>
    <w:rsid w:val="005B6ACF"/>
    <w:rsid w:val="005B711C"/>
    <w:rsid w:val="005B7301"/>
    <w:rsid w:val="005C062D"/>
    <w:rsid w:val="005C26B1"/>
    <w:rsid w:val="005C2940"/>
    <w:rsid w:val="005C37EC"/>
    <w:rsid w:val="005C3E9D"/>
    <w:rsid w:val="005C60DE"/>
    <w:rsid w:val="005C6324"/>
    <w:rsid w:val="005C6CB6"/>
    <w:rsid w:val="005D01F7"/>
    <w:rsid w:val="005D14B4"/>
    <w:rsid w:val="005D461C"/>
    <w:rsid w:val="005D7F5D"/>
    <w:rsid w:val="005E1800"/>
    <w:rsid w:val="005E38F9"/>
    <w:rsid w:val="005E454D"/>
    <w:rsid w:val="005F11DF"/>
    <w:rsid w:val="005F1706"/>
    <w:rsid w:val="005F20A7"/>
    <w:rsid w:val="005F28CF"/>
    <w:rsid w:val="005F7971"/>
    <w:rsid w:val="00600D76"/>
    <w:rsid w:val="006042AF"/>
    <w:rsid w:val="0060477E"/>
    <w:rsid w:val="006057A7"/>
    <w:rsid w:val="006069F5"/>
    <w:rsid w:val="00612957"/>
    <w:rsid w:val="00614028"/>
    <w:rsid w:val="0062088A"/>
    <w:rsid w:val="006234F3"/>
    <w:rsid w:val="006245FC"/>
    <w:rsid w:val="00624FC7"/>
    <w:rsid w:val="00625548"/>
    <w:rsid w:val="00625BB2"/>
    <w:rsid w:val="006372FA"/>
    <w:rsid w:val="00640413"/>
    <w:rsid w:val="00640D24"/>
    <w:rsid w:val="006432A3"/>
    <w:rsid w:val="006479A4"/>
    <w:rsid w:val="006513E2"/>
    <w:rsid w:val="006522BE"/>
    <w:rsid w:val="006551D2"/>
    <w:rsid w:val="0065754D"/>
    <w:rsid w:val="0065789F"/>
    <w:rsid w:val="006617BE"/>
    <w:rsid w:val="00667CB3"/>
    <w:rsid w:val="0067069E"/>
    <w:rsid w:val="00670DB8"/>
    <w:rsid w:val="0067250F"/>
    <w:rsid w:val="006734BC"/>
    <w:rsid w:val="00674E3B"/>
    <w:rsid w:val="00677218"/>
    <w:rsid w:val="00677C36"/>
    <w:rsid w:val="006836A7"/>
    <w:rsid w:val="00685D5F"/>
    <w:rsid w:val="0068604D"/>
    <w:rsid w:val="006860BD"/>
    <w:rsid w:val="006909FC"/>
    <w:rsid w:val="00691D26"/>
    <w:rsid w:val="006927D6"/>
    <w:rsid w:val="006930A8"/>
    <w:rsid w:val="00693C84"/>
    <w:rsid w:val="0069438D"/>
    <w:rsid w:val="00694BEC"/>
    <w:rsid w:val="00694FA1"/>
    <w:rsid w:val="00696B4B"/>
    <w:rsid w:val="006A0060"/>
    <w:rsid w:val="006A0E80"/>
    <w:rsid w:val="006A1EA7"/>
    <w:rsid w:val="006A235D"/>
    <w:rsid w:val="006A2874"/>
    <w:rsid w:val="006A339D"/>
    <w:rsid w:val="006A3715"/>
    <w:rsid w:val="006A5071"/>
    <w:rsid w:val="006A5811"/>
    <w:rsid w:val="006A6AA1"/>
    <w:rsid w:val="006A7446"/>
    <w:rsid w:val="006A7E3A"/>
    <w:rsid w:val="006B0C75"/>
    <w:rsid w:val="006B1162"/>
    <w:rsid w:val="006B3CAD"/>
    <w:rsid w:val="006B5C69"/>
    <w:rsid w:val="006B7D90"/>
    <w:rsid w:val="006B7FFB"/>
    <w:rsid w:val="006C0B8A"/>
    <w:rsid w:val="006C14E5"/>
    <w:rsid w:val="006C3F43"/>
    <w:rsid w:val="006C4159"/>
    <w:rsid w:val="006C485E"/>
    <w:rsid w:val="006C52E4"/>
    <w:rsid w:val="006C5E69"/>
    <w:rsid w:val="006C6009"/>
    <w:rsid w:val="006C6D73"/>
    <w:rsid w:val="006C7683"/>
    <w:rsid w:val="006C7A6D"/>
    <w:rsid w:val="006D34E7"/>
    <w:rsid w:val="006D4D3B"/>
    <w:rsid w:val="006D5B66"/>
    <w:rsid w:val="006D7084"/>
    <w:rsid w:val="006D744B"/>
    <w:rsid w:val="006D75C7"/>
    <w:rsid w:val="006E0985"/>
    <w:rsid w:val="006E151A"/>
    <w:rsid w:val="006E154B"/>
    <w:rsid w:val="006E174A"/>
    <w:rsid w:val="006E4351"/>
    <w:rsid w:val="006E4B7A"/>
    <w:rsid w:val="006E52DE"/>
    <w:rsid w:val="006E55B9"/>
    <w:rsid w:val="006E6002"/>
    <w:rsid w:val="006F0731"/>
    <w:rsid w:val="006F0CEF"/>
    <w:rsid w:val="006F2703"/>
    <w:rsid w:val="006F462E"/>
    <w:rsid w:val="006F4BA9"/>
    <w:rsid w:val="006F7554"/>
    <w:rsid w:val="00700119"/>
    <w:rsid w:val="00701191"/>
    <w:rsid w:val="0070183F"/>
    <w:rsid w:val="00703DD6"/>
    <w:rsid w:val="00706E56"/>
    <w:rsid w:val="007109CD"/>
    <w:rsid w:val="00714CDB"/>
    <w:rsid w:val="00721623"/>
    <w:rsid w:val="007232BC"/>
    <w:rsid w:val="00724058"/>
    <w:rsid w:val="00724219"/>
    <w:rsid w:val="00724A07"/>
    <w:rsid w:val="0072574D"/>
    <w:rsid w:val="0072675B"/>
    <w:rsid w:val="007319DB"/>
    <w:rsid w:val="00732ADA"/>
    <w:rsid w:val="007350B4"/>
    <w:rsid w:val="00735608"/>
    <w:rsid w:val="00735A66"/>
    <w:rsid w:val="00735EFF"/>
    <w:rsid w:val="00740527"/>
    <w:rsid w:val="007417B1"/>
    <w:rsid w:val="00743D27"/>
    <w:rsid w:val="0074407F"/>
    <w:rsid w:val="00744950"/>
    <w:rsid w:val="007457BA"/>
    <w:rsid w:val="007464DC"/>
    <w:rsid w:val="00746533"/>
    <w:rsid w:val="00750C9E"/>
    <w:rsid w:val="00754EB2"/>
    <w:rsid w:val="00757841"/>
    <w:rsid w:val="007623B9"/>
    <w:rsid w:val="00763443"/>
    <w:rsid w:val="007635D9"/>
    <w:rsid w:val="00773CC1"/>
    <w:rsid w:val="00773E40"/>
    <w:rsid w:val="007766B4"/>
    <w:rsid w:val="007778D3"/>
    <w:rsid w:val="00781CC8"/>
    <w:rsid w:val="00782582"/>
    <w:rsid w:val="0078327F"/>
    <w:rsid w:val="007854E9"/>
    <w:rsid w:val="007900FD"/>
    <w:rsid w:val="00790107"/>
    <w:rsid w:val="00794321"/>
    <w:rsid w:val="007947FA"/>
    <w:rsid w:val="00795588"/>
    <w:rsid w:val="007A06E6"/>
    <w:rsid w:val="007A12EB"/>
    <w:rsid w:val="007A13E6"/>
    <w:rsid w:val="007A447A"/>
    <w:rsid w:val="007A4D20"/>
    <w:rsid w:val="007A677C"/>
    <w:rsid w:val="007A7279"/>
    <w:rsid w:val="007A7D90"/>
    <w:rsid w:val="007B0005"/>
    <w:rsid w:val="007B0502"/>
    <w:rsid w:val="007B238D"/>
    <w:rsid w:val="007B2B4E"/>
    <w:rsid w:val="007B2C85"/>
    <w:rsid w:val="007B47E4"/>
    <w:rsid w:val="007B4A52"/>
    <w:rsid w:val="007B4EE7"/>
    <w:rsid w:val="007B6D20"/>
    <w:rsid w:val="007C24D2"/>
    <w:rsid w:val="007C6970"/>
    <w:rsid w:val="007C6A02"/>
    <w:rsid w:val="007C6A2C"/>
    <w:rsid w:val="007C6C63"/>
    <w:rsid w:val="007C786F"/>
    <w:rsid w:val="007C7B5C"/>
    <w:rsid w:val="007D12D2"/>
    <w:rsid w:val="007D189E"/>
    <w:rsid w:val="007D1EA6"/>
    <w:rsid w:val="007D36CE"/>
    <w:rsid w:val="007D5746"/>
    <w:rsid w:val="007D58A3"/>
    <w:rsid w:val="007D79F0"/>
    <w:rsid w:val="007E3B20"/>
    <w:rsid w:val="007E45B9"/>
    <w:rsid w:val="007E51B4"/>
    <w:rsid w:val="007E559C"/>
    <w:rsid w:val="007E773E"/>
    <w:rsid w:val="007E775D"/>
    <w:rsid w:val="007F0FDE"/>
    <w:rsid w:val="007F2FAF"/>
    <w:rsid w:val="007F3720"/>
    <w:rsid w:val="007F7404"/>
    <w:rsid w:val="008008A5"/>
    <w:rsid w:val="00803BA9"/>
    <w:rsid w:val="00806F33"/>
    <w:rsid w:val="0080772D"/>
    <w:rsid w:val="00812091"/>
    <w:rsid w:val="00813145"/>
    <w:rsid w:val="00814A8A"/>
    <w:rsid w:val="008204B2"/>
    <w:rsid w:val="00820C19"/>
    <w:rsid w:val="008213BF"/>
    <w:rsid w:val="00824B2D"/>
    <w:rsid w:val="008253FA"/>
    <w:rsid w:val="0082612E"/>
    <w:rsid w:val="0082681F"/>
    <w:rsid w:val="0083094E"/>
    <w:rsid w:val="00830A51"/>
    <w:rsid w:val="00831E98"/>
    <w:rsid w:val="00833FD0"/>
    <w:rsid w:val="008363D7"/>
    <w:rsid w:val="008366AA"/>
    <w:rsid w:val="00841545"/>
    <w:rsid w:val="00846685"/>
    <w:rsid w:val="00850ED3"/>
    <w:rsid w:val="00851F8D"/>
    <w:rsid w:val="008533E7"/>
    <w:rsid w:val="0085415F"/>
    <w:rsid w:val="00856395"/>
    <w:rsid w:val="00857003"/>
    <w:rsid w:val="00861907"/>
    <w:rsid w:val="008666C8"/>
    <w:rsid w:val="008676B2"/>
    <w:rsid w:val="008703D1"/>
    <w:rsid w:val="00874965"/>
    <w:rsid w:val="0087604B"/>
    <w:rsid w:val="00876259"/>
    <w:rsid w:val="0087726B"/>
    <w:rsid w:val="00877A7B"/>
    <w:rsid w:val="008848FE"/>
    <w:rsid w:val="00886843"/>
    <w:rsid w:val="00886C73"/>
    <w:rsid w:val="008870D2"/>
    <w:rsid w:val="00887F14"/>
    <w:rsid w:val="008909FE"/>
    <w:rsid w:val="00892864"/>
    <w:rsid w:val="0089419C"/>
    <w:rsid w:val="008A0C04"/>
    <w:rsid w:val="008A2C4C"/>
    <w:rsid w:val="008A2C9F"/>
    <w:rsid w:val="008A4683"/>
    <w:rsid w:val="008A5DA0"/>
    <w:rsid w:val="008A6D21"/>
    <w:rsid w:val="008A7ECF"/>
    <w:rsid w:val="008B2A48"/>
    <w:rsid w:val="008B3A5F"/>
    <w:rsid w:val="008B466B"/>
    <w:rsid w:val="008B5730"/>
    <w:rsid w:val="008B7B58"/>
    <w:rsid w:val="008C0456"/>
    <w:rsid w:val="008C1E5E"/>
    <w:rsid w:val="008C4219"/>
    <w:rsid w:val="008C495E"/>
    <w:rsid w:val="008C5EB8"/>
    <w:rsid w:val="008C7A62"/>
    <w:rsid w:val="008C7B56"/>
    <w:rsid w:val="008D312C"/>
    <w:rsid w:val="008D3C3E"/>
    <w:rsid w:val="008D3F1D"/>
    <w:rsid w:val="008D50F6"/>
    <w:rsid w:val="008D5DFA"/>
    <w:rsid w:val="008D734A"/>
    <w:rsid w:val="008E04E8"/>
    <w:rsid w:val="008E0B06"/>
    <w:rsid w:val="008E1046"/>
    <w:rsid w:val="008E24B0"/>
    <w:rsid w:val="008E2BF6"/>
    <w:rsid w:val="008E3F0E"/>
    <w:rsid w:val="008E5D52"/>
    <w:rsid w:val="008E6936"/>
    <w:rsid w:val="008E6A7E"/>
    <w:rsid w:val="008F075E"/>
    <w:rsid w:val="008F085C"/>
    <w:rsid w:val="008F09AD"/>
    <w:rsid w:val="008F1314"/>
    <w:rsid w:val="008F3766"/>
    <w:rsid w:val="008F4680"/>
    <w:rsid w:val="008F48D2"/>
    <w:rsid w:val="008F4E5C"/>
    <w:rsid w:val="008F6F05"/>
    <w:rsid w:val="008F7539"/>
    <w:rsid w:val="008F7D4C"/>
    <w:rsid w:val="008F7E0B"/>
    <w:rsid w:val="00900416"/>
    <w:rsid w:val="0090071B"/>
    <w:rsid w:val="00902D9A"/>
    <w:rsid w:val="009034A4"/>
    <w:rsid w:val="00904CD6"/>
    <w:rsid w:val="0090515A"/>
    <w:rsid w:val="0090573A"/>
    <w:rsid w:val="00906D24"/>
    <w:rsid w:val="009070C7"/>
    <w:rsid w:val="009116CD"/>
    <w:rsid w:val="00912DF8"/>
    <w:rsid w:val="009140D8"/>
    <w:rsid w:val="00914538"/>
    <w:rsid w:val="0091496F"/>
    <w:rsid w:val="009162CE"/>
    <w:rsid w:val="009178B6"/>
    <w:rsid w:val="00920D14"/>
    <w:rsid w:val="009221E6"/>
    <w:rsid w:val="00922B92"/>
    <w:rsid w:val="00927EFA"/>
    <w:rsid w:val="00930564"/>
    <w:rsid w:val="009306BD"/>
    <w:rsid w:val="00931145"/>
    <w:rsid w:val="00933A8F"/>
    <w:rsid w:val="00933E0D"/>
    <w:rsid w:val="00934066"/>
    <w:rsid w:val="009347A4"/>
    <w:rsid w:val="00935E92"/>
    <w:rsid w:val="00935FC7"/>
    <w:rsid w:val="009367BB"/>
    <w:rsid w:val="0093781B"/>
    <w:rsid w:val="00941283"/>
    <w:rsid w:val="00941BA9"/>
    <w:rsid w:val="00942FEF"/>
    <w:rsid w:val="00943B15"/>
    <w:rsid w:val="00944246"/>
    <w:rsid w:val="009450E4"/>
    <w:rsid w:val="00945980"/>
    <w:rsid w:val="009460E8"/>
    <w:rsid w:val="00946A8B"/>
    <w:rsid w:val="0094714D"/>
    <w:rsid w:val="009474C3"/>
    <w:rsid w:val="00951A62"/>
    <w:rsid w:val="009523C9"/>
    <w:rsid w:val="009530B5"/>
    <w:rsid w:val="00954524"/>
    <w:rsid w:val="009545FD"/>
    <w:rsid w:val="009556E9"/>
    <w:rsid w:val="00955BBA"/>
    <w:rsid w:val="00963584"/>
    <w:rsid w:val="009640EA"/>
    <w:rsid w:val="00964251"/>
    <w:rsid w:val="00965F7F"/>
    <w:rsid w:val="009668DF"/>
    <w:rsid w:val="00966936"/>
    <w:rsid w:val="00970BBC"/>
    <w:rsid w:val="00976DCB"/>
    <w:rsid w:val="0097718D"/>
    <w:rsid w:val="00977C8F"/>
    <w:rsid w:val="0098042E"/>
    <w:rsid w:val="009807FE"/>
    <w:rsid w:val="00980C22"/>
    <w:rsid w:val="00980D09"/>
    <w:rsid w:val="009825CE"/>
    <w:rsid w:val="009825CF"/>
    <w:rsid w:val="00985105"/>
    <w:rsid w:val="00987E3B"/>
    <w:rsid w:val="009923A8"/>
    <w:rsid w:val="00992968"/>
    <w:rsid w:val="00993980"/>
    <w:rsid w:val="00993CBA"/>
    <w:rsid w:val="0099575F"/>
    <w:rsid w:val="009960B7"/>
    <w:rsid w:val="0099670F"/>
    <w:rsid w:val="00996AE6"/>
    <w:rsid w:val="009A238A"/>
    <w:rsid w:val="009A359B"/>
    <w:rsid w:val="009A49C7"/>
    <w:rsid w:val="009A5EA4"/>
    <w:rsid w:val="009B1290"/>
    <w:rsid w:val="009B26E4"/>
    <w:rsid w:val="009B3C90"/>
    <w:rsid w:val="009B3E5E"/>
    <w:rsid w:val="009B5506"/>
    <w:rsid w:val="009B5E5D"/>
    <w:rsid w:val="009B6306"/>
    <w:rsid w:val="009B6FB5"/>
    <w:rsid w:val="009C0E5C"/>
    <w:rsid w:val="009C123D"/>
    <w:rsid w:val="009C1DCE"/>
    <w:rsid w:val="009C2548"/>
    <w:rsid w:val="009C3140"/>
    <w:rsid w:val="009C5DE3"/>
    <w:rsid w:val="009C60FE"/>
    <w:rsid w:val="009C7D10"/>
    <w:rsid w:val="009D08C7"/>
    <w:rsid w:val="009D2580"/>
    <w:rsid w:val="009D3F28"/>
    <w:rsid w:val="009D7621"/>
    <w:rsid w:val="009E0FA0"/>
    <w:rsid w:val="009E2AB5"/>
    <w:rsid w:val="009E2F4B"/>
    <w:rsid w:val="009E34D4"/>
    <w:rsid w:val="009E6B3E"/>
    <w:rsid w:val="009E7277"/>
    <w:rsid w:val="009E774E"/>
    <w:rsid w:val="009F115C"/>
    <w:rsid w:val="009F2986"/>
    <w:rsid w:val="009F39D4"/>
    <w:rsid w:val="009F533F"/>
    <w:rsid w:val="009F5378"/>
    <w:rsid w:val="009F636B"/>
    <w:rsid w:val="00A0081D"/>
    <w:rsid w:val="00A01975"/>
    <w:rsid w:val="00A01F4E"/>
    <w:rsid w:val="00A059CF"/>
    <w:rsid w:val="00A1025B"/>
    <w:rsid w:val="00A115D1"/>
    <w:rsid w:val="00A12B5C"/>
    <w:rsid w:val="00A12E78"/>
    <w:rsid w:val="00A1330C"/>
    <w:rsid w:val="00A147BC"/>
    <w:rsid w:val="00A150B0"/>
    <w:rsid w:val="00A16A86"/>
    <w:rsid w:val="00A2026B"/>
    <w:rsid w:val="00A20D0D"/>
    <w:rsid w:val="00A2571B"/>
    <w:rsid w:val="00A27C52"/>
    <w:rsid w:val="00A307B4"/>
    <w:rsid w:val="00A316E9"/>
    <w:rsid w:val="00A31EEC"/>
    <w:rsid w:val="00A324F3"/>
    <w:rsid w:val="00A3323D"/>
    <w:rsid w:val="00A33B11"/>
    <w:rsid w:val="00A36EBA"/>
    <w:rsid w:val="00A400E0"/>
    <w:rsid w:val="00A40E68"/>
    <w:rsid w:val="00A4287F"/>
    <w:rsid w:val="00A44937"/>
    <w:rsid w:val="00A44A9A"/>
    <w:rsid w:val="00A44F8C"/>
    <w:rsid w:val="00A462CF"/>
    <w:rsid w:val="00A54114"/>
    <w:rsid w:val="00A6097B"/>
    <w:rsid w:val="00A61456"/>
    <w:rsid w:val="00A639A3"/>
    <w:rsid w:val="00A643FF"/>
    <w:rsid w:val="00A66AE3"/>
    <w:rsid w:val="00A72A7A"/>
    <w:rsid w:val="00A77599"/>
    <w:rsid w:val="00A83782"/>
    <w:rsid w:val="00A83F2E"/>
    <w:rsid w:val="00A84041"/>
    <w:rsid w:val="00A8419D"/>
    <w:rsid w:val="00A85BAE"/>
    <w:rsid w:val="00A903D2"/>
    <w:rsid w:val="00A92058"/>
    <w:rsid w:val="00A9255F"/>
    <w:rsid w:val="00A9274E"/>
    <w:rsid w:val="00A93E59"/>
    <w:rsid w:val="00A94AD8"/>
    <w:rsid w:val="00A94C7E"/>
    <w:rsid w:val="00A95992"/>
    <w:rsid w:val="00A97315"/>
    <w:rsid w:val="00AA159E"/>
    <w:rsid w:val="00AA21C4"/>
    <w:rsid w:val="00AA5360"/>
    <w:rsid w:val="00AA5819"/>
    <w:rsid w:val="00AA6203"/>
    <w:rsid w:val="00AA792F"/>
    <w:rsid w:val="00AA7F33"/>
    <w:rsid w:val="00AB14B6"/>
    <w:rsid w:val="00AB1BE0"/>
    <w:rsid w:val="00AB2972"/>
    <w:rsid w:val="00AB2FD5"/>
    <w:rsid w:val="00AB3F61"/>
    <w:rsid w:val="00AB73A6"/>
    <w:rsid w:val="00AC0F19"/>
    <w:rsid w:val="00AC0FDB"/>
    <w:rsid w:val="00AC493E"/>
    <w:rsid w:val="00AC6F73"/>
    <w:rsid w:val="00AC7582"/>
    <w:rsid w:val="00AC7D0D"/>
    <w:rsid w:val="00AD0F9C"/>
    <w:rsid w:val="00AD249A"/>
    <w:rsid w:val="00AD2C7E"/>
    <w:rsid w:val="00AD3DAA"/>
    <w:rsid w:val="00AD4E6D"/>
    <w:rsid w:val="00AD7B00"/>
    <w:rsid w:val="00AE006C"/>
    <w:rsid w:val="00AE06A5"/>
    <w:rsid w:val="00AE131F"/>
    <w:rsid w:val="00AE1AD2"/>
    <w:rsid w:val="00AE3EAD"/>
    <w:rsid w:val="00AE482C"/>
    <w:rsid w:val="00AF0231"/>
    <w:rsid w:val="00AF14D6"/>
    <w:rsid w:val="00AF1A96"/>
    <w:rsid w:val="00AF2A51"/>
    <w:rsid w:val="00AF313F"/>
    <w:rsid w:val="00AF49C3"/>
    <w:rsid w:val="00AF6CCF"/>
    <w:rsid w:val="00AF72BB"/>
    <w:rsid w:val="00B01C59"/>
    <w:rsid w:val="00B01D67"/>
    <w:rsid w:val="00B02964"/>
    <w:rsid w:val="00B02A01"/>
    <w:rsid w:val="00B03839"/>
    <w:rsid w:val="00B03F8A"/>
    <w:rsid w:val="00B04167"/>
    <w:rsid w:val="00B0462C"/>
    <w:rsid w:val="00B07F7D"/>
    <w:rsid w:val="00B10672"/>
    <w:rsid w:val="00B10CEF"/>
    <w:rsid w:val="00B1115D"/>
    <w:rsid w:val="00B11FA6"/>
    <w:rsid w:val="00B1260F"/>
    <w:rsid w:val="00B12D69"/>
    <w:rsid w:val="00B13D08"/>
    <w:rsid w:val="00B17210"/>
    <w:rsid w:val="00B21723"/>
    <w:rsid w:val="00B22906"/>
    <w:rsid w:val="00B2350A"/>
    <w:rsid w:val="00B241AD"/>
    <w:rsid w:val="00B2471A"/>
    <w:rsid w:val="00B24949"/>
    <w:rsid w:val="00B2613C"/>
    <w:rsid w:val="00B27E02"/>
    <w:rsid w:val="00B34B9B"/>
    <w:rsid w:val="00B35A11"/>
    <w:rsid w:val="00B369D1"/>
    <w:rsid w:val="00B40316"/>
    <w:rsid w:val="00B4098E"/>
    <w:rsid w:val="00B44905"/>
    <w:rsid w:val="00B46065"/>
    <w:rsid w:val="00B5025E"/>
    <w:rsid w:val="00B51D18"/>
    <w:rsid w:val="00B52C73"/>
    <w:rsid w:val="00B542ED"/>
    <w:rsid w:val="00B55086"/>
    <w:rsid w:val="00B56526"/>
    <w:rsid w:val="00B60C80"/>
    <w:rsid w:val="00B620B4"/>
    <w:rsid w:val="00B633DE"/>
    <w:rsid w:val="00B66573"/>
    <w:rsid w:val="00B72B39"/>
    <w:rsid w:val="00B73954"/>
    <w:rsid w:val="00B741A0"/>
    <w:rsid w:val="00B743AE"/>
    <w:rsid w:val="00B75B9E"/>
    <w:rsid w:val="00B80706"/>
    <w:rsid w:val="00B809B2"/>
    <w:rsid w:val="00B8256D"/>
    <w:rsid w:val="00B8299F"/>
    <w:rsid w:val="00B845C1"/>
    <w:rsid w:val="00B847BC"/>
    <w:rsid w:val="00B85D8F"/>
    <w:rsid w:val="00B8621E"/>
    <w:rsid w:val="00B87B7D"/>
    <w:rsid w:val="00B92C47"/>
    <w:rsid w:val="00B9427F"/>
    <w:rsid w:val="00B94ECF"/>
    <w:rsid w:val="00BA0DF8"/>
    <w:rsid w:val="00BA1B13"/>
    <w:rsid w:val="00BA1BC5"/>
    <w:rsid w:val="00BA2E60"/>
    <w:rsid w:val="00BA3F88"/>
    <w:rsid w:val="00BA413D"/>
    <w:rsid w:val="00BA45C4"/>
    <w:rsid w:val="00BA4D07"/>
    <w:rsid w:val="00BA64DD"/>
    <w:rsid w:val="00BA6963"/>
    <w:rsid w:val="00BB077D"/>
    <w:rsid w:val="00BB0AFD"/>
    <w:rsid w:val="00BB3370"/>
    <w:rsid w:val="00BB35A9"/>
    <w:rsid w:val="00BB3ECB"/>
    <w:rsid w:val="00BB541B"/>
    <w:rsid w:val="00BB5541"/>
    <w:rsid w:val="00BB5D7B"/>
    <w:rsid w:val="00BB610B"/>
    <w:rsid w:val="00BB751B"/>
    <w:rsid w:val="00BB79C7"/>
    <w:rsid w:val="00BC022F"/>
    <w:rsid w:val="00BC418C"/>
    <w:rsid w:val="00BC6B88"/>
    <w:rsid w:val="00BC782A"/>
    <w:rsid w:val="00BC7EA0"/>
    <w:rsid w:val="00BD01CB"/>
    <w:rsid w:val="00BD135F"/>
    <w:rsid w:val="00BD405E"/>
    <w:rsid w:val="00BD57CA"/>
    <w:rsid w:val="00BD5E39"/>
    <w:rsid w:val="00BD7378"/>
    <w:rsid w:val="00BE174C"/>
    <w:rsid w:val="00BE2964"/>
    <w:rsid w:val="00BE342F"/>
    <w:rsid w:val="00BF3FCA"/>
    <w:rsid w:val="00BF56C4"/>
    <w:rsid w:val="00BF5715"/>
    <w:rsid w:val="00BF5F67"/>
    <w:rsid w:val="00BF6029"/>
    <w:rsid w:val="00BF7FA2"/>
    <w:rsid w:val="00C04EC9"/>
    <w:rsid w:val="00C06DF8"/>
    <w:rsid w:val="00C10B8E"/>
    <w:rsid w:val="00C11B4F"/>
    <w:rsid w:val="00C12AEA"/>
    <w:rsid w:val="00C12F6C"/>
    <w:rsid w:val="00C15A98"/>
    <w:rsid w:val="00C1640E"/>
    <w:rsid w:val="00C174C5"/>
    <w:rsid w:val="00C214B9"/>
    <w:rsid w:val="00C23934"/>
    <w:rsid w:val="00C254FB"/>
    <w:rsid w:val="00C257FC"/>
    <w:rsid w:val="00C25903"/>
    <w:rsid w:val="00C268E8"/>
    <w:rsid w:val="00C279F2"/>
    <w:rsid w:val="00C311C6"/>
    <w:rsid w:val="00C315D6"/>
    <w:rsid w:val="00C3194E"/>
    <w:rsid w:val="00C31D8A"/>
    <w:rsid w:val="00C322D9"/>
    <w:rsid w:val="00C32C46"/>
    <w:rsid w:val="00C3306D"/>
    <w:rsid w:val="00C33E46"/>
    <w:rsid w:val="00C34120"/>
    <w:rsid w:val="00C36A2E"/>
    <w:rsid w:val="00C37784"/>
    <w:rsid w:val="00C37B77"/>
    <w:rsid w:val="00C402F5"/>
    <w:rsid w:val="00C40DFD"/>
    <w:rsid w:val="00C41718"/>
    <w:rsid w:val="00C43683"/>
    <w:rsid w:val="00C451D2"/>
    <w:rsid w:val="00C45310"/>
    <w:rsid w:val="00C46522"/>
    <w:rsid w:val="00C46EF3"/>
    <w:rsid w:val="00C51F04"/>
    <w:rsid w:val="00C5205D"/>
    <w:rsid w:val="00C52F84"/>
    <w:rsid w:val="00C53956"/>
    <w:rsid w:val="00C53D23"/>
    <w:rsid w:val="00C5491B"/>
    <w:rsid w:val="00C55E1D"/>
    <w:rsid w:val="00C565B7"/>
    <w:rsid w:val="00C57B69"/>
    <w:rsid w:val="00C61C37"/>
    <w:rsid w:val="00C63700"/>
    <w:rsid w:val="00C65E90"/>
    <w:rsid w:val="00C66AFA"/>
    <w:rsid w:val="00C702BF"/>
    <w:rsid w:val="00C71ED5"/>
    <w:rsid w:val="00C73594"/>
    <w:rsid w:val="00C76B90"/>
    <w:rsid w:val="00C76CE8"/>
    <w:rsid w:val="00C772FF"/>
    <w:rsid w:val="00C77C1E"/>
    <w:rsid w:val="00C80D87"/>
    <w:rsid w:val="00C81A02"/>
    <w:rsid w:val="00C8208D"/>
    <w:rsid w:val="00C83C04"/>
    <w:rsid w:val="00C8487F"/>
    <w:rsid w:val="00C84C44"/>
    <w:rsid w:val="00C86ECF"/>
    <w:rsid w:val="00C911B6"/>
    <w:rsid w:val="00C92D4B"/>
    <w:rsid w:val="00C93592"/>
    <w:rsid w:val="00C937A1"/>
    <w:rsid w:val="00C938A3"/>
    <w:rsid w:val="00C94002"/>
    <w:rsid w:val="00C9456A"/>
    <w:rsid w:val="00C952C1"/>
    <w:rsid w:val="00C9600A"/>
    <w:rsid w:val="00C9740B"/>
    <w:rsid w:val="00C97A65"/>
    <w:rsid w:val="00CA0ACC"/>
    <w:rsid w:val="00CA0D84"/>
    <w:rsid w:val="00CA4132"/>
    <w:rsid w:val="00CA49DC"/>
    <w:rsid w:val="00CB2234"/>
    <w:rsid w:val="00CB28C8"/>
    <w:rsid w:val="00CB3FBB"/>
    <w:rsid w:val="00CB650C"/>
    <w:rsid w:val="00CB75F5"/>
    <w:rsid w:val="00CB77EC"/>
    <w:rsid w:val="00CC0826"/>
    <w:rsid w:val="00CC0A79"/>
    <w:rsid w:val="00CC3649"/>
    <w:rsid w:val="00CC5822"/>
    <w:rsid w:val="00CC5D93"/>
    <w:rsid w:val="00CD14C8"/>
    <w:rsid w:val="00CD21F9"/>
    <w:rsid w:val="00CD2805"/>
    <w:rsid w:val="00CD3ADE"/>
    <w:rsid w:val="00CD3FEB"/>
    <w:rsid w:val="00CD4783"/>
    <w:rsid w:val="00CD5B22"/>
    <w:rsid w:val="00CD63EE"/>
    <w:rsid w:val="00CD6650"/>
    <w:rsid w:val="00CD7DEA"/>
    <w:rsid w:val="00CE0C0F"/>
    <w:rsid w:val="00CE22BE"/>
    <w:rsid w:val="00CE277C"/>
    <w:rsid w:val="00CE27C0"/>
    <w:rsid w:val="00CE494E"/>
    <w:rsid w:val="00CE5649"/>
    <w:rsid w:val="00CF01DD"/>
    <w:rsid w:val="00CF0775"/>
    <w:rsid w:val="00CF12DA"/>
    <w:rsid w:val="00CF2344"/>
    <w:rsid w:val="00CF2C32"/>
    <w:rsid w:val="00CF6B77"/>
    <w:rsid w:val="00D00282"/>
    <w:rsid w:val="00D0356A"/>
    <w:rsid w:val="00D04529"/>
    <w:rsid w:val="00D10534"/>
    <w:rsid w:val="00D107D3"/>
    <w:rsid w:val="00D1091E"/>
    <w:rsid w:val="00D13D28"/>
    <w:rsid w:val="00D14773"/>
    <w:rsid w:val="00D209D9"/>
    <w:rsid w:val="00D216AE"/>
    <w:rsid w:val="00D21776"/>
    <w:rsid w:val="00D219D9"/>
    <w:rsid w:val="00D25A02"/>
    <w:rsid w:val="00D30397"/>
    <w:rsid w:val="00D31D3D"/>
    <w:rsid w:val="00D329DA"/>
    <w:rsid w:val="00D3347C"/>
    <w:rsid w:val="00D33B19"/>
    <w:rsid w:val="00D368DF"/>
    <w:rsid w:val="00D372CC"/>
    <w:rsid w:val="00D40352"/>
    <w:rsid w:val="00D4052F"/>
    <w:rsid w:val="00D40736"/>
    <w:rsid w:val="00D43130"/>
    <w:rsid w:val="00D43387"/>
    <w:rsid w:val="00D434C5"/>
    <w:rsid w:val="00D43FA8"/>
    <w:rsid w:val="00D4749B"/>
    <w:rsid w:val="00D47F0E"/>
    <w:rsid w:val="00D52CA4"/>
    <w:rsid w:val="00D54B90"/>
    <w:rsid w:val="00D572C5"/>
    <w:rsid w:val="00D60769"/>
    <w:rsid w:val="00D60948"/>
    <w:rsid w:val="00D6143A"/>
    <w:rsid w:val="00D617C0"/>
    <w:rsid w:val="00D61FA0"/>
    <w:rsid w:val="00D62BB9"/>
    <w:rsid w:val="00D642E1"/>
    <w:rsid w:val="00D64381"/>
    <w:rsid w:val="00D64C30"/>
    <w:rsid w:val="00D660CE"/>
    <w:rsid w:val="00D67F5D"/>
    <w:rsid w:val="00D70036"/>
    <w:rsid w:val="00D70FB1"/>
    <w:rsid w:val="00D71B91"/>
    <w:rsid w:val="00D71C2C"/>
    <w:rsid w:val="00D72FD7"/>
    <w:rsid w:val="00D732C0"/>
    <w:rsid w:val="00D73503"/>
    <w:rsid w:val="00D73D0D"/>
    <w:rsid w:val="00D742BA"/>
    <w:rsid w:val="00D74312"/>
    <w:rsid w:val="00D75DD4"/>
    <w:rsid w:val="00D7603F"/>
    <w:rsid w:val="00D763A9"/>
    <w:rsid w:val="00D77818"/>
    <w:rsid w:val="00D81428"/>
    <w:rsid w:val="00D814E1"/>
    <w:rsid w:val="00D829DA"/>
    <w:rsid w:val="00D82AF8"/>
    <w:rsid w:val="00D82FE3"/>
    <w:rsid w:val="00D83910"/>
    <w:rsid w:val="00D83B26"/>
    <w:rsid w:val="00D903F2"/>
    <w:rsid w:val="00D94704"/>
    <w:rsid w:val="00D953F7"/>
    <w:rsid w:val="00D95D7E"/>
    <w:rsid w:val="00D964A0"/>
    <w:rsid w:val="00DA0096"/>
    <w:rsid w:val="00DA2241"/>
    <w:rsid w:val="00DA4E96"/>
    <w:rsid w:val="00DB0B8C"/>
    <w:rsid w:val="00DB2FC8"/>
    <w:rsid w:val="00DB4362"/>
    <w:rsid w:val="00DB7006"/>
    <w:rsid w:val="00DC0540"/>
    <w:rsid w:val="00DC1081"/>
    <w:rsid w:val="00DC11DE"/>
    <w:rsid w:val="00DC1E40"/>
    <w:rsid w:val="00DC20D0"/>
    <w:rsid w:val="00DC4990"/>
    <w:rsid w:val="00DC5044"/>
    <w:rsid w:val="00DC59F4"/>
    <w:rsid w:val="00DC6852"/>
    <w:rsid w:val="00DC68B3"/>
    <w:rsid w:val="00DC7662"/>
    <w:rsid w:val="00DD1BB6"/>
    <w:rsid w:val="00DD22C5"/>
    <w:rsid w:val="00DD4937"/>
    <w:rsid w:val="00DD5477"/>
    <w:rsid w:val="00DD5B0C"/>
    <w:rsid w:val="00DD5F33"/>
    <w:rsid w:val="00DD6253"/>
    <w:rsid w:val="00DD6755"/>
    <w:rsid w:val="00DD7077"/>
    <w:rsid w:val="00DE7A03"/>
    <w:rsid w:val="00DF21EE"/>
    <w:rsid w:val="00DF2C35"/>
    <w:rsid w:val="00DF2FD7"/>
    <w:rsid w:val="00DF4040"/>
    <w:rsid w:val="00DF5936"/>
    <w:rsid w:val="00DF608E"/>
    <w:rsid w:val="00DF7E7A"/>
    <w:rsid w:val="00E01362"/>
    <w:rsid w:val="00E015CA"/>
    <w:rsid w:val="00E0246D"/>
    <w:rsid w:val="00E15326"/>
    <w:rsid w:val="00E174A2"/>
    <w:rsid w:val="00E203BC"/>
    <w:rsid w:val="00E2067D"/>
    <w:rsid w:val="00E21DC9"/>
    <w:rsid w:val="00E21EA2"/>
    <w:rsid w:val="00E2343C"/>
    <w:rsid w:val="00E24229"/>
    <w:rsid w:val="00E24B87"/>
    <w:rsid w:val="00E259A2"/>
    <w:rsid w:val="00E30D94"/>
    <w:rsid w:val="00E31C6A"/>
    <w:rsid w:val="00E358CE"/>
    <w:rsid w:val="00E368D4"/>
    <w:rsid w:val="00E36A5E"/>
    <w:rsid w:val="00E37439"/>
    <w:rsid w:val="00E377BE"/>
    <w:rsid w:val="00E37F61"/>
    <w:rsid w:val="00E40070"/>
    <w:rsid w:val="00E40C94"/>
    <w:rsid w:val="00E41A8B"/>
    <w:rsid w:val="00E421A8"/>
    <w:rsid w:val="00E42592"/>
    <w:rsid w:val="00E4385F"/>
    <w:rsid w:val="00E43995"/>
    <w:rsid w:val="00E45F60"/>
    <w:rsid w:val="00E47119"/>
    <w:rsid w:val="00E534D2"/>
    <w:rsid w:val="00E54FF1"/>
    <w:rsid w:val="00E574F1"/>
    <w:rsid w:val="00E5796A"/>
    <w:rsid w:val="00E616EE"/>
    <w:rsid w:val="00E626D2"/>
    <w:rsid w:val="00E64736"/>
    <w:rsid w:val="00E65447"/>
    <w:rsid w:val="00E66D96"/>
    <w:rsid w:val="00E676A3"/>
    <w:rsid w:val="00E67ED2"/>
    <w:rsid w:val="00E701E0"/>
    <w:rsid w:val="00E70DA9"/>
    <w:rsid w:val="00E7216C"/>
    <w:rsid w:val="00E738E0"/>
    <w:rsid w:val="00E73965"/>
    <w:rsid w:val="00E73E29"/>
    <w:rsid w:val="00E743D3"/>
    <w:rsid w:val="00E756DB"/>
    <w:rsid w:val="00E77D40"/>
    <w:rsid w:val="00E80E25"/>
    <w:rsid w:val="00E8360E"/>
    <w:rsid w:val="00E85393"/>
    <w:rsid w:val="00E857F6"/>
    <w:rsid w:val="00E86B6F"/>
    <w:rsid w:val="00E9033F"/>
    <w:rsid w:val="00E917AD"/>
    <w:rsid w:val="00E93EF0"/>
    <w:rsid w:val="00E95CA5"/>
    <w:rsid w:val="00E97EB8"/>
    <w:rsid w:val="00EA0DCE"/>
    <w:rsid w:val="00EA28A0"/>
    <w:rsid w:val="00EA2BF3"/>
    <w:rsid w:val="00EA483E"/>
    <w:rsid w:val="00EA529C"/>
    <w:rsid w:val="00EA554D"/>
    <w:rsid w:val="00EA6C42"/>
    <w:rsid w:val="00EB1646"/>
    <w:rsid w:val="00EB1DEB"/>
    <w:rsid w:val="00EB26D4"/>
    <w:rsid w:val="00EB3539"/>
    <w:rsid w:val="00EB3BFD"/>
    <w:rsid w:val="00EB3E8A"/>
    <w:rsid w:val="00EB4EC1"/>
    <w:rsid w:val="00EB54AA"/>
    <w:rsid w:val="00EB5662"/>
    <w:rsid w:val="00EC0288"/>
    <w:rsid w:val="00EC5DE7"/>
    <w:rsid w:val="00EC6EEE"/>
    <w:rsid w:val="00ED0535"/>
    <w:rsid w:val="00ED10BF"/>
    <w:rsid w:val="00ED192A"/>
    <w:rsid w:val="00ED5137"/>
    <w:rsid w:val="00EE0976"/>
    <w:rsid w:val="00EE292B"/>
    <w:rsid w:val="00EE4AF0"/>
    <w:rsid w:val="00EE6467"/>
    <w:rsid w:val="00EF2054"/>
    <w:rsid w:val="00EF2C71"/>
    <w:rsid w:val="00EF4B71"/>
    <w:rsid w:val="00EF4C9D"/>
    <w:rsid w:val="00EF4F9F"/>
    <w:rsid w:val="00F005E0"/>
    <w:rsid w:val="00F01080"/>
    <w:rsid w:val="00F035AD"/>
    <w:rsid w:val="00F03C09"/>
    <w:rsid w:val="00F05581"/>
    <w:rsid w:val="00F05A54"/>
    <w:rsid w:val="00F060EB"/>
    <w:rsid w:val="00F12699"/>
    <w:rsid w:val="00F12D2B"/>
    <w:rsid w:val="00F14F7A"/>
    <w:rsid w:val="00F15166"/>
    <w:rsid w:val="00F1572B"/>
    <w:rsid w:val="00F1777B"/>
    <w:rsid w:val="00F1787A"/>
    <w:rsid w:val="00F1798B"/>
    <w:rsid w:val="00F20C3F"/>
    <w:rsid w:val="00F21D16"/>
    <w:rsid w:val="00F23CE8"/>
    <w:rsid w:val="00F259AD"/>
    <w:rsid w:val="00F25D1E"/>
    <w:rsid w:val="00F26A99"/>
    <w:rsid w:val="00F27D15"/>
    <w:rsid w:val="00F30379"/>
    <w:rsid w:val="00F33241"/>
    <w:rsid w:val="00F33B66"/>
    <w:rsid w:val="00F3687F"/>
    <w:rsid w:val="00F40479"/>
    <w:rsid w:val="00F41111"/>
    <w:rsid w:val="00F43CA5"/>
    <w:rsid w:val="00F43EA0"/>
    <w:rsid w:val="00F475F7"/>
    <w:rsid w:val="00F51C88"/>
    <w:rsid w:val="00F53A47"/>
    <w:rsid w:val="00F571F2"/>
    <w:rsid w:val="00F61181"/>
    <w:rsid w:val="00F62CF5"/>
    <w:rsid w:val="00F652A3"/>
    <w:rsid w:val="00F71831"/>
    <w:rsid w:val="00F72B75"/>
    <w:rsid w:val="00F73DF8"/>
    <w:rsid w:val="00F76259"/>
    <w:rsid w:val="00F800F5"/>
    <w:rsid w:val="00F80C87"/>
    <w:rsid w:val="00F81B7B"/>
    <w:rsid w:val="00F82086"/>
    <w:rsid w:val="00F83EAD"/>
    <w:rsid w:val="00F86404"/>
    <w:rsid w:val="00F8729D"/>
    <w:rsid w:val="00F87E01"/>
    <w:rsid w:val="00F954CD"/>
    <w:rsid w:val="00F95AE9"/>
    <w:rsid w:val="00F95EB4"/>
    <w:rsid w:val="00F96D31"/>
    <w:rsid w:val="00F97202"/>
    <w:rsid w:val="00FA3F82"/>
    <w:rsid w:val="00FB158A"/>
    <w:rsid w:val="00FB165D"/>
    <w:rsid w:val="00FB259D"/>
    <w:rsid w:val="00FC1CB3"/>
    <w:rsid w:val="00FC25BA"/>
    <w:rsid w:val="00FC6868"/>
    <w:rsid w:val="00FD00F6"/>
    <w:rsid w:val="00FD066B"/>
    <w:rsid w:val="00FD0D43"/>
    <w:rsid w:val="00FD18F5"/>
    <w:rsid w:val="00FD2D3D"/>
    <w:rsid w:val="00FD4AB4"/>
    <w:rsid w:val="00FD59DD"/>
    <w:rsid w:val="00FE060E"/>
    <w:rsid w:val="00FE2170"/>
    <w:rsid w:val="00FE2610"/>
    <w:rsid w:val="00FE3415"/>
    <w:rsid w:val="00FE4C53"/>
    <w:rsid w:val="00FE5A75"/>
    <w:rsid w:val="00FE65D3"/>
    <w:rsid w:val="00FF09D9"/>
    <w:rsid w:val="00FF1A48"/>
    <w:rsid w:val="00FF684E"/>
    <w:rsid w:val="00FF6BD7"/>
    <w:rsid w:val="00FF6E13"/>
    <w:rsid w:val="00FF74F7"/>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369FAAB"/>
  <w15:docId w15:val="{2FA77D65-7245-4829-842C-8A32CE2A72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 w:hAnsi="Cambria" w:cs="Times New Roman"/>
        <w:lang w:val="en-GB" w:eastAsia="en-GB"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semiHidden="1" w:uiPriority="9" w:unhideWhenUsed="1"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locked="1"/>
    <w:lsdException w:name="header" w:semiHidden="1" w:unhideWhenUsed="1"/>
    <w:lsdException w:name="footer" w:semiHidden="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0"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lsdException w:name="List Paragraph" w:uiPriority="0"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4"/>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19"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5393"/>
    <w:pPr>
      <w:spacing w:after="200"/>
    </w:pPr>
    <w:rPr>
      <w:sz w:val="24"/>
      <w:szCs w:val="24"/>
      <w:lang w:eastAsia="ja-JP"/>
    </w:rPr>
  </w:style>
  <w:style w:type="paragraph" w:styleId="Heading1">
    <w:name w:val="heading 1"/>
    <w:basedOn w:val="Normal"/>
    <w:next w:val="Normal"/>
    <w:link w:val="Heading1Char"/>
    <w:uiPriority w:val="9"/>
    <w:qFormat/>
    <w:locked/>
    <w:rsid w:val="00EA529C"/>
    <w:pPr>
      <w:keepNext/>
      <w:spacing w:before="240" w:after="60"/>
      <w:jc w:val="both"/>
      <w:outlineLvl w:val="0"/>
    </w:pPr>
    <w:rPr>
      <w:rFonts w:eastAsia="SimSun"/>
      <w:b/>
      <w:bCs/>
      <w:kern w:val="32"/>
      <w:sz w:val="32"/>
      <w:szCs w:val="32"/>
    </w:rPr>
  </w:style>
  <w:style w:type="paragraph" w:styleId="Heading2">
    <w:name w:val="heading 2"/>
    <w:basedOn w:val="Normal"/>
    <w:next w:val="Normal"/>
    <w:link w:val="Heading2Char"/>
    <w:uiPriority w:val="9"/>
    <w:unhideWhenUsed/>
    <w:qFormat/>
    <w:locked/>
    <w:rsid w:val="00DB7006"/>
    <w:pPr>
      <w:keepNext/>
      <w:spacing w:before="240" w:after="60"/>
      <w:outlineLvl w:val="1"/>
    </w:pPr>
    <w:rPr>
      <w:rFonts w:eastAsia="SimSun"/>
      <w:b/>
      <w:bCs/>
      <w:i/>
      <w:iCs/>
      <w:sz w:val="28"/>
      <w:szCs w:val="28"/>
    </w:rPr>
  </w:style>
  <w:style w:type="paragraph" w:styleId="Heading3">
    <w:name w:val="heading 3"/>
    <w:basedOn w:val="Normal"/>
    <w:next w:val="Normal"/>
    <w:link w:val="Heading3Char"/>
    <w:uiPriority w:val="9"/>
    <w:unhideWhenUsed/>
    <w:qFormat/>
    <w:locked/>
    <w:rsid w:val="00DB7006"/>
    <w:pPr>
      <w:keepNext/>
      <w:spacing w:before="240" w:after="60"/>
      <w:outlineLvl w:val="2"/>
    </w:pPr>
    <w:rPr>
      <w:rFonts w:eastAsia="SimSun"/>
      <w:b/>
      <w:bCs/>
      <w:sz w:val="26"/>
      <w:szCs w:val="26"/>
    </w:rPr>
  </w:style>
  <w:style w:type="paragraph" w:styleId="Heading4">
    <w:name w:val="heading 4"/>
    <w:basedOn w:val="Normal"/>
    <w:next w:val="Normal"/>
    <w:link w:val="Heading4Char"/>
    <w:uiPriority w:val="9"/>
    <w:unhideWhenUsed/>
    <w:qFormat/>
    <w:locked/>
    <w:rsid w:val="008A2C4C"/>
    <w:pPr>
      <w:keepNext/>
      <w:spacing w:before="240" w:after="60"/>
      <w:outlineLvl w:val="3"/>
    </w:pPr>
    <w:rPr>
      <w:rFonts w:ascii="Calibri" w:eastAsia="SimSun" w:hAnsi="Calibri" w:cs="Arial"/>
      <w:b/>
      <w:bCs/>
      <w:sz w:val="28"/>
      <w:szCs w:val="28"/>
    </w:rPr>
  </w:style>
  <w:style w:type="paragraph" w:styleId="Heading5">
    <w:name w:val="heading 5"/>
    <w:basedOn w:val="Normal"/>
    <w:next w:val="Normal"/>
    <w:link w:val="Heading5Char"/>
    <w:uiPriority w:val="9"/>
    <w:unhideWhenUsed/>
    <w:qFormat/>
    <w:locked/>
    <w:rsid w:val="008F085C"/>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qFormat/>
    <w:locked/>
    <w:rsid w:val="000E3756"/>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lorfulList-Accent11">
    <w:name w:val="Colorful List - Accent 11"/>
    <w:basedOn w:val="Normal"/>
    <w:uiPriority w:val="99"/>
    <w:qFormat/>
    <w:rsid w:val="003C161A"/>
    <w:pPr>
      <w:ind w:left="720"/>
      <w:contextualSpacing/>
    </w:pPr>
    <w:rPr>
      <w:lang w:eastAsia="en-US"/>
    </w:rPr>
  </w:style>
  <w:style w:type="paragraph" w:customStyle="1" w:styleId="Style1">
    <w:name w:val="Style1"/>
    <w:basedOn w:val="Normal"/>
    <w:rsid w:val="006513E2"/>
    <w:pPr>
      <w:spacing w:after="0" w:line="480" w:lineRule="auto"/>
      <w:jc w:val="both"/>
    </w:pPr>
    <w:rPr>
      <w:rFonts w:ascii="Times New Roman" w:hAnsi="Times New Roman"/>
      <w:sz w:val="20"/>
      <w:szCs w:val="20"/>
      <w:lang w:val="en-US" w:eastAsia="en-GB"/>
    </w:rPr>
  </w:style>
  <w:style w:type="paragraph" w:styleId="NormalWeb">
    <w:name w:val="Normal (Web)"/>
    <w:basedOn w:val="Normal"/>
    <w:rsid w:val="001E0F95"/>
    <w:pPr>
      <w:spacing w:beforeLines="1" w:afterLines="1"/>
    </w:pPr>
    <w:rPr>
      <w:rFonts w:ascii="Times" w:hAnsi="Times"/>
      <w:sz w:val="20"/>
      <w:szCs w:val="20"/>
      <w:lang w:eastAsia="en-US"/>
    </w:rPr>
  </w:style>
  <w:style w:type="paragraph" w:styleId="BalloonText">
    <w:name w:val="Balloon Text"/>
    <w:basedOn w:val="Normal"/>
    <w:link w:val="BalloonTextChar"/>
    <w:uiPriority w:val="99"/>
    <w:rsid w:val="001E0F95"/>
    <w:pPr>
      <w:spacing w:after="0"/>
    </w:pPr>
    <w:rPr>
      <w:rFonts w:ascii="Lucida Grande" w:hAnsi="Lucida Grande"/>
      <w:sz w:val="18"/>
      <w:szCs w:val="18"/>
    </w:rPr>
  </w:style>
  <w:style w:type="character" w:customStyle="1" w:styleId="BalloonTextChar">
    <w:name w:val="Balloon Text Char"/>
    <w:link w:val="BalloonText"/>
    <w:uiPriority w:val="99"/>
    <w:locked/>
    <w:rsid w:val="001E0F95"/>
    <w:rPr>
      <w:rFonts w:ascii="Lucida Grande" w:hAnsi="Lucida Grande" w:cs="Times New Roman"/>
      <w:sz w:val="18"/>
      <w:szCs w:val="18"/>
      <w:lang w:val="en-GB"/>
    </w:rPr>
  </w:style>
  <w:style w:type="paragraph" w:customStyle="1" w:styleId="EndNoteBibliographyTitle">
    <w:name w:val="EndNote Bibliography Title"/>
    <w:basedOn w:val="Normal"/>
    <w:link w:val="EndNoteBibliographyTitleChar"/>
    <w:uiPriority w:val="99"/>
    <w:rsid w:val="001E0F95"/>
    <w:pPr>
      <w:spacing w:after="0"/>
      <w:jc w:val="center"/>
    </w:pPr>
    <w:rPr>
      <w:lang w:val="en-US" w:eastAsia="en-US"/>
    </w:rPr>
  </w:style>
  <w:style w:type="paragraph" w:customStyle="1" w:styleId="EndNoteBibliography">
    <w:name w:val="EndNote Bibliography"/>
    <w:basedOn w:val="Normal"/>
    <w:link w:val="EndNoteBibliographyChar"/>
    <w:rsid w:val="001E0F95"/>
    <w:pPr>
      <w:jc w:val="both"/>
    </w:pPr>
    <w:rPr>
      <w:lang w:val="en-US" w:eastAsia="en-US"/>
    </w:rPr>
  </w:style>
  <w:style w:type="paragraph" w:customStyle="1" w:styleId="ListParagraph1">
    <w:name w:val="List Paragraph1"/>
    <w:basedOn w:val="Normal"/>
    <w:uiPriority w:val="99"/>
    <w:rsid w:val="001E0F95"/>
    <w:pPr>
      <w:spacing w:after="0"/>
      <w:ind w:left="720"/>
      <w:contextualSpacing/>
    </w:pPr>
    <w:rPr>
      <w:rFonts w:ascii="Arial" w:hAnsi="Arial" w:cs="Arial"/>
      <w:sz w:val="22"/>
      <w:szCs w:val="22"/>
      <w:lang w:val="en-US" w:eastAsia="en-GB"/>
    </w:rPr>
  </w:style>
  <w:style w:type="table" w:styleId="TableGrid">
    <w:name w:val="Table Grid"/>
    <w:basedOn w:val="TableNormal"/>
    <w:uiPriority w:val="99"/>
    <w:rsid w:val="001E0F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rsid w:val="001E0F95"/>
    <w:rPr>
      <w:rFonts w:cs="Times New Roman"/>
      <w:sz w:val="18"/>
      <w:szCs w:val="18"/>
    </w:rPr>
  </w:style>
  <w:style w:type="paragraph" w:styleId="CommentText">
    <w:name w:val="annotation text"/>
    <w:basedOn w:val="Normal"/>
    <w:link w:val="CommentTextChar"/>
    <w:uiPriority w:val="99"/>
    <w:rsid w:val="001E0F95"/>
    <w:rPr>
      <w:lang w:eastAsia="en-US"/>
    </w:rPr>
  </w:style>
  <w:style w:type="character" w:customStyle="1" w:styleId="CommentTextChar">
    <w:name w:val="Comment Text Char"/>
    <w:link w:val="CommentText"/>
    <w:uiPriority w:val="99"/>
    <w:locked/>
    <w:rsid w:val="001E0F95"/>
    <w:rPr>
      <w:rFonts w:ascii="Cambria" w:hAnsi="Cambria" w:cs="Times New Roman"/>
      <w:lang w:val="en-GB" w:eastAsia="en-US"/>
    </w:rPr>
  </w:style>
  <w:style w:type="paragraph" w:styleId="Footer">
    <w:name w:val="footer"/>
    <w:basedOn w:val="Normal"/>
    <w:link w:val="FooterChar"/>
    <w:rsid w:val="001E0F95"/>
    <w:pPr>
      <w:tabs>
        <w:tab w:val="center" w:pos="4320"/>
        <w:tab w:val="right" w:pos="8640"/>
      </w:tabs>
      <w:spacing w:after="0"/>
    </w:pPr>
    <w:rPr>
      <w:lang w:eastAsia="en-US"/>
    </w:rPr>
  </w:style>
  <w:style w:type="character" w:customStyle="1" w:styleId="FooterChar">
    <w:name w:val="Footer Char"/>
    <w:link w:val="Footer"/>
    <w:locked/>
    <w:rsid w:val="001E0F95"/>
    <w:rPr>
      <w:rFonts w:ascii="Cambria" w:hAnsi="Cambria" w:cs="Times New Roman"/>
      <w:lang w:val="en-GB" w:eastAsia="en-US"/>
    </w:rPr>
  </w:style>
  <w:style w:type="character" w:styleId="PageNumber">
    <w:name w:val="page number"/>
    <w:uiPriority w:val="99"/>
    <w:semiHidden/>
    <w:rsid w:val="001E0F95"/>
    <w:rPr>
      <w:rFonts w:cs="Times New Roman"/>
    </w:rPr>
  </w:style>
  <w:style w:type="paragraph" w:customStyle="1" w:styleId="ColorfulShading-Accent11">
    <w:name w:val="Colorful Shading - Accent 11"/>
    <w:hidden/>
    <w:uiPriority w:val="99"/>
    <w:semiHidden/>
    <w:rsid w:val="001E0F95"/>
    <w:rPr>
      <w:sz w:val="24"/>
      <w:szCs w:val="24"/>
      <w:lang w:eastAsia="en-US"/>
    </w:rPr>
  </w:style>
  <w:style w:type="paragraph" w:styleId="Header">
    <w:name w:val="header"/>
    <w:basedOn w:val="Normal"/>
    <w:link w:val="HeaderChar"/>
    <w:uiPriority w:val="99"/>
    <w:rsid w:val="00CD5B22"/>
    <w:pPr>
      <w:tabs>
        <w:tab w:val="center" w:pos="4320"/>
        <w:tab w:val="right" w:pos="8640"/>
      </w:tabs>
    </w:pPr>
  </w:style>
  <w:style w:type="character" w:customStyle="1" w:styleId="HeaderChar">
    <w:name w:val="Header Char"/>
    <w:link w:val="Header"/>
    <w:uiPriority w:val="99"/>
    <w:locked/>
    <w:rsid w:val="00CD5B22"/>
    <w:rPr>
      <w:rFonts w:cs="Times New Roman"/>
      <w:sz w:val="24"/>
      <w:szCs w:val="24"/>
      <w:lang w:eastAsia="ja-JP"/>
    </w:rPr>
  </w:style>
  <w:style w:type="character" w:customStyle="1" w:styleId="Heading1Char">
    <w:name w:val="Heading 1 Char"/>
    <w:link w:val="Heading1"/>
    <w:uiPriority w:val="9"/>
    <w:rsid w:val="00EA529C"/>
    <w:rPr>
      <w:rFonts w:eastAsia="SimSun"/>
      <w:b/>
      <w:bCs/>
      <w:kern w:val="32"/>
      <w:sz w:val="32"/>
      <w:szCs w:val="32"/>
      <w:lang w:eastAsia="ja-JP"/>
    </w:rPr>
  </w:style>
  <w:style w:type="paragraph" w:styleId="Title">
    <w:name w:val="Title"/>
    <w:basedOn w:val="Normal"/>
    <w:next w:val="Normal"/>
    <w:link w:val="TitleChar"/>
    <w:qFormat/>
    <w:locked/>
    <w:rsid w:val="005C2940"/>
    <w:pPr>
      <w:spacing w:before="240" w:after="60"/>
      <w:jc w:val="center"/>
      <w:outlineLvl w:val="0"/>
    </w:pPr>
    <w:rPr>
      <w:rFonts w:eastAsia="SimSun"/>
      <w:b/>
      <w:bCs/>
      <w:kern w:val="28"/>
      <w:sz w:val="32"/>
      <w:szCs w:val="32"/>
    </w:rPr>
  </w:style>
  <w:style w:type="character" w:customStyle="1" w:styleId="TitleChar">
    <w:name w:val="Title Char"/>
    <w:link w:val="Title"/>
    <w:rsid w:val="005C2940"/>
    <w:rPr>
      <w:rFonts w:ascii="Cambria" w:eastAsia="SimSun" w:hAnsi="Cambria" w:cs="Times New Roman"/>
      <w:b/>
      <w:bCs/>
      <w:kern w:val="28"/>
      <w:sz w:val="32"/>
      <w:szCs w:val="32"/>
      <w:lang w:eastAsia="ja-JP"/>
    </w:rPr>
  </w:style>
  <w:style w:type="character" w:customStyle="1" w:styleId="Heading2Char">
    <w:name w:val="Heading 2 Char"/>
    <w:link w:val="Heading2"/>
    <w:uiPriority w:val="9"/>
    <w:rsid w:val="00DB7006"/>
    <w:rPr>
      <w:rFonts w:ascii="Cambria" w:eastAsia="SimSun" w:hAnsi="Cambria" w:cs="Times New Roman"/>
      <w:b/>
      <w:bCs/>
      <w:i/>
      <w:iCs/>
      <w:sz w:val="28"/>
      <w:szCs w:val="28"/>
      <w:lang w:eastAsia="ja-JP"/>
    </w:rPr>
  </w:style>
  <w:style w:type="character" w:customStyle="1" w:styleId="Heading3Char">
    <w:name w:val="Heading 3 Char"/>
    <w:link w:val="Heading3"/>
    <w:uiPriority w:val="9"/>
    <w:rsid w:val="00DB7006"/>
    <w:rPr>
      <w:rFonts w:ascii="Cambria" w:eastAsia="SimSun" w:hAnsi="Cambria" w:cs="Times New Roman"/>
      <w:b/>
      <w:bCs/>
      <w:sz w:val="26"/>
      <w:szCs w:val="26"/>
      <w:lang w:eastAsia="ja-JP"/>
    </w:rPr>
  </w:style>
  <w:style w:type="character" w:customStyle="1" w:styleId="Heading4Char">
    <w:name w:val="Heading 4 Char"/>
    <w:link w:val="Heading4"/>
    <w:uiPriority w:val="9"/>
    <w:rsid w:val="008A2C4C"/>
    <w:rPr>
      <w:rFonts w:ascii="Calibri" w:eastAsia="SimSun" w:hAnsi="Calibri" w:cs="Arial"/>
      <w:b/>
      <w:bCs/>
      <w:sz w:val="28"/>
      <w:szCs w:val="28"/>
      <w:lang w:eastAsia="ja-JP"/>
    </w:rPr>
  </w:style>
  <w:style w:type="paragraph" w:styleId="Date">
    <w:name w:val="Date"/>
    <w:basedOn w:val="Normal"/>
    <w:next w:val="Normal"/>
    <w:link w:val="DateChar"/>
    <w:uiPriority w:val="99"/>
    <w:semiHidden/>
    <w:unhideWhenUsed/>
    <w:rsid w:val="00C36A2E"/>
  </w:style>
  <w:style w:type="character" w:customStyle="1" w:styleId="DateChar">
    <w:name w:val="Date Char"/>
    <w:basedOn w:val="DefaultParagraphFont"/>
    <w:link w:val="Date"/>
    <w:uiPriority w:val="99"/>
    <w:semiHidden/>
    <w:rsid w:val="00C36A2E"/>
    <w:rPr>
      <w:sz w:val="24"/>
      <w:szCs w:val="24"/>
      <w:lang w:eastAsia="ja-JP"/>
    </w:rPr>
  </w:style>
  <w:style w:type="table" w:styleId="ColorfulGrid-Accent1">
    <w:name w:val="Colorful Grid Accent 1"/>
    <w:basedOn w:val="TableNormal"/>
    <w:uiPriority w:val="29"/>
    <w:qFormat/>
    <w:rsid w:val="002C6889"/>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3-Accent5">
    <w:name w:val="Medium Grid 3 Accent 5"/>
    <w:basedOn w:val="TableNormal"/>
    <w:uiPriority w:val="60"/>
    <w:rsid w:val="002C688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character" w:customStyle="1" w:styleId="Heading5Char">
    <w:name w:val="Heading 5 Char"/>
    <w:basedOn w:val="DefaultParagraphFont"/>
    <w:link w:val="Heading5"/>
    <w:uiPriority w:val="9"/>
    <w:rsid w:val="008F085C"/>
    <w:rPr>
      <w:rFonts w:asciiTheme="majorHAnsi" w:eastAsiaTheme="majorEastAsia" w:hAnsiTheme="majorHAnsi" w:cstheme="majorBidi"/>
      <w:color w:val="243F60" w:themeColor="accent1" w:themeShade="7F"/>
      <w:sz w:val="24"/>
      <w:szCs w:val="24"/>
      <w:lang w:eastAsia="ja-JP"/>
    </w:rPr>
  </w:style>
  <w:style w:type="paragraph" w:styleId="Caption">
    <w:name w:val="caption"/>
    <w:basedOn w:val="Normal"/>
    <w:next w:val="Normal"/>
    <w:unhideWhenUsed/>
    <w:qFormat/>
    <w:locked/>
    <w:rsid w:val="00BC7EA0"/>
    <w:rPr>
      <w:b/>
      <w:bCs/>
      <w:color w:val="4F81BD" w:themeColor="accent1"/>
      <w:sz w:val="18"/>
      <w:szCs w:val="18"/>
    </w:rPr>
  </w:style>
  <w:style w:type="paragraph" w:styleId="TOCHeading">
    <w:name w:val="TOC Heading"/>
    <w:basedOn w:val="Heading1"/>
    <w:next w:val="Normal"/>
    <w:unhideWhenUsed/>
    <w:qFormat/>
    <w:rsid w:val="00EA529C"/>
    <w:pPr>
      <w:keepLines/>
      <w:spacing w:before="480" w:after="0" w:line="276" w:lineRule="auto"/>
      <w:jc w:val="left"/>
      <w:outlineLvl w:val="9"/>
    </w:pPr>
    <w:rPr>
      <w:rFonts w:asciiTheme="majorHAnsi" w:eastAsiaTheme="majorEastAsia" w:hAnsiTheme="majorHAnsi" w:cstheme="majorBidi"/>
      <w:color w:val="365F91" w:themeColor="accent1" w:themeShade="BF"/>
      <w:kern w:val="0"/>
      <w:sz w:val="28"/>
      <w:szCs w:val="28"/>
      <w:lang w:val="en-US" w:eastAsia="en-US"/>
    </w:rPr>
  </w:style>
  <w:style w:type="paragraph" w:styleId="TOC1">
    <w:name w:val="toc 1"/>
    <w:basedOn w:val="Normal"/>
    <w:next w:val="Normal"/>
    <w:autoRedefine/>
    <w:uiPriority w:val="39"/>
    <w:locked/>
    <w:rsid w:val="009E7277"/>
    <w:pPr>
      <w:tabs>
        <w:tab w:val="right" w:leader="dot" w:pos="9010"/>
      </w:tabs>
      <w:spacing w:before="120" w:after="0" w:line="480" w:lineRule="auto"/>
    </w:pPr>
    <w:rPr>
      <w:rFonts w:asciiTheme="minorHAnsi" w:hAnsiTheme="minorHAnsi"/>
      <w:b/>
    </w:rPr>
  </w:style>
  <w:style w:type="paragraph" w:styleId="TOC2">
    <w:name w:val="toc 2"/>
    <w:basedOn w:val="Normal"/>
    <w:next w:val="Normal"/>
    <w:autoRedefine/>
    <w:uiPriority w:val="39"/>
    <w:locked/>
    <w:rsid w:val="00F87E01"/>
    <w:pPr>
      <w:tabs>
        <w:tab w:val="right" w:leader="dot" w:pos="9010"/>
      </w:tabs>
      <w:spacing w:after="0" w:line="480" w:lineRule="auto"/>
      <w:ind w:left="240"/>
    </w:pPr>
    <w:rPr>
      <w:rFonts w:asciiTheme="minorHAnsi" w:hAnsiTheme="minorHAnsi"/>
      <w:b/>
      <w:sz w:val="22"/>
      <w:szCs w:val="22"/>
    </w:rPr>
  </w:style>
  <w:style w:type="paragraph" w:styleId="TOC3">
    <w:name w:val="toc 3"/>
    <w:basedOn w:val="Normal"/>
    <w:next w:val="Normal"/>
    <w:autoRedefine/>
    <w:uiPriority w:val="39"/>
    <w:locked/>
    <w:rsid w:val="00EA529C"/>
    <w:pPr>
      <w:spacing w:after="0"/>
      <w:ind w:left="480"/>
    </w:pPr>
    <w:rPr>
      <w:rFonts w:asciiTheme="minorHAnsi" w:hAnsiTheme="minorHAnsi"/>
      <w:sz w:val="22"/>
      <w:szCs w:val="22"/>
    </w:rPr>
  </w:style>
  <w:style w:type="paragraph" w:styleId="TOC4">
    <w:name w:val="toc 4"/>
    <w:basedOn w:val="Normal"/>
    <w:next w:val="Normal"/>
    <w:autoRedefine/>
    <w:locked/>
    <w:rsid w:val="00EA529C"/>
    <w:pPr>
      <w:spacing w:after="0"/>
      <w:ind w:left="720"/>
    </w:pPr>
    <w:rPr>
      <w:rFonts w:asciiTheme="minorHAnsi" w:hAnsiTheme="minorHAnsi"/>
      <w:sz w:val="20"/>
      <w:szCs w:val="20"/>
    </w:rPr>
  </w:style>
  <w:style w:type="paragraph" w:styleId="TOC5">
    <w:name w:val="toc 5"/>
    <w:basedOn w:val="Normal"/>
    <w:next w:val="Normal"/>
    <w:autoRedefine/>
    <w:locked/>
    <w:rsid w:val="00EA529C"/>
    <w:pPr>
      <w:spacing w:after="0"/>
      <w:ind w:left="960"/>
    </w:pPr>
    <w:rPr>
      <w:rFonts w:asciiTheme="minorHAnsi" w:hAnsiTheme="minorHAnsi"/>
      <w:sz w:val="20"/>
      <w:szCs w:val="20"/>
    </w:rPr>
  </w:style>
  <w:style w:type="paragraph" w:styleId="TOC6">
    <w:name w:val="toc 6"/>
    <w:basedOn w:val="Normal"/>
    <w:next w:val="Normal"/>
    <w:autoRedefine/>
    <w:locked/>
    <w:rsid w:val="00EA529C"/>
    <w:pPr>
      <w:spacing w:after="0"/>
      <w:ind w:left="1200"/>
    </w:pPr>
    <w:rPr>
      <w:rFonts w:asciiTheme="minorHAnsi" w:hAnsiTheme="minorHAnsi"/>
      <w:sz w:val="20"/>
      <w:szCs w:val="20"/>
    </w:rPr>
  </w:style>
  <w:style w:type="paragraph" w:styleId="TOC7">
    <w:name w:val="toc 7"/>
    <w:basedOn w:val="Normal"/>
    <w:next w:val="Normal"/>
    <w:autoRedefine/>
    <w:locked/>
    <w:rsid w:val="00EA529C"/>
    <w:pPr>
      <w:spacing w:after="0"/>
      <w:ind w:left="1440"/>
    </w:pPr>
    <w:rPr>
      <w:rFonts w:asciiTheme="minorHAnsi" w:hAnsiTheme="minorHAnsi"/>
      <w:sz w:val="20"/>
      <w:szCs w:val="20"/>
    </w:rPr>
  </w:style>
  <w:style w:type="paragraph" w:styleId="TOC8">
    <w:name w:val="toc 8"/>
    <w:basedOn w:val="Normal"/>
    <w:next w:val="Normal"/>
    <w:autoRedefine/>
    <w:locked/>
    <w:rsid w:val="00EA529C"/>
    <w:pPr>
      <w:spacing w:after="0"/>
      <w:ind w:left="1680"/>
    </w:pPr>
    <w:rPr>
      <w:rFonts w:asciiTheme="minorHAnsi" w:hAnsiTheme="minorHAnsi"/>
      <w:sz w:val="20"/>
      <w:szCs w:val="20"/>
    </w:rPr>
  </w:style>
  <w:style w:type="paragraph" w:styleId="TOC9">
    <w:name w:val="toc 9"/>
    <w:basedOn w:val="Normal"/>
    <w:next w:val="Normal"/>
    <w:autoRedefine/>
    <w:locked/>
    <w:rsid w:val="00EA529C"/>
    <w:pPr>
      <w:spacing w:after="0"/>
      <w:ind w:left="1920"/>
    </w:pPr>
    <w:rPr>
      <w:rFonts w:asciiTheme="minorHAnsi" w:hAnsiTheme="minorHAnsi"/>
      <w:sz w:val="20"/>
      <w:szCs w:val="20"/>
    </w:rPr>
  </w:style>
  <w:style w:type="paragraph" w:styleId="CommentSubject">
    <w:name w:val="annotation subject"/>
    <w:basedOn w:val="CommentText"/>
    <w:next w:val="CommentText"/>
    <w:link w:val="CommentSubjectChar"/>
    <w:uiPriority w:val="99"/>
    <w:semiHidden/>
    <w:unhideWhenUsed/>
    <w:rsid w:val="00A1025B"/>
    <w:rPr>
      <w:b/>
      <w:bCs/>
      <w:sz w:val="20"/>
      <w:szCs w:val="20"/>
      <w:lang w:eastAsia="ja-JP"/>
    </w:rPr>
  </w:style>
  <w:style w:type="character" w:customStyle="1" w:styleId="CommentSubjectChar">
    <w:name w:val="Comment Subject Char"/>
    <w:basedOn w:val="CommentTextChar"/>
    <w:link w:val="CommentSubject"/>
    <w:uiPriority w:val="99"/>
    <w:semiHidden/>
    <w:rsid w:val="00A1025B"/>
    <w:rPr>
      <w:rFonts w:ascii="Cambria" w:hAnsi="Cambria" w:cs="Times New Roman"/>
      <w:b/>
      <w:bCs/>
      <w:lang w:val="en-GB" w:eastAsia="ja-JP"/>
    </w:rPr>
  </w:style>
  <w:style w:type="character" w:styleId="Hyperlink">
    <w:name w:val="Hyperlink"/>
    <w:basedOn w:val="DefaultParagraphFont"/>
    <w:uiPriority w:val="99"/>
    <w:unhideWhenUsed/>
    <w:rsid w:val="003E50FC"/>
    <w:rPr>
      <w:color w:val="0000FF" w:themeColor="hyperlink"/>
      <w:u w:val="single"/>
    </w:rPr>
  </w:style>
  <w:style w:type="paragraph" w:styleId="ListParagraph">
    <w:name w:val="List Paragraph"/>
    <w:basedOn w:val="Normal"/>
    <w:qFormat/>
    <w:rsid w:val="003371DE"/>
    <w:pPr>
      <w:ind w:left="720"/>
      <w:contextualSpacing/>
    </w:pPr>
  </w:style>
  <w:style w:type="paragraph" w:styleId="NoSpacing">
    <w:name w:val="No Spacing"/>
    <w:qFormat/>
    <w:rsid w:val="005029F2"/>
    <w:rPr>
      <w:sz w:val="24"/>
      <w:szCs w:val="24"/>
      <w:lang w:eastAsia="ja-JP"/>
    </w:rPr>
  </w:style>
  <w:style w:type="character" w:customStyle="1" w:styleId="UnresolvedMention1">
    <w:name w:val="Unresolved Mention1"/>
    <w:basedOn w:val="DefaultParagraphFont"/>
    <w:uiPriority w:val="99"/>
    <w:semiHidden/>
    <w:unhideWhenUsed/>
    <w:rsid w:val="008F075E"/>
    <w:rPr>
      <w:color w:val="605E5C"/>
      <w:shd w:val="clear" w:color="auto" w:fill="E1DFDD"/>
    </w:rPr>
  </w:style>
  <w:style w:type="numbering" w:customStyle="1" w:styleId="NoList1">
    <w:name w:val="No List1"/>
    <w:next w:val="NoList"/>
    <w:uiPriority w:val="99"/>
    <w:semiHidden/>
    <w:unhideWhenUsed/>
    <w:rsid w:val="00222460"/>
  </w:style>
  <w:style w:type="table" w:customStyle="1" w:styleId="MediumGrid3-Accent51">
    <w:name w:val="Medium Grid 3 - Accent 51"/>
    <w:basedOn w:val="TableNormal"/>
    <w:next w:val="MediumGrid3-Accent5"/>
    <w:uiPriority w:val="60"/>
    <w:rsid w:val="00222460"/>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TableGrid1">
    <w:name w:val="Table Grid1"/>
    <w:basedOn w:val="TableNormal"/>
    <w:next w:val="TableGrid"/>
    <w:uiPriority w:val="59"/>
    <w:rsid w:val="0022246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semiHidden/>
    <w:unhideWhenUsed/>
    <w:rsid w:val="00222460"/>
    <w:rPr>
      <w:color w:val="800080" w:themeColor="followedHyperlink"/>
      <w:u w:val="single"/>
    </w:rPr>
  </w:style>
  <w:style w:type="paragraph" w:styleId="HTMLPreformatted">
    <w:name w:val="HTML Preformatted"/>
    <w:basedOn w:val="Normal"/>
    <w:link w:val="HTMLPreformattedChar"/>
    <w:uiPriority w:val="99"/>
    <w:unhideWhenUsed/>
    <w:rsid w:val="00222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rsid w:val="00222460"/>
    <w:rPr>
      <w:rFonts w:ascii="Courier New" w:eastAsia="Times New Roman" w:hAnsi="Courier New" w:cs="Courier New"/>
    </w:rPr>
  </w:style>
  <w:style w:type="character" w:customStyle="1" w:styleId="apple-converted-space">
    <w:name w:val="apple-converted-space"/>
    <w:basedOn w:val="DefaultParagraphFont"/>
    <w:rsid w:val="00222460"/>
  </w:style>
  <w:style w:type="character" w:styleId="Emphasis">
    <w:name w:val="Emphasis"/>
    <w:basedOn w:val="DefaultParagraphFont"/>
    <w:uiPriority w:val="20"/>
    <w:qFormat/>
    <w:locked/>
    <w:rsid w:val="00222460"/>
    <w:rPr>
      <w:i/>
      <w:iCs/>
    </w:rPr>
  </w:style>
  <w:style w:type="character" w:customStyle="1" w:styleId="citation-publication-date">
    <w:name w:val="citation-publication-date"/>
    <w:basedOn w:val="DefaultParagraphFont"/>
    <w:rsid w:val="00222460"/>
  </w:style>
  <w:style w:type="paragraph" w:styleId="Revision">
    <w:name w:val="Revision"/>
    <w:hidden/>
    <w:uiPriority w:val="99"/>
    <w:semiHidden/>
    <w:rsid w:val="00222460"/>
    <w:rPr>
      <w:rFonts w:asciiTheme="minorHAnsi" w:eastAsiaTheme="minorHAnsi" w:hAnsiTheme="minorHAnsi" w:cstheme="minorBidi"/>
      <w:sz w:val="22"/>
      <w:szCs w:val="22"/>
      <w:lang w:eastAsia="en-US"/>
    </w:rPr>
  </w:style>
  <w:style w:type="table" w:customStyle="1" w:styleId="TableGrid11">
    <w:name w:val="Table Grid11"/>
    <w:basedOn w:val="TableNormal"/>
    <w:next w:val="TableGrid"/>
    <w:uiPriority w:val="39"/>
    <w:rsid w:val="00222460"/>
    <w:rPr>
      <w:rFonts w:asciiTheme="minorHAnsi" w:eastAsiaTheme="minorHAnsi" w:hAnsiTheme="minorHAnsi" w:cstheme="minorBidi"/>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85639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85639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9523C9"/>
    <w:rPr>
      <w:rFonts w:asciiTheme="minorHAnsi" w:eastAsiaTheme="minorHAnsi" w:hAnsiTheme="minorHAnsi" w:cstheme="minorBidi"/>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640413"/>
  </w:style>
  <w:style w:type="character" w:customStyle="1" w:styleId="EndNoteBibliographyTitleChar">
    <w:name w:val="EndNote Bibliography Title Char"/>
    <w:basedOn w:val="DefaultParagraphFont"/>
    <w:link w:val="EndNoteBibliographyTitle"/>
    <w:uiPriority w:val="99"/>
    <w:rsid w:val="00640413"/>
    <w:rPr>
      <w:sz w:val="24"/>
      <w:szCs w:val="24"/>
      <w:lang w:val="en-US" w:eastAsia="en-US"/>
    </w:rPr>
  </w:style>
  <w:style w:type="character" w:customStyle="1" w:styleId="EndNoteBibliographyChar">
    <w:name w:val="EndNote Bibliography Char"/>
    <w:basedOn w:val="DefaultParagraphFont"/>
    <w:link w:val="EndNoteBibliography"/>
    <w:rsid w:val="00640413"/>
    <w:rPr>
      <w:sz w:val="24"/>
      <w:szCs w:val="24"/>
      <w:lang w:val="en-US" w:eastAsia="en-US"/>
    </w:rPr>
  </w:style>
  <w:style w:type="character" w:customStyle="1" w:styleId="highlight">
    <w:name w:val="highlight"/>
    <w:basedOn w:val="DefaultParagraphFont"/>
    <w:rsid w:val="00640413"/>
  </w:style>
  <w:style w:type="table" w:customStyle="1" w:styleId="TableGrid4">
    <w:name w:val="Table Grid4"/>
    <w:basedOn w:val="TableNormal"/>
    <w:next w:val="TableGrid"/>
    <w:uiPriority w:val="59"/>
    <w:rsid w:val="00640413"/>
    <w:rPr>
      <w:rFonts w:ascii="Calibri" w:eastAsia="Calibri" w:hAnsi="Calibri"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640413"/>
    <w:pPr>
      <w:spacing w:after="0"/>
    </w:pPr>
    <w:rPr>
      <w:rFonts w:ascii="Times New Roman" w:eastAsia="Times New Roman" w:hAnsi="Times New Roman"/>
      <w:lang w:eastAsia="en-GB"/>
    </w:rPr>
  </w:style>
  <w:style w:type="character" w:customStyle="1" w:styleId="DocumentMapChar">
    <w:name w:val="Document Map Char"/>
    <w:basedOn w:val="DefaultParagraphFont"/>
    <w:link w:val="DocumentMap"/>
    <w:uiPriority w:val="99"/>
    <w:semiHidden/>
    <w:rsid w:val="00640413"/>
    <w:rPr>
      <w:rFonts w:ascii="Times New Roman" w:eastAsia="Times New Roman" w:hAnsi="Times New Roman"/>
      <w:sz w:val="24"/>
      <w:szCs w:val="24"/>
    </w:rPr>
  </w:style>
  <w:style w:type="table" w:customStyle="1" w:styleId="TableGrid5">
    <w:name w:val="Table Grid5"/>
    <w:basedOn w:val="TableNormal"/>
    <w:next w:val="TableGrid"/>
    <w:uiPriority w:val="59"/>
    <w:rsid w:val="007F3720"/>
    <w:rPr>
      <w:rFonts w:ascii="Calibri" w:eastAsia="Calibri" w:hAnsi="Calibri"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FD18F5"/>
    <w:rPr>
      <w:rFonts w:ascii="Calibri" w:eastAsia="Calibri" w:hAnsi="Calibri"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141C4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141C4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F83EAD"/>
    <w:rPr>
      <w:color w:val="605E5C"/>
      <w:shd w:val="clear" w:color="auto" w:fill="E1DFDD"/>
    </w:rPr>
  </w:style>
  <w:style w:type="character" w:customStyle="1" w:styleId="UnresolvedMention3">
    <w:name w:val="Unresolved Mention3"/>
    <w:basedOn w:val="DefaultParagraphFont"/>
    <w:uiPriority w:val="99"/>
    <w:semiHidden/>
    <w:unhideWhenUsed/>
    <w:rsid w:val="007D1EA6"/>
    <w:rPr>
      <w:color w:val="605E5C"/>
      <w:shd w:val="clear" w:color="auto" w:fill="E1DFDD"/>
    </w:rPr>
  </w:style>
  <w:style w:type="character" w:customStyle="1" w:styleId="UnresolvedMention4">
    <w:name w:val="Unresolved Mention4"/>
    <w:basedOn w:val="DefaultParagraphFont"/>
    <w:uiPriority w:val="99"/>
    <w:semiHidden/>
    <w:unhideWhenUsed/>
    <w:rsid w:val="00402625"/>
    <w:rPr>
      <w:color w:val="605E5C"/>
      <w:shd w:val="clear" w:color="auto" w:fill="E1DFDD"/>
    </w:rPr>
  </w:style>
  <w:style w:type="paragraph" w:customStyle="1" w:styleId="DecimalAligned">
    <w:name w:val="Decimal Aligned"/>
    <w:basedOn w:val="Normal"/>
    <w:uiPriority w:val="40"/>
    <w:qFormat/>
    <w:rsid w:val="005649E2"/>
    <w:pPr>
      <w:tabs>
        <w:tab w:val="decimal" w:pos="360"/>
      </w:tabs>
      <w:spacing w:line="276" w:lineRule="auto"/>
    </w:pPr>
    <w:rPr>
      <w:rFonts w:asciiTheme="minorHAnsi" w:eastAsiaTheme="minorEastAsia" w:hAnsiTheme="minorHAnsi"/>
      <w:sz w:val="22"/>
      <w:szCs w:val="22"/>
      <w:lang w:val="en-US" w:eastAsia="en-US"/>
    </w:rPr>
  </w:style>
  <w:style w:type="paragraph" w:styleId="FootnoteText">
    <w:name w:val="footnote text"/>
    <w:basedOn w:val="Normal"/>
    <w:link w:val="FootnoteTextChar"/>
    <w:uiPriority w:val="99"/>
    <w:unhideWhenUsed/>
    <w:rsid w:val="005649E2"/>
    <w:pPr>
      <w:spacing w:after="0"/>
    </w:pPr>
    <w:rPr>
      <w:rFonts w:asciiTheme="minorHAnsi" w:eastAsiaTheme="minorEastAsia" w:hAnsiTheme="minorHAnsi"/>
      <w:sz w:val="20"/>
      <w:szCs w:val="20"/>
      <w:lang w:val="en-US" w:eastAsia="en-US"/>
    </w:rPr>
  </w:style>
  <w:style w:type="character" w:customStyle="1" w:styleId="FootnoteTextChar">
    <w:name w:val="Footnote Text Char"/>
    <w:basedOn w:val="DefaultParagraphFont"/>
    <w:link w:val="FootnoteText"/>
    <w:uiPriority w:val="99"/>
    <w:rsid w:val="005649E2"/>
    <w:rPr>
      <w:rFonts w:asciiTheme="minorHAnsi" w:eastAsiaTheme="minorEastAsia" w:hAnsiTheme="minorHAnsi"/>
      <w:lang w:val="en-US" w:eastAsia="en-US"/>
    </w:rPr>
  </w:style>
  <w:style w:type="character" w:styleId="SubtleEmphasis">
    <w:name w:val="Subtle Emphasis"/>
    <w:basedOn w:val="DefaultParagraphFont"/>
    <w:uiPriority w:val="19"/>
    <w:qFormat/>
    <w:rsid w:val="005649E2"/>
    <w:rPr>
      <w:i/>
      <w:iCs/>
    </w:rPr>
  </w:style>
  <w:style w:type="table" w:styleId="MediumShading2-Accent5">
    <w:name w:val="Medium Shading 2 Accent 5"/>
    <w:basedOn w:val="TableNormal"/>
    <w:uiPriority w:val="64"/>
    <w:rsid w:val="005649E2"/>
    <w:rPr>
      <w:rFonts w:asciiTheme="minorHAnsi" w:eastAsiaTheme="minorEastAsia"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UnresolvedMention5">
    <w:name w:val="Unresolved Mention5"/>
    <w:basedOn w:val="DefaultParagraphFont"/>
    <w:uiPriority w:val="99"/>
    <w:semiHidden/>
    <w:unhideWhenUsed/>
    <w:rsid w:val="00A54114"/>
    <w:rPr>
      <w:color w:val="605E5C"/>
      <w:shd w:val="clear" w:color="auto" w:fill="E1DFDD"/>
    </w:rPr>
  </w:style>
  <w:style w:type="paragraph" w:customStyle="1" w:styleId="Title1">
    <w:name w:val="Title1"/>
    <w:basedOn w:val="Normal"/>
    <w:rsid w:val="00574289"/>
    <w:pPr>
      <w:spacing w:before="100" w:beforeAutospacing="1" w:after="100" w:afterAutospacing="1"/>
    </w:pPr>
    <w:rPr>
      <w:rFonts w:ascii="Times New Roman" w:eastAsia="Times New Roman" w:hAnsi="Times New Roman"/>
      <w:lang w:eastAsia="zh-CN"/>
    </w:rPr>
  </w:style>
  <w:style w:type="paragraph" w:customStyle="1" w:styleId="volume-issue">
    <w:name w:val="volume-issue"/>
    <w:basedOn w:val="Normal"/>
    <w:rsid w:val="001A2E83"/>
    <w:pPr>
      <w:spacing w:before="100" w:beforeAutospacing="1" w:after="100" w:afterAutospacing="1"/>
    </w:pPr>
    <w:rPr>
      <w:rFonts w:ascii="Times New Roman" w:eastAsia="Times New Roman" w:hAnsi="Times New Roman"/>
      <w:lang w:eastAsia="en-US"/>
    </w:rPr>
  </w:style>
  <w:style w:type="character" w:customStyle="1" w:styleId="val">
    <w:name w:val="val"/>
    <w:basedOn w:val="DefaultParagraphFont"/>
    <w:rsid w:val="001A2E83"/>
  </w:style>
  <w:style w:type="paragraph" w:customStyle="1" w:styleId="page-range">
    <w:name w:val="page-range"/>
    <w:basedOn w:val="Normal"/>
    <w:rsid w:val="001A2E83"/>
    <w:pPr>
      <w:spacing w:before="100" w:beforeAutospacing="1" w:after="100" w:afterAutospacing="1"/>
    </w:pPr>
    <w:rPr>
      <w:rFonts w:ascii="Times New Roman" w:eastAsia="Times New Roman" w:hAnsi="Times New Roman"/>
      <w:lang w:eastAsia="en-US"/>
    </w:rPr>
  </w:style>
  <w:style w:type="character" w:customStyle="1" w:styleId="jrnl">
    <w:name w:val="jrnl"/>
    <w:basedOn w:val="DefaultParagraphFont"/>
    <w:rsid w:val="001A2E83"/>
  </w:style>
  <w:style w:type="character" w:customStyle="1" w:styleId="UnresolvedMention6">
    <w:name w:val="Unresolved Mention6"/>
    <w:basedOn w:val="DefaultParagraphFont"/>
    <w:uiPriority w:val="99"/>
    <w:semiHidden/>
    <w:unhideWhenUsed/>
    <w:rsid w:val="001A2E83"/>
    <w:rPr>
      <w:color w:val="605E5C"/>
      <w:shd w:val="clear" w:color="auto" w:fill="E1DFDD"/>
    </w:rPr>
  </w:style>
  <w:style w:type="paragraph" w:customStyle="1" w:styleId="Heading">
    <w:name w:val="Heading"/>
    <w:next w:val="BodyA"/>
    <w:rsid w:val="00AF1A96"/>
    <w:pPr>
      <w:keepNext/>
      <w:pBdr>
        <w:top w:val="nil"/>
        <w:left w:val="nil"/>
        <w:bottom w:val="nil"/>
        <w:right w:val="nil"/>
        <w:between w:val="nil"/>
        <w:bar w:val="nil"/>
      </w:pBdr>
      <w:spacing w:before="240" w:after="60"/>
      <w:jc w:val="both"/>
      <w:outlineLvl w:val="3"/>
    </w:pPr>
    <w:rPr>
      <w:rFonts w:eastAsia="Cambria" w:cs="Cambria"/>
      <w:b/>
      <w:bCs/>
      <w:color w:val="000000"/>
      <w:kern w:val="32"/>
      <w:sz w:val="32"/>
      <w:szCs w:val="32"/>
      <w:u w:color="000000"/>
      <w:bdr w:val="nil"/>
      <w:lang w:eastAsia="en-US"/>
    </w:rPr>
  </w:style>
  <w:style w:type="paragraph" w:customStyle="1" w:styleId="BodyA">
    <w:name w:val="Body A"/>
    <w:rsid w:val="00AF1A96"/>
    <w:pPr>
      <w:pBdr>
        <w:top w:val="nil"/>
        <w:left w:val="nil"/>
        <w:bottom w:val="nil"/>
        <w:right w:val="nil"/>
        <w:between w:val="nil"/>
        <w:bar w:val="nil"/>
      </w:pBdr>
      <w:spacing w:after="200"/>
    </w:pPr>
    <w:rPr>
      <w:rFonts w:eastAsia="Cambria" w:cs="Cambria"/>
      <w:color w:val="000000"/>
      <w:sz w:val="24"/>
      <w:szCs w:val="24"/>
      <w:u w:color="000000"/>
      <w:bdr w:val="nil"/>
      <w:lang w:eastAsia="en-US"/>
    </w:rPr>
  </w:style>
  <w:style w:type="numbering" w:customStyle="1" w:styleId="ImportedStyle1">
    <w:name w:val="Imported Style 1"/>
    <w:rsid w:val="00AF1A96"/>
    <w:pPr>
      <w:numPr>
        <w:numId w:val="9"/>
      </w:numPr>
    </w:pPr>
  </w:style>
  <w:style w:type="paragraph" w:customStyle="1" w:styleId="HeaderFooter">
    <w:name w:val="Header &amp; Footer"/>
    <w:rsid w:val="00AF1A96"/>
    <w:pPr>
      <w:pBdr>
        <w:top w:val="nil"/>
        <w:left w:val="nil"/>
        <w:bottom w:val="nil"/>
        <w:right w:val="nil"/>
        <w:between w:val="nil"/>
        <w:bar w:val="nil"/>
      </w:pBdr>
      <w:tabs>
        <w:tab w:val="right" w:pos="9020"/>
      </w:tabs>
    </w:pPr>
    <w:rPr>
      <w:rFonts w:ascii="Helvetica Neue" w:eastAsia="Arial Unicode MS" w:hAnsi="Helvetica Neue" w:cs="Arial Unicode MS"/>
      <w:color w:val="000000"/>
      <w:sz w:val="24"/>
      <w:szCs w:val="24"/>
      <w:bdr w:val="nil"/>
      <w:lang w:eastAsia="en-US"/>
    </w:rPr>
  </w:style>
  <w:style w:type="character" w:customStyle="1" w:styleId="None">
    <w:name w:val="None"/>
    <w:rsid w:val="00AF1A96"/>
  </w:style>
  <w:style w:type="character" w:customStyle="1" w:styleId="Hyperlink0">
    <w:name w:val="Hyperlink.0"/>
    <w:basedOn w:val="None"/>
    <w:rsid w:val="00AF1A96"/>
    <w:rPr>
      <w:color w:val="2222CC"/>
      <w:u w:val="single" w:color="2222CC"/>
      <w:lang w:val="en-US"/>
    </w:rPr>
  </w:style>
  <w:style w:type="character" w:customStyle="1" w:styleId="Hyperlink1">
    <w:name w:val="Hyperlink.1"/>
    <w:basedOn w:val="None"/>
    <w:rsid w:val="00AF1A96"/>
    <w:rPr>
      <w:rFonts w:ascii="Arial" w:eastAsia="Arial" w:hAnsi="Arial" w:cs="Arial"/>
      <w:color w:val="2222CC"/>
      <w:u w:val="single" w:color="2222CC"/>
    </w:rPr>
  </w:style>
  <w:style w:type="character" w:customStyle="1" w:styleId="Heading6Char">
    <w:name w:val="Heading 6 Char"/>
    <w:basedOn w:val="DefaultParagraphFont"/>
    <w:link w:val="Heading6"/>
    <w:rsid w:val="000E3756"/>
    <w:rPr>
      <w:rFonts w:asciiTheme="majorHAnsi" w:eastAsiaTheme="majorEastAsia" w:hAnsiTheme="majorHAnsi" w:cstheme="majorBidi"/>
      <w:color w:val="243F60" w:themeColor="accent1" w:themeShade="7F"/>
      <w:sz w:val="24"/>
      <w:szCs w:val="24"/>
      <w:lang w:eastAsia="ja-JP"/>
    </w:rPr>
  </w:style>
  <w:style w:type="table" w:styleId="ListTable6Colorful">
    <w:name w:val="List Table 6 Colorful"/>
    <w:basedOn w:val="TableNormal"/>
    <w:uiPriority w:val="51"/>
    <w:rsid w:val="00426598"/>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7Colorful">
    <w:name w:val="List Table 7 Colorful"/>
    <w:basedOn w:val="TableNormal"/>
    <w:uiPriority w:val="52"/>
    <w:rsid w:val="00426598"/>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2-Accent6">
    <w:name w:val="List Table 2 Accent 6"/>
    <w:basedOn w:val="TableNormal"/>
    <w:uiPriority w:val="47"/>
    <w:rsid w:val="00426598"/>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4686646">
      <w:bodyDiv w:val="1"/>
      <w:marLeft w:val="0"/>
      <w:marRight w:val="0"/>
      <w:marTop w:val="0"/>
      <w:marBottom w:val="0"/>
      <w:divBdr>
        <w:top w:val="none" w:sz="0" w:space="0" w:color="auto"/>
        <w:left w:val="none" w:sz="0" w:space="0" w:color="auto"/>
        <w:bottom w:val="none" w:sz="0" w:space="0" w:color="auto"/>
        <w:right w:val="none" w:sz="0" w:space="0" w:color="auto"/>
      </w:divBdr>
      <w:divsChild>
        <w:div w:id="85343977">
          <w:marLeft w:val="420"/>
          <w:marRight w:val="0"/>
          <w:marTop w:val="0"/>
          <w:marBottom w:val="0"/>
          <w:divBdr>
            <w:top w:val="none" w:sz="0" w:space="0" w:color="auto"/>
            <w:left w:val="none" w:sz="0" w:space="0" w:color="auto"/>
            <w:bottom w:val="none" w:sz="0" w:space="0" w:color="auto"/>
            <w:right w:val="none" w:sz="0" w:space="0" w:color="auto"/>
          </w:divBdr>
          <w:divsChild>
            <w:div w:id="1263993059">
              <w:marLeft w:val="0"/>
              <w:marRight w:val="0"/>
              <w:marTop w:val="27"/>
              <w:marBottom w:val="27"/>
              <w:divBdr>
                <w:top w:val="none" w:sz="0" w:space="0" w:color="auto"/>
                <w:left w:val="none" w:sz="0" w:space="0" w:color="auto"/>
                <w:bottom w:val="none" w:sz="0" w:space="0" w:color="auto"/>
                <w:right w:val="none" w:sz="0" w:space="0" w:color="auto"/>
              </w:divBdr>
            </w:div>
          </w:divsChild>
        </w:div>
      </w:divsChild>
    </w:div>
    <w:div w:id="231503819">
      <w:bodyDiv w:val="1"/>
      <w:marLeft w:val="0"/>
      <w:marRight w:val="0"/>
      <w:marTop w:val="0"/>
      <w:marBottom w:val="0"/>
      <w:divBdr>
        <w:top w:val="none" w:sz="0" w:space="0" w:color="auto"/>
        <w:left w:val="none" w:sz="0" w:space="0" w:color="auto"/>
        <w:bottom w:val="none" w:sz="0" w:space="0" w:color="auto"/>
        <w:right w:val="none" w:sz="0" w:space="0" w:color="auto"/>
      </w:divBdr>
    </w:div>
    <w:div w:id="324939033">
      <w:bodyDiv w:val="1"/>
      <w:marLeft w:val="0"/>
      <w:marRight w:val="0"/>
      <w:marTop w:val="0"/>
      <w:marBottom w:val="0"/>
      <w:divBdr>
        <w:top w:val="none" w:sz="0" w:space="0" w:color="auto"/>
        <w:left w:val="none" w:sz="0" w:space="0" w:color="auto"/>
        <w:bottom w:val="none" w:sz="0" w:space="0" w:color="auto"/>
        <w:right w:val="none" w:sz="0" w:space="0" w:color="auto"/>
      </w:divBdr>
    </w:div>
    <w:div w:id="461311798">
      <w:bodyDiv w:val="1"/>
      <w:marLeft w:val="0"/>
      <w:marRight w:val="0"/>
      <w:marTop w:val="0"/>
      <w:marBottom w:val="0"/>
      <w:divBdr>
        <w:top w:val="none" w:sz="0" w:space="0" w:color="auto"/>
        <w:left w:val="none" w:sz="0" w:space="0" w:color="auto"/>
        <w:bottom w:val="none" w:sz="0" w:space="0" w:color="auto"/>
        <w:right w:val="none" w:sz="0" w:space="0" w:color="auto"/>
      </w:divBdr>
      <w:divsChild>
        <w:div w:id="386346024">
          <w:marLeft w:val="0"/>
          <w:marRight w:val="0"/>
          <w:marTop w:val="27"/>
          <w:marBottom w:val="27"/>
          <w:divBdr>
            <w:top w:val="none" w:sz="0" w:space="0" w:color="auto"/>
            <w:left w:val="none" w:sz="0" w:space="0" w:color="auto"/>
            <w:bottom w:val="none" w:sz="0" w:space="0" w:color="auto"/>
            <w:right w:val="none" w:sz="0" w:space="0" w:color="auto"/>
          </w:divBdr>
        </w:div>
      </w:divsChild>
    </w:div>
    <w:div w:id="515459748">
      <w:bodyDiv w:val="1"/>
      <w:marLeft w:val="0"/>
      <w:marRight w:val="0"/>
      <w:marTop w:val="0"/>
      <w:marBottom w:val="0"/>
      <w:divBdr>
        <w:top w:val="none" w:sz="0" w:space="0" w:color="auto"/>
        <w:left w:val="none" w:sz="0" w:space="0" w:color="auto"/>
        <w:bottom w:val="none" w:sz="0" w:space="0" w:color="auto"/>
        <w:right w:val="none" w:sz="0" w:space="0" w:color="auto"/>
      </w:divBdr>
      <w:divsChild>
        <w:div w:id="1902981174">
          <w:marLeft w:val="0"/>
          <w:marRight w:val="0"/>
          <w:marTop w:val="27"/>
          <w:marBottom w:val="27"/>
          <w:divBdr>
            <w:top w:val="none" w:sz="0" w:space="0" w:color="auto"/>
            <w:left w:val="none" w:sz="0" w:space="0" w:color="auto"/>
            <w:bottom w:val="none" w:sz="0" w:space="0" w:color="auto"/>
            <w:right w:val="none" w:sz="0" w:space="0" w:color="auto"/>
          </w:divBdr>
        </w:div>
      </w:divsChild>
    </w:div>
    <w:div w:id="538736677">
      <w:bodyDiv w:val="1"/>
      <w:marLeft w:val="0"/>
      <w:marRight w:val="0"/>
      <w:marTop w:val="0"/>
      <w:marBottom w:val="0"/>
      <w:divBdr>
        <w:top w:val="none" w:sz="0" w:space="0" w:color="auto"/>
        <w:left w:val="none" w:sz="0" w:space="0" w:color="auto"/>
        <w:bottom w:val="none" w:sz="0" w:space="0" w:color="auto"/>
        <w:right w:val="none" w:sz="0" w:space="0" w:color="auto"/>
      </w:divBdr>
      <w:divsChild>
        <w:div w:id="1395734319">
          <w:marLeft w:val="0"/>
          <w:marRight w:val="0"/>
          <w:marTop w:val="27"/>
          <w:marBottom w:val="27"/>
          <w:divBdr>
            <w:top w:val="none" w:sz="0" w:space="0" w:color="auto"/>
            <w:left w:val="none" w:sz="0" w:space="0" w:color="auto"/>
            <w:bottom w:val="none" w:sz="0" w:space="0" w:color="auto"/>
            <w:right w:val="none" w:sz="0" w:space="0" w:color="auto"/>
          </w:divBdr>
        </w:div>
      </w:divsChild>
    </w:div>
    <w:div w:id="733428910">
      <w:bodyDiv w:val="1"/>
      <w:marLeft w:val="0"/>
      <w:marRight w:val="0"/>
      <w:marTop w:val="0"/>
      <w:marBottom w:val="0"/>
      <w:divBdr>
        <w:top w:val="none" w:sz="0" w:space="0" w:color="auto"/>
        <w:left w:val="none" w:sz="0" w:space="0" w:color="auto"/>
        <w:bottom w:val="none" w:sz="0" w:space="0" w:color="auto"/>
        <w:right w:val="none" w:sz="0" w:space="0" w:color="auto"/>
      </w:divBdr>
      <w:divsChild>
        <w:div w:id="668220381">
          <w:marLeft w:val="0"/>
          <w:marRight w:val="0"/>
          <w:marTop w:val="27"/>
          <w:marBottom w:val="27"/>
          <w:divBdr>
            <w:top w:val="none" w:sz="0" w:space="0" w:color="auto"/>
            <w:left w:val="none" w:sz="0" w:space="0" w:color="auto"/>
            <w:bottom w:val="none" w:sz="0" w:space="0" w:color="auto"/>
            <w:right w:val="none" w:sz="0" w:space="0" w:color="auto"/>
          </w:divBdr>
        </w:div>
      </w:divsChild>
    </w:div>
    <w:div w:id="772482480">
      <w:bodyDiv w:val="1"/>
      <w:marLeft w:val="0"/>
      <w:marRight w:val="0"/>
      <w:marTop w:val="0"/>
      <w:marBottom w:val="0"/>
      <w:divBdr>
        <w:top w:val="none" w:sz="0" w:space="0" w:color="auto"/>
        <w:left w:val="none" w:sz="0" w:space="0" w:color="auto"/>
        <w:bottom w:val="none" w:sz="0" w:space="0" w:color="auto"/>
        <w:right w:val="none" w:sz="0" w:space="0" w:color="auto"/>
      </w:divBdr>
    </w:div>
    <w:div w:id="849106066">
      <w:bodyDiv w:val="1"/>
      <w:marLeft w:val="0"/>
      <w:marRight w:val="0"/>
      <w:marTop w:val="0"/>
      <w:marBottom w:val="0"/>
      <w:divBdr>
        <w:top w:val="none" w:sz="0" w:space="0" w:color="auto"/>
        <w:left w:val="none" w:sz="0" w:space="0" w:color="auto"/>
        <w:bottom w:val="none" w:sz="0" w:space="0" w:color="auto"/>
        <w:right w:val="none" w:sz="0" w:space="0" w:color="auto"/>
      </w:divBdr>
    </w:div>
    <w:div w:id="1076047949">
      <w:bodyDiv w:val="1"/>
      <w:marLeft w:val="0"/>
      <w:marRight w:val="0"/>
      <w:marTop w:val="0"/>
      <w:marBottom w:val="0"/>
      <w:divBdr>
        <w:top w:val="none" w:sz="0" w:space="0" w:color="auto"/>
        <w:left w:val="none" w:sz="0" w:space="0" w:color="auto"/>
        <w:bottom w:val="none" w:sz="0" w:space="0" w:color="auto"/>
        <w:right w:val="none" w:sz="0" w:space="0" w:color="auto"/>
      </w:divBdr>
      <w:divsChild>
        <w:div w:id="90203755">
          <w:marLeft w:val="0"/>
          <w:marRight w:val="0"/>
          <w:marTop w:val="27"/>
          <w:marBottom w:val="27"/>
          <w:divBdr>
            <w:top w:val="none" w:sz="0" w:space="0" w:color="auto"/>
            <w:left w:val="none" w:sz="0" w:space="0" w:color="auto"/>
            <w:bottom w:val="none" w:sz="0" w:space="0" w:color="auto"/>
            <w:right w:val="none" w:sz="0" w:space="0" w:color="auto"/>
          </w:divBdr>
        </w:div>
      </w:divsChild>
    </w:div>
    <w:div w:id="1115297498">
      <w:bodyDiv w:val="1"/>
      <w:marLeft w:val="0"/>
      <w:marRight w:val="0"/>
      <w:marTop w:val="0"/>
      <w:marBottom w:val="0"/>
      <w:divBdr>
        <w:top w:val="none" w:sz="0" w:space="0" w:color="auto"/>
        <w:left w:val="none" w:sz="0" w:space="0" w:color="auto"/>
        <w:bottom w:val="none" w:sz="0" w:space="0" w:color="auto"/>
        <w:right w:val="none" w:sz="0" w:space="0" w:color="auto"/>
      </w:divBdr>
    </w:div>
    <w:div w:id="1132400350">
      <w:bodyDiv w:val="1"/>
      <w:marLeft w:val="0"/>
      <w:marRight w:val="0"/>
      <w:marTop w:val="0"/>
      <w:marBottom w:val="0"/>
      <w:divBdr>
        <w:top w:val="none" w:sz="0" w:space="0" w:color="auto"/>
        <w:left w:val="none" w:sz="0" w:space="0" w:color="auto"/>
        <w:bottom w:val="none" w:sz="0" w:space="0" w:color="auto"/>
        <w:right w:val="none" w:sz="0" w:space="0" w:color="auto"/>
      </w:divBdr>
      <w:divsChild>
        <w:div w:id="1430663290">
          <w:marLeft w:val="0"/>
          <w:marRight w:val="0"/>
          <w:marTop w:val="27"/>
          <w:marBottom w:val="27"/>
          <w:divBdr>
            <w:top w:val="none" w:sz="0" w:space="0" w:color="auto"/>
            <w:left w:val="none" w:sz="0" w:space="0" w:color="auto"/>
            <w:bottom w:val="none" w:sz="0" w:space="0" w:color="auto"/>
            <w:right w:val="none" w:sz="0" w:space="0" w:color="auto"/>
          </w:divBdr>
        </w:div>
      </w:divsChild>
    </w:div>
    <w:div w:id="1164130233">
      <w:bodyDiv w:val="1"/>
      <w:marLeft w:val="0"/>
      <w:marRight w:val="0"/>
      <w:marTop w:val="0"/>
      <w:marBottom w:val="0"/>
      <w:divBdr>
        <w:top w:val="none" w:sz="0" w:space="0" w:color="auto"/>
        <w:left w:val="none" w:sz="0" w:space="0" w:color="auto"/>
        <w:bottom w:val="none" w:sz="0" w:space="0" w:color="auto"/>
        <w:right w:val="none" w:sz="0" w:space="0" w:color="auto"/>
      </w:divBdr>
      <w:divsChild>
        <w:div w:id="851996068">
          <w:marLeft w:val="0"/>
          <w:marRight w:val="0"/>
          <w:marTop w:val="0"/>
          <w:marBottom w:val="0"/>
          <w:divBdr>
            <w:top w:val="none" w:sz="0" w:space="0" w:color="auto"/>
            <w:left w:val="none" w:sz="0" w:space="0" w:color="auto"/>
            <w:bottom w:val="none" w:sz="0" w:space="0" w:color="auto"/>
            <w:right w:val="none" w:sz="0" w:space="0" w:color="auto"/>
          </w:divBdr>
          <w:divsChild>
            <w:div w:id="194195587">
              <w:marLeft w:val="-225"/>
              <w:marRight w:val="-225"/>
              <w:marTop w:val="0"/>
              <w:marBottom w:val="225"/>
              <w:divBdr>
                <w:top w:val="none" w:sz="0" w:space="0" w:color="auto"/>
                <w:left w:val="none" w:sz="0" w:space="0" w:color="auto"/>
                <w:bottom w:val="none" w:sz="0" w:space="0" w:color="auto"/>
                <w:right w:val="none" w:sz="0" w:space="0" w:color="auto"/>
              </w:divBdr>
              <w:divsChild>
                <w:div w:id="2062901665">
                  <w:marLeft w:val="0"/>
                  <w:marRight w:val="0"/>
                  <w:marTop w:val="0"/>
                  <w:marBottom w:val="0"/>
                  <w:divBdr>
                    <w:top w:val="none" w:sz="0" w:space="0" w:color="auto"/>
                    <w:left w:val="none" w:sz="0" w:space="0" w:color="auto"/>
                    <w:bottom w:val="none" w:sz="0" w:space="0" w:color="auto"/>
                    <w:right w:val="none" w:sz="0" w:space="0" w:color="auto"/>
                  </w:divBdr>
                  <w:divsChild>
                    <w:div w:id="578056403">
                      <w:marLeft w:val="0"/>
                      <w:marRight w:val="0"/>
                      <w:marTop w:val="0"/>
                      <w:marBottom w:val="0"/>
                      <w:divBdr>
                        <w:top w:val="none" w:sz="0" w:space="0" w:color="auto"/>
                        <w:left w:val="none" w:sz="0" w:space="0" w:color="auto"/>
                        <w:bottom w:val="none" w:sz="0" w:space="0" w:color="auto"/>
                        <w:right w:val="none" w:sz="0" w:space="0" w:color="auto"/>
                      </w:divBdr>
                      <w:divsChild>
                        <w:div w:id="322318290">
                          <w:marLeft w:val="0"/>
                          <w:marRight w:val="0"/>
                          <w:marTop w:val="0"/>
                          <w:marBottom w:val="0"/>
                          <w:divBdr>
                            <w:top w:val="none" w:sz="0" w:space="0" w:color="auto"/>
                            <w:left w:val="none" w:sz="0" w:space="0" w:color="auto"/>
                            <w:bottom w:val="none" w:sz="0" w:space="0" w:color="auto"/>
                            <w:right w:val="none" w:sz="0" w:space="0" w:color="auto"/>
                          </w:divBdr>
                          <w:divsChild>
                            <w:div w:id="568999744">
                              <w:marLeft w:val="0"/>
                              <w:marRight w:val="0"/>
                              <w:marTop w:val="0"/>
                              <w:marBottom w:val="0"/>
                              <w:divBdr>
                                <w:top w:val="none" w:sz="0" w:space="0" w:color="auto"/>
                                <w:left w:val="none" w:sz="0" w:space="0" w:color="auto"/>
                                <w:bottom w:val="none" w:sz="0" w:space="0" w:color="auto"/>
                                <w:right w:val="none" w:sz="0" w:space="0" w:color="auto"/>
                              </w:divBdr>
                              <w:divsChild>
                                <w:div w:id="966274876">
                                  <w:marLeft w:val="0"/>
                                  <w:marRight w:val="0"/>
                                  <w:marTop w:val="0"/>
                                  <w:marBottom w:val="0"/>
                                  <w:divBdr>
                                    <w:top w:val="none" w:sz="0" w:space="0" w:color="auto"/>
                                    <w:left w:val="none" w:sz="0" w:space="0" w:color="auto"/>
                                    <w:bottom w:val="none" w:sz="0" w:space="0" w:color="auto"/>
                                    <w:right w:val="none" w:sz="0" w:space="0" w:color="auto"/>
                                  </w:divBdr>
                                  <w:divsChild>
                                    <w:div w:id="351616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25745110">
      <w:bodyDiv w:val="1"/>
      <w:marLeft w:val="0"/>
      <w:marRight w:val="0"/>
      <w:marTop w:val="0"/>
      <w:marBottom w:val="0"/>
      <w:divBdr>
        <w:top w:val="none" w:sz="0" w:space="0" w:color="auto"/>
        <w:left w:val="none" w:sz="0" w:space="0" w:color="auto"/>
        <w:bottom w:val="none" w:sz="0" w:space="0" w:color="auto"/>
        <w:right w:val="none" w:sz="0" w:space="0" w:color="auto"/>
      </w:divBdr>
      <w:divsChild>
        <w:div w:id="1153987934">
          <w:marLeft w:val="0"/>
          <w:marRight w:val="0"/>
          <w:marTop w:val="27"/>
          <w:marBottom w:val="27"/>
          <w:divBdr>
            <w:top w:val="none" w:sz="0" w:space="0" w:color="auto"/>
            <w:left w:val="none" w:sz="0" w:space="0" w:color="auto"/>
            <w:bottom w:val="none" w:sz="0" w:space="0" w:color="auto"/>
            <w:right w:val="none" w:sz="0" w:space="0" w:color="auto"/>
          </w:divBdr>
        </w:div>
      </w:divsChild>
    </w:div>
    <w:div w:id="1376545564">
      <w:bodyDiv w:val="1"/>
      <w:marLeft w:val="0"/>
      <w:marRight w:val="0"/>
      <w:marTop w:val="0"/>
      <w:marBottom w:val="0"/>
      <w:divBdr>
        <w:top w:val="none" w:sz="0" w:space="0" w:color="auto"/>
        <w:left w:val="none" w:sz="0" w:space="0" w:color="auto"/>
        <w:bottom w:val="none" w:sz="0" w:space="0" w:color="auto"/>
        <w:right w:val="none" w:sz="0" w:space="0" w:color="auto"/>
      </w:divBdr>
    </w:div>
    <w:div w:id="1488663647">
      <w:bodyDiv w:val="1"/>
      <w:marLeft w:val="0"/>
      <w:marRight w:val="0"/>
      <w:marTop w:val="0"/>
      <w:marBottom w:val="0"/>
      <w:divBdr>
        <w:top w:val="none" w:sz="0" w:space="0" w:color="auto"/>
        <w:left w:val="none" w:sz="0" w:space="0" w:color="auto"/>
        <w:bottom w:val="none" w:sz="0" w:space="0" w:color="auto"/>
        <w:right w:val="none" w:sz="0" w:space="0" w:color="auto"/>
      </w:divBdr>
    </w:div>
    <w:div w:id="1509364206">
      <w:bodyDiv w:val="1"/>
      <w:marLeft w:val="0"/>
      <w:marRight w:val="0"/>
      <w:marTop w:val="0"/>
      <w:marBottom w:val="0"/>
      <w:divBdr>
        <w:top w:val="none" w:sz="0" w:space="0" w:color="auto"/>
        <w:left w:val="none" w:sz="0" w:space="0" w:color="auto"/>
        <w:bottom w:val="none" w:sz="0" w:space="0" w:color="auto"/>
        <w:right w:val="none" w:sz="0" w:space="0" w:color="auto"/>
      </w:divBdr>
    </w:div>
    <w:div w:id="1566068958">
      <w:bodyDiv w:val="1"/>
      <w:marLeft w:val="0"/>
      <w:marRight w:val="0"/>
      <w:marTop w:val="0"/>
      <w:marBottom w:val="0"/>
      <w:divBdr>
        <w:top w:val="none" w:sz="0" w:space="0" w:color="auto"/>
        <w:left w:val="none" w:sz="0" w:space="0" w:color="auto"/>
        <w:bottom w:val="none" w:sz="0" w:space="0" w:color="auto"/>
        <w:right w:val="none" w:sz="0" w:space="0" w:color="auto"/>
      </w:divBdr>
      <w:divsChild>
        <w:div w:id="1785005422">
          <w:marLeft w:val="0"/>
          <w:marRight w:val="0"/>
          <w:marTop w:val="0"/>
          <w:marBottom w:val="0"/>
          <w:divBdr>
            <w:top w:val="none" w:sz="0" w:space="0" w:color="auto"/>
            <w:left w:val="none" w:sz="0" w:space="0" w:color="auto"/>
            <w:bottom w:val="none" w:sz="0" w:space="0" w:color="auto"/>
            <w:right w:val="none" w:sz="0" w:space="0" w:color="auto"/>
          </w:divBdr>
          <w:divsChild>
            <w:div w:id="1468548490">
              <w:marLeft w:val="-225"/>
              <w:marRight w:val="-225"/>
              <w:marTop w:val="0"/>
              <w:marBottom w:val="225"/>
              <w:divBdr>
                <w:top w:val="none" w:sz="0" w:space="0" w:color="auto"/>
                <w:left w:val="none" w:sz="0" w:space="0" w:color="auto"/>
                <w:bottom w:val="none" w:sz="0" w:space="0" w:color="auto"/>
                <w:right w:val="none" w:sz="0" w:space="0" w:color="auto"/>
              </w:divBdr>
              <w:divsChild>
                <w:div w:id="304510579">
                  <w:marLeft w:val="0"/>
                  <w:marRight w:val="0"/>
                  <w:marTop w:val="0"/>
                  <w:marBottom w:val="0"/>
                  <w:divBdr>
                    <w:top w:val="none" w:sz="0" w:space="0" w:color="auto"/>
                    <w:left w:val="none" w:sz="0" w:space="0" w:color="auto"/>
                    <w:bottom w:val="none" w:sz="0" w:space="0" w:color="auto"/>
                    <w:right w:val="none" w:sz="0" w:space="0" w:color="auto"/>
                  </w:divBdr>
                  <w:divsChild>
                    <w:div w:id="1352418062">
                      <w:marLeft w:val="0"/>
                      <w:marRight w:val="0"/>
                      <w:marTop w:val="0"/>
                      <w:marBottom w:val="0"/>
                      <w:divBdr>
                        <w:top w:val="none" w:sz="0" w:space="0" w:color="auto"/>
                        <w:left w:val="none" w:sz="0" w:space="0" w:color="auto"/>
                        <w:bottom w:val="none" w:sz="0" w:space="0" w:color="auto"/>
                        <w:right w:val="none" w:sz="0" w:space="0" w:color="auto"/>
                      </w:divBdr>
                      <w:divsChild>
                        <w:div w:id="101997029">
                          <w:marLeft w:val="0"/>
                          <w:marRight w:val="0"/>
                          <w:marTop w:val="0"/>
                          <w:marBottom w:val="0"/>
                          <w:divBdr>
                            <w:top w:val="none" w:sz="0" w:space="0" w:color="auto"/>
                            <w:left w:val="none" w:sz="0" w:space="0" w:color="auto"/>
                            <w:bottom w:val="none" w:sz="0" w:space="0" w:color="auto"/>
                            <w:right w:val="none" w:sz="0" w:space="0" w:color="auto"/>
                          </w:divBdr>
                          <w:divsChild>
                            <w:div w:id="1415202000">
                              <w:marLeft w:val="0"/>
                              <w:marRight w:val="0"/>
                              <w:marTop w:val="0"/>
                              <w:marBottom w:val="0"/>
                              <w:divBdr>
                                <w:top w:val="none" w:sz="0" w:space="0" w:color="auto"/>
                                <w:left w:val="none" w:sz="0" w:space="0" w:color="auto"/>
                                <w:bottom w:val="none" w:sz="0" w:space="0" w:color="auto"/>
                                <w:right w:val="none" w:sz="0" w:space="0" w:color="auto"/>
                              </w:divBdr>
                              <w:divsChild>
                                <w:div w:id="1377196224">
                                  <w:marLeft w:val="0"/>
                                  <w:marRight w:val="0"/>
                                  <w:marTop w:val="0"/>
                                  <w:marBottom w:val="0"/>
                                  <w:divBdr>
                                    <w:top w:val="none" w:sz="0" w:space="0" w:color="auto"/>
                                    <w:left w:val="none" w:sz="0" w:space="0" w:color="auto"/>
                                    <w:bottom w:val="none" w:sz="0" w:space="0" w:color="auto"/>
                                    <w:right w:val="none" w:sz="0" w:space="0" w:color="auto"/>
                                  </w:divBdr>
                                  <w:divsChild>
                                    <w:div w:id="152262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4386196">
      <w:bodyDiv w:val="1"/>
      <w:marLeft w:val="0"/>
      <w:marRight w:val="0"/>
      <w:marTop w:val="0"/>
      <w:marBottom w:val="0"/>
      <w:divBdr>
        <w:top w:val="none" w:sz="0" w:space="0" w:color="auto"/>
        <w:left w:val="none" w:sz="0" w:space="0" w:color="auto"/>
        <w:bottom w:val="none" w:sz="0" w:space="0" w:color="auto"/>
        <w:right w:val="none" w:sz="0" w:space="0" w:color="auto"/>
      </w:divBdr>
      <w:divsChild>
        <w:div w:id="1905068448">
          <w:marLeft w:val="274"/>
          <w:marRight w:val="0"/>
          <w:marTop w:val="0"/>
          <w:marBottom w:val="20"/>
          <w:divBdr>
            <w:top w:val="none" w:sz="0" w:space="0" w:color="auto"/>
            <w:left w:val="none" w:sz="0" w:space="0" w:color="auto"/>
            <w:bottom w:val="none" w:sz="0" w:space="0" w:color="auto"/>
            <w:right w:val="none" w:sz="0" w:space="0" w:color="auto"/>
          </w:divBdr>
        </w:div>
        <w:div w:id="773748170">
          <w:marLeft w:val="274"/>
          <w:marRight w:val="0"/>
          <w:marTop w:val="0"/>
          <w:marBottom w:val="20"/>
          <w:divBdr>
            <w:top w:val="none" w:sz="0" w:space="0" w:color="auto"/>
            <w:left w:val="none" w:sz="0" w:space="0" w:color="auto"/>
            <w:bottom w:val="none" w:sz="0" w:space="0" w:color="auto"/>
            <w:right w:val="none" w:sz="0" w:space="0" w:color="auto"/>
          </w:divBdr>
        </w:div>
      </w:divsChild>
    </w:div>
    <w:div w:id="2086142151">
      <w:bodyDiv w:val="1"/>
      <w:marLeft w:val="0"/>
      <w:marRight w:val="0"/>
      <w:marTop w:val="0"/>
      <w:marBottom w:val="0"/>
      <w:divBdr>
        <w:top w:val="none" w:sz="0" w:space="0" w:color="auto"/>
        <w:left w:val="none" w:sz="0" w:space="0" w:color="auto"/>
        <w:bottom w:val="none" w:sz="0" w:space="0" w:color="auto"/>
        <w:right w:val="none" w:sz="0" w:space="0" w:color="auto"/>
      </w:divBdr>
      <w:divsChild>
        <w:div w:id="1114710832">
          <w:marLeft w:val="0"/>
          <w:marRight w:val="0"/>
          <w:marTop w:val="166"/>
          <w:marBottom w:val="166"/>
          <w:divBdr>
            <w:top w:val="none" w:sz="0" w:space="0" w:color="auto"/>
            <w:left w:val="none" w:sz="0" w:space="0" w:color="auto"/>
            <w:bottom w:val="none" w:sz="0" w:space="0" w:color="auto"/>
            <w:right w:val="none" w:sz="0" w:space="0" w:color="auto"/>
          </w:divBdr>
          <w:divsChild>
            <w:div w:id="183588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tif"/><Relationship Id="rId18" Type="http://schemas.openxmlformats.org/officeDocument/2006/relationships/image" Target="media/image11.jpeg"/><Relationship Id="rId26" Type="http://schemas.openxmlformats.org/officeDocument/2006/relationships/hyperlink" Target="https://www.ncbi.nlm.nih.gov/pubmed/30201394" TargetMode="External"/><Relationship Id="rId3" Type="http://schemas.openxmlformats.org/officeDocument/2006/relationships/styles" Target="styles.xml"/><Relationship Id="rId21" Type="http://schemas.openxmlformats.org/officeDocument/2006/relationships/image" Target="media/image14.tif"/><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image" Target="media/image10.jpeg"/><Relationship Id="rId25" Type="http://schemas.openxmlformats.org/officeDocument/2006/relationships/hyperlink" Target="https://www.ncbi.nlm.nih.gov/pubmed/30102801" TargetMode="External"/><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hyperlink" Target="https://www.ncbi.nlm.nih.gov/pubmed/2859524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tif"/><Relationship Id="rId32" Type="http://schemas.openxmlformats.org/officeDocument/2006/relationships/hyperlink" Target="https://www.ncbi.nlm.nih.gov/pubmed/23728721"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tif"/><Relationship Id="rId28" Type="http://schemas.openxmlformats.org/officeDocument/2006/relationships/hyperlink" Target="https://www.ncbi.nlm.nih.gov/pubmed/29176367" TargetMode="External"/><Relationship Id="rId36"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image" Target="media/image12.tif"/><Relationship Id="rId31" Type="http://schemas.openxmlformats.org/officeDocument/2006/relationships/hyperlink" Target="https://www.ncbi.nlm.nih.gov/pubmed/26785159"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Relationship Id="rId22" Type="http://schemas.openxmlformats.org/officeDocument/2006/relationships/image" Target="media/image15.tif"/><Relationship Id="rId27" Type="http://schemas.openxmlformats.org/officeDocument/2006/relationships/hyperlink" Target="https://www.ncbi.nlm.nih.gov/pubmed/29922743" TargetMode="External"/><Relationship Id="rId30" Type="http://schemas.openxmlformats.org/officeDocument/2006/relationships/hyperlink" Target="https://www.ncbi.nlm.nih.gov/pubmed/27088890" TargetMode="External"/><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18DABB-30FB-E44B-8256-53FE02C8E9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119</Pages>
  <Words>75221</Words>
  <Characters>428764</Characters>
  <Application>Microsoft Office Word</Application>
  <DocSecurity>0</DocSecurity>
  <Lines>3573</Lines>
  <Paragraphs>1005</Paragraphs>
  <ScaleCrop>false</ScaleCrop>
  <HeadingPairs>
    <vt:vector size="2" baseType="variant">
      <vt:variant>
        <vt:lpstr>Title</vt:lpstr>
      </vt:variant>
      <vt:variant>
        <vt:i4>1</vt:i4>
      </vt:variant>
    </vt:vector>
  </HeadingPairs>
  <TitlesOfParts>
    <vt:vector size="1" baseType="lpstr">
      <vt:lpstr>THESIS</vt:lpstr>
    </vt:vector>
  </TitlesOfParts>
  <Company>pallai</Company>
  <LinksUpToDate>false</LinksUpToDate>
  <CharactersWithSpaces>502980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THESIS</dc:title>
  <dc:creator>Pallai Rappai Shillo</dc:creator>
  <cp:lastModifiedBy>pallai shillo</cp:lastModifiedBy>
  <cp:revision>11</cp:revision>
  <cp:lastPrinted>2019-04-13T15:44:00Z</cp:lastPrinted>
  <dcterms:created xsi:type="dcterms:W3CDTF">2019-09-18T12:52:00Z</dcterms:created>
  <dcterms:modified xsi:type="dcterms:W3CDTF">2019-09-18T14:00:00Z</dcterms:modified>
</cp:coreProperties>
</file>