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3D660" w14:textId="77777777" w:rsidR="00DB7E3B" w:rsidRPr="009F72BE" w:rsidRDefault="00645066" w:rsidP="00602D3C">
      <w:pPr>
        <w:spacing w:line="480" w:lineRule="auto"/>
        <w:jc w:val="center"/>
        <w:rPr>
          <w:rFonts w:ascii="Times New Roman" w:hAnsi="Times New Roman" w:cs="Times New Roman"/>
          <w:b/>
          <w:sz w:val="52"/>
          <w:szCs w:val="52"/>
        </w:rPr>
      </w:pPr>
      <w:r w:rsidRPr="009F72BE">
        <w:rPr>
          <w:rFonts w:ascii="Times New Roman" w:hAnsi="Times New Roman" w:cs="Times New Roman"/>
          <w:sz w:val="52"/>
          <w:szCs w:val="52"/>
        </w:rPr>
        <w:t>Determination of diagnostic competence in histopathology trainees</w:t>
      </w:r>
    </w:p>
    <w:p w14:paraId="67940E1E" w14:textId="77777777" w:rsidR="002E341B" w:rsidRPr="009F72BE" w:rsidRDefault="002E341B" w:rsidP="00602D3C">
      <w:pPr>
        <w:spacing w:line="480" w:lineRule="auto"/>
        <w:jc w:val="center"/>
        <w:rPr>
          <w:rFonts w:ascii="Times New Roman" w:hAnsi="Times New Roman" w:cs="Times New Roman"/>
          <w:i/>
          <w:sz w:val="24"/>
          <w:szCs w:val="24"/>
        </w:rPr>
      </w:pPr>
    </w:p>
    <w:p w14:paraId="35EE8EA8" w14:textId="42B5D9CE" w:rsidR="00863DF5" w:rsidRPr="009F72BE" w:rsidRDefault="00863DF5" w:rsidP="00602D3C">
      <w:pPr>
        <w:spacing w:line="480" w:lineRule="auto"/>
        <w:jc w:val="center"/>
        <w:rPr>
          <w:rFonts w:ascii="Times New Roman" w:hAnsi="Times New Roman" w:cs="Times New Roman"/>
          <w:i/>
          <w:sz w:val="40"/>
          <w:szCs w:val="40"/>
        </w:rPr>
      </w:pPr>
      <w:r w:rsidRPr="009F72BE">
        <w:rPr>
          <w:rFonts w:ascii="Times New Roman" w:hAnsi="Times New Roman" w:cs="Times New Roman"/>
          <w:i/>
          <w:sz w:val="40"/>
          <w:szCs w:val="40"/>
        </w:rPr>
        <w:t>Dr. Daniel</w:t>
      </w:r>
      <w:r w:rsidR="00226F2C">
        <w:rPr>
          <w:rFonts w:ascii="Times New Roman" w:hAnsi="Times New Roman" w:cs="Times New Roman"/>
          <w:i/>
          <w:sz w:val="40"/>
          <w:szCs w:val="40"/>
        </w:rPr>
        <w:t xml:space="preserve"> John</w:t>
      </w:r>
      <w:r w:rsidRPr="009F72BE">
        <w:rPr>
          <w:rFonts w:ascii="Times New Roman" w:hAnsi="Times New Roman" w:cs="Times New Roman"/>
          <w:i/>
          <w:sz w:val="40"/>
          <w:szCs w:val="40"/>
        </w:rPr>
        <w:t xml:space="preserve"> Brierley</w:t>
      </w:r>
    </w:p>
    <w:p w14:paraId="1BE3A33E" w14:textId="77777777" w:rsidR="002E341B" w:rsidRPr="009F72BE" w:rsidRDefault="002E341B" w:rsidP="00602D3C">
      <w:pPr>
        <w:pStyle w:val="USBtitlepage"/>
        <w:rPr>
          <w:rFonts w:ascii="Times New Roman" w:hAnsi="Times New Roman" w:cs="Times New Roman"/>
          <w:sz w:val="32"/>
          <w:szCs w:val="32"/>
        </w:rPr>
      </w:pPr>
      <w:r w:rsidRPr="009F72BE">
        <w:rPr>
          <w:rFonts w:ascii="Times New Roman" w:hAnsi="Times New Roman" w:cs="Times New Roman"/>
          <w:sz w:val="32"/>
          <w:szCs w:val="32"/>
        </w:rPr>
        <w:t>A thesis submitted in partial fulfilment for the requirements for the degree of Doctor of Philosophy</w:t>
      </w:r>
    </w:p>
    <w:p w14:paraId="06FA3DB2" w14:textId="77777777" w:rsidR="002E341B" w:rsidRPr="009F72BE" w:rsidRDefault="002E341B" w:rsidP="00602D3C">
      <w:pPr>
        <w:pStyle w:val="USBtitlepage"/>
        <w:rPr>
          <w:rFonts w:ascii="Times New Roman" w:hAnsi="Times New Roman" w:cs="Times New Roman"/>
          <w:sz w:val="32"/>
          <w:szCs w:val="32"/>
        </w:rPr>
      </w:pPr>
    </w:p>
    <w:p w14:paraId="491D83AB" w14:textId="77777777" w:rsidR="00863DF5" w:rsidRPr="009F72BE" w:rsidRDefault="00863DF5" w:rsidP="00602D3C">
      <w:pPr>
        <w:pStyle w:val="USBtitlepage"/>
        <w:ind w:left="2160" w:firstLine="720"/>
        <w:jc w:val="left"/>
        <w:rPr>
          <w:rFonts w:ascii="Times New Roman" w:hAnsi="Times New Roman" w:cs="Times New Roman"/>
          <w:b/>
          <w:sz w:val="32"/>
          <w:szCs w:val="32"/>
        </w:rPr>
      </w:pPr>
      <w:r w:rsidRPr="009F72BE">
        <w:rPr>
          <w:rFonts w:ascii="Times New Roman" w:hAnsi="Times New Roman" w:cs="Times New Roman"/>
          <w:b/>
          <w:sz w:val="32"/>
          <w:szCs w:val="32"/>
        </w:rPr>
        <w:t>University of Sheffield</w:t>
      </w:r>
    </w:p>
    <w:p w14:paraId="0C512532" w14:textId="77777777" w:rsidR="00863DF5" w:rsidRPr="009F72BE" w:rsidRDefault="002E341B" w:rsidP="00602D3C">
      <w:pPr>
        <w:pStyle w:val="Default"/>
        <w:ind w:left="1440" w:firstLine="720"/>
        <w:rPr>
          <w:rFonts w:ascii="Times New Roman" w:hAnsi="Times New Roman" w:cs="Times New Roman"/>
          <w:bCs/>
          <w:sz w:val="32"/>
          <w:szCs w:val="32"/>
        </w:rPr>
      </w:pPr>
      <w:r w:rsidRPr="009F72BE">
        <w:rPr>
          <w:rFonts w:ascii="Times New Roman" w:hAnsi="Times New Roman" w:cs="Times New Roman"/>
          <w:bCs/>
          <w:sz w:val="32"/>
          <w:szCs w:val="32"/>
        </w:rPr>
        <w:t>The School of Clinical Dentistry</w:t>
      </w:r>
    </w:p>
    <w:p w14:paraId="200C9C20" w14:textId="77777777" w:rsidR="002E341B" w:rsidRPr="009F72BE" w:rsidRDefault="002E341B" w:rsidP="00602D3C">
      <w:pPr>
        <w:pStyle w:val="Default"/>
        <w:ind w:left="2160" w:firstLine="720"/>
        <w:jc w:val="center"/>
        <w:rPr>
          <w:rFonts w:ascii="Times New Roman" w:hAnsi="Times New Roman" w:cs="Times New Roman"/>
          <w:bCs/>
          <w:sz w:val="32"/>
          <w:szCs w:val="32"/>
        </w:rPr>
      </w:pPr>
    </w:p>
    <w:p w14:paraId="1ECE2A81" w14:textId="18581B1C" w:rsidR="002E341B" w:rsidRPr="009F72BE" w:rsidRDefault="003622E6" w:rsidP="00602D3C">
      <w:pPr>
        <w:pStyle w:val="Default"/>
        <w:ind w:left="720"/>
        <w:rPr>
          <w:rFonts w:ascii="Times New Roman" w:hAnsi="Times New Roman" w:cs="Times New Roman"/>
          <w:bCs/>
          <w:sz w:val="32"/>
          <w:szCs w:val="32"/>
        </w:rPr>
      </w:pPr>
      <w:r>
        <w:rPr>
          <w:rFonts w:ascii="Times New Roman" w:hAnsi="Times New Roman" w:cs="Times New Roman"/>
          <w:bCs/>
          <w:sz w:val="32"/>
          <w:szCs w:val="32"/>
        </w:rPr>
        <w:t>Academic Unit of Oral M</w:t>
      </w:r>
      <w:r w:rsidR="002E341B" w:rsidRPr="009F72BE">
        <w:rPr>
          <w:rFonts w:ascii="Times New Roman" w:hAnsi="Times New Roman" w:cs="Times New Roman"/>
          <w:bCs/>
          <w:sz w:val="32"/>
          <w:szCs w:val="32"/>
        </w:rPr>
        <w:t>edicine, Pathology and Surgery</w:t>
      </w:r>
    </w:p>
    <w:p w14:paraId="66415726" w14:textId="77777777" w:rsidR="002E341B" w:rsidRPr="009F72BE" w:rsidRDefault="002E341B" w:rsidP="00602D3C">
      <w:pPr>
        <w:pStyle w:val="Default"/>
        <w:ind w:left="2160" w:firstLine="720"/>
        <w:jc w:val="center"/>
        <w:rPr>
          <w:rFonts w:ascii="Times New Roman" w:hAnsi="Times New Roman" w:cs="Times New Roman"/>
          <w:bCs/>
          <w:sz w:val="32"/>
          <w:szCs w:val="32"/>
        </w:rPr>
      </w:pPr>
    </w:p>
    <w:p w14:paraId="73B94729" w14:textId="77777777" w:rsidR="002E341B" w:rsidRPr="009F72BE" w:rsidRDefault="002E341B" w:rsidP="00602D3C">
      <w:pPr>
        <w:pStyle w:val="Default"/>
        <w:jc w:val="center"/>
        <w:rPr>
          <w:rFonts w:ascii="Times New Roman" w:hAnsi="Times New Roman" w:cs="Times New Roman"/>
          <w:bCs/>
          <w:sz w:val="32"/>
          <w:szCs w:val="32"/>
        </w:rPr>
      </w:pPr>
    </w:p>
    <w:p w14:paraId="25EBE17D" w14:textId="77777777" w:rsidR="002E341B" w:rsidRPr="009F72BE" w:rsidRDefault="002E341B" w:rsidP="00602D3C">
      <w:pPr>
        <w:pStyle w:val="Default"/>
        <w:jc w:val="center"/>
        <w:rPr>
          <w:rFonts w:ascii="Times New Roman" w:hAnsi="Times New Roman" w:cs="Times New Roman"/>
          <w:bCs/>
          <w:sz w:val="32"/>
          <w:szCs w:val="32"/>
        </w:rPr>
      </w:pPr>
    </w:p>
    <w:p w14:paraId="653639F8" w14:textId="77777777" w:rsidR="002E341B" w:rsidRPr="009F72BE" w:rsidRDefault="002E341B" w:rsidP="00602D3C">
      <w:pPr>
        <w:pStyle w:val="Default"/>
        <w:jc w:val="center"/>
        <w:rPr>
          <w:rFonts w:ascii="Times New Roman" w:hAnsi="Times New Roman" w:cs="Times New Roman"/>
          <w:bCs/>
          <w:sz w:val="32"/>
          <w:szCs w:val="32"/>
        </w:rPr>
      </w:pPr>
    </w:p>
    <w:p w14:paraId="6C5ADCD2" w14:textId="77777777" w:rsidR="002E341B" w:rsidRPr="009F72BE" w:rsidRDefault="002E341B" w:rsidP="00602D3C">
      <w:pPr>
        <w:pStyle w:val="Default"/>
        <w:jc w:val="center"/>
        <w:rPr>
          <w:rFonts w:ascii="Times New Roman" w:hAnsi="Times New Roman" w:cs="Times New Roman"/>
          <w:bCs/>
          <w:sz w:val="32"/>
          <w:szCs w:val="32"/>
        </w:rPr>
      </w:pPr>
    </w:p>
    <w:p w14:paraId="74D65C8C" w14:textId="77777777" w:rsidR="002E341B" w:rsidRPr="009F72BE" w:rsidRDefault="002E341B" w:rsidP="00602D3C">
      <w:pPr>
        <w:pStyle w:val="Default"/>
        <w:jc w:val="center"/>
        <w:rPr>
          <w:rFonts w:ascii="Times New Roman" w:hAnsi="Times New Roman" w:cs="Times New Roman"/>
          <w:bCs/>
          <w:sz w:val="32"/>
          <w:szCs w:val="32"/>
        </w:rPr>
      </w:pPr>
    </w:p>
    <w:p w14:paraId="5EA9553A" w14:textId="77777777" w:rsidR="002E341B" w:rsidRPr="009F72BE" w:rsidRDefault="006B1962" w:rsidP="00602D3C">
      <w:pPr>
        <w:pStyle w:val="Default"/>
        <w:jc w:val="center"/>
        <w:rPr>
          <w:rFonts w:ascii="Times New Roman" w:hAnsi="Times New Roman" w:cs="Times New Roman"/>
          <w:bCs/>
          <w:sz w:val="32"/>
          <w:szCs w:val="32"/>
        </w:rPr>
      </w:pPr>
      <w:r w:rsidRPr="009F72BE">
        <w:rPr>
          <w:rFonts w:ascii="Times New Roman" w:hAnsi="Times New Roman" w:cs="Times New Roman"/>
          <w:bCs/>
          <w:sz w:val="32"/>
          <w:szCs w:val="32"/>
        </w:rPr>
        <w:t>Supervisors: Professor. P.M. Farthing and Dr. S. Zijlstra-Shaw</w:t>
      </w:r>
    </w:p>
    <w:p w14:paraId="21378157" w14:textId="77777777" w:rsidR="002E341B" w:rsidRPr="009F72BE" w:rsidRDefault="002E341B" w:rsidP="00602D3C">
      <w:pPr>
        <w:pStyle w:val="Default"/>
        <w:jc w:val="center"/>
        <w:rPr>
          <w:rFonts w:ascii="Times New Roman" w:hAnsi="Times New Roman" w:cs="Times New Roman"/>
          <w:bCs/>
          <w:sz w:val="32"/>
          <w:szCs w:val="32"/>
        </w:rPr>
      </w:pPr>
    </w:p>
    <w:p w14:paraId="6969B654" w14:textId="77777777" w:rsidR="002E341B" w:rsidRPr="009F72BE" w:rsidRDefault="002E341B" w:rsidP="00602D3C">
      <w:pPr>
        <w:pStyle w:val="Default"/>
        <w:jc w:val="center"/>
        <w:rPr>
          <w:rFonts w:ascii="Times New Roman" w:hAnsi="Times New Roman" w:cs="Times New Roman"/>
          <w:bCs/>
          <w:sz w:val="32"/>
          <w:szCs w:val="32"/>
        </w:rPr>
      </w:pPr>
      <w:r w:rsidRPr="009F72BE">
        <w:rPr>
          <w:rFonts w:ascii="Times New Roman" w:hAnsi="Times New Roman" w:cs="Times New Roman"/>
          <w:bCs/>
          <w:sz w:val="32"/>
          <w:szCs w:val="32"/>
        </w:rPr>
        <w:t>Submitted: August 2019</w:t>
      </w:r>
    </w:p>
    <w:p w14:paraId="1784988C" w14:textId="77777777" w:rsidR="00863DF5" w:rsidRPr="006F3B00" w:rsidRDefault="00863DF5" w:rsidP="00863DF5">
      <w:pPr>
        <w:pStyle w:val="Default"/>
        <w:rPr>
          <w:rFonts w:ascii="Times New Roman" w:hAnsi="Times New Roman" w:cs="Times New Roman"/>
          <w:b/>
          <w:bCs/>
        </w:rPr>
      </w:pPr>
    </w:p>
    <w:p w14:paraId="54DCF924" w14:textId="77777777" w:rsidR="005B3B0C" w:rsidRDefault="005B3B0C" w:rsidP="005B3B0C">
      <w:pPr>
        <w:pStyle w:val="Default"/>
        <w:rPr>
          <w:rFonts w:ascii="Times New Roman" w:hAnsi="Times New Roman" w:cs="Times New Roman"/>
          <w:b/>
          <w:bCs/>
        </w:rPr>
      </w:pPr>
    </w:p>
    <w:p w14:paraId="3C4EC274" w14:textId="77777777" w:rsidR="0049140F" w:rsidRDefault="0049140F" w:rsidP="005B3B0C">
      <w:pPr>
        <w:pStyle w:val="Default"/>
        <w:jc w:val="center"/>
        <w:rPr>
          <w:rFonts w:ascii="Times New Roman" w:hAnsi="Times New Roman" w:cs="Times New Roman"/>
          <w:b/>
          <w:bCs/>
        </w:rPr>
      </w:pPr>
    </w:p>
    <w:p w14:paraId="3486B6F4" w14:textId="6F3C9879" w:rsidR="0049140F" w:rsidRPr="00595755" w:rsidRDefault="0049140F" w:rsidP="005B3B0C">
      <w:pPr>
        <w:pStyle w:val="Default"/>
        <w:jc w:val="center"/>
        <w:rPr>
          <w:rFonts w:ascii="Times New Roman" w:hAnsi="Times New Roman" w:cs="Times New Roman"/>
          <w:b/>
          <w:bCs/>
          <w:sz w:val="36"/>
          <w:szCs w:val="36"/>
        </w:rPr>
      </w:pPr>
    </w:p>
    <w:p w14:paraId="2F258E2D" w14:textId="77777777" w:rsidR="0049140F" w:rsidRDefault="0049140F" w:rsidP="005B3B0C">
      <w:pPr>
        <w:pStyle w:val="Default"/>
        <w:jc w:val="center"/>
        <w:rPr>
          <w:rFonts w:ascii="Times New Roman" w:hAnsi="Times New Roman" w:cs="Times New Roman"/>
          <w:b/>
          <w:bCs/>
        </w:rPr>
      </w:pPr>
    </w:p>
    <w:p w14:paraId="4ECC1E87" w14:textId="77777777" w:rsidR="0049140F" w:rsidRDefault="0049140F" w:rsidP="005B3B0C">
      <w:pPr>
        <w:pStyle w:val="Default"/>
        <w:jc w:val="center"/>
        <w:rPr>
          <w:rFonts w:ascii="Times New Roman" w:hAnsi="Times New Roman" w:cs="Times New Roman"/>
          <w:b/>
          <w:bCs/>
        </w:rPr>
      </w:pPr>
    </w:p>
    <w:p w14:paraId="07BBF424" w14:textId="77777777" w:rsidR="00863DF5" w:rsidRPr="00FF5302" w:rsidRDefault="00863DF5" w:rsidP="005B3B0C">
      <w:pPr>
        <w:pStyle w:val="Default"/>
        <w:jc w:val="center"/>
        <w:rPr>
          <w:rFonts w:ascii="Times New Roman" w:hAnsi="Times New Roman" w:cs="Times New Roman"/>
          <w:b/>
          <w:bCs/>
          <w:sz w:val="44"/>
          <w:szCs w:val="44"/>
        </w:rPr>
      </w:pPr>
      <w:r w:rsidRPr="00FF5302">
        <w:rPr>
          <w:rFonts w:ascii="Times New Roman" w:hAnsi="Times New Roman" w:cs="Times New Roman"/>
          <w:b/>
          <w:bCs/>
          <w:sz w:val="44"/>
          <w:szCs w:val="44"/>
        </w:rPr>
        <w:lastRenderedPageBreak/>
        <w:t>Acknowledgements</w:t>
      </w:r>
    </w:p>
    <w:p w14:paraId="5091CD69" w14:textId="77777777" w:rsidR="00863DF5" w:rsidRPr="006F3B00" w:rsidRDefault="00863DF5" w:rsidP="00863DF5">
      <w:pPr>
        <w:pStyle w:val="Default"/>
        <w:spacing w:line="480" w:lineRule="auto"/>
        <w:rPr>
          <w:rFonts w:ascii="Times New Roman" w:hAnsi="Times New Roman" w:cs="Times New Roman"/>
        </w:rPr>
      </w:pPr>
    </w:p>
    <w:p w14:paraId="0482282A" w14:textId="77777777"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Firstly, I would like to thank my supervisors, Professor Paula Farthing and Dr</w:t>
      </w:r>
      <w:r w:rsidR="0011218C">
        <w:rPr>
          <w:rFonts w:ascii="Times New Roman" w:hAnsi="Times New Roman" w:cs="Times New Roman"/>
        </w:rPr>
        <w:t>.</w:t>
      </w:r>
      <w:r w:rsidRPr="006F3B00">
        <w:rPr>
          <w:rFonts w:ascii="Times New Roman" w:hAnsi="Times New Roman" w:cs="Times New Roman"/>
        </w:rPr>
        <w:t xml:space="preserve"> Sandra Zijlstra-Shaw. You provided unwavering guidance during this journey and encouraged me to pursue something that interested me.  You taught me to persevere and strive for excellence. I have learnt so much from both of you.</w:t>
      </w:r>
    </w:p>
    <w:p w14:paraId="104B7FC5" w14:textId="77777777" w:rsidR="00863DF5" w:rsidRPr="006F3B00" w:rsidRDefault="00863DF5" w:rsidP="00863DF5">
      <w:pPr>
        <w:pStyle w:val="Default"/>
        <w:spacing w:line="480" w:lineRule="auto"/>
        <w:rPr>
          <w:rFonts w:ascii="Times New Roman" w:hAnsi="Times New Roman" w:cs="Times New Roman"/>
        </w:rPr>
      </w:pPr>
    </w:p>
    <w:p w14:paraId="3B7157FF" w14:textId="77777777"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I would also like to thank my colleagues in Oral Pathology for giving me time to do my research and allowing me to strike a balance between my NHS and research commitments.</w:t>
      </w:r>
    </w:p>
    <w:p w14:paraId="0649AAA8" w14:textId="77777777" w:rsidR="00863DF5" w:rsidRPr="006F3B00" w:rsidRDefault="00863DF5" w:rsidP="00863DF5">
      <w:pPr>
        <w:pStyle w:val="Default"/>
        <w:spacing w:line="480" w:lineRule="auto"/>
        <w:rPr>
          <w:rFonts w:ascii="Times New Roman" w:hAnsi="Times New Roman" w:cs="Times New Roman"/>
        </w:rPr>
      </w:pPr>
    </w:p>
    <w:p w14:paraId="53249A6A" w14:textId="77777777"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 xml:space="preserve">I am very grateful for the Royal College of Pathologists for disseminating my questionnaire and Delphi invitations. </w:t>
      </w:r>
    </w:p>
    <w:p w14:paraId="3E44B4DE" w14:textId="77777777" w:rsidR="00863DF5" w:rsidRPr="006F3B00" w:rsidRDefault="00863DF5" w:rsidP="00863DF5">
      <w:pPr>
        <w:pStyle w:val="Default"/>
        <w:spacing w:line="480" w:lineRule="auto"/>
        <w:rPr>
          <w:rFonts w:ascii="Times New Roman" w:hAnsi="Times New Roman" w:cs="Times New Roman"/>
        </w:rPr>
      </w:pPr>
    </w:p>
    <w:p w14:paraId="6CDB72C0" w14:textId="77777777"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Thank you to all of those who contributed to the various elements of the PhD-your time, expertise, honesty and support helped to inform this study and make my research possible.</w:t>
      </w:r>
    </w:p>
    <w:p w14:paraId="39CE223E" w14:textId="77777777" w:rsidR="00863DF5" w:rsidRPr="006F3B00" w:rsidRDefault="00863DF5" w:rsidP="00863DF5">
      <w:pPr>
        <w:spacing w:line="480" w:lineRule="auto"/>
        <w:rPr>
          <w:rFonts w:ascii="Times New Roman" w:hAnsi="Times New Roman" w:cs="Times New Roman"/>
          <w:sz w:val="24"/>
          <w:szCs w:val="24"/>
        </w:rPr>
      </w:pPr>
    </w:p>
    <w:p w14:paraId="34046CF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 would like to thank my wife, Catherine, for her love, encouragement and belief in me. Thank you also to my son, William, for putting life into perspective and giving me something to strive for.</w:t>
      </w:r>
    </w:p>
    <w:p w14:paraId="1733B605" w14:textId="3F5F18AD" w:rsidR="00D30272" w:rsidRDefault="00D30272" w:rsidP="00382D63">
      <w:pPr>
        <w:rPr>
          <w:rFonts w:ascii="Times New Roman" w:hAnsi="Times New Roman" w:cs="Times New Roman"/>
          <w:b/>
          <w:sz w:val="24"/>
          <w:szCs w:val="24"/>
          <w:u w:val="single"/>
        </w:rPr>
      </w:pPr>
    </w:p>
    <w:p w14:paraId="3E42782B" w14:textId="6AD9E1B9" w:rsidR="00382D63" w:rsidRDefault="00382D63" w:rsidP="00382D63">
      <w:pPr>
        <w:rPr>
          <w:rFonts w:ascii="Times New Roman" w:hAnsi="Times New Roman" w:cs="Times New Roman"/>
          <w:b/>
          <w:sz w:val="24"/>
          <w:szCs w:val="24"/>
          <w:u w:val="single"/>
        </w:rPr>
      </w:pPr>
    </w:p>
    <w:p w14:paraId="43B56254" w14:textId="77777777" w:rsidR="00382D63" w:rsidRPr="006F3B00" w:rsidRDefault="00382D63" w:rsidP="00382D63">
      <w:pPr>
        <w:rPr>
          <w:rFonts w:ascii="Times New Roman" w:hAnsi="Times New Roman" w:cs="Times New Roman"/>
          <w:b/>
          <w:sz w:val="24"/>
          <w:szCs w:val="24"/>
          <w:u w:val="single"/>
        </w:rPr>
      </w:pPr>
    </w:p>
    <w:tbl>
      <w:tblPr>
        <w:tblStyle w:val="TableGrid"/>
        <w:tblpPr w:leftFromText="180" w:rightFromText="180" w:vertAnchor="text" w:horzAnchor="margin" w:tblpY="721"/>
        <w:tblW w:w="8635" w:type="dxa"/>
        <w:tblLook w:val="04A0" w:firstRow="1" w:lastRow="0" w:firstColumn="1" w:lastColumn="0" w:noHBand="0" w:noVBand="1"/>
      </w:tblPr>
      <w:tblGrid>
        <w:gridCol w:w="1885"/>
        <w:gridCol w:w="6750"/>
      </w:tblGrid>
      <w:tr w:rsidR="00FF5302" w14:paraId="49C74E85" w14:textId="77777777" w:rsidTr="00382D63">
        <w:tc>
          <w:tcPr>
            <w:tcW w:w="1885" w:type="dxa"/>
          </w:tcPr>
          <w:p w14:paraId="7C677A68"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lastRenderedPageBreak/>
              <w:t>ACGMEA</w:t>
            </w:r>
          </w:p>
        </w:tc>
        <w:tc>
          <w:tcPr>
            <w:tcW w:w="6750" w:type="dxa"/>
          </w:tcPr>
          <w:p w14:paraId="28CFDFBE"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Accreditation Council for Graduate Medical Education in America</w:t>
            </w:r>
          </w:p>
        </w:tc>
      </w:tr>
      <w:tr w:rsidR="00FF5302" w14:paraId="6016DD1E" w14:textId="77777777" w:rsidTr="00382D63">
        <w:tc>
          <w:tcPr>
            <w:tcW w:w="1885" w:type="dxa"/>
          </w:tcPr>
          <w:p w14:paraId="7E1C1DA1"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ADEE</w:t>
            </w:r>
          </w:p>
        </w:tc>
        <w:tc>
          <w:tcPr>
            <w:tcW w:w="6750" w:type="dxa"/>
          </w:tcPr>
          <w:p w14:paraId="17A9971C"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Association for Dental Education in Europe</w:t>
            </w:r>
          </w:p>
        </w:tc>
      </w:tr>
      <w:tr w:rsidR="00FF5302" w14:paraId="7339BBE4" w14:textId="77777777" w:rsidTr="00382D63">
        <w:tc>
          <w:tcPr>
            <w:tcW w:w="1885" w:type="dxa"/>
          </w:tcPr>
          <w:p w14:paraId="682DC0D5"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AfL</w:t>
            </w:r>
          </w:p>
        </w:tc>
        <w:tc>
          <w:tcPr>
            <w:tcW w:w="6750" w:type="dxa"/>
          </w:tcPr>
          <w:p w14:paraId="3E4B8BAA"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Assessment for Learning</w:t>
            </w:r>
          </w:p>
        </w:tc>
      </w:tr>
      <w:tr w:rsidR="00FF5302" w14:paraId="1BA0D306" w14:textId="77777777" w:rsidTr="00382D63">
        <w:tc>
          <w:tcPr>
            <w:tcW w:w="1885" w:type="dxa"/>
          </w:tcPr>
          <w:p w14:paraId="08EA1071"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AoMRC</w:t>
            </w:r>
          </w:p>
        </w:tc>
        <w:tc>
          <w:tcPr>
            <w:tcW w:w="6750" w:type="dxa"/>
          </w:tcPr>
          <w:p w14:paraId="16858736"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Academy of Medical Royal Colleges</w:t>
            </w:r>
          </w:p>
        </w:tc>
      </w:tr>
      <w:tr w:rsidR="00FF5302" w14:paraId="162351C2" w14:textId="77777777" w:rsidTr="00382D63">
        <w:tc>
          <w:tcPr>
            <w:tcW w:w="1885" w:type="dxa"/>
          </w:tcPr>
          <w:p w14:paraId="03CC4DB2"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AOP</w:t>
            </w:r>
          </w:p>
        </w:tc>
        <w:tc>
          <w:tcPr>
            <w:tcW w:w="6750" w:type="dxa"/>
          </w:tcPr>
          <w:p w14:paraId="4FCD6833"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Assessment of Performance</w:t>
            </w:r>
          </w:p>
        </w:tc>
      </w:tr>
      <w:tr w:rsidR="00FF5302" w14:paraId="30A0AA42" w14:textId="77777777" w:rsidTr="00382D63">
        <w:tc>
          <w:tcPr>
            <w:tcW w:w="1885" w:type="dxa"/>
          </w:tcPr>
          <w:p w14:paraId="64044229"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ARCP</w:t>
            </w:r>
          </w:p>
        </w:tc>
        <w:tc>
          <w:tcPr>
            <w:tcW w:w="6750" w:type="dxa"/>
          </w:tcPr>
          <w:p w14:paraId="126B1210"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Annual Review of Competency Progression</w:t>
            </w:r>
          </w:p>
        </w:tc>
      </w:tr>
      <w:tr w:rsidR="00FF5302" w14:paraId="09995EE8" w14:textId="77777777" w:rsidTr="00382D63">
        <w:tc>
          <w:tcPr>
            <w:tcW w:w="1885" w:type="dxa"/>
          </w:tcPr>
          <w:p w14:paraId="1EB07388"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CBD</w:t>
            </w:r>
          </w:p>
        </w:tc>
        <w:tc>
          <w:tcPr>
            <w:tcW w:w="6750" w:type="dxa"/>
          </w:tcPr>
          <w:p w14:paraId="724CDBCE"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Case Based Discussion</w:t>
            </w:r>
          </w:p>
        </w:tc>
      </w:tr>
      <w:tr w:rsidR="00FF5302" w14:paraId="627152BA" w14:textId="77777777" w:rsidTr="00382D63">
        <w:tc>
          <w:tcPr>
            <w:tcW w:w="1885" w:type="dxa"/>
          </w:tcPr>
          <w:p w14:paraId="5BDAA181"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CCST</w:t>
            </w:r>
          </w:p>
        </w:tc>
        <w:tc>
          <w:tcPr>
            <w:tcW w:w="6750" w:type="dxa"/>
          </w:tcPr>
          <w:p w14:paraId="6D72A6AE"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Certificate of Completion of Specialist Training</w:t>
            </w:r>
          </w:p>
        </w:tc>
      </w:tr>
      <w:tr w:rsidR="00FF5302" w14:paraId="00B5F4D3" w14:textId="77777777" w:rsidTr="00382D63">
        <w:tc>
          <w:tcPr>
            <w:tcW w:w="1885" w:type="dxa"/>
          </w:tcPr>
          <w:p w14:paraId="307F8A9B"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CWS</w:t>
            </w:r>
          </w:p>
        </w:tc>
        <w:tc>
          <w:tcPr>
            <w:tcW w:w="6750" w:type="dxa"/>
          </w:tcPr>
          <w:p w14:paraId="27F51867"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Cochran-Weiss-Shanteau</w:t>
            </w:r>
          </w:p>
        </w:tc>
      </w:tr>
      <w:tr w:rsidR="00FF5302" w14:paraId="08A0DBB3" w14:textId="77777777" w:rsidTr="00382D63">
        <w:tc>
          <w:tcPr>
            <w:tcW w:w="1885" w:type="dxa"/>
          </w:tcPr>
          <w:p w14:paraId="5F7DE81D"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DEPS</w:t>
            </w:r>
          </w:p>
        </w:tc>
        <w:tc>
          <w:tcPr>
            <w:tcW w:w="6750" w:type="dxa"/>
          </w:tcPr>
          <w:p w14:paraId="7C3E99D8"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Dental Evaluation of Performance</w:t>
            </w:r>
          </w:p>
        </w:tc>
      </w:tr>
      <w:tr w:rsidR="00FF5302" w14:paraId="755686F6" w14:textId="77777777" w:rsidTr="00382D63">
        <w:tc>
          <w:tcPr>
            <w:tcW w:w="1885" w:type="dxa"/>
          </w:tcPr>
          <w:p w14:paraId="1E19089E"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DOPS</w:t>
            </w:r>
          </w:p>
        </w:tc>
        <w:tc>
          <w:tcPr>
            <w:tcW w:w="6750" w:type="dxa"/>
          </w:tcPr>
          <w:p w14:paraId="416C5DC8"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Direct Observation of Practical Skills</w:t>
            </w:r>
          </w:p>
        </w:tc>
      </w:tr>
      <w:tr w:rsidR="00FF5302" w14:paraId="6058A585" w14:textId="77777777" w:rsidTr="00382D63">
        <w:tc>
          <w:tcPr>
            <w:tcW w:w="1885" w:type="dxa"/>
          </w:tcPr>
          <w:p w14:paraId="13848C3F"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ECE</w:t>
            </w:r>
          </w:p>
        </w:tc>
        <w:tc>
          <w:tcPr>
            <w:tcW w:w="6750" w:type="dxa"/>
          </w:tcPr>
          <w:p w14:paraId="5F05108C"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Evaluation of Clinical Events</w:t>
            </w:r>
          </w:p>
        </w:tc>
      </w:tr>
      <w:tr w:rsidR="00FF5302" w14:paraId="4064BD54" w14:textId="77777777" w:rsidTr="00382D63">
        <w:tc>
          <w:tcPr>
            <w:tcW w:w="1885" w:type="dxa"/>
          </w:tcPr>
          <w:p w14:paraId="43D2D747"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EPA</w:t>
            </w:r>
          </w:p>
        </w:tc>
        <w:tc>
          <w:tcPr>
            <w:tcW w:w="6750" w:type="dxa"/>
          </w:tcPr>
          <w:p w14:paraId="0A999138"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Entrustable Professional Activities</w:t>
            </w:r>
          </w:p>
        </w:tc>
      </w:tr>
      <w:tr w:rsidR="00FF5302" w14:paraId="192FCF81" w14:textId="77777777" w:rsidTr="00382D63">
        <w:tc>
          <w:tcPr>
            <w:tcW w:w="1885" w:type="dxa"/>
          </w:tcPr>
          <w:p w14:paraId="73C00AE4"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ES</w:t>
            </w:r>
          </w:p>
        </w:tc>
        <w:tc>
          <w:tcPr>
            <w:tcW w:w="6750" w:type="dxa"/>
          </w:tcPr>
          <w:p w14:paraId="296EC2B1"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Educational Supervisor</w:t>
            </w:r>
          </w:p>
        </w:tc>
      </w:tr>
      <w:tr w:rsidR="00FF5302" w14:paraId="5DE02182" w14:textId="77777777" w:rsidTr="00382D63">
        <w:tc>
          <w:tcPr>
            <w:tcW w:w="1885" w:type="dxa"/>
          </w:tcPr>
          <w:p w14:paraId="5A383B1D"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ESR</w:t>
            </w:r>
          </w:p>
        </w:tc>
        <w:tc>
          <w:tcPr>
            <w:tcW w:w="6750" w:type="dxa"/>
          </w:tcPr>
          <w:p w14:paraId="3A40AAAA"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Educational Supervisor’s Report</w:t>
            </w:r>
          </w:p>
        </w:tc>
      </w:tr>
      <w:tr w:rsidR="00FF5302" w14:paraId="41EDFFD4" w14:textId="77777777" w:rsidTr="00382D63">
        <w:tc>
          <w:tcPr>
            <w:tcW w:w="1885" w:type="dxa"/>
          </w:tcPr>
          <w:p w14:paraId="7A726BB0"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EWTD</w:t>
            </w:r>
          </w:p>
        </w:tc>
        <w:tc>
          <w:tcPr>
            <w:tcW w:w="6750" w:type="dxa"/>
          </w:tcPr>
          <w:p w14:paraId="129A3B9F"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European Working Time Directive</w:t>
            </w:r>
          </w:p>
        </w:tc>
      </w:tr>
      <w:tr w:rsidR="00FF5302" w14:paraId="7EA1CCBE" w14:textId="77777777" w:rsidTr="00382D63">
        <w:tc>
          <w:tcPr>
            <w:tcW w:w="1885" w:type="dxa"/>
          </w:tcPr>
          <w:p w14:paraId="627C4347"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GDC</w:t>
            </w:r>
          </w:p>
        </w:tc>
        <w:tc>
          <w:tcPr>
            <w:tcW w:w="6750" w:type="dxa"/>
          </w:tcPr>
          <w:p w14:paraId="542DDDC6"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General Dental Council</w:t>
            </w:r>
          </w:p>
        </w:tc>
      </w:tr>
      <w:tr w:rsidR="00FF5302" w14:paraId="083597D9" w14:textId="77777777" w:rsidTr="00382D63">
        <w:tc>
          <w:tcPr>
            <w:tcW w:w="1885" w:type="dxa"/>
          </w:tcPr>
          <w:p w14:paraId="203890BB"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GMC</w:t>
            </w:r>
          </w:p>
        </w:tc>
        <w:tc>
          <w:tcPr>
            <w:tcW w:w="6750" w:type="dxa"/>
          </w:tcPr>
          <w:p w14:paraId="35152B94"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General Medical Council</w:t>
            </w:r>
          </w:p>
        </w:tc>
      </w:tr>
      <w:tr w:rsidR="00FF5302" w14:paraId="7569DCAE" w14:textId="77777777" w:rsidTr="00382D63">
        <w:tc>
          <w:tcPr>
            <w:tcW w:w="1885" w:type="dxa"/>
          </w:tcPr>
          <w:p w14:paraId="0B0F1376"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IQR</w:t>
            </w:r>
          </w:p>
        </w:tc>
        <w:tc>
          <w:tcPr>
            <w:tcW w:w="6750" w:type="dxa"/>
          </w:tcPr>
          <w:p w14:paraId="5C6A4F1C"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Interquartile Range</w:t>
            </w:r>
          </w:p>
        </w:tc>
      </w:tr>
      <w:tr w:rsidR="00FF5302" w14:paraId="6C031EC5" w14:textId="77777777" w:rsidTr="00382D63">
        <w:tc>
          <w:tcPr>
            <w:tcW w:w="1885" w:type="dxa"/>
          </w:tcPr>
          <w:p w14:paraId="7943F48C"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ISCP</w:t>
            </w:r>
          </w:p>
        </w:tc>
        <w:tc>
          <w:tcPr>
            <w:tcW w:w="6750" w:type="dxa"/>
          </w:tcPr>
          <w:p w14:paraId="3F098A15"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Intercollegiate Surgical Curriculum Programme</w:t>
            </w:r>
          </w:p>
        </w:tc>
      </w:tr>
      <w:tr w:rsidR="00FF5302" w14:paraId="23951B63" w14:textId="77777777" w:rsidTr="00382D63">
        <w:tc>
          <w:tcPr>
            <w:tcW w:w="1885" w:type="dxa"/>
          </w:tcPr>
          <w:p w14:paraId="4EC04EEC"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LEPT</w:t>
            </w:r>
          </w:p>
        </w:tc>
        <w:tc>
          <w:tcPr>
            <w:tcW w:w="6750" w:type="dxa"/>
          </w:tcPr>
          <w:p w14:paraId="42A0882E"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Learning Environment for Pathology Trainees</w:t>
            </w:r>
          </w:p>
        </w:tc>
      </w:tr>
      <w:tr w:rsidR="00FF5302" w14:paraId="05017625" w14:textId="77777777" w:rsidTr="00382D63">
        <w:tc>
          <w:tcPr>
            <w:tcW w:w="1885" w:type="dxa"/>
          </w:tcPr>
          <w:p w14:paraId="2A48742A"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MCQ</w:t>
            </w:r>
          </w:p>
        </w:tc>
        <w:tc>
          <w:tcPr>
            <w:tcW w:w="6750" w:type="dxa"/>
          </w:tcPr>
          <w:p w14:paraId="389D48DF"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Multiple Choice Question</w:t>
            </w:r>
          </w:p>
        </w:tc>
      </w:tr>
      <w:tr w:rsidR="00FF5302" w14:paraId="14E38501" w14:textId="77777777" w:rsidTr="00382D63">
        <w:tc>
          <w:tcPr>
            <w:tcW w:w="1885" w:type="dxa"/>
          </w:tcPr>
          <w:p w14:paraId="241E28D5"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MDT</w:t>
            </w:r>
          </w:p>
        </w:tc>
        <w:tc>
          <w:tcPr>
            <w:tcW w:w="6750" w:type="dxa"/>
          </w:tcPr>
          <w:p w14:paraId="3411407B"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Multi-disciplinary Team Meeting</w:t>
            </w:r>
          </w:p>
        </w:tc>
      </w:tr>
      <w:tr w:rsidR="00FF5302" w14:paraId="34B6DCD7" w14:textId="77777777" w:rsidTr="00382D63">
        <w:tc>
          <w:tcPr>
            <w:tcW w:w="1885" w:type="dxa"/>
          </w:tcPr>
          <w:p w14:paraId="7772346D"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Mini-CEX</w:t>
            </w:r>
          </w:p>
        </w:tc>
        <w:tc>
          <w:tcPr>
            <w:tcW w:w="6750" w:type="dxa"/>
          </w:tcPr>
          <w:p w14:paraId="73523B39"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Clinical Evaluation Exercise</w:t>
            </w:r>
          </w:p>
        </w:tc>
      </w:tr>
      <w:tr w:rsidR="00FF5302" w14:paraId="26A6005F" w14:textId="77777777" w:rsidTr="00382D63">
        <w:tc>
          <w:tcPr>
            <w:tcW w:w="1885" w:type="dxa"/>
          </w:tcPr>
          <w:p w14:paraId="6642E391"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MSF</w:t>
            </w:r>
          </w:p>
        </w:tc>
        <w:tc>
          <w:tcPr>
            <w:tcW w:w="6750" w:type="dxa"/>
          </w:tcPr>
          <w:p w14:paraId="2F212C1C"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Multi-source Feedback</w:t>
            </w:r>
          </w:p>
        </w:tc>
      </w:tr>
      <w:tr w:rsidR="00FF5302" w14:paraId="3BBEC6FA" w14:textId="77777777" w:rsidTr="00382D63">
        <w:tc>
          <w:tcPr>
            <w:tcW w:w="1885" w:type="dxa"/>
          </w:tcPr>
          <w:p w14:paraId="4968F9F4"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NAS</w:t>
            </w:r>
          </w:p>
        </w:tc>
        <w:tc>
          <w:tcPr>
            <w:tcW w:w="6750" w:type="dxa"/>
          </w:tcPr>
          <w:p w14:paraId="5B49DD61"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Next Accreditation System</w:t>
            </w:r>
          </w:p>
        </w:tc>
      </w:tr>
      <w:tr w:rsidR="00FF5302" w14:paraId="5BD6B0C8" w14:textId="77777777" w:rsidTr="00382D63">
        <w:tc>
          <w:tcPr>
            <w:tcW w:w="1885" w:type="dxa"/>
          </w:tcPr>
          <w:p w14:paraId="20E43E83"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NGT</w:t>
            </w:r>
          </w:p>
        </w:tc>
        <w:tc>
          <w:tcPr>
            <w:tcW w:w="6750" w:type="dxa"/>
          </w:tcPr>
          <w:p w14:paraId="6F3EEB53"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Nominal Group Technique</w:t>
            </w:r>
          </w:p>
        </w:tc>
      </w:tr>
      <w:tr w:rsidR="00FF5302" w14:paraId="4C05F78A" w14:textId="77777777" w:rsidTr="00382D63">
        <w:tc>
          <w:tcPr>
            <w:tcW w:w="1885" w:type="dxa"/>
          </w:tcPr>
          <w:p w14:paraId="5648DC92"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NHS</w:t>
            </w:r>
          </w:p>
        </w:tc>
        <w:tc>
          <w:tcPr>
            <w:tcW w:w="6750" w:type="dxa"/>
          </w:tcPr>
          <w:p w14:paraId="4442A6CE"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National Health Service</w:t>
            </w:r>
          </w:p>
        </w:tc>
      </w:tr>
      <w:tr w:rsidR="00FF5302" w14:paraId="09E23C06" w14:textId="77777777" w:rsidTr="00382D63">
        <w:tc>
          <w:tcPr>
            <w:tcW w:w="1885" w:type="dxa"/>
          </w:tcPr>
          <w:p w14:paraId="1BF646A5"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OMFP</w:t>
            </w:r>
          </w:p>
        </w:tc>
        <w:tc>
          <w:tcPr>
            <w:tcW w:w="6750" w:type="dxa"/>
          </w:tcPr>
          <w:p w14:paraId="5200F5CB"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Oral and Maxillofacial Pathology</w:t>
            </w:r>
          </w:p>
        </w:tc>
      </w:tr>
      <w:tr w:rsidR="00FF5302" w14:paraId="33579FF1" w14:textId="77777777" w:rsidTr="00382D63">
        <w:tc>
          <w:tcPr>
            <w:tcW w:w="1885" w:type="dxa"/>
          </w:tcPr>
          <w:p w14:paraId="47256C66"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OSCE</w:t>
            </w:r>
          </w:p>
        </w:tc>
        <w:tc>
          <w:tcPr>
            <w:tcW w:w="6750" w:type="dxa"/>
          </w:tcPr>
          <w:p w14:paraId="01BC6411"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Objective Structured Clinical Examination</w:t>
            </w:r>
          </w:p>
        </w:tc>
      </w:tr>
      <w:tr w:rsidR="00FF5302" w14:paraId="69386F69" w14:textId="77777777" w:rsidTr="00382D63">
        <w:tc>
          <w:tcPr>
            <w:tcW w:w="1885" w:type="dxa"/>
          </w:tcPr>
          <w:p w14:paraId="439FAA22"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OSPE</w:t>
            </w:r>
          </w:p>
        </w:tc>
        <w:tc>
          <w:tcPr>
            <w:tcW w:w="6750" w:type="dxa"/>
          </w:tcPr>
          <w:p w14:paraId="5F4EB311"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Objective Structured Practical Examination</w:t>
            </w:r>
          </w:p>
        </w:tc>
      </w:tr>
      <w:tr w:rsidR="00FF5302" w14:paraId="6D48832A" w14:textId="77777777" w:rsidTr="00382D63">
        <w:tc>
          <w:tcPr>
            <w:tcW w:w="1885" w:type="dxa"/>
          </w:tcPr>
          <w:p w14:paraId="3516FFFD"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PAQ</w:t>
            </w:r>
          </w:p>
        </w:tc>
        <w:tc>
          <w:tcPr>
            <w:tcW w:w="6750" w:type="dxa"/>
          </w:tcPr>
          <w:p w14:paraId="4E675584"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Patient’s Assessment Questionnaire</w:t>
            </w:r>
          </w:p>
        </w:tc>
      </w:tr>
      <w:tr w:rsidR="00FF5302" w14:paraId="0097D274" w14:textId="77777777" w:rsidTr="00382D63">
        <w:tc>
          <w:tcPr>
            <w:tcW w:w="1885" w:type="dxa"/>
          </w:tcPr>
          <w:p w14:paraId="11DCD6C6"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PhD</w:t>
            </w:r>
          </w:p>
        </w:tc>
        <w:tc>
          <w:tcPr>
            <w:tcW w:w="6750" w:type="dxa"/>
          </w:tcPr>
          <w:p w14:paraId="60282ECA"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Doctor of Philosophy</w:t>
            </w:r>
          </w:p>
        </w:tc>
      </w:tr>
      <w:tr w:rsidR="00FF5302" w14:paraId="67AC61AC" w14:textId="77777777" w:rsidTr="00382D63">
        <w:tc>
          <w:tcPr>
            <w:tcW w:w="1885" w:type="dxa"/>
          </w:tcPr>
          <w:p w14:paraId="5B71622A"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PMETB</w:t>
            </w:r>
          </w:p>
        </w:tc>
        <w:tc>
          <w:tcPr>
            <w:tcW w:w="6750" w:type="dxa"/>
          </w:tcPr>
          <w:p w14:paraId="27CFBDAD"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Post-graduate Medical Education and Training Board</w:t>
            </w:r>
          </w:p>
        </w:tc>
      </w:tr>
      <w:tr w:rsidR="00FF5302" w14:paraId="791E541E" w14:textId="77777777" w:rsidTr="00382D63">
        <w:tc>
          <w:tcPr>
            <w:tcW w:w="1885" w:type="dxa"/>
          </w:tcPr>
          <w:p w14:paraId="5B2BFCCB"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RCPath</w:t>
            </w:r>
          </w:p>
        </w:tc>
        <w:tc>
          <w:tcPr>
            <w:tcW w:w="6750" w:type="dxa"/>
          </w:tcPr>
          <w:p w14:paraId="418DD482"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Royal College of Pathologists</w:t>
            </w:r>
          </w:p>
        </w:tc>
      </w:tr>
      <w:tr w:rsidR="00F60210" w14:paraId="33A8E9A7" w14:textId="77777777" w:rsidTr="00382D63">
        <w:tc>
          <w:tcPr>
            <w:tcW w:w="1885" w:type="dxa"/>
          </w:tcPr>
          <w:p w14:paraId="5EC8AF36" w14:textId="35EB1F57" w:rsidR="00F60210" w:rsidRPr="00C44793" w:rsidRDefault="00F60210" w:rsidP="00FF5302">
            <w:pPr>
              <w:rPr>
                <w:rFonts w:ascii="Times New Roman" w:hAnsi="Times New Roman" w:cs="Times New Roman"/>
                <w:b/>
                <w:sz w:val="24"/>
                <w:szCs w:val="24"/>
              </w:rPr>
            </w:pPr>
            <w:r>
              <w:rPr>
                <w:rFonts w:ascii="Times New Roman" w:hAnsi="Times New Roman" w:cs="Times New Roman"/>
                <w:b/>
                <w:sz w:val="24"/>
                <w:szCs w:val="24"/>
              </w:rPr>
              <w:t>Research team</w:t>
            </w:r>
          </w:p>
        </w:tc>
        <w:tc>
          <w:tcPr>
            <w:tcW w:w="6750" w:type="dxa"/>
          </w:tcPr>
          <w:p w14:paraId="53F68714" w14:textId="62745F66" w:rsidR="00F60210" w:rsidRPr="00AE147E" w:rsidRDefault="00F60210" w:rsidP="00FF5302">
            <w:pPr>
              <w:rPr>
                <w:rFonts w:ascii="Times New Roman" w:hAnsi="Times New Roman" w:cs="Times New Roman"/>
                <w:sz w:val="24"/>
                <w:szCs w:val="24"/>
              </w:rPr>
            </w:pPr>
            <w:r>
              <w:rPr>
                <w:rFonts w:ascii="Times New Roman" w:hAnsi="Times New Roman" w:cs="Times New Roman"/>
                <w:sz w:val="24"/>
                <w:szCs w:val="24"/>
              </w:rPr>
              <w:t>Daniel Brierley, Paula Farthing and Sandra Ziljlstra-Shaw</w:t>
            </w:r>
          </w:p>
        </w:tc>
      </w:tr>
      <w:tr w:rsidR="00FF5302" w14:paraId="44B0938D" w14:textId="77777777" w:rsidTr="00382D63">
        <w:tc>
          <w:tcPr>
            <w:tcW w:w="1885" w:type="dxa"/>
          </w:tcPr>
          <w:p w14:paraId="1B8DFB63"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ROC</w:t>
            </w:r>
          </w:p>
        </w:tc>
        <w:tc>
          <w:tcPr>
            <w:tcW w:w="6750" w:type="dxa"/>
          </w:tcPr>
          <w:p w14:paraId="30F1BB70"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Receiver-Operating Curve</w:t>
            </w:r>
          </w:p>
        </w:tc>
      </w:tr>
      <w:tr w:rsidR="00FF5302" w14:paraId="3EA300B6" w14:textId="77777777" w:rsidTr="00382D63">
        <w:tc>
          <w:tcPr>
            <w:tcW w:w="1885" w:type="dxa"/>
          </w:tcPr>
          <w:p w14:paraId="45195639"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SD</w:t>
            </w:r>
          </w:p>
        </w:tc>
        <w:tc>
          <w:tcPr>
            <w:tcW w:w="6750" w:type="dxa"/>
          </w:tcPr>
          <w:p w14:paraId="780DA5EA"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Standard Deviation</w:t>
            </w:r>
          </w:p>
        </w:tc>
      </w:tr>
      <w:tr w:rsidR="00FF5302" w14:paraId="6FE89C7D" w14:textId="77777777" w:rsidTr="00382D63">
        <w:tc>
          <w:tcPr>
            <w:tcW w:w="1885" w:type="dxa"/>
          </w:tcPr>
          <w:p w14:paraId="0E5F25F4"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SHO</w:t>
            </w:r>
          </w:p>
        </w:tc>
        <w:tc>
          <w:tcPr>
            <w:tcW w:w="6750" w:type="dxa"/>
          </w:tcPr>
          <w:p w14:paraId="733FC154"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Senior House Officer</w:t>
            </w:r>
          </w:p>
        </w:tc>
      </w:tr>
      <w:tr w:rsidR="00FF5302" w14:paraId="02A8A91A" w14:textId="77777777" w:rsidTr="00382D63">
        <w:tc>
          <w:tcPr>
            <w:tcW w:w="1885" w:type="dxa"/>
          </w:tcPr>
          <w:p w14:paraId="49C853AE"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SJT</w:t>
            </w:r>
          </w:p>
        </w:tc>
        <w:tc>
          <w:tcPr>
            <w:tcW w:w="6750" w:type="dxa"/>
          </w:tcPr>
          <w:p w14:paraId="253F262F"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Social Judgement Theory</w:t>
            </w:r>
          </w:p>
        </w:tc>
      </w:tr>
      <w:tr w:rsidR="00FF5302" w14:paraId="6E10969C" w14:textId="77777777" w:rsidTr="00382D63">
        <w:tc>
          <w:tcPr>
            <w:tcW w:w="1885" w:type="dxa"/>
          </w:tcPr>
          <w:p w14:paraId="1B6BFDA0"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SLE</w:t>
            </w:r>
          </w:p>
        </w:tc>
        <w:tc>
          <w:tcPr>
            <w:tcW w:w="6750" w:type="dxa"/>
          </w:tcPr>
          <w:p w14:paraId="18ED98EE"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Supervised Learning Event</w:t>
            </w:r>
          </w:p>
        </w:tc>
      </w:tr>
      <w:tr w:rsidR="00FF5302" w14:paraId="64255AFB" w14:textId="77777777" w:rsidTr="00382D63">
        <w:tc>
          <w:tcPr>
            <w:tcW w:w="1885" w:type="dxa"/>
          </w:tcPr>
          <w:p w14:paraId="0D6EC8B3"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SLT</w:t>
            </w:r>
          </w:p>
        </w:tc>
        <w:tc>
          <w:tcPr>
            <w:tcW w:w="6750" w:type="dxa"/>
          </w:tcPr>
          <w:p w14:paraId="6E162F66"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Situated Learning Theory</w:t>
            </w:r>
          </w:p>
        </w:tc>
      </w:tr>
      <w:tr w:rsidR="00FF5302" w14:paraId="41DD1939" w14:textId="77777777" w:rsidTr="00382D63">
        <w:tc>
          <w:tcPr>
            <w:tcW w:w="1885" w:type="dxa"/>
          </w:tcPr>
          <w:p w14:paraId="08204400"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TPD</w:t>
            </w:r>
          </w:p>
        </w:tc>
        <w:tc>
          <w:tcPr>
            <w:tcW w:w="6750" w:type="dxa"/>
          </w:tcPr>
          <w:p w14:paraId="58DD6E4B"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Training Programme Director</w:t>
            </w:r>
          </w:p>
        </w:tc>
      </w:tr>
      <w:tr w:rsidR="00FF5302" w14:paraId="39246DE1" w14:textId="77777777" w:rsidTr="00382D63">
        <w:tc>
          <w:tcPr>
            <w:tcW w:w="1885" w:type="dxa"/>
          </w:tcPr>
          <w:p w14:paraId="5A1D81B6"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UCLA</w:t>
            </w:r>
          </w:p>
        </w:tc>
        <w:tc>
          <w:tcPr>
            <w:tcW w:w="6750" w:type="dxa"/>
          </w:tcPr>
          <w:p w14:paraId="3906136F"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University of California Los Angeles</w:t>
            </w:r>
          </w:p>
        </w:tc>
      </w:tr>
      <w:tr w:rsidR="00FF5302" w14:paraId="6C9AC86A" w14:textId="77777777" w:rsidTr="00382D63">
        <w:tc>
          <w:tcPr>
            <w:tcW w:w="1885" w:type="dxa"/>
          </w:tcPr>
          <w:p w14:paraId="45982170"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UK</w:t>
            </w:r>
          </w:p>
        </w:tc>
        <w:tc>
          <w:tcPr>
            <w:tcW w:w="6750" w:type="dxa"/>
          </w:tcPr>
          <w:p w14:paraId="78479136"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United Kingdom</w:t>
            </w:r>
          </w:p>
        </w:tc>
      </w:tr>
      <w:tr w:rsidR="00FF5302" w14:paraId="7CA57731" w14:textId="77777777" w:rsidTr="00382D63">
        <w:tc>
          <w:tcPr>
            <w:tcW w:w="1885" w:type="dxa"/>
          </w:tcPr>
          <w:p w14:paraId="090777D5" w14:textId="77777777" w:rsidR="00FF5302" w:rsidRPr="00C44793" w:rsidRDefault="00FF5302" w:rsidP="00FF5302">
            <w:pPr>
              <w:rPr>
                <w:rFonts w:ascii="Times New Roman" w:hAnsi="Times New Roman" w:cs="Times New Roman"/>
                <w:b/>
                <w:sz w:val="24"/>
                <w:szCs w:val="24"/>
              </w:rPr>
            </w:pPr>
            <w:r w:rsidRPr="00C44793">
              <w:rPr>
                <w:rFonts w:ascii="Times New Roman" w:hAnsi="Times New Roman" w:cs="Times New Roman"/>
                <w:b/>
                <w:sz w:val="24"/>
                <w:szCs w:val="24"/>
              </w:rPr>
              <w:t>WBA</w:t>
            </w:r>
          </w:p>
        </w:tc>
        <w:tc>
          <w:tcPr>
            <w:tcW w:w="6750" w:type="dxa"/>
          </w:tcPr>
          <w:p w14:paraId="7E8CDA73" w14:textId="77777777" w:rsidR="00FF5302" w:rsidRPr="00AE147E" w:rsidRDefault="00FF5302" w:rsidP="00FF5302">
            <w:pPr>
              <w:rPr>
                <w:rFonts w:ascii="Times New Roman" w:hAnsi="Times New Roman" w:cs="Times New Roman"/>
                <w:sz w:val="24"/>
                <w:szCs w:val="24"/>
              </w:rPr>
            </w:pPr>
            <w:r w:rsidRPr="00AE147E">
              <w:rPr>
                <w:rFonts w:ascii="Times New Roman" w:hAnsi="Times New Roman" w:cs="Times New Roman"/>
                <w:sz w:val="24"/>
                <w:szCs w:val="24"/>
              </w:rPr>
              <w:t>Workplace-based Assessment</w:t>
            </w:r>
          </w:p>
        </w:tc>
      </w:tr>
    </w:tbl>
    <w:p w14:paraId="441CFB61" w14:textId="3EEB6887" w:rsidR="001D7146" w:rsidRPr="00382D63" w:rsidRDefault="006E282B" w:rsidP="00382D63">
      <w:pPr>
        <w:spacing w:line="480" w:lineRule="auto"/>
        <w:jc w:val="center"/>
        <w:rPr>
          <w:rFonts w:ascii="Times New Roman" w:hAnsi="Times New Roman" w:cs="Times New Roman"/>
          <w:b/>
          <w:sz w:val="44"/>
          <w:szCs w:val="44"/>
          <w:u w:val="single"/>
        </w:rPr>
      </w:pPr>
      <w:r>
        <w:rPr>
          <w:rFonts w:ascii="Times New Roman" w:hAnsi="Times New Roman" w:cs="Times New Roman"/>
          <w:b/>
          <w:sz w:val="44"/>
          <w:szCs w:val="44"/>
          <w:u w:val="single"/>
        </w:rPr>
        <w:t>List of A</w:t>
      </w:r>
      <w:r w:rsidR="00C44793" w:rsidRPr="00FF5302">
        <w:rPr>
          <w:rFonts w:ascii="Times New Roman" w:hAnsi="Times New Roman" w:cs="Times New Roman"/>
          <w:b/>
          <w:sz w:val="44"/>
          <w:szCs w:val="44"/>
          <w:u w:val="single"/>
        </w:rPr>
        <w:t>bbreviations</w:t>
      </w:r>
    </w:p>
    <w:p w14:paraId="6F003E00" w14:textId="38151C75" w:rsidR="002349DF" w:rsidRPr="00FF5302" w:rsidRDefault="006E282B" w:rsidP="001D7146">
      <w:pPr>
        <w:spacing w:line="240" w:lineRule="auto"/>
        <w:jc w:val="center"/>
        <w:rPr>
          <w:rFonts w:ascii="Times New Roman" w:hAnsi="Times New Roman" w:cs="Times New Roman"/>
          <w:b/>
          <w:sz w:val="44"/>
          <w:szCs w:val="44"/>
          <w:u w:val="single"/>
        </w:rPr>
      </w:pPr>
      <w:r>
        <w:rPr>
          <w:rFonts w:ascii="Times New Roman" w:hAnsi="Times New Roman" w:cs="Times New Roman"/>
          <w:b/>
          <w:sz w:val="44"/>
          <w:szCs w:val="44"/>
          <w:u w:val="single"/>
        </w:rPr>
        <w:lastRenderedPageBreak/>
        <w:t>List of T</w:t>
      </w:r>
      <w:r w:rsidR="002349DF" w:rsidRPr="00FF5302">
        <w:rPr>
          <w:rFonts w:ascii="Times New Roman" w:hAnsi="Times New Roman" w:cs="Times New Roman"/>
          <w:b/>
          <w:sz w:val="44"/>
          <w:szCs w:val="44"/>
          <w:u w:val="single"/>
        </w:rPr>
        <w:t>ables</w:t>
      </w:r>
    </w:p>
    <w:p w14:paraId="2FDA5DA0" w14:textId="77777777" w:rsidR="003762ED" w:rsidRPr="00966082" w:rsidRDefault="003762ED" w:rsidP="002349DF">
      <w:pPr>
        <w:spacing w:line="240" w:lineRule="auto"/>
        <w:jc w:val="center"/>
        <w:rPr>
          <w:rFonts w:ascii="Times New Roman" w:hAnsi="Times New Roman" w:cs="Times New Roman"/>
          <w:b/>
          <w:sz w:val="24"/>
          <w:szCs w:val="24"/>
          <w:u w:val="single"/>
        </w:rPr>
      </w:pPr>
    </w:p>
    <w:p w14:paraId="77578573" w14:textId="09135187" w:rsidR="002349DF"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1.1. The different types of WBA used in histopathology training</w:t>
      </w:r>
    </w:p>
    <w:p w14:paraId="452B6BC7" w14:textId="68DF19BD" w:rsidR="00DC4289" w:rsidRPr="00966AAA" w:rsidRDefault="00DC4289" w:rsidP="002349DF">
      <w:pPr>
        <w:spacing w:line="240" w:lineRule="auto"/>
        <w:rPr>
          <w:rFonts w:ascii="Times New Roman" w:hAnsi="Times New Roman" w:cs="Times New Roman"/>
          <w:sz w:val="24"/>
          <w:szCs w:val="24"/>
        </w:rPr>
      </w:pPr>
      <w:r>
        <w:rPr>
          <w:rFonts w:ascii="Times New Roman" w:hAnsi="Times New Roman" w:cs="Times New Roman"/>
          <w:sz w:val="24"/>
          <w:szCs w:val="24"/>
        </w:rPr>
        <w:t>Table 3.1 Questionnaire</w:t>
      </w:r>
    </w:p>
    <w:p w14:paraId="73A78BEE" w14:textId="14E057A3" w:rsidR="002349DF" w:rsidRPr="00966AAA" w:rsidRDefault="00DC4289" w:rsidP="002349DF">
      <w:pPr>
        <w:spacing w:line="240" w:lineRule="auto"/>
        <w:rPr>
          <w:rFonts w:ascii="Times New Roman" w:hAnsi="Times New Roman" w:cs="Times New Roman"/>
          <w:sz w:val="24"/>
          <w:szCs w:val="24"/>
        </w:rPr>
      </w:pPr>
      <w:r>
        <w:rPr>
          <w:rFonts w:ascii="Times New Roman" w:hAnsi="Times New Roman" w:cs="Times New Roman"/>
          <w:sz w:val="24"/>
          <w:szCs w:val="24"/>
        </w:rPr>
        <w:t>Table 3.2</w:t>
      </w:r>
      <w:r w:rsidR="002349DF" w:rsidRPr="00966AAA">
        <w:rPr>
          <w:rFonts w:ascii="Times New Roman" w:hAnsi="Times New Roman" w:cs="Times New Roman"/>
          <w:sz w:val="24"/>
          <w:szCs w:val="24"/>
        </w:rPr>
        <w:t xml:space="preserve">.  Summary of responses to questionnaire (excluding question 7) </w:t>
      </w:r>
    </w:p>
    <w:p w14:paraId="7DB00CBD" w14:textId="5345CA6E" w:rsidR="002349DF" w:rsidRPr="00966AAA" w:rsidRDefault="00DC4289" w:rsidP="002349DF">
      <w:pPr>
        <w:spacing w:line="240" w:lineRule="auto"/>
        <w:rPr>
          <w:rFonts w:ascii="Times New Roman" w:hAnsi="Times New Roman" w:cs="Times New Roman"/>
          <w:sz w:val="24"/>
          <w:szCs w:val="24"/>
        </w:rPr>
      </w:pPr>
      <w:r>
        <w:rPr>
          <w:rFonts w:ascii="Times New Roman" w:hAnsi="Times New Roman" w:cs="Times New Roman"/>
          <w:sz w:val="24"/>
          <w:szCs w:val="24"/>
        </w:rPr>
        <w:t>Table 3.3</w:t>
      </w:r>
      <w:r w:rsidR="002349DF" w:rsidRPr="00966AAA">
        <w:rPr>
          <w:rFonts w:ascii="Times New Roman" w:hAnsi="Times New Roman" w:cs="Times New Roman"/>
          <w:sz w:val="24"/>
          <w:szCs w:val="24"/>
        </w:rPr>
        <w:t>. Summary of responses to question 7</w:t>
      </w:r>
    </w:p>
    <w:p w14:paraId="65E5A26C"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4.1. Summary of participants who took part in the study</w:t>
      </w:r>
    </w:p>
    <w:p w14:paraId="3594FB80"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5.1. List of 27 items under their associated headings and alongside rating scale</w:t>
      </w:r>
    </w:p>
    <w:p w14:paraId="2F81376A"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5.2. Summary of Delphi panel participants</w:t>
      </w:r>
    </w:p>
    <w:p w14:paraId="0B37B627"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5.3. Summary of results from round 1 of Delphi</w:t>
      </w:r>
    </w:p>
    <w:p w14:paraId="7353A512"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5.4. Summary of which items reached “consensus in” (green) or no consensus (red) after round 1</w:t>
      </w:r>
    </w:p>
    <w:p w14:paraId="6AF09880"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5.5. Summary of which items did not reach consensus after round 1</w:t>
      </w:r>
    </w:p>
    <w:p w14:paraId="2B17552C"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5.6. Summary of results from round 2 of Delphi</w:t>
      </w:r>
    </w:p>
    <w:p w14:paraId="392B3766"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 xml:space="preserve">Table 5.7. Summary of which items did reach “consensus in” (green) or “no consensus” (red) after round 2. </w:t>
      </w:r>
    </w:p>
    <w:p w14:paraId="49F929A8" w14:textId="77777777" w:rsidR="002349DF" w:rsidRPr="00966AAA" w:rsidRDefault="002349DF" w:rsidP="002349DF">
      <w:pPr>
        <w:spacing w:line="240" w:lineRule="auto"/>
        <w:jc w:val="both"/>
        <w:rPr>
          <w:rFonts w:ascii="Times New Roman" w:hAnsi="Times New Roman" w:cs="Times New Roman"/>
          <w:sz w:val="24"/>
          <w:szCs w:val="24"/>
        </w:rPr>
      </w:pPr>
      <w:r w:rsidRPr="00966AAA">
        <w:rPr>
          <w:rFonts w:ascii="Times New Roman" w:hAnsi="Times New Roman" w:cs="Times New Roman"/>
          <w:sz w:val="24"/>
          <w:szCs w:val="24"/>
        </w:rPr>
        <w:t>Table 5.8. Summary of which items did not reach consensus after round 2</w:t>
      </w:r>
    </w:p>
    <w:p w14:paraId="76BFF78E"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 xml:space="preserve">Table 5.9. Wilcoxon matched pairs signed rank test comparing median scores for each item between round 1 and round 2.  </w:t>
      </w:r>
    </w:p>
    <w:p w14:paraId="3D890782" w14:textId="77777777" w:rsidR="002349DF" w:rsidRPr="00966AAA" w:rsidRDefault="002349DF" w:rsidP="002349DF">
      <w:pPr>
        <w:spacing w:line="240" w:lineRule="auto"/>
        <w:rPr>
          <w:rFonts w:ascii="Times New Roman" w:hAnsi="Times New Roman" w:cs="Times New Roman"/>
          <w:sz w:val="24"/>
          <w:szCs w:val="24"/>
        </w:rPr>
      </w:pPr>
      <w:r w:rsidRPr="00966AAA">
        <w:rPr>
          <w:rFonts w:ascii="Times New Roman" w:hAnsi="Times New Roman" w:cs="Times New Roman"/>
          <w:sz w:val="24"/>
          <w:szCs w:val="24"/>
        </w:rPr>
        <w:t>Table 5.10. Comparison of round 1 and round 2 results</w:t>
      </w:r>
    </w:p>
    <w:p w14:paraId="7786AE53" w14:textId="5E7DF96C" w:rsidR="002349DF" w:rsidRPr="00966AAA" w:rsidRDefault="000269F5" w:rsidP="002349DF">
      <w:pPr>
        <w:spacing w:line="240" w:lineRule="auto"/>
        <w:rPr>
          <w:rFonts w:ascii="Times New Roman" w:hAnsi="Times New Roman" w:cs="Times New Roman"/>
          <w:sz w:val="24"/>
          <w:szCs w:val="24"/>
        </w:rPr>
      </w:pPr>
      <w:r>
        <w:rPr>
          <w:rFonts w:ascii="Times New Roman" w:hAnsi="Times New Roman" w:cs="Times New Roman"/>
          <w:sz w:val="24"/>
          <w:szCs w:val="24"/>
        </w:rPr>
        <w:t>Table 5.11</w:t>
      </w:r>
      <w:r w:rsidR="002349DF" w:rsidRPr="00966AAA">
        <w:rPr>
          <w:rFonts w:ascii="Times New Roman" w:hAnsi="Times New Roman" w:cs="Times New Roman"/>
          <w:sz w:val="24"/>
          <w:szCs w:val="24"/>
        </w:rPr>
        <w:t>. List of items which moved from “no consensus” to “consensus in” after round 2</w:t>
      </w:r>
    </w:p>
    <w:p w14:paraId="04DAAA1B" w14:textId="169451B9" w:rsidR="002349DF" w:rsidRPr="00966AAA" w:rsidRDefault="000269F5" w:rsidP="002349DF">
      <w:pPr>
        <w:spacing w:line="240" w:lineRule="auto"/>
        <w:rPr>
          <w:rFonts w:ascii="Times New Roman" w:hAnsi="Times New Roman" w:cs="Times New Roman"/>
          <w:sz w:val="24"/>
          <w:szCs w:val="24"/>
        </w:rPr>
      </w:pPr>
      <w:r>
        <w:rPr>
          <w:rFonts w:ascii="Times New Roman" w:hAnsi="Times New Roman" w:cs="Times New Roman"/>
          <w:sz w:val="24"/>
          <w:szCs w:val="24"/>
        </w:rPr>
        <w:t>Table 5.12</w:t>
      </w:r>
      <w:r w:rsidR="002349DF" w:rsidRPr="00966AAA">
        <w:rPr>
          <w:rFonts w:ascii="Times New Roman" w:hAnsi="Times New Roman" w:cs="Times New Roman"/>
          <w:sz w:val="24"/>
          <w:szCs w:val="24"/>
        </w:rPr>
        <w:t>. Items which had the highest mean score or were ranked as being most important in round 1</w:t>
      </w:r>
    </w:p>
    <w:p w14:paraId="53BC7C57" w14:textId="05E728CC" w:rsidR="002349DF" w:rsidRPr="00966AAA" w:rsidRDefault="000269F5" w:rsidP="002349DF">
      <w:pPr>
        <w:spacing w:line="240" w:lineRule="auto"/>
        <w:rPr>
          <w:rFonts w:ascii="Times New Roman" w:hAnsi="Times New Roman" w:cs="Times New Roman"/>
          <w:sz w:val="24"/>
          <w:szCs w:val="24"/>
        </w:rPr>
      </w:pPr>
      <w:r>
        <w:rPr>
          <w:rFonts w:ascii="Times New Roman" w:hAnsi="Times New Roman" w:cs="Times New Roman"/>
          <w:sz w:val="24"/>
          <w:szCs w:val="24"/>
        </w:rPr>
        <w:t>Table 5.13</w:t>
      </w:r>
      <w:r w:rsidR="002349DF" w:rsidRPr="00966AAA">
        <w:rPr>
          <w:rFonts w:ascii="Times New Roman" w:hAnsi="Times New Roman" w:cs="Times New Roman"/>
          <w:sz w:val="24"/>
          <w:szCs w:val="24"/>
        </w:rPr>
        <w:t>. Items which had the lowest mean score or were ranked as being least important in round 1</w:t>
      </w:r>
    </w:p>
    <w:p w14:paraId="00FAE7BB" w14:textId="33F37212" w:rsidR="002349DF" w:rsidRPr="00966AAA" w:rsidRDefault="000269F5" w:rsidP="002349DF">
      <w:pPr>
        <w:spacing w:line="240" w:lineRule="auto"/>
        <w:rPr>
          <w:rFonts w:ascii="Times New Roman" w:hAnsi="Times New Roman" w:cs="Times New Roman"/>
          <w:sz w:val="24"/>
          <w:szCs w:val="24"/>
        </w:rPr>
      </w:pPr>
      <w:r>
        <w:rPr>
          <w:rFonts w:ascii="Times New Roman" w:hAnsi="Times New Roman" w:cs="Times New Roman"/>
          <w:sz w:val="24"/>
          <w:szCs w:val="24"/>
        </w:rPr>
        <w:t>Table 5.14</w:t>
      </w:r>
      <w:r w:rsidR="002349DF" w:rsidRPr="00966AAA">
        <w:rPr>
          <w:rFonts w:ascii="Times New Roman" w:hAnsi="Times New Roman" w:cs="Times New Roman"/>
          <w:sz w:val="24"/>
          <w:szCs w:val="24"/>
        </w:rPr>
        <w:t>. Items which had the highest mean score or were ranked as being most important in round 2</w:t>
      </w:r>
    </w:p>
    <w:p w14:paraId="3498A768" w14:textId="5AEA2614" w:rsidR="002349DF" w:rsidRPr="00966AAA" w:rsidRDefault="000269F5" w:rsidP="002349DF">
      <w:pPr>
        <w:spacing w:line="240" w:lineRule="auto"/>
        <w:rPr>
          <w:rFonts w:ascii="Times New Roman" w:hAnsi="Times New Roman" w:cs="Times New Roman"/>
          <w:sz w:val="24"/>
          <w:szCs w:val="24"/>
        </w:rPr>
      </w:pPr>
      <w:r>
        <w:rPr>
          <w:rFonts w:ascii="Times New Roman" w:hAnsi="Times New Roman" w:cs="Times New Roman"/>
          <w:sz w:val="24"/>
          <w:szCs w:val="24"/>
        </w:rPr>
        <w:t>Table 5.15</w:t>
      </w:r>
      <w:r w:rsidR="002349DF" w:rsidRPr="00966AAA">
        <w:rPr>
          <w:rFonts w:ascii="Times New Roman" w:hAnsi="Times New Roman" w:cs="Times New Roman"/>
          <w:sz w:val="24"/>
          <w:szCs w:val="24"/>
        </w:rPr>
        <w:t>. Items which had the lowest mean score or were ranked as being least important in round 2</w:t>
      </w:r>
    </w:p>
    <w:p w14:paraId="5F5B1CA5" w14:textId="14111C03" w:rsidR="002349DF" w:rsidRPr="00966AAA" w:rsidRDefault="000269F5" w:rsidP="002349DF">
      <w:pPr>
        <w:spacing w:line="240" w:lineRule="auto"/>
        <w:rPr>
          <w:rFonts w:ascii="Times New Roman" w:hAnsi="Times New Roman" w:cs="Times New Roman"/>
          <w:sz w:val="24"/>
          <w:szCs w:val="24"/>
        </w:rPr>
      </w:pPr>
      <w:r>
        <w:rPr>
          <w:rFonts w:ascii="Times New Roman" w:hAnsi="Times New Roman" w:cs="Times New Roman"/>
          <w:sz w:val="24"/>
          <w:szCs w:val="24"/>
        </w:rPr>
        <w:t>Table 5.16</w:t>
      </w:r>
      <w:r w:rsidR="002349DF" w:rsidRPr="00966AAA">
        <w:rPr>
          <w:rFonts w:ascii="Times New Roman" w:hAnsi="Times New Roman" w:cs="Times New Roman"/>
          <w:sz w:val="24"/>
          <w:szCs w:val="24"/>
        </w:rPr>
        <w:t>. Comparison of highest ranked items in rounds 1 and 2</w:t>
      </w:r>
    </w:p>
    <w:p w14:paraId="4566BF71" w14:textId="36C8C858" w:rsidR="002349DF" w:rsidRPr="00966AAA" w:rsidRDefault="000269F5" w:rsidP="002349DF">
      <w:pPr>
        <w:spacing w:line="240" w:lineRule="auto"/>
        <w:rPr>
          <w:rFonts w:ascii="Times New Roman" w:hAnsi="Times New Roman" w:cs="Times New Roman"/>
        </w:rPr>
      </w:pPr>
      <w:r>
        <w:rPr>
          <w:rFonts w:ascii="Times New Roman" w:hAnsi="Times New Roman" w:cs="Times New Roman"/>
          <w:sz w:val="24"/>
          <w:szCs w:val="24"/>
        </w:rPr>
        <w:t>Table 5.17</w:t>
      </w:r>
      <w:r w:rsidR="002349DF" w:rsidRPr="00966AAA">
        <w:rPr>
          <w:rFonts w:ascii="Times New Roman" w:hAnsi="Times New Roman" w:cs="Times New Roman"/>
          <w:sz w:val="24"/>
          <w:szCs w:val="24"/>
        </w:rPr>
        <w:t>. Comparison of lowest ranked items in rounds 1 and 2</w:t>
      </w:r>
    </w:p>
    <w:p w14:paraId="11CB3DF3" w14:textId="5A2DB3F7" w:rsidR="002349DF" w:rsidRPr="00966AAA" w:rsidRDefault="000269F5" w:rsidP="002349DF">
      <w:pPr>
        <w:spacing w:line="240" w:lineRule="auto"/>
        <w:rPr>
          <w:rFonts w:ascii="Times New Roman" w:hAnsi="Times New Roman" w:cs="Times New Roman"/>
          <w:sz w:val="24"/>
          <w:szCs w:val="24"/>
        </w:rPr>
      </w:pPr>
      <w:r>
        <w:rPr>
          <w:rFonts w:ascii="Times New Roman" w:hAnsi="Times New Roman" w:cs="Times New Roman"/>
          <w:sz w:val="24"/>
          <w:szCs w:val="24"/>
          <w:lang w:val="en-GB"/>
        </w:rPr>
        <w:t>Table 5.18</w:t>
      </w:r>
      <w:r w:rsidR="002349DF" w:rsidRPr="00966AAA">
        <w:rPr>
          <w:rFonts w:ascii="Times New Roman" w:hAnsi="Times New Roman" w:cs="Times New Roman"/>
          <w:sz w:val="24"/>
          <w:szCs w:val="24"/>
          <w:lang w:val="en-GB"/>
        </w:rPr>
        <w:t xml:space="preserve">. </w:t>
      </w:r>
      <w:r w:rsidR="002349DF" w:rsidRPr="00966AAA">
        <w:rPr>
          <w:rFonts w:ascii="Times New Roman" w:hAnsi="Times New Roman" w:cs="Times New Roman"/>
          <w:sz w:val="24"/>
          <w:szCs w:val="24"/>
        </w:rPr>
        <w:t>Comparison of highest rated items by mean score in rounds 1 and 2</w:t>
      </w:r>
    </w:p>
    <w:p w14:paraId="3E18B0A7" w14:textId="7C017F2A" w:rsidR="001D7146" w:rsidRDefault="000269F5" w:rsidP="001D7146">
      <w:pPr>
        <w:spacing w:line="240" w:lineRule="auto"/>
        <w:rPr>
          <w:rFonts w:ascii="Times New Roman" w:hAnsi="Times New Roman" w:cs="Times New Roman"/>
          <w:sz w:val="24"/>
          <w:szCs w:val="24"/>
        </w:rPr>
      </w:pPr>
      <w:r>
        <w:rPr>
          <w:rFonts w:ascii="Times New Roman" w:hAnsi="Times New Roman" w:cs="Times New Roman"/>
          <w:sz w:val="24"/>
          <w:szCs w:val="24"/>
          <w:lang w:val="en-GB"/>
        </w:rPr>
        <w:t>Table 5.19</w:t>
      </w:r>
      <w:r w:rsidR="002349DF" w:rsidRPr="00966AAA">
        <w:rPr>
          <w:rFonts w:ascii="Times New Roman" w:hAnsi="Times New Roman" w:cs="Times New Roman"/>
          <w:sz w:val="24"/>
          <w:szCs w:val="24"/>
          <w:lang w:val="en-GB"/>
        </w:rPr>
        <w:t xml:space="preserve">. </w:t>
      </w:r>
      <w:r w:rsidR="002349DF" w:rsidRPr="00966AAA">
        <w:rPr>
          <w:rFonts w:ascii="Times New Roman" w:hAnsi="Times New Roman" w:cs="Times New Roman"/>
          <w:sz w:val="24"/>
          <w:szCs w:val="24"/>
        </w:rPr>
        <w:t>Comparison of lowest rated items by mean score in rounds 1 and 2</w:t>
      </w:r>
    </w:p>
    <w:p w14:paraId="67E50A0F" w14:textId="53B13564" w:rsidR="003762ED" w:rsidRPr="00FF5302" w:rsidRDefault="00B40127" w:rsidP="00FF5302">
      <w:pPr>
        <w:spacing w:line="240" w:lineRule="auto"/>
        <w:jc w:val="center"/>
        <w:rPr>
          <w:rFonts w:ascii="Times New Roman" w:hAnsi="Times New Roman" w:cs="Times New Roman"/>
          <w:sz w:val="44"/>
          <w:szCs w:val="44"/>
        </w:rPr>
      </w:pPr>
      <w:r w:rsidRPr="00FF5302">
        <w:rPr>
          <w:rFonts w:ascii="Times New Roman" w:hAnsi="Times New Roman" w:cs="Times New Roman"/>
          <w:b/>
          <w:sz w:val="44"/>
          <w:szCs w:val="44"/>
          <w:u w:val="single"/>
        </w:rPr>
        <w:lastRenderedPageBreak/>
        <w:t>List of Figures</w:t>
      </w:r>
    </w:p>
    <w:p w14:paraId="55DFEF8D" w14:textId="77777777" w:rsidR="00B40127" w:rsidRPr="005B5B23" w:rsidRDefault="00B40127" w:rsidP="001D7146">
      <w:pPr>
        <w:spacing w:line="240" w:lineRule="auto"/>
        <w:rPr>
          <w:rFonts w:ascii="Times New Roman" w:hAnsi="Times New Roman" w:cs="Times New Roman"/>
          <w:sz w:val="24"/>
          <w:szCs w:val="24"/>
        </w:rPr>
      </w:pPr>
      <w:r w:rsidRPr="005B5B23">
        <w:rPr>
          <w:rFonts w:ascii="Times New Roman" w:hAnsi="Times New Roman" w:cs="Times New Roman"/>
          <w:sz w:val="24"/>
          <w:szCs w:val="24"/>
        </w:rPr>
        <w:t>Figure 1.1. Miller’s pyramid</w:t>
      </w:r>
    </w:p>
    <w:p w14:paraId="0AF5D8B4" w14:textId="77777777" w:rsidR="00B40127" w:rsidRPr="005B5B23" w:rsidRDefault="00B40127" w:rsidP="001D7146">
      <w:pPr>
        <w:spacing w:after="0" w:line="240" w:lineRule="auto"/>
        <w:rPr>
          <w:rFonts w:ascii="Times New Roman" w:hAnsi="Times New Roman" w:cs="Times New Roman"/>
          <w:sz w:val="24"/>
          <w:szCs w:val="24"/>
        </w:rPr>
      </w:pPr>
      <w:r w:rsidRPr="005B5B23">
        <w:rPr>
          <w:rFonts w:ascii="Times New Roman" w:hAnsi="Times New Roman" w:cs="Times New Roman"/>
          <w:sz w:val="24"/>
          <w:szCs w:val="24"/>
        </w:rPr>
        <w:t>Figure 2.1. Brunswik’s lens model</w:t>
      </w:r>
    </w:p>
    <w:p w14:paraId="14873B1F" w14:textId="77777777" w:rsidR="00B40127" w:rsidRPr="005B5B23" w:rsidRDefault="00B40127" w:rsidP="001D7146">
      <w:pPr>
        <w:spacing w:after="0" w:line="240" w:lineRule="auto"/>
        <w:rPr>
          <w:rFonts w:ascii="Times New Roman" w:hAnsi="Times New Roman" w:cs="Times New Roman"/>
          <w:sz w:val="24"/>
          <w:szCs w:val="24"/>
        </w:rPr>
      </w:pPr>
    </w:p>
    <w:p w14:paraId="22F3E3EA" w14:textId="33A5FAA3" w:rsidR="00B40127" w:rsidRPr="005B5B23" w:rsidRDefault="00B40127" w:rsidP="001D7146">
      <w:pPr>
        <w:autoSpaceDE w:val="0"/>
        <w:autoSpaceDN w:val="0"/>
        <w:adjustRightInd w:val="0"/>
        <w:spacing w:after="0" w:line="240" w:lineRule="auto"/>
        <w:rPr>
          <w:rFonts w:ascii="Times New Roman" w:hAnsi="Times New Roman" w:cs="Times New Roman"/>
          <w:sz w:val="24"/>
          <w:szCs w:val="24"/>
        </w:rPr>
      </w:pPr>
      <w:r w:rsidRPr="005B5B23">
        <w:rPr>
          <w:rFonts w:ascii="Times New Roman" w:hAnsi="Times New Roman" w:cs="Times New Roman"/>
          <w:sz w:val="24"/>
          <w:szCs w:val="24"/>
        </w:rPr>
        <w:t xml:space="preserve">Figure 3.1. </w:t>
      </w:r>
      <w:r w:rsidR="00DC4289" w:rsidRPr="00DC4289">
        <w:rPr>
          <w:rFonts w:ascii="Times New Roman" w:eastAsia="Times New Roman" w:hAnsi="Times New Roman" w:cs="Times New Roman"/>
          <w:iCs/>
          <w:sz w:val="24"/>
          <w:szCs w:val="24"/>
          <w:lang w:eastAsia="en-GB"/>
        </w:rPr>
        <w:t>Formula to calculate number of respondents required for a given level of reliability</w:t>
      </w:r>
    </w:p>
    <w:p w14:paraId="017B3EB6" w14:textId="77777777" w:rsidR="00B40127" w:rsidRPr="005B5B23" w:rsidRDefault="00B40127" w:rsidP="001D7146">
      <w:pPr>
        <w:autoSpaceDE w:val="0"/>
        <w:autoSpaceDN w:val="0"/>
        <w:adjustRightInd w:val="0"/>
        <w:spacing w:after="0" w:line="240" w:lineRule="auto"/>
        <w:rPr>
          <w:rFonts w:ascii="Times New Roman" w:hAnsi="Times New Roman" w:cs="Times New Roman"/>
          <w:sz w:val="24"/>
          <w:szCs w:val="24"/>
        </w:rPr>
      </w:pPr>
    </w:p>
    <w:p w14:paraId="0913C949" w14:textId="210BC698" w:rsidR="00B40127" w:rsidRPr="005B5B23" w:rsidRDefault="00DC4289" w:rsidP="001D7146">
      <w:pPr>
        <w:spacing w:line="240" w:lineRule="auto"/>
        <w:rPr>
          <w:rFonts w:ascii="Times New Roman" w:hAnsi="Times New Roman" w:cs="Times New Roman"/>
          <w:sz w:val="24"/>
          <w:szCs w:val="24"/>
        </w:rPr>
      </w:pPr>
      <w:r>
        <w:rPr>
          <w:rFonts w:ascii="Times New Roman" w:hAnsi="Times New Roman" w:cs="Times New Roman"/>
          <w:sz w:val="24"/>
          <w:szCs w:val="24"/>
        </w:rPr>
        <w:t>Figure 3.2</w:t>
      </w:r>
      <w:r w:rsidR="00B40127" w:rsidRPr="005B5B23">
        <w:rPr>
          <w:rFonts w:ascii="Times New Roman" w:hAnsi="Times New Roman" w:cs="Times New Roman"/>
          <w:sz w:val="24"/>
          <w:szCs w:val="24"/>
        </w:rPr>
        <w:t>. Trainee and assessor responses to the statement: WBAs are useful in training</w:t>
      </w:r>
    </w:p>
    <w:p w14:paraId="571D9BE2" w14:textId="17186F84" w:rsidR="00B40127" w:rsidRPr="005B5B23" w:rsidRDefault="00DC4289" w:rsidP="001D7146">
      <w:pPr>
        <w:spacing w:line="240" w:lineRule="auto"/>
        <w:rPr>
          <w:rFonts w:ascii="Times New Roman" w:hAnsi="Times New Roman" w:cs="Times New Roman"/>
          <w:sz w:val="24"/>
          <w:szCs w:val="24"/>
        </w:rPr>
      </w:pPr>
      <w:r>
        <w:rPr>
          <w:rFonts w:ascii="Times New Roman" w:hAnsi="Times New Roman" w:cs="Times New Roman"/>
          <w:sz w:val="24"/>
          <w:szCs w:val="24"/>
        </w:rPr>
        <w:t>Figure 3.3</w:t>
      </w:r>
      <w:r w:rsidR="00B40127" w:rsidRPr="005B5B23">
        <w:rPr>
          <w:rFonts w:ascii="Times New Roman" w:hAnsi="Times New Roman" w:cs="Times New Roman"/>
          <w:sz w:val="24"/>
          <w:szCs w:val="24"/>
        </w:rPr>
        <w:t>. Trainee and assessor responses to the statement: The number of WBAs per stage is appropriate</w:t>
      </w:r>
    </w:p>
    <w:p w14:paraId="25F206F1" w14:textId="58ABA385" w:rsidR="00B40127" w:rsidRPr="005B5B23" w:rsidRDefault="00585F88" w:rsidP="001D7146">
      <w:pPr>
        <w:spacing w:after="120" w:line="240" w:lineRule="auto"/>
        <w:rPr>
          <w:rFonts w:ascii="Times New Roman" w:hAnsi="Times New Roman" w:cs="Times New Roman"/>
          <w:sz w:val="24"/>
          <w:szCs w:val="24"/>
        </w:rPr>
      </w:pPr>
      <w:r>
        <w:rPr>
          <w:rFonts w:ascii="Times New Roman" w:hAnsi="Times New Roman" w:cs="Times New Roman"/>
          <w:sz w:val="24"/>
          <w:szCs w:val="24"/>
        </w:rPr>
        <w:t>Figure 3.4</w:t>
      </w:r>
      <w:r w:rsidR="00B40127" w:rsidRPr="005B5B23">
        <w:rPr>
          <w:rFonts w:ascii="Times New Roman" w:hAnsi="Times New Roman" w:cs="Times New Roman"/>
          <w:sz w:val="24"/>
          <w:szCs w:val="24"/>
        </w:rPr>
        <w:t>. Trainee and assessor responses to the statement: There is sufficient time to complete WBAs</w:t>
      </w:r>
    </w:p>
    <w:p w14:paraId="51011D39" w14:textId="74117F67" w:rsidR="00B40127" w:rsidRPr="005B5B23" w:rsidRDefault="00585F88" w:rsidP="001D7146">
      <w:pPr>
        <w:spacing w:after="0" w:line="240" w:lineRule="auto"/>
        <w:rPr>
          <w:rFonts w:ascii="Times New Roman" w:hAnsi="Times New Roman" w:cs="Times New Roman"/>
          <w:sz w:val="24"/>
          <w:szCs w:val="24"/>
        </w:rPr>
      </w:pPr>
      <w:r>
        <w:rPr>
          <w:rFonts w:ascii="Times New Roman" w:hAnsi="Times New Roman" w:cs="Times New Roman"/>
          <w:sz w:val="24"/>
          <w:szCs w:val="24"/>
        </w:rPr>
        <w:t>Figure 3.5</w:t>
      </w:r>
      <w:r w:rsidR="00B40127" w:rsidRPr="005B5B23">
        <w:rPr>
          <w:rFonts w:ascii="Times New Roman" w:hAnsi="Times New Roman" w:cs="Times New Roman"/>
          <w:sz w:val="24"/>
          <w:szCs w:val="24"/>
        </w:rPr>
        <w:t>. Trainee and assessor responses to the statement: WBAs are able to identify diagnostic competence in histopathology</w:t>
      </w:r>
    </w:p>
    <w:p w14:paraId="32CAED19" w14:textId="77777777" w:rsidR="00B40127" w:rsidRPr="005B5B23" w:rsidRDefault="00B40127" w:rsidP="001D7146">
      <w:pPr>
        <w:spacing w:after="0" w:line="240" w:lineRule="auto"/>
        <w:rPr>
          <w:rFonts w:ascii="Times New Roman" w:hAnsi="Times New Roman" w:cs="Times New Roman"/>
          <w:sz w:val="24"/>
          <w:szCs w:val="24"/>
        </w:rPr>
      </w:pPr>
    </w:p>
    <w:p w14:paraId="2DF6A64F" w14:textId="148A8603" w:rsidR="00B40127" w:rsidRPr="005B5B23" w:rsidRDefault="00B40127" w:rsidP="001D7146">
      <w:pPr>
        <w:spacing w:after="0" w:line="240" w:lineRule="auto"/>
        <w:rPr>
          <w:rFonts w:ascii="Times New Roman" w:hAnsi="Times New Roman" w:cs="Times New Roman"/>
          <w:sz w:val="24"/>
          <w:szCs w:val="24"/>
        </w:rPr>
      </w:pPr>
      <w:r w:rsidRPr="005B5B23">
        <w:rPr>
          <w:rFonts w:ascii="Times New Roman" w:hAnsi="Times New Roman" w:cs="Times New Roman"/>
          <w:sz w:val="24"/>
          <w:szCs w:val="24"/>
        </w:rPr>
        <w:t>Fig</w:t>
      </w:r>
      <w:r w:rsidR="00585F88">
        <w:rPr>
          <w:rFonts w:ascii="Times New Roman" w:hAnsi="Times New Roman" w:cs="Times New Roman"/>
          <w:sz w:val="24"/>
          <w:szCs w:val="24"/>
        </w:rPr>
        <w:t>ure 3.6</w:t>
      </w:r>
      <w:r w:rsidRPr="005B5B23">
        <w:rPr>
          <w:rFonts w:ascii="Times New Roman" w:hAnsi="Times New Roman" w:cs="Times New Roman"/>
          <w:sz w:val="24"/>
          <w:szCs w:val="24"/>
        </w:rPr>
        <w:t>. Trainee and assessor responses to the statement: WBAs are able to identify trainees in difficulty</w:t>
      </w:r>
    </w:p>
    <w:p w14:paraId="6A56F073" w14:textId="77777777" w:rsidR="00B40127" w:rsidRPr="005B5B23" w:rsidRDefault="00B40127" w:rsidP="001D7146">
      <w:pPr>
        <w:spacing w:after="0" w:line="240" w:lineRule="auto"/>
        <w:rPr>
          <w:rFonts w:ascii="Times New Roman" w:hAnsi="Times New Roman" w:cs="Times New Roman"/>
          <w:sz w:val="24"/>
          <w:szCs w:val="24"/>
        </w:rPr>
      </w:pPr>
    </w:p>
    <w:p w14:paraId="24535E1F" w14:textId="490050AB" w:rsidR="00B40127" w:rsidRPr="005B5B23" w:rsidRDefault="00585F88" w:rsidP="001D7146">
      <w:pPr>
        <w:spacing w:after="0" w:line="240" w:lineRule="auto"/>
        <w:rPr>
          <w:rFonts w:ascii="Times New Roman" w:hAnsi="Times New Roman" w:cs="Times New Roman"/>
          <w:sz w:val="24"/>
          <w:szCs w:val="24"/>
        </w:rPr>
      </w:pPr>
      <w:r>
        <w:rPr>
          <w:rFonts w:ascii="Times New Roman" w:hAnsi="Times New Roman" w:cs="Times New Roman"/>
          <w:sz w:val="24"/>
          <w:szCs w:val="24"/>
        </w:rPr>
        <w:t>Figure 3.7</w:t>
      </w:r>
      <w:r w:rsidR="00B40127" w:rsidRPr="005B5B23">
        <w:rPr>
          <w:rFonts w:ascii="Times New Roman" w:hAnsi="Times New Roman" w:cs="Times New Roman"/>
          <w:sz w:val="24"/>
          <w:szCs w:val="24"/>
        </w:rPr>
        <w:t>. Trainee and assessor responses to the statement: WBAs accurately reflect trainee progress</w:t>
      </w:r>
    </w:p>
    <w:p w14:paraId="2D4E85C8" w14:textId="77777777" w:rsidR="00B40127" w:rsidRPr="005B5B23" w:rsidRDefault="00B40127" w:rsidP="001D7146">
      <w:pPr>
        <w:spacing w:after="0" w:line="240" w:lineRule="auto"/>
        <w:rPr>
          <w:rFonts w:ascii="Times New Roman" w:hAnsi="Times New Roman" w:cs="Times New Roman"/>
          <w:sz w:val="24"/>
          <w:szCs w:val="24"/>
        </w:rPr>
      </w:pPr>
    </w:p>
    <w:p w14:paraId="386F1E2D" w14:textId="16F2B50B" w:rsidR="00B40127" w:rsidRPr="005B5B23" w:rsidRDefault="00585F88" w:rsidP="001D7146">
      <w:pPr>
        <w:spacing w:after="0" w:line="240" w:lineRule="auto"/>
        <w:rPr>
          <w:rFonts w:ascii="Times New Roman" w:hAnsi="Times New Roman" w:cs="Times New Roman"/>
          <w:sz w:val="24"/>
          <w:szCs w:val="24"/>
        </w:rPr>
      </w:pPr>
      <w:r>
        <w:rPr>
          <w:rFonts w:ascii="Times New Roman" w:hAnsi="Times New Roman" w:cs="Times New Roman"/>
          <w:sz w:val="24"/>
          <w:szCs w:val="24"/>
        </w:rPr>
        <w:t>Figure 3.8</w:t>
      </w:r>
      <w:r w:rsidR="00B40127" w:rsidRPr="005B5B23">
        <w:rPr>
          <w:rFonts w:ascii="Times New Roman" w:hAnsi="Times New Roman" w:cs="Times New Roman"/>
          <w:sz w:val="24"/>
          <w:szCs w:val="24"/>
        </w:rPr>
        <w:t>. Trainee and assessor responses to the statement: The current WBAs are acceptable to you as a trainee/assessor</w:t>
      </w:r>
    </w:p>
    <w:p w14:paraId="19E579FE" w14:textId="77777777" w:rsidR="00B40127" w:rsidRPr="005B5B23" w:rsidRDefault="00B40127" w:rsidP="001D7146">
      <w:pPr>
        <w:spacing w:after="0" w:line="240" w:lineRule="auto"/>
        <w:rPr>
          <w:rFonts w:ascii="Times New Roman" w:hAnsi="Times New Roman" w:cs="Times New Roman"/>
          <w:sz w:val="24"/>
          <w:szCs w:val="24"/>
        </w:rPr>
      </w:pPr>
    </w:p>
    <w:p w14:paraId="152C4DBB" w14:textId="77777777" w:rsidR="001D7146" w:rsidRDefault="001D7146" w:rsidP="001D71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3.9. </w:t>
      </w:r>
      <w:r w:rsidR="00B40127" w:rsidRPr="005B5B23">
        <w:rPr>
          <w:rFonts w:ascii="Times New Roman" w:hAnsi="Times New Roman" w:cs="Times New Roman"/>
          <w:sz w:val="24"/>
          <w:szCs w:val="24"/>
        </w:rPr>
        <w:t>Trainee response to the statement: Your assessors are acc</w:t>
      </w:r>
      <w:r>
        <w:rPr>
          <w:rFonts w:ascii="Times New Roman" w:hAnsi="Times New Roman" w:cs="Times New Roman"/>
          <w:sz w:val="24"/>
          <w:szCs w:val="24"/>
        </w:rPr>
        <w:t xml:space="preserve">essible to complete WBAs </w:t>
      </w:r>
    </w:p>
    <w:p w14:paraId="64588F07" w14:textId="77777777" w:rsidR="001D7146" w:rsidRDefault="001D7146" w:rsidP="001D7146">
      <w:pPr>
        <w:spacing w:after="0" w:line="240" w:lineRule="auto"/>
        <w:rPr>
          <w:rFonts w:ascii="Times New Roman" w:hAnsi="Times New Roman" w:cs="Times New Roman"/>
          <w:sz w:val="24"/>
          <w:szCs w:val="24"/>
        </w:rPr>
      </w:pPr>
    </w:p>
    <w:p w14:paraId="1385D05B" w14:textId="3E5A71AA" w:rsidR="00B40127" w:rsidRPr="005B5B23" w:rsidRDefault="001D7146" w:rsidP="001D71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3.10 </w:t>
      </w:r>
      <w:r w:rsidR="00B40127" w:rsidRPr="005B5B23">
        <w:rPr>
          <w:rFonts w:ascii="Times New Roman" w:hAnsi="Times New Roman" w:cs="Times New Roman"/>
          <w:sz w:val="24"/>
          <w:szCs w:val="24"/>
        </w:rPr>
        <w:t>Assessor response to the statement: You have been given sufficient guidance on how to complete WBAs</w:t>
      </w:r>
    </w:p>
    <w:p w14:paraId="0F96E6B0" w14:textId="77777777" w:rsidR="00B40127" w:rsidRPr="005B5B23" w:rsidRDefault="00B40127" w:rsidP="001D7146">
      <w:pPr>
        <w:spacing w:after="0" w:line="240" w:lineRule="auto"/>
        <w:rPr>
          <w:rFonts w:ascii="Times New Roman" w:hAnsi="Times New Roman" w:cs="Times New Roman"/>
          <w:sz w:val="24"/>
          <w:szCs w:val="24"/>
        </w:rPr>
      </w:pPr>
    </w:p>
    <w:p w14:paraId="23034C61" w14:textId="77777777" w:rsidR="001D7146" w:rsidRDefault="001D7146" w:rsidP="001D71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3.11. </w:t>
      </w:r>
      <w:r w:rsidR="00B40127" w:rsidRPr="005B5B23">
        <w:rPr>
          <w:rFonts w:ascii="Times New Roman" w:hAnsi="Times New Roman" w:cs="Times New Roman"/>
          <w:sz w:val="24"/>
          <w:szCs w:val="24"/>
        </w:rPr>
        <w:t xml:space="preserve">Trainee response to the statement: Your assessors are engaged and </w:t>
      </w:r>
      <w:r>
        <w:rPr>
          <w:rFonts w:ascii="Times New Roman" w:hAnsi="Times New Roman" w:cs="Times New Roman"/>
          <w:sz w:val="24"/>
          <w:szCs w:val="24"/>
        </w:rPr>
        <w:t xml:space="preserve">helpful when completing WBAs </w:t>
      </w:r>
    </w:p>
    <w:p w14:paraId="692D9E1C" w14:textId="77777777" w:rsidR="001D7146" w:rsidRDefault="001D7146" w:rsidP="001D7146">
      <w:pPr>
        <w:spacing w:after="0" w:line="240" w:lineRule="auto"/>
        <w:rPr>
          <w:rFonts w:ascii="Times New Roman" w:hAnsi="Times New Roman" w:cs="Times New Roman"/>
          <w:sz w:val="24"/>
          <w:szCs w:val="24"/>
        </w:rPr>
      </w:pPr>
    </w:p>
    <w:p w14:paraId="2B1CA72F" w14:textId="1284F3E0" w:rsidR="00B40127" w:rsidRDefault="001D7146" w:rsidP="001D71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3.12. </w:t>
      </w:r>
      <w:r w:rsidR="00B40127" w:rsidRPr="005B5B23">
        <w:rPr>
          <w:rFonts w:ascii="Times New Roman" w:hAnsi="Times New Roman" w:cs="Times New Roman"/>
          <w:sz w:val="24"/>
          <w:szCs w:val="24"/>
        </w:rPr>
        <w:t>Assessor response to the statement: Trainees select appropriate cases for</w:t>
      </w:r>
      <w:r w:rsidR="00B40127">
        <w:rPr>
          <w:rFonts w:ascii="Times New Roman" w:hAnsi="Times New Roman" w:cs="Times New Roman"/>
          <w:sz w:val="24"/>
          <w:szCs w:val="24"/>
        </w:rPr>
        <w:t xml:space="preserve"> WBAs</w:t>
      </w:r>
    </w:p>
    <w:p w14:paraId="3F32C7ED" w14:textId="77777777" w:rsidR="001D7146" w:rsidRDefault="001D7146" w:rsidP="001D7146">
      <w:pPr>
        <w:spacing w:after="0" w:line="240" w:lineRule="auto"/>
        <w:rPr>
          <w:rFonts w:ascii="Times New Roman" w:hAnsi="Times New Roman" w:cs="Times New Roman"/>
          <w:sz w:val="24"/>
          <w:szCs w:val="24"/>
        </w:rPr>
      </w:pPr>
    </w:p>
    <w:p w14:paraId="0546873A" w14:textId="083EF3C0" w:rsidR="00B40127" w:rsidRDefault="001D7146" w:rsidP="001D7146">
      <w:pPr>
        <w:spacing w:after="0" w:line="240" w:lineRule="auto"/>
        <w:rPr>
          <w:rFonts w:ascii="Times New Roman" w:hAnsi="Times New Roman" w:cs="Times New Roman"/>
          <w:sz w:val="24"/>
          <w:szCs w:val="24"/>
        </w:rPr>
      </w:pPr>
      <w:r>
        <w:rPr>
          <w:rFonts w:ascii="Times New Roman" w:hAnsi="Times New Roman" w:cs="Times New Roman"/>
          <w:sz w:val="24"/>
          <w:szCs w:val="24"/>
        </w:rPr>
        <w:t>Figure 3.13</w:t>
      </w:r>
      <w:r w:rsidR="00B40127" w:rsidRPr="005B5B23">
        <w:rPr>
          <w:rFonts w:ascii="Times New Roman" w:hAnsi="Times New Roman" w:cs="Times New Roman"/>
          <w:sz w:val="24"/>
          <w:szCs w:val="24"/>
        </w:rPr>
        <w:t>. Trainee and assessor responses to the question: WBAs are part of the curriculum to: 1. Help monitor trainee’s development/progress, 2. Provide structured feedback to trainees, 3. Satisfy the requirements of the RCPath, 4. Provide evidence for the ARCP</w:t>
      </w:r>
    </w:p>
    <w:p w14:paraId="7DBE64AE" w14:textId="77777777" w:rsidR="00B40127" w:rsidRPr="005B5B23" w:rsidRDefault="00B40127" w:rsidP="001D7146">
      <w:pPr>
        <w:spacing w:after="0" w:line="240" w:lineRule="auto"/>
        <w:rPr>
          <w:rFonts w:ascii="Times New Roman" w:hAnsi="Times New Roman" w:cs="Times New Roman"/>
          <w:sz w:val="24"/>
          <w:szCs w:val="24"/>
        </w:rPr>
      </w:pPr>
    </w:p>
    <w:p w14:paraId="0C295249" w14:textId="6F61D1ED" w:rsidR="00B40127" w:rsidRPr="005B5B23" w:rsidRDefault="00DC4289" w:rsidP="001D7146">
      <w:pPr>
        <w:spacing w:line="240" w:lineRule="auto"/>
        <w:rPr>
          <w:rFonts w:ascii="Times New Roman" w:hAnsi="Times New Roman" w:cs="Times New Roman"/>
          <w:sz w:val="24"/>
          <w:szCs w:val="24"/>
        </w:rPr>
      </w:pPr>
      <w:r>
        <w:rPr>
          <w:rFonts w:ascii="Times New Roman" w:hAnsi="Times New Roman" w:cs="Times New Roman"/>
          <w:sz w:val="24"/>
          <w:szCs w:val="24"/>
        </w:rPr>
        <w:t>Figure 3.14</w:t>
      </w:r>
      <w:r w:rsidR="00B40127" w:rsidRPr="005B5B23">
        <w:rPr>
          <w:rFonts w:ascii="Times New Roman" w:hAnsi="Times New Roman" w:cs="Times New Roman"/>
          <w:sz w:val="24"/>
          <w:szCs w:val="24"/>
        </w:rPr>
        <w:t xml:space="preserve">. Diagram illustrating the main areas of concern regarding the use of WBAs in histopathology generated from free text comments. </w:t>
      </w:r>
    </w:p>
    <w:p w14:paraId="284683BA" w14:textId="77777777" w:rsidR="00B40127" w:rsidRPr="005B5B23" w:rsidRDefault="00B40127" w:rsidP="001D7146">
      <w:pPr>
        <w:spacing w:line="240" w:lineRule="auto"/>
        <w:rPr>
          <w:rFonts w:ascii="Times New Roman" w:hAnsi="Times New Roman" w:cs="Times New Roman"/>
          <w:sz w:val="24"/>
          <w:szCs w:val="24"/>
        </w:rPr>
      </w:pPr>
      <w:r w:rsidRPr="005B5B23">
        <w:rPr>
          <w:rFonts w:ascii="Times New Roman" w:hAnsi="Times New Roman" w:cs="Times New Roman"/>
          <w:sz w:val="24"/>
          <w:szCs w:val="24"/>
        </w:rPr>
        <w:t>Figure 4.1. Categories and sub-headings after six interviews</w:t>
      </w:r>
    </w:p>
    <w:p w14:paraId="34383BCE" w14:textId="77777777" w:rsidR="00B40127" w:rsidRPr="005B5B23" w:rsidRDefault="00B40127" w:rsidP="001D7146">
      <w:pPr>
        <w:spacing w:line="240" w:lineRule="auto"/>
        <w:rPr>
          <w:rFonts w:ascii="Times New Roman" w:hAnsi="Times New Roman" w:cs="Times New Roman"/>
          <w:sz w:val="24"/>
          <w:szCs w:val="24"/>
        </w:rPr>
      </w:pPr>
      <w:r w:rsidRPr="005B5B23">
        <w:rPr>
          <w:rFonts w:ascii="Times New Roman" w:hAnsi="Times New Roman" w:cs="Times New Roman"/>
          <w:sz w:val="24"/>
          <w:szCs w:val="24"/>
        </w:rPr>
        <w:t>Figure 4.2. Categories and sub-headings after discussion and reflection</w:t>
      </w:r>
    </w:p>
    <w:p w14:paraId="6C5B2161" w14:textId="77777777" w:rsidR="00B40127" w:rsidRPr="005B5B23" w:rsidRDefault="00B40127" w:rsidP="001D7146">
      <w:pPr>
        <w:spacing w:line="240" w:lineRule="auto"/>
        <w:rPr>
          <w:rFonts w:ascii="Times New Roman" w:hAnsi="Times New Roman" w:cs="Times New Roman"/>
          <w:sz w:val="24"/>
          <w:szCs w:val="24"/>
        </w:rPr>
      </w:pPr>
      <w:r w:rsidRPr="005B5B23">
        <w:rPr>
          <w:rFonts w:ascii="Times New Roman" w:hAnsi="Times New Roman" w:cs="Times New Roman"/>
          <w:sz w:val="24"/>
          <w:szCs w:val="24"/>
        </w:rPr>
        <w:lastRenderedPageBreak/>
        <w:t>Figure 4.3. The emergence of a framework</w:t>
      </w:r>
    </w:p>
    <w:p w14:paraId="7F1C7461" w14:textId="77777777" w:rsidR="00B40127" w:rsidRPr="005B5B23" w:rsidRDefault="00B40127" w:rsidP="001D7146">
      <w:pPr>
        <w:spacing w:line="240" w:lineRule="auto"/>
        <w:rPr>
          <w:rFonts w:ascii="Times New Roman" w:hAnsi="Times New Roman" w:cs="Times New Roman"/>
          <w:sz w:val="24"/>
          <w:szCs w:val="24"/>
        </w:rPr>
      </w:pPr>
      <w:r w:rsidRPr="005B5B23">
        <w:rPr>
          <w:rFonts w:ascii="Times New Roman" w:hAnsi="Times New Roman" w:cs="Times New Roman"/>
          <w:sz w:val="24"/>
          <w:szCs w:val="24"/>
        </w:rPr>
        <w:t>Figure 4.4. Conceptual framework to explain how consultants judge diagnostic competence in trainees.</w:t>
      </w:r>
    </w:p>
    <w:p w14:paraId="600AE3DF" w14:textId="77777777" w:rsidR="00B40127" w:rsidRDefault="00B40127" w:rsidP="001D7146">
      <w:pPr>
        <w:spacing w:line="240" w:lineRule="auto"/>
        <w:rPr>
          <w:rFonts w:ascii="Times New Roman" w:hAnsi="Times New Roman" w:cs="Times New Roman"/>
          <w:sz w:val="24"/>
          <w:szCs w:val="24"/>
        </w:rPr>
      </w:pPr>
      <w:r w:rsidRPr="005B5B23">
        <w:rPr>
          <w:rFonts w:ascii="Times New Roman" w:hAnsi="Times New Roman" w:cs="Times New Roman"/>
          <w:sz w:val="24"/>
          <w:szCs w:val="24"/>
        </w:rPr>
        <w:t>Figure 6.1. Conceptual model of diagnostic competence</w:t>
      </w:r>
    </w:p>
    <w:p w14:paraId="6D70427B" w14:textId="77777777" w:rsidR="000269F5" w:rsidRDefault="000269F5" w:rsidP="00B40127">
      <w:pPr>
        <w:spacing w:line="240" w:lineRule="auto"/>
        <w:jc w:val="center"/>
        <w:rPr>
          <w:rFonts w:ascii="Times New Roman" w:hAnsi="Times New Roman" w:cs="Times New Roman"/>
          <w:b/>
          <w:sz w:val="24"/>
          <w:szCs w:val="24"/>
          <w:u w:val="single"/>
        </w:rPr>
      </w:pPr>
    </w:p>
    <w:p w14:paraId="513B472B" w14:textId="77777777" w:rsidR="000269F5" w:rsidRDefault="000269F5" w:rsidP="00B40127">
      <w:pPr>
        <w:spacing w:line="240" w:lineRule="auto"/>
        <w:jc w:val="center"/>
        <w:rPr>
          <w:rFonts w:ascii="Times New Roman" w:hAnsi="Times New Roman" w:cs="Times New Roman"/>
          <w:b/>
          <w:sz w:val="24"/>
          <w:szCs w:val="24"/>
          <w:u w:val="single"/>
        </w:rPr>
      </w:pPr>
    </w:p>
    <w:p w14:paraId="7DD66058" w14:textId="77777777" w:rsidR="000269F5" w:rsidRDefault="000269F5" w:rsidP="00B40127">
      <w:pPr>
        <w:spacing w:line="240" w:lineRule="auto"/>
        <w:jc w:val="center"/>
        <w:rPr>
          <w:rFonts w:ascii="Times New Roman" w:hAnsi="Times New Roman" w:cs="Times New Roman"/>
          <w:b/>
          <w:sz w:val="24"/>
          <w:szCs w:val="24"/>
          <w:u w:val="single"/>
        </w:rPr>
      </w:pPr>
    </w:p>
    <w:p w14:paraId="73EF6C0B" w14:textId="77777777" w:rsidR="000269F5" w:rsidRDefault="000269F5" w:rsidP="00B40127">
      <w:pPr>
        <w:spacing w:line="240" w:lineRule="auto"/>
        <w:jc w:val="center"/>
        <w:rPr>
          <w:rFonts w:ascii="Times New Roman" w:hAnsi="Times New Roman" w:cs="Times New Roman"/>
          <w:b/>
          <w:sz w:val="24"/>
          <w:szCs w:val="24"/>
          <w:u w:val="single"/>
        </w:rPr>
      </w:pPr>
    </w:p>
    <w:p w14:paraId="732AD3C8" w14:textId="77777777" w:rsidR="000269F5" w:rsidRDefault="000269F5" w:rsidP="00B40127">
      <w:pPr>
        <w:spacing w:line="240" w:lineRule="auto"/>
        <w:jc w:val="center"/>
        <w:rPr>
          <w:rFonts w:ascii="Times New Roman" w:hAnsi="Times New Roman" w:cs="Times New Roman"/>
          <w:b/>
          <w:sz w:val="24"/>
          <w:szCs w:val="24"/>
          <w:u w:val="single"/>
        </w:rPr>
      </w:pPr>
    </w:p>
    <w:p w14:paraId="6822144E" w14:textId="77777777" w:rsidR="000269F5" w:rsidRDefault="000269F5" w:rsidP="00B40127">
      <w:pPr>
        <w:spacing w:line="240" w:lineRule="auto"/>
        <w:jc w:val="center"/>
        <w:rPr>
          <w:rFonts w:ascii="Times New Roman" w:hAnsi="Times New Roman" w:cs="Times New Roman"/>
          <w:b/>
          <w:sz w:val="24"/>
          <w:szCs w:val="24"/>
          <w:u w:val="single"/>
        </w:rPr>
      </w:pPr>
    </w:p>
    <w:p w14:paraId="658C1C7C" w14:textId="77777777" w:rsidR="000269F5" w:rsidRDefault="000269F5" w:rsidP="00B40127">
      <w:pPr>
        <w:spacing w:line="240" w:lineRule="auto"/>
        <w:jc w:val="center"/>
        <w:rPr>
          <w:rFonts w:ascii="Times New Roman" w:hAnsi="Times New Roman" w:cs="Times New Roman"/>
          <w:b/>
          <w:sz w:val="24"/>
          <w:szCs w:val="24"/>
          <w:u w:val="single"/>
        </w:rPr>
      </w:pPr>
    </w:p>
    <w:p w14:paraId="05E54357" w14:textId="77777777" w:rsidR="000269F5" w:rsidRDefault="000269F5" w:rsidP="00B40127">
      <w:pPr>
        <w:spacing w:line="240" w:lineRule="auto"/>
        <w:jc w:val="center"/>
        <w:rPr>
          <w:rFonts w:ascii="Times New Roman" w:hAnsi="Times New Roman" w:cs="Times New Roman"/>
          <w:b/>
          <w:sz w:val="24"/>
          <w:szCs w:val="24"/>
          <w:u w:val="single"/>
        </w:rPr>
      </w:pPr>
    </w:p>
    <w:p w14:paraId="058CEE19" w14:textId="77777777" w:rsidR="000269F5" w:rsidRDefault="000269F5" w:rsidP="00B40127">
      <w:pPr>
        <w:spacing w:line="240" w:lineRule="auto"/>
        <w:jc w:val="center"/>
        <w:rPr>
          <w:rFonts w:ascii="Times New Roman" w:hAnsi="Times New Roman" w:cs="Times New Roman"/>
          <w:b/>
          <w:sz w:val="24"/>
          <w:szCs w:val="24"/>
          <w:u w:val="single"/>
        </w:rPr>
      </w:pPr>
    </w:p>
    <w:p w14:paraId="59C468E8" w14:textId="77777777" w:rsidR="000269F5" w:rsidRDefault="000269F5" w:rsidP="00B40127">
      <w:pPr>
        <w:spacing w:line="240" w:lineRule="auto"/>
        <w:jc w:val="center"/>
        <w:rPr>
          <w:rFonts w:ascii="Times New Roman" w:hAnsi="Times New Roman" w:cs="Times New Roman"/>
          <w:b/>
          <w:sz w:val="24"/>
          <w:szCs w:val="24"/>
          <w:u w:val="single"/>
        </w:rPr>
      </w:pPr>
    </w:p>
    <w:p w14:paraId="2C312777" w14:textId="77777777" w:rsidR="000269F5" w:rsidRDefault="000269F5" w:rsidP="00B40127">
      <w:pPr>
        <w:spacing w:line="240" w:lineRule="auto"/>
        <w:jc w:val="center"/>
        <w:rPr>
          <w:rFonts w:ascii="Times New Roman" w:hAnsi="Times New Roman" w:cs="Times New Roman"/>
          <w:b/>
          <w:sz w:val="24"/>
          <w:szCs w:val="24"/>
          <w:u w:val="single"/>
        </w:rPr>
      </w:pPr>
    </w:p>
    <w:p w14:paraId="340AE764" w14:textId="77777777" w:rsidR="000269F5" w:rsidRDefault="000269F5" w:rsidP="00B40127">
      <w:pPr>
        <w:spacing w:line="240" w:lineRule="auto"/>
        <w:jc w:val="center"/>
        <w:rPr>
          <w:rFonts w:ascii="Times New Roman" w:hAnsi="Times New Roman" w:cs="Times New Roman"/>
          <w:b/>
          <w:sz w:val="24"/>
          <w:szCs w:val="24"/>
          <w:u w:val="single"/>
        </w:rPr>
      </w:pPr>
    </w:p>
    <w:p w14:paraId="36B292B7" w14:textId="77777777" w:rsidR="000269F5" w:rsidRDefault="000269F5" w:rsidP="00B40127">
      <w:pPr>
        <w:spacing w:line="240" w:lineRule="auto"/>
        <w:jc w:val="center"/>
        <w:rPr>
          <w:rFonts w:ascii="Times New Roman" w:hAnsi="Times New Roman" w:cs="Times New Roman"/>
          <w:b/>
          <w:sz w:val="24"/>
          <w:szCs w:val="24"/>
          <w:u w:val="single"/>
        </w:rPr>
      </w:pPr>
    </w:p>
    <w:p w14:paraId="77CC32A5" w14:textId="77777777" w:rsidR="000269F5" w:rsidRDefault="000269F5" w:rsidP="00B40127">
      <w:pPr>
        <w:spacing w:line="240" w:lineRule="auto"/>
        <w:jc w:val="center"/>
        <w:rPr>
          <w:rFonts w:ascii="Times New Roman" w:hAnsi="Times New Roman" w:cs="Times New Roman"/>
          <w:b/>
          <w:sz w:val="24"/>
          <w:szCs w:val="24"/>
          <w:u w:val="single"/>
        </w:rPr>
      </w:pPr>
    </w:p>
    <w:p w14:paraId="56271977" w14:textId="77777777" w:rsidR="000269F5" w:rsidRDefault="000269F5" w:rsidP="00B40127">
      <w:pPr>
        <w:spacing w:line="240" w:lineRule="auto"/>
        <w:jc w:val="center"/>
        <w:rPr>
          <w:rFonts w:ascii="Times New Roman" w:hAnsi="Times New Roman" w:cs="Times New Roman"/>
          <w:b/>
          <w:sz w:val="24"/>
          <w:szCs w:val="24"/>
          <w:u w:val="single"/>
        </w:rPr>
      </w:pPr>
    </w:p>
    <w:p w14:paraId="5FEFE067" w14:textId="77777777" w:rsidR="000269F5" w:rsidRDefault="000269F5" w:rsidP="00B40127">
      <w:pPr>
        <w:spacing w:line="240" w:lineRule="auto"/>
        <w:jc w:val="center"/>
        <w:rPr>
          <w:rFonts w:ascii="Times New Roman" w:hAnsi="Times New Roman" w:cs="Times New Roman"/>
          <w:b/>
          <w:sz w:val="24"/>
          <w:szCs w:val="24"/>
          <w:u w:val="single"/>
        </w:rPr>
      </w:pPr>
    </w:p>
    <w:p w14:paraId="263E811C" w14:textId="77777777" w:rsidR="000269F5" w:rsidRDefault="000269F5" w:rsidP="00B40127">
      <w:pPr>
        <w:spacing w:line="240" w:lineRule="auto"/>
        <w:jc w:val="center"/>
        <w:rPr>
          <w:rFonts w:ascii="Times New Roman" w:hAnsi="Times New Roman" w:cs="Times New Roman"/>
          <w:b/>
          <w:sz w:val="24"/>
          <w:szCs w:val="24"/>
          <w:u w:val="single"/>
        </w:rPr>
      </w:pPr>
    </w:p>
    <w:p w14:paraId="7DCCE9A3" w14:textId="77777777" w:rsidR="000269F5" w:rsidRDefault="000269F5" w:rsidP="00B40127">
      <w:pPr>
        <w:spacing w:line="240" w:lineRule="auto"/>
        <w:jc w:val="center"/>
        <w:rPr>
          <w:rFonts w:ascii="Times New Roman" w:hAnsi="Times New Roman" w:cs="Times New Roman"/>
          <w:b/>
          <w:sz w:val="24"/>
          <w:szCs w:val="24"/>
          <w:u w:val="single"/>
        </w:rPr>
      </w:pPr>
    </w:p>
    <w:p w14:paraId="34766F47" w14:textId="77777777" w:rsidR="000269F5" w:rsidRDefault="000269F5" w:rsidP="00B40127">
      <w:pPr>
        <w:spacing w:line="240" w:lineRule="auto"/>
        <w:jc w:val="center"/>
        <w:rPr>
          <w:rFonts w:ascii="Times New Roman" w:hAnsi="Times New Roman" w:cs="Times New Roman"/>
          <w:b/>
          <w:sz w:val="24"/>
          <w:szCs w:val="24"/>
          <w:u w:val="single"/>
        </w:rPr>
      </w:pPr>
    </w:p>
    <w:p w14:paraId="014904E2" w14:textId="77777777" w:rsidR="000269F5" w:rsidRDefault="000269F5" w:rsidP="00B40127">
      <w:pPr>
        <w:spacing w:line="240" w:lineRule="auto"/>
        <w:jc w:val="center"/>
        <w:rPr>
          <w:rFonts w:ascii="Times New Roman" w:hAnsi="Times New Roman" w:cs="Times New Roman"/>
          <w:b/>
          <w:sz w:val="24"/>
          <w:szCs w:val="24"/>
          <w:u w:val="single"/>
        </w:rPr>
      </w:pPr>
    </w:p>
    <w:p w14:paraId="6531A801" w14:textId="77777777" w:rsidR="000269F5" w:rsidRDefault="000269F5" w:rsidP="00B40127">
      <w:pPr>
        <w:spacing w:line="240" w:lineRule="auto"/>
        <w:jc w:val="center"/>
        <w:rPr>
          <w:rFonts w:ascii="Times New Roman" w:hAnsi="Times New Roman" w:cs="Times New Roman"/>
          <w:b/>
          <w:sz w:val="24"/>
          <w:szCs w:val="24"/>
          <w:u w:val="single"/>
        </w:rPr>
      </w:pPr>
    </w:p>
    <w:p w14:paraId="59B101DF" w14:textId="77777777" w:rsidR="000269F5" w:rsidRDefault="000269F5" w:rsidP="00B40127">
      <w:pPr>
        <w:spacing w:line="240" w:lineRule="auto"/>
        <w:jc w:val="center"/>
        <w:rPr>
          <w:rFonts w:ascii="Times New Roman" w:hAnsi="Times New Roman" w:cs="Times New Roman"/>
          <w:b/>
          <w:sz w:val="24"/>
          <w:szCs w:val="24"/>
          <w:u w:val="single"/>
        </w:rPr>
      </w:pPr>
    </w:p>
    <w:p w14:paraId="02E50D47" w14:textId="77777777" w:rsidR="000269F5" w:rsidRDefault="000269F5" w:rsidP="00B40127">
      <w:pPr>
        <w:spacing w:line="240" w:lineRule="auto"/>
        <w:jc w:val="center"/>
        <w:rPr>
          <w:rFonts w:ascii="Times New Roman" w:hAnsi="Times New Roman" w:cs="Times New Roman"/>
          <w:b/>
          <w:sz w:val="24"/>
          <w:szCs w:val="24"/>
          <w:u w:val="single"/>
        </w:rPr>
      </w:pPr>
    </w:p>
    <w:p w14:paraId="4CDBE11B" w14:textId="77777777" w:rsidR="000269F5" w:rsidRDefault="000269F5" w:rsidP="00B40127">
      <w:pPr>
        <w:spacing w:line="240" w:lineRule="auto"/>
        <w:jc w:val="center"/>
        <w:rPr>
          <w:rFonts w:ascii="Times New Roman" w:hAnsi="Times New Roman" w:cs="Times New Roman"/>
          <w:b/>
          <w:sz w:val="24"/>
          <w:szCs w:val="24"/>
          <w:u w:val="single"/>
        </w:rPr>
      </w:pPr>
    </w:p>
    <w:p w14:paraId="1E42DD32" w14:textId="77777777" w:rsidR="000269F5" w:rsidRDefault="000269F5" w:rsidP="00B40127">
      <w:pPr>
        <w:spacing w:line="240" w:lineRule="auto"/>
        <w:jc w:val="center"/>
        <w:rPr>
          <w:rFonts w:ascii="Times New Roman" w:hAnsi="Times New Roman" w:cs="Times New Roman"/>
          <w:b/>
          <w:sz w:val="24"/>
          <w:szCs w:val="24"/>
          <w:u w:val="single"/>
        </w:rPr>
      </w:pPr>
    </w:p>
    <w:p w14:paraId="351F6CCB" w14:textId="77777777" w:rsidR="000269F5" w:rsidRDefault="000269F5" w:rsidP="00B40127">
      <w:pPr>
        <w:spacing w:line="240" w:lineRule="auto"/>
        <w:jc w:val="center"/>
        <w:rPr>
          <w:rFonts w:ascii="Times New Roman" w:hAnsi="Times New Roman" w:cs="Times New Roman"/>
          <w:b/>
          <w:sz w:val="24"/>
          <w:szCs w:val="24"/>
          <w:u w:val="single"/>
        </w:rPr>
      </w:pPr>
    </w:p>
    <w:p w14:paraId="57235FB0" w14:textId="77777777" w:rsidR="000269F5" w:rsidRDefault="000269F5" w:rsidP="00B40127">
      <w:pPr>
        <w:spacing w:line="240" w:lineRule="auto"/>
        <w:jc w:val="center"/>
        <w:rPr>
          <w:rFonts w:ascii="Times New Roman" w:hAnsi="Times New Roman" w:cs="Times New Roman"/>
          <w:b/>
          <w:sz w:val="24"/>
          <w:szCs w:val="24"/>
          <w:u w:val="single"/>
        </w:rPr>
      </w:pPr>
    </w:p>
    <w:p w14:paraId="2131FF10" w14:textId="77777777" w:rsidR="000269F5" w:rsidRDefault="000269F5" w:rsidP="00B40127">
      <w:pPr>
        <w:spacing w:line="240" w:lineRule="auto"/>
        <w:jc w:val="center"/>
        <w:rPr>
          <w:rFonts w:ascii="Times New Roman" w:hAnsi="Times New Roman" w:cs="Times New Roman"/>
          <w:b/>
          <w:sz w:val="24"/>
          <w:szCs w:val="24"/>
          <w:u w:val="single"/>
        </w:rPr>
      </w:pPr>
    </w:p>
    <w:p w14:paraId="28E4F1CB" w14:textId="03D7E344" w:rsidR="00D30272" w:rsidRPr="00FF5302" w:rsidRDefault="00863DF5" w:rsidP="00FF5302">
      <w:pPr>
        <w:spacing w:line="240" w:lineRule="auto"/>
        <w:jc w:val="center"/>
        <w:rPr>
          <w:rFonts w:ascii="Times New Roman" w:hAnsi="Times New Roman" w:cs="Times New Roman"/>
          <w:b/>
          <w:sz w:val="44"/>
          <w:szCs w:val="44"/>
          <w:u w:val="single"/>
        </w:rPr>
      </w:pPr>
      <w:r w:rsidRPr="00FF5302">
        <w:rPr>
          <w:rFonts w:ascii="Times New Roman" w:hAnsi="Times New Roman" w:cs="Times New Roman"/>
          <w:b/>
          <w:sz w:val="44"/>
          <w:szCs w:val="44"/>
          <w:u w:val="single"/>
        </w:rPr>
        <w:lastRenderedPageBreak/>
        <w:t>Abstract</w:t>
      </w:r>
    </w:p>
    <w:p w14:paraId="36DFB2D5" w14:textId="5FEF2949" w:rsidR="001D1400" w:rsidRDefault="001D1400" w:rsidP="00B40127">
      <w:pPr>
        <w:spacing w:line="240" w:lineRule="auto"/>
        <w:jc w:val="center"/>
        <w:rPr>
          <w:rFonts w:ascii="Times New Roman" w:hAnsi="Times New Roman" w:cs="Times New Roman"/>
          <w:b/>
          <w:sz w:val="24"/>
          <w:szCs w:val="24"/>
          <w:u w:val="single"/>
        </w:rPr>
      </w:pPr>
    </w:p>
    <w:p w14:paraId="750FBFEA" w14:textId="66B5753E" w:rsidR="001D1400" w:rsidRDefault="001D1400" w:rsidP="001D1400">
      <w:pPr>
        <w:spacing w:line="240" w:lineRule="auto"/>
        <w:rPr>
          <w:rFonts w:ascii="Times New Roman" w:hAnsi="Times New Roman" w:cs="Times New Roman"/>
          <w:b/>
          <w:sz w:val="24"/>
          <w:szCs w:val="24"/>
        </w:rPr>
      </w:pPr>
      <w:r w:rsidRPr="001D1400">
        <w:rPr>
          <w:rFonts w:ascii="Times New Roman" w:hAnsi="Times New Roman" w:cs="Times New Roman"/>
          <w:b/>
          <w:sz w:val="24"/>
          <w:szCs w:val="24"/>
        </w:rPr>
        <w:t>Background</w:t>
      </w:r>
    </w:p>
    <w:p w14:paraId="5A5FC129" w14:textId="77777777" w:rsidR="001D1400" w:rsidRPr="001D1400" w:rsidRDefault="001D1400" w:rsidP="001D1400">
      <w:pPr>
        <w:spacing w:line="240" w:lineRule="auto"/>
        <w:rPr>
          <w:rFonts w:ascii="Times New Roman" w:hAnsi="Times New Roman" w:cs="Times New Roman"/>
          <w:b/>
          <w:sz w:val="24"/>
          <w:szCs w:val="24"/>
        </w:rPr>
      </w:pPr>
    </w:p>
    <w:p w14:paraId="627B0BBF" w14:textId="1F3F67F9" w:rsidR="001D1400" w:rsidRPr="00B40127" w:rsidRDefault="001D1400" w:rsidP="00A851BA">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To be competent at </w:t>
      </w:r>
      <w:r>
        <w:rPr>
          <w:rFonts w:ascii="Times New Roman" w:hAnsi="Times New Roman" w:cs="Times New Roman"/>
          <w:sz w:val="24"/>
          <w:szCs w:val="24"/>
        </w:rPr>
        <w:t>forming diagnoses</w:t>
      </w:r>
      <w:r w:rsidRPr="006F3B00">
        <w:rPr>
          <w:rFonts w:ascii="Times New Roman" w:hAnsi="Times New Roman" w:cs="Times New Roman"/>
          <w:sz w:val="24"/>
          <w:szCs w:val="24"/>
        </w:rPr>
        <w:t xml:space="preserve"> is an essential component of</w:t>
      </w:r>
      <w:r>
        <w:rPr>
          <w:rFonts w:ascii="Times New Roman" w:hAnsi="Times New Roman" w:cs="Times New Roman"/>
          <w:sz w:val="24"/>
          <w:szCs w:val="24"/>
        </w:rPr>
        <w:t xml:space="preserve"> being a sound consultant </w:t>
      </w:r>
      <w:r w:rsidR="00A851BA">
        <w:rPr>
          <w:rFonts w:ascii="Times New Roman" w:hAnsi="Times New Roman" w:cs="Times New Roman"/>
          <w:sz w:val="24"/>
          <w:szCs w:val="24"/>
        </w:rPr>
        <w:t xml:space="preserve">pathologist as </w:t>
      </w:r>
      <w:r>
        <w:rPr>
          <w:rFonts w:ascii="Times New Roman" w:hAnsi="Times New Roman" w:cs="Times New Roman"/>
          <w:sz w:val="24"/>
          <w:szCs w:val="24"/>
        </w:rPr>
        <w:t>these diagnoses can directly affect patient care. Currently, trainees in histopathology undertake five years of specialist training before becoming consultants. During this time, they must complete eighteen workplace-based assessments (WBAs) per year and pass two major exams. However, there is no research which clearly de</w:t>
      </w:r>
      <w:r w:rsidR="00A851BA">
        <w:rPr>
          <w:rFonts w:ascii="Times New Roman" w:hAnsi="Times New Roman" w:cs="Times New Roman"/>
          <w:sz w:val="24"/>
          <w:szCs w:val="24"/>
        </w:rPr>
        <w:t>scribes</w:t>
      </w:r>
      <w:r>
        <w:rPr>
          <w:rFonts w:ascii="Times New Roman" w:hAnsi="Times New Roman" w:cs="Times New Roman"/>
          <w:sz w:val="24"/>
          <w:szCs w:val="24"/>
        </w:rPr>
        <w:t xml:space="preserve"> the knowledge, skills and attitudes which are relevant to the competence of forming diagnoses. Further, there is little evidence to suggest WBAs are able to determine if trainees are diagnostically competent, even though they are used in part to evidence this. Understanding how consultants determine diagnostic competence in train</w:t>
      </w:r>
      <w:r w:rsidR="00A851BA">
        <w:rPr>
          <w:rFonts w:ascii="Times New Roman" w:hAnsi="Times New Roman" w:cs="Times New Roman"/>
          <w:sz w:val="24"/>
          <w:szCs w:val="24"/>
        </w:rPr>
        <w:t xml:space="preserve">ees may help to ensure the current assessment methods measure what is most important and ensure trainees are fit to practice at the end of training. It may also </w:t>
      </w:r>
      <w:r w:rsidR="00A351D1">
        <w:rPr>
          <w:rFonts w:ascii="Times New Roman" w:hAnsi="Times New Roman" w:cs="Times New Roman"/>
          <w:sz w:val="24"/>
          <w:szCs w:val="24"/>
        </w:rPr>
        <w:t xml:space="preserve">reveal </w:t>
      </w:r>
      <w:r w:rsidR="00A851BA">
        <w:rPr>
          <w:rFonts w:ascii="Times New Roman" w:hAnsi="Times New Roman" w:cs="Times New Roman"/>
          <w:sz w:val="24"/>
          <w:szCs w:val="24"/>
        </w:rPr>
        <w:t>the judgmental process so that expectations underpinning competence</w:t>
      </w:r>
      <w:r w:rsidR="00C17247">
        <w:rPr>
          <w:rFonts w:ascii="Times New Roman" w:hAnsi="Times New Roman" w:cs="Times New Roman"/>
          <w:sz w:val="24"/>
          <w:szCs w:val="24"/>
        </w:rPr>
        <w:t xml:space="preserve"> </w:t>
      </w:r>
      <w:r w:rsidR="00A851BA">
        <w:rPr>
          <w:rFonts w:ascii="Times New Roman" w:hAnsi="Times New Roman" w:cs="Times New Roman"/>
          <w:sz w:val="24"/>
          <w:szCs w:val="24"/>
        </w:rPr>
        <w:t xml:space="preserve">are made explicit </w:t>
      </w:r>
      <w:r w:rsidR="00C17247">
        <w:rPr>
          <w:rFonts w:ascii="Times New Roman" w:hAnsi="Times New Roman" w:cs="Times New Roman"/>
          <w:sz w:val="24"/>
          <w:szCs w:val="24"/>
        </w:rPr>
        <w:t xml:space="preserve">to trainees. This </w:t>
      </w:r>
      <w:r w:rsidR="00A851BA">
        <w:rPr>
          <w:rFonts w:ascii="Times New Roman" w:hAnsi="Times New Roman" w:cs="Times New Roman"/>
          <w:sz w:val="24"/>
          <w:szCs w:val="24"/>
        </w:rPr>
        <w:t>should improve the quality of training.</w:t>
      </w:r>
    </w:p>
    <w:p w14:paraId="721CBC8E" w14:textId="77777777" w:rsidR="00863DF5" w:rsidRPr="006F3B00" w:rsidRDefault="00863DF5" w:rsidP="00D30272">
      <w:pPr>
        <w:spacing w:line="480" w:lineRule="auto"/>
        <w:rPr>
          <w:rFonts w:ascii="Times New Roman" w:hAnsi="Times New Roman" w:cs="Times New Roman"/>
          <w:b/>
          <w:sz w:val="24"/>
          <w:szCs w:val="24"/>
          <w:u w:val="single"/>
        </w:rPr>
      </w:pPr>
      <w:r w:rsidRPr="006F3B00">
        <w:rPr>
          <w:rFonts w:ascii="Times New Roman" w:hAnsi="Times New Roman" w:cs="Times New Roman"/>
          <w:b/>
          <w:sz w:val="24"/>
          <w:szCs w:val="24"/>
        </w:rPr>
        <w:t>Aim</w:t>
      </w:r>
    </w:p>
    <w:p w14:paraId="537A7C2F" w14:textId="57415C8D" w:rsidR="00863DF5" w:rsidRPr="006F3B00" w:rsidRDefault="00863DF5" w:rsidP="00D30272">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research aimed to understand how co</w:t>
      </w:r>
      <w:r w:rsidR="001D1400">
        <w:rPr>
          <w:rFonts w:ascii="Times New Roman" w:hAnsi="Times New Roman" w:cs="Times New Roman"/>
          <w:sz w:val="24"/>
          <w:szCs w:val="24"/>
        </w:rPr>
        <w:t>nsultant pathologists determine</w:t>
      </w:r>
      <w:r w:rsidRPr="006F3B00">
        <w:rPr>
          <w:rFonts w:ascii="Times New Roman" w:hAnsi="Times New Roman" w:cs="Times New Roman"/>
          <w:sz w:val="24"/>
          <w:szCs w:val="24"/>
        </w:rPr>
        <w:t xml:space="preserve"> di</w:t>
      </w:r>
      <w:r w:rsidR="00135528">
        <w:rPr>
          <w:rFonts w:ascii="Times New Roman" w:hAnsi="Times New Roman" w:cs="Times New Roman"/>
          <w:sz w:val="24"/>
          <w:szCs w:val="24"/>
        </w:rPr>
        <w:t>agnostic competence in trainees.</w:t>
      </w:r>
    </w:p>
    <w:p w14:paraId="1CFB06CB" w14:textId="77777777" w:rsidR="00863DF5" w:rsidRPr="006F3B00" w:rsidRDefault="00863DF5" w:rsidP="00D30272">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Materials and Methods</w:t>
      </w:r>
    </w:p>
    <w:p w14:paraId="65406CEA" w14:textId="77777777" w:rsidR="00863DF5" w:rsidRPr="006F3B00" w:rsidRDefault="00863DF5" w:rsidP="00D30272">
      <w:pPr>
        <w:pStyle w:val="Default"/>
        <w:spacing w:line="480" w:lineRule="auto"/>
        <w:rPr>
          <w:rFonts w:ascii="Times New Roman" w:hAnsi="Times New Roman" w:cs="Times New Roman"/>
        </w:rPr>
      </w:pPr>
      <w:r w:rsidRPr="006F3B00">
        <w:rPr>
          <w:rFonts w:ascii="Times New Roman" w:hAnsi="Times New Roman" w:cs="Times New Roman"/>
        </w:rPr>
        <w:t xml:space="preserve">The work was conducted in three stages: </w:t>
      </w:r>
    </w:p>
    <w:p w14:paraId="300701AA" w14:textId="5FEB9C5A" w:rsidR="00B40127" w:rsidRDefault="00863DF5" w:rsidP="00D30272">
      <w:pPr>
        <w:pStyle w:val="Default"/>
        <w:spacing w:line="480" w:lineRule="auto"/>
        <w:rPr>
          <w:rFonts w:ascii="Times New Roman" w:hAnsi="Times New Roman" w:cs="Times New Roman"/>
        </w:rPr>
      </w:pPr>
      <w:r w:rsidRPr="006F3B00">
        <w:rPr>
          <w:rFonts w:ascii="Times New Roman" w:hAnsi="Times New Roman" w:cs="Times New Roman"/>
        </w:rPr>
        <w:t xml:space="preserve">1. A questionnaire study to determine the current perception of </w:t>
      </w:r>
      <w:r w:rsidR="00DD267D">
        <w:rPr>
          <w:rFonts w:ascii="Times New Roman" w:hAnsi="Times New Roman" w:cs="Times New Roman"/>
        </w:rPr>
        <w:t xml:space="preserve">workplace-based </w:t>
      </w:r>
      <w:r w:rsidR="001D1400">
        <w:rPr>
          <w:rFonts w:ascii="Times New Roman" w:hAnsi="Times New Roman" w:cs="Times New Roman"/>
        </w:rPr>
        <w:t xml:space="preserve">assessments </w:t>
      </w:r>
    </w:p>
    <w:p w14:paraId="3F343B61" w14:textId="42DCE9ED" w:rsidR="00863DF5" w:rsidRPr="006F3B00" w:rsidRDefault="00863DF5" w:rsidP="00D30272">
      <w:pPr>
        <w:pStyle w:val="Default"/>
        <w:spacing w:line="480" w:lineRule="auto"/>
        <w:rPr>
          <w:rFonts w:ascii="Times New Roman" w:hAnsi="Times New Roman" w:cs="Times New Roman"/>
        </w:rPr>
      </w:pPr>
      <w:r w:rsidRPr="006F3B00">
        <w:rPr>
          <w:rFonts w:ascii="Times New Roman" w:hAnsi="Times New Roman" w:cs="Times New Roman"/>
        </w:rPr>
        <w:lastRenderedPageBreak/>
        <w:t>2. A qualitative interview study to explore and understand how consultants judge diagnostic competence in trainees</w:t>
      </w:r>
    </w:p>
    <w:p w14:paraId="51D6CB7C" w14:textId="77777777" w:rsidR="00863DF5" w:rsidRPr="006F3B00" w:rsidRDefault="00863DF5" w:rsidP="00D30272">
      <w:pPr>
        <w:spacing w:line="480" w:lineRule="auto"/>
        <w:rPr>
          <w:rFonts w:ascii="Times New Roman" w:hAnsi="Times New Roman" w:cs="Times New Roman"/>
          <w:sz w:val="24"/>
          <w:szCs w:val="24"/>
        </w:rPr>
      </w:pPr>
      <w:r w:rsidRPr="006F3B00">
        <w:rPr>
          <w:rFonts w:ascii="Times New Roman" w:hAnsi="Times New Roman" w:cs="Times New Roman"/>
          <w:sz w:val="24"/>
          <w:szCs w:val="24"/>
        </w:rPr>
        <w:t>3. A Delphi study to triangulate findings from the interviews</w:t>
      </w:r>
    </w:p>
    <w:p w14:paraId="38492652" w14:textId="77777777" w:rsidR="00863DF5" w:rsidRPr="006F3B00" w:rsidRDefault="00863DF5" w:rsidP="00D30272">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Results</w:t>
      </w:r>
    </w:p>
    <w:p w14:paraId="694FDC32" w14:textId="13517A96" w:rsidR="00863DF5" w:rsidRPr="006F3B00" w:rsidRDefault="00863DF5" w:rsidP="00D30272">
      <w:pPr>
        <w:spacing w:line="480" w:lineRule="auto"/>
        <w:rPr>
          <w:rFonts w:ascii="Times New Roman" w:hAnsi="Times New Roman" w:cs="Times New Roman"/>
          <w:sz w:val="24"/>
          <w:szCs w:val="24"/>
        </w:rPr>
      </w:pPr>
      <w:r w:rsidRPr="006F3B00">
        <w:rPr>
          <w:rFonts w:ascii="Times New Roman" w:hAnsi="Times New Roman" w:cs="Times New Roman"/>
          <w:sz w:val="24"/>
          <w:szCs w:val="24"/>
        </w:rPr>
        <w:t>Several</w:t>
      </w:r>
      <w:r w:rsidR="00224512">
        <w:rPr>
          <w:rFonts w:ascii="Times New Roman" w:hAnsi="Times New Roman" w:cs="Times New Roman"/>
          <w:sz w:val="24"/>
          <w:szCs w:val="24"/>
        </w:rPr>
        <w:t xml:space="preserve"> perceived</w:t>
      </w:r>
      <w:r w:rsidRPr="006F3B00">
        <w:rPr>
          <w:rFonts w:ascii="Times New Roman" w:hAnsi="Times New Roman" w:cs="Times New Roman"/>
          <w:sz w:val="24"/>
          <w:szCs w:val="24"/>
        </w:rPr>
        <w:t xml:space="preserve"> issues were identified with the current WBAs, particularly their inability to determine diagnostic competence, struggling trainees and accurately reflect trainee progress. Diagnostic competence was conceptualized as a complex construct which should be assessed longitudinally. Both process and person qualities are required, with increasing expectations as trainees progress through training. Diagnostic competence is manifested in trust developing between trainee and consultant, but must be maintained following qualification. A Delphi study triangulated and validated findings from the qualitative interviews with the majority of items reaching “consensus in”.</w:t>
      </w:r>
    </w:p>
    <w:p w14:paraId="37BF6426" w14:textId="77777777" w:rsidR="00863DF5" w:rsidRPr="006F3B00" w:rsidRDefault="00863DF5" w:rsidP="00D30272">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Conclusions</w:t>
      </w:r>
    </w:p>
    <w:p w14:paraId="4471D48E" w14:textId="3445414C" w:rsidR="00D30272" w:rsidRDefault="00863DF5" w:rsidP="00D30272">
      <w:pPr>
        <w:spacing w:line="480" w:lineRule="auto"/>
        <w:rPr>
          <w:rFonts w:ascii="Times New Roman" w:hAnsi="Times New Roman" w:cs="Times New Roman"/>
          <w:sz w:val="24"/>
          <w:szCs w:val="24"/>
        </w:rPr>
      </w:pPr>
      <w:r w:rsidRPr="006F3B00">
        <w:rPr>
          <w:rFonts w:ascii="Times New Roman" w:hAnsi="Times New Roman" w:cs="Times New Roman"/>
          <w:sz w:val="24"/>
          <w:szCs w:val="24"/>
        </w:rPr>
        <w:t>There are problems with the current WBAs as they do not test those qualities which are most relevant to diagnostic competence nor reflect the true judgement ecology.</w:t>
      </w:r>
      <w:r w:rsidR="00A351D1">
        <w:rPr>
          <w:rFonts w:ascii="Times New Roman" w:hAnsi="Times New Roman" w:cs="Times New Roman"/>
          <w:sz w:val="24"/>
          <w:szCs w:val="24"/>
        </w:rPr>
        <w:t xml:space="preserve"> This is problematic given the current emphasis placed on WBAs</w:t>
      </w:r>
      <w:r w:rsidR="001417BE">
        <w:rPr>
          <w:rFonts w:ascii="Times New Roman" w:hAnsi="Times New Roman" w:cs="Times New Roman"/>
          <w:sz w:val="24"/>
          <w:szCs w:val="24"/>
        </w:rPr>
        <w:t xml:space="preserve"> in training</w:t>
      </w:r>
      <w:r w:rsidR="00A351D1">
        <w:rPr>
          <w:rFonts w:ascii="Times New Roman" w:hAnsi="Times New Roman" w:cs="Times New Roman"/>
          <w:sz w:val="24"/>
          <w:szCs w:val="24"/>
        </w:rPr>
        <w:t xml:space="preserve"> to</w:t>
      </w:r>
      <w:r w:rsidR="001417BE">
        <w:rPr>
          <w:rFonts w:ascii="Times New Roman" w:hAnsi="Times New Roman" w:cs="Times New Roman"/>
          <w:sz w:val="24"/>
          <w:szCs w:val="24"/>
        </w:rPr>
        <w:t xml:space="preserve"> evidence competence</w:t>
      </w:r>
      <w:r w:rsidR="00A351D1">
        <w:rPr>
          <w:rFonts w:ascii="Times New Roman" w:hAnsi="Times New Roman" w:cs="Times New Roman"/>
          <w:sz w:val="24"/>
          <w:szCs w:val="24"/>
        </w:rPr>
        <w:t>.</w:t>
      </w:r>
      <w:r w:rsidRPr="006F3B00">
        <w:rPr>
          <w:rFonts w:ascii="Times New Roman" w:hAnsi="Times New Roman" w:cs="Times New Roman"/>
          <w:sz w:val="24"/>
          <w:szCs w:val="24"/>
        </w:rPr>
        <w:t xml:space="preserve"> This research </w:t>
      </w:r>
      <w:r w:rsidR="005423CF">
        <w:rPr>
          <w:rFonts w:ascii="Times New Roman" w:hAnsi="Times New Roman" w:cs="Times New Roman"/>
          <w:sz w:val="24"/>
          <w:szCs w:val="24"/>
        </w:rPr>
        <w:t>has demystified how consultant</w:t>
      </w:r>
      <w:r w:rsidR="000A7A7C">
        <w:rPr>
          <w:rFonts w:ascii="Times New Roman" w:hAnsi="Times New Roman" w:cs="Times New Roman"/>
          <w:sz w:val="24"/>
          <w:szCs w:val="24"/>
        </w:rPr>
        <w:t>s</w:t>
      </w:r>
      <w:r w:rsidR="005423CF">
        <w:rPr>
          <w:rFonts w:ascii="Times New Roman" w:hAnsi="Times New Roman" w:cs="Times New Roman"/>
          <w:sz w:val="24"/>
          <w:szCs w:val="24"/>
        </w:rPr>
        <w:t xml:space="preserve"> determine diagnostic competence and </w:t>
      </w:r>
      <w:r w:rsidRPr="006F3B00">
        <w:rPr>
          <w:rFonts w:ascii="Times New Roman" w:hAnsi="Times New Roman" w:cs="Times New Roman"/>
          <w:sz w:val="24"/>
          <w:szCs w:val="24"/>
        </w:rPr>
        <w:t>should help to inform future assessment strategies in histopathology</w:t>
      </w:r>
      <w:r w:rsidR="00135528">
        <w:rPr>
          <w:rFonts w:ascii="Times New Roman" w:hAnsi="Times New Roman" w:cs="Times New Roman"/>
          <w:sz w:val="24"/>
          <w:szCs w:val="24"/>
        </w:rPr>
        <w:t>.</w:t>
      </w:r>
      <w:r w:rsidR="00A351D1">
        <w:rPr>
          <w:rFonts w:ascii="Times New Roman" w:hAnsi="Times New Roman" w:cs="Times New Roman"/>
          <w:sz w:val="24"/>
          <w:szCs w:val="24"/>
        </w:rPr>
        <w:t xml:space="preserve"> In particular, a longitudinal approach to assessing competence is </w:t>
      </w:r>
      <w:r w:rsidR="008E627F">
        <w:rPr>
          <w:rFonts w:ascii="Times New Roman" w:hAnsi="Times New Roman" w:cs="Times New Roman"/>
          <w:sz w:val="24"/>
          <w:szCs w:val="24"/>
        </w:rPr>
        <w:t>recommended rather than the current approach of assessing competence on individual cases.</w:t>
      </w:r>
    </w:p>
    <w:p w14:paraId="5DF421C1" w14:textId="77777777" w:rsidR="00135528" w:rsidRDefault="00135528" w:rsidP="00D30272">
      <w:pPr>
        <w:spacing w:line="480" w:lineRule="auto"/>
        <w:rPr>
          <w:rFonts w:ascii="Times New Roman" w:hAnsi="Times New Roman" w:cs="Times New Roman"/>
          <w:sz w:val="24"/>
          <w:szCs w:val="24"/>
        </w:rPr>
      </w:pPr>
    </w:p>
    <w:p w14:paraId="79BFBE9A" w14:textId="77777777" w:rsidR="00135528" w:rsidRDefault="00135528" w:rsidP="00D30272">
      <w:pPr>
        <w:spacing w:line="480" w:lineRule="auto"/>
        <w:rPr>
          <w:rFonts w:ascii="Times New Roman" w:hAnsi="Times New Roman" w:cs="Times New Roman"/>
          <w:sz w:val="24"/>
          <w:szCs w:val="24"/>
        </w:rPr>
      </w:pPr>
    </w:p>
    <w:p w14:paraId="08401E47" w14:textId="77777777" w:rsidR="00F12CB7" w:rsidRPr="00FF5302" w:rsidRDefault="00D30272" w:rsidP="00FF5302">
      <w:pPr>
        <w:pStyle w:val="TOCHeading"/>
        <w:jc w:val="center"/>
        <w:rPr>
          <w:rFonts w:ascii="Times New Roman" w:hAnsi="Times New Roman" w:cs="Times New Roman"/>
          <w:sz w:val="44"/>
          <w:szCs w:val="44"/>
          <w:u w:val="single"/>
        </w:rPr>
      </w:pPr>
      <w:r w:rsidRPr="00FF5302">
        <w:rPr>
          <w:rFonts w:ascii="Times New Roman" w:hAnsi="Times New Roman" w:cs="Times New Roman"/>
          <w:color w:val="auto"/>
          <w:sz w:val="44"/>
          <w:szCs w:val="44"/>
          <w:u w:val="single"/>
        </w:rPr>
        <w:lastRenderedPageBreak/>
        <w:t>Contents</w:t>
      </w:r>
    </w:p>
    <w:sdt>
      <w:sdtPr>
        <w:rPr>
          <w:rFonts w:ascii="Times New Roman" w:hAnsi="Times New Roman" w:cs="Times New Roman"/>
          <w:b/>
          <w:bCs/>
          <w:sz w:val="24"/>
          <w:szCs w:val="24"/>
          <w:lang w:val="en-GB"/>
        </w:rPr>
        <w:id w:val="-1008907916"/>
        <w:docPartObj>
          <w:docPartGallery w:val="Table of Contents"/>
          <w:docPartUnique/>
        </w:docPartObj>
      </w:sdtPr>
      <w:sdtEndPr>
        <w:rPr>
          <w:b w:val="0"/>
          <w:bCs w:val="0"/>
          <w:noProof/>
          <w:lang w:val="en-US"/>
        </w:rPr>
      </w:sdtEndPr>
      <w:sdtContent>
        <w:p w14:paraId="0A608E33" w14:textId="624234B6" w:rsidR="00595755" w:rsidRPr="00595755" w:rsidRDefault="00595755" w:rsidP="00595755">
          <w:pPr>
            <w:rPr>
              <w:rFonts w:ascii="Times New Roman" w:hAnsi="Times New Roman" w:cs="Times New Roman"/>
              <w:sz w:val="44"/>
              <w:szCs w:val="44"/>
              <w:lang w:val="en-GB"/>
            </w:rPr>
          </w:pPr>
          <w:r w:rsidRPr="00595755">
            <w:rPr>
              <w:rFonts w:ascii="Times New Roman" w:hAnsi="Times New Roman" w:cs="Times New Roman"/>
              <w:sz w:val="44"/>
              <w:szCs w:val="44"/>
              <w:lang w:val="en-GB"/>
            </w:rPr>
            <w:t>V</w:t>
          </w:r>
          <w:r>
            <w:rPr>
              <w:rFonts w:ascii="Times New Roman" w:hAnsi="Times New Roman" w:cs="Times New Roman"/>
              <w:sz w:val="44"/>
              <w:szCs w:val="44"/>
              <w:lang w:val="en-GB"/>
            </w:rPr>
            <w:t>olume 1</w:t>
          </w:r>
        </w:p>
        <w:p w14:paraId="2F31B249" w14:textId="547804B7" w:rsidR="00382D63" w:rsidRDefault="00F12CB7">
          <w:pPr>
            <w:pStyle w:val="TOC1"/>
            <w:rPr>
              <w:rFonts w:asciiTheme="minorHAnsi" w:eastAsiaTheme="minorEastAsia" w:hAnsiTheme="minorHAnsi" w:cstheme="minorBidi"/>
              <w:sz w:val="22"/>
              <w:szCs w:val="22"/>
              <w:lang w:val="en-US"/>
            </w:rPr>
          </w:pPr>
          <w:r w:rsidRPr="006F3B00">
            <w:rPr>
              <w:sz w:val="24"/>
              <w:szCs w:val="24"/>
            </w:rPr>
            <w:fldChar w:fldCharType="begin"/>
          </w:r>
          <w:r w:rsidRPr="006F3B00">
            <w:rPr>
              <w:sz w:val="24"/>
              <w:szCs w:val="24"/>
            </w:rPr>
            <w:instrText xml:space="preserve"> TOC \o "1-3" \h \z \u </w:instrText>
          </w:r>
          <w:r w:rsidRPr="006F3B00">
            <w:rPr>
              <w:sz w:val="24"/>
              <w:szCs w:val="24"/>
            </w:rPr>
            <w:fldChar w:fldCharType="separate"/>
          </w:r>
          <w:hyperlink w:anchor="_Toc23243729" w:history="1">
            <w:r w:rsidR="00382D63" w:rsidRPr="001842A2">
              <w:rPr>
                <w:rStyle w:val="Hyperlink"/>
                <w:b/>
              </w:rPr>
              <w:t>Chapter 1</w:t>
            </w:r>
            <w:r w:rsidR="00382D63">
              <w:rPr>
                <w:webHidden/>
              </w:rPr>
              <w:tab/>
            </w:r>
            <w:r w:rsidR="00382D63">
              <w:rPr>
                <w:webHidden/>
              </w:rPr>
              <w:fldChar w:fldCharType="begin"/>
            </w:r>
            <w:r w:rsidR="00382D63">
              <w:rPr>
                <w:webHidden/>
              </w:rPr>
              <w:instrText xml:space="preserve"> PAGEREF _Toc23243729 \h </w:instrText>
            </w:r>
            <w:r w:rsidR="00382D63">
              <w:rPr>
                <w:webHidden/>
              </w:rPr>
            </w:r>
            <w:r w:rsidR="00382D63">
              <w:rPr>
                <w:webHidden/>
              </w:rPr>
              <w:fldChar w:fldCharType="separate"/>
            </w:r>
            <w:r w:rsidR="00382D63">
              <w:rPr>
                <w:webHidden/>
              </w:rPr>
              <w:t>1</w:t>
            </w:r>
            <w:r w:rsidR="00382D63">
              <w:rPr>
                <w:webHidden/>
              </w:rPr>
              <w:fldChar w:fldCharType="end"/>
            </w:r>
          </w:hyperlink>
        </w:p>
        <w:p w14:paraId="20916287" w14:textId="17DDCC97" w:rsidR="00382D63" w:rsidRDefault="00200483">
          <w:pPr>
            <w:pStyle w:val="TOC1"/>
            <w:rPr>
              <w:rFonts w:asciiTheme="minorHAnsi" w:eastAsiaTheme="minorEastAsia" w:hAnsiTheme="minorHAnsi" w:cstheme="minorBidi"/>
              <w:sz w:val="22"/>
              <w:szCs w:val="22"/>
              <w:lang w:val="en-US"/>
            </w:rPr>
          </w:pPr>
          <w:hyperlink w:anchor="_Toc23243730" w:history="1">
            <w:r w:rsidR="00382D63" w:rsidRPr="001842A2">
              <w:rPr>
                <w:rStyle w:val="Hyperlink"/>
                <w:b/>
              </w:rPr>
              <w:t>Literature review</w:t>
            </w:r>
            <w:r w:rsidR="00382D63">
              <w:rPr>
                <w:webHidden/>
              </w:rPr>
              <w:tab/>
            </w:r>
            <w:r w:rsidR="00382D63">
              <w:rPr>
                <w:webHidden/>
              </w:rPr>
              <w:fldChar w:fldCharType="begin"/>
            </w:r>
            <w:r w:rsidR="00382D63">
              <w:rPr>
                <w:webHidden/>
              </w:rPr>
              <w:instrText xml:space="preserve"> PAGEREF _Toc23243730 \h </w:instrText>
            </w:r>
            <w:r w:rsidR="00382D63">
              <w:rPr>
                <w:webHidden/>
              </w:rPr>
            </w:r>
            <w:r w:rsidR="00382D63">
              <w:rPr>
                <w:webHidden/>
              </w:rPr>
              <w:fldChar w:fldCharType="separate"/>
            </w:r>
            <w:r w:rsidR="00382D63">
              <w:rPr>
                <w:webHidden/>
              </w:rPr>
              <w:t>1</w:t>
            </w:r>
            <w:r w:rsidR="00382D63">
              <w:rPr>
                <w:webHidden/>
              </w:rPr>
              <w:fldChar w:fldCharType="end"/>
            </w:r>
          </w:hyperlink>
        </w:p>
        <w:p w14:paraId="047D9DE1" w14:textId="293FEF4B" w:rsidR="00382D63" w:rsidRDefault="00200483">
          <w:pPr>
            <w:pStyle w:val="TOC1"/>
            <w:rPr>
              <w:rFonts w:asciiTheme="minorHAnsi" w:eastAsiaTheme="minorEastAsia" w:hAnsiTheme="minorHAnsi" w:cstheme="minorBidi"/>
              <w:sz w:val="22"/>
              <w:szCs w:val="22"/>
              <w:lang w:val="en-US"/>
            </w:rPr>
          </w:pPr>
          <w:hyperlink w:anchor="_Toc23243731" w:history="1">
            <w:r w:rsidR="00382D63" w:rsidRPr="001842A2">
              <w:rPr>
                <w:rStyle w:val="Hyperlink"/>
                <w:b/>
              </w:rPr>
              <w:t>1.1 Assessment</w:t>
            </w:r>
            <w:r w:rsidR="00382D63">
              <w:rPr>
                <w:webHidden/>
              </w:rPr>
              <w:tab/>
            </w:r>
            <w:r w:rsidR="00382D63">
              <w:rPr>
                <w:webHidden/>
              </w:rPr>
              <w:fldChar w:fldCharType="begin"/>
            </w:r>
            <w:r w:rsidR="00382D63">
              <w:rPr>
                <w:webHidden/>
              </w:rPr>
              <w:instrText xml:space="preserve"> PAGEREF _Toc23243731 \h </w:instrText>
            </w:r>
            <w:r w:rsidR="00382D63">
              <w:rPr>
                <w:webHidden/>
              </w:rPr>
            </w:r>
            <w:r w:rsidR="00382D63">
              <w:rPr>
                <w:webHidden/>
              </w:rPr>
              <w:fldChar w:fldCharType="separate"/>
            </w:r>
            <w:r w:rsidR="00382D63">
              <w:rPr>
                <w:webHidden/>
              </w:rPr>
              <w:t>2</w:t>
            </w:r>
            <w:r w:rsidR="00382D63">
              <w:rPr>
                <w:webHidden/>
              </w:rPr>
              <w:fldChar w:fldCharType="end"/>
            </w:r>
          </w:hyperlink>
        </w:p>
        <w:p w14:paraId="621E6321" w14:textId="01FCF6ED" w:rsidR="00382D63" w:rsidRDefault="00200483">
          <w:pPr>
            <w:pStyle w:val="TOC2"/>
            <w:rPr>
              <w:rFonts w:asciiTheme="minorHAnsi" w:eastAsiaTheme="minorEastAsia" w:hAnsiTheme="minorHAnsi" w:cstheme="minorBidi"/>
              <w:lang w:val="en-US"/>
            </w:rPr>
          </w:pPr>
          <w:hyperlink w:anchor="_Toc23243732" w:history="1">
            <w:r w:rsidR="00382D63" w:rsidRPr="001842A2">
              <w:rPr>
                <w:rStyle w:val="Hyperlink"/>
              </w:rPr>
              <w:t>1.1.1 Introduction</w:t>
            </w:r>
            <w:r w:rsidR="00382D63">
              <w:rPr>
                <w:webHidden/>
              </w:rPr>
              <w:tab/>
            </w:r>
            <w:r w:rsidR="00382D63">
              <w:rPr>
                <w:webHidden/>
              </w:rPr>
              <w:fldChar w:fldCharType="begin"/>
            </w:r>
            <w:r w:rsidR="00382D63">
              <w:rPr>
                <w:webHidden/>
              </w:rPr>
              <w:instrText xml:space="preserve"> PAGEREF _Toc23243732 \h </w:instrText>
            </w:r>
            <w:r w:rsidR="00382D63">
              <w:rPr>
                <w:webHidden/>
              </w:rPr>
            </w:r>
            <w:r w:rsidR="00382D63">
              <w:rPr>
                <w:webHidden/>
              </w:rPr>
              <w:fldChar w:fldCharType="separate"/>
            </w:r>
            <w:r w:rsidR="00382D63">
              <w:rPr>
                <w:webHidden/>
              </w:rPr>
              <w:t>2</w:t>
            </w:r>
            <w:r w:rsidR="00382D63">
              <w:rPr>
                <w:webHidden/>
              </w:rPr>
              <w:fldChar w:fldCharType="end"/>
            </w:r>
          </w:hyperlink>
        </w:p>
        <w:p w14:paraId="42CDD124" w14:textId="28731FB6" w:rsidR="00382D63" w:rsidRDefault="00200483">
          <w:pPr>
            <w:pStyle w:val="TOC2"/>
            <w:rPr>
              <w:rFonts w:asciiTheme="minorHAnsi" w:eastAsiaTheme="minorEastAsia" w:hAnsiTheme="minorHAnsi" w:cstheme="minorBidi"/>
              <w:lang w:val="en-US"/>
            </w:rPr>
          </w:pPr>
          <w:hyperlink w:anchor="_Toc23243733" w:history="1">
            <w:r w:rsidR="00382D63" w:rsidRPr="001842A2">
              <w:rPr>
                <w:rStyle w:val="Hyperlink"/>
              </w:rPr>
              <w:t>1.1.2 Categories of assessment</w:t>
            </w:r>
            <w:r w:rsidR="00382D63">
              <w:rPr>
                <w:webHidden/>
              </w:rPr>
              <w:tab/>
            </w:r>
            <w:r w:rsidR="00382D63">
              <w:rPr>
                <w:webHidden/>
              </w:rPr>
              <w:fldChar w:fldCharType="begin"/>
            </w:r>
            <w:r w:rsidR="00382D63">
              <w:rPr>
                <w:webHidden/>
              </w:rPr>
              <w:instrText xml:space="preserve"> PAGEREF _Toc23243733 \h </w:instrText>
            </w:r>
            <w:r w:rsidR="00382D63">
              <w:rPr>
                <w:webHidden/>
              </w:rPr>
            </w:r>
            <w:r w:rsidR="00382D63">
              <w:rPr>
                <w:webHidden/>
              </w:rPr>
              <w:fldChar w:fldCharType="separate"/>
            </w:r>
            <w:r w:rsidR="00382D63">
              <w:rPr>
                <w:webHidden/>
              </w:rPr>
              <w:t>4</w:t>
            </w:r>
            <w:r w:rsidR="00382D63">
              <w:rPr>
                <w:webHidden/>
              </w:rPr>
              <w:fldChar w:fldCharType="end"/>
            </w:r>
          </w:hyperlink>
        </w:p>
        <w:p w14:paraId="6CDD17FC" w14:textId="7A1A8739" w:rsidR="00382D63" w:rsidRDefault="00200483">
          <w:pPr>
            <w:pStyle w:val="TOC3"/>
            <w:rPr>
              <w:lang w:eastAsia="en-US"/>
            </w:rPr>
          </w:pPr>
          <w:hyperlink w:anchor="_Toc23243734" w:history="1">
            <w:r w:rsidR="00382D63" w:rsidRPr="001842A2">
              <w:rPr>
                <w:rStyle w:val="Hyperlink"/>
                <w:rFonts w:ascii="Times New Roman" w:hAnsi="Times New Roman" w:cs="Times New Roman"/>
              </w:rPr>
              <w:t>1.1.2.1 Summative assessment</w:t>
            </w:r>
            <w:r w:rsidR="00382D63">
              <w:rPr>
                <w:webHidden/>
              </w:rPr>
              <w:tab/>
            </w:r>
            <w:r w:rsidR="00382D63">
              <w:rPr>
                <w:webHidden/>
              </w:rPr>
              <w:fldChar w:fldCharType="begin"/>
            </w:r>
            <w:r w:rsidR="00382D63">
              <w:rPr>
                <w:webHidden/>
              </w:rPr>
              <w:instrText xml:space="preserve"> PAGEREF _Toc23243734 \h </w:instrText>
            </w:r>
            <w:r w:rsidR="00382D63">
              <w:rPr>
                <w:webHidden/>
              </w:rPr>
            </w:r>
            <w:r w:rsidR="00382D63">
              <w:rPr>
                <w:webHidden/>
              </w:rPr>
              <w:fldChar w:fldCharType="separate"/>
            </w:r>
            <w:r w:rsidR="00382D63">
              <w:rPr>
                <w:webHidden/>
              </w:rPr>
              <w:t>4</w:t>
            </w:r>
            <w:r w:rsidR="00382D63">
              <w:rPr>
                <w:webHidden/>
              </w:rPr>
              <w:fldChar w:fldCharType="end"/>
            </w:r>
          </w:hyperlink>
        </w:p>
        <w:p w14:paraId="78EE0A71" w14:textId="7F8BE3F6" w:rsidR="00382D63" w:rsidRDefault="00200483">
          <w:pPr>
            <w:pStyle w:val="TOC3"/>
            <w:rPr>
              <w:lang w:eastAsia="en-US"/>
            </w:rPr>
          </w:pPr>
          <w:hyperlink w:anchor="_Toc23243735" w:history="1">
            <w:r w:rsidR="00382D63" w:rsidRPr="001842A2">
              <w:rPr>
                <w:rStyle w:val="Hyperlink"/>
                <w:rFonts w:ascii="Times New Roman" w:hAnsi="Times New Roman" w:cs="Times New Roman"/>
              </w:rPr>
              <w:t>1.2.2.2 Formative assessment</w:t>
            </w:r>
            <w:r w:rsidR="00382D63">
              <w:rPr>
                <w:webHidden/>
              </w:rPr>
              <w:tab/>
            </w:r>
            <w:r w:rsidR="00382D63">
              <w:rPr>
                <w:webHidden/>
              </w:rPr>
              <w:fldChar w:fldCharType="begin"/>
            </w:r>
            <w:r w:rsidR="00382D63">
              <w:rPr>
                <w:webHidden/>
              </w:rPr>
              <w:instrText xml:space="preserve"> PAGEREF _Toc23243735 \h </w:instrText>
            </w:r>
            <w:r w:rsidR="00382D63">
              <w:rPr>
                <w:webHidden/>
              </w:rPr>
            </w:r>
            <w:r w:rsidR="00382D63">
              <w:rPr>
                <w:webHidden/>
              </w:rPr>
              <w:fldChar w:fldCharType="separate"/>
            </w:r>
            <w:r w:rsidR="00382D63">
              <w:rPr>
                <w:webHidden/>
              </w:rPr>
              <w:t>5</w:t>
            </w:r>
            <w:r w:rsidR="00382D63">
              <w:rPr>
                <w:webHidden/>
              </w:rPr>
              <w:fldChar w:fldCharType="end"/>
            </w:r>
          </w:hyperlink>
        </w:p>
        <w:p w14:paraId="5F138078" w14:textId="2CD2FEE7" w:rsidR="00382D63" w:rsidRDefault="00200483">
          <w:pPr>
            <w:pStyle w:val="TOC2"/>
            <w:rPr>
              <w:rFonts w:asciiTheme="minorHAnsi" w:eastAsiaTheme="minorEastAsia" w:hAnsiTheme="minorHAnsi" w:cstheme="minorBidi"/>
              <w:lang w:val="en-US"/>
            </w:rPr>
          </w:pPr>
          <w:hyperlink w:anchor="_Toc23243736" w:history="1">
            <w:r w:rsidR="00382D63" w:rsidRPr="001842A2">
              <w:rPr>
                <w:rStyle w:val="Hyperlink"/>
              </w:rPr>
              <w:t>1.1.3 Assessment for learning</w:t>
            </w:r>
            <w:r w:rsidR="00382D63">
              <w:rPr>
                <w:webHidden/>
              </w:rPr>
              <w:tab/>
            </w:r>
            <w:r w:rsidR="00382D63">
              <w:rPr>
                <w:webHidden/>
              </w:rPr>
              <w:fldChar w:fldCharType="begin"/>
            </w:r>
            <w:r w:rsidR="00382D63">
              <w:rPr>
                <w:webHidden/>
              </w:rPr>
              <w:instrText xml:space="preserve"> PAGEREF _Toc23243736 \h </w:instrText>
            </w:r>
            <w:r w:rsidR="00382D63">
              <w:rPr>
                <w:webHidden/>
              </w:rPr>
            </w:r>
            <w:r w:rsidR="00382D63">
              <w:rPr>
                <w:webHidden/>
              </w:rPr>
              <w:fldChar w:fldCharType="separate"/>
            </w:r>
            <w:r w:rsidR="00382D63">
              <w:rPr>
                <w:webHidden/>
              </w:rPr>
              <w:t>7</w:t>
            </w:r>
            <w:r w:rsidR="00382D63">
              <w:rPr>
                <w:webHidden/>
              </w:rPr>
              <w:fldChar w:fldCharType="end"/>
            </w:r>
          </w:hyperlink>
        </w:p>
        <w:p w14:paraId="0A345955" w14:textId="17153A5E" w:rsidR="00382D63" w:rsidRDefault="00200483">
          <w:pPr>
            <w:pStyle w:val="TOC2"/>
            <w:rPr>
              <w:rFonts w:asciiTheme="minorHAnsi" w:eastAsiaTheme="minorEastAsia" w:hAnsiTheme="minorHAnsi" w:cstheme="minorBidi"/>
              <w:lang w:val="en-US"/>
            </w:rPr>
          </w:pPr>
          <w:hyperlink w:anchor="_Toc23243737" w:history="1">
            <w:r w:rsidR="00382D63" w:rsidRPr="001842A2">
              <w:rPr>
                <w:rStyle w:val="Hyperlink"/>
              </w:rPr>
              <w:t>1.1.4 Standards in assessment</w:t>
            </w:r>
            <w:r w:rsidR="00382D63">
              <w:rPr>
                <w:webHidden/>
              </w:rPr>
              <w:tab/>
            </w:r>
            <w:r w:rsidR="00382D63">
              <w:rPr>
                <w:webHidden/>
              </w:rPr>
              <w:fldChar w:fldCharType="begin"/>
            </w:r>
            <w:r w:rsidR="00382D63">
              <w:rPr>
                <w:webHidden/>
              </w:rPr>
              <w:instrText xml:space="preserve"> PAGEREF _Toc23243737 \h </w:instrText>
            </w:r>
            <w:r w:rsidR="00382D63">
              <w:rPr>
                <w:webHidden/>
              </w:rPr>
            </w:r>
            <w:r w:rsidR="00382D63">
              <w:rPr>
                <w:webHidden/>
              </w:rPr>
              <w:fldChar w:fldCharType="separate"/>
            </w:r>
            <w:r w:rsidR="00382D63">
              <w:rPr>
                <w:webHidden/>
              </w:rPr>
              <w:t>9</w:t>
            </w:r>
            <w:r w:rsidR="00382D63">
              <w:rPr>
                <w:webHidden/>
              </w:rPr>
              <w:fldChar w:fldCharType="end"/>
            </w:r>
          </w:hyperlink>
        </w:p>
        <w:p w14:paraId="1553CE46" w14:textId="6995005D" w:rsidR="00382D63" w:rsidRDefault="00200483">
          <w:pPr>
            <w:pStyle w:val="TOC3"/>
            <w:rPr>
              <w:lang w:eastAsia="en-US"/>
            </w:rPr>
          </w:pPr>
          <w:hyperlink w:anchor="_Toc23243738" w:history="1">
            <w:r w:rsidR="00382D63" w:rsidRPr="001842A2">
              <w:rPr>
                <w:rStyle w:val="Hyperlink"/>
                <w:rFonts w:ascii="Times New Roman" w:hAnsi="Times New Roman" w:cs="Times New Roman"/>
                <w:b/>
              </w:rPr>
              <w:t>1.1.4.1 Angoff method</w:t>
            </w:r>
            <w:r w:rsidR="00382D63">
              <w:rPr>
                <w:webHidden/>
              </w:rPr>
              <w:tab/>
            </w:r>
            <w:r w:rsidR="00382D63">
              <w:rPr>
                <w:webHidden/>
              </w:rPr>
              <w:fldChar w:fldCharType="begin"/>
            </w:r>
            <w:r w:rsidR="00382D63">
              <w:rPr>
                <w:webHidden/>
              </w:rPr>
              <w:instrText xml:space="preserve"> PAGEREF _Toc23243738 \h </w:instrText>
            </w:r>
            <w:r w:rsidR="00382D63">
              <w:rPr>
                <w:webHidden/>
              </w:rPr>
            </w:r>
            <w:r w:rsidR="00382D63">
              <w:rPr>
                <w:webHidden/>
              </w:rPr>
              <w:fldChar w:fldCharType="separate"/>
            </w:r>
            <w:r w:rsidR="00382D63">
              <w:rPr>
                <w:webHidden/>
              </w:rPr>
              <w:t>11</w:t>
            </w:r>
            <w:r w:rsidR="00382D63">
              <w:rPr>
                <w:webHidden/>
              </w:rPr>
              <w:fldChar w:fldCharType="end"/>
            </w:r>
          </w:hyperlink>
        </w:p>
        <w:p w14:paraId="4B1D1657" w14:textId="4F1CF70C" w:rsidR="00382D63" w:rsidRDefault="00200483">
          <w:pPr>
            <w:pStyle w:val="TOC3"/>
            <w:rPr>
              <w:lang w:eastAsia="en-US"/>
            </w:rPr>
          </w:pPr>
          <w:hyperlink w:anchor="_Toc23243739" w:history="1">
            <w:r w:rsidR="00382D63" w:rsidRPr="001842A2">
              <w:rPr>
                <w:rStyle w:val="Hyperlink"/>
                <w:rFonts w:ascii="Times New Roman" w:hAnsi="Times New Roman" w:cs="Times New Roman"/>
                <w:b/>
              </w:rPr>
              <w:t>1.1.4.2. Borderline regression method</w:t>
            </w:r>
            <w:r w:rsidR="00382D63">
              <w:rPr>
                <w:webHidden/>
              </w:rPr>
              <w:tab/>
            </w:r>
            <w:r w:rsidR="00382D63">
              <w:rPr>
                <w:webHidden/>
              </w:rPr>
              <w:fldChar w:fldCharType="begin"/>
            </w:r>
            <w:r w:rsidR="00382D63">
              <w:rPr>
                <w:webHidden/>
              </w:rPr>
              <w:instrText xml:space="preserve"> PAGEREF _Toc23243739 \h </w:instrText>
            </w:r>
            <w:r w:rsidR="00382D63">
              <w:rPr>
                <w:webHidden/>
              </w:rPr>
            </w:r>
            <w:r w:rsidR="00382D63">
              <w:rPr>
                <w:webHidden/>
              </w:rPr>
              <w:fldChar w:fldCharType="separate"/>
            </w:r>
            <w:r w:rsidR="00382D63">
              <w:rPr>
                <w:webHidden/>
              </w:rPr>
              <w:t>11</w:t>
            </w:r>
            <w:r w:rsidR="00382D63">
              <w:rPr>
                <w:webHidden/>
              </w:rPr>
              <w:fldChar w:fldCharType="end"/>
            </w:r>
          </w:hyperlink>
        </w:p>
        <w:p w14:paraId="35EEE950" w14:textId="1AA91D65" w:rsidR="00382D63" w:rsidRDefault="00200483">
          <w:pPr>
            <w:pStyle w:val="TOC2"/>
            <w:rPr>
              <w:rFonts w:asciiTheme="minorHAnsi" w:eastAsiaTheme="minorEastAsia" w:hAnsiTheme="minorHAnsi" w:cstheme="minorBidi"/>
              <w:lang w:val="en-US"/>
            </w:rPr>
          </w:pPr>
          <w:hyperlink w:anchor="_Toc23243740" w:history="1">
            <w:r w:rsidR="00382D63" w:rsidRPr="001842A2">
              <w:rPr>
                <w:rStyle w:val="Hyperlink"/>
              </w:rPr>
              <w:t>1.1.5 Utility of assessment</w:t>
            </w:r>
            <w:r w:rsidR="00382D63">
              <w:rPr>
                <w:webHidden/>
              </w:rPr>
              <w:tab/>
            </w:r>
            <w:r w:rsidR="00382D63">
              <w:rPr>
                <w:webHidden/>
              </w:rPr>
              <w:fldChar w:fldCharType="begin"/>
            </w:r>
            <w:r w:rsidR="00382D63">
              <w:rPr>
                <w:webHidden/>
              </w:rPr>
              <w:instrText xml:space="preserve"> PAGEREF _Toc23243740 \h </w:instrText>
            </w:r>
            <w:r w:rsidR="00382D63">
              <w:rPr>
                <w:webHidden/>
              </w:rPr>
            </w:r>
            <w:r w:rsidR="00382D63">
              <w:rPr>
                <w:webHidden/>
              </w:rPr>
              <w:fldChar w:fldCharType="separate"/>
            </w:r>
            <w:r w:rsidR="00382D63">
              <w:rPr>
                <w:webHidden/>
              </w:rPr>
              <w:t>12</w:t>
            </w:r>
            <w:r w:rsidR="00382D63">
              <w:rPr>
                <w:webHidden/>
              </w:rPr>
              <w:fldChar w:fldCharType="end"/>
            </w:r>
          </w:hyperlink>
        </w:p>
        <w:p w14:paraId="29797682" w14:textId="2E9E95E9" w:rsidR="00382D63" w:rsidRDefault="00200483">
          <w:pPr>
            <w:pStyle w:val="TOC3"/>
            <w:rPr>
              <w:lang w:eastAsia="en-US"/>
            </w:rPr>
          </w:pPr>
          <w:hyperlink w:anchor="_Toc23243741" w:history="1">
            <w:r w:rsidR="00382D63" w:rsidRPr="001842A2">
              <w:rPr>
                <w:rStyle w:val="Hyperlink"/>
                <w:rFonts w:ascii="Times New Roman" w:hAnsi="Times New Roman" w:cs="Times New Roman"/>
              </w:rPr>
              <w:t>1.1.5.1 Reliability</w:t>
            </w:r>
            <w:r w:rsidR="00382D63">
              <w:rPr>
                <w:webHidden/>
              </w:rPr>
              <w:tab/>
            </w:r>
            <w:r w:rsidR="00382D63">
              <w:rPr>
                <w:webHidden/>
              </w:rPr>
              <w:fldChar w:fldCharType="begin"/>
            </w:r>
            <w:r w:rsidR="00382D63">
              <w:rPr>
                <w:webHidden/>
              </w:rPr>
              <w:instrText xml:space="preserve"> PAGEREF _Toc23243741 \h </w:instrText>
            </w:r>
            <w:r w:rsidR="00382D63">
              <w:rPr>
                <w:webHidden/>
              </w:rPr>
            </w:r>
            <w:r w:rsidR="00382D63">
              <w:rPr>
                <w:webHidden/>
              </w:rPr>
              <w:fldChar w:fldCharType="separate"/>
            </w:r>
            <w:r w:rsidR="00382D63">
              <w:rPr>
                <w:webHidden/>
              </w:rPr>
              <w:t>13</w:t>
            </w:r>
            <w:r w:rsidR="00382D63">
              <w:rPr>
                <w:webHidden/>
              </w:rPr>
              <w:fldChar w:fldCharType="end"/>
            </w:r>
          </w:hyperlink>
        </w:p>
        <w:p w14:paraId="33C427E7" w14:textId="09310E50" w:rsidR="00382D63" w:rsidRDefault="00200483">
          <w:pPr>
            <w:pStyle w:val="TOC3"/>
            <w:rPr>
              <w:lang w:eastAsia="en-US"/>
            </w:rPr>
          </w:pPr>
          <w:hyperlink w:anchor="_Toc23243742" w:history="1">
            <w:r w:rsidR="00382D63" w:rsidRPr="001842A2">
              <w:rPr>
                <w:rStyle w:val="Hyperlink"/>
                <w:rFonts w:ascii="Times New Roman" w:hAnsi="Times New Roman" w:cs="Times New Roman"/>
              </w:rPr>
              <w:t>1.1.5.2 Validity</w:t>
            </w:r>
            <w:r w:rsidR="00382D63">
              <w:rPr>
                <w:webHidden/>
              </w:rPr>
              <w:tab/>
            </w:r>
            <w:r w:rsidR="00382D63">
              <w:rPr>
                <w:webHidden/>
              </w:rPr>
              <w:fldChar w:fldCharType="begin"/>
            </w:r>
            <w:r w:rsidR="00382D63">
              <w:rPr>
                <w:webHidden/>
              </w:rPr>
              <w:instrText xml:space="preserve"> PAGEREF _Toc23243742 \h </w:instrText>
            </w:r>
            <w:r w:rsidR="00382D63">
              <w:rPr>
                <w:webHidden/>
              </w:rPr>
            </w:r>
            <w:r w:rsidR="00382D63">
              <w:rPr>
                <w:webHidden/>
              </w:rPr>
              <w:fldChar w:fldCharType="separate"/>
            </w:r>
            <w:r w:rsidR="00382D63">
              <w:rPr>
                <w:webHidden/>
              </w:rPr>
              <w:t>16</w:t>
            </w:r>
            <w:r w:rsidR="00382D63">
              <w:rPr>
                <w:webHidden/>
              </w:rPr>
              <w:fldChar w:fldCharType="end"/>
            </w:r>
          </w:hyperlink>
        </w:p>
        <w:p w14:paraId="073B981F" w14:textId="7586ACB0" w:rsidR="00382D63" w:rsidRDefault="00200483">
          <w:pPr>
            <w:pStyle w:val="TOC3"/>
            <w:rPr>
              <w:lang w:eastAsia="en-US"/>
            </w:rPr>
          </w:pPr>
          <w:hyperlink w:anchor="_Toc23243743" w:history="1">
            <w:r w:rsidR="00382D63" w:rsidRPr="001842A2">
              <w:rPr>
                <w:rStyle w:val="Hyperlink"/>
                <w:rFonts w:ascii="Times New Roman" w:hAnsi="Times New Roman" w:cs="Times New Roman"/>
              </w:rPr>
              <w:t>1.1.5.3 Educational value</w:t>
            </w:r>
            <w:r w:rsidR="00382D63">
              <w:rPr>
                <w:webHidden/>
              </w:rPr>
              <w:tab/>
            </w:r>
            <w:r w:rsidR="00382D63">
              <w:rPr>
                <w:webHidden/>
              </w:rPr>
              <w:fldChar w:fldCharType="begin"/>
            </w:r>
            <w:r w:rsidR="00382D63">
              <w:rPr>
                <w:webHidden/>
              </w:rPr>
              <w:instrText xml:space="preserve"> PAGEREF _Toc23243743 \h </w:instrText>
            </w:r>
            <w:r w:rsidR="00382D63">
              <w:rPr>
                <w:webHidden/>
              </w:rPr>
            </w:r>
            <w:r w:rsidR="00382D63">
              <w:rPr>
                <w:webHidden/>
              </w:rPr>
              <w:fldChar w:fldCharType="separate"/>
            </w:r>
            <w:r w:rsidR="00382D63">
              <w:rPr>
                <w:webHidden/>
              </w:rPr>
              <w:t>21</w:t>
            </w:r>
            <w:r w:rsidR="00382D63">
              <w:rPr>
                <w:webHidden/>
              </w:rPr>
              <w:fldChar w:fldCharType="end"/>
            </w:r>
          </w:hyperlink>
        </w:p>
        <w:p w14:paraId="14479084" w14:textId="5BB541CC" w:rsidR="00382D63" w:rsidRDefault="00200483">
          <w:pPr>
            <w:pStyle w:val="TOC3"/>
            <w:rPr>
              <w:lang w:eastAsia="en-US"/>
            </w:rPr>
          </w:pPr>
          <w:hyperlink w:anchor="_Toc23243744" w:history="1">
            <w:r w:rsidR="00382D63" w:rsidRPr="001842A2">
              <w:rPr>
                <w:rStyle w:val="Hyperlink"/>
                <w:rFonts w:ascii="Times New Roman" w:hAnsi="Times New Roman" w:cs="Times New Roman"/>
              </w:rPr>
              <w:t>1.1.5.4 Acceptability</w:t>
            </w:r>
            <w:r w:rsidR="00382D63">
              <w:rPr>
                <w:webHidden/>
              </w:rPr>
              <w:tab/>
            </w:r>
            <w:r w:rsidR="00382D63">
              <w:rPr>
                <w:webHidden/>
              </w:rPr>
              <w:fldChar w:fldCharType="begin"/>
            </w:r>
            <w:r w:rsidR="00382D63">
              <w:rPr>
                <w:webHidden/>
              </w:rPr>
              <w:instrText xml:space="preserve"> PAGEREF _Toc23243744 \h </w:instrText>
            </w:r>
            <w:r w:rsidR="00382D63">
              <w:rPr>
                <w:webHidden/>
              </w:rPr>
            </w:r>
            <w:r w:rsidR="00382D63">
              <w:rPr>
                <w:webHidden/>
              </w:rPr>
              <w:fldChar w:fldCharType="separate"/>
            </w:r>
            <w:r w:rsidR="00382D63">
              <w:rPr>
                <w:webHidden/>
              </w:rPr>
              <w:t>22</w:t>
            </w:r>
            <w:r w:rsidR="00382D63">
              <w:rPr>
                <w:webHidden/>
              </w:rPr>
              <w:fldChar w:fldCharType="end"/>
            </w:r>
          </w:hyperlink>
        </w:p>
        <w:p w14:paraId="187FD4B9" w14:textId="066BD8BC" w:rsidR="00382D63" w:rsidRDefault="00200483">
          <w:pPr>
            <w:pStyle w:val="TOC3"/>
            <w:rPr>
              <w:lang w:eastAsia="en-US"/>
            </w:rPr>
          </w:pPr>
          <w:hyperlink w:anchor="_Toc23243745" w:history="1">
            <w:r w:rsidR="00382D63" w:rsidRPr="001842A2">
              <w:rPr>
                <w:rStyle w:val="Hyperlink"/>
                <w:rFonts w:ascii="Times New Roman" w:hAnsi="Times New Roman" w:cs="Times New Roman"/>
                <w:b/>
              </w:rPr>
              <w:t>1.1.5.5 Cost</w:t>
            </w:r>
            <w:r w:rsidR="00382D63">
              <w:rPr>
                <w:webHidden/>
              </w:rPr>
              <w:tab/>
            </w:r>
            <w:r w:rsidR="00382D63">
              <w:rPr>
                <w:webHidden/>
              </w:rPr>
              <w:fldChar w:fldCharType="begin"/>
            </w:r>
            <w:r w:rsidR="00382D63">
              <w:rPr>
                <w:webHidden/>
              </w:rPr>
              <w:instrText xml:space="preserve"> PAGEREF _Toc23243745 \h </w:instrText>
            </w:r>
            <w:r w:rsidR="00382D63">
              <w:rPr>
                <w:webHidden/>
              </w:rPr>
            </w:r>
            <w:r w:rsidR="00382D63">
              <w:rPr>
                <w:webHidden/>
              </w:rPr>
              <w:fldChar w:fldCharType="separate"/>
            </w:r>
            <w:r w:rsidR="00382D63">
              <w:rPr>
                <w:webHidden/>
              </w:rPr>
              <w:t>22</w:t>
            </w:r>
            <w:r w:rsidR="00382D63">
              <w:rPr>
                <w:webHidden/>
              </w:rPr>
              <w:fldChar w:fldCharType="end"/>
            </w:r>
          </w:hyperlink>
        </w:p>
        <w:p w14:paraId="7B107C98" w14:textId="44B58C92" w:rsidR="00382D63" w:rsidRDefault="00200483">
          <w:pPr>
            <w:pStyle w:val="TOC1"/>
            <w:rPr>
              <w:rFonts w:asciiTheme="minorHAnsi" w:eastAsiaTheme="minorEastAsia" w:hAnsiTheme="minorHAnsi" w:cstheme="minorBidi"/>
              <w:sz w:val="22"/>
              <w:szCs w:val="22"/>
              <w:lang w:val="en-US"/>
            </w:rPr>
          </w:pPr>
          <w:hyperlink w:anchor="_Toc23243746" w:history="1">
            <w:r w:rsidR="00382D63" w:rsidRPr="001842A2">
              <w:rPr>
                <w:rStyle w:val="Hyperlink"/>
                <w:b/>
              </w:rPr>
              <w:t>1.2 Competence and assessment of competence</w:t>
            </w:r>
            <w:r w:rsidR="00382D63">
              <w:rPr>
                <w:webHidden/>
              </w:rPr>
              <w:tab/>
            </w:r>
            <w:r w:rsidR="00382D63">
              <w:rPr>
                <w:webHidden/>
              </w:rPr>
              <w:fldChar w:fldCharType="begin"/>
            </w:r>
            <w:r w:rsidR="00382D63">
              <w:rPr>
                <w:webHidden/>
              </w:rPr>
              <w:instrText xml:space="preserve"> PAGEREF _Toc23243746 \h </w:instrText>
            </w:r>
            <w:r w:rsidR="00382D63">
              <w:rPr>
                <w:webHidden/>
              </w:rPr>
            </w:r>
            <w:r w:rsidR="00382D63">
              <w:rPr>
                <w:webHidden/>
              </w:rPr>
              <w:fldChar w:fldCharType="separate"/>
            </w:r>
            <w:r w:rsidR="00382D63">
              <w:rPr>
                <w:webHidden/>
              </w:rPr>
              <w:t>23</w:t>
            </w:r>
            <w:r w:rsidR="00382D63">
              <w:rPr>
                <w:webHidden/>
              </w:rPr>
              <w:fldChar w:fldCharType="end"/>
            </w:r>
          </w:hyperlink>
        </w:p>
        <w:p w14:paraId="4288C6AF" w14:textId="7646681A" w:rsidR="00382D63" w:rsidRDefault="00200483">
          <w:pPr>
            <w:pStyle w:val="TOC2"/>
            <w:rPr>
              <w:rFonts w:asciiTheme="minorHAnsi" w:eastAsiaTheme="minorEastAsia" w:hAnsiTheme="minorHAnsi" w:cstheme="minorBidi"/>
              <w:lang w:val="en-US"/>
            </w:rPr>
          </w:pPr>
          <w:hyperlink w:anchor="_Toc23243747" w:history="1">
            <w:r w:rsidR="00382D63" w:rsidRPr="001842A2">
              <w:rPr>
                <w:rStyle w:val="Hyperlink"/>
              </w:rPr>
              <w:t>1.2.1 Introduction</w:t>
            </w:r>
            <w:r w:rsidR="00382D63">
              <w:rPr>
                <w:webHidden/>
              </w:rPr>
              <w:tab/>
            </w:r>
            <w:r w:rsidR="00382D63">
              <w:rPr>
                <w:webHidden/>
              </w:rPr>
              <w:fldChar w:fldCharType="begin"/>
            </w:r>
            <w:r w:rsidR="00382D63">
              <w:rPr>
                <w:webHidden/>
              </w:rPr>
              <w:instrText xml:space="preserve"> PAGEREF _Toc23243747 \h </w:instrText>
            </w:r>
            <w:r w:rsidR="00382D63">
              <w:rPr>
                <w:webHidden/>
              </w:rPr>
            </w:r>
            <w:r w:rsidR="00382D63">
              <w:rPr>
                <w:webHidden/>
              </w:rPr>
              <w:fldChar w:fldCharType="separate"/>
            </w:r>
            <w:r w:rsidR="00382D63">
              <w:rPr>
                <w:webHidden/>
              </w:rPr>
              <w:t>23</w:t>
            </w:r>
            <w:r w:rsidR="00382D63">
              <w:rPr>
                <w:webHidden/>
              </w:rPr>
              <w:fldChar w:fldCharType="end"/>
            </w:r>
          </w:hyperlink>
        </w:p>
        <w:p w14:paraId="143AFDF8" w14:textId="3FA3CACD" w:rsidR="00382D63" w:rsidRDefault="00200483">
          <w:pPr>
            <w:pStyle w:val="TOC2"/>
            <w:rPr>
              <w:rFonts w:asciiTheme="minorHAnsi" w:eastAsiaTheme="minorEastAsia" w:hAnsiTheme="minorHAnsi" w:cstheme="minorBidi"/>
              <w:lang w:val="en-US"/>
            </w:rPr>
          </w:pPr>
          <w:hyperlink w:anchor="_Toc23243748" w:history="1">
            <w:r w:rsidR="00382D63" w:rsidRPr="001842A2">
              <w:rPr>
                <w:rStyle w:val="Hyperlink"/>
              </w:rPr>
              <w:t>1.2.2 The theory of competence</w:t>
            </w:r>
            <w:r w:rsidR="00382D63">
              <w:rPr>
                <w:webHidden/>
              </w:rPr>
              <w:tab/>
            </w:r>
            <w:r w:rsidR="00382D63">
              <w:rPr>
                <w:webHidden/>
              </w:rPr>
              <w:fldChar w:fldCharType="begin"/>
            </w:r>
            <w:r w:rsidR="00382D63">
              <w:rPr>
                <w:webHidden/>
              </w:rPr>
              <w:instrText xml:space="preserve"> PAGEREF _Toc23243748 \h </w:instrText>
            </w:r>
            <w:r w:rsidR="00382D63">
              <w:rPr>
                <w:webHidden/>
              </w:rPr>
            </w:r>
            <w:r w:rsidR="00382D63">
              <w:rPr>
                <w:webHidden/>
              </w:rPr>
              <w:fldChar w:fldCharType="separate"/>
            </w:r>
            <w:r w:rsidR="00382D63">
              <w:rPr>
                <w:webHidden/>
              </w:rPr>
              <w:t>25</w:t>
            </w:r>
            <w:r w:rsidR="00382D63">
              <w:rPr>
                <w:webHidden/>
              </w:rPr>
              <w:fldChar w:fldCharType="end"/>
            </w:r>
          </w:hyperlink>
        </w:p>
        <w:p w14:paraId="362DD721" w14:textId="712338CF" w:rsidR="00382D63" w:rsidRDefault="00200483">
          <w:pPr>
            <w:pStyle w:val="TOC3"/>
            <w:rPr>
              <w:lang w:eastAsia="en-US"/>
            </w:rPr>
          </w:pPr>
          <w:hyperlink w:anchor="_Toc23243749" w:history="1">
            <w:r w:rsidR="00382D63" w:rsidRPr="001842A2">
              <w:rPr>
                <w:rStyle w:val="Hyperlink"/>
                <w:rFonts w:ascii="Times New Roman" w:hAnsi="Times New Roman" w:cs="Times New Roman"/>
              </w:rPr>
              <w:t>1.2.2.1 Millers Pyramid and the Cambridge model: Competence versus performance</w:t>
            </w:r>
            <w:r w:rsidR="00382D63">
              <w:rPr>
                <w:webHidden/>
              </w:rPr>
              <w:tab/>
            </w:r>
            <w:r w:rsidR="00382D63">
              <w:rPr>
                <w:webHidden/>
              </w:rPr>
              <w:fldChar w:fldCharType="begin"/>
            </w:r>
            <w:r w:rsidR="00382D63">
              <w:rPr>
                <w:webHidden/>
              </w:rPr>
              <w:instrText xml:space="preserve"> PAGEREF _Toc23243749 \h </w:instrText>
            </w:r>
            <w:r w:rsidR="00382D63">
              <w:rPr>
                <w:webHidden/>
              </w:rPr>
            </w:r>
            <w:r w:rsidR="00382D63">
              <w:rPr>
                <w:webHidden/>
              </w:rPr>
              <w:fldChar w:fldCharType="separate"/>
            </w:r>
            <w:r w:rsidR="00382D63">
              <w:rPr>
                <w:webHidden/>
              </w:rPr>
              <w:t>25</w:t>
            </w:r>
            <w:r w:rsidR="00382D63">
              <w:rPr>
                <w:webHidden/>
              </w:rPr>
              <w:fldChar w:fldCharType="end"/>
            </w:r>
          </w:hyperlink>
        </w:p>
        <w:p w14:paraId="17A2E422" w14:textId="293D2414" w:rsidR="00382D63" w:rsidRDefault="00200483">
          <w:pPr>
            <w:pStyle w:val="TOC3"/>
            <w:rPr>
              <w:lang w:eastAsia="en-US"/>
            </w:rPr>
          </w:pPr>
          <w:hyperlink w:anchor="_Toc23243750" w:history="1">
            <w:r w:rsidR="00382D63" w:rsidRPr="001842A2">
              <w:rPr>
                <w:rStyle w:val="Hyperlink"/>
                <w:b/>
              </w:rPr>
              <w:t>1.2.2.2 Dreyfus and Dreyfus’ Skill Acquisition theory</w:t>
            </w:r>
            <w:r w:rsidR="00382D63">
              <w:rPr>
                <w:webHidden/>
              </w:rPr>
              <w:tab/>
            </w:r>
            <w:r w:rsidR="00382D63">
              <w:rPr>
                <w:webHidden/>
              </w:rPr>
              <w:fldChar w:fldCharType="begin"/>
            </w:r>
            <w:r w:rsidR="00382D63">
              <w:rPr>
                <w:webHidden/>
              </w:rPr>
              <w:instrText xml:space="preserve"> PAGEREF _Toc23243750 \h </w:instrText>
            </w:r>
            <w:r w:rsidR="00382D63">
              <w:rPr>
                <w:webHidden/>
              </w:rPr>
            </w:r>
            <w:r w:rsidR="00382D63">
              <w:rPr>
                <w:webHidden/>
              </w:rPr>
              <w:fldChar w:fldCharType="separate"/>
            </w:r>
            <w:r w:rsidR="00382D63">
              <w:rPr>
                <w:webHidden/>
              </w:rPr>
              <w:t>29</w:t>
            </w:r>
            <w:r w:rsidR="00382D63">
              <w:rPr>
                <w:webHidden/>
              </w:rPr>
              <w:fldChar w:fldCharType="end"/>
            </w:r>
          </w:hyperlink>
        </w:p>
        <w:p w14:paraId="5F16A957" w14:textId="7B7131CA" w:rsidR="00382D63" w:rsidRDefault="00200483">
          <w:pPr>
            <w:pStyle w:val="TOC3"/>
            <w:rPr>
              <w:lang w:eastAsia="en-US"/>
            </w:rPr>
          </w:pPr>
          <w:hyperlink w:anchor="_Toc23243751" w:history="1">
            <w:r w:rsidR="00382D63" w:rsidRPr="001842A2">
              <w:rPr>
                <w:rStyle w:val="Hyperlink"/>
                <w:rFonts w:ascii="Times New Roman" w:hAnsi="Times New Roman" w:cs="Times New Roman"/>
              </w:rPr>
              <w:t>1.2.2.3 Bloom’s taxonomy</w:t>
            </w:r>
            <w:r w:rsidR="00382D63">
              <w:rPr>
                <w:webHidden/>
              </w:rPr>
              <w:tab/>
            </w:r>
            <w:r w:rsidR="00382D63">
              <w:rPr>
                <w:webHidden/>
              </w:rPr>
              <w:fldChar w:fldCharType="begin"/>
            </w:r>
            <w:r w:rsidR="00382D63">
              <w:rPr>
                <w:webHidden/>
              </w:rPr>
              <w:instrText xml:space="preserve"> PAGEREF _Toc23243751 \h </w:instrText>
            </w:r>
            <w:r w:rsidR="00382D63">
              <w:rPr>
                <w:webHidden/>
              </w:rPr>
            </w:r>
            <w:r w:rsidR="00382D63">
              <w:rPr>
                <w:webHidden/>
              </w:rPr>
              <w:fldChar w:fldCharType="separate"/>
            </w:r>
            <w:r w:rsidR="00382D63">
              <w:rPr>
                <w:webHidden/>
              </w:rPr>
              <w:t>30</w:t>
            </w:r>
            <w:r w:rsidR="00382D63">
              <w:rPr>
                <w:webHidden/>
              </w:rPr>
              <w:fldChar w:fldCharType="end"/>
            </w:r>
          </w:hyperlink>
        </w:p>
        <w:p w14:paraId="036B6944" w14:textId="187C6130" w:rsidR="00382D63" w:rsidRDefault="00200483">
          <w:pPr>
            <w:pStyle w:val="TOC3"/>
            <w:rPr>
              <w:lang w:eastAsia="en-US"/>
            </w:rPr>
          </w:pPr>
          <w:hyperlink w:anchor="_Toc23243752" w:history="1">
            <w:r w:rsidR="00382D63" w:rsidRPr="001842A2">
              <w:rPr>
                <w:rStyle w:val="Hyperlink"/>
                <w:rFonts w:ascii="Times New Roman" w:hAnsi="Times New Roman" w:cs="Times New Roman"/>
              </w:rPr>
              <w:t>1.2.2.4 Carter’s taxonomy</w:t>
            </w:r>
            <w:r w:rsidR="00382D63">
              <w:rPr>
                <w:webHidden/>
              </w:rPr>
              <w:tab/>
            </w:r>
            <w:r w:rsidR="00382D63">
              <w:rPr>
                <w:webHidden/>
              </w:rPr>
              <w:fldChar w:fldCharType="begin"/>
            </w:r>
            <w:r w:rsidR="00382D63">
              <w:rPr>
                <w:webHidden/>
              </w:rPr>
              <w:instrText xml:space="preserve"> PAGEREF _Toc23243752 \h </w:instrText>
            </w:r>
            <w:r w:rsidR="00382D63">
              <w:rPr>
                <w:webHidden/>
              </w:rPr>
            </w:r>
            <w:r w:rsidR="00382D63">
              <w:rPr>
                <w:webHidden/>
              </w:rPr>
              <w:fldChar w:fldCharType="separate"/>
            </w:r>
            <w:r w:rsidR="00382D63">
              <w:rPr>
                <w:webHidden/>
              </w:rPr>
              <w:t>31</w:t>
            </w:r>
            <w:r w:rsidR="00382D63">
              <w:rPr>
                <w:webHidden/>
              </w:rPr>
              <w:fldChar w:fldCharType="end"/>
            </w:r>
          </w:hyperlink>
        </w:p>
        <w:p w14:paraId="4AB21671" w14:textId="42E3D476" w:rsidR="00382D63" w:rsidRDefault="00200483">
          <w:pPr>
            <w:pStyle w:val="TOC2"/>
            <w:rPr>
              <w:rFonts w:asciiTheme="minorHAnsi" w:eastAsiaTheme="minorEastAsia" w:hAnsiTheme="minorHAnsi" w:cstheme="minorBidi"/>
              <w:lang w:val="en-US"/>
            </w:rPr>
          </w:pPr>
          <w:hyperlink w:anchor="_Toc23243753" w:history="1">
            <w:r w:rsidR="00382D63" w:rsidRPr="001842A2">
              <w:rPr>
                <w:rStyle w:val="Hyperlink"/>
                <w:rFonts w:eastAsia="Times New Roman"/>
                <w:shd w:val="clear" w:color="auto" w:fill="FFFFFF"/>
              </w:rPr>
              <w:t>1.2.3 Reflection and competence</w:t>
            </w:r>
            <w:r w:rsidR="00382D63">
              <w:rPr>
                <w:webHidden/>
              </w:rPr>
              <w:tab/>
            </w:r>
            <w:r w:rsidR="00382D63">
              <w:rPr>
                <w:webHidden/>
              </w:rPr>
              <w:fldChar w:fldCharType="begin"/>
            </w:r>
            <w:r w:rsidR="00382D63">
              <w:rPr>
                <w:webHidden/>
              </w:rPr>
              <w:instrText xml:space="preserve"> PAGEREF _Toc23243753 \h </w:instrText>
            </w:r>
            <w:r w:rsidR="00382D63">
              <w:rPr>
                <w:webHidden/>
              </w:rPr>
            </w:r>
            <w:r w:rsidR="00382D63">
              <w:rPr>
                <w:webHidden/>
              </w:rPr>
              <w:fldChar w:fldCharType="separate"/>
            </w:r>
            <w:r w:rsidR="00382D63">
              <w:rPr>
                <w:webHidden/>
              </w:rPr>
              <w:t>33</w:t>
            </w:r>
            <w:r w:rsidR="00382D63">
              <w:rPr>
                <w:webHidden/>
              </w:rPr>
              <w:fldChar w:fldCharType="end"/>
            </w:r>
          </w:hyperlink>
        </w:p>
        <w:p w14:paraId="2D13C47E" w14:textId="241A8C0F" w:rsidR="00382D63" w:rsidRDefault="00200483">
          <w:pPr>
            <w:pStyle w:val="TOC2"/>
            <w:rPr>
              <w:rFonts w:asciiTheme="minorHAnsi" w:eastAsiaTheme="minorEastAsia" w:hAnsiTheme="minorHAnsi" w:cstheme="minorBidi"/>
              <w:lang w:val="en-US"/>
            </w:rPr>
          </w:pPr>
          <w:hyperlink w:anchor="_Toc23243754" w:history="1">
            <w:r w:rsidR="00382D63" w:rsidRPr="001842A2">
              <w:rPr>
                <w:rStyle w:val="Hyperlink"/>
                <w:rFonts w:eastAsia="Times New Roman"/>
                <w:shd w:val="clear" w:color="auto" w:fill="FFFFFF"/>
              </w:rPr>
              <w:t>1.2.4 Professionalism and competence</w:t>
            </w:r>
            <w:r w:rsidR="00382D63">
              <w:rPr>
                <w:webHidden/>
              </w:rPr>
              <w:tab/>
            </w:r>
            <w:r w:rsidR="00382D63">
              <w:rPr>
                <w:webHidden/>
              </w:rPr>
              <w:fldChar w:fldCharType="begin"/>
            </w:r>
            <w:r w:rsidR="00382D63">
              <w:rPr>
                <w:webHidden/>
              </w:rPr>
              <w:instrText xml:space="preserve"> PAGEREF _Toc23243754 \h </w:instrText>
            </w:r>
            <w:r w:rsidR="00382D63">
              <w:rPr>
                <w:webHidden/>
              </w:rPr>
            </w:r>
            <w:r w:rsidR="00382D63">
              <w:rPr>
                <w:webHidden/>
              </w:rPr>
              <w:fldChar w:fldCharType="separate"/>
            </w:r>
            <w:r w:rsidR="00382D63">
              <w:rPr>
                <w:webHidden/>
              </w:rPr>
              <w:t>34</w:t>
            </w:r>
            <w:r w:rsidR="00382D63">
              <w:rPr>
                <w:webHidden/>
              </w:rPr>
              <w:fldChar w:fldCharType="end"/>
            </w:r>
          </w:hyperlink>
        </w:p>
        <w:p w14:paraId="6A65EEA3" w14:textId="3BD95D5A" w:rsidR="00382D63" w:rsidRDefault="00200483">
          <w:pPr>
            <w:pStyle w:val="TOC2"/>
            <w:rPr>
              <w:rFonts w:asciiTheme="minorHAnsi" w:eastAsiaTheme="minorEastAsia" w:hAnsiTheme="minorHAnsi" w:cstheme="minorBidi"/>
              <w:lang w:val="en-US"/>
            </w:rPr>
          </w:pPr>
          <w:hyperlink w:anchor="_Toc23243755" w:history="1">
            <w:r w:rsidR="00382D63" w:rsidRPr="001842A2">
              <w:rPr>
                <w:rStyle w:val="Hyperlink"/>
              </w:rPr>
              <w:t>1.2.5 Competence and Capability</w:t>
            </w:r>
            <w:r w:rsidR="00382D63">
              <w:rPr>
                <w:webHidden/>
              </w:rPr>
              <w:tab/>
            </w:r>
            <w:r w:rsidR="00382D63">
              <w:rPr>
                <w:webHidden/>
              </w:rPr>
              <w:fldChar w:fldCharType="begin"/>
            </w:r>
            <w:r w:rsidR="00382D63">
              <w:rPr>
                <w:webHidden/>
              </w:rPr>
              <w:instrText xml:space="preserve"> PAGEREF _Toc23243755 \h </w:instrText>
            </w:r>
            <w:r w:rsidR="00382D63">
              <w:rPr>
                <w:webHidden/>
              </w:rPr>
            </w:r>
            <w:r w:rsidR="00382D63">
              <w:rPr>
                <w:webHidden/>
              </w:rPr>
              <w:fldChar w:fldCharType="separate"/>
            </w:r>
            <w:r w:rsidR="00382D63">
              <w:rPr>
                <w:webHidden/>
              </w:rPr>
              <w:t>36</w:t>
            </w:r>
            <w:r w:rsidR="00382D63">
              <w:rPr>
                <w:webHidden/>
              </w:rPr>
              <w:fldChar w:fldCharType="end"/>
            </w:r>
          </w:hyperlink>
        </w:p>
        <w:p w14:paraId="6380CD63" w14:textId="3910B9E4" w:rsidR="00382D63" w:rsidRDefault="00200483">
          <w:pPr>
            <w:pStyle w:val="TOC2"/>
            <w:rPr>
              <w:rFonts w:asciiTheme="minorHAnsi" w:eastAsiaTheme="minorEastAsia" w:hAnsiTheme="minorHAnsi" w:cstheme="minorBidi"/>
              <w:lang w:val="en-US"/>
            </w:rPr>
          </w:pPr>
          <w:hyperlink w:anchor="_Toc23243756" w:history="1">
            <w:r w:rsidR="00382D63" w:rsidRPr="001842A2">
              <w:rPr>
                <w:rStyle w:val="Hyperlink"/>
                <w:rFonts w:eastAsia="Times New Roman"/>
                <w:shd w:val="clear" w:color="auto" w:fill="FFFFFF"/>
              </w:rPr>
              <w:t>1.2.6 Competency-based education</w:t>
            </w:r>
            <w:r w:rsidR="00382D63">
              <w:rPr>
                <w:webHidden/>
              </w:rPr>
              <w:tab/>
            </w:r>
            <w:r w:rsidR="00382D63">
              <w:rPr>
                <w:webHidden/>
              </w:rPr>
              <w:fldChar w:fldCharType="begin"/>
            </w:r>
            <w:r w:rsidR="00382D63">
              <w:rPr>
                <w:webHidden/>
              </w:rPr>
              <w:instrText xml:space="preserve"> PAGEREF _Toc23243756 \h </w:instrText>
            </w:r>
            <w:r w:rsidR="00382D63">
              <w:rPr>
                <w:webHidden/>
              </w:rPr>
            </w:r>
            <w:r w:rsidR="00382D63">
              <w:rPr>
                <w:webHidden/>
              </w:rPr>
              <w:fldChar w:fldCharType="separate"/>
            </w:r>
            <w:r w:rsidR="00382D63">
              <w:rPr>
                <w:webHidden/>
              </w:rPr>
              <w:t>36</w:t>
            </w:r>
            <w:r w:rsidR="00382D63">
              <w:rPr>
                <w:webHidden/>
              </w:rPr>
              <w:fldChar w:fldCharType="end"/>
            </w:r>
          </w:hyperlink>
        </w:p>
        <w:p w14:paraId="5F543790" w14:textId="641A2814" w:rsidR="00382D63" w:rsidRDefault="00200483">
          <w:pPr>
            <w:pStyle w:val="TOC2"/>
            <w:rPr>
              <w:rFonts w:asciiTheme="minorHAnsi" w:eastAsiaTheme="minorEastAsia" w:hAnsiTheme="minorHAnsi" w:cstheme="minorBidi"/>
              <w:lang w:val="en-US"/>
            </w:rPr>
          </w:pPr>
          <w:hyperlink w:anchor="_Toc23243757" w:history="1">
            <w:r w:rsidR="00382D63" w:rsidRPr="001842A2">
              <w:rPr>
                <w:rStyle w:val="Hyperlink"/>
              </w:rPr>
              <w:t>1.2.7 Assessing competence and performance and a move towards Entrustable Professional Activities</w:t>
            </w:r>
            <w:r w:rsidR="00382D63">
              <w:rPr>
                <w:webHidden/>
              </w:rPr>
              <w:tab/>
            </w:r>
            <w:r w:rsidR="00382D63">
              <w:rPr>
                <w:webHidden/>
              </w:rPr>
              <w:fldChar w:fldCharType="begin"/>
            </w:r>
            <w:r w:rsidR="00382D63">
              <w:rPr>
                <w:webHidden/>
              </w:rPr>
              <w:instrText xml:space="preserve"> PAGEREF _Toc23243757 \h </w:instrText>
            </w:r>
            <w:r w:rsidR="00382D63">
              <w:rPr>
                <w:webHidden/>
              </w:rPr>
            </w:r>
            <w:r w:rsidR="00382D63">
              <w:rPr>
                <w:webHidden/>
              </w:rPr>
              <w:fldChar w:fldCharType="separate"/>
            </w:r>
            <w:r w:rsidR="00382D63">
              <w:rPr>
                <w:webHidden/>
              </w:rPr>
              <w:t>38</w:t>
            </w:r>
            <w:r w:rsidR="00382D63">
              <w:rPr>
                <w:webHidden/>
              </w:rPr>
              <w:fldChar w:fldCharType="end"/>
            </w:r>
          </w:hyperlink>
        </w:p>
        <w:p w14:paraId="3CE47F08" w14:textId="44720D49" w:rsidR="00382D63" w:rsidRDefault="00200483">
          <w:pPr>
            <w:pStyle w:val="TOC2"/>
            <w:rPr>
              <w:rFonts w:asciiTheme="minorHAnsi" w:eastAsiaTheme="minorEastAsia" w:hAnsiTheme="minorHAnsi" w:cstheme="minorBidi"/>
              <w:lang w:val="en-US"/>
            </w:rPr>
          </w:pPr>
          <w:hyperlink w:anchor="_Toc23243758" w:history="1">
            <w:r w:rsidR="00382D63" w:rsidRPr="001842A2">
              <w:rPr>
                <w:rStyle w:val="Hyperlink"/>
              </w:rPr>
              <w:t>1.2.8 Subjectivity in the assessment of performance</w:t>
            </w:r>
            <w:r w:rsidR="00382D63">
              <w:rPr>
                <w:webHidden/>
              </w:rPr>
              <w:tab/>
            </w:r>
            <w:r w:rsidR="00382D63">
              <w:rPr>
                <w:webHidden/>
              </w:rPr>
              <w:fldChar w:fldCharType="begin"/>
            </w:r>
            <w:r w:rsidR="00382D63">
              <w:rPr>
                <w:webHidden/>
              </w:rPr>
              <w:instrText xml:space="preserve"> PAGEREF _Toc23243758 \h </w:instrText>
            </w:r>
            <w:r w:rsidR="00382D63">
              <w:rPr>
                <w:webHidden/>
              </w:rPr>
            </w:r>
            <w:r w:rsidR="00382D63">
              <w:rPr>
                <w:webHidden/>
              </w:rPr>
              <w:fldChar w:fldCharType="separate"/>
            </w:r>
            <w:r w:rsidR="00382D63">
              <w:rPr>
                <w:webHidden/>
              </w:rPr>
              <w:t>41</w:t>
            </w:r>
            <w:r w:rsidR="00382D63">
              <w:rPr>
                <w:webHidden/>
              </w:rPr>
              <w:fldChar w:fldCharType="end"/>
            </w:r>
          </w:hyperlink>
        </w:p>
        <w:p w14:paraId="24EA2914" w14:textId="5F0FEF06" w:rsidR="00382D63" w:rsidRDefault="00200483">
          <w:pPr>
            <w:pStyle w:val="TOC2"/>
            <w:rPr>
              <w:rFonts w:asciiTheme="minorHAnsi" w:eastAsiaTheme="minorEastAsia" w:hAnsiTheme="minorHAnsi" w:cstheme="minorBidi"/>
              <w:lang w:val="en-US"/>
            </w:rPr>
          </w:pPr>
          <w:hyperlink w:anchor="_Toc23243759" w:history="1">
            <w:r w:rsidR="00382D63" w:rsidRPr="001842A2">
              <w:rPr>
                <w:rStyle w:val="Hyperlink"/>
              </w:rPr>
              <w:t>1.2.9 How is competence determined in histopathology?</w:t>
            </w:r>
            <w:r w:rsidR="00382D63">
              <w:rPr>
                <w:webHidden/>
              </w:rPr>
              <w:tab/>
            </w:r>
            <w:r w:rsidR="00382D63">
              <w:rPr>
                <w:webHidden/>
              </w:rPr>
              <w:fldChar w:fldCharType="begin"/>
            </w:r>
            <w:r w:rsidR="00382D63">
              <w:rPr>
                <w:webHidden/>
              </w:rPr>
              <w:instrText xml:space="preserve"> PAGEREF _Toc23243759 \h </w:instrText>
            </w:r>
            <w:r w:rsidR="00382D63">
              <w:rPr>
                <w:webHidden/>
              </w:rPr>
            </w:r>
            <w:r w:rsidR="00382D63">
              <w:rPr>
                <w:webHidden/>
              </w:rPr>
              <w:fldChar w:fldCharType="separate"/>
            </w:r>
            <w:r w:rsidR="00382D63">
              <w:rPr>
                <w:webHidden/>
              </w:rPr>
              <w:t>44</w:t>
            </w:r>
            <w:r w:rsidR="00382D63">
              <w:rPr>
                <w:webHidden/>
              </w:rPr>
              <w:fldChar w:fldCharType="end"/>
            </w:r>
          </w:hyperlink>
        </w:p>
        <w:p w14:paraId="4636AF92" w14:textId="13637C77" w:rsidR="00382D63" w:rsidRDefault="00200483">
          <w:pPr>
            <w:pStyle w:val="TOC2"/>
            <w:rPr>
              <w:rFonts w:asciiTheme="minorHAnsi" w:eastAsiaTheme="minorEastAsia" w:hAnsiTheme="minorHAnsi" w:cstheme="minorBidi"/>
              <w:lang w:val="en-US"/>
            </w:rPr>
          </w:pPr>
          <w:hyperlink w:anchor="_Toc23243760" w:history="1">
            <w:r w:rsidR="00382D63" w:rsidRPr="001842A2">
              <w:rPr>
                <w:rStyle w:val="Hyperlink"/>
              </w:rPr>
              <w:t>1.2.10 Diagnostic competence in histopathology</w:t>
            </w:r>
            <w:r w:rsidR="00382D63">
              <w:rPr>
                <w:webHidden/>
              </w:rPr>
              <w:tab/>
            </w:r>
            <w:r w:rsidR="00382D63">
              <w:rPr>
                <w:webHidden/>
              </w:rPr>
              <w:fldChar w:fldCharType="begin"/>
            </w:r>
            <w:r w:rsidR="00382D63">
              <w:rPr>
                <w:webHidden/>
              </w:rPr>
              <w:instrText xml:space="preserve"> PAGEREF _Toc23243760 \h </w:instrText>
            </w:r>
            <w:r w:rsidR="00382D63">
              <w:rPr>
                <w:webHidden/>
              </w:rPr>
            </w:r>
            <w:r w:rsidR="00382D63">
              <w:rPr>
                <w:webHidden/>
              </w:rPr>
              <w:fldChar w:fldCharType="separate"/>
            </w:r>
            <w:r w:rsidR="00382D63">
              <w:rPr>
                <w:webHidden/>
              </w:rPr>
              <w:t>48</w:t>
            </w:r>
            <w:r w:rsidR="00382D63">
              <w:rPr>
                <w:webHidden/>
              </w:rPr>
              <w:fldChar w:fldCharType="end"/>
            </w:r>
          </w:hyperlink>
        </w:p>
        <w:p w14:paraId="3AFA3C92" w14:textId="6EA596AA" w:rsidR="00382D63" w:rsidRDefault="00200483">
          <w:pPr>
            <w:pStyle w:val="TOC3"/>
            <w:rPr>
              <w:lang w:eastAsia="en-US"/>
            </w:rPr>
          </w:pPr>
          <w:hyperlink w:anchor="_Toc23243761" w:history="1">
            <w:r w:rsidR="00382D63" w:rsidRPr="001842A2">
              <w:rPr>
                <w:rStyle w:val="Hyperlink"/>
                <w:rFonts w:ascii="Times New Roman" w:hAnsi="Times New Roman" w:cs="Times New Roman"/>
              </w:rPr>
              <w:t>1.2.10.1 Background</w:t>
            </w:r>
            <w:r w:rsidR="00382D63">
              <w:rPr>
                <w:webHidden/>
              </w:rPr>
              <w:tab/>
            </w:r>
            <w:r w:rsidR="00382D63">
              <w:rPr>
                <w:webHidden/>
              </w:rPr>
              <w:fldChar w:fldCharType="begin"/>
            </w:r>
            <w:r w:rsidR="00382D63">
              <w:rPr>
                <w:webHidden/>
              </w:rPr>
              <w:instrText xml:space="preserve"> PAGEREF _Toc23243761 \h </w:instrText>
            </w:r>
            <w:r w:rsidR="00382D63">
              <w:rPr>
                <w:webHidden/>
              </w:rPr>
            </w:r>
            <w:r w:rsidR="00382D63">
              <w:rPr>
                <w:webHidden/>
              </w:rPr>
              <w:fldChar w:fldCharType="separate"/>
            </w:r>
            <w:r w:rsidR="00382D63">
              <w:rPr>
                <w:webHidden/>
              </w:rPr>
              <w:t>48</w:t>
            </w:r>
            <w:r w:rsidR="00382D63">
              <w:rPr>
                <w:webHidden/>
              </w:rPr>
              <w:fldChar w:fldCharType="end"/>
            </w:r>
          </w:hyperlink>
        </w:p>
        <w:p w14:paraId="2CF28049" w14:textId="67BF7BB5" w:rsidR="00382D63" w:rsidRDefault="00200483">
          <w:pPr>
            <w:pStyle w:val="TOC3"/>
            <w:rPr>
              <w:lang w:eastAsia="en-US"/>
            </w:rPr>
          </w:pPr>
          <w:hyperlink w:anchor="_Toc23243762" w:history="1">
            <w:r w:rsidR="00382D63" w:rsidRPr="001842A2">
              <w:rPr>
                <w:rStyle w:val="Hyperlink"/>
                <w:rFonts w:ascii="Times New Roman" w:hAnsi="Times New Roman" w:cs="Times New Roman"/>
              </w:rPr>
              <w:t>1.2.10.2 Diagnostic competence and accuracy</w:t>
            </w:r>
            <w:r w:rsidR="00382D63">
              <w:rPr>
                <w:webHidden/>
              </w:rPr>
              <w:tab/>
            </w:r>
            <w:r w:rsidR="00382D63">
              <w:rPr>
                <w:webHidden/>
              </w:rPr>
              <w:fldChar w:fldCharType="begin"/>
            </w:r>
            <w:r w:rsidR="00382D63">
              <w:rPr>
                <w:webHidden/>
              </w:rPr>
              <w:instrText xml:space="preserve"> PAGEREF _Toc23243762 \h </w:instrText>
            </w:r>
            <w:r w:rsidR="00382D63">
              <w:rPr>
                <w:webHidden/>
              </w:rPr>
            </w:r>
            <w:r w:rsidR="00382D63">
              <w:rPr>
                <w:webHidden/>
              </w:rPr>
              <w:fldChar w:fldCharType="separate"/>
            </w:r>
            <w:r w:rsidR="00382D63">
              <w:rPr>
                <w:webHidden/>
              </w:rPr>
              <w:t>49</w:t>
            </w:r>
            <w:r w:rsidR="00382D63">
              <w:rPr>
                <w:webHidden/>
              </w:rPr>
              <w:fldChar w:fldCharType="end"/>
            </w:r>
          </w:hyperlink>
        </w:p>
        <w:p w14:paraId="6E3042CA" w14:textId="0305D37C" w:rsidR="00382D63" w:rsidRDefault="00200483">
          <w:pPr>
            <w:pStyle w:val="TOC3"/>
            <w:rPr>
              <w:lang w:eastAsia="en-US"/>
            </w:rPr>
          </w:pPr>
          <w:hyperlink w:anchor="_Toc23243763" w:history="1">
            <w:r w:rsidR="00382D63" w:rsidRPr="001842A2">
              <w:rPr>
                <w:rStyle w:val="Hyperlink"/>
                <w:rFonts w:ascii="Times New Roman" w:hAnsi="Times New Roman" w:cs="Times New Roman"/>
              </w:rPr>
              <w:t>1.2.10.3 Diagnostic competence and the process of making a diagnosis</w:t>
            </w:r>
            <w:r w:rsidR="00382D63">
              <w:rPr>
                <w:webHidden/>
              </w:rPr>
              <w:tab/>
            </w:r>
            <w:r w:rsidR="00382D63">
              <w:rPr>
                <w:webHidden/>
              </w:rPr>
              <w:fldChar w:fldCharType="begin"/>
            </w:r>
            <w:r w:rsidR="00382D63">
              <w:rPr>
                <w:webHidden/>
              </w:rPr>
              <w:instrText xml:space="preserve"> PAGEREF _Toc23243763 \h </w:instrText>
            </w:r>
            <w:r w:rsidR="00382D63">
              <w:rPr>
                <w:webHidden/>
              </w:rPr>
            </w:r>
            <w:r w:rsidR="00382D63">
              <w:rPr>
                <w:webHidden/>
              </w:rPr>
              <w:fldChar w:fldCharType="separate"/>
            </w:r>
            <w:r w:rsidR="00382D63">
              <w:rPr>
                <w:webHidden/>
              </w:rPr>
              <w:t>54</w:t>
            </w:r>
            <w:r w:rsidR="00382D63">
              <w:rPr>
                <w:webHidden/>
              </w:rPr>
              <w:fldChar w:fldCharType="end"/>
            </w:r>
          </w:hyperlink>
        </w:p>
        <w:p w14:paraId="4C7F2A28" w14:textId="13EAB1D3" w:rsidR="00382D63" w:rsidRDefault="00200483">
          <w:pPr>
            <w:pStyle w:val="TOC3"/>
            <w:rPr>
              <w:lang w:eastAsia="en-US"/>
            </w:rPr>
          </w:pPr>
          <w:hyperlink w:anchor="_Toc23243764" w:history="1">
            <w:r w:rsidR="00382D63" w:rsidRPr="001842A2">
              <w:rPr>
                <w:rStyle w:val="Hyperlink"/>
                <w:rFonts w:ascii="Times New Roman" w:hAnsi="Times New Roman" w:cs="Times New Roman"/>
              </w:rPr>
              <w:t>1.2.10.4 Diagnostic competence and independent reporting</w:t>
            </w:r>
            <w:r w:rsidR="00382D63">
              <w:rPr>
                <w:webHidden/>
              </w:rPr>
              <w:tab/>
            </w:r>
            <w:r w:rsidR="00382D63">
              <w:rPr>
                <w:webHidden/>
              </w:rPr>
              <w:fldChar w:fldCharType="begin"/>
            </w:r>
            <w:r w:rsidR="00382D63">
              <w:rPr>
                <w:webHidden/>
              </w:rPr>
              <w:instrText xml:space="preserve"> PAGEREF _Toc23243764 \h </w:instrText>
            </w:r>
            <w:r w:rsidR="00382D63">
              <w:rPr>
                <w:webHidden/>
              </w:rPr>
            </w:r>
            <w:r w:rsidR="00382D63">
              <w:rPr>
                <w:webHidden/>
              </w:rPr>
              <w:fldChar w:fldCharType="separate"/>
            </w:r>
            <w:r w:rsidR="00382D63">
              <w:rPr>
                <w:webHidden/>
              </w:rPr>
              <w:t>55</w:t>
            </w:r>
            <w:r w:rsidR="00382D63">
              <w:rPr>
                <w:webHidden/>
              </w:rPr>
              <w:fldChar w:fldCharType="end"/>
            </w:r>
          </w:hyperlink>
        </w:p>
        <w:p w14:paraId="4581143A" w14:textId="60873E94" w:rsidR="00382D63" w:rsidRDefault="00200483">
          <w:pPr>
            <w:pStyle w:val="TOC3"/>
            <w:rPr>
              <w:lang w:eastAsia="en-US"/>
            </w:rPr>
          </w:pPr>
          <w:hyperlink w:anchor="_Toc23243765" w:history="1">
            <w:r w:rsidR="00382D63" w:rsidRPr="001842A2">
              <w:rPr>
                <w:rStyle w:val="Hyperlink"/>
                <w:rFonts w:ascii="Times New Roman" w:hAnsi="Times New Roman" w:cs="Times New Roman"/>
              </w:rPr>
              <w:t>1.2.10.5 Conclusion</w:t>
            </w:r>
            <w:r w:rsidR="00382D63">
              <w:rPr>
                <w:webHidden/>
              </w:rPr>
              <w:tab/>
            </w:r>
            <w:r w:rsidR="00382D63">
              <w:rPr>
                <w:webHidden/>
              </w:rPr>
              <w:fldChar w:fldCharType="begin"/>
            </w:r>
            <w:r w:rsidR="00382D63">
              <w:rPr>
                <w:webHidden/>
              </w:rPr>
              <w:instrText xml:space="preserve"> PAGEREF _Toc23243765 \h </w:instrText>
            </w:r>
            <w:r w:rsidR="00382D63">
              <w:rPr>
                <w:webHidden/>
              </w:rPr>
            </w:r>
            <w:r w:rsidR="00382D63">
              <w:rPr>
                <w:webHidden/>
              </w:rPr>
              <w:fldChar w:fldCharType="separate"/>
            </w:r>
            <w:r w:rsidR="00382D63">
              <w:rPr>
                <w:webHidden/>
              </w:rPr>
              <w:t>56</w:t>
            </w:r>
            <w:r w:rsidR="00382D63">
              <w:rPr>
                <w:webHidden/>
              </w:rPr>
              <w:fldChar w:fldCharType="end"/>
            </w:r>
          </w:hyperlink>
        </w:p>
        <w:p w14:paraId="03F1CACB" w14:textId="3B84D68F" w:rsidR="00382D63" w:rsidRDefault="00200483">
          <w:pPr>
            <w:pStyle w:val="TOC1"/>
            <w:rPr>
              <w:rFonts w:asciiTheme="minorHAnsi" w:eastAsiaTheme="minorEastAsia" w:hAnsiTheme="minorHAnsi" w:cstheme="minorBidi"/>
              <w:sz w:val="22"/>
              <w:szCs w:val="22"/>
              <w:lang w:val="en-US"/>
            </w:rPr>
          </w:pPr>
          <w:hyperlink w:anchor="_Toc23243766" w:history="1">
            <w:r w:rsidR="00382D63" w:rsidRPr="001842A2">
              <w:rPr>
                <w:rStyle w:val="Hyperlink"/>
                <w:b/>
              </w:rPr>
              <w:t>1.3 Workplace-based assessments</w:t>
            </w:r>
            <w:r w:rsidR="00382D63">
              <w:rPr>
                <w:webHidden/>
              </w:rPr>
              <w:tab/>
            </w:r>
            <w:r w:rsidR="00382D63">
              <w:rPr>
                <w:webHidden/>
              </w:rPr>
              <w:fldChar w:fldCharType="begin"/>
            </w:r>
            <w:r w:rsidR="00382D63">
              <w:rPr>
                <w:webHidden/>
              </w:rPr>
              <w:instrText xml:space="preserve"> PAGEREF _Toc23243766 \h </w:instrText>
            </w:r>
            <w:r w:rsidR="00382D63">
              <w:rPr>
                <w:webHidden/>
              </w:rPr>
            </w:r>
            <w:r w:rsidR="00382D63">
              <w:rPr>
                <w:webHidden/>
              </w:rPr>
              <w:fldChar w:fldCharType="separate"/>
            </w:r>
            <w:r w:rsidR="00382D63">
              <w:rPr>
                <w:webHidden/>
              </w:rPr>
              <w:t>57</w:t>
            </w:r>
            <w:r w:rsidR="00382D63">
              <w:rPr>
                <w:webHidden/>
              </w:rPr>
              <w:fldChar w:fldCharType="end"/>
            </w:r>
          </w:hyperlink>
        </w:p>
        <w:p w14:paraId="6DFD796D" w14:textId="33A6905E" w:rsidR="00382D63" w:rsidRDefault="00200483">
          <w:pPr>
            <w:pStyle w:val="TOC2"/>
            <w:rPr>
              <w:rFonts w:asciiTheme="minorHAnsi" w:eastAsiaTheme="minorEastAsia" w:hAnsiTheme="minorHAnsi" w:cstheme="minorBidi"/>
              <w:lang w:val="en-US"/>
            </w:rPr>
          </w:pPr>
          <w:hyperlink w:anchor="_Toc23243767" w:history="1">
            <w:r w:rsidR="00382D63" w:rsidRPr="001842A2">
              <w:rPr>
                <w:rStyle w:val="Hyperlink"/>
              </w:rPr>
              <w:t>1.3.1 Introduction</w:t>
            </w:r>
            <w:r w:rsidR="00382D63">
              <w:rPr>
                <w:webHidden/>
              </w:rPr>
              <w:tab/>
            </w:r>
            <w:r w:rsidR="00382D63">
              <w:rPr>
                <w:webHidden/>
              </w:rPr>
              <w:fldChar w:fldCharType="begin"/>
            </w:r>
            <w:r w:rsidR="00382D63">
              <w:rPr>
                <w:webHidden/>
              </w:rPr>
              <w:instrText xml:space="preserve"> PAGEREF _Toc23243767 \h </w:instrText>
            </w:r>
            <w:r w:rsidR="00382D63">
              <w:rPr>
                <w:webHidden/>
              </w:rPr>
            </w:r>
            <w:r w:rsidR="00382D63">
              <w:rPr>
                <w:webHidden/>
              </w:rPr>
              <w:fldChar w:fldCharType="separate"/>
            </w:r>
            <w:r w:rsidR="00382D63">
              <w:rPr>
                <w:webHidden/>
              </w:rPr>
              <w:t>57</w:t>
            </w:r>
            <w:r w:rsidR="00382D63">
              <w:rPr>
                <w:webHidden/>
              </w:rPr>
              <w:fldChar w:fldCharType="end"/>
            </w:r>
          </w:hyperlink>
        </w:p>
        <w:p w14:paraId="302846D4" w14:textId="5561359C" w:rsidR="00382D63" w:rsidRDefault="00200483">
          <w:pPr>
            <w:pStyle w:val="TOC2"/>
            <w:rPr>
              <w:rFonts w:asciiTheme="minorHAnsi" w:eastAsiaTheme="minorEastAsia" w:hAnsiTheme="minorHAnsi" w:cstheme="minorBidi"/>
              <w:lang w:val="en-US"/>
            </w:rPr>
          </w:pPr>
          <w:hyperlink w:anchor="_Toc23243768" w:history="1">
            <w:r w:rsidR="00382D63" w:rsidRPr="001842A2">
              <w:rPr>
                <w:rStyle w:val="Hyperlink"/>
              </w:rPr>
              <w:t>1.3.2 Types and format of workplace-based assessment in histopathology</w:t>
            </w:r>
            <w:r w:rsidR="00382D63">
              <w:rPr>
                <w:webHidden/>
              </w:rPr>
              <w:tab/>
            </w:r>
            <w:r w:rsidR="00382D63">
              <w:rPr>
                <w:webHidden/>
              </w:rPr>
              <w:fldChar w:fldCharType="begin"/>
            </w:r>
            <w:r w:rsidR="00382D63">
              <w:rPr>
                <w:webHidden/>
              </w:rPr>
              <w:instrText xml:space="preserve"> PAGEREF _Toc23243768 \h </w:instrText>
            </w:r>
            <w:r w:rsidR="00382D63">
              <w:rPr>
                <w:webHidden/>
              </w:rPr>
            </w:r>
            <w:r w:rsidR="00382D63">
              <w:rPr>
                <w:webHidden/>
              </w:rPr>
              <w:fldChar w:fldCharType="separate"/>
            </w:r>
            <w:r w:rsidR="00382D63">
              <w:rPr>
                <w:webHidden/>
              </w:rPr>
              <w:t>58</w:t>
            </w:r>
            <w:r w:rsidR="00382D63">
              <w:rPr>
                <w:webHidden/>
              </w:rPr>
              <w:fldChar w:fldCharType="end"/>
            </w:r>
          </w:hyperlink>
        </w:p>
        <w:p w14:paraId="14321327" w14:textId="5A41F5D1" w:rsidR="00382D63" w:rsidRDefault="00200483">
          <w:pPr>
            <w:pStyle w:val="TOC2"/>
            <w:rPr>
              <w:rFonts w:asciiTheme="minorHAnsi" w:eastAsiaTheme="minorEastAsia" w:hAnsiTheme="minorHAnsi" w:cstheme="minorBidi"/>
              <w:lang w:val="en-US"/>
            </w:rPr>
          </w:pPr>
          <w:hyperlink w:anchor="_Toc23243769" w:history="1">
            <w:r w:rsidR="00382D63" w:rsidRPr="001842A2">
              <w:rPr>
                <w:rStyle w:val="Hyperlink"/>
              </w:rPr>
              <w:t>1.3.3 Regulation of workplace-based assessments</w:t>
            </w:r>
            <w:r w:rsidR="00382D63">
              <w:rPr>
                <w:webHidden/>
              </w:rPr>
              <w:tab/>
            </w:r>
            <w:r w:rsidR="00382D63">
              <w:rPr>
                <w:webHidden/>
              </w:rPr>
              <w:fldChar w:fldCharType="begin"/>
            </w:r>
            <w:r w:rsidR="00382D63">
              <w:rPr>
                <w:webHidden/>
              </w:rPr>
              <w:instrText xml:space="preserve"> PAGEREF _Toc23243769 \h </w:instrText>
            </w:r>
            <w:r w:rsidR="00382D63">
              <w:rPr>
                <w:webHidden/>
              </w:rPr>
            </w:r>
            <w:r w:rsidR="00382D63">
              <w:rPr>
                <w:webHidden/>
              </w:rPr>
              <w:fldChar w:fldCharType="separate"/>
            </w:r>
            <w:r w:rsidR="00382D63">
              <w:rPr>
                <w:webHidden/>
              </w:rPr>
              <w:t>60</w:t>
            </w:r>
            <w:r w:rsidR="00382D63">
              <w:rPr>
                <w:webHidden/>
              </w:rPr>
              <w:fldChar w:fldCharType="end"/>
            </w:r>
          </w:hyperlink>
        </w:p>
        <w:p w14:paraId="6015745E" w14:textId="7681825C" w:rsidR="00382D63" w:rsidRDefault="00200483">
          <w:pPr>
            <w:pStyle w:val="TOC2"/>
            <w:rPr>
              <w:rFonts w:asciiTheme="minorHAnsi" w:eastAsiaTheme="minorEastAsia" w:hAnsiTheme="minorHAnsi" w:cstheme="minorBidi"/>
              <w:lang w:val="en-US"/>
            </w:rPr>
          </w:pPr>
          <w:hyperlink w:anchor="_Toc23243770" w:history="1">
            <w:r w:rsidR="00382D63" w:rsidRPr="001842A2">
              <w:rPr>
                <w:rStyle w:val="Hyperlink"/>
                <w:lang w:eastAsia="en-GB"/>
              </w:rPr>
              <w:t>1.3.4 The need for workplace-based assessment in healthcare training</w:t>
            </w:r>
            <w:r w:rsidR="00382D63">
              <w:rPr>
                <w:webHidden/>
              </w:rPr>
              <w:tab/>
            </w:r>
            <w:r w:rsidR="00382D63">
              <w:rPr>
                <w:webHidden/>
              </w:rPr>
              <w:fldChar w:fldCharType="begin"/>
            </w:r>
            <w:r w:rsidR="00382D63">
              <w:rPr>
                <w:webHidden/>
              </w:rPr>
              <w:instrText xml:space="preserve"> PAGEREF _Toc23243770 \h </w:instrText>
            </w:r>
            <w:r w:rsidR="00382D63">
              <w:rPr>
                <w:webHidden/>
              </w:rPr>
            </w:r>
            <w:r w:rsidR="00382D63">
              <w:rPr>
                <w:webHidden/>
              </w:rPr>
              <w:fldChar w:fldCharType="separate"/>
            </w:r>
            <w:r w:rsidR="00382D63">
              <w:rPr>
                <w:webHidden/>
              </w:rPr>
              <w:t>61</w:t>
            </w:r>
            <w:r w:rsidR="00382D63">
              <w:rPr>
                <w:webHidden/>
              </w:rPr>
              <w:fldChar w:fldCharType="end"/>
            </w:r>
          </w:hyperlink>
        </w:p>
        <w:p w14:paraId="321E12A4" w14:textId="13E4861C" w:rsidR="00382D63" w:rsidRDefault="00200483">
          <w:pPr>
            <w:pStyle w:val="TOC2"/>
            <w:rPr>
              <w:rFonts w:asciiTheme="minorHAnsi" w:eastAsiaTheme="minorEastAsia" w:hAnsiTheme="minorHAnsi" w:cstheme="minorBidi"/>
              <w:lang w:val="en-US"/>
            </w:rPr>
          </w:pPr>
          <w:hyperlink w:anchor="_Toc23243771" w:history="1">
            <w:r w:rsidR="00382D63" w:rsidRPr="001842A2">
              <w:rPr>
                <w:rStyle w:val="Hyperlink"/>
              </w:rPr>
              <w:t>1.3.5 Perception of workplace-based assessments in medical education in general</w:t>
            </w:r>
            <w:r w:rsidR="00382D63">
              <w:rPr>
                <w:webHidden/>
              </w:rPr>
              <w:tab/>
            </w:r>
            <w:r w:rsidR="00382D63">
              <w:rPr>
                <w:webHidden/>
              </w:rPr>
              <w:fldChar w:fldCharType="begin"/>
            </w:r>
            <w:r w:rsidR="00382D63">
              <w:rPr>
                <w:webHidden/>
              </w:rPr>
              <w:instrText xml:space="preserve"> PAGEREF _Toc23243771 \h </w:instrText>
            </w:r>
            <w:r w:rsidR="00382D63">
              <w:rPr>
                <w:webHidden/>
              </w:rPr>
            </w:r>
            <w:r w:rsidR="00382D63">
              <w:rPr>
                <w:webHidden/>
              </w:rPr>
              <w:fldChar w:fldCharType="separate"/>
            </w:r>
            <w:r w:rsidR="00382D63">
              <w:rPr>
                <w:webHidden/>
              </w:rPr>
              <w:t>62</w:t>
            </w:r>
            <w:r w:rsidR="00382D63">
              <w:rPr>
                <w:webHidden/>
              </w:rPr>
              <w:fldChar w:fldCharType="end"/>
            </w:r>
          </w:hyperlink>
        </w:p>
        <w:p w14:paraId="46BDE4E9" w14:textId="6F1F3A06" w:rsidR="00382D63" w:rsidRDefault="00200483">
          <w:pPr>
            <w:pStyle w:val="TOC3"/>
            <w:rPr>
              <w:lang w:eastAsia="en-US"/>
            </w:rPr>
          </w:pPr>
          <w:hyperlink w:anchor="_Toc23243772" w:history="1">
            <w:r w:rsidR="00382D63" w:rsidRPr="001842A2">
              <w:rPr>
                <w:rStyle w:val="Hyperlink"/>
                <w:rFonts w:ascii="Times New Roman" w:hAnsi="Times New Roman" w:cs="Times New Roman"/>
              </w:rPr>
              <w:t>1.3.5.1 Introduction</w:t>
            </w:r>
            <w:r w:rsidR="00382D63">
              <w:rPr>
                <w:webHidden/>
              </w:rPr>
              <w:tab/>
            </w:r>
            <w:r w:rsidR="00382D63">
              <w:rPr>
                <w:webHidden/>
              </w:rPr>
              <w:fldChar w:fldCharType="begin"/>
            </w:r>
            <w:r w:rsidR="00382D63">
              <w:rPr>
                <w:webHidden/>
              </w:rPr>
              <w:instrText xml:space="preserve"> PAGEREF _Toc23243772 \h </w:instrText>
            </w:r>
            <w:r w:rsidR="00382D63">
              <w:rPr>
                <w:webHidden/>
              </w:rPr>
            </w:r>
            <w:r w:rsidR="00382D63">
              <w:rPr>
                <w:webHidden/>
              </w:rPr>
              <w:fldChar w:fldCharType="separate"/>
            </w:r>
            <w:r w:rsidR="00382D63">
              <w:rPr>
                <w:webHidden/>
              </w:rPr>
              <w:t>62</w:t>
            </w:r>
            <w:r w:rsidR="00382D63">
              <w:rPr>
                <w:webHidden/>
              </w:rPr>
              <w:fldChar w:fldCharType="end"/>
            </w:r>
          </w:hyperlink>
        </w:p>
        <w:p w14:paraId="7E03957C" w14:textId="68794448" w:rsidR="00382D63" w:rsidRDefault="00200483">
          <w:pPr>
            <w:pStyle w:val="TOC3"/>
            <w:rPr>
              <w:lang w:eastAsia="en-US"/>
            </w:rPr>
          </w:pPr>
          <w:hyperlink w:anchor="_Toc23243773" w:history="1">
            <w:r w:rsidR="00382D63" w:rsidRPr="001842A2">
              <w:rPr>
                <w:rStyle w:val="Hyperlink"/>
                <w:rFonts w:ascii="Times New Roman" w:hAnsi="Times New Roman" w:cs="Times New Roman"/>
              </w:rPr>
              <w:t>1.3.1.2 Feedback</w:t>
            </w:r>
            <w:r w:rsidR="00382D63">
              <w:rPr>
                <w:webHidden/>
              </w:rPr>
              <w:tab/>
            </w:r>
            <w:r w:rsidR="00382D63">
              <w:rPr>
                <w:webHidden/>
              </w:rPr>
              <w:fldChar w:fldCharType="begin"/>
            </w:r>
            <w:r w:rsidR="00382D63">
              <w:rPr>
                <w:webHidden/>
              </w:rPr>
              <w:instrText xml:space="preserve"> PAGEREF _Toc23243773 \h </w:instrText>
            </w:r>
            <w:r w:rsidR="00382D63">
              <w:rPr>
                <w:webHidden/>
              </w:rPr>
            </w:r>
            <w:r w:rsidR="00382D63">
              <w:rPr>
                <w:webHidden/>
              </w:rPr>
              <w:fldChar w:fldCharType="separate"/>
            </w:r>
            <w:r w:rsidR="00382D63">
              <w:rPr>
                <w:webHidden/>
              </w:rPr>
              <w:t>63</w:t>
            </w:r>
            <w:r w:rsidR="00382D63">
              <w:rPr>
                <w:webHidden/>
              </w:rPr>
              <w:fldChar w:fldCharType="end"/>
            </w:r>
          </w:hyperlink>
        </w:p>
        <w:p w14:paraId="6A8AA3E4" w14:textId="3B373A02" w:rsidR="00382D63" w:rsidRDefault="00200483">
          <w:pPr>
            <w:pStyle w:val="TOC3"/>
            <w:rPr>
              <w:lang w:eastAsia="en-US"/>
            </w:rPr>
          </w:pPr>
          <w:hyperlink w:anchor="_Toc23243774" w:history="1">
            <w:r w:rsidR="00382D63" w:rsidRPr="001842A2">
              <w:rPr>
                <w:rStyle w:val="Hyperlink"/>
                <w:rFonts w:ascii="Times New Roman" w:hAnsi="Times New Roman" w:cs="Times New Roman"/>
              </w:rPr>
              <w:t>1.3.1.3 Acceptability</w:t>
            </w:r>
            <w:r w:rsidR="00382D63">
              <w:rPr>
                <w:webHidden/>
              </w:rPr>
              <w:tab/>
            </w:r>
            <w:r w:rsidR="00382D63">
              <w:rPr>
                <w:webHidden/>
              </w:rPr>
              <w:fldChar w:fldCharType="begin"/>
            </w:r>
            <w:r w:rsidR="00382D63">
              <w:rPr>
                <w:webHidden/>
              </w:rPr>
              <w:instrText xml:space="preserve"> PAGEREF _Toc23243774 \h </w:instrText>
            </w:r>
            <w:r w:rsidR="00382D63">
              <w:rPr>
                <w:webHidden/>
              </w:rPr>
            </w:r>
            <w:r w:rsidR="00382D63">
              <w:rPr>
                <w:webHidden/>
              </w:rPr>
              <w:fldChar w:fldCharType="separate"/>
            </w:r>
            <w:r w:rsidR="00382D63">
              <w:rPr>
                <w:webHidden/>
              </w:rPr>
              <w:t>65</w:t>
            </w:r>
            <w:r w:rsidR="00382D63">
              <w:rPr>
                <w:webHidden/>
              </w:rPr>
              <w:fldChar w:fldCharType="end"/>
            </w:r>
          </w:hyperlink>
        </w:p>
        <w:p w14:paraId="63BE46C1" w14:textId="4D67E884" w:rsidR="00382D63" w:rsidRDefault="00200483">
          <w:pPr>
            <w:pStyle w:val="TOC3"/>
            <w:rPr>
              <w:lang w:eastAsia="en-US"/>
            </w:rPr>
          </w:pPr>
          <w:hyperlink w:anchor="_Toc23243775" w:history="1">
            <w:r w:rsidR="00382D63" w:rsidRPr="001842A2">
              <w:rPr>
                <w:rStyle w:val="Hyperlink"/>
                <w:rFonts w:ascii="Times New Roman" w:hAnsi="Times New Roman" w:cs="Times New Roman"/>
              </w:rPr>
              <w:t>1.3.1.4 Utilisation</w:t>
            </w:r>
            <w:r w:rsidR="00382D63">
              <w:rPr>
                <w:webHidden/>
              </w:rPr>
              <w:tab/>
            </w:r>
            <w:r w:rsidR="00382D63">
              <w:rPr>
                <w:webHidden/>
              </w:rPr>
              <w:fldChar w:fldCharType="begin"/>
            </w:r>
            <w:r w:rsidR="00382D63">
              <w:rPr>
                <w:webHidden/>
              </w:rPr>
              <w:instrText xml:space="preserve"> PAGEREF _Toc23243775 \h </w:instrText>
            </w:r>
            <w:r w:rsidR="00382D63">
              <w:rPr>
                <w:webHidden/>
              </w:rPr>
            </w:r>
            <w:r w:rsidR="00382D63">
              <w:rPr>
                <w:webHidden/>
              </w:rPr>
              <w:fldChar w:fldCharType="separate"/>
            </w:r>
            <w:r w:rsidR="00382D63">
              <w:rPr>
                <w:webHidden/>
              </w:rPr>
              <w:t>66</w:t>
            </w:r>
            <w:r w:rsidR="00382D63">
              <w:rPr>
                <w:webHidden/>
              </w:rPr>
              <w:fldChar w:fldCharType="end"/>
            </w:r>
          </w:hyperlink>
        </w:p>
        <w:p w14:paraId="15AD4DA8" w14:textId="1AFF7CF4" w:rsidR="00382D63" w:rsidRDefault="00200483">
          <w:pPr>
            <w:pStyle w:val="TOC3"/>
            <w:rPr>
              <w:lang w:eastAsia="en-US"/>
            </w:rPr>
          </w:pPr>
          <w:hyperlink w:anchor="_Toc23243776" w:history="1">
            <w:r w:rsidR="00382D63" w:rsidRPr="001842A2">
              <w:rPr>
                <w:rStyle w:val="Hyperlink"/>
                <w:rFonts w:ascii="Times New Roman" w:hAnsi="Times New Roman" w:cs="Times New Roman"/>
              </w:rPr>
              <w:t>1.3.1.5 Validity</w:t>
            </w:r>
            <w:r w:rsidR="00382D63">
              <w:rPr>
                <w:webHidden/>
              </w:rPr>
              <w:tab/>
            </w:r>
            <w:r w:rsidR="00382D63">
              <w:rPr>
                <w:webHidden/>
              </w:rPr>
              <w:fldChar w:fldCharType="begin"/>
            </w:r>
            <w:r w:rsidR="00382D63">
              <w:rPr>
                <w:webHidden/>
              </w:rPr>
              <w:instrText xml:space="preserve"> PAGEREF _Toc23243776 \h </w:instrText>
            </w:r>
            <w:r w:rsidR="00382D63">
              <w:rPr>
                <w:webHidden/>
              </w:rPr>
            </w:r>
            <w:r w:rsidR="00382D63">
              <w:rPr>
                <w:webHidden/>
              </w:rPr>
              <w:fldChar w:fldCharType="separate"/>
            </w:r>
            <w:r w:rsidR="00382D63">
              <w:rPr>
                <w:webHidden/>
              </w:rPr>
              <w:t>67</w:t>
            </w:r>
            <w:r w:rsidR="00382D63">
              <w:rPr>
                <w:webHidden/>
              </w:rPr>
              <w:fldChar w:fldCharType="end"/>
            </w:r>
          </w:hyperlink>
        </w:p>
        <w:p w14:paraId="3488DCF4" w14:textId="5D7DD2E5" w:rsidR="00382D63" w:rsidRDefault="00200483">
          <w:pPr>
            <w:pStyle w:val="TOC3"/>
            <w:rPr>
              <w:lang w:eastAsia="en-US"/>
            </w:rPr>
          </w:pPr>
          <w:hyperlink w:anchor="_Toc23243777" w:history="1">
            <w:r w:rsidR="00382D63" w:rsidRPr="001842A2">
              <w:rPr>
                <w:rStyle w:val="Hyperlink"/>
                <w:rFonts w:ascii="Times New Roman" w:hAnsi="Times New Roman" w:cs="Times New Roman"/>
              </w:rPr>
              <w:t>1.3.1.6 Reliability</w:t>
            </w:r>
            <w:r w:rsidR="00382D63">
              <w:rPr>
                <w:webHidden/>
              </w:rPr>
              <w:tab/>
            </w:r>
            <w:r w:rsidR="00382D63">
              <w:rPr>
                <w:webHidden/>
              </w:rPr>
              <w:fldChar w:fldCharType="begin"/>
            </w:r>
            <w:r w:rsidR="00382D63">
              <w:rPr>
                <w:webHidden/>
              </w:rPr>
              <w:instrText xml:space="preserve"> PAGEREF _Toc23243777 \h </w:instrText>
            </w:r>
            <w:r w:rsidR="00382D63">
              <w:rPr>
                <w:webHidden/>
              </w:rPr>
            </w:r>
            <w:r w:rsidR="00382D63">
              <w:rPr>
                <w:webHidden/>
              </w:rPr>
              <w:fldChar w:fldCharType="separate"/>
            </w:r>
            <w:r w:rsidR="00382D63">
              <w:rPr>
                <w:webHidden/>
              </w:rPr>
              <w:t>68</w:t>
            </w:r>
            <w:r w:rsidR="00382D63">
              <w:rPr>
                <w:webHidden/>
              </w:rPr>
              <w:fldChar w:fldCharType="end"/>
            </w:r>
          </w:hyperlink>
        </w:p>
        <w:p w14:paraId="01915BF4" w14:textId="1D2DB587" w:rsidR="00382D63" w:rsidRDefault="00200483">
          <w:pPr>
            <w:pStyle w:val="TOC3"/>
            <w:rPr>
              <w:lang w:eastAsia="en-US"/>
            </w:rPr>
          </w:pPr>
          <w:hyperlink w:anchor="_Toc23243778" w:history="1">
            <w:r w:rsidR="00382D63" w:rsidRPr="001842A2">
              <w:rPr>
                <w:rStyle w:val="Hyperlink"/>
                <w:rFonts w:ascii="Times New Roman" w:hAnsi="Times New Roman" w:cs="Times New Roman"/>
              </w:rPr>
              <w:t>1.3.1.7 Guidance and training</w:t>
            </w:r>
            <w:r w:rsidR="00382D63">
              <w:rPr>
                <w:webHidden/>
              </w:rPr>
              <w:tab/>
            </w:r>
            <w:r w:rsidR="00382D63">
              <w:rPr>
                <w:webHidden/>
              </w:rPr>
              <w:fldChar w:fldCharType="begin"/>
            </w:r>
            <w:r w:rsidR="00382D63">
              <w:rPr>
                <w:webHidden/>
              </w:rPr>
              <w:instrText xml:space="preserve"> PAGEREF _Toc23243778 \h </w:instrText>
            </w:r>
            <w:r w:rsidR="00382D63">
              <w:rPr>
                <w:webHidden/>
              </w:rPr>
            </w:r>
            <w:r w:rsidR="00382D63">
              <w:rPr>
                <w:webHidden/>
              </w:rPr>
              <w:fldChar w:fldCharType="separate"/>
            </w:r>
            <w:r w:rsidR="00382D63">
              <w:rPr>
                <w:webHidden/>
              </w:rPr>
              <w:t>69</w:t>
            </w:r>
            <w:r w:rsidR="00382D63">
              <w:rPr>
                <w:webHidden/>
              </w:rPr>
              <w:fldChar w:fldCharType="end"/>
            </w:r>
          </w:hyperlink>
        </w:p>
        <w:p w14:paraId="408154EA" w14:textId="1E0A7B29" w:rsidR="00382D63" w:rsidRDefault="00200483">
          <w:pPr>
            <w:pStyle w:val="TOC3"/>
            <w:rPr>
              <w:lang w:eastAsia="en-US"/>
            </w:rPr>
          </w:pPr>
          <w:hyperlink w:anchor="_Toc23243779" w:history="1">
            <w:r w:rsidR="00382D63" w:rsidRPr="001842A2">
              <w:rPr>
                <w:rStyle w:val="Hyperlink"/>
                <w:rFonts w:ascii="Times New Roman" w:eastAsia="Times New Roman" w:hAnsi="Times New Roman" w:cs="Times New Roman"/>
                <w:lang w:eastAsia="en-GB"/>
              </w:rPr>
              <w:t>1.3.1.8 Changes to WBAs</w:t>
            </w:r>
            <w:r w:rsidR="00382D63">
              <w:rPr>
                <w:webHidden/>
              </w:rPr>
              <w:tab/>
            </w:r>
            <w:r w:rsidR="00382D63">
              <w:rPr>
                <w:webHidden/>
              </w:rPr>
              <w:fldChar w:fldCharType="begin"/>
            </w:r>
            <w:r w:rsidR="00382D63">
              <w:rPr>
                <w:webHidden/>
              </w:rPr>
              <w:instrText xml:space="preserve"> PAGEREF _Toc23243779 \h </w:instrText>
            </w:r>
            <w:r w:rsidR="00382D63">
              <w:rPr>
                <w:webHidden/>
              </w:rPr>
            </w:r>
            <w:r w:rsidR="00382D63">
              <w:rPr>
                <w:webHidden/>
              </w:rPr>
              <w:fldChar w:fldCharType="separate"/>
            </w:r>
            <w:r w:rsidR="00382D63">
              <w:rPr>
                <w:webHidden/>
              </w:rPr>
              <w:t>70</w:t>
            </w:r>
            <w:r w:rsidR="00382D63">
              <w:rPr>
                <w:webHidden/>
              </w:rPr>
              <w:fldChar w:fldCharType="end"/>
            </w:r>
          </w:hyperlink>
        </w:p>
        <w:p w14:paraId="3CA37478" w14:textId="663992DB" w:rsidR="00382D63" w:rsidRDefault="00200483">
          <w:pPr>
            <w:pStyle w:val="TOC3"/>
            <w:rPr>
              <w:lang w:eastAsia="en-US"/>
            </w:rPr>
          </w:pPr>
          <w:hyperlink w:anchor="_Toc23243780" w:history="1">
            <w:r w:rsidR="00382D63" w:rsidRPr="001842A2">
              <w:rPr>
                <w:rStyle w:val="Hyperlink"/>
                <w:rFonts w:ascii="Times New Roman" w:eastAsia="Times New Roman" w:hAnsi="Times New Roman" w:cs="Times New Roman"/>
                <w:lang w:eastAsia="en-GB"/>
              </w:rPr>
              <w:t>1.3.1.9 Conclusion</w:t>
            </w:r>
            <w:r w:rsidR="00382D63">
              <w:rPr>
                <w:webHidden/>
              </w:rPr>
              <w:tab/>
            </w:r>
            <w:r w:rsidR="00382D63">
              <w:rPr>
                <w:webHidden/>
              </w:rPr>
              <w:fldChar w:fldCharType="begin"/>
            </w:r>
            <w:r w:rsidR="00382D63">
              <w:rPr>
                <w:webHidden/>
              </w:rPr>
              <w:instrText xml:space="preserve"> PAGEREF _Toc23243780 \h </w:instrText>
            </w:r>
            <w:r w:rsidR="00382D63">
              <w:rPr>
                <w:webHidden/>
              </w:rPr>
            </w:r>
            <w:r w:rsidR="00382D63">
              <w:rPr>
                <w:webHidden/>
              </w:rPr>
              <w:fldChar w:fldCharType="separate"/>
            </w:r>
            <w:r w:rsidR="00382D63">
              <w:rPr>
                <w:webHidden/>
              </w:rPr>
              <w:t>71</w:t>
            </w:r>
            <w:r w:rsidR="00382D63">
              <w:rPr>
                <w:webHidden/>
              </w:rPr>
              <w:fldChar w:fldCharType="end"/>
            </w:r>
          </w:hyperlink>
        </w:p>
        <w:p w14:paraId="65B7EE44" w14:textId="2FF1BF43" w:rsidR="00382D63" w:rsidRDefault="00200483">
          <w:pPr>
            <w:pStyle w:val="TOC2"/>
            <w:rPr>
              <w:rFonts w:asciiTheme="minorHAnsi" w:eastAsiaTheme="minorEastAsia" w:hAnsiTheme="minorHAnsi" w:cstheme="minorBidi"/>
              <w:lang w:val="en-US"/>
            </w:rPr>
          </w:pPr>
          <w:hyperlink w:anchor="_Toc23243781" w:history="1">
            <w:r w:rsidR="00382D63" w:rsidRPr="001842A2">
              <w:rPr>
                <w:rStyle w:val="Hyperlink"/>
              </w:rPr>
              <w:t>1.3.6 Perception of workplace-based assessment in histopathology</w:t>
            </w:r>
            <w:r w:rsidR="00382D63">
              <w:rPr>
                <w:webHidden/>
              </w:rPr>
              <w:tab/>
            </w:r>
            <w:r w:rsidR="00382D63">
              <w:rPr>
                <w:webHidden/>
              </w:rPr>
              <w:fldChar w:fldCharType="begin"/>
            </w:r>
            <w:r w:rsidR="00382D63">
              <w:rPr>
                <w:webHidden/>
              </w:rPr>
              <w:instrText xml:space="preserve"> PAGEREF _Toc23243781 \h </w:instrText>
            </w:r>
            <w:r w:rsidR="00382D63">
              <w:rPr>
                <w:webHidden/>
              </w:rPr>
            </w:r>
            <w:r w:rsidR="00382D63">
              <w:rPr>
                <w:webHidden/>
              </w:rPr>
              <w:fldChar w:fldCharType="separate"/>
            </w:r>
            <w:r w:rsidR="00382D63">
              <w:rPr>
                <w:webHidden/>
              </w:rPr>
              <w:t>71</w:t>
            </w:r>
            <w:r w:rsidR="00382D63">
              <w:rPr>
                <w:webHidden/>
              </w:rPr>
              <w:fldChar w:fldCharType="end"/>
            </w:r>
          </w:hyperlink>
        </w:p>
        <w:p w14:paraId="5C3C9C44" w14:textId="25E7DD15" w:rsidR="00382D63" w:rsidRDefault="00200483">
          <w:pPr>
            <w:pStyle w:val="TOC2"/>
            <w:rPr>
              <w:rFonts w:asciiTheme="minorHAnsi" w:eastAsiaTheme="minorEastAsia" w:hAnsiTheme="minorHAnsi" w:cstheme="minorBidi"/>
              <w:lang w:val="en-US"/>
            </w:rPr>
          </w:pPr>
          <w:hyperlink w:anchor="_Toc23243782" w:history="1">
            <w:r w:rsidR="00382D63" w:rsidRPr="001842A2">
              <w:rPr>
                <w:rStyle w:val="Hyperlink"/>
              </w:rPr>
              <w:t>1.3.7 Summary</w:t>
            </w:r>
            <w:r w:rsidR="00382D63">
              <w:rPr>
                <w:webHidden/>
              </w:rPr>
              <w:tab/>
            </w:r>
            <w:r w:rsidR="00382D63">
              <w:rPr>
                <w:webHidden/>
              </w:rPr>
              <w:fldChar w:fldCharType="begin"/>
            </w:r>
            <w:r w:rsidR="00382D63">
              <w:rPr>
                <w:webHidden/>
              </w:rPr>
              <w:instrText xml:space="preserve"> PAGEREF _Toc23243782 \h </w:instrText>
            </w:r>
            <w:r w:rsidR="00382D63">
              <w:rPr>
                <w:webHidden/>
              </w:rPr>
            </w:r>
            <w:r w:rsidR="00382D63">
              <w:rPr>
                <w:webHidden/>
              </w:rPr>
              <w:fldChar w:fldCharType="separate"/>
            </w:r>
            <w:r w:rsidR="00382D63">
              <w:rPr>
                <w:webHidden/>
              </w:rPr>
              <w:t>74</w:t>
            </w:r>
            <w:r w:rsidR="00382D63">
              <w:rPr>
                <w:webHidden/>
              </w:rPr>
              <w:fldChar w:fldCharType="end"/>
            </w:r>
          </w:hyperlink>
        </w:p>
        <w:p w14:paraId="1C43B652" w14:textId="0E89722A" w:rsidR="00382D63" w:rsidRDefault="00200483">
          <w:pPr>
            <w:pStyle w:val="TOC1"/>
            <w:rPr>
              <w:rFonts w:asciiTheme="minorHAnsi" w:eastAsiaTheme="minorEastAsia" w:hAnsiTheme="minorHAnsi" w:cstheme="minorBidi"/>
              <w:sz w:val="22"/>
              <w:szCs w:val="22"/>
              <w:lang w:val="en-US"/>
            </w:rPr>
          </w:pPr>
          <w:hyperlink w:anchor="_Toc23243783" w:history="1">
            <w:r w:rsidR="00382D63" w:rsidRPr="001842A2">
              <w:rPr>
                <w:rStyle w:val="Hyperlink"/>
                <w:b/>
              </w:rPr>
              <w:t>Chapter 2</w:t>
            </w:r>
            <w:r w:rsidR="00382D63">
              <w:rPr>
                <w:webHidden/>
              </w:rPr>
              <w:tab/>
            </w:r>
            <w:r w:rsidR="00382D63">
              <w:rPr>
                <w:webHidden/>
              </w:rPr>
              <w:fldChar w:fldCharType="begin"/>
            </w:r>
            <w:r w:rsidR="00382D63">
              <w:rPr>
                <w:webHidden/>
              </w:rPr>
              <w:instrText xml:space="preserve"> PAGEREF _Toc23243783 \h </w:instrText>
            </w:r>
            <w:r w:rsidR="00382D63">
              <w:rPr>
                <w:webHidden/>
              </w:rPr>
            </w:r>
            <w:r w:rsidR="00382D63">
              <w:rPr>
                <w:webHidden/>
              </w:rPr>
              <w:fldChar w:fldCharType="separate"/>
            </w:r>
            <w:r w:rsidR="00382D63">
              <w:rPr>
                <w:webHidden/>
              </w:rPr>
              <w:t>77</w:t>
            </w:r>
            <w:r w:rsidR="00382D63">
              <w:rPr>
                <w:webHidden/>
              </w:rPr>
              <w:fldChar w:fldCharType="end"/>
            </w:r>
          </w:hyperlink>
        </w:p>
        <w:p w14:paraId="6CB6248E" w14:textId="0A98C983" w:rsidR="00382D63" w:rsidRDefault="00200483">
          <w:pPr>
            <w:pStyle w:val="TOC1"/>
            <w:rPr>
              <w:rFonts w:asciiTheme="minorHAnsi" w:eastAsiaTheme="minorEastAsia" w:hAnsiTheme="minorHAnsi" w:cstheme="minorBidi"/>
              <w:sz w:val="22"/>
              <w:szCs w:val="22"/>
              <w:lang w:val="en-US"/>
            </w:rPr>
          </w:pPr>
          <w:hyperlink w:anchor="_Toc23243784" w:history="1">
            <w:r w:rsidR="00382D63" w:rsidRPr="001842A2">
              <w:rPr>
                <w:rStyle w:val="Hyperlink"/>
                <w:b/>
              </w:rPr>
              <w:t>Aims and Objectives</w:t>
            </w:r>
            <w:r w:rsidR="00382D63">
              <w:rPr>
                <w:webHidden/>
              </w:rPr>
              <w:tab/>
            </w:r>
            <w:r w:rsidR="00382D63">
              <w:rPr>
                <w:webHidden/>
              </w:rPr>
              <w:fldChar w:fldCharType="begin"/>
            </w:r>
            <w:r w:rsidR="00382D63">
              <w:rPr>
                <w:webHidden/>
              </w:rPr>
              <w:instrText xml:space="preserve"> PAGEREF _Toc23243784 \h </w:instrText>
            </w:r>
            <w:r w:rsidR="00382D63">
              <w:rPr>
                <w:webHidden/>
              </w:rPr>
            </w:r>
            <w:r w:rsidR="00382D63">
              <w:rPr>
                <w:webHidden/>
              </w:rPr>
              <w:fldChar w:fldCharType="separate"/>
            </w:r>
            <w:r w:rsidR="00382D63">
              <w:rPr>
                <w:webHidden/>
              </w:rPr>
              <w:t>77</w:t>
            </w:r>
            <w:r w:rsidR="00382D63">
              <w:rPr>
                <w:webHidden/>
              </w:rPr>
              <w:fldChar w:fldCharType="end"/>
            </w:r>
          </w:hyperlink>
        </w:p>
        <w:p w14:paraId="22A54157" w14:textId="7DAC9565" w:rsidR="00382D63" w:rsidRDefault="00200483">
          <w:pPr>
            <w:pStyle w:val="TOC2"/>
            <w:rPr>
              <w:rFonts w:asciiTheme="minorHAnsi" w:eastAsiaTheme="minorEastAsia" w:hAnsiTheme="minorHAnsi" w:cstheme="minorBidi"/>
              <w:lang w:val="en-US"/>
            </w:rPr>
          </w:pPr>
          <w:hyperlink w:anchor="_Toc23243785" w:history="1">
            <w:r w:rsidR="00382D63" w:rsidRPr="001842A2">
              <w:rPr>
                <w:rStyle w:val="Hyperlink"/>
              </w:rPr>
              <w:t>2.1 Introduction</w:t>
            </w:r>
            <w:r w:rsidR="00382D63">
              <w:rPr>
                <w:webHidden/>
              </w:rPr>
              <w:tab/>
            </w:r>
            <w:r w:rsidR="00382D63">
              <w:rPr>
                <w:webHidden/>
              </w:rPr>
              <w:fldChar w:fldCharType="begin"/>
            </w:r>
            <w:r w:rsidR="00382D63">
              <w:rPr>
                <w:webHidden/>
              </w:rPr>
              <w:instrText xml:space="preserve"> PAGEREF _Toc23243785 \h </w:instrText>
            </w:r>
            <w:r w:rsidR="00382D63">
              <w:rPr>
                <w:webHidden/>
              </w:rPr>
            </w:r>
            <w:r w:rsidR="00382D63">
              <w:rPr>
                <w:webHidden/>
              </w:rPr>
              <w:fldChar w:fldCharType="separate"/>
            </w:r>
            <w:r w:rsidR="00382D63">
              <w:rPr>
                <w:webHidden/>
              </w:rPr>
              <w:t>78</w:t>
            </w:r>
            <w:r w:rsidR="00382D63">
              <w:rPr>
                <w:webHidden/>
              </w:rPr>
              <w:fldChar w:fldCharType="end"/>
            </w:r>
          </w:hyperlink>
        </w:p>
        <w:p w14:paraId="38C873DB" w14:textId="35F39114" w:rsidR="00382D63" w:rsidRDefault="00200483">
          <w:pPr>
            <w:pStyle w:val="TOC2"/>
            <w:rPr>
              <w:rFonts w:asciiTheme="minorHAnsi" w:eastAsiaTheme="minorEastAsia" w:hAnsiTheme="minorHAnsi" w:cstheme="minorBidi"/>
              <w:lang w:val="en-US"/>
            </w:rPr>
          </w:pPr>
          <w:hyperlink w:anchor="_Toc23243786" w:history="1">
            <w:r w:rsidR="00382D63" w:rsidRPr="001842A2">
              <w:rPr>
                <w:rStyle w:val="Hyperlink"/>
              </w:rPr>
              <w:t>2.2 Aims and Objectives</w:t>
            </w:r>
            <w:r w:rsidR="00382D63">
              <w:rPr>
                <w:webHidden/>
              </w:rPr>
              <w:tab/>
            </w:r>
            <w:r w:rsidR="00382D63">
              <w:rPr>
                <w:webHidden/>
              </w:rPr>
              <w:fldChar w:fldCharType="begin"/>
            </w:r>
            <w:r w:rsidR="00382D63">
              <w:rPr>
                <w:webHidden/>
              </w:rPr>
              <w:instrText xml:space="preserve"> PAGEREF _Toc23243786 \h </w:instrText>
            </w:r>
            <w:r w:rsidR="00382D63">
              <w:rPr>
                <w:webHidden/>
              </w:rPr>
            </w:r>
            <w:r w:rsidR="00382D63">
              <w:rPr>
                <w:webHidden/>
              </w:rPr>
              <w:fldChar w:fldCharType="separate"/>
            </w:r>
            <w:r w:rsidR="00382D63">
              <w:rPr>
                <w:webHidden/>
              </w:rPr>
              <w:t>78</w:t>
            </w:r>
            <w:r w:rsidR="00382D63">
              <w:rPr>
                <w:webHidden/>
              </w:rPr>
              <w:fldChar w:fldCharType="end"/>
            </w:r>
          </w:hyperlink>
        </w:p>
        <w:p w14:paraId="7D117CCF" w14:textId="5608BAF2" w:rsidR="00382D63" w:rsidRDefault="00200483">
          <w:pPr>
            <w:pStyle w:val="TOC2"/>
            <w:rPr>
              <w:rFonts w:asciiTheme="minorHAnsi" w:eastAsiaTheme="minorEastAsia" w:hAnsiTheme="minorHAnsi" w:cstheme="minorBidi"/>
              <w:lang w:val="en-US"/>
            </w:rPr>
          </w:pPr>
          <w:hyperlink w:anchor="_Toc23243787" w:history="1">
            <w:r w:rsidR="00382D63" w:rsidRPr="001842A2">
              <w:rPr>
                <w:rStyle w:val="Hyperlink"/>
              </w:rPr>
              <w:t>2.3 Emergence of a framework</w:t>
            </w:r>
            <w:r w:rsidR="00382D63">
              <w:rPr>
                <w:webHidden/>
              </w:rPr>
              <w:tab/>
            </w:r>
            <w:r w:rsidR="00382D63">
              <w:rPr>
                <w:webHidden/>
              </w:rPr>
              <w:fldChar w:fldCharType="begin"/>
            </w:r>
            <w:r w:rsidR="00382D63">
              <w:rPr>
                <w:webHidden/>
              </w:rPr>
              <w:instrText xml:space="preserve"> PAGEREF _Toc23243787 \h </w:instrText>
            </w:r>
            <w:r w:rsidR="00382D63">
              <w:rPr>
                <w:webHidden/>
              </w:rPr>
            </w:r>
            <w:r w:rsidR="00382D63">
              <w:rPr>
                <w:webHidden/>
              </w:rPr>
              <w:fldChar w:fldCharType="separate"/>
            </w:r>
            <w:r w:rsidR="00382D63">
              <w:rPr>
                <w:webHidden/>
              </w:rPr>
              <w:t>79</w:t>
            </w:r>
            <w:r w:rsidR="00382D63">
              <w:rPr>
                <w:webHidden/>
              </w:rPr>
              <w:fldChar w:fldCharType="end"/>
            </w:r>
          </w:hyperlink>
        </w:p>
        <w:p w14:paraId="22EE12C1" w14:textId="237FD837" w:rsidR="00382D63" w:rsidRDefault="00200483">
          <w:pPr>
            <w:pStyle w:val="TOC2"/>
            <w:rPr>
              <w:rFonts w:asciiTheme="minorHAnsi" w:eastAsiaTheme="minorEastAsia" w:hAnsiTheme="minorHAnsi" w:cstheme="minorBidi"/>
              <w:lang w:val="en-US"/>
            </w:rPr>
          </w:pPr>
          <w:hyperlink w:anchor="_Toc23243788" w:history="1">
            <w:r w:rsidR="00382D63" w:rsidRPr="001842A2">
              <w:rPr>
                <w:rStyle w:val="Hyperlink"/>
              </w:rPr>
              <w:t>2.4 Theoretical framework</w:t>
            </w:r>
            <w:r w:rsidR="00382D63">
              <w:rPr>
                <w:webHidden/>
              </w:rPr>
              <w:tab/>
            </w:r>
            <w:r w:rsidR="00382D63">
              <w:rPr>
                <w:webHidden/>
              </w:rPr>
              <w:fldChar w:fldCharType="begin"/>
            </w:r>
            <w:r w:rsidR="00382D63">
              <w:rPr>
                <w:webHidden/>
              </w:rPr>
              <w:instrText xml:space="preserve"> PAGEREF _Toc23243788 \h </w:instrText>
            </w:r>
            <w:r w:rsidR="00382D63">
              <w:rPr>
                <w:webHidden/>
              </w:rPr>
            </w:r>
            <w:r w:rsidR="00382D63">
              <w:rPr>
                <w:webHidden/>
              </w:rPr>
              <w:fldChar w:fldCharType="separate"/>
            </w:r>
            <w:r w:rsidR="00382D63">
              <w:rPr>
                <w:webHidden/>
              </w:rPr>
              <w:t>81</w:t>
            </w:r>
            <w:r w:rsidR="00382D63">
              <w:rPr>
                <w:webHidden/>
              </w:rPr>
              <w:fldChar w:fldCharType="end"/>
            </w:r>
          </w:hyperlink>
        </w:p>
        <w:p w14:paraId="22522BD7" w14:textId="781FC4AB" w:rsidR="00382D63" w:rsidRDefault="00200483">
          <w:pPr>
            <w:pStyle w:val="TOC1"/>
            <w:rPr>
              <w:rFonts w:asciiTheme="minorHAnsi" w:eastAsiaTheme="minorEastAsia" w:hAnsiTheme="minorHAnsi" w:cstheme="minorBidi"/>
              <w:sz w:val="22"/>
              <w:szCs w:val="22"/>
              <w:lang w:val="en-US"/>
            </w:rPr>
          </w:pPr>
          <w:hyperlink w:anchor="_Toc23243789" w:history="1">
            <w:r w:rsidR="00382D63" w:rsidRPr="001842A2">
              <w:rPr>
                <w:rStyle w:val="Hyperlink"/>
                <w:b/>
              </w:rPr>
              <w:t>Chapter 3</w:t>
            </w:r>
            <w:r w:rsidR="00382D63">
              <w:rPr>
                <w:webHidden/>
              </w:rPr>
              <w:tab/>
            </w:r>
            <w:r w:rsidR="00382D63">
              <w:rPr>
                <w:webHidden/>
              </w:rPr>
              <w:fldChar w:fldCharType="begin"/>
            </w:r>
            <w:r w:rsidR="00382D63">
              <w:rPr>
                <w:webHidden/>
              </w:rPr>
              <w:instrText xml:space="preserve"> PAGEREF _Toc23243789 \h </w:instrText>
            </w:r>
            <w:r w:rsidR="00382D63">
              <w:rPr>
                <w:webHidden/>
              </w:rPr>
            </w:r>
            <w:r w:rsidR="00382D63">
              <w:rPr>
                <w:webHidden/>
              </w:rPr>
              <w:fldChar w:fldCharType="separate"/>
            </w:r>
            <w:r w:rsidR="00382D63">
              <w:rPr>
                <w:webHidden/>
              </w:rPr>
              <w:t>87</w:t>
            </w:r>
            <w:r w:rsidR="00382D63">
              <w:rPr>
                <w:webHidden/>
              </w:rPr>
              <w:fldChar w:fldCharType="end"/>
            </w:r>
          </w:hyperlink>
        </w:p>
        <w:p w14:paraId="456893A6" w14:textId="4753C60C" w:rsidR="00382D63" w:rsidRDefault="00200483">
          <w:pPr>
            <w:pStyle w:val="TOC1"/>
            <w:rPr>
              <w:rFonts w:asciiTheme="minorHAnsi" w:eastAsiaTheme="minorEastAsia" w:hAnsiTheme="minorHAnsi" w:cstheme="minorBidi"/>
              <w:sz w:val="22"/>
              <w:szCs w:val="22"/>
              <w:lang w:val="en-US"/>
            </w:rPr>
          </w:pPr>
          <w:hyperlink w:anchor="_Toc23243790" w:history="1">
            <w:r w:rsidR="00382D63" w:rsidRPr="001842A2">
              <w:rPr>
                <w:rStyle w:val="Hyperlink"/>
                <w:b/>
              </w:rPr>
              <w:t>A questionnaire exploring the perception of WBAs in histopathology</w:t>
            </w:r>
            <w:r w:rsidR="00382D63">
              <w:rPr>
                <w:webHidden/>
              </w:rPr>
              <w:tab/>
            </w:r>
            <w:r w:rsidR="00382D63">
              <w:rPr>
                <w:webHidden/>
              </w:rPr>
              <w:fldChar w:fldCharType="begin"/>
            </w:r>
            <w:r w:rsidR="00382D63">
              <w:rPr>
                <w:webHidden/>
              </w:rPr>
              <w:instrText xml:space="preserve"> PAGEREF _Toc23243790 \h </w:instrText>
            </w:r>
            <w:r w:rsidR="00382D63">
              <w:rPr>
                <w:webHidden/>
              </w:rPr>
            </w:r>
            <w:r w:rsidR="00382D63">
              <w:rPr>
                <w:webHidden/>
              </w:rPr>
              <w:fldChar w:fldCharType="separate"/>
            </w:r>
            <w:r w:rsidR="00382D63">
              <w:rPr>
                <w:webHidden/>
              </w:rPr>
              <w:t>87</w:t>
            </w:r>
            <w:r w:rsidR="00382D63">
              <w:rPr>
                <w:webHidden/>
              </w:rPr>
              <w:fldChar w:fldCharType="end"/>
            </w:r>
          </w:hyperlink>
        </w:p>
        <w:p w14:paraId="57F51827" w14:textId="34D92AFA" w:rsidR="00382D63" w:rsidRDefault="00200483">
          <w:pPr>
            <w:pStyle w:val="TOC2"/>
            <w:rPr>
              <w:rFonts w:asciiTheme="minorHAnsi" w:eastAsiaTheme="minorEastAsia" w:hAnsiTheme="minorHAnsi" w:cstheme="minorBidi"/>
              <w:lang w:val="en-US"/>
            </w:rPr>
          </w:pPr>
          <w:hyperlink w:anchor="_Toc23243791" w:history="1">
            <w:r w:rsidR="00382D63" w:rsidRPr="001842A2">
              <w:rPr>
                <w:rStyle w:val="Hyperlink"/>
              </w:rPr>
              <w:t>3. 1 Background</w:t>
            </w:r>
            <w:r w:rsidR="00382D63">
              <w:rPr>
                <w:webHidden/>
              </w:rPr>
              <w:tab/>
            </w:r>
            <w:r w:rsidR="00382D63">
              <w:rPr>
                <w:webHidden/>
              </w:rPr>
              <w:fldChar w:fldCharType="begin"/>
            </w:r>
            <w:r w:rsidR="00382D63">
              <w:rPr>
                <w:webHidden/>
              </w:rPr>
              <w:instrText xml:space="preserve"> PAGEREF _Toc23243791 \h </w:instrText>
            </w:r>
            <w:r w:rsidR="00382D63">
              <w:rPr>
                <w:webHidden/>
              </w:rPr>
            </w:r>
            <w:r w:rsidR="00382D63">
              <w:rPr>
                <w:webHidden/>
              </w:rPr>
              <w:fldChar w:fldCharType="separate"/>
            </w:r>
            <w:r w:rsidR="00382D63">
              <w:rPr>
                <w:webHidden/>
              </w:rPr>
              <w:t>88</w:t>
            </w:r>
            <w:r w:rsidR="00382D63">
              <w:rPr>
                <w:webHidden/>
              </w:rPr>
              <w:fldChar w:fldCharType="end"/>
            </w:r>
          </w:hyperlink>
        </w:p>
        <w:p w14:paraId="70AC69A1" w14:textId="414E66E6" w:rsidR="00382D63" w:rsidRDefault="00200483">
          <w:pPr>
            <w:pStyle w:val="TOC2"/>
            <w:rPr>
              <w:rFonts w:asciiTheme="minorHAnsi" w:eastAsiaTheme="minorEastAsia" w:hAnsiTheme="minorHAnsi" w:cstheme="minorBidi"/>
              <w:lang w:val="en-US"/>
            </w:rPr>
          </w:pPr>
          <w:hyperlink w:anchor="_Toc23243792" w:history="1">
            <w:r w:rsidR="00382D63" w:rsidRPr="001842A2">
              <w:rPr>
                <w:rStyle w:val="Hyperlink"/>
              </w:rPr>
              <w:t>3.2 Aim and objectives</w:t>
            </w:r>
            <w:r w:rsidR="00382D63">
              <w:rPr>
                <w:webHidden/>
              </w:rPr>
              <w:tab/>
            </w:r>
            <w:r w:rsidR="00382D63">
              <w:rPr>
                <w:webHidden/>
              </w:rPr>
              <w:fldChar w:fldCharType="begin"/>
            </w:r>
            <w:r w:rsidR="00382D63">
              <w:rPr>
                <w:webHidden/>
              </w:rPr>
              <w:instrText xml:space="preserve"> PAGEREF _Toc23243792 \h </w:instrText>
            </w:r>
            <w:r w:rsidR="00382D63">
              <w:rPr>
                <w:webHidden/>
              </w:rPr>
            </w:r>
            <w:r w:rsidR="00382D63">
              <w:rPr>
                <w:webHidden/>
              </w:rPr>
              <w:fldChar w:fldCharType="separate"/>
            </w:r>
            <w:r w:rsidR="00382D63">
              <w:rPr>
                <w:webHidden/>
              </w:rPr>
              <w:t>88</w:t>
            </w:r>
            <w:r w:rsidR="00382D63">
              <w:rPr>
                <w:webHidden/>
              </w:rPr>
              <w:fldChar w:fldCharType="end"/>
            </w:r>
          </w:hyperlink>
        </w:p>
        <w:p w14:paraId="215D410C" w14:textId="456BFCED" w:rsidR="00382D63" w:rsidRDefault="00200483">
          <w:pPr>
            <w:pStyle w:val="TOC2"/>
            <w:rPr>
              <w:rFonts w:asciiTheme="minorHAnsi" w:eastAsiaTheme="minorEastAsia" w:hAnsiTheme="minorHAnsi" w:cstheme="minorBidi"/>
              <w:lang w:val="en-US"/>
            </w:rPr>
          </w:pPr>
          <w:hyperlink w:anchor="_Toc23243793" w:history="1">
            <w:r w:rsidR="00382D63" w:rsidRPr="001842A2">
              <w:rPr>
                <w:rStyle w:val="Hyperlink"/>
              </w:rPr>
              <w:t>3.3 Method</w:t>
            </w:r>
            <w:r w:rsidR="00382D63">
              <w:rPr>
                <w:webHidden/>
              </w:rPr>
              <w:tab/>
            </w:r>
            <w:r w:rsidR="00382D63">
              <w:rPr>
                <w:webHidden/>
              </w:rPr>
              <w:fldChar w:fldCharType="begin"/>
            </w:r>
            <w:r w:rsidR="00382D63">
              <w:rPr>
                <w:webHidden/>
              </w:rPr>
              <w:instrText xml:space="preserve"> PAGEREF _Toc23243793 \h </w:instrText>
            </w:r>
            <w:r w:rsidR="00382D63">
              <w:rPr>
                <w:webHidden/>
              </w:rPr>
            </w:r>
            <w:r w:rsidR="00382D63">
              <w:rPr>
                <w:webHidden/>
              </w:rPr>
              <w:fldChar w:fldCharType="separate"/>
            </w:r>
            <w:r w:rsidR="00382D63">
              <w:rPr>
                <w:webHidden/>
              </w:rPr>
              <w:t>89</w:t>
            </w:r>
            <w:r w:rsidR="00382D63">
              <w:rPr>
                <w:webHidden/>
              </w:rPr>
              <w:fldChar w:fldCharType="end"/>
            </w:r>
          </w:hyperlink>
        </w:p>
        <w:p w14:paraId="11953112" w14:textId="7D9F2205" w:rsidR="00382D63" w:rsidRDefault="00200483">
          <w:pPr>
            <w:pStyle w:val="TOC3"/>
            <w:rPr>
              <w:lang w:eastAsia="en-US"/>
            </w:rPr>
          </w:pPr>
          <w:hyperlink w:anchor="_Toc23243794" w:history="1">
            <w:r w:rsidR="00382D63" w:rsidRPr="001842A2">
              <w:rPr>
                <w:rStyle w:val="Hyperlink"/>
                <w:rFonts w:ascii="Times New Roman" w:hAnsi="Times New Roman" w:cs="Times New Roman"/>
              </w:rPr>
              <w:t>3.3.1 Introduction</w:t>
            </w:r>
            <w:r w:rsidR="00382D63">
              <w:rPr>
                <w:webHidden/>
              </w:rPr>
              <w:tab/>
            </w:r>
            <w:r w:rsidR="00382D63">
              <w:rPr>
                <w:webHidden/>
              </w:rPr>
              <w:fldChar w:fldCharType="begin"/>
            </w:r>
            <w:r w:rsidR="00382D63">
              <w:rPr>
                <w:webHidden/>
              </w:rPr>
              <w:instrText xml:space="preserve"> PAGEREF _Toc23243794 \h </w:instrText>
            </w:r>
            <w:r w:rsidR="00382D63">
              <w:rPr>
                <w:webHidden/>
              </w:rPr>
            </w:r>
            <w:r w:rsidR="00382D63">
              <w:rPr>
                <w:webHidden/>
              </w:rPr>
              <w:fldChar w:fldCharType="separate"/>
            </w:r>
            <w:r w:rsidR="00382D63">
              <w:rPr>
                <w:webHidden/>
              </w:rPr>
              <w:t>89</w:t>
            </w:r>
            <w:r w:rsidR="00382D63">
              <w:rPr>
                <w:webHidden/>
              </w:rPr>
              <w:fldChar w:fldCharType="end"/>
            </w:r>
          </w:hyperlink>
        </w:p>
        <w:p w14:paraId="23882C80" w14:textId="069691B7" w:rsidR="00382D63" w:rsidRDefault="00200483">
          <w:pPr>
            <w:pStyle w:val="TOC3"/>
            <w:rPr>
              <w:lang w:eastAsia="en-US"/>
            </w:rPr>
          </w:pPr>
          <w:hyperlink w:anchor="_Toc23243795" w:history="1">
            <w:r w:rsidR="00382D63" w:rsidRPr="001842A2">
              <w:rPr>
                <w:rStyle w:val="Hyperlink"/>
                <w:rFonts w:ascii="Times New Roman" w:hAnsi="Times New Roman" w:cs="Times New Roman"/>
              </w:rPr>
              <w:t>3.3.2 Design</w:t>
            </w:r>
            <w:r w:rsidR="00382D63">
              <w:rPr>
                <w:webHidden/>
              </w:rPr>
              <w:tab/>
            </w:r>
            <w:r w:rsidR="00382D63">
              <w:rPr>
                <w:webHidden/>
              </w:rPr>
              <w:fldChar w:fldCharType="begin"/>
            </w:r>
            <w:r w:rsidR="00382D63">
              <w:rPr>
                <w:webHidden/>
              </w:rPr>
              <w:instrText xml:space="preserve"> PAGEREF _Toc23243795 \h </w:instrText>
            </w:r>
            <w:r w:rsidR="00382D63">
              <w:rPr>
                <w:webHidden/>
              </w:rPr>
            </w:r>
            <w:r w:rsidR="00382D63">
              <w:rPr>
                <w:webHidden/>
              </w:rPr>
              <w:fldChar w:fldCharType="separate"/>
            </w:r>
            <w:r w:rsidR="00382D63">
              <w:rPr>
                <w:webHidden/>
              </w:rPr>
              <w:t>90</w:t>
            </w:r>
            <w:r w:rsidR="00382D63">
              <w:rPr>
                <w:webHidden/>
              </w:rPr>
              <w:fldChar w:fldCharType="end"/>
            </w:r>
          </w:hyperlink>
        </w:p>
        <w:p w14:paraId="3A1FDD61" w14:textId="508B0523" w:rsidR="00382D63" w:rsidRDefault="00200483">
          <w:pPr>
            <w:pStyle w:val="TOC3"/>
            <w:rPr>
              <w:lang w:eastAsia="en-US"/>
            </w:rPr>
          </w:pPr>
          <w:hyperlink w:anchor="_Toc23243796" w:history="1">
            <w:r w:rsidR="00382D63" w:rsidRPr="001842A2">
              <w:rPr>
                <w:rStyle w:val="Hyperlink"/>
                <w:rFonts w:ascii="Times New Roman" w:hAnsi="Times New Roman" w:cs="Times New Roman"/>
              </w:rPr>
              <w:t>3.3.4 Distribution</w:t>
            </w:r>
            <w:r w:rsidR="00382D63">
              <w:rPr>
                <w:webHidden/>
              </w:rPr>
              <w:tab/>
            </w:r>
            <w:r w:rsidR="00382D63">
              <w:rPr>
                <w:webHidden/>
              </w:rPr>
              <w:fldChar w:fldCharType="begin"/>
            </w:r>
            <w:r w:rsidR="00382D63">
              <w:rPr>
                <w:webHidden/>
              </w:rPr>
              <w:instrText xml:space="preserve"> PAGEREF _Toc23243796 \h </w:instrText>
            </w:r>
            <w:r w:rsidR="00382D63">
              <w:rPr>
                <w:webHidden/>
              </w:rPr>
            </w:r>
            <w:r w:rsidR="00382D63">
              <w:rPr>
                <w:webHidden/>
              </w:rPr>
              <w:fldChar w:fldCharType="separate"/>
            </w:r>
            <w:r w:rsidR="00382D63">
              <w:rPr>
                <w:webHidden/>
              </w:rPr>
              <w:t>95</w:t>
            </w:r>
            <w:r w:rsidR="00382D63">
              <w:rPr>
                <w:webHidden/>
              </w:rPr>
              <w:fldChar w:fldCharType="end"/>
            </w:r>
          </w:hyperlink>
        </w:p>
        <w:p w14:paraId="737C9286" w14:textId="68EB4698" w:rsidR="00382D63" w:rsidRDefault="00200483">
          <w:pPr>
            <w:pStyle w:val="TOC3"/>
            <w:rPr>
              <w:lang w:eastAsia="en-US"/>
            </w:rPr>
          </w:pPr>
          <w:hyperlink w:anchor="_Toc23243797" w:history="1">
            <w:r w:rsidR="00382D63" w:rsidRPr="001842A2">
              <w:rPr>
                <w:rStyle w:val="Hyperlink"/>
                <w:rFonts w:ascii="Times New Roman" w:hAnsi="Times New Roman" w:cs="Times New Roman"/>
              </w:rPr>
              <w:t>3.3.5 Data analysis</w:t>
            </w:r>
            <w:r w:rsidR="00382D63">
              <w:rPr>
                <w:webHidden/>
              </w:rPr>
              <w:tab/>
            </w:r>
            <w:r w:rsidR="00382D63">
              <w:rPr>
                <w:webHidden/>
              </w:rPr>
              <w:fldChar w:fldCharType="begin"/>
            </w:r>
            <w:r w:rsidR="00382D63">
              <w:rPr>
                <w:webHidden/>
              </w:rPr>
              <w:instrText xml:space="preserve"> PAGEREF _Toc23243797 \h </w:instrText>
            </w:r>
            <w:r w:rsidR="00382D63">
              <w:rPr>
                <w:webHidden/>
              </w:rPr>
            </w:r>
            <w:r w:rsidR="00382D63">
              <w:rPr>
                <w:webHidden/>
              </w:rPr>
              <w:fldChar w:fldCharType="separate"/>
            </w:r>
            <w:r w:rsidR="00382D63">
              <w:rPr>
                <w:webHidden/>
              </w:rPr>
              <w:t>95</w:t>
            </w:r>
            <w:r w:rsidR="00382D63">
              <w:rPr>
                <w:webHidden/>
              </w:rPr>
              <w:fldChar w:fldCharType="end"/>
            </w:r>
          </w:hyperlink>
        </w:p>
        <w:p w14:paraId="0D0E190B" w14:textId="052E8BD4" w:rsidR="00382D63" w:rsidRDefault="00200483">
          <w:pPr>
            <w:pStyle w:val="TOC2"/>
            <w:rPr>
              <w:rFonts w:asciiTheme="minorHAnsi" w:eastAsiaTheme="minorEastAsia" w:hAnsiTheme="minorHAnsi" w:cstheme="minorBidi"/>
              <w:lang w:val="en-US"/>
            </w:rPr>
          </w:pPr>
          <w:hyperlink w:anchor="_Toc23243798" w:history="1">
            <w:r w:rsidR="00382D63" w:rsidRPr="001842A2">
              <w:rPr>
                <w:rStyle w:val="Hyperlink"/>
              </w:rPr>
              <w:t>3.4 Results</w:t>
            </w:r>
            <w:r w:rsidR="00382D63">
              <w:rPr>
                <w:webHidden/>
              </w:rPr>
              <w:tab/>
            </w:r>
            <w:r w:rsidR="00382D63">
              <w:rPr>
                <w:webHidden/>
              </w:rPr>
              <w:fldChar w:fldCharType="begin"/>
            </w:r>
            <w:r w:rsidR="00382D63">
              <w:rPr>
                <w:webHidden/>
              </w:rPr>
              <w:instrText xml:space="preserve"> PAGEREF _Toc23243798 \h </w:instrText>
            </w:r>
            <w:r w:rsidR="00382D63">
              <w:rPr>
                <w:webHidden/>
              </w:rPr>
            </w:r>
            <w:r w:rsidR="00382D63">
              <w:rPr>
                <w:webHidden/>
              </w:rPr>
              <w:fldChar w:fldCharType="separate"/>
            </w:r>
            <w:r w:rsidR="00382D63">
              <w:rPr>
                <w:webHidden/>
              </w:rPr>
              <w:t>97</w:t>
            </w:r>
            <w:r w:rsidR="00382D63">
              <w:rPr>
                <w:webHidden/>
              </w:rPr>
              <w:fldChar w:fldCharType="end"/>
            </w:r>
          </w:hyperlink>
        </w:p>
        <w:p w14:paraId="70E35FEF" w14:textId="4988DDF5" w:rsidR="00382D63" w:rsidRDefault="00200483">
          <w:pPr>
            <w:pStyle w:val="TOC2"/>
            <w:rPr>
              <w:rFonts w:asciiTheme="minorHAnsi" w:eastAsiaTheme="minorEastAsia" w:hAnsiTheme="minorHAnsi" w:cstheme="minorBidi"/>
              <w:lang w:val="en-US"/>
            </w:rPr>
          </w:pPr>
          <w:hyperlink w:anchor="_Toc23243799" w:history="1">
            <w:r w:rsidR="00382D63" w:rsidRPr="001842A2">
              <w:rPr>
                <w:rStyle w:val="Hyperlink"/>
              </w:rPr>
              <w:t>3.6 Discussion</w:t>
            </w:r>
            <w:r w:rsidR="00382D63">
              <w:rPr>
                <w:webHidden/>
              </w:rPr>
              <w:tab/>
            </w:r>
            <w:r w:rsidR="00382D63">
              <w:rPr>
                <w:webHidden/>
              </w:rPr>
              <w:fldChar w:fldCharType="begin"/>
            </w:r>
            <w:r w:rsidR="00382D63">
              <w:rPr>
                <w:webHidden/>
              </w:rPr>
              <w:instrText xml:space="preserve"> PAGEREF _Toc23243799 \h </w:instrText>
            </w:r>
            <w:r w:rsidR="00382D63">
              <w:rPr>
                <w:webHidden/>
              </w:rPr>
            </w:r>
            <w:r w:rsidR="00382D63">
              <w:rPr>
                <w:webHidden/>
              </w:rPr>
              <w:fldChar w:fldCharType="separate"/>
            </w:r>
            <w:r w:rsidR="00382D63">
              <w:rPr>
                <w:webHidden/>
              </w:rPr>
              <w:t>117</w:t>
            </w:r>
            <w:r w:rsidR="00382D63">
              <w:rPr>
                <w:webHidden/>
              </w:rPr>
              <w:fldChar w:fldCharType="end"/>
            </w:r>
          </w:hyperlink>
        </w:p>
        <w:p w14:paraId="5DE442B7" w14:textId="40CE321D" w:rsidR="00382D63" w:rsidRDefault="00200483">
          <w:pPr>
            <w:pStyle w:val="TOC2"/>
            <w:rPr>
              <w:rFonts w:asciiTheme="minorHAnsi" w:eastAsiaTheme="minorEastAsia" w:hAnsiTheme="minorHAnsi" w:cstheme="minorBidi"/>
              <w:lang w:val="en-US"/>
            </w:rPr>
          </w:pPr>
          <w:hyperlink w:anchor="_Toc23243800" w:history="1">
            <w:r w:rsidR="00382D63" w:rsidRPr="001842A2">
              <w:rPr>
                <w:rStyle w:val="Hyperlink"/>
              </w:rPr>
              <w:t>3.7 Limitations of study</w:t>
            </w:r>
            <w:r w:rsidR="00382D63">
              <w:rPr>
                <w:webHidden/>
              </w:rPr>
              <w:tab/>
            </w:r>
            <w:r w:rsidR="00382D63">
              <w:rPr>
                <w:webHidden/>
              </w:rPr>
              <w:fldChar w:fldCharType="begin"/>
            </w:r>
            <w:r w:rsidR="00382D63">
              <w:rPr>
                <w:webHidden/>
              </w:rPr>
              <w:instrText xml:space="preserve"> PAGEREF _Toc23243800 \h </w:instrText>
            </w:r>
            <w:r w:rsidR="00382D63">
              <w:rPr>
                <w:webHidden/>
              </w:rPr>
            </w:r>
            <w:r w:rsidR="00382D63">
              <w:rPr>
                <w:webHidden/>
              </w:rPr>
              <w:fldChar w:fldCharType="separate"/>
            </w:r>
            <w:r w:rsidR="00382D63">
              <w:rPr>
                <w:webHidden/>
              </w:rPr>
              <w:t>126</w:t>
            </w:r>
            <w:r w:rsidR="00382D63">
              <w:rPr>
                <w:webHidden/>
              </w:rPr>
              <w:fldChar w:fldCharType="end"/>
            </w:r>
          </w:hyperlink>
        </w:p>
        <w:p w14:paraId="18E06017" w14:textId="21E11FBF" w:rsidR="00382D63" w:rsidRDefault="00200483">
          <w:pPr>
            <w:pStyle w:val="TOC2"/>
            <w:rPr>
              <w:rFonts w:asciiTheme="minorHAnsi" w:eastAsiaTheme="minorEastAsia" w:hAnsiTheme="minorHAnsi" w:cstheme="minorBidi"/>
              <w:lang w:val="en-US"/>
            </w:rPr>
          </w:pPr>
          <w:hyperlink w:anchor="_Toc23243801" w:history="1">
            <w:r w:rsidR="00382D63" w:rsidRPr="001842A2">
              <w:rPr>
                <w:rStyle w:val="Hyperlink"/>
              </w:rPr>
              <w:t>3.8 Conclusion</w:t>
            </w:r>
            <w:r w:rsidR="00382D63">
              <w:rPr>
                <w:webHidden/>
              </w:rPr>
              <w:tab/>
            </w:r>
            <w:r w:rsidR="00382D63">
              <w:rPr>
                <w:webHidden/>
              </w:rPr>
              <w:fldChar w:fldCharType="begin"/>
            </w:r>
            <w:r w:rsidR="00382D63">
              <w:rPr>
                <w:webHidden/>
              </w:rPr>
              <w:instrText xml:space="preserve"> PAGEREF _Toc23243801 \h </w:instrText>
            </w:r>
            <w:r w:rsidR="00382D63">
              <w:rPr>
                <w:webHidden/>
              </w:rPr>
            </w:r>
            <w:r w:rsidR="00382D63">
              <w:rPr>
                <w:webHidden/>
              </w:rPr>
              <w:fldChar w:fldCharType="separate"/>
            </w:r>
            <w:r w:rsidR="00382D63">
              <w:rPr>
                <w:webHidden/>
              </w:rPr>
              <w:t>127</w:t>
            </w:r>
            <w:r w:rsidR="00382D63">
              <w:rPr>
                <w:webHidden/>
              </w:rPr>
              <w:fldChar w:fldCharType="end"/>
            </w:r>
          </w:hyperlink>
        </w:p>
        <w:p w14:paraId="72D324A0" w14:textId="420CD1AD" w:rsidR="00382D63" w:rsidRDefault="00200483">
          <w:pPr>
            <w:pStyle w:val="TOC1"/>
            <w:rPr>
              <w:rFonts w:asciiTheme="minorHAnsi" w:eastAsiaTheme="minorEastAsia" w:hAnsiTheme="minorHAnsi" w:cstheme="minorBidi"/>
              <w:sz w:val="22"/>
              <w:szCs w:val="22"/>
              <w:lang w:val="en-US"/>
            </w:rPr>
          </w:pPr>
          <w:hyperlink w:anchor="_Toc23243802" w:history="1">
            <w:r w:rsidR="00382D63" w:rsidRPr="001842A2">
              <w:rPr>
                <w:rStyle w:val="Hyperlink"/>
                <w:b/>
                <w:bCs/>
              </w:rPr>
              <w:t>Chapter 4</w:t>
            </w:r>
            <w:r w:rsidR="00382D63">
              <w:rPr>
                <w:webHidden/>
              </w:rPr>
              <w:tab/>
            </w:r>
            <w:r w:rsidR="00382D63">
              <w:rPr>
                <w:webHidden/>
              </w:rPr>
              <w:fldChar w:fldCharType="begin"/>
            </w:r>
            <w:r w:rsidR="00382D63">
              <w:rPr>
                <w:webHidden/>
              </w:rPr>
              <w:instrText xml:space="preserve"> PAGEREF _Toc23243802 \h </w:instrText>
            </w:r>
            <w:r w:rsidR="00382D63">
              <w:rPr>
                <w:webHidden/>
              </w:rPr>
            </w:r>
            <w:r w:rsidR="00382D63">
              <w:rPr>
                <w:webHidden/>
              </w:rPr>
              <w:fldChar w:fldCharType="separate"/>
            </w:r>
            <w:r w:rsidR="00382D63">
              <w:rPr>
                <w:webHidden/>
              </w:rPr>
              <w:t>129</w:t>
            </w:r>
            <w:r w:rsidR="00382D63">
              <w:rPr>
                <w:webHidden/>
              </w:rPr>
              <w:fldChar w:fldCharType="end"/>
            </w:r>
          </w:hyperlink>
        </w:p>
        <w:p w14:paraId="2930F8E6" w14:textId="0A8947A4" w:rsidR="00382D63" w:rsidRDefault="00200483">
          <w:pPr>
            <w:pStyle w:val="TOC1"/>
            <w:rPr>
              <w:rFonts w:asciiTheme="minorHAnsi" w:eastAsiaTheme="minorEastAsia" w:hAnsiTheme="minorHAnsi" w:cstheme="minorBidi"/>
              <w:sz w:val="22"/>
              <w:szCs w:val="22"/>
              <w:lang w:val="en-US"/>
            </w:rPr>
          </w:pPr>
          <w:hyperlink w:anchor="_Toc23243803" w:history="1">
            <w:r w:rsidR="00382D63" w:rsidRPr="001842A2">
              <w:rPr>
                <w:rStyle w:val="Hyperlink"/>
                <w:b/>
                <w:bCs/>
              </w:rPr>
              <w:t>A qualitative interview study using Framework Method to explore diagnostic competence in histopathology</w:t>
            </w:r>
            <w:r w:rsidR="00382D63">
              <w:rPr>
                <w:webHidden/>
              </w:rPr>
              <w:tab/>
            </w:r>
            <w:r w:rsidR="00382D63">
              <w:rPr>
                <w:webHidden/>
              </w:rPr>
              <w:fldChar w:fldCharType="begin"/>
            </w:r>
            <w:r w:rsidR="00382D63">
              <w:rPr>
                <w:webHidden/>
              </w:rPr>
              <w:instrText xml:space="preserve"> PAGEREF _Toc23243803 \h </w:instrText>
            </w:r>
            <w:r w:rsidR="00382D63">
              <w:rPr>
                <w:webHidden/>
              </w:rPr>
            </w:r>
            <w:r w:rsidR="00382D63">
              <w:rPr>
                <w:webHidden/>
              </w:rPr>
              <w:fldChar w:fldCharType="separate"/>
            </w:r>
            <w:r w:rsidR="00382D63">
              <w:rPr>
                <w:webHidden/>
              </w:rPr>
              <w:t>129</w:t>
            </w:r>
            <w:r w:rsidR="00382D63">
              <w:rPr>
                <w:webHidden/>
              </w:rPr>
              <w:fldChar w:fldCharType="end"/>
            </w:r>
          </w:hyperlink>
        </w:p>
        <w:p w14:paraId="56C96340" w14:textId="180DE339" w:rsidR="00382D63" w:rsidRDefault="00200483">
          <w:pPr>
            <w:pStyle w:val="TOC2"/>
            <w:rPr>
              <w:rFonts w:asciiTheme="minorHAnsi" w:eastAsiaTheme="minorEastAsia" w:hAnsiTheme="minorHAnsi" w:cstheme="minorBidi"/>
              <w:lang w:val="en-US"/>
            </w:rPr>
          </w:pPr>
          <w:hyperlink w:anchor="_Toc23243804" w:history="1">
            <w:r w:rsidR="00382D63" w:rsidRPr="001842A2">
              <w:rPr>
                <w:rStyle w:val="Hyperlink"/>
              </w:rPr>
              <w:t>4.1 Background</w:t>
            </w:r>
            <w:r w:rsidR="00382D63">
              <w:rPr>
                <w:webHidden/>
              </w:rPr>
              <w:tab/>
            </w:r>
            <w:r w:rsidR="00382D63">
              <w:rPr>
                <w:webHidden/>
              </w:rPr>
              <w:fldChar w:fldCharType="begin"/>
            </w:r>
            <w:r w:rsidR="00382D63">
              <w:rPr>
                <w:webHidden/>
              </w:rPr>
              <w:instrText xml:space="preserve"> PAGEREF _Toc23243804 \h </w:instrText>
            </w:r>
            <w:r w:rsidR="00382D63">
              <w:rPr>
                <w:webHidden/>
              </w:rPr>
            </w:r>
            <w:r w:rsidR="00382D63">
              <w:rPr>
                <w:webHidden/>
              </w:rPr>
              <w:fldChar w:fldCharType="separate"/>
            </w:r>
            <w:r w:rsidR="00382D63">
              <w:rPr>
                <w:webHidden/>
              </w:rPr>
              <w:t>130</w:t>
            </w:r>
            <w:r w:rsidR="00382D63">
              <w:rPr>
                <w:webHidden/>
              </w:rPr>
              <w:fldChar w:fldCharType="end"/>
            </w:r>
          </w:hyperlink>
        </w:p>
        <w:p w14:paraId="06F163F9" w14:textId="56B1C5EA" w:rsidR="00382D63" w:rsidRDefault="00200483">
          <w:pPr>
            <w:pStyle w:val="TOC2"/>
            <w:rPr>
              <w:rFonts w:asciiTheme="minorHAnsi" w:eastAsiaTheme="minorEastAsia" w:hAnsiTheme="minorHAnsi" w:cstheme="minorBidi"/>
              <w:lang w:val="en-US"/>
            </w:rPr>
          </w:pPr>
          <w:hyperlink w:anchor="_Toc23243805" w:history="1">
            <w:r w:rsidR="00382D63" w:rsidRPr="001842A2">
              <w:rPr>
                <w:rStyle w:val="Hyperlink"/>
              </w:rPr>
              <w:t>4.2 Aim and objectives</w:t>
            </w:r>
            <w:r w:rsidR="00382D63">
              <w:rPr>
                <w:webHidden/>
              </w:rPr>
              <w:tab/>
            </w:r>
            <w:r w:rsidR="00382D63">
              <w:rPr>
                <w:webHidden/>
              </w:rPr>
              <w:fldChar w:fldCharType="begin"/>
            </w:r>
            <w:r w:rsidR="00382D63">
              <w:rPr>
                <w:webHidden/>
              </w:rPr>
              <w:instrText xml:space="preserve"> PAGEREF _Toc23243805 \h </w:instrText>
            </w:r>
            <w:r w:rsidR="00382D63">
              <w:rPr>
                <w:webHidden/>
              </w:rPr>
            </w:r>
            <w:r w:rsidR="00382D63">
              <w:rPr>
                <w:webHidden/>
              </w:rPr>
              <w:fldChar w:fldCharType="separate"/>
            </w:r>
            <w:r w:rsidR="00382D63">
              <w:rPr>
                <w:webHidden/>
              </w:rPr>
              <w:t>131</w:t>
            </w:r>
            <w:r w:rsidR="00382D63">
              <w:rPr>
                <w:webHidden/>
              </w:rPr>
              <w:fldChar w:fldCharType="end"/>
            </w:r>
          </w:hyperlink>
        </w:p>
        <w:p w14:paraId="7594F323" w14:textId="192E8179" w:rsidR="00382D63" w:rsidRDefault="00200483">
          <w:pPr>
            <w:pStyle w:val="TOC2"/>
            <w:rPr>
              <w:rFonts w:asciiTheme="minorHAnsi" w:eastAsiaTheme="minorEastAsia" w:hAnsiTheme="minorHAnsi" w:cstheme="minorBidi"/>
              <w:lang w:val="en-US"/>
            </w:rPr>
          </w:pPr>
          <w:hyperlink w:anchor="_Toc23243806" w:history="1">
            <w:r w:rsidR="00382D63" w:rsidRPr="001842A2">
              <w:rPr>
                <w:rStyle w:val="Hyperlink"/>
              </w:rPr>
              <w:t>4.3 Method</w:t>
            </w:r>
            <w:r w:rsidR="00382D63">
              <w:rPr>
                <w:webHidden/>
              </w:rPr>
              <w:tab/>
            </w:r>
            <w:r w:rsidR="00382D63">
              <w:rPr>
                <w:webHidden/>
              </w:rPr>
              <w:fldChar w:fldCharType="begin"/>
            </w:r>
            <w:r w:rsidR="00382D63">
              <w:rPr>
                <w:webHidden/>
              </w:rPr>
              <w:instrText xml:space="preserve"> PAGEREF _Toc23243806 \h </w:instrText>
            </w:r>
            <w:r w:rsidR="00382D63">
              <w:rPr>
                <w:webHidden/>
              </w:rPr>
            </w:r>
            <w:r w:rsidR="00382D63">
              <w:rPr>
                <w:webHidden/>
              </w:rPr>
              <w:fldChar w:fldCharType="separate"/>
            </w:r>
            <w:r w:rsidR="00382D63">
              <w:rPr>
                <w:webHidden/>
              </w:rPr>
              <w:t>132</w:t>
            </w:r>
            <w:r w:rsidR="00382D63">
              <w:rPr>
                <w:webHidden/>
              </w:rPr>
              <w:fldChar w:fldCharType="end"/>
            </w:r>
          </w:hyperlink>
        </w:p>
        <w:p w14:paraId="6E4081F2" w14:textId="6586D67B" w:rsidR="00382D63" w:rsidRDefault="00200483">
          <w:pPr>
            <w:pStyle w:val="TOC3"/>
            <w:rPr>
              <w:lang w:eastAsia="en-US"/>
            </w:rPr>
          </w:pPr>
          <w:hyperlink w:anchor="_Toc23243807" w:history="1">
            <w:r w:rsidR="00382D63" w:rsidRPr="001842A2">
              <w:rPr>
                <w:rStyle w:val="Hyperlink"/>
                <w:rFonts w:ascii="Times New Roman" w:hAnsi="Times New Roman" w:cs="Times New Roman"/>
              </w:rPr>
              <w:t>4.3.1 Participants</w:t>
            </w:r>
            <w:r w:rsidR="00382D63">
              <w:rPr>
                <w:webHidden/>
              </w:rPr>
              <w:tab/>
            </w:r>
            <w:r w:rsidR="00382D63">
              <w:rPr>
                <w:webHidden/>
              </w:rPr>
              <w:fldChar w:fldCharType="begin"/>
            </w:r>
            <w:r w:rsidR="00382D63">
              <w:rPr>
                <w:webHidden/>
              </w:rPr>
              <w:instrText xml:space="preserve"> PAGEREF _Toc23243807 \h </w:instrText>
            </w:r>
            <w:r w:rsidR="00382D63">
              <w:rPr>
                <w:webHidden/>
              </w:rPr>
            </w:r>
            <w:r w:rsidR="00382D63">
              <w:rPr>
                <w:webHidden/>
              </w:rPr>
              <w:fldChar w:fldCharType="separate"/>
            </w:r>
            <w:r w:rsidR="00382D63">
              <w:rPr>
                <w:webHidden/>
              </w:rPr>
              <w:t>133</w:t>
            </w:r>
            <w:r w:rsidR="00382D63">
              <w:rPr>
                <w:webHidden/>
              </w:rPr>
              <w:fldChar w:fldCharType="end"/>
            </w:r>
          </w:hyperlink>
        </w:p>
        <w:p w14:paraId="3BC6010C" w14:textId="07A0A136" w:rsidR="00382D63" w:rsidRDefault="00200483">
          <w:pPr>
            <w:pStyle w:val="TOC3"/>
            <w:rPr>
              <w:lang w:eastAsia="en-US"/>
            </w:rPr>
          </w:pPr>
          <w:hyperlink w:anchor="_Toc23243808" w:history="1">
            <w:r w:rsidR="00382D63" w:rsidRPr="001842A2">
              <w:rPr>
                <w:rStyle w:val="Hyperlink"/>
                <w:rFonts w:ascii="Times New Roman" w:hAnsi="Times New Roman" w:cs="Times New Roman"/>
              </w:rPr>
              <w:t>4.3.2 Interview guide</w:t>
            </w:r>
            <w:r w:rsidR="00382D63">
              <w:rPr>
                <w:webHidden/>
              </w:rPr>
              <w:tab/>
            </w:r>
            <w:r w:rsidR="00382D63">
              <w:rPr>
                <w:webHidden/>
              </w:rPr>
              <w:fldChar w:fldCharType="begin"/>
            </w:r>
            <w:r w:rsidR="00382D63">
              <w:rPr>
                <w:webHidden/>
              </w:rPr>
              <w:instrText xml:space="preserve"> PAGEREF _Toc23243808 \h </w:instrText>
            </w:r>
            <w:r w:rsidR="00382D63">
              <w:rPr>
                <w:webHidden/>
              </w:rPr>
            </w:r>
            <w:r w:rsidR="00382D63">
              <w:rPr>
                <w:webHidden/>
              </w:rPr>
              <w:fldChar w:fldCharType="separate"/>
            </w:r>
            <w:r w:rsidR="00382D63">
              <w:rPr>
                <w:webHidden/>
              </w:rPr>
              <w:t>136</w:t>
            </w:r>
            <w:r w:rsidR="00382D63">
              <w:rPr>
                <w:webHidden/>
              </w:rPr>
              <w:fldChar w:fldCharType="end"/>
            </w:r>
          </w:hyperlink>
        </w:p>
        <w:p w14:paraId="362304FF" w14:textId="5918685B" w:rsidR="00382D63" w:rsidRDefault="00200483">
          <w:pPr>
            <w:pStyle w:val="TOC3"/>
            <w:rPr>
              <w:lang w:eastAsia="en-US"/>
            </w:rPr>
          </w:pPr>
          <w:hyperlink w:anchor="_Toc23243809" w:history="1">
            <w:r w:rsidR="00382D63" w:rsidRPr="001842A2">
              <w:rPr>
                <w:rStyle w:val="Hyperlink"/>
                <w:rFonts w:ascii="Times New Roman" w:hAnsi="Times New Roman" w:cs="Times New Roman"/>
              </w:rPr>
              <w:t>4.3.3 Procedure</w:t>
            </w:r>
            <w:r w:rsidR="00382D63">
              <w:rPr>
                <w:webHidden/>
              </w:rPr>
              <w:tab/>
            </w:r>
            <w:r w:rsidR="00382D63">
              <w:rPr>
                <w:webHidden/>
              </w:rPr>
              <w:fldChar w:fldCharType="begin"/>
            </w:r>
            <w:r w:rsidR="00382D63">
              <w:rPr>
                <w:webHidden/>
              </w:rPr>
              <w:instrText xml:space="preserve"> PAGEREF _Toc23243809 \h </w:instrText>
            </w:r>
            <w:r w:rsidR="00382D63">
              <w:rPr>
                <w:webHidden/>
              </w:rPr>
            </w:r>
            <w:r w:rsidR="00382D63">
              <w:rPr>
                <w:webHidden/>
              </w:rPr>
              <w:fldChar w:fldCharType="separate"/>
            </w:r>
            <w:r w:rsidR="00382D63">
              <w:rPr>
                <w:webHidden/>
              </w:rPr>
              <w:t>136</w:t>
            </w:r>
            <w:r w:rsidR="00382D63">
              <w:rPr>
                <w:webHidden/>
              </w:rPr>
              <w:fldChar w:fldCharType="end"/>
            </w:r>
          </w:hyperlink>
        </w:p>
        <w:p w14:paraId="78838A18" w14:textId="1BEE5990" w:rsidR="00382D63" w:rsidRDefault="00200483">
          <w:pPr>
            <w:pStyle w:val="TOC3"/>
            <w:rPr>
              <w:lang w:eastAsia="en-US"/>
            </w:rPr>
          </w:pPr>
          <w:hyperlink w:anchor="_Toc23243810" w:history="1">
            <w:r w:rsidR="00382D63" w:rsidRPr="001842A2">
              <w:rPr>
                <w:rStyle w:val="Hyperlink"/>
                <w:rFonts w:ascii="Times New Roman" w:hAnsi="Times New Roman" w:cs="Times New Roman"/>
              </w:rPr>
              <w:t>4.3.4 Transcription</w:t>
            </w:r>
            <w:r w:rsidR="00382D63">
              <w:rPr>
                <w:webHidden/>
              </w:rPr>
              <w:tab/>
            </w:r>
            <w:r w:rsidR="00382D63">
              <w:rPr>
                <w:webHidden/>
              </w:rPr>
              <w:fldChar w:fldCharType="begin"/>
            </w:r>
            <w:r w:rsidR="00382D63">
              <w:rPr>
                <w:webHidden/>
              </w:rPr>
              <w:instrText xml:space="preserve"> PAGEREF _Toc23243810 \h </w:instrText>
            </w:r>
            <w:r w:rsidR="00382D63">
              <w:rPr>
                <w:webHidden/>
              </w:rPr>
            </w:r>
            <w:r w:rsidR="00382D63">
              <w:rPr>
                <w:webHidden/>
              </w:rPr>
              <w:fldChar w:fldCharType="separate"/>
            </w:r>
            <w:r w:rsidR="00382D63">
              <w:rPr>
                <w:webHidden/>
              </w:rPr>
              <w:t>137</w:t>
            </w:r>
            <w:r w:rsidR="00382D63">
              <w:rPr>
                <w:webHidden/>
              </w:rPr>
              <w:fldChar w:fldCharType="end"/>
            </w:r>
          </w:hyperlink>
        </w:p>
        <w:p w14:paraId="6955A44A" w14:textId="686EFC33" w:rsidR="00382D63" w:rsidRDefault="00200483">
          <w:pPr>
            <w:pStyle w:val="TOC3"/>
            <w:rPr>
              <w:lang w:eastAsia="en-US"/>
            </w:rPr>
          </w:pPr>
          <w:hyperlink w:anchor="_Toc23243811" w:history="1">
            <w:r w:rsidR="00382D63" w:rsidRPr="001842A2">
              <w:rPr>
                <w:rStyle w:val="Hyperlink"/>
                <w:rFonts w:ascii="Times New Roman" w:hAnsi="Times New Roman" w:cs="Times New Roman"/>
              </w:rPr>
              <w:t>4.3.5 Analysis</w:t>
            </w:r>
            <w:r w:rsidR="00382D63">
              <w:rPr>
                <w:webHidden/>
              </w:rPr>
              <w:tab/>
            </w:r>
            <w:r w:rsidR="00382D63">
              <w:rPr>
                <w:webHidden/>
              </w:rPr>
              <w:fldChar w:fldCharType="begin"/>
            </w:r>
            <w:r w:rsidR="00382D63">
              <w:rPr>
                <w:webHidden/>
              </w:rPr>
              <w:instrText xml:space="preserve"> PAGEREF _Toc23243811 \h </w:instrText>
            </w:r>
            <w:r w:rsidR="00382D63">
              <w:rPr>
                <w:webHidden/>
              </w:rPr>
            </w:r>
            <w:r w:rsidR="00382D63">
              <w:rPr>
                <w:webHidden/>
              </w:rPr>
              <w:fldChar w:fldCharType="separate"/>
            </w:r>
            <w:r w:rsidR="00382D63">
              <w:rPr>
                <w:webHidden/>
              </w:rPr>
              <w:t>137</w:t>
            </w:r>
            <w:r w:rsidR="00382D63">
              <w:rPr>
                <w:webHidden/>
              </w:rPr>
              <w:fldChar w:fldCharType="end"/>
            </w:r>
          </w:hyperlink>
        </w:p>
        <w:p w14:paraId="158CA88A" w14:textId="5B833000" w:rsidR="00382D63" w:rsidRDefault="00200483">
          <w:pPr>
            <w:pStyle w:val="TOC3"/>
            <w:rPr>
              <w:lang w:eastAsia="en-US"/>
            </w:rPr>
          </w:pPr>
          <w:hyperlink w:anchor="_Toc23243812" w:history="1">
            <w:r w:rsidR="00382D63" w:rsidRPr="001842A2">
              <w:rPr>
                <w:rStyle w:val="Hyperlink"/>
                <w:rFonts w:ascii="Times New Roman" w:hAnsi="Times New Roman" w:cs="Times New Roman"/>
              </w:rPr>
              <w:t>4.3.6 Reflexivity</w:t>
            </w:r>
            <w:r w:rsidR="00382D63">
              <w:rPr>
                <w:webHidden/>
              </w:rPr>
              <w:tab/>
            </w:r>
            <w:r w:rsidR="00382D63">
              <w:rPr>
                <w:webHidden/>
              </w:rPr>
              <w:fldChar w:fldCharType="begin"/>
            </w:r>
            <w:r w:rsidR="00382D63">
              <w:rPr>
                <w:webHidden/>
              </w:rPr>
              <w:instrText xml:space="preserve"> PAGEREF _Toc23243812 \h </w:instrText>
            </w:r>
            <w:r w:rsidR="00382D63">
              <w:rPr>
                <w:webHidden/>
              </w:rPr>
            </w:r>
            <w:r w:rsidR="00382D63">
              <w:rPr>
                <w:webHidden/>
              </w:rPr>
              <w:fldChar w:fldCharType="separate"/>
            </w:r>
            <w:r w:rsidR="00382D63">
              <w:rPr>
                <w:webHidden/>
              </w:rPr>
              <w:t>138</w:t>
            </w:r>
            <w:r w:rsidR="00382D63">
              <w:rPr>
                <w:webHidden/>
              </w:rPr>
              <w:fldChar w:fldCharType="end"/>
            </w:r>
          </w:hyperlink>
        </w:p>
        <w:p w14:paraId="502A810F" w14:textId="0C51C339" w:rsidR="00382D63" w:rsidRDefault="00200483">
          <w:pPr>
            <w:pStyle w:val="TOC2"/>
            <w:rPr>
              <w:rFonts w:asciiTheme="minorHAnsi" w:eastAsiaTheme="minorEastAsia" w:hAnsiTheme="minorHAnsi" w:cstheme="minorBidi"/>
              <w:lang w:val="en-US"/>
            </w:rPr>
          </w:pPr>
          <w:hyperlink w:anchor="_Toc23243813" w:history="1">
            <w:r w:rsidR="00382D63" w:rsidRPr="001842A2">
              <w:rPr>
                <w:rStyle w:val="Hyperlink"/>
              </w:rPr>
              <w:t>4.4 Results</w:t>
            </w:r>
            <w:r w:rsidR="00382D63">
              <w:rPr>
                <w:webHidden/>
              </w:rPr>
              <w:tab/>
            </w:r>
            <w:r w:rsidR="00382D63">
              <w:rPr>
                <w:webHidden/>
              </w:rPr>
              <w:fldChar w:fldCharType="begin"/>
            </w:r>
            <w:r w:rsidR="00382D63">
              <w:rPr>
                <w:webHidden/>
              </w:rPr>
              <w:instrText xml:space="preserve"> PAGEREF _Toc23243813 \h </w:instrText>
            </w:r>
            <w:r w:rsidR="00382D63">
              <w:rPr>
                <w:webHidden/>
              </w:rPr>
            </w:r>
            <w:r w:rsidR="00382D63">
              <w:rPr>
                <w:webHidden/>
              </w:rPr>
              <w:fldChar w:fldCharType="separate"/>
            </w:r>
            <w:r w:rsidR="00382D63">
              <w:rPr>
                <w:webHidden/>
              </w:rPr>
              <w:t>139</w:t>
            </w:r>
            <w:r w:rsidR="00382D63">
              <w:rPr>
                <w:webHidden/>
              </w:rPr>
              <w:fldChar w:fldCharType="end"/>
            </w:r>
          </w:hyperlink>
        </w:p>
        <w:p w14:paraId="09A60EDE" w14:textId="74B722AA" w:rsidR="00382D63" w:rsidRDefault="00200483">
          <w:pPr>
            <w:pStyle w:val="TOC3"/>
            <w:rPr>
              <w:lang w:eastAsia="en-US"/>
            </w:rPr>
          </w:pPr>
          <w:hyperlink w:anchor="_Toc23243814" w:history="1">
            <w:r w:rsidR="00382D63" w:rsidRPr="001842A2">
              <w:rPr>
                <w:rStyle w:val="Hyperlink"/>
                <w:rFonts w:ascii="Times New Roman" w:hAnsi="Times New Roman" w:cs="Times New Roman"/>
              </w:rPr>
              <w:t>4.4.1 The Person</w:t>
            </w:r>
            <w:r w:rsidR="00382D63">
              <w:rPr>
                <w:webHidden/>
              </w:rPr>
              <w:tab/>
            </w:r>
            <w:r w:rsidR="00382D63">
              <w:rPr>
                <w:webHidden/>
              </w:rPr>
              <w:fldChar w:fldCharType="begin"/>
            </w:r>
            <w:r w:rsidR="00382D63">
              <w:rPr>
                <w:webHidden/>
              </w:rPr>
              <w:instrText xml:space="preserve"> PAGEREF _Toc23243814 \h </w:instrText>
            </w:r>
            <w:r w:rsidR="00382D63">
              <w:rPr>
                <w:webHidden/>
              </w:rPr>
            </w:r>
            <w:r w:rsidR="00382D63">
              <w:rPr>
                <w:webHidden/>
              </w:rPr>
              <w:fldChar w:fldCharType="separate"/>
            </w:r>
            <w:r w:rsidR="00382D63">
              <w:rPr>
                <w:webHidden/>
              </w:rPr>
              <w:t>149</w:t>
            </w:r>
            <w:r w:rsidR="00382D63">
              <w:rPr>
                <w:webHidden/>
              </w:rPr>
              <w:fldChar w:fldCharType="end"/>
            </w:r>
          </w:hyperlink>
        </w:p>
        <w:p w14:paraId="42951C23" w14:textId="718DBADE" w:rsidR="00382D63" w:rsidRDefault="00200483">
          <w:pPr>
            <w:pStyle w:val="TOC3"/>
            <w:rPr>
              <w:lang w:eastAsia="en-US"/>
            </w:rPr>
          </w:pPr>
          <w:hyperlink w:anchor="_Toc23243815" w:history="1">
            <w:r w:rsidR="00382D63" w:rsidRPr="001842A2">
              <w:rPr>
                <w:rStyle w:val="Hyperlink"/>
                <w:rFonts w:ascii="Times New Roman" w:hAnsi="Times New Roman" w:cs="Times New Roman"/>
              </w:rPr>
              <w:t>4.4.2 The process</w:t>
            </w:r>
            <w:r w:rsidR="00382D63">
              <w:rPr>
                <w:webHidden/>
              </w:rPr>
              <w:tab/>
            </w:r>
            <w:r w:rsidR="00382D63">
              <w:rPr>
                <w:webHidden/>
              </w:rPr>
              <w:fldChar w:fldCharType="begin"/>
            </w:r>
            <w:r w:rsidR="00382D63">
              <w:rPr>
                <w:webHidden/>
              </w:rPr>
              <w:instrText xml:space="preserve"> PAGEREF _Toc23243815 \h </w:instrText>
            </w:r>
            <w:r w:rsidR="00382D63">
              <w:rPr>
                <w:webHidden/>
              </w:rPr>
            </w:r>
            <w:r w:rsidR="00382D63">
              <w:rPr>
                <w:webHidden/>
              </w:rPr>
              <w:fldChar w:fldCharType="separate"/>
            </w:r>
            <w:r w:rsidR="00382D63">
              <w:rPr>
                <w:webHidden/>
              </w:rPr>
              <w:t>157</w:t>
            </w:r>
            <w:r w:rsidR="00382D63">
              <w:rPr>
                <w:webHidden/>
              </w:rPr>
              <w:fldChar w:fldCharType="end"/>
            </w:r>
          </w:hyperlink>
        </w:p>
        <w:p w14:paraId="6D653B1C" w14:textId="335D947E" w:rsidR="00382D63" w:rsidRDefault="00200483">
          <w:pPr>
            <w:pStyle w:val="TOC3"/>
            <w:rPr>
              <w:lang w:eastAsia="en-US"/>
            </w:rPr>
          </w:pPr>
          <w:hyperlink w:anchor="_Toc23243816" w:history="1">
            <w:r w:rsidR="00382D63" w:rsidRPr="001842A2">
              <w:rPr>
                <w:rStyle w:val="Hyperlink"/>
                <w:rFonts w:ascii="Times New Roman" w:hAnsi="Times New Roman" w:cs="Times New Roman"/>
              </w:rPr>
              <w:t>4.4.3 Stage of training</w:t>
            </w:r>
            <w:r w:rsidR="00382D63">
              <w:rPr>
                <w:webHidden/>
              </w:rPr>
              <w:tab/>
            </w:r>
            <w:r w:rsidR="00382D63">
              <w:rPr>
                <w:webHidden/>
              </w:rPr>
              <w:fldChar w:fldCharType="begin"/>
            </w:r>
            <w:r w:rsidR="00382D63">
              <w:rPr>
                <w:webHidden/>
              </w:rPr>
              <w:instrText xml:space="preserve"> PAGEREF _Toc23243816 \h </w:instrText>
            </w:r>
            <w:r w:rsidR="00382D63">
              <w:rPr>
                <w:webHidden/>
              </w:rPr>
            </w:r>
            <w:r w:rsidR="00382D63">
              <w:rPr>
                <w:webHidden/>
              </w:rPr>
              <w:fldChar w:fldCharType="separate"/>
            </w:r>
            <w:r w:rsidR="00382D63">
              <w:rPr>
                <w:webHidden/>
              </w:rPr>
              <w:t>169</w:t>
            </w:r>
            <w:r w:rsidR="00382D63">
              <w:rPr>
                <w:webHidden/>
              </w:rPr>
              <w:fldChar w:fldCharType="end"/>
            </w:r>
          </w:hyperlink>
        </w:p>
        <w:p w14:paraId="5F999D8D" w14:textId="2974C85A" w:rsidR="00382D63" w:rsidRDefault="00200483">
          <w:pPr>
            <w:pStyle w:val="TOC3"/>
            <w:rPr>
              <w:lang w:eastAsia="en-US"/>
            </w:rPr>
          </w:pPr>
          <w:hyperlink w:anchor="_Toc23243817" w:history="1">
            <w:r w:rsidR="00382D63" w:rsidRPr="001842A2">
              <w:rPr>
                <w:rStyle w:val="Hyperlink"/>
                <w:rFonts w:ascii="Times New Roman" w:hAnsi="Times New Roman" w:cs="Times New Roman"/>
              </w:rPr>
              <w:t>4.4.4 Trust</w:t>
            </w:r>
            <w:r w:rsidR="00382D63">
              <w:rPr>
                <w:webHidden/>
              </w:rPr>
              <w:tab/>
            </w:r>
            <w:r w:rsidR="00382D63">
              <w:rPr>
                <w:webHidden/>
              </w:rPr>
              <w:fldChar w:fldCharType="begin"/>
            </w:r>
            <w:r w:rsidR="00382D63">
              <w:rPr>
                <w:webHidden/>
              </w:rPr>
              <w:instrText xml:space="preserve"> PAGEREF _Toc23243817 \h </w:instrText>
            </w:r>
            <w:r w:rsidR="00382D63">
              <w:rPr>
                <w:webHidden/>
              </w:rPr>
            </w:r>
            <w:r w:rsidR="00382D63">
              <w:rPr>
                <w:webHidden/>
              </w:rPr>
              <w:fldChar w:fldCharType="separate"/>
            </w:r>
            <w:r w:rsidR="00382D63">
              <w:rPr>
                <w:webHidden/>
              </w:rPr>
              <w:t>173</w:t>
            </w:r>
            <w:r w:rsidR="00382D63">
              <w:rPr>
                <w:webHidden/>
              </w:rPr>
              <w:fldChar w:fldCharType="end"/>
            </w:r>
          </w:hyperlink>
        </w:p>
        <w:p w14:paraId="233E1825" w14:textId="6BB7499E" w:rsidR="00382D63" w:rsidRDefault="00200483">
          <w:pPr>
            <w:pStyle w:val="TOC3"/>
            <w:rPr>
              <w:lang w:eastAsia="en-US"/>
            </w:rPr>
          </w:pPr>
          <w:hyperlink w:anchor="_Toc23243818" w:history="1">
            <w:r w:rsidR="00382D63" w:rsidRPr="001842A2">
              <w:rPr>
                <w:rStyle w:val="Hyperlink"/>
                <w:rFonts w:ascii="Times New Roman" w:hAnsi="Times New Roman" w:cs="Times New Roman"/>
              </w:rPr>
              <w:t>4.4.5 Time</w:t>
            </w:r>
            <w:r w:rsidR="00382D63">
              <w:rPr>
                <w:webHidden/>
              </w:rPr>
              <w:tab/>
            </w:r>
            <w:r w:rsidR="00382D63">
              <w:rPr>
                <w:webHidden/>
              </w:rPr>
              <w:fldChar w:fldCharType="begin"/>
            </w:r>
            <w:r w:rsidR="00382D63">
              <w:rPr>
                <w:webHidden/>
              </w:rPr>
              <w:instrText xml:space="preserve"> PAGEREF _Toc23243818 \h </w:instrText>
            </w:r>
            <w:r w:rsidR="00382D63">
              <w:rPr>
                <w:webHidden/>
              </w:rPr>
            </w:r>
            <w:r w:rsidR="00382D63">
              <w:rPr>
                <w:webHidden/>
              </w:rPr>
              <w:fldChar w:fldCharType="separate"/>
            </w:r>
            <w:r w:rsidR="00382D63">
              <w:rPr>
                <w:webHidden/>
              </w:rPr>
              <w:t>178</w:t>
            </w:r>
            <w:r w:rsidR="00382D63">
              <w:rPr>
                <w:webHidden/>
              </w:rPr>
              <w:fldChar w:fldCharType="end"/>
            </w:r>
          </w:hyperlink>
        </w:p>
        <w:p w14:paraId="203108D4" w14:textId="1C147323" w:rsidR="00382D63" w:rsidRDefault="00200483">
          <w:pPr>
            <w:pStyle w:val="TOC2"/>
            <w:rPr>
              <w:rFonts w:asciiTheme="minorHAnsi" w:eastAsiaTheme="minorEastAsia" w:hAnsiTheme="minorHAnsi" w:cstheme="minorBidi"/>
              <w:lang w:val="en-US"/>
            </w:rPr>
          </w:pPr>
          <w:hyperlink w:anchor="_Toc23243819" w:history="1">
            <w:r w:rsidR="00382D63" w:rsidRPr="001842A2">
              <w:rPr>
                <w:rStyle w:val="Hyperlink"/>
              </w:rPr>
              <w:t>4.5 Discussion</w:t>
            </w:r>
            <w:r w:rsidR="00382D63">
              <w:rPr>
                <w:webHidden/>
              </w:rPr>
              <w:tab/>
            </w:r>
            <w:r w:rsidR="00382D63">
              <w:rPr>
                <w:webHidden/>
              </w:rPr>
              <w:fldChar w:fldCharType="begin"/>
            </w:r>
            <w:r w:rsidR="00382D63">
              <w:rPr>
                <w:webHidden/>
              </w:rPr>
              <w:instrText xml:space="preserve"> PAGEREF _Toc23243819 \h </w:instrText>
            </w:r>
            <w:r w:rsidR="00382D63">
              <w:rPr>
                <w:webHidden/>
              </w:rPr>
            </w:r>
            <w:r w:rsidR="00382D63">
              <w:rPr>
                <w:webHidden/>
              </w:rPr>
              <w:fldChar w:fldCharType="separate"/>
            </w:r>
            <w:r w:rsidR="00382D63">
              <w:rPr>
                <w:webHidden/>
              </w:rPr>
              <w:t>183</w:t>
            </w:r>
            <w:r w:rsidR="00382D63">
              <w:rPr>
                <w:webHidden/>
              </w:rPr>
              <w:fldChar w:fldCharType="end"/>
            </w:r>
          </w:hyperlink>
        </w:p>
        <w:p w14:paraId="142C6823" w14:textId="23D4DA76" w:rsidR="00382D63" w:rsidRDefault="00200483">
          <w:pPr>
            <w:pStyle w:val="TOC3"/>
            <w:rPr>
              <w:lang w:eastAsia="en-US"/>
            </w:rPr>
          </w:pPr>
          <w:hyperlink w:anchor="_Toc23243820" w:history="1">
            <w:r w:rsidR="00382D63" w:rsidRPr="001842A2">
              <w:rPr>
                <w:rStyle w:val="Hyperlink"/>
                <w:rFonts w:ascii="Times New Roman" w:hAnsi="Times New Roman" w:cs="Times New Roman"/>
              </w:rPr>
              <w:t>4.5.1 The person</w:t>
            </w:r>
            <w:r w:rsidR="00382D63">
              <w:rPr>
                <w:webHidden/>
              </w:rPr>
              <w:tab/>
            </w:r>
            <w:r w:rsidR="00382D63">
              <w:rPr>
                <w:webHidden/>
              </w:rPr>
              <w:fldChar w:fldCharType="begin"/>
            </w:r>
            <w:r w:rsidR="00382D63">
              <w:rPr>
                <w:webHidden/>
              </w:rPr>
              <w:instrText xml:space="preserve"> PAGEREF _Toc23243820 \h </w:instrText>
            </w:r>
            <w:r w:rsidR="00382D63">
              <w:rPr>
                <w:webHidden/>
              </w:rPr>
            </w:r>
            <w:r w:rsidR="00382D63">
              <w:rPr>
                <w:webHidden/>
              </w:rPr>
              <w:fldChar w:fldCharType="separate"/>
            </w:r>
            <w:r w:rsidR="00382D63">
              <w:rPr>
                <w:webHidden/>
              </w:rPr>
              <w:t>185</w:t>
            </w:r>
            <w:r w:rsidR="00382D63">
              <w:rPr>
                <w:webHidden/>
              </w:rPr>
              <w:fldChar w:fldCharType="end"/>
            </w:r>
          </w:hyperlink>
        </w:p>
        <w:p w14:paraId="06A3C642" w14:textId="491B4174" w:rsidR="00382D63" w:rsidRDefault="00200483">
          <w:pPr>
            <w:pStyle w:val="TOC3"/>
            <w:rPr>
              <w:lang w:eastAsia="en-US"/>
            </w:rPr>
          </w:pPr>
          <w:hyperlink w:anchor="_Toc23243821" w:history="1">
            <w:r w:rsidR="00382D63" w:rsidRPr="001842A2">
              <w:rPr>
                <w:rStyle w:val="Hyperlink"/>
                <w:rFonts w:ascii="Times New Roman" w:hAnsi="Times New Roman" w:cs="Times New Roman"/>
              </w:rPr>
              <w:t>4.5.2 The process</w:t>
            </w:r>
            <w:r w:rsidR="00382D63">
              <w:rPr>
                <w:webHidden/>
              </w:rPr>
              <w:tab/>
            </w:r>
            <w:r w:rsidR="00382D63">
              <w:rPr>
                <w:webHidden/>
              </w:rPr>
              <w:fldChar w:fldCharType="begin"/>
            </w:r>
            <w:r w:rsidR="00382D63">
              <w:rPr>
                <w:webHidden/>
              </w:rPr>
              <w:instrText xml:space="preserve"> PAGEREF _Toc23243821 \h </w:instrText>
            </w:r>
            <w:r w:rsidR="00382D63">
              <w:rPr>
                <w:webHidden/>
              </w:rPr>
            </w:r>
            <w:r w:rsidR="00382D63">
              <w:rPr>
                <w:webHidden/>
              </w:rPr>
              <w:fldChar w:fldCharType="separate"/>
            </w:r>
            <w:r w:rsidR="00382D63">
              <w:rPr>
                <w:webHidden/>
              </w:rPr>
              <w:t>190</w:t>
            </w:r>
            <w:r w:rsidR="00382D63">
              <w:rPr>
                <w:webHidden/>
              </w:rPr>
              <w:fldChar w:fldCharType="end"/>
            </w:r>
          </w:hyperlink>
        </w:p>
        <w:p w14:paraId="53F986A6" w14:textId="141C2CDD" w:rsidR="00382D63" w:rsidRDefault="00200483">
          <w:pPr>
            <w:pStyle w:val="TOC3"/>
            <w:rPr>
              <w:lang w:eastAsia="en-US"/>
            </w:rPr>
          </w:pPr>
          <w:hyperlink w:anchor="_Toc23243822" w:history="1">
            <w:r w:rsidR="00382D63" w:rsidRPr="001842A2">
              <w:rPr>
                <w:rStyle w:val="Hyperlink"/>
                <w:rFonts w:ascii="Times New Roman" w:hAnsi="Times New Roman" w:cs="Times New Roman"/>
              </w:rPr>
              <w:t>4.5.3 Stage of training</w:t>
            </w:r>
            <w:r w:rsidR="00382D63">
              <w:rPr>
                <w:webHidden/>
              </w:rPr>
              <w:tab/>
            </w:r>
            <w:r w:rsidR="00382D63">
              <w:rPr>
                <w:webHidden/>
              </w:rPr>
              <w:fldChar w:fldCharType="begin"/>
            </w:r>
            <w:r w:rsidR="00382D63">
              <w:rPr>
                <w:webHidden/>
              </w:rPr>
              <w:instrText xml:space="preserve"> PAGEREF _Toc23243822 \h </w:instrText>
            </w:r>
            <w:r w:rsidR="00382D63">
              <w:rPr>
                <w:webHidden/>
              </w:rPr>
            </w:r>
            <w:r w:rsidR="00382D63">
              <w:rPr>
                <w:webHidden/>
              </w:rPr>
              <w:fldChar w:fldCharType="separate"/>
            </w:r>
            <w:r w:rsidR="00382D63">
              <w:rPr>
                <w:webHidden/>
              </w:rPr>
              <w:t>197</w:t>
            </w:r>
            <w:r w:rsidR="00382D63">
              <w:rPr>
                <w:webHidden/>
              </w:rPr>
              <w:fldChar w:fldCharType="end"/>
            </w:r>
          </w:hyperlink>
        </w:p>
        <w:p w14:paraId="26AF82BF" w14:textId="0B10A07B" w:rsidR="00382D63" w:rsidRDefault="00200483">
          <w:pPr>
            <w:pStyle w:val="TOC3"/>
            <w:rPr>
              <w:lang w:eastAsia="en-US"/>
            </w:rPr>
          </w:pPr>
          <w:hyperlink w:anchor="_Toc23243823" w:history="1">
            <w:r w:rsidR="00382D63" w:rsidRPr="001842A2">
              <w:rPr>
                <w:rStyle w:val="Hyperlink"/>
                <w:rFonts w:ascii="Times New Roman" w:hAnsi="Times New Roman" w:cs="Times New Roman"/>
              </w:rPr>
              <w:t>4.5.4 Trust</w:t>
            </w:r>
            <w:r w:rsidR="00382D63">
              <w:rPr>
                <w:webHidden/>
              </w:rPr>
              <w:tab/>
            </w:r>
            <w:r w:rsidR="00382D63">
              <w:rPr>
                <w:webHidden/>
              </w:rPr>
              <w:fldChar w:fldCharType="begin"/>
            </w:r>
            <w:r w:rsidR="00382D63">
              <w:rPr>
                <w:webHidden/>
              </w:rPr>
              <w:instrText xml:space="preserve"> PAGEREF _Toc23243823 \h </w:instrText>
            </w:r>
            <w:r w:rsidR="00382D63">
              <w:rPr>
                <w:webHidden/>
              </w:rPr>
            </w:r>
            <w:r w:rsidR="00382D63">
              <w:rPr>
                <w:webHidden/>
              </w:rPr>
              <w:fldChar w:fldCharType="separate"/>
            </w:r>
            <w:r w:rsidR="00382D63">
              <w:rPr>
                <w:webHidden/>
              </w:rPr>
              <w:t>199</w:t>
            </w:r>
            <w:r w:rsidR="00382D63">
              <w:rPr>
                <w:webHidden/>
              </w:rPr>
              <w:fldChar w:fldCharType="end"/>
            </w:r>
          </w:hyperlink>
        </w:p>
        <w:p w14:paraId="36379734" w14:textId="76B260CB" w:rsidR="00382D63" w:rsidRDefault="00200483">
          <w:pPr>
            <w:pStyle w:val="TOC3"/>
            <w:rPr>
              <w:lang w:eastAsia="en-US"/>
            </w:rPr>
          </w:pPr>
          <w:hyperlink w:anchor="_Toc23243824" w:history="1">
            <w:r w:rsidR="00382D63" w:rsidRPr="001842A2">
              <w:rPr>
                <w:rStyle w:val="Hyperlink"/>
                <w:rFonts w:ascii="Times New Roman" w:hAnsi="Times New Roman" w:cs="Times New Roman"/>
              </w:rPr>
              <w:t>4.5.5 Time</w:t>
            </w:r>
            <w:r w:rsidR="00382D63">
              <w:rPr>
                <w:webHidden/>
              </w:rPr>
              <w:tab/>
            </w:r>
            <w:r w:rsidR="00382D63">
              <w:rPr>
                <w:webHidden/>
              </w:rPr>
              <w:fldChar w:fldCharType="begin"/>
            </w:r>
            <w:r w:rsidR="00382D63">
              <w:rPr>
                <w:webHidden/>
              </w:rPr>
              <w:instrText xml:space="preserve"> PAGEREF _Toc23243824 \h </w:instrText>
            </w:r>
            <w:r w:rsidR="00382D63">
              <w:rPr>
                <w:webHidden/>
              </w:rPr>
            </w:r>
            <w:r w:rsidR="00382D63">
              <w:rPr>
                <w:webHidden/>
              </w:rPr>
              <w:fldChar w:fldCharType="separate"/>
            </w:r>
            <w:r w:rsidR="00382D63">
              <w:rPr>
                <w:webHidden/>
              </w:rPr>
              <w:t>200</w:t>
            </w:r>
            <w:r w:rsidR="00382D63">
              <w:rPr>
                <w:webHidden/>
              </w:rPr>
              <w:fldChar w:fldCharType="end"/>
            </w:r>
          </w:hyperlink>
        </w:p>
        <w:p w14:paraId="0DB07A1D" w14:textId="07EF95A7" w:rsidR="00382D63" w:rsidRDefault="00200483">
          <w:pPr>
            <w:pStyle w:val="TOC2"/>
            <w:rPr>
              <w:rFonts w:asciiTheme="minorHAnsi" w:eastAsiaTheme="minorEastAsia" w:hAnsiTheme="minorHAnsi" w:cstheme="minorBidi"/>
              <w:lang w:val="en-US"/>
            </w:rPr>
          </w:pPr>
          <w:hyperlink w:anchor="_Toc23243825" w:history="1">
            <w:r w:rsidR="00382D63" w:rsidRPr="001842A2">
              <w:rPr>
                <w:rStyle w:val="Hyperlink"/>
              </w:rPr>
              <w:t>4.6 Limitations and considerations</w:t>
            </w:r>
            <w:r w:rsidR="00382D63">
              <w:rPr>
                <w:webHidden/>
              </w:rPr>
              <w:tab/>
            </w:r>
            <w:r w:rsidR="00382D63">
              <w:rPr>
                <w:webHidden/>
              </w:rPr>
              <w:fldChar w:fldCharType="begin"/>
            </w:r>
            <w:r w:rsidR="00382D63">
              <w:rPr>
                <w:webHidden/>
              </w:rPr>
              <w:instrText xml:space="preserve"> PAGEREF _Toc23243825 \h </w:instrText>
            </w:r>
            <w:r w:rsidR="00382D63">
              <w:rPr>
                <w:webHidden/>
              </w:rPr>
            </w:r>
            <w:r w:rsidR="00382D63">
              <w:rPr>
                <w:webHidden/>
              </w:rPr>
              <w:fldChar w:fldCharType="separate"/>
            </w:r>
            <w:r w:rsidR="00382D63">
              <w:rPr>
                <w:webHidden/>
              </w:rPr>
              <w:t>202</w:t>
            </w:r>
            <w:r w:rsidR="00382D63">
              <w:rPr>
                <w:webHidden/>
              </w:rPr>
              <w:fldChar w:fldCharType="end"/>
            </w:r>
          </w:hyperlink>
        </w:p>
        <w:p w14:paraId="4649644E" w14:textId="4B6FCE5F" w:rsidR="00382D63" w:rsidRDefault="00200483">
          <w:pPr>
            <w:pStyle w:val="TOC2"/>
            <w:rPr>
              <w:rFonts w:asciiTheme="minorHAnsi" w:eastAsiaTheme="minorEastAsia" w:hAnsiTheme="minorHAnsi" w:cstheme="minorBidi"/>
              <w:lang w:val="en-US"/>
            </w:rPr>
          </w:pPr>
          <w:hyperlink w:anchor="_Toc23243826" w:history="1">
            <w:r w:rsidR="00382D63" w:rsidRPr="001842A2">
              <w:rPr>
                <w:rStyle w:val="Hyperlink"/>
              </w:rPr>
              <w:t>4.7 Conclusion</w:t>
            </w:r>
            <w:r w:rsidR="00382D63">
              <w:rPr>
                <w:webHidden/>
              </w:rPr>
              <w:tab/>
            </w:r>
            <w:r w:rsidR="00382D63">
              <w:rPr>
                <w:webHidden/>
              </w:rPr>
              <w:fldChar w:fldCharType="begin"/>
            </w:r>
            <w:r w:rsidR="00382D63">
              <w:rPr>
                <w:webHidden/>
              </w:rPr>
              <w:instrText xml:space="preserve"> PAGEREF _Toc23243826 \h </w:instrText>
            </w:r>
            <w:r w:rsidR="00382D63">
              <w:rPr>
                <w:webHidden/>
              </w:rPr>
            </w:r>
            <w:r w:rsidR="00382D63">
              <w:rPr>
                <w:webHidden/>
              </w:rPr>
              <w:fldChar w:fldCharType="separate"/>
            </w:r>
            <w:r w:rsidR="00382D63">
              <w:rPr>
                <w:webHidden/>
              </w:rPr>
              <w:t>203</w:t>
            </w:r>
            <w:r w:rsidR="00382D63">
              <w:rPr>
                <w:webHidden/>
              </w:rPr>
              <w:fldChar w:fldCharType="end"/>
            </w:r>
          </w:hyperlink>
        </w:p>
        <w:p w14:paraId="0899DFE7" w14:textId="69C7AF83" w:rsidR="00382D63" w:rsidRDefault="00200483">
          <w:pPr>
            <w:pStyle w:val="TOC1"/>
            <w:rPr>
              <w:rFonts w:asciiTheme="minorHAnsi" w:eastAsiaTheme="minorEastAsia" w:hAnsiTheme="minorHAnsi" w:cstheme="minorBidi"/>
              <w:sz w:val="22"/>
              <w:szCs w:val="22"/>
              <w:lang w:val="en-US"/>
            </w:rPr>
          </w:pPr>
          <w:hyperlink w:anchor="_Toc23243827" w:history="1">
            <w:r w:rsidR="00382D63" w:rsidRPr="001842A2">
              <w:rPr>
                <w:rStyle w:val="Hyperlink"/>
                <w:b/>
                <w:bCs/>
              </w:rPr>
              <w:t>Chapter 5</w:t>
            </w:r>
            <w:r w:rsidR="00382D63">
              <w:rPr>
                <w:webHidden/>
              </w:rPr>
              <w:tab/>
            </w:r>
            <w:r w:rsidR="00382D63">
              <w:rPr>
                <w:webHidden/>
              </w:rPr>
              <w:fldChar w:fldCharType="begin"/>
            </w:r>
            <w:r w:rsidR="00382D63">
              <w:rPr>
                <w:webHidden/>
              </w:rPr>
              <w:instrText xml:space="preserve"> PAGEREF _Toc23243827 \h </w:instrText>
            </w:r>
            <w:r w:rsidR="00382D63">
              <w:rPr>
                <w:webHidden/>
              </w:rPr>
            </w:r>
            <w:r w:rsidR="00382D63">
              <w:rPr>
                <w:webHidden/>
              </w:rPr>
              <w:fldChar w:fldCharType="separate"/>
            </w:r>
            <w:r w:rsidR="00382D63">
              <w:rPr>
                <w:webHidden/>
              </w:rPr>
              <w:t>204</w:t>
            </w:r>
            <w:r w:rsidR="00382D63">
              <w:rPr>
                <w:webHidden/>
              </w:rPr>
              <w:fldChar w:fldCharType="end"/>
            </w:r>
          </w:hyperlink>
        </w:p>
        <w:p w14:paraId="122F530C" w14:textId="7DDACEE5" w:rsidR="00382D63" w:rsidRDefault="00200483">
          <w:pPr>
            <w:pStyle w:val="TOC1"/>
            <w:rPr>
              <w:rFonts w:asciiTheme="minorHAnsi" w:eastAsiaTheme="minorEastAsia" w:hAnsiTheme="minorHAnsi" w:cstheme="minorBidi"/>
              <w:sz w:val="22"/>
              <w:szCs w:val="22"/>
              <w:lang w:val="en-US"/>
            </w:rPr>
          </w:pPr>
          <w:hyperlink w:anchor="_Toc23243828" w:history="1">
            <w:r w:rsidR="00382D63" w:rsidRPr="001842A2">
              <w:rPr>
                <w:rStyle w:val="Hyperlink"/>
                <w:b/>
                <w:bCs/>
              </w:rPr>
              <w:t>A Delphi study to triangulate the findings from the qualitative interviews for assessing diagnostic competence</w:t>
            </w:r>
            <w:r w:rsidR="00382D63">
              <w:rPr>
                <w:webHidden/>
              </w:rPr>
              <w:tab/>
            </w:r>
            <w:r w:rsidR="00382D63">
              <w:rPr>
                <w:webHidden/>
              </w:rPr>
              <w:fldChar w:fldCharType="begin"/>
            </w:r>
            <w:r w:rsidR="00382D63">
              <w:rPr>
                <w:webHidden/>
              </w:rPr>
              <w:instrText xml:space="preserve"> PAGEREF _Toc23243828 \h </w:instrText>
            </w:r>
            <w:r w:rsidR="00382D63">
              <w:rPr>
                <w:webHidden/>
              </w:rPr>
            </w:r>
            <w:r w:rsidR="00382D63">
              <w:rPr>
                <w:webHidden/>
              </w:rPr>
              <w:fldChar w:fldCharType="separate"/>
            </w:r>
            <w:r w:rsidR="00382D63">
              <w:rPr>
                <w:webHidden/>
              </w:rPr>
              <w:t>204</w:t>
            </w:r>
            <w:r w:rsidR="00382D63">
              <w:rPr>
                <w:webHidden/>
              </w:rPr>
              <w:fldChar w:fldCharType="end"/>
            </w:r>
          </w:hyperlink>
        </w:p>
        <w:p w14:paraId="3C91BAB1" w14:textId="4E6D1BE5" w:rsidR="00382D63" w:rsidRDefault="00200483">
          <w:pPr>
            <w:pStyle w:val="TOC2"/>
            <w:rPr>
              <w:rFonts w:asciiTheme="minorHAnsi" w:eastAsiaTheme="minorEastAsia" w:hAnsiTheme="minorHAnsi" w:cstheme="minorBidi"/>
              <w:lang w:val="en-US"/>
            </w:rPr>
          </w:pPr>
          <w:hyperlink w:anchor="_Toc23243829" w:history="1">
            <w:r w:rsidR="00382D63" w:rsidRPr="001842A2">
              <w:rPr>
                <w:rStyle w:val="Hyperlink"/>
              </w:rPr>
              <w:t>5.1 Background</w:t>
            </w:r>
            <w:r w:rsidR="00382D63">
              <w:rPr>
                <w:webHidden/>
              </w:rPr>
              <w:tab/>
            </w:r>
            <w:r w:rsidR="00382D63">
              <w:rPr>
                <w:webHidden/>
              </w:rPr>
              <w:fldChar w:fldCharType="begin"/>
            </w:r>
            <w:r w:rsidR="00382D63">
              <w:rPr>
                <w:webHidden/>
              </w:rPr>
              <w:instrText xml:space="preserve"> PAGEREF _Toc23243829 \h </w:instrText>
            </w:r>
            <w:r w:rsidR="00382D63">
              <w:rPr>
                <w:webHidden/>
              </w:rPr>
            </w:r>
            <w:r w:rsidR="00382D63">
              <w:rPr>
                <w:webHidden/>
              </w:rPr>
              <w:fldChar w:fldCharType="separate"/>
            </w:r>
            <w:r w:rsidR="00382D63">
              <w:rPr>
                <w:webHidden/>
              </w:rPr>
              <w:t>205</w:t>
            </w:r>
            <w:r w:rsidR="00382D63">
              <w:rPr>
                <w:webHidden/>
              </w:rPr>
              <w:fldChar w:fldCharType="end"/>
            </w:r>
          </w:hyperlink>
        </w:p>
        <w:p w14:paraId="3DB3EF25" w14:textId="2E327ED9" w:rsidR="00382D63" w:rsidRDefault="00200483">
          <w:pPr>
            <w:pStyle w:val="TOC2"/>
            <w:rPr>
              <w:rFonts w:asciiTheme="minorHAnsi" w:eastAsiaTheme="minorEastAsia" w:hAnsiTheme="minorHAnsi" w:cstheme="minorBidi"/>
              <w:lang w:val="en-US"/>
            </w:rPr>
          </w:pPr>
          <w:hyperlink w:anchor="_Toc23243830" w:history="1">
            <w:r w:rsidR="00382D63" w:rsidRPr="001842A2">
              <w:rPr>
                <w:rStyle w:val="Hyperlink"/>
              </w:rPr>
              <w:t>5.2 Aim and Objectives</w:t>
            </w:r>
            <w:r w:rsidR="00382D63">
              <w:rPr>
                <w:webHidden/>
              </w:rPr>
              <w:tab/>
            </w:r>
            <w:r w:rsidR="00382D63">
              <w:rPr>
                <w:webHidden/>
              </w:rPr>
              <w:fldChar w:fldCharType="begin"/>
            </w:r>
            <w:r w:rsidR="00382D63">
              <w:rPr>
                <w:webHidden/>
              </w:rPr>
              <w:instrText xml:space="preserve"> PAGEREF _Toc23243830 \h </w:instrText>
            </w:r>
            <w:r w:rsidR="00382D63">
              <w:rPr>
                <w:webHidden/>
              </w:rPr>
            </w:r>
            <w:r w:rsidR="00382D63">
              <w:rPr>
                <w:webHidden/>
              </w:rPr>
              <w:fldChar w:fldCharType="separate"/>
            </w:r>
            <w:r w:rsidR="00382D63">
              <w:rPr>
                <w:webHidden/>
              </w:rPr>
              <w:t>208</w:t>
            </w:r>
            <w:r w:rsidR="00382D63">
              <w:rPr>
                <w:webHidden/>
              </w:rPr>
              <w:fldChar w:fldCharType="end"/>
            </w:r>
          </w:hyperlink>
        </w:p>
        <w:p w14:paraId="3AEA25EC" w14:textId="175F4916" w:rsidR="00382D63" w:rsidRDefault="00200483">
          <w:pPr>
            <w:pStyle w:val="TOC2"/>
            <w:rPr>
              <w:rFonts w:asciiTheme="minorHAnsi" w:eastAsiaTheme="minorEastAsia" w:hAnsiTheme="minorHAnsi" w:cstheme="minorBidi"/>
              <w:lang w:val="en-US"/>
            </w:rPr>
          </w:pPr>
          <w:hyperlink w:anchor="_Toc23243831" w:history="1">
            <w:r w:rsidR="00382D63" w:rsidRPr="001842A2">
              <w:rPr>
                <w:rStyle w:val="Hyperlink"/>
              </w:rPr>
              <w:t>5.3 Method</w:t>
            </w:r>
            <w:r w:rsidR="00382D63">
              <w:rPr>
                <w:webHidden/>
              </w:rPr>
              <w:tab/>
            </w:r>
            <w:r w:rsidR="00382D63">
              <w:rPr>
                <w:webHidden/>
              </w:rPr>
              <w:fldChar w:fldCharType="begin"/>
            </w:r>
            <w:r w:rsidR="00382D63">
              <w:rPr>
                <w:webHidden/>
              </w:rPr>
              <w:instrText xml:space="preserve"> PAGEREF _Toc23243831 \h </w:instrText>
            </w:r>
            <w:r w:rsidR="00382D63">
              <w:rPr>
                <w:webHidden/>
              </w:rPr>
            </w:r>
            <w:r w:rsidR="00382D63">
              <w:rPr>
                <w:webHidden/>
              </w:rPr>
              <w:fldChar w:fldCharType="separate"/>
            </w:r>
            <w:r w:rsidR="00382D63">
              <w:rPr>
                <w:webHidden/>
              </w:rPr>
              <w:t>208</w:t>
            </w:r>
            <w:r w:rsidR="00382D63">
              <w:rPr>
                <w:webHidden/>
              </w:rPr>
              <w:fldChar w:fldCharType="end"/>
            </w:r>
          </w:hyperlink>
        </w:p>
        <w:p w14:paraId="43BDB383" w14:textId="6BE58056" w:rsidR="00382D63" w:rsidRDefault="00200483">
          <w:pPr>
            <w:pStyle w:val="TOC3"/>
            <w:rPr>
              <w:lang w:eastAsia="en-US"/>
            </w:rPr>
          </w:pPr>
          <w:hyperlink w:anchor="_Toc23243832" w:history="1">
            <w:r w:rsidR="00382D63" w:rsidRPr="001842A2">
              <w:rPr>
                <w:rStyle w:val="Hyperlink"/>
                <w:rFonts w:ascii="Times New Roman" w:hAnsi="Times New Roman" w:cs="Times New Roman"/>
              </w:rPr>
              <w:t>5.3.1 Participants</w:t>
            </w:r>
            <w:r w:rsidR="00382D63">
              <w:rPr>
                <w:webHidden/>
              </w:rPr>
              <w:tab/>
            </w:r>
            <w:r w:rsidR="00382D63">
              <w:rPr>
                <w:webHidden/>
              </w:rPr>
              <w:fldChar w:fldCharType="begin"/>
            </w:r>
            <w:r w:rsidR="00382D63">
              <w:rPr>
                <w:webHidden/>
              </w:rPr>
              <w:instrText xml:space="preserve"> PAGEREF _Toc23243832 \h </w:instrText>
            </w:r>
            <w:r w:rsidR="00382D63">
              <w:rPr>
                <w:webHidden/>
              </w:rPr>
            </w:r>
            <w:r w:rsidR="00382D63">
              <w:rPr>
                <w:webHidden/>
              </w:rPr>
              <w:fldChar w:fldCharType="separate"/>
            </w:r>
            <w:r w:rsidR="00382D63">
              <w:rPr>
                <w:webHidden/>
              </w:rPr>
              <w:t>208</w:t>
            </w:r>
            <w:r w:rsidR="00382D63">
              <w:rPr>
                <w:webHidden/>
              </w:rPr>
              <w:fldChar w:fldCharType="end"/>
            </w:r>
          </w:hyperlink>
        </w:p>
        <w:p w14:paraId="5F9C8E31" w14:textId="59F59310" w:rsidR="00382D63" w:rsidRDefault="00200483">
          <w:pPr>
            <w:pStyle w:val="TOC3"/>
            <w:rPr>
              <w:lang w:eastAsia="en-US"/>
            </w:rPr>
          </w:pPr>
          <w:hyperlink w:anchor="_Toc23243833" w:history="1">
            <w:r w:rsidR="00382D63" w:rsidRPr="001842A2">
              <w:rPr>
                <w:rStyle w:val="Hyperlink"/>
                <w:rFonts w:ascii="Times New Roman" w:hAnsi="Times New Roman" w:cs="Times New Roman"/>
              </w:rPr>
              <w:t>5.3.2 Determining items, rating, ranking consensus, stability and number of rounds</w:t>
            </w:r>
            <w:r w:rsidR="00382D63">
              <w:rPr>
                <w:webHidden/>
              </w:rPr>
              <w:tab/>
            </w:r>
            <w:r w:rsidR="00382D63">
              <w:rPr>
                <w:webHidden/>
              </w:rPr>
              <w:fldChar w:fldCharType="begin"/>
            </w:r>
            <w:r w:rsidR="00382D63">
              <w:rPr>
                <w:webHidden/>
              </w:rPr>
              <w:instrText xml:space="preserve"> PAGEREF _Toc23243833 \h </w:instrText>
            </w:r>
            <w:r w:rsidR="00382D63">
              <w:rPr>
                <w:webHidden/>
              </w:rPr>
            </w:r>
            <w:r w:rsidR="00382D63">
              <w:rPr>
                <w:webHidden/>
              </w:rPr>
              <w:fldChar w:fldCharType="separate"/>
            </w:r>
            <w:r w:rsidR="00382D63">
              <w:rPr>
                <w:webHidden/>
              </w:rPr>
              <w:t>210</w:t>
            </w:r>
            <w:r w:rsidR="00382D63">
              <w:rPr>
                <w:webHidden/>
              </w:rPr>
              <w:fldChar w:fldCharType="end"/>
            </w:r>
          </w:hyperlink>
        </w:p>
        <w:p w14:paraId="1407D355" w14:textId="1758F7BB" w:rsidR="00382D63" w:rsidRDefault="00200483">
          <w:pPr>
            <w:pStyle w:val="TOC3"/>
            <w:rPr>
              <w:lang w:eastAsia="en-US"/>
            </w:rPr>
          </w:pPr>
          <w:hyperlink w:anchor="_Toc23243834" w:history="1">
            <w:r w:rsidR="00382D63" w:rsidRPr="001842A2">
              <w:rPr>
                <w:rStyle w:val="Hyperlink"/>
                <w:rFonts w:ascii="Times New Roman" w:hAnsi="Times New Roman" w:cs="Times New Roman"/>
              </w:rPr>
              <w:t>5.3.3 Procedure</w:t>
            </w:r>
            <w:r w:rsidR="00382D63">
              <w:rPr>
                <w:webHidden/>
              </w:rPr>
              <w:tab/>
            </w:r>
            <w:r w:rsidR="00382D63">
              <w:rPr>
                <w:webHidden/>
              </w:rPr>
              <w:fldChar w:fldCharType="begin"/>
            </w:r>
            <w:r w:rsidR="00382D63">
              <w:rPr>
                <w:webHidden/>
              </w:rPr>
              <w:instrText xml:space="preserve"> PAGEREF _Toc23243834 \h </w:instrText>
            </w:r>
            <w:r w:rsidR="00382D63">
              <w:rPr>
                <w:webHidden/>
              </w:rPr>
            </w:r>
            <w:r w:rsidR="00382D63">
              <w:rPr>
                <w:webHidden/>
              </w:rPr>
              <w:fldChar w:fldCharType="separate"/>
            </w:r>
            <w:r w:rsidR="00382D63">
              <w:rPr>
                <w:webHidden/>
              </w:rPr>
              <w:t>217</w:t>
            </w:r>
            <w:r w:rsidR="00382D63">
              <w:rPr>
                <w:webHidden/>
              </w:rPr>
              <w:fldChar w:fldCharType="end"/>
            </w:r>
          </w:hyperlink>
        </w:p>
        <w:p w14:paraId="0B431C14" w14:textId="49A0D8F9" w:rsidR="00382D63" w:rsidRDefault="00200483">
          <w:pPr>
            <w:pStyle w:val="TOC3"/>
            <w:rPr>
              <w:lang w:eastAsia="en-US"/>
            </w:rPr>
          </w:pPr>
          <w:hyperlink w:anchor="_Toc23243835" w:history="1">
            <w:r w:rsidR="00382D63" w:rsidRPr="001842A2">
              <w:rPr>
                <w:rStyle w:val="Hyperlink"/>
                <w:rFonts w:ascii="Times New Roman" w:hAnsi="Times New Roman" w:cs="Times New Roman"/>
              </w:rPr>
              <w:t>5.3.4 Analysis</w:t>
            </w:r>
            <w:r w:rsidR="00382D63">
              <w:rPr>
                <w:webHidden/>
              </w:rPr>
              <w:tab/>
            </w:r>
            <w:r w:rsidR="00382D63">
              <w:rPr>
                <w:webHidden/>
              </w:rPr>
              <w:fldChar w:fldCharType="begin"/>
            </w:r>
            <w:r w:rsidR="00382D63">
              <w:rPr>
                <w:webHidden/>
              </w:rPr>
              <w:instrText xml:space="preserve"> PAGEREF _Toc23243835 \h </w:instrText>
            </w:r>
            <w:r w:rsidR="00382D63">
              <w:rPr>
                <w:webHidden/>
              </w:rPr>
            </w:r>
            <w:r w:rsidR="00382D63">
              <w:rPr>
                <w:webHidden/>
              </w:rPr>
              <w:fldChar w:fldCharType="separate"/>
            </w:r>
            <w:r w:rsidR="00382D63">
              <w:rPr>
                <w:webHidden/>
              </w:rPr>
              <w:t>220</w:t>
            </w:r>
            <w:r w:rsidR="00382D63">
              <w:rPr>
                <w:webHidden/>
              </w:rPr>
              <w:fldChar w:fldCharType="end"/>
            </w:r>
          </w:hyperlink>
        </w:p>
        <w:p w14:paraId="2898E796" w14:textId="64ECF113" w:rsidR="00382D63" w:rsidRDefault="00200483">
          <w:pPr>
            <w:pStyle w:val="TOC2"/>
            <w:rPr>
              <w:rFonts w:asciiTheme="minorHAnsi" w:eastAsiaTheme="minorEastAsia" w:hAnsiTheme="minorHAnsi" w:cstheme="minorBidi"/>
              <w:lang w:val="en-US"/>
            </w:rPr>
          </w:pPr>
          <w:hyperlink w:anchor="_Toc23243836" w:history="1">
            <w:r w:rsidR="00382D63" w:rsidRPr="001842A2">
              <w:rPr>
                <w:rStyle w:val="Hyperlink"/>
              </w:rPr>
              <w:t>5.4 Results</w:t>
            </w:r>
            <w:r w:rsidR="00382D63">
              <w:rPr>
                <w:webHidden/>
              </w:rPr>
              <w:tab/>
            </w:r>
            <w:r w:rsidR="00382D63">
              <w:rPr>
                <w:webHidden/>
              </w:rPr>
              <w:fldChar w:fldCharType="begin"/>
            </w:r>
            <w:r w:rsidR="00382D63">
              <w:rPr>
                <w:webHidden/>
              </w:rPr>
              <w:instrText xml:space="preserve"> PAGEREF _Toc23243836 \h </w:instrText>
            </w:r>
            <w:r w:rsidR="00382D63">
              <w:rPr>
                <w:webHidden/>
              </w:rPr>
            </w:r>
            <w:r w:rsidR="00382D63">
              <w:rPr>
                <w:webHidden/>
              </w:rPr>
              <w:fldChar w:fldCharType="separate"/>
            </w:r>
            <w:r w:rsidR="00382D63">
              <w:rPr>
                <w:webHidden/>
              </w:rPr>
              <w:t>221</w:t>
            </w:r>
            <w:r w:rsidR="00382D63">
              <w:rPr>
                <w:webHidden/>
              </w:rPr>
              <w:fldChar w:fldCharType="end"/>
            </w:r>
          </w:hyperlink>
        </w:p>
        <w:p w14:paraId="0CF92170" w14:textId="2F4F7AFD" w:rsidR="00382D63" w:rsidRDefault="00200483">
          <w:pPr>
            <w:pStyle w:val="TOC3"/>
            <w:rPr>
              <w:lang w:eastAsia="en-US"/>
            </w:rPr>
          </w:pPr>
          <w:hyperlink w:anchor="_Toc23243837" w:history="1">
            <w:r w:rsidR="00382D63" w:rsidRPr="001842A2">
              <w:rPr>
                <w:rStyle w:val="Hyperlink"/>
                <w:rFonts w:ascii="Times New Roman" w:hAnsi="Times New Roman" w:cs="Times New Roman"/>
              </w:rPr>
              <w:t>5.4.1 Round 1 rating of items</w:t>
            </w:r>
            <w:r w:rsidR="00382D63">
              <w:rPr>
                <w:webHidden/>
              </w:rPr>
              <w:tab/>
            </w:r>
            <w:r w:rsidR="00382D63">
              <w:rPr>
                <w:webHidden/>
              </w:rPr>
              <w:fldChar w:fldCharType="begin"/>
            </w:r>
            <w:r w:rsidR="00382D63">
              <w:rPr>
                <w:webHidden/>
              </w:rPr>
              <w:instrText xml:space="preserve"> PAGEREF _Toc23243837 \h </w:instrText>
            </w:r>
            <w:r w:rsidR="00382D63">
              <w:rPr>
                <w:webHidden/>
              </w:rPr>
            </w:r>
            <w:r w:rsidR="00382D63">
              <w:rPr>
                <w:webHidden/>
              </w:rPr>
              <w:fldChar w:fldCharType="separate"/>
            </w:r>
            <w:r w:rsidR="00382D63">
              <w:rPr>
                <w:webHidden/>
              </w:rPr>
              <w:t>221</w:t>
            </w:r>
            <w:r w:rsidR="00382D63">
              <w:rPr>
                <w:webHidden/>
              </w:rPr>
              <w:fldChar w:fldCharType="end"/>
            </w:r>
          </w:hyperlink>
        </w:p>
        <w:p w14:paraId="4C848527" w14:textId="732B2752" w:rsidR="00382D63" w:rsidRDefault="00200483">
          <w:pPr>
            <w:pStyle w:val="TOC3"/>
            <w:rPr>
              <w:lang w:eastAsia="en-US"/>
            </w:rPr>
          </w:pPr>
          <w:hyperlink w:anchor="_Toc23243838" w:history="1">
            <w:r w:rsidR="00382D63" w:rsidRPr="001842A2">
              <w:rPr>
                <w:rStyle w:val="Hyperlink"/>
                <w:rFonts w:ascii="Times New Roman" w:hAnsi="Times New Roman" w:cs="Times New Roman"/>
              </w:rPr>
              <w:t>5.4.2 Round 2 rating of items</w:t>
            </w:r>
            <w:r w:rsidR="00382D63">
              <w:rPr>
                <w:webHidden/>
              </w:rPr>
              <w:tab/>
            </w:r>
            <w:r w:rsidR="00382D63">
              <w:rPr>
                <w:webHidden/>
              </w:rPr>
              <w:fldChar w:fldCharType="begin"/>
            </w:r>
            <w:r w:rsidR="00382D63">
              <w:rPr>
                <w:webHidden/>
              </w:rPr>
              <w:instrText xml:space="preserve"> PAGEREF _Toc23243838 \h </w:instrText>
            </w:r>
            <w:r w:rsidR="00382D63">
              <w:rPr>
                <w:webHidden/>
              </w:rPr>
            </w:r>
            <w:r w:rsidR="00382D63">
              <w:rPr>
                <w:webHidden/>
              </w:rPr>
              <w:fldChar w:fldCharType="separate"/>
            </w:r>
            <w:r w:rsidR="00382D63">
              <w:rPr>
                <w:webHidden/>
              </w:rPr>
              <w:t>227</w:t>
            </w:r>
            <w:r w:rsidR="00382D63">
              <w:rPr>
                <w:webHidden/>
              </w:rPr>
              <w:fldChar w:fldCharType="end"/>
            </w:r>
          </w:hyperlink>
        </w:p>
        <w:p w14:paraId="12F4FD3E" w14:textId="5CC26C47" w:rsidR="00382D63" w:rsidRDefault="00200483">
          <w:pPr>
            <w:pStyle w:val="TOC3"/>
            <w:rPr>
              <w:lang w:eastAsia="en-US"/>
            </w:rPr>
          </w:pPr>
          <w:hyperlink w:anchor="_Toc23243839" w:history="1">
            <w:r w:rsidR="00382D63" w:rsidRPr="001842A2">
              <w:rPr>
                <w:rStyle w:val="Hyperlink"/>
                <w:rFonts w:ascii="Times New Roman" w:hAnsi="Times New Roman" w:cs="Times New Roman"/>
              </w:rPr>
              <w:t>5.4.3 Round 1 ranking of items</w:t>
            </w:r>
            <w:r w:rsidR="00382D63">
              <w:rPr>
                <w:webHidden/>
              </w:rPr>
              <w:tab/>
            </w:r>
            <w:r w:rsidR="00382D63">
              <w:rPr>
                <w:webHidden/>
              </w:rPr>
              <w:fldChar w:fldCharType="begin"/>
            </w:r>
            <w:r w:rsidR="00382D63">
              <w:rPr>
                <w:webHidden/>
              </w:rPr>
              <w:instrText xml:space="preserve"> PAGEREF _Toc23243839 \h </w:instrText>
            </w:r>
            <w:r w:rsidR="00382D63">
              <w:rPr>
                <w:webHidden/>
              </w:rPr>
            </w:r>
            <w:r w:rsidR="00382D63">
              <w:rPr>
                <w:webHidden/>
              </w:rPr>
              <w:fldChar w:fldCharType="separate"/>
            </w:r>
            <w:r w:rsidR="00382D63">
              <w:rPr>
                <w:webHidden/>
              </w:rPr>
              <w:t>235</w:t>
            </w:r>
            <w:r w:rsidR="00382D63">
              <w:rPr>
                <w:webHidden/>
              </w:rPr>
              <w:fldChar w:fldCharType="end"/>
            </w:r>
          </w:hyperlink>
        </w:p>
        <w:p w14:paraId="5BA3DF5B" w14:textId="6B6A5F34" w:rsidR="00382D63" w:rsidRDefault="00200483">
          <w:pPr>
            <w:pStyle w:val="TOC3"/>
            <w:rPr>
              <w:lang w:eastAsia="en-US"/>
            </w:rPr>
          </w:pPr>
          <w:hyperlink w:anchor="_Toc23243840" w:history="1">
            <w:r w:rsidR="00382D63" w:rsidRPr="001842A2">
              <w:rPr>
                <w:rStyle w:val="Hyperlink"/>
                <w:rFonts w:ascii="Times New Roman" w:hAnsi="Times New Roman" w:cs="Times New Roman"/>
              </w:rPr>
              <w:t>5.4.4 Round 1 comments relating to ranking items</w:t>
            </w:r>
            <w:r w:rsidR="00382D63">
              <w:rPr>
                <w:webHidden/>
              </w:rPr>
              <w:tab/>
            </w:r>
            <w:r w:rsidR="00382D63">
              <w:rPr>
                <w:webHidden/>
              </w:rPr>
              <w:fldChar w:fldCharType="begin"/>
            </w:r>
            <w:r w:rsidR="00382D63">
              <w:rPr>
                <w:webHidden/>
              </w:rPr>
              <w:instrText xml:space="preserve"> PAGEREF _Toc23243840 \h </w:instrText>
            </w:r>
            <w:r w:rsidR="00382D63">
              <w:rPr>
                <w:webHidden/>
              </w:rPr>
            </w:r>
            <w:r w:rsidR="00382D63">
              <w:rPr>
                <w:webHidden/>
              </w:rPr>
              <w:fldChar w:fldCharType="separate"/>
            </w:r>
            <w:r w:rsidR="00382D63">
              <w:rPr>
                <w:webHidden/>
              </w:rPr>
              <w:t>237</w:t>
            </w:r>
            <w:r w:rsidR="00382D63">
              <w:rPr>
                <w:webHidden/>
              </w:rPr>
              <w:fldChar w:fldCharType="end"/>
            </w:r>
          </w:hyperlink>
        </w:p>
        <w:p w14:paraId="38BC89DD" w14:textId="45721CE3" w:rsidR="00382D63" w:rsidRDefault="00200483">
          <w:pPr>
            <w:pStyle w:val="TOC3"/>
            <w:rPr>
              <w:lang w:eastAsia="en-US"/>
            </w:rPr>
          </w:pPr>
          <w:hyperlink w:anchor="_Toc23243841" w:history="1">
            <w:r w:rsidR="00382D63" w:rsidRPr="001842A2">
              <w:rPr>
                <w:rStyle w:val="Hyperlink"/>
                <w:rFonts w:ascii="Times New Roman" w:hAnsi="Times New Roman" w:cs="Times New Roman"/>
              </w:rPr>
              <w:t>5.4.5 Round 2 ranking of items</w:t>
            </w:r>
            <w:r w:rsidR="00382D63">
              <w:rPr>
                <w:webHidden/>
              </w:rPr>
              <w:tab/>
            </w:r>
            <w:r w:rsidR="00382D63">
              <w:rPr>
                <w:webHidden/>
              </w:rPr>
              <w:fldChar w:fldCharType="begin"/>
            </w:r>
            <w:r w:rsidR="00382D63">
              <w:rPr>
                <w:webHidden/>
              </w:rPr>
              <w:instrText xml:space="preserve"> PAGEREF _Toc23243841 \h </w:instrText>
            </w:r>
            <w:r w:rsidR="00382D63">
              <w:rPr>
                <w:webHidden/>
              </w:rPr>
            </w:r>
            <w:r w:rsidR="00382D63">
              <w:rPr>
                <w:webHidden/>
              </w:rPr>
              <w:fldChar w:fldCharType="separate"/>
            </w:r>
            <w:r w:rsidR="00382D63">
              <w:rPr>
                <w:webHidden/>
              </w:rPr>
              <w:t>239</w:t>
            </w:r>
            <w:r w:rsidR="00382D63">
              <w:rPr>
                <w:webHidden/>
              </w:rPr>
              <w:fldChar w:fldCharType="end"/>
            </w:r>
          </w:hyperlink>
        </w:p>
        <w:p w14:paraId="3401BB07" w14:textId="140EBD27" w:rsidR="00382D63" w:rsidRDefault="00200483">
          <w:pPr>
            <w:pStyle w:val="TOC3"/>
            <w:rPr>
              <w:lang w:eastAsia="en-US"/>
            </w:rPr>
          </w:pPr>
          <w:hyperlink w:anchor="_Toc23243842" w:history="1">
            <w:r w:rsidR="00382D63" w:rsidRPr="001842A2">
              <w:rPr>
                <w:rStyle w:val="Hyperlink"/>
                <w:rFonts w:ascii="Times New Roman" w:hAnsi="Times New Roman" w:cs="Times New Roman"/>
              </w:rPr>
              <w:t>5.4.6 Round 2 comments relating to ranking items</w:t>
            </w:r>
            <w:r w:rsidR="00382D63">
              <w:rPr>
                <w:webHidden/>
              </w:rPr>
              <w:tab/>
            </w:r>
            <w:r w:rsidR="00382D63">
              <w:rPr>
                <w:webHidden/>
              </w:rPr>
              <w:fldChar w:fldCharType="begin"/>
            </w:r>
            <w:r w:rsidR="00382D63">
              <w:rPr>
                <w:webHidden/>
              </w:rPr>
              <w:instrText xml:space="preserve"> PAGEREF _Toc23243842 \h </w:instrText>
            </w:r>
            <w:r w:rsidR="00382D63">
              <w:rPr>
                <w:webHidden/>
              </w:rPr>
            </w:r>
            <w:r w:rsidR="00382D63">
              <w:rPr>
                <w:webHidden/>
              </w:rPr>
              <w:fldChar w:fldCharType="separate"/>
            </w:r>
            <w:r w:rsidR="00382D63">
              <w:rPr>
                <w:webHidden/>
              </w:rPr>
              <w:t>241</w:t>
            </w:r>
            <w:r w:rsidR="00382D63">
              <w:rPr>
                <w:webHidden/>
              </w:rPr>
              <w:fldChar w:fldCharType="end"/>
            </w:r>
          </w:hyperlink>
        </w:p>
        <w:p w14:paraId="4170C9EB" w14:textId="1DE2CCD0" w:rsidR="00382D63" w:rsidRDefault="00200483">
          <w:pPr>
            <w:pStyle w:val="TOC3"/>
            <w:rPr>
              <w:lang w:eastAsia="en-US"/>
            </w:rPr>
          </w:pPr>
          <w:hyperlink w:anchor="_Toc23243843" w:history="1">
            <w:r w:rsidR="00382D63" w:rsidRPr="001842A2">
              <w:rPr>
                <w:rStyle w:val="Hyperlink"/>
                <w:rFonts w:ascii="Times New Roman" w:hAnsi="Times New Roman" w:cs="Times New Roman"/>
              </w:rPr>
              <w:t>5.4.7 Comparison of round 1 and round 2 ranking of items</w:t>
            </w:r>
            <w:r w:rsidR="00382D63">
              <w:rPr>
                <w:webHidden/>
              </w:rPr>
              <w:tab/>
            </w:r>
            <w:r w:rsidR="00382D63">
              <w:rPr>
                <w:webHidden/>
              </w:rPr>
              <w:fldChar w:fldCharType="begin"/>
            </w:r>
            <w:r w:rsidR="00382D63">
              <w:rPr>
                <w:webHidden/>
              </w:rPr>
              <w:instrText xml:space="preserve"> PAGEREF _Toc23243843 \h </w:instrText>
            </w:r>
            <w:r w:rsidR="00382D63">
              <w:rPr>
                <w:webHidden/>
              </w:rPr>
            </w:r>
            <w:r w:rsidR="00382D63">
              <w:rPr>
                <w:webHidden/>
              </w:rPr>
              <w:fldChar w:fldCharType="separate"/>
            </w:r>
            <w:r w:rsidR="00382D63">
              <w:rPr>
                <w:webHidden/>
              </w:rPr>
              <w:t>242</w:t>
            </w:r>
            <w:r w:rsidR="00382D63">
              <w:rPr>
                <w:webHidden/>
              </w:rPr>
              <w:fldChar w:fldCharType="end"/>
            </w:r>
          </w:hyperlink>
        </w:p>
        <w:p w14:paraId="1EFF1610" w14:textId="2D0D3CE2" w:rsidR="00382D63" w:rsidRDefault="00200483">
          <w:pPr>
            <w:pStyle w:val="TOC3"/>
            <w:rPr>
              <w:lang w:eastAsia="en-US"/>
            </w:rPr>
          </w:pPr>
          <w:hyperlink w:anchor="_Toc23243844" w:history="1">
            <w:r w:rsidR="00382D63" w:rsidRPr="001842A2">
              <w:rPr>
                <w:rStyle w:val="Hyperlink"/>
                <w:rFonts w:ascii="Times New Roman" w:hAnsi="Times New Roman" w:cs="Times New Roman"/>
              </w:rPr>
              <w:t>5.4.8 Comparison of round 1 and round 2 highest rated by mean score</w:t>
            </w:r>
            <w:r w:rsidR="00382D63">
              <w:rPr>
                <w:webHidden/>
              </w:rPr>
              <w:tab/>
            </w:r>
            <w:r w:rsidR="00382D63">
              <w:rPr>
                <w:webHidden/>
              </w:rPr>
              <w:fldChar w:fldCharType="begin"/>
            </w:r>
            <w:r w:rsidR="00382D63">
              <w:rPr>
                <w:webHidden/>
              </w:rPr>
              <w:instrText xml:space="preserve"> PAGEREF _Toc23243844 \h </w:instrText>
            </w:r>
            <w:r w:rsidR="00382D63">
              <w:rPr>
                <w:webHidden/>
              </w:rPr>
            </w:r>
            <w:r w:rsidR="00382D63">
              <w:rPr>
                <w:webHidden/>
              </w:rPr>
              <w:fldChar w:fldCharType="separate"/>
            </w:r>
            <w:r w:rsidR="00382D63">
              <w:rPr>
                <w:webHidden/>
              </w:rPr>
              <w:t>244</w:t>
            </w:r>
            <w:r w:rsidR="00382D63">
              <w:rPr>
                <w:webHidden/>
              </w:rPr>
              <w:fldChar w:fldCharType="end"/>
            </w:r>
          </w:hyperlink>
        </w:p>
        <w:p w14:paraId="3AFE278C" w14:textId="646A7B64" w:rsidR="00382D63" w:rsidRDefault="00200483">
          <w:pPr>
            <w:pStyle w:val="TOC2"/>
            <w:rPr>
              <w:rFonts w:asciiTheme="minorHAnsi" w:eastAsiaTheme="minorEastAsia" w:hAnsiTheme="minorHAnsi" w:cstheme="minorBidi"/>
              <w:lang w:val="en-US"/>
            </w:rPr>
          </w:pPr>
          <w:hyperlink w:anchor="_Toc23243845" w:history="1">
            <w:r w:rsidR="00382D63" w:rsidRPr="001842A2">
              <w:rPr>
                <w:rStyle w:val="Hyperlink"/>
              </w:rPr>
              <w:t>5.5 Discussion</w:t>
            </w:r>
            <w:r w:rsidR="00382D63">
              <w:rPr>
                <w:webHidden/>
              </w:rPr>
              <w:tab/>
            </w:r>
            <w:r w:rsidR="00382D63">
              <w:rPr>
                <w:webHidden/>
              </w:rPr>
              <w:fldChar w:fldCharType="begin"/>
            </w:r>
            <w:r w:rsidR="00382D63">
              <w:rPr>
                <w:webHidden/>
              </w:rPr>
              <w:instrText xml:space="preserve"> PAGEREF _Toc23243845 \h </w:instrText>
            </w:r>
            <w:r w:rsidR="00382D63">
              <w:rPr>
                <w:webHidden/>
              </w:rPr>
            </w:r>
            <w:r w:rsidR="00382D63">
              <w:rPr>
                <w:webHidden/>
              </w:rPr>
              <w:fldChar w:fldCharType="separate"/>
            </w:r>
            <w:r w:rsidR="00382D63">
              <w:rPr>
                <w:webHidden/>
              </w:rPr>
              <w:t>246</w:t>
            </w:r>
            <w:r w:rsidR="00382D63">
              <w:rPr>
                <w:webHidden/>
              </w:rPr>
              <w:fldChar w:fldCharType="end"/>
            </w:r>
          </w:hyperlink>
        </w:p>
        <w:p w14:paraId="4340077E" w14:textId="7F4F8923" w:rsidR="00382D63" w:rsidRDefault="00200483">
          <w:pPr>
            <w:pStyle w:val="TOC2"/>
            <w:rPr>
              <w:rFonts w:asciiTheme="minorHAnsi" w:eastAsiaTheme="minorEastAsia" w:hAnsiTheme="minorHAnsi" w:cstheme="minorBidi"/>
              <w:lang w:val="en-US"/>
            </w:rPr>
          </w:pPr>
          <w:hyperlink w:anchor="_Toc23243846" w:history="1">
            <w:r w:rsidR="00382D63" w:rsidRPr="001842A2">
              <w:rPr>
                <w:rStyle w:val="Hyperlink"/>
              </w:rPr>
              <w:t>5.6 Limitations</w:t>
            </w:r>
            <w:r w:rsidR="00382D63">
              <w:rPr>
                <w:webHidden/>
              </w:rPr>
              <w:tab/>
            </w:r>
            <w:r w:rsidR="00382D63">
              <w:rPr>
                <w:webHidden/>
              </w:rPr>
              <w:fldChar w:fldCharType="begin"/>
            </w:r>
            <w:r w:rsidR="00382D63">
              <w:rPr>
                <w:webHidden/>
              </w:rPr>
              <w:instrText xml:space="preserve"> PAGEREF _Toc23243846 \h </w:instrText>
            </w:r>
            <w:r w:rsidR="00382D63">
              <w:rPr>
                <w:webHidden/>
              </w:rPr>
            </w:r>
            <w:r w:rsidR="00382D63">
              <w:rPr>
                <w:webHidden/>
              </w:rPr>
              <w:fldChar w:fldCharType="separate"/>
            </w:r>
            <w:r w:rsidR="00382D63">
              <w:rPr>
                <w:webHidden/>
              </w:rPr>
              <w:t>256</w:t>
            </w:r>
            <w:r w:rsidR="00382D63">
              <w:rPr>
                <w:webHidden/>
              </w:rPr>
              <w:fldChar w:fldCharType="end"/>
            </w:r>
          </w:hyperlink>
        </w:p>
        <w:p w14:paraId="0A6C3A41" w14:textId="002BD528" w:rsidR="00382D63" w:rsidRDefault="00200483">
          <w:pPr>
            <w:pStyle w:val="TOC2"/>
            <w:rPr>
              <w:rFonts w:asciiTheme="minorHAnsi" w:eastAsiaTheme="minorEastAsia" w:hAnsiTheme="minorHAnsi" w:cstheme="minorBidi"/>
              <w:lang w:val="en-US"/>
            </w:rPr>
          </w:pPr>
          <w:hyperlink w:anchor="_Toc23243847" w:history="1">
            <w:r w:rsidR="00382D63" w:rsidRPr="001842A2">
              <w:rPr>
                <w:rStyle w:val="Hyperlink"/>
              </w:rPr>
              <w:t>5.7 Conclusion</w:t>
            </w:r>
            <w:r w:rsidR="00382D63">
              <w:rPr>
                <w:webHidden/>
              </w:rPr>
              <w:tab/>
            </w:r>
            <w:r w:rsidR="00382D63">
              <w:rPr>
                <w:webHidden/>
              </w:rPr>
              <w:fldChar w:fldCharType="begin"/>
            </w:r>
            <w:r w:rsidR="00382D63">
              <w:rPr>
                <w:webHidden/>
              </w:rPr>
              <w:instrText xml:space="preserve"> PAGEREF _Toc23243847 \h </w:instrText>
            </w:r>
            <w:r w:rsidR="00382D63">
              <w:rPr>
                <w:webHidden/>
              </w:rPr>
            </w:r>
            <w:r w:rsidR="00382D63">
              <w:rPr>
                <w:webHidden/>
              </w:rPr>
              <w:fldChar w:fldCharType="separate"/>
            </w:r>
            <w:r w:rsidR="00382D63">
              <w:rPr>
                <w:webHidden/>
              </w:rPr>
              <w:t>257</w:t>
            </w:r>
            <w:r w:rsidR="00382D63">
              <w:rPr>
                <w:webHidden/>
              </w:rPr>
              <w:fldChar w:fldCharType="end"/>
            </w:r>
          </w:hyperlink>
        </w:p>
        <w:p w14:paraId="75037C0B" w14:textId="327D82BD" w:rsidR="00382D63" w:rsidRDefault="00200483">
          <w:pPr>
            <w:pStyle w:val="TOC1"/>
            <w:rPr>
              <w:rFonts w:asciiTheme="minorHAnsi" w:eastAsiaTheme="minorEastAsia" w:hAnsiTheme="minorHAnsi" w:cstheme="minorBidi"/>
              <w:sz w:val="22"/>
              <w:szCs w:val="22"/>
              <w:lang w:val="en-US"/>
            </w:rPr>
          </w:pPr>
          <w:hyperlink w:anchor="_Toc23243848" w:history="1">
            <w:r w:rsidR="00382D63" w:rsidRPr="001842A2">
              <w:rPr>
                <w:rStyle w:val="Hyperlink"/>
                <w:b/>
              </w:rPr>
              <w:t>Chapter 6</w:t>
            </w:r>
            <w:r w:rsidR="00382D63">
              <w:rPr>
                <w:webHidden/>
              </w:rPr>
              <w:tab/>
            </w:r>
            <w:r w:rsidR="00382D63">
              <w:rPr>
                <w:webHidden/>
              </w:rPr>
              <w:fldChar w:fldCharType="begin"/>
            </w:r>
            <w:r w:rsidR="00382D63">
              <w:rPr>
                <w:webHidden/>
              </w:rPr>
              <w:instrText xml:space="preserve"> PAGEREF _Toc23243848 \h </w:instrText>
            </w:r>
            <w:r w:rsidR="00382D63">
              <w:rPr>
                <w:webHidden/>
              </w:rPr>
            </w:r>
            <w:r w:rsidR="00382D63">
              <w:rPr>
                <w:webHidden/>
              </w:rPr>
              <w:fldChar w:fldCharType="separate"/>
            </w:r>
            <w:r w:rsidR="00382D63">
              <w:rPr>
                <w:webHidden/>
              </w:rPr>
              <w:t>259</w:t>
            </w:r>
            <w:r w:rsidR="00382D63">
              <w:rPr>
                <w:webHidden/>
              </w:rPr>
              <w:fldChar w:fldCharType="end"/>
            </w:r>
          </w:hyperlink>
        </w:p>
        <w:p w14:paraId="21BAA730" w14:textId="6E5CE965" w:rsidR="00382D63" w:rsidRDefault="00200483">
          <w:pPr>
            <w:pStyle w:val="TOC1"/>
            <w:rPr>
              <w:rFonts w:asciiTheme="minorHAnsi" w:eastAsiaTheme="minorEastAsia" w:hAnsiTheme="minorHAnsi" w:cstheme="minorBidi"/>
              <w:sz w:val="22"/>
              <w:szCs w:val="22"/>
              <w:lang w:val="en-US"/>
            </w:rPr>
          </w:pPr>
          <w:hyperlink w:anchor="_Toc23243849" w:history="1">
            <w:r w:rsidR="00382D63" w:rsidRPr="001842A2">
              <w:rPr>
                <w:rStyle w:val="Hyperlink"/>
                <w:b/>
              </w:rPr>
              <w:t>Final discussion</w:t>
            </w:r>
            <w:r w:rsidR="00382D63">
              <w:rPr>
                <w:webHidden/>
              </w:rPr>
              <w:tab/>
            </w:r>
            <w:r w:rsidR="00382D63">
              <w:rPr>
                <w:webHidden/>
              </w:rPr>
              <w:fldChar w:fldCharType="begin"/>
            </w:r>
            <w:r w:rsidR="00382D63">
              <w:rPr>
                <w:webHidden/>
              </w:rPr>
              <w:instrText xml:space="preserve"> PAGEREF _Toc23243849 \h </w:instrText>
            </w:r>
            <w:r w:rsidR="00382D63">
              <w:rPr>
                <w:webHidden/>
              </w:rPr>
            </w:r>
            <w:r w:rsidR="00382D63">
              <w:rPr>
                <w:webHidden/>
              </w:rPr>
              <w:fldChar w:fldCharType="separate"/>
            </w:r>
            <w:r w:rsidR="00382D63">
              <w:rPr>
                <w:webHidden/>
              </w:rPr>
              <w:t>259</w:t>
            </w:r>
            <w:r w:rsidR="00382D63">
              <w:rPr>
                <w:webHidden/>
              </w:rPr>
              <w:fldChar w:fldCharType="end"/>
            </w:r>
          </w:hyperlink>
        </w:p>
        <w:p w14:paraId="10AC9337" w14:textId="7151FF48" w:rsidR="00382D63" w:rsidRDefault="00200483">
          <w:pPr>
            <w:pStyle w:val="TOC2"/>
            <w:rPr>
              <w:rFonts w:asciiTheme="minorHAnsi" w:eastAsiaTheme="minorEastAsia" w:hAnsiTheme="minorHAnsi" w:cstheme="minorBidi"/>
              <w:lang w:val="en-US"/>
            </w:rPr>
          </w:pPr>
          <w:hyperlink w:anchor="_Toc23243850" w:history="1">
            <w:r w:rsidR="00382D63" w:rsidRPr="001842A2">
              <w:rPr>
                <w:rStyle w:val="Hyperlink"/>
              </w:rPr>
              <w:t>6.1 Discussion</w:t>
            </w:r>
            <w:r w:rsidR="00382D63">
              <w:rPr>
                <w:webHidden/>
              </w:rPr>
              <w:tab/>
            </w:r>
            <w:r w:rsidR="00382D63">
              <w:rPr>
                <w:webHidden/>
              </w:rPr>
              <w:fldChar w:fldCharType="begin"/>
            </w:r>
            <w:r w:rsidR="00382D63">
              <w:rPr>
                <w:webHidden/>
              </w:rPr>
              <w:instrText xml:space="preserve"> PAGEREF _Toc23243850 \h </w:instrText>
            </w:r>
            <w:r w:rsidR="00382D63">
              <w:rPr>
                <w:webHidden/>
              </w:rPr>
            </w:r>
            <w:r w:rsidR="00382D63">
              <w:rPr>
                <w:webHidden/>
              </w:rPr>
              <w:fldChar w:fldCharType="separate"/>
            </w:r>
            <w:r w:rsidR="00382D63">
              <w:rPr>
                <w:webHidden/>
              </w:rPr>
              <w:t>260</w:t>
            </w:r>
            <w:r w:rsidR="00382D63">
              <w:rPr>
                <w:webHidden/>
              </w:rPr>
              <w:fldChar w:fldCharType="end"/>
            </w:r>
          </w:hyperlink>
        </w:p>
        <w:p w14:paraId="47984FFD" w14:textId="0B576A67" w:rsidR="00382D63" w:rsidRDefault="00200483">
          <w:pPr>
            <w:pStyle w:val="TOC1"/>
            <w:rPr>
              <w:rFonts w:asciiTheme="minorHAnsi" w:eastAsiaTheme="minorEastAsia" w:hAnsiTheme="minorHAnsi" w:cstheme="minorBidi"/>
              <w:sz w:val="22"/>
              <w:szCs w:val="22"/>
              <w:lang w:val="en-US"/>
            </w:rPr>
          </w:pPr>
          <w:hyperlink w:anchor="_Toc23243851" w:history="1">
            <w:r w:rsidR="00382D63" w:rsidRPr="001842A2">
              <w:rPr>
                <w:rStyle w:val="Hyperlink"/>
                <w:b/>
                <w:bCs/>
              </w:rPr>
              <w:t>Chapter 7</w:t>
            </w:r>
            <w:r w:rsidR="00382D63">
              <w:rPr>
                <w:webHidden/>
              </w:rPr>
              <w:tab/>
            </w:r>
            <w:r w:rsidR="00382D63">
              <w:rPr>
                <w:webHidden/>
              </w:rPr>
              <w:fldChar w:fldCharType="begin"/>
            </w:r>
            <w:r w:rsidR="00382D63">
              <w:rPr>
                <w:webHidden/>
              </w:rPr>
              <w:instrText xml:space="preserve"> PAGEREF _Toc23243851 \h </w:instrText>
            </w:r>
            <w:r w:rsidR="00382D63">
              <w:rPr>
                <w:webHidden/>
              </w:rPr>
            </w:r>
            <w:r w:rsidR="00382D63">
              <w:rPr>
                <w:webHidden/>
              </w:rPr>
              <w:fldChar w:fldCharType="separate"/>
            </w:r>
            <w:r w:rsidR="00382D63">
              <w:rPr>
                <w:webHidden/>
              </w:rPr>
              <w:t>269</w:t>
            </w:r>
            <w:r w:rsidR="00382D63">
              <w:rPr>
                <w:webHidden/>
              </w:rPr>
              <w:fldChar w:fldCharType="end"/>
            </w:r>
          </w:hyperlink>
        </w:p>
        <w:p w14:paraId="394180CA" w14:textId="0E7B3150" w:rsidR="00382D63" w:rsidRDefault="00200483">
          <w:pPr>
            <w:pStyle w:val="TOC1"/>
            <w:rPr>
              <w:rFonts w:asciiTheme="minorHAnsi" w:eastAsiaTheme="minorEastAsia" w:hAnsiTheme="minorHAnsi" w:cstheme="minorBidi"/>
              <w:sz w:val="22"/>
              <w:szCs w:val="22"/>
              <w:lang w:val="en-US"/>
            </w:rPr>
          </w:pPr>
          <w:hyperlink w:anchor="_Toc23243852" w:history="1">
            <w:r w:rsidR="00382D63" w:rsidRPr="001842A2">
              <w:rPr>
                <w:rStyle w:val="Hyperlink"/>
                <w:b/>
              </w:rPr>
              <w:t>Conclusions and recommendations</w:t>
            </w:r>
            <w:r w:rsidR="00382D63">
              <w:rPr>
                <w:webHidden/>
              </w:rPr>
              <w:tab/>
            </w:r>
            <w:r w:rsidR="00382D63">
              <w:rPr>
                <w:webHidden/>
              </w:rPr>
              <w:fldChar w:fldCharType="begin"/>
            </w:r>
            <w:r w:rsidR="00382D63">
              <w:rPr>
                <w:webHidden/>
              </w:rPr>
              <w:instrText xml:space="preserve"> PAGEREF _Toc23243852 \h </w:instrText>
            </w:r>
            <w:r w:rsidR="00382D63">
              <w:rPr>
                <w:webHidden/>
              </w:rPr>
            </w:r>
            <w:r w:rsidR="00382D63">
              <w:rPr>
                <w:webHidden/>
              </w:rPr>
              <w:fldChar w:fldCharType="separate"/>
            </w:r>
            <w:r w:rsidR="00382D63">
              <w:rPr>
                <w:webHidden/>
              </w:rPr>
              <w:t>269</w:t>
            </w:r>
            <w:r w:rsidR="00382D63">
              <w:rPr>
                <w:webHidden/>
              </w:rPr>
              <w:fldChar w:fldCharType="end"/>
            </w:r>
          </w:hyperlink>
        </w:p>
        <w:p w14:paraId="20F6A418" w14:textId="076A3E08" w:rsidR="00382D63" w:rsidRDefault="00200483">
          <w:pPr>
            <w:pStyle w:val="TOC2"/>
            <w:rPr>
              <w:rFonts w:asciiTheme="minorHAnsi" w:eastAsiaTheme="minorEastAsia" w:hAnsiTheme="minorHAnsi" w:cstheme="minorBidi"/>
              <w:lang w:val="en-US"/>
            </w:rPr>
          </w:pPr>
          <w:hyperlink w:anchor="_Toc23243853" w:history="1">
            <w:r w:rsidR="00382D63" w:rsidRPr="001842A2">
              <w:rPr>
                <w:rStyle w:val="Hyperlink"/>
              </w:rPr>
              <w:t>7.1 Summary</w:t>
            </w:r>
            <w:r w:rsidR="00382D63">
              <w:rPr>
                <w:webHidden/>
              </w:rPr>
              <w:tab/>
            </w:r>
            <w:r w:rsidR="00382D63">
              <w:rPr>
                <w:webHidden/>
              </w:rPr>
              <w:fldChar w:fldCharType="begin"/>
            </w:r>
            <w:r w:rsidR="00382D63">
              <w:rPr>
                <w:webHidden/>
              </w:rPr>
              <w:instrText xml:space="preserve"> PAGEREF _Toc23243853 \h </w:instrText>
            </w:r>
            <w:r w:rsidR="00382D63">
              <w:rPr>
                <w:webHidden/>
              </w:rPr>
            </w:r>
            <w:r w:rsidR="00382D63">
              <w:rPr>
                <w:webHidden/>
              </w:rPr>
              <w:fldChar w:fldCharType="separate"/>
            </w:r>
            <w:r w:rsidR="00382D63">
              <w:rPr>
                <w:webHidden/>
              </w:rPr>
              <w:t>270</w:t>
            </w:r>
            <w:r w:rsidR="00382D63">
              <w:rPr>
                <w:webHidden/>
              </w:rPr>
              <w:fldChar w:fldCharType="end"/>
            </w:r>
          </w:hyperlink>
        </w:p>
        <w:p w14:paraId="3101F6F9" w14:textId="35E9BB13" w:rsidR="00382D63" w:rsidRDefault="00200483">
          <w:pPr>
            <w:pStyle w:val="TOC2"/>
            <w:rPr>
              <w:rFonts w:asciiTheme="minorHAnsi" w:eastAsiaTheme="minorEastAsia" w:hAnsiTheme="minorHAnsi" w:cstheme="minorBidi"/>
              <w:lang w:val="en-US"/>
            </w:rPr>
          </w:pPr>
          <w:hyperlink w:anchor="_Toc23243854" w:history="1">
            <w:r w:rsidR="00382D63" w:rsidRPr="001842A2">
              <w:rPr>
                <w:rStyle w:val="Hyperlink"/>
              </w:rPr>
              <w:t>7.2 Conclusions for practice</w:t>
            </w:r>
            <w:r w:rsidR="00382D63">
              <w:rPr>
                <w:webHidden/>
              </w:rPr>
              <w:tab/>
            </w:r>
            <w:r w:rsidR="00382D63">
              <w:rPr>
                <w:webHidden/>
              </w:rPr>
              <w:fldChar w:fldCharType="begin"/>
            </w:r>
            <w:r w:rsidR="00382D63">
              <w:rPr>
                <w:webHidden/>
              </w:rPr>
              <w:instrText xml:space="preserve"> PAGEREF _Toc23243854 \h </w:instrText>
            </w:r>
            <w:r w:rsidR="00382D63">
              <w:rPr>
                <w:webHidden/>
              </w:rPr>
            </w:r>
            <w:r w:rsidR="00382D63">
              <w:rPr>
                <w:webHidden/>
              </w:rPr>
              <w:fldChar w:fldCharType="separate"/>
            </w:r>
            <w:r w:rsidR="00382D63">
              <w:rPr>
                <w:webHidden/>
              </w:rPr>
              <w:t>271</w:t>
            </w:r>
            <w:r w:rsidR="00382D63">
              <w:rPr>
                <w:webHidden/>
              </w:rPr>
              <w:fldChar w:fldCharType="end"/>
            </w:r>
          </w:hyperlink>
        </w:p>
        <w:p w14:paraId="336C8886" w14:textId="37F10C78" w:rsidR="00382D63" w:rsidRDefault="00200483">
          <w:pPr>
            <w:pStyle w:val="TOC2"/>
            <w:rPr>
              <w:rFonts w:asciiTheme="minorHAnsi" w:eastAsiaTheme="minorEastAsia" w:hAnsiTheme="minorHAnsi" w:cstheme="minorBidi"/>
              <w:lang w:val="en-US"/>
            </w:rPr>
          </w:pPr>
          <w:hyperlink w:anchor="_Toc23243855" w:history="1">
            <w:r w:rsidR="00382D63" w:rsidRPr="001842A2">
              <w:rPr>
                <w:rStyle w:val="Hyperlink"/>
              </w:rPr>
              <w:t>7.3 Conclusions for research</w:t>
            </w:r>
            <w:r w:rsidR="00382D63">
              <w:rPr>
                <w:webHidden/>
              </w:rPr>
              <w:tab/>
            </w:r>
            <w:r w:rsidR="00382D63">
              <w:rPr>
                <w:webHidden/>
              </w:rPr>
              <w:fldChar w:fldCharType="begin"/>
            </w:r>
            <w:r w:rsidR="00382D63">
              <w:rPr>
                <w:webHidden/>
              </w:rPr>
              <w:instrText xml:space="preserve"> PAGEREF _Toc23243855 \h </w:instrText>
            </w:r>
            <w:r w:rsidR="00382D63">
              <w:rPr>
                <w:webHidden/>
              </w:rPr>
            </w:r>
            <w:r w:rsidR="00382D63">
              <w:rPr>
                <w:webHidden/>
              </w:rPr>
              <w:fldChar w:fldCharType="separate"/>
            </w:r>
            <w:r w:rsidR="00382D63">
              <w:rPr>
                <w:webHidden/>
              </w:rPr>
              <w:t>271</w:t>
            </w:r>
            <w:r w:rsidR="00382D63">
              <w:rPr>
                <w:webHidden/>
              </w:rPr>
              <w:fldChar w:fldCharType="end"/>
            </w:r>
          </w:hyperlink>
        </w:p>
        <w:p w14:paraId="65BE3CE4" w14:textId="233E3EE2" w:rsidR="00382D63" w:rsidRDefault="00200483">
          <w:pPr>
            <w:pStyle w:val="TOC2"/>
            <w:rPr>
              <w:rFonts w:asciiTheme="minorHAnsi" w:eastAsiaTheme="minorEastAsia" w:hAnsiTheme="minorHAnsi" w:cstheme="minorBidi"/>
              <w:lang w:val="en-US"/>
            </w:rPr>
          </w:pPr>
          <w:hyperlink w:anchor="_Toc23243856" w:history="1">
            <w:r w:rsidR="00382D63" w:rsidRPr="001842A2">
              <w:rPr>
                <w:rStyle w:val="Hyperlink"/>
              </w:rPr>
              <w:t>7.4 Recommendations for practice</w:t>
            </w:r>
            <w:r w:rsidR="00382D63">
              <w:rPr>
                <w:webHidden/>
              </w:rPr>
              <w:tab/>
            </w:r>
            <w:r w:rsidR="00382D63">
              <w:rPr>
                <w:webHidden/>
              </w:rPr>
              <w:fldChar w:fldCharType="begin"/>
            </w:r>
            <w:r w:rsidR="00382D63">
              <w:rPr>
                <w:webHidden/>
              </w:rPr>
              <w:instrText xml:space="preserve"> PAGEREF _Toc23243856 \h </w:instrText>
            </w:r>
            <w:r w:rsidR="00382D63">
              <w:rPr>
                <w:webHidden/>
              </w:rPr>
            </w:r>
            <w:r w:rsidR="00382D63">
              <w:rPr>
                <w:webHidden/>
              </w:rPr>
              <w:fldChar w:fldCharType="separate"/>
            </w:r>
            <w:r w:rsidR="00382D63">
              <w:rPr>
                <w:webHidden/>
              </w:rPr>
              <w:t>271</w:t>
            </w:r>
            <w:r w:rsidR="00382D63">
              <w:rPr>
                <w:webHidden/>
              </w:rPr>
              <w:fldChar w:fldCharType="end"/>
            </w:r>
          </w:hyperlink>
        </w:p>
        <w:p w14:paraId="4E32EA38" w14:textId="398F9D23" w:rsidR="00382D63" w:rsidRDefault="00200483">
          <w:pPr>
            <w:pStyle w:val="TOC2"/>
            <w:rPr>
              <w:rFonts w:asciiTheme="minorHAnsi" w:eastAsiaTheme="minorEastAsia" w:hAnsiTheme="minorHAnsi" w:cstheme="minorBidi"/>
              <w:lang w:val="en-US"/>
            </w:rPr>
          </w:pPr>
          <w:hyperlink w:anchor="_Toc23243857" w:history="1">
            <w:r w:rsidR="00382D63" w:rsidRPr="001842A2">
              <w:rPr>
                <w:rStyle w:val="Hyperlink"/>
              </w:rPr>
              <w:t>7.5 Recommendations for research</w:t>
            </w:r>
            <w:r w:rsidR="00382D63">
              <w:rPr>
                <w:webHidden/>
              </w:rPr>
              <w:tab/>
            </w:r>
            <w:r w:rsidR="00382D63">
              <w:rPr>
                <w:webHidden/>
              </w:rPr>
              <w:fldChar w:fldCharType="begin"/>
            </w:r>
            <w:r w:rsidR="00382D63">
              <w:rPr>
                <w:webHidden/>
              </w:rPr>
              <w:instrText xml:space="preserve"> PAGEREF _Toc23243857 \h </w:instrText>
            </w:r>
            <w:r w:rsidR="00382D63">
              <w:rPr>
                <w:webHidden/>
              </w:rPr>
            </w:r>
            <w:r w:rsidR="00382D63">
              <w:rPr>
                <w:webHidden/>
              </w:rPr>
              <w:fldChar w:fldCharType="separate"/>
            </w:r>
            <w:r w:rsidR="00382D63">
              <w:rPr>
                <w:webHidden/>
              </w:rPr>
              <w:t>272</w:t>
            </w:r>
            <w:r w:rsidR="00382D63">
              <w:rPr>
                <w:webHidden/>
              </w:rPr>
              <w:fldChar w:fldCharType="end"/>
            </w:r>
          </w:hyperlink>
        </w:p>
        <w:p w14:paraId="125035B2" w14:textId="131AEE4E" w:rsidR="00382D63" w:rsidRDefault="00200483">
          <w:pPr>
            <w:pStyle w:val="TOC2"/>
            <w:rPr>
              <w:rFonts w:asciiTheme="minorHAnsi" w:eastAsiaTheme="minorEastAsia" w:hAnsiTheme="minorHAnsi" w:cstheme="minorBidi"/>
              <w:lang w:val="en-US"/>
            </w:rPr>
          </w:pPr>
          <w:hyperlink w:anchor="_Toc23243858" w:history="1">
            <w:r w:rsidR="00382D63" w:rsidRPr="001842A2">
              <w:rPr>
                <w:rStyle w:val="Hyperlink"/>
              </w:rPr>
              <w:t>7.6 Further work</w:t>
            </w:r>
            <w:r w:rsidR="00382D63">
              <w:rPr>
                <w:webHidden/>
              </w:rPr>
              <w:tab/>
            </w:r>
            <w:r w:rsidR="00382D63">
              <w:rPr>
                <w:webHidden/>
              </w:rPr>
              <w:fldChar w:fldCharType="begin"/>
            </w:r>
            <w:r w:rsidR="00382D63">
              <w:rPr>
                <w:webHidden/>
              </w:rPr>
              <w:instrText xml:space="preserve"> PAGEREF _Toc23243858 \h </w:instrText>
            </w:r>
            <w:r w:rsidR="00382D63">
              <w:rPr>
                <w:webHidden/>
              </w:rPr>
            </w:r>
            <w:r w:rsidR="00382D63">
              <w:rPr>
                <w:webHidden/>
              </w:rPr>
              <w:fldChar w:fldCharType="separate"/>
            </w:r>
            <w:r w:rsidR="00382D63">
              <w:rPr>
                <w:webHidden/>
              </w:rPr>
              <w:t>272</w:t>
            </w:r>
            <w:r w:rsidR="00382D63">
              <w:rPr>
                <w:webHidden/>
              </w:rPr>
              <w:fldChar w:fldCharType="end"/>
            </w:r>
          </w:hyperlink>
        </w:p>
        <w:p w14:paraId="2A28AEDA" w14:textId="6275EEAA" w:rsidR="00382D63" w:rsidRDefault="00200483">
          <w:pPr>
            <w:pStyle w:val="TOC1"/>
            <w:rPr>
              <w:rFonts w:asciiTheme="minorHAnsi" w:eastAsiaTheme="minorEastAsia" w:hAnsiTheme="minorHAnsi" w:cstheme="minorBidi"/>
              <w:sz w:val="22"/>
              <w:szCs w:val="22"/>
              <w:lang w:val="en-US"/>
            </w:rPr>
          </w:pPr>
          <w:hyperlink w:anchor="_Toc23243859" w:history="1">
            <w:r w:rsidR="00382D63" w:rsidRPr="001842A2">
              <w:rPr>
                <w:rStyle w:val="Hyperlink"/>
                <w:b/>
              </w:rPr>
              <w:t>Appendices</w:t>
            </w:r>
            <w:r w:rsidR="00382D63">
              <w:rPr>
                <w:webHidden/>
              </w:rPr>
              <w:tab/>
            </w:r>
            <w:r w:rsidR="00382D63">
              <w:rPr>
                <w:webHidden/>
              </w:rPr>
              <w:fldChar w:fldCharType="begin"/>
            </w:r>
            <w:r w:rsidR="00382D63">
              <w:rPr>
                <w:webHidden/>
              </w:rPr>
              <w:instrText xml:space="preserve"> PAGEREF _Toc23243859 \h </w:instrText>
            </w:r>
            <w:r w:rsidR="00382D63">
              <w:rPr>
                <w:webHidden/>
              </w:rPr>
            </w:r>
            <w:r w:rsidR="00382D63">
              <w:rPr>
                <w:webHidden/>
              </w:rPr>
              <w:fldChar w:fldCharType="separate"/>
            </w:r>
            <w:r w:rsidR="00382D63">
              <w:rPr>
                <w:webHidden/>
              </w:rPr>
              <w:t>273</w:t>
            </w:r>
            <w:r w:rsidR="00382D63">
              <w:rPr>
                <w:webHidden/>
              </w:rPr>
              <w:fldChar w:fldCharType="end"/>
            </w:r>
          </w:hyperlink>
        </w:p>
        <w:p w14:paraId="75C8BC15" w14:textId="15146523" w:rsidR="00382D63" w:rsidRDefault="00200483">
          <w:pPr>
            <w:pStyle w:val="TOC2"/>
            <w:rPr>
              <w:rFonts w:asciiTheme="minorHAnsi" w:eastAsiaTheme="minorEastAsia" w:hAnsiTheme="minorHAnsi" w:cstheme="minorBidi"/>
              <w:lang w:val="en-US"/>
            </w:rPr>
          </w:pPr>
          <w:hyperlink w:anchor="_Toc23243860" w:history="1">
            <w:r w:rsidR="00382D63" w:rsidRPr="001842A2">
              <w:rPr>
                <w:rStyle w:val="Hyperlink"/>
              </w:rPr>
              <w:t>Appendix 1: Questionnaire invitation emails</w:t>
            </w:r>
            <w:r w:rsidR="00382D63">
              <w:rPr>
                <w:webHidden/>
              </w:rPr>
              <w:tab/>
            </w:r>
            <w:r w:rsidR="00382D63">
              <w:rPr>
                <w:webHidden/>
              </w:rPr>
              <w:fldChar w:fldCharType="begin"/>
            </w:r>
            <w:r w:rsidR="00382D63">
              <w:rPr>
                <w:webHidden/>
              </w:rPr>
              <w:instrText xml:space="preserve"> PAGEREF _Toc23243860 \h </w:instrText>
            </w:r>
            <w:r w:rsidR="00382D63">
              <w:rPr>
                <w:webHidden/>
              </w:rPr>
            </w:r>
            <w:r w:rsidR="00382D63">
              <w:rPr>
                <w:webHidden/>
              </w:rPr>
              <w:fldChar w:fldCharType="separate"/>
            </w:r>
            <w:r w:rsidR="00382D63">
              <w:rPr>
                <w:webHidden/>
              </w:rPr>
              <w:t>274</w:t>
            </w:r>
            <w:r w:rsidR="00382D63">
              <w:rPr>
                <w:webHidden/>
              </w:rPr>
              <w:fldChar w:fldCharType="end"/>
            </w:r>
          </w:hyperlink>
        </w:p>
        <w:p w14:paraId="30E45822" w14:textId="47E03C4B" w:rsidR="00382D63" w:rsidRDefault="00200483">
          <w:pPr>
            <w:pStyle w:val="TOC2"/>
            <w:rPr>
              <w:rFonts w:asciiTheme="minorHAnsi" w:eastAsiaTheme="minorEastAsia" w:hAnsiTheme="minorHAnsi" w:cstheme="minorBidi"/>
              <w:lang w:val="en-US"/>
            </w:rPr>
          </w:pPr>
          <w:hyperlink w:anchor="_Toc23243861" w:history="1">
            <w:r w:rsidR="00382D63" w:rsidRPr="001842A2">
              <w:rPr>
                <w:rStyle w:val="Hyperlink"/>
              </w:rPr>
              <w:t>Appendix 2: Participant Information Sheet</w:t>
            </w:r>
            <w:r w:rsidR="00382D63">
              <w:rPr>
                <w:webHidden/>
              </w:rPr>
              <w:tab/>
            </w:r>
            <w:r w:rsidR="00382D63">
              <w:rPr>
                <w:webHidden/>
              </w:rPr>
              <w:fldChar w:fldCharType="begin"/>
            </w:r>
            <w:r w:rsidR="00382D63">
              <w:rPr>
                <w:webHidden/>
              </w:rPr>
              <w:instrText xml:space="preserve"> PAGEREF _Toc23243861 \h </w:instrText>
            </w:r>
            <w:r w:rsidR="00382D63">
              <w:rPr>
                <w:webHidden/>
              </w:rPr>
            </w:r>
            <w:r w:rsidR="00382D63">
              <w:rPr>
                <w:webHidden/>
              </w:rPr>
              <w:fldChar w:fldCharType="separate"/>
            </w:r>
            <w:r w:rsidR="00382D63">
              <w:rPr>
                <w:webHidden/>
              </w:rPr>
              <w:t>275</w:t>
            </w:r>
            <w:r w:rsidR="00382D63">
              <w:rPr>
                <w:webHidden/>
              </w:rPr>
              <w:fldChar w:fldCharType="end"/>
            </w:r>
          </w:hyperlink>
        </w:p>
        <w:p w14:paraId="4315D669" w14:textId="50A68B38" w:rsidR="00382D63" w:rsidRDefault="00200483">
          <w:pPr>
            <w:pStyle w:val="TOC2"/>
            <w:rPr>
              <w:rFonts w:asciiTheme="minorHAnsi" w:eastAsiaTheme="minorEastAsia" w:hAnsiTheme="minorHAnsi" w:cstheme="minorBidi"/>
              <w:lang w:val="en-US"/>
            </w:rPr>
          </w:pPr>
          <w:hyperlink w:anchor="_Toc23243862" w:history="1">
            <w:r w:rsidR="00382D63" w:rsidRPr="001842A2">
              <w:rPr>
                <w:rStyle w:val="Hyperlink"/>
                <w:b/>
              </w:rPr>
              <w:t>Appendix 3: Interview invitation email</w:t>
            </w:r>
            <w:r w:rsidR="00382D63">
              <w:rPr>
                <w:webHidden/>
              </w:rPr>
              <w:tab/>
            </w:r>
            <w:r w:rsidR="00382D63">
              <w:rPr>
                <w:webHidden/>
              </w:rPr>
              <w:fldChar w:fldCharType="begin"/>
            </w:r>
            <w:r w:rsidR="00382D63">
              <w:rPr>
                <w:webHidden/>
              </w:rPr>
              <w:instrText xml:space="preserve"> PAGEREF _Toc23243862 \h </w:instrText>
            </w:r>
            <w:r w:rsidR="00382D63">
              <w:rPr>
                <w:webHidden/>
              </w:rPr>
            </w:r>
            <w:r w:rsidR="00382D63">
              <w:rPr>
                <w:webHidden/>
              </w:rPr>
              <w:fldChar w:fldCharType="separate"/>
            </w:r>
            <w:r w:rsidR="00382D63">
              <w:rPr>
                <w:webHidden/>
              </w:rPr>
              <w:t>279</w:t>
            </w:r>
            <w:r w:rsidR="00382D63">
              <w:rPr>
                <w:webHidden/>
              </w:rPr>
              <w:fldChar w:fldCharType="end"/>
            </w:r>
          </w:hyperlink>
        </w:p>
        <w:p w14:paraId="37CF4D9E" w14:textId="7125ED5C" w:rsidR="00382D63" w:rsidRDefault="00200483">
          <w:pPr>
            <w:pStyle w:val="TOC2"/>
            <w:rPr>
              <w:rFonts w:asciiTheme="minorHAnsi" w:eastAsiaTheme="minorEastAsia" w:hAnsiTheme="minorHAnsi" w:cstheme="minorBidi"/>
              <w:lang w:val="en-US"/>
            </w:rPr>
          </w:pPr>
          <w:hyperlink w:anchor="_Toc23243863" w:history="1">
            <w:r w:rsidR="00382D63" w:rsidRPr="001842A2">
              <w:rPr>
                <w:rStyle w:val="Hyperlink"/>
              </w:rPr>
              <w:t>Appendix 4: Information sheet for qualitative interviews</w:t>
            </w:r>
            <w:r w:rsidR="00382D63">
              <w:rPr>
                <w:webHidden/>
              </w:rPr>
              <w:tab/>
            </w:r>
            <w:r w:rsidR="00382D63">
              <w:rPr>
                <w:webHidden/>
              </w:rPr>
              <w:fldChar w:fldCharType="begin"/>
            </w:r>
            <w:r w:rsidR="00382D63">
              <w:rPr>
                <w:webHidden/>
              </w:rPr>
              <w:instrText xml:space="preserve"> PAGEREF _Toc23243863 \h </w:instrText>
            </w:r>
            <w:r w:rsidR="00382D63">
              <w:rPr>
                <w:webHidden/>
              </w:rPr>
            </w:r>
            <w:r w:rsidR="00382D63">
              <w:rPr>
                <w:webHidden/>
              </w:rPr>
              <w:fldChar w:fldCharType="separate"/>
            </w:r>
            <w:r w:rsidR="00382D63">
              <w:rPr>
                <w:webHidden/>
              </w:rPr>
              <w:t>280</w:t>
            </w:r>
            <w:r w:rsidR="00382D63">
              <w:rPr>
                <w:webHidden/>
              </w:rPr>
              <w:fldChar w:fldCharType="end"/>
            </w:r>
          </w:hyperlink>
        </w:p>
        <w:p w14:paraId="26E16737" w14:textId="26D4FF9C" w:rsidR="00382D63" w:rsidRDefault="00200483">
          <w:pPr>
            <w:pStyle w:val="TOC2"/>
            <w:rPr>
              <w:rFonts w:asciiTheme="minorHAnsi" w:eastAsiaTheme="minorEastAsia" w:hAnsiTheme="minorHAnsi" w:cstheme="minorBidi"/>
              <w:lang w:val="en-US"/>
            </w:rPr>
          </w:pPr>
          <w:hyperlink w:anchor="_Toc23243864" w:history="1">
            <w:r w:rsidR="00382D63" w:rsidRPr="001842A2">
              <w:rPr>
                <w:rStyle w:val="Hyperlink"/>
              </w:rPr>
              <w:t>Appendix 5: Interview guide</w:t>
            </w:r>
            <w:r w:rsidR="00382D63">
              <w:rPr>
                <w:webHidden/>
              </w:rPr>
              <w:tab/>
            </w:r>
            <w:r w:rsidR="00382D63">
              <w:rPr>
                <w:webHidden/>
              </w:rPr>
              <w:fldChar w:fldCharType="begin"/>
            </w:r>
            <w:r w:rsidR="00382D63">
              <w:rPr>
                <w:webHidden/>
              </w:rPr>
              <w:instrText xml:space="preserve"> PAGEREF _Toc23243864 \h </w:instrText>
            </w:r>
            <w:r w:rsidR="00382D63">
              <w:rPr>
                <w:webHidden/>
              </w:rPr>
            </w:r>
            <w:r w:rsidR="00382D63">
              <w:rPr>
                <w:webHidden/>
              </w:rPr>
              <w:fldChar w:fldCharType="separate"/>
            </w:r>
            <w:r w:rsidR="00382D63">
              <w:rPr>
                <w:webHidden/>
              </w:rPr>
              <w:t>284</w:t>
            </w:r>
            <w:r w:rsidR="00382D63">
              <w:rPr>
                <w:webHidden/>
              </w:rPr>
              <w:fldChar w:fldCharType="end"/>
            </w:r>
          </w:hyperlink>
        </w:p>
        <w:p w14:paraId="30416107" w14:textId="098A4915" w:rsidR="00382D63" w:rsidRDefault="00200483">
          <w:pPr>
            <w:pStyle w:val="TOC2"/>
            <w:rPr>
              <w:rFonts w:asciiTheme="minorHAnsi" w:eastAsiaTheme="minorEastAsia" w:hAnsiTheme="minorHAnsi" w:cstheme="minorBidi"/>
              <w:lang w:val="en-US"/>
            </w:rPr>
          </w:pPr>
          <w:hyperlink w:anchor="_Toc23243865" w:history="1">
            <w:r w:rsidR="00382D63" w:rsidRPr="001842A2">
              <w:rPr>
                <w:rStyle w:val="Hyperlink"/>
              </w:rPr>
              <w:t>Appendix 6: Consent form for interview</w:t>
            </w:r>
            <w:r w:rsidR="00382D63">
              <w:rPr>
                <w:webHidden/>
              </w:rPr>
              <w:tab/>
            </w:r>
            <w:r w:rsidR="00382D63">
              <w:rPr>
                <w:webHidden/>
              </w:rPr>
              <w:fldChar w:fldCharType="begin"/>
            </w:r>
            <w:r w:rsidR="00382D63">
              <w:rPr>
                <w:webHidden/>
              </w:rPr>
              <w:instrText xml:space="preserve"> PAGEREF _Toc23243865 \h </w:instrText>
            </w:r>
            <w:r w:rsidR="00382D63">
              <w:rPr>
                <w:webHidden/>
              </w:rPr>
            </w:r>
            <w:r w:rsidR="00382D63">
              <w:rPr>
                <w:webHidden/>
              </w:rPr>
              <w:fldChar w:fldCharType="separate"/>
            </w:r>
            <w:r w:rsidR="00382D63">
              <w:rPr>
                <w:webHidden/>
              </w:rPr>
              <w:t>287</w:t>
            </w:r>
            <w:r w:rsidR="00382D63">
              <w:rPr>
                <w:webHidden/>
              </w:rPr>
              <w:fldChar w:fldCharType="end"/>
            </w:r>
          </w:hyperlink>
        </w:p>
        <w:p w14:paraId="57341E49" w14:textId="7005C369" w:rsidR="00382D63" w:rsidRDefault="00200483">
          <w:pPr>
            <w:pStyle w:val="TOC2"/>
            <w:rPr>
              <w:rFonts w:asciiTheme="minorHAnsi" w:eastAsiaTheme="minorEastAsia" w:hAnsiTheme="minorHAnsi" w:cstheme="minorBidi"/>
              <w:lang w:val="en-US"/>
            </w:rPr>
          </w:pPr>
          <w:hyperlink w:anchor="_Toc23243866" w:history="1">
            <w:r w:rsidR="00382D63" w:rsidRPr="001842A2">
              <w:rPr>
                <w:rStyle w:val="Hyperlink"/>
              </w:rPr>
              <w:t>Appendix 7: Invitation email for Delphi study</w:t>
            </w:r>
            <w:r w:rsidR="00382D63">
              <w:rPr>
                <w:webHidden/>
              </w:rPr>
              <w:tab/>
            </w:r>
            <w:r w:rsidR="00382D63">
              <w:rPr>
                <w:webHidden/>
              </w:rPr>
              <w:fldChar w:fldCharType="begin"/>
            </w:r>
            <w:r w:rsidR="00382D63">
              <w:rPr>
                <w:webHidden/>
              </w:rPr>
              <w:instrText xml:space="preserve"> PAGEREF _Toc23243866 \h </w:instrText>
            </w:r>
            <w:r w:rsidR="00382D63">
              <w:rPr>
                <w:webHidden/>
              </w:rPr>
            </w:r>
            <w:r w:rsidR="00382D63">
              <w:rPr>
                <w:webHidden/>
              </w:rPr>
              <w:fldChar w:fldCharType="separate"/>
            </w:r>
            <w:r w:rsidR="00382D63">
              <w:rPr>
                <w:webHidden/>
              </w:rPr>
              <w:t>289</w:t>
            </w:r>
            <w:r w:rsidR="00382D63">
              <w:rPr>
                <w:webHidden/>
              </w:rPr>
              <w:fldChar w:fldCharType="end"/>
            </w:r>
          </w:hyperlink>
        </w:p>
        <w:p w14:paraId="057AC112" w14:textId="46FF9FA7" w:rsidR="00382D63" w:rsidRDefault="00200483">
          <w:pPr>
            <w:pStyle w:val="TOC2"/>
            <w:rPr>
              <w:rFonts w:asciiTheme="minorHAnsi" w:eastAsiaTheme="minorEastAsia" w:hAnsiTheme="minorHAnsi" w:cstheme="minorBidi"/>
              <w:lang w:val="en-US"/>
            </w:rPr>
          </w:pPr>
          <w:hyperlink w:anchor="_Toc23243867" w:history="1">
            <w:r w:rsidR="00382D63" w:rsidRPr="001842A2">
              <w:rPr>
                <w:rStyle w:val="Hyperlink"/>
                <w:b/>
                <w:bCs/>
              </w:rPr>
              <w:t>Appendix 8: Participant Information Sheet for Delphi study</w:t>
            </w:r>
            <w:r w:rsidR="00382D63">
              <w:rPr>
                <w:webHidden/>
              </w:rPr>
              <w:tab/>
            </w:r>
            <w:r w:rsidR="00382D63">
              <w:rPr>
                <w:webHidden/>
              </w:rPr>
              <w:fldChar w:fldCharType="begin"/>
            </w:r>
            <w:r w:rsidR="00382D63">
              <w:rPr>
                <w:webHidden/>
              </w:rPr>
              <w:instrText xml:space="preserve"> PAGEREF _Toc23243867 \h </w:instrText>
            </w:r>
            <w:r w:rsidR="00382D63">
              <w:rPr>
                <w:webHidden/>
              </w:rPr>
            </w:r>
            <w:r w:rsidR="00382D63">
              <w:rPr>
                <w:webHidden/>
              </w:rPr>
              <w:fldChar w:fldCharType="separate"/>
            </w:r>
            <w:r w:rsidR="00382D63">
              <w:rPr>
                <w:webHidden/>
              </w:rPr>
              <w:t>290</w:t>
            </w:r>
            <w:r w:rsidR="00382D63">
              <w:rPr>
                <w:webHidden/>
              </w:rPr>
              <w:fldChar w:fldCharType="end"/>
            </w:r>
          </w:hyperlink>
        </w:p>
        <w:p w14:paraId="514D8E41" w14:textId="50878385" w:rsidR="00382D63" w:rsidRDefault="00200483">
          <w:pPr>
            <w:pStyle w:val="TOC2"/>
            <w:rPr>
              <w:rFonts w:asciiTheme="minorHAnsi" w:eastAsiaTheme="minorEastAsia" w:hAnsiTheme="minorHAnsi" w:cstheme="minorBidi"/>
              <w:lang w:val="en-US"/>
            </w:rPr>
          </w:pPr>
          <w:hyperlink w:anchor="_Toc23243868" w:history="1">
            <w:r w:rsidR="00382D63" w:rsidRPr="001842A2">
              <w:rPr>
                <w:rStyle w:val="Hyperlink"/>
              </w:rPr>
              <w:t>Appendices 9 and 10: Instructions for Delphi and consent form</w:t>
            </w:r>
            <w:r w:rsidR="00382D63">
              <w:rPr>
                <w:webHidden/>
              </w:rPr>
              <w:tab/>
            </w:r>
            <w:r w:rsidR="00382D63">
              <w:rPr>
                <w:webHidden/>
              </w:rPr>
              <w:fldChar w:fldCharType="begin"/>
            </w:r>
            <w:r w:rsidR="00382D63">
              <w:rPr>
                <w:webHidden/>
              </w:rPr>
              <w:instrText xml:space="preserve"> PAGEREF _Toc23243868 \h </w:instrText>
            </w:r>
            <w:r w:rsidR="00382D63">
              <w:rPr>
                <w:webHidden/>
              </w:rPr>
            </w:r>
            <w:r w:rsidR="00382D63">
              <w:rPr>
                <w:webHidden/>
              </w:rPr>
              <w:fldChar w:fldCharType="separate"/>
            </w:r>
            <w:r w:rsidR="00382D63">
              <w:rPr>
                <w:webHidden/>
              </w:rPr>
              <w:t>294</w:t>
            </w:r>
            <w:r w:rsidR="00382D63">
              <w:rPr>
                <w:webHidden/>
              </w:rPr>
              <w:fldChar w:fldCharType="end"/>
            </w:r>
          </w:hyperlink>
        </w:p>
        <w:p w14:paraId="27572EBA" w14:textId="65A1C1CC" w:rsidR="00382D63" w:rsidRDefault="00200483">
          <w:pPr>
            <w:pStyle w:val="TOC1"/>
            <w:rPr>
              <w:rFonts w:asciiTheme="minorHAnsi" w:eastAsiaTheme="minorEastAsia" w:hAnsiTheme="minorHAnsi" w:cstheme="minorBidi"/>
              <w:sz w:val="22"/>
              <w:szCs w:val="22"/>
              <w:lang w:val="en-US"/>
            </w:rPr>
          </w:pPr>
          <w:hyperlink w:anchor="_Toc23243869" w:history="1">
            <w:r w:rsidR="00382D63" w:rsidRPr="001842A2">
              <w:rPr>
                <w:rStyle w:val="Hyperlink"/>
                <w:b/>
              </w:rPr>
              <w:t>References</w:t>
            </w:r>
            <w:r w:rsidR="00382D63">
              <w:rPr>
                <w:webHidden/>
              </w:rPr>
              <w:tab/>
            </w:r>
            <w:r w:rsidR="00382D63">
              <w:rPr>
                <w:webHidden/>
              </w:rPr>
              <w:fldChar w:fldCharType="begin"/>
            </w:r>
            <w:r w:rsidR="00382D63">
              <w:rPr>
                <w:webHidden/>
              </w:rPr>
              <w:instrText xml:space="preserve"> PAGEREF _Toc23243869 \h </w:instrText>
            </w:r>
            <w:r w:rsidR="00382D63">
              <w:rPr>
                <w:webHidden/>
              </w:rPr>
            </w:r>
            <w:r w:rsidR="00382D63">
              <w:rPr>
                <w:webHidden/>
              </w:rPr>
              <w:fldChar w:fldCharType="separate"/>
            </w:r>
            <w:r w:rsidR="00382D63">
              <w:rPr>
                <w:webHidden/>
              </w:rPr>
              <w:t>301</w:t>
            </w:r>
            <w:r w:rsidR="00382D63">
              <w:rPr>
                <w:webHidden/>
              </w:rPr>
              <w:fldChar w:fldCharType="end"/>
            </w:r>
          </w:hyperlink>
        </w:p>
        <w:p w14:paraId="1F1341E3" w14:textId="102D26AF" w:rsidR="00F12CB7" w:rsidRDefault="00F12CB7" w:rsidP="00F12CB7">
          <w:pPr>
            <w:rPr>
              <w:rFonts w:ascii="Times New Roman" w:hAnsi="Times New Roman" w:cs="Times New Roman"/>
              <w:noProof/>
              <w:sz w:val="24"/>
              <w:szCs w:val="24"/>
            </w:rPr>
          </w:pPr>
          <w:r w:rsidRPr="006F3B00">
            <w:rPr>
              <w:rFonts w:ascii="Times New Roman" w:hAnsi="Times New Roman" w:cs="Times New Roman"/>
              <w:b/>
              <w:bCs/>
              <w:noProof/>
              <w:sz w:val="24"/>
              <w:szCs w:val="24"/>
            </w:rPr>
            <w:fldChar w:fldCharType="end"/>
          </w:r>
        </w:p>
      </w:sdtContent>
    </w:sdt>
    <w:p w14:paraId="1E2A3A9C" w14:textId="504F3ACA" w:rsidR="00D30272" w:rsidRPr="006F3B00" w:rsidRDefault="00D30272" w:rsidP="00602D3C">
      <w:pPr>
        <w:spacing w:line="480" w:lineRule="auto"/>
        <w:jc w:val="center"/>
        <w:rPr>
          <w:rFonts w:ascii="Times New Roman" w:hAnsi="Times New Roman" w:cs="Times New Roman"/>
          <w:sz w:val="24"/>
          <w:szCs w:val="24"/>
        </w:rPr>
      </w:pPr>
    </w:p>
    <w:p w14:paraId="5A9F7FB9" w14:textId="2A897FC7" w:rsidR="00D30272" w:rsidRPr="006F3B00" w:rsidRDefault="00D30272" w:rsidP="00D30272">
      <w:pPr>
        <w:rPr>
          <w:rFonts w:ascii="Times New Roman" w:hAnsi="Times New Roman" w:cs="Times New Roman"/>
          <w:sz w:val="24"/>
          <w:szCs w:val="24"/>
        </w:rPr>
      </w:pPr>
    </w:p>
    <w:p w14:paraId="33F3CF4C" w14:textId="77777777" w:rsidR="00863DF5" w:rsidRPr="006F3B00" w:rsidRDefault="00863DF5" w:rsidP="00863DF5">
      <w:pPr>
        <w:rPr>
          <w:rFonts w:ascii="Times New Roman" w:hAnsi="Times New Roman" w:cs="Times New Roman"/>
          <w:sz w:val="24"/>
          <w:szCs w:val="24"/>
        </w:rPr>
      </w:pPr>
    </w:p>
    <w:p w14:paraId="2B647073" w14:textId="77777777" w:rsidR="00863DF5" w:rsidRPr="006F3B00" w:rsidRDefault="00863DF5" w:rsidP="00863DF5">
      <w:pPr>
        <w:rPr>
          <w:rFonts w:ascii="Times New Roman" w:hAnsi="Times New Roman" w:cs="Times New Roman"/>
          <w:sz w:val="24"/>
          <w:szCs w:val="24"/>
        </w:rPr>
      </w:pPr>
    </w:p>
    <w:p w14:paraId="473ABD73" w14:textId="77777777" w:rsidR="00B65B60" w:rsidRPr="006F3B00" w:rsidRDefault="00B65B60" w:rsidP="00863DF5">
      <w:pPr>
        <w:rPr>
          <w:rFonts w:ascii="Times New Roman" w:hAnsi="Times New Roman" w:cs="Times New Roman"/>
          <w:sz w:val="24"/>
          <w:szCs w:val="24"/>
        </w:rPr>
      </w:pPr>
    </w:p>
    <w:p w14:paraId="3382BE2B" w14:textId="77777777" w:rsidR="00B65B60" w:rsidRPr="006F3B00" w:rsidRDefault="00B65B60" w:rsidP="00863DF5">
      <w:pPr>
        <w:rPr>
          <w:rFonts w:ascii="Times New Roman" w:hAnsi="Times New Roman" w:cs="Times New Roman"/>
          <w:sz w:val="24"/>
          <w:szCs w:val="24"/>
        </w:rPr>
      </w:pPr>
    </w:p>
    <w:p w14:paraId="39C645D9" w14:textId="77777777" w:rsidR="00B65B60" w:rsidRPr="006F3B00" w:rsidRDefault="00B65B60" w:rsidP="00863DF5">
      <w:pPr>
        <w:rPr>
          <w:rFonts w:ascii="Times New Roman" w:hAnsi="Times New Roman" w:cs="Times New Roman"/>
          <w:sz w:val="72"/>
          <w:szCs w:val="72"/>
        </w:rPr>
      </w:pPr>
    </w:p>
    <w:p w14:paraId="6484B8B3" w14:textId="6C9CA8A0" w:rsidR="00B40127" w:rsidRDefault="00B40127">
      <w:pPr>
        <w:rPr>
          <w:rFonts w:ascii="Times New Roman" w:eastAsiaTheme="majorEastAsia" w:hAnsi="Times New Roman" w:cs="Times New Roman"/>
          <w:b/>
          <w:sz w:val="72"/>
          <w:szCs w:val="72"/>
        </w:rPr>
      </w:pPr>
      <w:r>
        <w:rPr>
          <w:rFonts w:ascii="Times New Roman" w:hAnsi="Times New Roman" w:cs="Times New Roman"/>
          <w:b/>
          <w:sz w:val="72"/>
          <w:szCs w:val="72"/>
        </w:rPr>
        <w:br w:type="page"/>
      </w:r>
    </w:p>
    <w:p w14:paraId="25577540" w14:textId="77777777" w:rsidR="00DB3EF0" w:rsidRDefault="00DB3EF0" w:rsidP="00B65B60">
      <w:pPr>
        <w:pStyle w:val="Heading1"/>
        <w:jc w:val="center"/>
        <w:rPr>
          <w:rFonts w:ascii="Times New Roman" w:hAnsi="Times New Roman" w:cs="Times New Roman"/>
          <w:b/>
          <w:color w:val="auto"/>
          <w:sz w:val="72"/>
          <w:szCs w:val="72"/>
        </w:rPr>
        <w:sectPr w:rsidR="00DB3EF0" w:rsidSect="00602D3C">
          <w:footerReference w:type="default" r:id="rId8"/>
          <w:footerReference w:type="first" r:id="rId9"/>
          <w:pgSz w:w="11906" w:h="16838" w:code="9"/>
          <w:pgMar w:top="1440" w:right="1152" w:bottom="1440" w:left="2160" w:header="706" w:footer="706" w:gutter="0"/>
          <w:pgNumType w:fmt="lowerRoman" w:start="1"/>
          <w:cols w:space="708"/>
          <w:titlePg/>
          <w:docGrid w:linePitch="360"/>
        </w:sectPr>
      </w:pPr>
    </w:p>
    <w:p w14:paraId="50FDF0CB" w14:textId="5FDFBCB6" w:rsidR="00B40127" w:rsidRDefault="00B40127" w:rsidP="00B65B60">
      <w:pPr>
        <w:pStyle w:val="Heading1"/>
        <w:jc w:val="center"/>
        <w:rPr>
          <w:rFonts w:ascii="Times New Roman" w:hAnsi="Times New Roman" w:cs="Times New Roman"/>
          <w:b/>
          <w:color w:val="auto"/>
          <w:sz w:val="72"/>
          <w:szCs w:val="72"/>
        </w:rPr>
      </w:pPr>
    </w:p>
    <w:p w14:paraId="4EF1BD8C" w14:textId="77777777" w:rsidR="00B40127" w:rsidRDefault="00B40127" w:rsidP="00B65B60">
      <w:pPr>
        <w:pStyle w:val="Heading1"/>
        <w:jc w:val="center"/>
        <w:rPr>
          <w:rFonts w:ascii="Times New Roman" w:hAnsi="Times New Roman" w:cs="Times New Roman"/>
          <w:b/>
          <w:color w:val="auto"/>
          <w:sz w:val="72"/>
          <w:szCs w:val="72"/>
        </w:rPr>
      </w:pPr>
    </w:p>
    <w:p w14:paraId="48B0AC15" w14:textId="77777777" w:rsidR="00B40127" w:rsidRDefault="00B40127" w:rsidP="00B65B60">
      <w:pPr>
        <w:pStyle w:val="Heading1"/>
        <w:jc w:val="center"/>
        <w:rPr>
          <w:rFonts w:ascii="Times New Roman" w:hAnsi="Times New Roman" w:cs="Times New Roman"/>
          <w:b/>
          <w:color w:val="auto"/>
          <w:sz w:val="72"/>
          <w:szCs w:val="72"/>
        </w:rPr>
      </w:pPr>
    </w:p>
    <w:p w14:paraId="06726197" w14:textId="79C9AAF7" w:rsidR="00B65B60" w:rsidRPr="006F3B00" w:rsidRDefault="00B65B60" w:rsidP="00B65B60">
      <w:pPr>
        <w:pStyle w:val="Heading1"/>
        <w:jc w:val="center"/>
        <w:rPr>
          <w:rFonts w:ascii="Times New Roman" w:hAnsi="Times New Roman" w:cs="Times New Roman"/>
          <w:b/>
          <w:color w:val="auto"/>
          <w:sz w:val="72"/>
          <w:szCs w:val="72"/>
        </w:rPr>
      </w:pPr>
      <w:bookmarkStart w:id="0" w:name="_Toc23243729"/>
      <w:r w:rsidRPr="006F3B00">
        <w:rPr>
          <w:rFonts w:ascii="Times New Roman" w:hAnsi="Times New Roman" w:cs="Times New Roman"/>
          <w:b/>
          <w:color w:val="auto"/>
          <w:sz w:val="72"/>
          <w:szCs w:val="72"/>
        </w:rPr>
        <w:t>Chapter 1</w:t>
      </w:r>
      <w:bookmarkEnd w:id="0"/>
    </w:p>
    <w:p w14:paraId="6D168378" w14:textId="77777777" w:rsidR="00B65B60" w:rsidRPr="006F3B00" w:rsidRDefault="00B65B60" w:rsidP="00B65B60">
      <w:pPr>
        <w:pStyle w:val="Heading1"/>
        <w:jc w:val="center"/>
        <w:rPr>
          <w:rFonts w:ascii="Times New Roman" w:hAnsi="Times New Roman" w:cs="Times New Roman"/>
          <w:b/>
          <w:color w:val="auto"/>
          <w:sz w:val="72"/>
          <w:szCs w:val="72"/>
        </w:rPr>
      </w:pPr>
      <w:r w:rsidRPr="006F3B00">
        <w:rPr>
          <w:rFonts w:ascii="Times New Roman" w:hAnsi="Times New Roman" w:cs="Times New Roman"/>
          <w:b/>
          <w:color w:val="auto"/>
          <w:sz w:val="72"/>
          <w:szCs w:val="72"/>
        </w:rPr>
        <w:t xml:space="preserve"> </w:t>
      </w:r>
      <w:bookmarkStart w:id="1" w:name="_Toc23243730"/>
      <w:r w:rsidRPr="006F3B00">
        <w:rPr>
          <w:rFonts w:ascii="Times New Roman" w:hAnsi="Times New Roman" w:cs="Times New Roman"/>
          <w:b/>
          <w:color w:val="auto"/>
          <w:sz w:val="72"/>
          <w:szCs w:val="72"/>
        </w:rPr>
        <w:t>Literature review</w:t>
      </w:r>
      <w:bookmarkEnd w:id="1"/>
    </w:p>
    <w:p w14:paraId="13BE737B" w14:textId="77777777" w:rsidR="00B65B60" w:rsidRPr="006F3B00" w:rsidRDefault="00B65B60" w:rsidP="00863DF5">
      <w:pPr>
        <w:rPr>
          <w:rFonts w:ascii="Times New Roman" w:hAnsi="Times New Roman" w:cs="Times New Roman"/>
          <w:sz w:val="24"/>
          <w:szCs w:val="24"/>
        </w:rPr>
      </w:pPr>
    </w:p>
    <w:p w14:paraId="0C60E3EB" w14:textId="77777777" w:rsidR="00B65B60" w:rsidRPr="006F3B00" w:rsidRDefault="00B65B60" w:rsidP="00863DF5">
      <w:pPr>
        <w:rPr>
          <w:rFonts w:ascii="Times New Roman" w:hAnsi="Times New Roman" w:cs="Times New Roman"/>
          <w:sz w:val="24"/>
          <w:szCs w:val="24"/>
        </w:rPr>
      </w:pPr>
    </w:p>
    <w:p w14:paraId="7C14649E" w14:textId="77777777" w:rsidR="00B65B60" w:rsidRPr="006F3B00" w:rsidRDefault="00B65B60" w:rsidP="00863DF5">
      <w:pPr>
        <w:rPr>
          <w:rFonts w:ascii="Times New Roman" w:hAnsi="Times New Roman" w:cs="Times New Roman"/>
          <w:sz w:val="24"/>
          <w:szCs w:val="24"/>
        </w:rPr>
      </w:pPr>
    </w:p>
    <w:p w14:paraId="3564EEB8" w14:textId="77777777" w:rsidR="00B65B60" w:rsidRPr="006F3B00" w:rsidRDefault="00B65B60" w:rsidP="00863DF5">
      <w:pPr>
        <w:rPr>
          <w:rFonts w:ascii="Times New Roman" w:hAnsi="Times New Roman" w:cs="Times New Roman"/>
          <w:sz w:val="24"/>
          <w:szCs w:val="24"/>
        </w:rPr>
      </w:pPr>
    </w:p>
    <w:p w14:paraId="7C26E347" w14:textId="77777777" w:rsidR="00B65B60" w:rsidRPr="006F3B00" w:rsidRDefault="00B65B60" w:rsidP="00863DF5">
      <w:pPr>
        <w:rPr>
          <w:rFonts w:ascii="Times New Roman" w:hAnsi="Times New Roman" w:cs="Times New Roman"/>
          <w:sz w:val="24"/>
          <w:szCs w:val="24"/>
        </w:rPr>
      </w:pPr>
    </w:p>
    <w:p w14:paraId="7AEA2435" w14:textId="1DB847ED" w:rsidR="00B65B60" w:rsidRDefault="00B65B60" w:rsidP="00863DF5">
      <w:pPr>
        <w:rPr>
          <w:rFonts w:ascii="Times New Roman" w:hAnsi="Times New Roman" w:cs="Times New Roman"/>
          <w:sz w:val="24"/>
          <w:szCs w:val="24"/>
        </w:rPr>
      </w:pPr>
    </w:p>
    <w:p w14:paraId="41ABFFEA" w14:textId="19937F67" w:rsidR="00B40127" w:rsidRDefault="00B40127" w:rsidP="00863DF5">
      <w:pPr>
        <w:rPr>
          <w:rFonts w:ascii="Times New Roman" w:hAnsi="Times New Roman" w:cs="Times New Roman"/>
          <w:sz w:val="24"/>
          <w:szCs w:val="24"/>
        </w:rPr>
      </w:pPr>
    </w:p>
    <w:p w14:paraId="4A8B47FE" w14:textId="05EA6DBC" w:rsidR="00B40127" w:rsidRDefault="00B40127" w:rsidP="00863DF5">
      <w:pPr>
        <w:rPr>
          <w:rFonts w:ascii="Times New Roman" w:hAnsi="Times New Roman" w:cs="Times New Roman"/>
          <w:sz w:val="24"/>
          <w:szCs w:val="24"/>
        </w:rPr>
      </w:pPr>
    </w:p>
    <w:p w14:paraId="0D808A9C" w14:textId="235572AE" w:rsidR="00B40127" w:rsidRDefault="00B40127" w:rsidP="00863DF5">
      <w:pPr>
        <w:rPr>
          <w:rFonts w:ascii="Times New Roman" w:hAnsi="Times New Roman" w:cs="Times New Roman"/>
          <w:sz w:val="24"/>
          <w:szCs w:val="24"/>
        </w:rPr>
      </w:pPr>
    </w:p>
    <w:p w14:paraId="201D2FA4" w14:textId="5C9BBA80" w:rsidR="00B40127" w:rsidRDefault="00B40127" w:rsidP="00863DF5">
      <w:pPr>
        <w:rPr>
          <w:rFonts w:ascii="Times New Roman" w:hAnsi="Times New Roman" w:cs="Times New Roman"/>
          <w:sz w:val="24"/>
          <w:szCs w:val="24"/>
        </w:rPr>
      </w:pPr>
    </w:p>
    <w:p w14:paraId="5D4EA2F4" w14:textId="5BD601C7" w:rsidR="00B40127" w:rsidRDefault="00B40127" w:rsidP="00863DF5">
      <w:pPr>
        <w:rPr>
          <w:rFonts w:ascii="Times New Roman" w:hAnsi="Times New Roman" w:cs="Times New Roman"/>
          <w:sz w:val="24"/>
          <w:szCs w:val="24"/>
        </w:rPr>
      </w:pPr>
    </w:p>
    <w:p w14:paraId="3C0F265B" w14:textId="547242A6" w:rsidR="00B40127" w:rsidRDefault="00B40127" w:rsidP="00863DF5">
      <w:pPr>
        <w:rPr>
          <w:rFonts w:ascii="Times New Roman" w:hAnsi="Times New Roman" w:cs="Times New Roman"/>
          <w:sz w:val="24"/>
          <w:szCs w:val="24"/>
        </w:rPr>
      </w:pPr>
    </w:p>
    <w:p w14:paraId="3E73BB6A" w14:textId="5ABB15FE" w:rsidR="00B40127" w:rsidRDefault="00B40127" w:rsidP="00863DF5">
      <w:pPr>
        <w:rPr>
          <w:rFonts w:ascii="Times New Roman" w:hAnsi="Times New Roman" w:cs="Times New Roman"/>
          <w:sz w:val="24"/>
          <w:szCs w:val="24"/>
        </w:rPr>
      </w:pPr>
    </w:p>
    <w:p w14:paraId="56479DD8" w14:textId="3C17C911" w:rsidR="00B40127" w:rsidRDefault="00B40127" w:rsidP="00863DF5">
      <w:pPr>
        <w:rPr>
          <w:rFonts w:ascii="Times New Roman" w:hAnsi="Times New Roman" w:cs="Times New Roman"/>
          <w:sz w:val="24"/>
          <w:szCs w:val="24"/>
        </w:rPr>
      </w:pPr>
    </w:p>
    <w:p w14:paraId="77895E46" w14:textId="5B15370F" w:rsidR="00B40127" w:rsidRDefault="00B40127" w:rsidP="00863DF5">
      <w:pPr>
        <w:rPr>
          <w:rFonts w:ascii="Times New Roman" w:hAnsi="Times New Roman" w:cs="Times New Roman"/>
          <w:sz w:val="24"/>
          <w:szCs w:val="24"/>
        </w:rPr>
      </w:pPr>
    </w:p>
    <w:p w14:paraId="57EE11D1" w14:textId="7802C637" w:rsidR="00B40127" w:rsidRDefault="00B40127" w:rsidP="00863DF5">
      <w:pPr>
        <w:rPr>
          <w:rFonts w:ascii="Times New Roman" w:hAnsi="Times New Roman" w:cs="Times New Roman"/>
          <w:sz w:val="24"/>
          <w:szCs w:val="24"/>
        </w:rPr>
      </w:pPr>
    </w:p>
    <w:p w14:paraId="1D7B2B70" w14:textId="77777777" w:rsidR="00B40127" w:rsidRPr="006F3B00" w:rsidRDefault="00B40127" w:rsidP="00863DF5">
      <w:pPr>
        <w:rPr>
          <w:rFonts w:ascii="Times New Roman" w:hAnsi="Times New Roman" w:cs="Times New Roman"/>
          <w:sz w:val="24"/>
          <w:szCs w:val="24"/>
        </w:rPr>
      </w:pPr>
    </w:p>
    <w:p w14:paraId="7AE89A0B" w14:textId="77777777" w:rsidR="00F12CB7" w:rsidRDefault="00F12CB7" w:rsidP="00F12CB7">
      <w:pPr>
        <w:rPr>
          <w:rFonts w:ascii="Times New Roman" w:hAnsi="Times New Roman" w:cs="Times New Roman"/>
          <w:sz w:val="24"/>
          <w:szCs w:val="24"/>
        </w:rPr>
      </w:pPr>
    </w:p>
    <w:p w14:paraId="3CDA9595" w14:textId="4F2FE171" w:rsidR="00863DF5" w:rsidRPr="006F3B00" w:rsidRDefault="002F1F09" w:rsidP="00F12CB7">
      <w:pPr>
        <w:jc w:val="center"/>
        <w:rPr>
          <w:rFonts w:ascii="Times New Roman" w:hAnsi="Times New Roman" w:cs="Times New Roman"/>
          <w:b/>
          <w:sz w:val="24"/>
          <w:szCs w:val="24"/>
          <w:u w:val="single"/>
        </w:rPr>
      </w:pPr>
      <w:r w:rsidRPr="006F3B00">
        <w:rPr>
          <w:rFonts w:ascii="Times New Roman" w:hAnsi="Times New Roman" w:cs="Times New Roman"/>
          <w:b/>
          <w:sz w:val="24"/>
          <w:szCs w:val="24"/>
          <w:u w:val="single"/>
        </w:rPr>
        <w:lastRenderedPageBreak/>
        <w:t xml:space="preserve">Chapter 1: </w:t>
      </w:r>
      <w:r w:rsidR="00863DF5" w:rsidRPr="006F3B00">
        <w:rPr>
          <w:rFonts w:ascii="Times New Roman" w:hAnsi="Times New Roman" w:cs="Times New Roman"/>
          <w:b/>
          <w:sz w:val="24"/>
          <w:szCs w:val="24"/>
          <w:u w:val="single"/>
        </w:rPr>
        <w:t>Literature review</w:t>
      </w:r>
    </w:p>
    <w:p w14:paraId="7EF60CA8" w14:textId="014936AD" w:rsidR="006A43B1" w:rsidRPr="007F4BD3" w:rsidRDefault="00AB7286" w:rsidP="00FF5302">
      <w:pPr>
        <w:pStyle w:val="Heading1"/>
        <w:spacing w:line="480" w:lineRule="auto"/>
        <w:rPr>
          <w:rFonts w:ascii="Times New Roman" w:hAnsi="Times New Roman" w:cs="Times New Roman"/>
          <w:b/>
          <w:color w:val="auto"/>
          <w:sz w:val="24"/>
          <w:szCs w:val="24"/>
        </w:rPr>
      </w:pPr>
      <w:bookmarkStart w:id="2" w:name="_Toc23243731"/>
      <w:r>
        <w:rPr>
          <w:rFonts w:ascii="Times New Roman" w:hAnsi="Times New Roman" w:cs="Times New Roman"/>
          <w:b/>
          <w:color w:val="auto"/>
          <w:sz w:val="24"/>
          <w:szCs w:val="24"/>
        </w:rPr>
        <w:t>1.1</w:t>
      </w:r>
      <w:r w:rsidR="007F4BD3" w:rsidRPr="007F4BD3">
        <w:rPr>
          <w:rFonts w:ascii="Times New Roman" w:hAnsi="Times New Roman" w:cs="Times New Roman"/>
          <w:b/>
          <w:color w:val="auto"/>
          <w:sz w:val="24"/>
          <w:szCs w:val="24"/>
        </w:rPr>
        <w:t xml:space="preserve"> Assessment</w:t>
      </w:r>
      <w:bookmarkEnd w:id="2"/>
    </w:p>
    <w:p w14:paraId="7D5DF83A" w14:textId="0E143756" w:rsidR="00863DF5" w:rsidRPr="006F3B00" w:rsidRDefault="00863DF5" w:rsidP="00FF5302">
      <w:pPr>
        <w:pStyle w:val="Heading2"/>
        <w:spacing w:line="480" w:lineRule="auto"/>
        <w:rPr>
          <w:rFonts w:ascii="Times New Roman" w:hAnsi="Times New Roman" w:cs="Times New Roman"/>
          <w:color w:val="auto"/>
          <w:sz w:val="24"/>
          <w:szCs w:val="24"/>
        </w:rPr>
      </w:pPr>
      <w:bookmarkStart w:id="3" w:name="_Toc23243732"/>
      <w:r w:rsidRPr="006F3B00">
        <w:rPr>
          <w:rFonts w:ascii="Times New Roman" w:hAnsi="Times New Roman" w:cs="Times New Roman"/>
          <w:color w:val="auto"/>
          <w:sz w:val="24"/>
          <w:szCs w:val="24"/>
        </w:rPr>
        <w:t>1.1</w:t>
      </w:r>
      <w:r w:rsidR="007F4BD3">
        <w:rPr>
          <w:rFonts w:ascii="Times New Roman" w:hAnsi="Times New Roman" w:cs="Times New Roman"/>
          <w:color w:val="auto"/>
          <w:sz w:val="24"/>
          <w:szCs w:val="24"/>
        </w:rPr>
        <w:t>.1</w:t>
      </w:r>
      <w:r w:rsidRPr="006F3B00">
        <w:rPr>
          <w:rFonts w:ascii="Times New Roman" w:hAnsi="Times New Roman" w:cs="Times New Roman"/>
          <w:color w:val="auto"/>
          <w:sz w:val="24"/>
          <w:szCs w:val="24"/>
        </w:rPr>
        <w:t xml:space="preserve"> Introduction</w:t>
      </w:r>
      <w:bookmarkEnd w:id="3"/>
    </w:p>
    <w:p w14:paraId="1908C66E" w14:textId="77777777" w:rsidR="00863DF5" w:rsidRPr="006F3B00" w:rsidRDefault="00863DF5" w:rsidP="00863DF5">
      <w:pPr>
        <w:rPr>
          <w:rFonts w:ascii="Times New Roman" w:hAnsi="Times New Roman" w:cs="Times New Roman"/>
          <w:sz w:val="24"/>
          <w:szCs w:val="24"/>
          <w:u w:val="single"/>
        </w:rPr>
      </w:pPr>
    </w:p>
    <w:p w14:paraId="26D716F2" w14:textId="45FE9825" w:rsidR="00863DF5" w:rsidRDefault="00863DF5" w:rsidP="00FF5302">
      <w:pPr>
        <w:autoSpaceDE w:val="0"/>
        <w:autoSpaceDN w:val="0"/>
        <w:adjustRightInd w:val="0"/>
        <w:spacing w:after="0" w:line="480" w:lineRule="auto"/>
        <w:rPr>
          <w:rFonts w:ascii="Times New Roman" w:hAnsi="Times New Roman" w:cs="Times New Roman"/>
          <w:color w:val="000000"/>
          <w:sz w:val="24"/>
          <w:szCs w:val="24"/>
        </w:rPr>
      </w:pPr>
      <w:r w:rsidRPr="006F3B00">
        <w:rPr>
          <w:rFonts w:ascii="Times New Roman" w:hAnsi="Times New Roman" w:cs="Times New Roman"/>
          <w:sz w:val="24"/>
          <w:szCs w:val="24"/>
        </w:rPr>
        <w:t xml:space="preserve">Assessment can take many forms and be used for varying purposes. It has been defined as </w:t>
      </w:r>
      <w:r w:rsidRPr="006F3B00">
        <w:rPr>
          <w:rFonts w:ascii="Times New Roman" w:hAnsi="Times New Roman" w:cs="Times New Roman"/>
          <w:color w:val="000000"/>
          <w:sz w:val="24"/>
          <w:szCs w:val="24"/>
        </w:rPr>
        <w:t>“</w:t>
      </w:r>
      <w:r w:rsidRPr="006F3B00">
        <w:rPr>
          <w:rFonts w:ascii="Times New Roman" w:hAnsi="Times New Roman" w:cs="Times New Roman"/>
          <w:i/>
          <w:iCs/>
          <w:color w:val="000000"/>
          <w:sz w:val="24"/>
          <w:szCs w:val="24"/>
        </w:rPr>
        <w:t>any systematic method of obtaining information from tests and other sources used to draw inferences about characteristics of people objects or programmes”</w:t>
      </w:r>
      <w:r w:rsidRPr="006F3B00">
        <w:rPr>
          <w:rFonts w:ascii="Times New Roman" w:hAnsi="Times New Roman" w:cs="Times New Roman"/>
          <w:i/>
          <w:iCs/>
          <w:color w:val="000000"/>
          <w:sz w:val="24"/>
          <w:szCs w:val="24"/>
        </w:rPr>
        <w:fldChar w:fldCharType="begin" w:fldLock="1"/>
      </w:r>
      <w:r w:rsidR="00BE3B6C">
        <w:rPr>
          <w:rFonts w:ascii="Times New Roman" w:hAnsi="Times New Roman" w:cs="Times New Roman"/>
          <w:i/>
          <w:iCs/>
          <w:color w:val="000000"/>
          <w:sz w:val="24"/>
          <w:szCs w:val="24"/>
        </w:rPr>
        <w:instrText>ADDIN CSL_CITATION {"citationItems":[{"id":"ITEM-1","itemData":{"ISBN":"0912704950","abstract":"(from the introduction) In the \"Standards\" three broad categories of test instruments are covered: constructed performance tasks, questionnaires, and to a lesser extent, structured behavior samples. Each chapter begins with introductory text that provides background for the standards that follow. This text is meant to assist in the interpretation of the standards, not to impose additional standards. Although all four parts (of the book) deal with technical issues, each also addresses how technical issues, professional practice, and professional ethics interface.","author":[{"dropping-particle":"","family":"National Council On Measurement In Education","given":"","non-dropping-particle":"","parse-names":false,"suffix":""}],"container-title":"Washington DC American Psychological Association American Educational Research Association National Council on Measurement in Education","id":"ITEM-1","issued":{"date-parts":[["1999"]]},"number-of-pages":"100","title":"Standards for educational and psychological testing","type":"book"},"uris":["http://www.mendeley.com/documents/?uuid=d3ef93a3-e714-4c0c-abf7-e1a566889b57"]}],"mendeley":{"formattedCitation":"(National Council On Measurement In Education, 1999)","plainTextFormattedCitation":"(National Council On Measurement In Education, 1999)","previouslyFormattedCitation":"(National Council On Measurement In Education 1999)"},"properties":{"noteIndex":0},"schema":"https://github.com/citation-style-language/schema/raw/master/csl-citation.json"}</w:instrText>
      </w:r>
      <w:r w:rsidRPr="006F3B00">
        <w:rPr>
          <w:rFonts w:ascii="Times New Roman" w:hAnsi="Times New Roman" w:cs="Times New Roman"/>
          <w:i/>
          <w:iCs/>
          <w:color w:val="000000"/>
          <w:sz w:val="24"/>
          <w:szCs w:val="24"/>
        </w:rPr>
        <w:fldChar w:fldCharType="separate"/>
      </w:r>
      <w:r w:rsidR="00BE3B6C" w:rsidRPr="00BE3B6C">
        <w:rPr>
          <w:rFonts w:ascii="Times New Roman" w:hAnsi="Times New Roman" w:cs="Times New Roman"/>
          <w:iCs/>
          <w:noProof/>
          <w:color w:val="000000"/>
          <w:sz w:val="24"/>
          <w:szCs w:val="24"/>
        </w:rPr>
        <w:t>(National Counc</w:t>
      </w:r>
      <w:r w:rsidR="006E282B">
        <w:rPr>
          <w:rFonts w:ascii="Times New Roman" w:hAnsi="Times New Roman" w:cs="Times New Roman"/>
          <w:iCs/>
          <w:noProof/>
          <w:color w:val="000000"/>
          <w:sz w:val="24"/>
          <w:szCs w:val="24"/>
        </w:rPr>
        <w:t xml:space="preserve">il On Measurement In Education </w:t>
      </w:r>
      <w:r w:rsidR="00BE3B6C" w:rsidRPr="00BE3B6C">
        <w:rPr>
          <w:rFonts w:ascii="Times New Roman" w:hAnsi="Times New Roman" w:cs="Times New Roman"/>
          <w:iCs/>
          <w:noProof/>
          <w:color w:val="000000"/>
          <w:sz w:val="24"/>
          <w:szCs w:val="24"/>
        </w:rPr>
        <w:t>1999</w:t>
      </w:r>
      <w:r w:rsidR="006E282B">
        <w:rPr>
          <w:rFonts w:ascii="Times New Roman" w:hAnsi="Times New Roman" w:cs="Times New Roman"/>
          <w:iCs/>
          <w:noProof/>
          <w:color w:val="000000"/>
          <w:sz w:val="24"/>
          <w:szCs w:val="24"/>
        </w:rPr>
        <w:t>, p.72</w:t>
      </w:r>
      <w:r w:rsidR="00BE3B6C" w:rsidRPr="00BE3B6C">
        <w:rPr>
          <w:rFonts w:ascii="Times New Roman" w:hAnsi="Times New Roman" w:cs="Times New Roman"/>
          <w:iCs/>
          <w:noProof/>
          <w:color w:val="000000"/>
          <w:sz w:val="24"/>
          <w:szCs w:val="24"/>
        </w:rPr>
        <w:t>)</w:t>
      </w:r>
      <w:r w:rsidRPr="006F3B00">
        <w:rPr>
          <w:rFonts w:ascii="Times New Roman" w:hAnsi="Times New Roman" w:cs="Times New Roman"/>
          <w:i/>
          <w:iCs/>
          <w:color w:val="000000"/>
          <w:sz w:val="24"/>
          <w:szCs w:val="24"/>
        </w:rPr>
        <w:fldChar w:fldCharType="end"/>
      </w:r>
      <w:r w:rsidRPr="006F3B00">
        <w:rPr>
          <w:rFonts w:ascii="Times New Roman" w:hAnsi="Times New Roman" w:cs="Times New Roman"/>
          <w:i/>
          <w:iCs/>
          <w:color w:val="000000"/>
          <w:sz w:val="24"/>
          <w:szCs w:val="24"/>
        </w:rPr>
        <w:t xml:space="preserve"> or </w:t>
      </w:r>
      <w:r w:rsidRPr="006F3B00">
        <w:rPr>
          <w:rFonts w:ascii="Times New Roman" w:hAnsi="Times New Roman" w:cs="Times New Roman"/>
          <w:color w:val="000000"/>
          <w:sz w:val="24"/>
          <w:szCs w:val="24"/>
        </w:rPr>
        <w:t>“</w:t>
      </w:r>
      <w:r w:rsidRPr="006F3B00">
        <w:rPr>
          <w:rFonts w:ascii="Times New Roman" w:hAnsi="Times New Roman" w:cs="Times New Roman"/>
          <w:i/>
          <w:iCs/>
          <w:color w:val="000000"/>
          <w:sz w:val="24"/>
          <w:szCs w:val="24"/>
        </w:rPr>
        <w:t>any purported and formal action to obtain information about the competence and performance of a candidate</w:t>
      </w:r>
      <w:r w:rsidRPr="006F3B00">
        <w:rPr>
          <w:rFonts w:ascii="Times New Roman" w:hAnsi="Times New Roman" w:cs="Times New Roman"/>
          <w:color w:val="000000"/>
          <w:sz w:val="24"/>
          <w:szCs w:val="24"/>
        </w:rPr>
        <w:t xml:space="preserve">” </w:t>
      </w:r>
      <w:r w:rsidRPr="006F3B00">
        <w:rPr>
          <w:rFonts w:ascii="Times New Roman" w:hAnsi="Times New Roman" w:cs="Times New Roman"/>
          <w:color w:val="000000"/>
          <w:sz w:val="24"/>
          <w:szCs w:val="24"/>
        </w:rPr>
        <w:fldChar w:fldCharType="begin" w:fldLock="1"/>
      </w:r>
      <w:r w:rsidR="00BE3B6C">
        <w:rPr>
          <w:rFonts w:ascii="Times New Roman" w:hAnsi="Times New Roman" w:cs="Times New Roman"/>
          <w:color w:val="000000"/>
          <w:sz w:val="24"/>
          <w:szCs w:val="24"/>
        </w:rPr>
        <w:instrText>ADDIN CSL_CITATION {"citationItems":[{"id":"ITEM-1","itemData":{"author":[{"dropping-particle":"","family":"Schuwirth LW","given":"van der Vleuten CP.","non-dropping-particle":"","parse-names":false,"suffix":""}],"container-title":"Understanding Medical Education","editor":[{"dropping-particle":"","family":"T","given":"Swanwick","non-dropping-particle":"","parse-names":false,"suffix":""}],"id":"ITEM-1","issued":{"date-parts":[["2013"]]},"page":"241-54","publisher":"John Wiley &amp; Sons, Ltd","publisher-place":"Oxford, UK","title":"How to Design a Useful Test: The Principles of Assessment","type":"chapter"},"uris":["http://www.mendeley.com/documents/?uuid=3da3ae22-1a22-49ce-8c0f-b025384b90b8"]}],"mendeley":{"formattedCitation":"(Schuwirth LW, 2013)","plainTextFormattedCitation":"(Schuwirth LW, 2013)","previouslyFormattedCitation":"(Schuwirth LW 2013)"},"properties":{"noteIndex":0},"schema":"https://github.com/citation-style-language/schema/raw/master/csl-citation.json"}</w:instrText>
      </w:r>
      <w:r w:rsidRPr="006F3B00">
        <w:rPr>
          <w:rFonts w:ascii="Times New Roman" w:hAnsi="Times New Roman" w:cs="Times New Roman"/>
          <w:color w:val="000000"/>
          <w:sz w:val="24"/>
          <w:szCs w:val="24"/>
        </w:rPr>
        <w:fldChar w:fldCharType="separate"/>
      </w:r>
      <w:r w:rsidR="007B031A">
        <w:rPr>
          <w:rFonts w:ascii="Times New Roman" w:hAnsi="Times New Roman" w:cs="Times New Roman"/>
          <w:noProof/>
          <w:color w:val="000000"/>
          <w:sz w:val="24"/>
          <w:szCs w:val="24"/>
        </w:rPr>
        <w:t>(Schuwirth and v</w:t>
      </w:r>
      <w:r w:rsidR="00A576F7">
        <w:rPr>
          <w:rFonts w:ascii="Times New Roman" w:hAnsi="Times New Roman" w:cs="Times New Roman"/>
          <w:noProof/>
          <w:color w:val="000000"/>
          <w:sz w:val="24"/>
          <w:szCs w:val="24"/>
        </w:rPr>
        <w:t>an der Vleuten</w:t>
      </w:r>
      <w:r w:rsidR="00BE3B6C" w:rsidRPr="00BE3B6C">
        <w:rPr>
          <w:rFonts w:ascii="Times New Roman" w:hAnsi="Times New Roman" w:cs="Times New Roman"/>
          <w:noProof/>
          <w:color w:val="000000"/>
          <w:sz w:val="24"/>
          <w:szCs w:val="24"/>
        </w:rPr>
        <w:t xml:space="preserve"> 2013</w:t>
      </w:r>
      <w:r w:rsidR="00A576F7">
        <w:rPr>
          <w:rFonts w:ascii="Times New Roman" w:hAnsi="Times New Roman" w:cs="Times New Roman"/>
          <w:noProof/>
          <w:color w:val="000000"/>
          <w:sz w:val="24"/>
          <w:szCs w:val="24"/>
        </w:rPr>
        <w:t>, p.277</w:t>
      </w:r>
      <w:r w:rsidR="00BE3B6C" w:rsidRPr="00BE3B6C">
        <w:rPr>
          <w:rFonts w:ascii="Times New Roman" w:hAnsi="Times New Roman" w:cs="Times New Roman"/>
          <w:noProof/>
          <w:color w:val="000000"/>
          <w:sz w:val="24"/>
          <w:szCs w:val="24"/>
        </w:rPr>
        <w:t>)</w:t>
      </w:r>
      <w:r w:rsidRPr="006F3B00">
        <w:rPr>
          <w:rFonts w:ascii="Times New Roman" w:hAnsi="Times New Roman" w:cs="Times New Roman"/>
          <w:color w:val="000000"/>
          <w:sz w:val="24"/>
          <w:szCs w:val="24"/>
        </w:rPr>
        <w:fldChar w:fldCharType="end"/>
      </w:r>
      <w:r w:rsidRPr="006F3B00">
        <w:rPr>
          <w:rFonts w:ascii="Times New Roman" w:hAnsi="Times New Roman" w:cs="Times New Roman"/>
          <w:color w:val="000000"/>
          <w:sz w:val="24"/>
          <w:szCs w:val="24"/>
        </w:rPr>
        <w:t>. Put simply, assessment involves collecting key information via the means of a relevant method to form a judgement of an individual, o</w:t>
      </w:r>
      <w:r w:rsidR="00FF5302">
        <w:rPr>
          <w:rFonts w:ascii="Times New Roman" w:hAnsi="Times New Roman" w:cs="Times New Roman"/>
          <w:color w:val="000000"/>
          <w:sz w:val="24"/>
          <w:szCs w:val="24"/>
        </w:rPr>
        <w:t>bject or programme.</w:t>
      </w:r>
    </w:p>
    <w:p w14:paraId="675D5AF2" w14:textId="77777777" w:rsidR="00FF5302" w:rsidRPr="00FF5302" w:rsidRDefault="00FF5302" w:rsidP="00FF5302">
      <w:pPr>
        <w:autoSpaceDE w:val="0"/>
        <w:autoSpaceDN w:val="0"/>
        <w:adjustRightInd w:val="0"/>
        <w:spacing w:after="0" w:line="480" w:lineRule="auto"/>
        <w:rPr>
          <w:rFonts w:ascii="Times New Roman" w:hAnsi="Times New Roman" w:cs="Times New Roman"/>
          <w:color w:val="000000"/>
          <w:sz w:val="24"/>
          <w:szCs w:val="24"/>
        </w:rPr>
      </w:pPr>
    </w:p>
    <w:p w14:paraId="78906DC0" w14:textId="40699580" w:rsidR="00863DF5"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 xml:space="preserve">Assessment in medical education may be required for many reasons but </w:t>
      </w:r>
      <w:r w:rsidR="0062263B">
        <w:rPr>
          <w:rFonts w:ascii="Times New Roman" w:hAnsi="Times New Roman" w:cs="Times New Roman"/>
        </w:rPr>
        <w:t>it</w:t>
      </w:r>
      <w:r w:rsidRPr="006F3B00">
        <w:rPr>
          <w:rFonts w:ascii="Times New Roman" w:hAnsi="Times New Roman" w:cs="Times New Roman"/>
        </w:rPr>
        <w:t xml:space="preserve"> might </w:t>
      </w:r>
      <w:r w:rsidR="0062263B">
        <w:rPr>
          <w:rFonts w:ascii="Times New Roman" w:hAnsi="Times New Roman" w:cs="Times New Roman"/>
        </w:rPr>
        <w:t xml:space="preserve">be </w:t>
      </w:r>
      <w:r w:rsidRPr="006F3B00">
        <w:rPr>
          <w:rFonts w:ascii="Times New Roman" w:hAnsi="Times New Roman" w:cs="Times New Roman"/>
        </w:rPr>
        <w:t>argue</w:t>
      </w:r>
      <w:r w:rsidR="0062263B">
        <w:rPr>
          <w:rFonts w:ascii="Times New Roman" w:hAnsi="Times New Roman" w:cs="Times New Roman"/>
        </w:rPr>
        <w:t>d</w:t>
      </w:r>
      <w:r w:rsidRPr="006F3B00">
        <w:rPr>
          <w:rFonts w:ascii="Times New Roman" w:hAnsi="Times New Roman" w:cs="Times New Roman"/>
        </w:rPr>
        <w:t xml:space="preserve"> that its main purpose in healthcare is to ensure medical professionals are safe to practice and have the relevant knowledge, skills and attitudes to work </w:t>
      </w:r>
      <w:r w:rsidR="00FF5302">
        <w:rPr>
          <w:rFonts w:ascii="Times New Roman" w:hAnsi="Times New Roman" w:cs="Times New Roman"/>
        </w:rPr>
        <w:t xml:space="preserve">effectively in the real-world. </w:t>
      </w:r>
    </w:p>
    <w:p w14:paraId="2D991BA1" w14:textId="77777777" w:rsidR="00FF5302" w:rsidRPr="006F3B00" w:rsidRDefault="00FF5302" w:rsidP="00863DF5">
      <w:pPr>
        <w:pStyle w:val="Default"/>
        <w:spacing w:line="480" w:lineRule="auto"/>
        <w:rPr>
          <w:rFonts w:ascii="Times New Roman" w:hAnsi="Times New Roman" w:cs="Times New Roman"/>
        </w:rPr>
      </w:pPr>
    </w:p>
    <w:p w14:paraId="57CF66B5" w14:textId="79B07ED4"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lang w:val="en-CA"/>
        </w:rPr>
        <w:t xml:space="preserve">Undergraduate and post-graduate assessment in medical education measures the understanding of the curricula on which training is based. </w:t>
      </w:r>
      <w:r w:rsidRPr="006F3B00">
        <w:rPr>
          <w:rFonts w:ascii="Times New Roman" w:hAnsi="Times New Roman" w:cs="Times New Roman"/>
        </w:rPr>
        <w:t xml:space="preserve">Various stakeholders, including patients, the employer, the trainee and the professional regulatory bodies which oversee training, such as the General Medical Council </w:t>
      </w:r>
      <w:r w:rsidR="0062633C">
        <w:rPr>
          <w:rFonts w:ascii="Times New Roman" w:hAnsi="Times New Roman" w:cs="Times New Roman"/>
        </w:rPr>
        <w:t xml:space="preserve">(GMC) </w:t>
      </w:r>
      <w:r w:rsidRPr="006F3B00">
        <w:rPr>
          <w:rFonts w:ascii="Times New Roman" w:hAnsi="Times New Roman" w:cs="Times New Roman"/>
        </w:rPr>
        <w:t xml:space="preserve">require that the competency of trainees is assessed.  There is also a general assumption, especially in professional organisations, that members of those professions must be assessed to maintain the credibility of the organisation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{"citationItems":[{"id":"ITEM-1","itemData":{"DOI":"10.1111/j.1365-2923.2011.04166.x","ISBN":"1365-2923 (Electronic)\\r0308-0110 (Linking)","ISSN":"03080110","PMID":"22150194","abstract":"CONTEXT: Historically, assessments have often measured the measurable rather than the important. Over the last 30 years, however, we have witnessed a gradual shift of focus in medical education. We now attempt to teach and assess what matters most. In addition, the component parts of a competence must be marshalled together and integrated to deal with real workplace problems. Workplace-based assessment (WBA) is complex, and has relied on a number of recently developed methods and instruments, of which some involve checklists and others use judgements made on rating scales. Given that judgements are subjective, how can we optimise their validity and reliability?\\n\\nMETHODS: This paper gleans psychometric data from a range of evaluations in order to highlight features of judgement-based assessments that are associated with better validity and reliability. It offers some issues for discussion and research around WBA. It refers to literature in a selective way. It does not purport to represent a systematic review, but it does attempt to offer some serious analyses of why some observations occur in studies of WBA and what we need to do about them.\\n\\nRESULTS AND DISCUSSION: Four general principles emerge: the response scale should be aligned to the reality map of the judges; judgements rather than objective observations should be sought; the assessment should focus on competencies that are central to the activity observed, and the assessors who are best-placed to judge performance should be asked to participate.","author":[{"dropping-particle":"","family":"Crossley","given":"Jim","non-dropping-particle":"","parse-names":false,"suffix":""},{"dropping-particle":"","family":"Jolly","given":"Brian","non-dropping-particle":"","parse-names":false,"suffix":""}],"container-title":"Medical Education","id":"ITEM-1","issue":"1","issued":{"date-parts":[["2012"]]},"page":"28-37","title":"Making sense of work-based assessment: Ask the right questions, in the right way, about the right things, of the right people","type":"article-journal","volume":"46"},"uris":["http://www.mendeley.com/documents/?uuid=05c7cc3c-c1dd-48b9-9fad-26e400877323"]}],"mendeley":{"formattedCitation":"(Crossley and Jolly, 2012)","plainTextFormattedCitation":"(Crossley and Jolly, 2012)","previouslyFormattedCitation":"(Crossley and Jolly 2012)"},"properties":{"noteIndex":0},"schema":"https://github.com/citation-style-language/schema/raw/master/csl-citation.json"}</w:instrText>
      </w:r>
      <w:r w:rsidRPr="006F3B00">
        <w:rPr>
          <w:rFonts w:ascii="Times New Roman" w:hAnsi="Times New Roman" w:cs="Times New Roman"/>
        </w:rPr>
        <w:fldChar w:fldCharType="separate"/>
      </w:r>
      <w:r w:rsidR="00A576F7">
        <w:rPr>
          <w:rFonts w:ascii="Times New Roman" w:hAnsi="Times New Roman" w:cs="Times New Roman"/>
          <w:noProof/>
        </w:rPr>
        <w:t xml:space="preserve">(Crossley and Jolly </w:t>
      </w:r>
      <w:r w:rsidR="00BE3B6C" w:rsidRPr="00BE3B6C">
        <w:rPr>
          <w:rFonts w:ascii="Times New Roman" w:hAnsi="Times New Roman" w:cs="Times New Roman"/>
          <w:noProof/>
        </w:rPr>
        <w:t>2012)</w:t>
      </w:r>
      <w:r w:rsidRPr="006F3B00">
        <w:rPr>
          <w:rFonts w:ascii="Times New Roman" w:hAnsi="Times New Roman" w:cs="Times New Roman"/>
        </w:rPr>
        <w:fldChar w:fldCharType="end"/>
      </w:r>
      <w:r w:rsidRPr="006F3B00">
        <w:rPr>
          <w:rFonts w:ascii="Times New Roman" w:hAnsi="Times New Roman" w:cs="Times New Roman"/>
        </w:rPr>
        <w:t xml:space="preserve">. </w:t>
      </w:r>
    </w:p>
    <w:p w14:paraId="4AA40B0A" w14:textId="77777777" w:rsidR="00863DF5" w:rsidRPr="006F3B00" w:rsidRDefault="00863DF5" w:rsidP="00863DF5">
      <w:pPr>
        <w:pStyle w:val="Default"/>
        <w:spacing w:line="480" w:lineRule="auto"/>
        <w:rPr>
          <w:rFonts w:ascii="Times New Roman" w:hAnsi="Times New Roman" w:cs="Times New Roman"/>
        </w:rPr>
      </w:pPr>
    </w:p>
    <w:p w14:paraId="12485DF2" w14:textId="30FD955C"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 xml:space="preserve">In broad terms, assessment serves many functions within education, including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{"citationItems":[{"id":"ITEM-1","itemData":{"DOI":"10.1111/j.1745-3984.1996.tb00498.x","ISSN":"00220655","abstract":"Educational test theory consists of statistical and methodological tools to support inference about examinees' knowledge, skills, and accomplishments. Its evolution has been shaped by the nature of users' inferences, which have been framed almost exclusively in terms of trait and behavioral psychology, and focused on students' tendency to act in prespecified ways in prespecified domains of tasks. Progress in the methodology of test theory enabled users to extend the range of inference and ground interpretations more solidly within these psychological paradigms. Developments in cognitive and developmental psychology have broadened the range of inferences we wish to make about students' learning to encompass conjectures about the nature and acquisition of their knowledge. The same underlying principles of inference that led to standard test theory can support inference in this broader universe of discourse. Familiar models and methods--sometimes extended, sometimes reinterpreted sometimes applied to problems wholly different from those for which they were first devised--can play a useful role to this end. CR - Copyright &amp;#169; 1996 National Council on Measurement in Education","author":[{"dropping-particle":"","family":"Mislevy","given":"Robert J","non-dropping-particle":"","parse-names":false,"suffix":""}],"container-title":"Journal of Educational Measurement","id":"ITEM-1","issue":"4","issued":{"date-parts":[["1996"]]},"page":"379-416","title":"Test Theory Reconceived","type":"article-journal","volume":"33"},"uris":["http://www.mendeley.com/documents/?uuid=b3dda138-e1d6-4c3b-8019-4bded27740fa"]}],"mendeley":{"formattedCitation":"(Mislevy, 1996)","plainTextFormattedCitation":"(Mislevy, 1996)","previouslyFormattedCitation":"(Mislevy 1996)"},"properties":{"noteIndex":0},"schema":"https://github.com/citation-style-language/schema/raw/master/csl-citation.json"}</w:instrText>
      </w:r>
      <w:r w:rsidRPr="006F3B00">
        <w:rPr>
          <w:rFonts w:ascii="Times New Roman" w:hAnsi="Times New Roman" w:cs="Times New Roman"/>
        </w:rPr>
        <w:fldChar w:fldCharType="separate"/>
      </w:r>
      <w:r w:rsidR="008C3867">
        <w:rPr>
          <w:rFonts w:ascii="Times New Roman" w:hAnsi="Times New Roman" w:cs="Times New Roman"/>
          <w:noProof/>
        </w:rPr>
        <w:t>(Mislevy</w:t>
      </w:r>
      <w:r w:rsidR="00BE3B6C" w:rsidRPr="00BE3B6C">
        <w:rPr>
          <w:rFonts w:ascii="Times New Roman" w:hAnsi="Times New Roman" w:cs="Times New Roman"/>
          <w:noProof/>
        </w:rPr>
        <w:t xml:space="preserve"> 1996)</w:t>
      </w:r>
      <w:r w:rsidRPr="006F3B00">
        <w:rPr>
          <w:rFonts w:ascii="Times New Roman" w:hAnsi="Times New Roman" w:cs="Times New Roman"/>
        </w:rPr>
        <w:fldChar w:fldCharType="end"/>
      </w:r>
      <w:r w:rsidRPr="006F3B00">
        <w:rPr>
          <w:rFonts w:ascii="Times New Roman" w:hAnsi="Times New Roman" w:cs="Times New Roman"/>
        </w:rPr>
        <w:t>:</w:t>
      </w:r>
    </w:p>
    <w:p w14:paraId="7D48C22F" w14:textId="77777777" w:rsidR="00863DF5" w:rsidRPr="006F3B00" w:rsidRDefault="00863DF5" w:rsidP="00863DF5">
      <w:pPr>
        <w:pStyle w:val="Default"/>
        <w:spacing w:line="480" w:lineRule="auto"/>
        <w:rPr>
          <w:rFonts w:ascii="Times New Roman" w:hAnsi="Times New Roman" w:cs="Times New Roman"/>
        </w:rPr>
      </w:pPr>
    </w:p>
    <w:p w14:paraId="6B4E8AE5" w14:textId="77777777" w:rsidR="00863DF5" w:rsidRPr="006F3B00" w:rsidRDefault="00863DF5" w:rsidP="001A1FF3">
      <w:pPr>
        <w:pStyle w:val="Default"/>
        <w:numPr>
          <w:ilvl w:val="0"/>
          <w:numId w:val="16"/>
        </w:numPr>
        <w:spacing w:line="480" w:lineRule="auto"/>
        <w:rPr>
          <w:rFonts w:ascii="Times New Roman" w:hAnsi="Times New Roman" w:cs="Times New Roman"/>
        </w:rPr>
      </w:pPr>
      <w:r w:rsidRPr="006F3B00">
        <w:rPr>
          <w:rFonts w:ascii="Times New Roman" w:hAnsi="Times New Roman" w:cs="Times New Roman"/>
        </w:rPr>
        <w:t>maintaining credibility of individuals being certified to enter a profession</w:t>
      </w:r>
    </w:p>
    <w:p w14:paraId="3F335CEA" w14:textId="44730EAE" w:rsidR="00863DF5" w:rsidRPr="006F3B00" w:rsidRDefault="00863DF5" w:rsidP="001A1FF3">
      <w:pPr>
        <w:pStyle w:val="Default"/>
        <w:numPr>
          <w:ilvl w:val="0"/>
          <w:numId w:val="16"/>
        </w:numPr>
        <w:spacing w:line="480" w:lineRule="auto"/>
        <w:rPr>
          <w:rFonts w:ascii="Times New Roman" w:hAnsi="Times New Roman" w:cs="Times New Roman"/>
        </w:rPr>
      </w:pPr>
      <w:r w:rsidRPr="006F3B00">
        <w:rPr>
          <w:rFonts w:ascii="Times New Roman" w:hAnsi="Times New Roman" w:cs="Times New Roman"/>
        </w:rPr>
        <w:t xml:space="preserve">monitoring progress of </w:t>
      </w:r>
      <w:r w:rsidR="00BA15D3">
        <w:rPr>
          <w:rFonts w:ascii="Times New Roman" w:hAnsi="Times New Roman" w:cs="Times New Roman"/>
        </w:rPr>
        <w:t xml:space="preserve">trainees </w:t>
      </w:r>
      <w:r w:rsidRPr="006F3B00">
        <w:rPr>
          <w:rFonts w:ascii="Times New Roman" w:hAnsi="Times New Roman" w:cs="Times New Roman"/>
        </w:rPr>
        <w:t>and levels of attainment</w:t>
      </w:r>
    </w:p>
    <w:p w14:paraId="3080623D" w14:textId="77777777" w:rsidR="00863DF5" w:rsidRPr="006F3B00" w:rsidRDefault="00863DF5" w:rsidP="001A1FF3">
      <w:pPr>
        <w:pStyle w:val="Default"/>
        <w:numPr>
          <w:ilvl w:val="0"/>
          <w:numId w:val="16"/>
        </w:numPr>
        <w:spacing w:line="480" w:lineRule="auto"/>
        <w:rPr>
          <w:rFonts w:ascii="Times New Roman" w:hAnsi="Times New Roman" w:cs="Times New Roman"/>
        </w:rPr>
      </w:pPr>
      <w:r w:rsidRPr="006F3B00">
        <w:rPr>
          <w:rFonts w:ascii="Times New Roman" w:hAnsi="Times New Roman" w:cs="Times New Roman"/>
        </w:rPr>
        <w:t>providing feedback</w:t>
      </w:r>
    </w:p>
    <w:p w14:paraId="484580D9" w14:textId="77777777" w:rsidR="00863DF5" w:rsidRPr="006F3B00" w:rsidRDefault="00863DF5" w:rsidP="001A1FF3">
      <w:pPr>
        <w:pStyle w:val="Default"/>
        <w:numPr>
          <w:ilvl w:val="0"/>
          <w:numId w:val="16"/>
        </w:numPr>
        <w:spacing w:line="480" w:lineRule="auto"/>
        <w:rPr>
          <w:rFonts w:ascii="Times New Roman" w:hAnsi="Times New Roman" w:cs="Times New Roman"/>
        </w:rPr>
      </w:pPr>
      <w:r w:rsidRPr="006F3B00">
        <w:rPr>
          <w:rFonts w:ascii="Times New Roman" w:hAnsi="Times New Roman" w:cs="Times New Roman"/>
        </w:rPr>
        <w:t>assessing learning and teaching strategies</w:t>
      </w:r>
    </w:p>
    <w:p w14:paraId="2D6CD1A3" w14:textId="77777777" w:rsidR="00863DF5" w:rsidRPr="006F3B00" w:rsidRDefault="00863DF5" w:rsidP="001A1FF3">
      <w:pPr>
        <w:pStyle w:val="Default"/>
        <w:numPr>
          <w:ilvl w:val="0"/>
          <w:numId w:val="16"/>
        </w:numPr>
        <w:spacing w:line="480" w:lineRule="auto"/>
        <w:rPr>
          <w:rFonts w:ascii="Times New Roman" w:hAnsi="Times New Roman" w:cs="Times New Roman"/>
        </w:rPr>
      </w:pPr>
      <w:proofErr w:type="gramStart"/>
      <w:r w:rsidRPr="006F3B00">
        <w:rPr>
          <w:rFonts w:ascii="Times New Roman" w:hAnsi="Times New Roman" w:cs="Times New Roman"/>
        </w:rPr>
        <w:t>helping</w:t>
      </w:r>
      <w:proofErr w:type="gramEnd"/>
      <w:r w:rsidRPr="006F3B00">
        <w:rPr>
          <w:rFonts w:ascii="Times New Roman" w:hAnsi="Times New Roman" w:cs="Times New Roman"/>
        </w:rPr>
        <w:t xml:space="preserve"> to direct future learning goals.</w:t>
      </w:r>
    </w:p>
    <w:p w14:paraId="42B314A9" w14:textId="77777777" w:rsidR="00863DF5" w:rsidRPr="006F3B00" w:rsidRDefault="00863DF5" w:rsidP="00863DF5">
      <w:pPr>
        <w:spacing w:after="0" w:line="480" w:lineRule="auto"/>
        <w:rPr>
          <w:rFonts w:ascii="Times New Roman" w:hAnsi="Times New Roman" w:cs="Times New Roman"/>
          <w:sz w:val="24"/>
          <w:szCs w:val="24"/>
        </w:rPr>
      </w:pPr>
    </w:p>
    <w:p w14:paraId="6B2C64F1" w14:textId="3A14FC3B"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Clearly, assessment is not just regulatory as it can have other purposes including its ability to stimulate learning, its potential to provide feedback for learning and teaching, for academic league tables, monitoring </w:t>
      </w:r>
      <w:r w:rsidR="001E5DEF">
        <w:rPr>
          <w:rFonts w:ascii="Times New Roman" w:hAnsi="Times New Roman" w:cs="Times New Roman"/>
          <w:sz w:val="24"/>
          <w:szCs w:val="24"/>
        </w:rPr>
        <w:t>trainee</w:t>
      </w:r>
      <w:r w:rsidRPr="006F3B00">
        <w:rPr>
          <w:rFonts w:ascii="Times New Roman" w:hAnsi="Times New Roman" w:cs="Times New Roman"/>
          <w:sz w:val="24"/>
          <w:szCs w:val="24"/>
        </w:rPr>
        <w:t xml:space="preserve"> progression and</w:t>
      </w:r>
      <w:r w:rsidR="001E5DEF">
        <w:rPr>
          <w:rFonts w:ascii="Times New Roman" w:hAnsi="Times New Roman" w:cs="Times New Roman"/>
          <w:sz w:val="24"/>
          <w:szCs w:val="24"/>
        </w:rPr>
        <w:t xml:space="preserve"> to identify struggling trainees</w:t>
      </w:r>
      <w:r w:rsidRPr="006F3B00">
        <w:rPr>
          <w:rFonts w:ascii="Times New Roman" w:hAnsi="Times New Roman" w:cs="Times New Roman"/>
          <w:sz w:val="24"/>
          <w:szCs w:val="24"/>
        </w:rPr>
        <w:t>. It could be argued that the various purposes of assessment can sometimes be at odds with one another and cause confusion. As desc</w:t>
      </w:r>
      <w:r w:rsidR="00BA15D3">
        <w:rPr>
          <w:rFonts w:ascii="Times New Roman" w:hAnsi="Times New Roman" w:cs="Times New Roman"/>
          <w:sz w:val="24"/>
          <w:szCs w:val="24"/>
        </w:rPr>
        <w:t xml:space="preserve">ribed </w:t>
      </w:r>
      <w:r w:rsidR="00BA15D3" w:rsidRPr="00494018">
        <w:rPr>
          <w:rFonts w:ascii="Times New Roman" w:hAnsi="Times New Roman" w:cs="Times New Roman"/>
          <w:sz w:val="24"/>
          <w:szCs w:val="24"/>
        </w:rPr>
        <w:t xml:space="preserve">later </w:t>
      </w:r>
      <w:r w:rsidR="00494018" w:rsidRPr="00494018">
        <w:rPr>
          <w:rFonts w:ascii="Times New Roman" w:hAnsi="Times New Roman" w:cs="Times New Roman"/>
          <w:sz w:val="24"/>
          <w:szCs w:val="24"/>
        </w:rPr>
        <w:t>(see section 1.1.5.2</w:t>
      </w:r>
      <w:r w:rsidRPr="00494018">
        <w:rPr>
          <w:rFonts w:ascii="Times New Roman" w:hAnsi="Times New Roman" w:cs="Times New Roman"/>
          <w:sz w:val="24"/>
          <w:szCs w:val="24"/>
        </w:rPr>
        <w:t xml:space="preserve">), the </w:t>
      </w:r>
      <w:r w:rsidRPr="006F3B00">
        <w:rPr>
          <w:rFonts w:ascii="Times New Roman" w:hAnsi="Times New Roman" w:cs="Times New Roman"/>
          <w:sz w:val="24"/>
          <w:szCs w:val="24"/>
        </w:rPr>
        <w:t>outcomes from assessments must only be used for their intended purpose and not extrapolated to inappropriate contexts.</w:t>
      </w:r>
    </w:p>
    <w:p w14:paraId="212971AE" w14:textId="77777777" w:rsidR="00863DF5" w:rsidRPr="006F3B00" w:rsidRDefault="00863DF5" w:rsidP="00863DF5">
      <w:pPr>
        <w:spacing w:after="0" w:line="480" w:lineRule="auto"/>
        <w:rPr>
          <w:rFonts w:ascii="Times New Roman" w:hAnsi="Times New Roman" w:cs="Times New Roman"/>
          <w:sz w:val="24"/>
          <w:szCs w:val="24"/>
        </w:rPr>
      </w:pPr>
    </w:p>
    <w:p w14:paraId="4DFAEB10" w14:textId="552014F3" w:rsidR="00863DF5" w:rsidRPr="006F3B00" w:rsidRDefault="00863DF5" w:rsidP="00863DF5">
      <w:pPr>
        <w:spacing w:after="0" w:line="480" w:lineRule="auto"/>
        <w:rPr>
          <w:rFonts w:ascii="Times New Roman" w:hAnsi="Times New Roman" w:cs="Times New Roman"/>
          <w:sz w:val="24"/>
          <w:szCs w:val="24"/>
          <w:lang w:val="en-CA"/>
        </w:rPr>
      </w:pPr>
      <w:r w:rsidRPr="006F3B00">
        <w:rPr>
          <w:rFonts w:ascii="Times New Roman" w:hAnsi="Times New Roman" w:cs="Times New Roman"/>
          <w:sz w:val="24"/>
          <w:szCs w:val="24"/>
          <w:lang w:val="en-CA"/>
        </w:rPr>
        <w:t xml:space="preserve">Assessment tools must also be valid and reliable if they are used to certify successful completion of training or attainment of a specific qualification or degree. Assessment must be adaptable if it is to successfully measure </w:t>
      </w:r>
      <w:r w:rsidR="008229CF">
        <w:rPr>
          <w:rFonts w:ascii="Times New Roman" w:hAnsi="Times New Roman" w:cs="Times New Roman"/>
          <w:sz w:val="24"/>
          <w:szCs w:val="24"/>
          <w:lang w:val="en-CA"/>
        </w:rPr>
        <w:t>the range of qualities a trainee</w:t>
      </w:r>
      <w:r w:rsidRPr="006F3B00">
        <w:rPr>
          <w:rFonts w:ascii="Times New Roman" w:hAnsi="Times New Roman" w:cs="Times New Roman"/>
          <w:sz w:val="24"/>
          <w:szCs w:val="24"/>
          <w:lang w:val="en-CA"/>
        </w:rPr>
        <w:t xml:space="preserve"> is meant to possess. A person’s knowledge may not reflect their ability to complete a task or convey their understanding of a concept, so assessment tools must be varied and robust in their design and selected appro</w:t>
      </w:r>
      <w:r w:rsidR="008229CF">
        <w:rPr>
          <w:rFonts w:ascii="Times New Roman" w:hAnsi="Times New Roman" w:cs="Times New Roman"/>
          <w:sz w:val="24"/>
          <w:szCs w:val="24"/>
          <w:lang w:val="en-CA"/>
        </w:rPr>
        <w:t>priately. Similarly, the trainee</w:t>
      </w:r>
      <w:r w:rsidRPr="006F3B00">
        <w:rPr>
          <w:rFonts w:ascii="Times New Roman" w:hAnsi="Times New Roman" w:cs="Times New Roman"/>
          <w:sz w:val="24"/>
          <w:szCs w:val="24"/>
          <w:lang w:val="en-CA"/>
        </w:rPr>
        <w:t xml:space="preserve"> may have a range of perceptions or previous experiences which act to influence their learning and good </w:t>
      </w:r>
      <w:r w:rsidRPr="006F3B00">
        <w:rPr>
          <w:rFonts w:ascii="Times New Roman" w:hAnsi="Times New Roman" w:cs="Times New Roman"/>
          <w:sz w:val="24"/>
          <w:szCs w:val="24"/>
          <w:lang w:val="en-CA"/>
        </w:rPr>
        <w:lastRenderedPageBreak/>
        <w:t xml:space="preserve">assessment tools may facilitate the assessor to explore these factors </w:t>
      </w:r>
      <w:r w:rsidRPr="006F3B00">
        <w:rPr>
          <w:rFonts w:ascii="Times New Roman" w:hAnsi="Times New Roman" w:cs="Times New Roman"/>
          <w:sz w:val="24"/>
          <w:szCs w:val="24"/>
          <w:lang w:val="en-CA"/>
        </w:rPr>
        <w:fldChar w:fldCharType="begin" w:fldLock="1"/>
      </w:r>
      <w:r w:rsidR="00BE3B6C">
        <w:rPr>
          <w:rFonts w:ascii="Times New Roman" w:hAnsi="Times New Roman" w:cs="Times New Roman"/>
          <w:sz w:val="24"/>
          <w:szCs w:val="24"/>
          <w:lang w:val="en-CA"/>
        </w:rPr>
        <w:instrText>ADDIN CSL_CITATION {"citationItems":[{"id":"ITEM-1","itemData":{"author":[{"dropping-particle":"","family":"Masters, G. N., Adams, R. J., &amp; Wilson","given":"M.","non-dropping-particle":"","parse-names":false,"suffix":""}],"chapter-number":"Charting o","editor":[{"dropping-particle":"","family":"G. N. Masters &amp; J. P. Keeves","given":"","non-dropping-particle":"","parse-names":false,"suffix":""}],"id":"ITEM-1","issued":{"date-parts":[["1999"]]},"page":"254-267","publisher":"Oxford: Elsevier Science Pty Ltd.","title":"Advances in Measurement in Educational Research and Assessment","type":"chapter"},"uris":["http://www.mendeley.com/documents/?uuid=221a0310-7aca-416e-8499-9763907b6ab9"]}],"mendeley":{"formattedCitation":"(Masters, G. N., Adams, R. J., &amp; Wilson, 1999)","plainTextFormattedCitation":"(Masters, G. N., Adams, R. J., &amp; Wilson, 1999)","previouslyFormattedCitation":"(Masters, G. N., Adams, R. J., &amp; Wilson 1999)"},"properties":{"noteIndex":0},"schema":"https://github.com/citation-style-language/schema/raw/master/csl-citation.json"}</w:instrText>
      </w:r>
      <w:r w:rsidRPr="006F3B00">
        <w:rPr>
          <w:rFonts w:ascii="Times New Roman" w:hAnsi="Times New Roman" w:cs="Times New Roman"/>
          <w:sz w:val="24"/>
          <w:szCs w:val="24"/>
          <w:lang w:val="en-CA"/>
        </w:rPr>
        <w:fldChar w:fldCharType="separate"/>
      </w:r>
      <w:r w:rsidR="008C3867">
        <w:rPr>
          <w:rFonts w:ascii="Times New Roman" w:hAnsi="Times New Roman" w:cs="Times New Roman"/>
          <w:noProof/>
          <w:sz w:val="24"/>
          <w:szCs w:val="24"/>
          <w:lang w:val="en-CA"/>
        </w:rPr>
        <w:t xml:space="preserve">(Masters, Adams and Wilson </w:t>
      </w:r>
      <w:r w:rsidR="00BE3B6C" w:rsidRPr="00BE3B6C">
        <w:rPr>
          <w:rFonts w:ascii="Times New Roman" w:hAnsi="Times New Roman" w:cs="Times New Roman"/>
          <w:noProof/>
          <w:sz w:val="24"/>
          <w:szCs w:val="24"/>
          <w:lang w:val="en-CA"/>
        </w:rPr>
        <w:t>1999)</w:t>
      </w:r>
      <w:r w:rsidRPr="006F3B00">
        <w:rPr>
          <w:rFonts w:ascii="Times New Roman" w:hAnsi="Times New Roman" w:cs="Times New Roman"/>
          <w:sz w:val="24"/>
          <w:szCs w:val="24"/>
          <w:lang w:val="en-CA"/>
        </w:rPr>
        <w:fldChar w:fldCharType="end"/>
      </w:r>
      <w:r w:rsidRPr="006F3B00">
        <w:rPr>
          <w:rFonts w:ascii="Times New Roman" w:hAnsi="Times New Roman" w:cs="Times New Roman"/>
          <w:sz w:val="24"/>
          <w:szCs w:val="24"/>
          <w:lang w:val="en-CA"/>
        </w:rPr>
        <w:t>.</w:t>
      </w:r>
    </w:p>
    <w:p w14:paraId="2E18B043" w14:textId="6E0C922C" w:rsidR="00863DF5" w:rsidRPr="006F3B00" w:rsidRDefault="007F4BD3" w:rsidP="00FF5302">
      <w:pPr>
        <w:pStyle w:val="Heading2"/>
        <w:spacing w:line="480" w:lineRule="auto"/>
        <w:rPr>
          <w:rFonts w:ascii="Times New Roman" w:hAnsi="Times New Roman" w:cs="Times New Roman"/>
          <w:sz w:val="24"/>
          <w:szCs w:val="24"/>
        </w:rPr>
      </w:pPr>
      <w:bookmarkStart w:id="4" w:name="_Toc23243733"/>
      <w:r>
        <w:rPr>
          <w:rFonts w:ascii="Times New Roman" w:hAnsi="Times New Roman" w:cs="Times New Roman"/>
          <w:color w:val="auto"/>
          <w:sz w:val="24"/>
          <w:szCs w:val="24"/>
        </w:rPr>
        <w:t>1.1.2</w:t>
      </w:r>
      <w:r w:rsidR="00863DF5" w:rsidRPr="006F3B00">
        <w:rPr>
          <w:rFonts w:ascii="Times New Roman" w:hAnsi="Times New Roman" w:cs="Times New Roman"/>
          <w:color w:val="auto"/>
          <w:sz w:val="24"/>
          <w:szCs w:val="24"/>
        </w:rPr>
        <w:t xml:space="preserve"> Categories of assessment</w:t>
      </w:r>
      <w:bookmarkEnd w:id="4"/>
    </w:p>
    <w:p w14:paraId="10869D4E" w14:textId="056183EF" w:rsidR="00863DF5" w:rsidRDefault="00AB7286" w:rsidP="00FF5302">
      <w:pPr>
        <w:pStyle w:val="Heading3"/>
        <w:spacing w:line="480" w:lineRule="auto"/>
        <w:rPr>
          <w:rFonts w:ascii="Times New Roman" w:hAnsi="Times New Roman" w:cs="Times New Roman"/>
          <w:color w:val="auto"/>
          <w:sz w:val="24"/>
          <w:szCs w:val="24"/>
        </w:rPr>
      </w:pPr>
      <w:bookmarkStart w:id="5" w:name="_Toc23243734"/>
      <w:r>
        <w:rPr>
          <w:rFonts w:ascii="Times New Roman" w:hAnsi="Times New Roman" w:cs="Times New Roman"/>
          <w:color w:val="auto"/>
          <w:sz w:val="24"/>
          <w:szCs w:val="24"/>
        </w:rPr>
        <w:t>1.1.2.1</w:t>
      </w:r>
      <w:r w:rsidR="00863DF5" w:rsidRPr="006F3B00">
        <w:rPr>
          <w:rFonts w:ascii="Times New Roman" w:hAnsi="Times New Roman" w:cs="Times New Roman"/>
          <w:color w:val="auto"/>
          <w:sz w:val="24"/>
          <w:szCs w:val="24"/>
        </w:rPr>
        <w:t xml:space="preserve"> Summative assessment</w:t>
      </w:r>
      <w:bookmarkEnd w:id="5"/>
    </w:p>
    <w:p w14:paraId="1048B9C1" w14:textId="27CF2929" w:rsidR="00863DF5" w:rsidRDefault="00863DF5" w:rsidP="00FF5302">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Summative asse</w:t>
      </w:r>
      <w:r w:rsidR="008229CF">
        <w:rPr>
          <w:rFonts w:ascii="Times New Roman" w:hAnsi="Times New Roman" w:cs="Times New Roman"/>
          <w:sz w:val="24"/>
          <w:szCs w:val="24"/>
        </w:rPr>
        <w:t>ssment entails measuring trainee</w:t>
      </w:r>
      <w:r w:rsidRPr="006F3B00">
        <w:rPr>
          <w:rFonts w:ascii="Times New Roman" w:hAnsi="Times New Roman" w:cs="Times New Roman"/>
          <w:sz w:val="24"/>
          <w:szCs w:val="24"/>
        </w:rPr>
        <w:t xml:space="preserve"> attainment and relates to the regulatory nature of assessment. Essentially, it </w:t>
      </w:r>
      <w:r w:rsidR="008229CF">
        <w:rPr>
          <w:rFonts w:ascii="Times New Roman" w:hAnsi="Times New Roman" w:cs="Times New Roman"/>
          <w:sz w:val="24"/>
          <w:szCs w:val="24"/>
        </w:rPr>
        <w:t>aims to assess whether a trainee</w:t>
      </w:r>
      <w:r w:rsidRPr="006F3B00">
        <w:rPr>
          <w:rFonts w:ascii="Times New Roman" w:hAnsi="Times New Roman" w:cs="Times New Roman"/>
          <w:sz w:val="24"/>
          <w:szCs w:val="24"/>
        </w:rPr>
        <w:t xml:space="preserve"> has reached a desired “standard” but may act to evaluate the effectiveness of the program being studied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{"citationItems":[{"id":"ITEM-1","itemData":{"ISBN":"0749427973","abstract":"This comprehensive overview of higher educational assessment features a guide to setting, marking and reviewing the coursework, assignments, tests and examinations used in higher education. In addition, the authors examine the various programs for certificates, diplomas, first degrees as well as higher degrees. The strong influence that assessment has on the way students approach their learning is also discussed. Truly international in focus, this book features authors with higher education experience in Australia, New Zealand, Scotland, England, Canada, Hong Kong, USA, and Thailand.","author":[{"dropping-particle":"","family":"Miller","given":"Allen H","non-dropping-particle":"","parse-names":false,"suffix":""},{"dropping-particle":"","family":"Imrie","given":"B W","non-dropping-particle":"","parse-names":false,"suffix":""},{"dropping-particle":"","family":"Cox","given":"Kevin","non-dropping-particle":"","parse-names":false,"suffix":""}],"container-title":"Studies in Higher Education","id":"ITEM-1","issue":"3","issued":{"date-parts":[["1998"]]},"page":"390-392","title":"Student assessment in higher education: a handbook for assessing performance","type":"article","volume":"24"},"uris":["http://www.mendeley.com/documents/?uuid=b318b9e0-8bc6-47df-90ad-4636cceaccf6"]}],"mendeley":{"formattedCitation":"(Miller, Imrie and Cox, 1998)","plainTextFormattedCitation":"(Miller, Imrie and Cox, 1998)","previouslyFormattedCitation":"(A. H. Miller, Imrie, and Cox 1998)"},"properties":{"noteIndex":0},"schema":"https://github.com/citation-style-language/schema/raw/master/csl-citation.json"}</w:instrText>
      </w:r>
      <w:r w:rsidRPr="006F3B00">
        <w:rPr>
          <w:rFonts w:ascii="Times New Roman" w:hAnsi="Times New Roman" w:cs="Times New Roman"/>
          <w:sz w:val="24"/>
          <w:szCs w:val="24"/>
        </w:rPr>
        <w:fldChar w:fldCharType="separate"/>
      </w:r>
      <w:r w:rsidR="008C3867">
        <w:rPr>
          <w:rFonts w:ascii="Times New Roman" w:hAnsi="Times New Roman" w:cs="Times New Roman"/>
          <w:noProof/>
          <w:sz w:val="24"/>
          <w:szCs w:val="24"/>
        </w:rPr>
        <w:t xml:space="preserve">(Miller, Imrie and Cox </w:t>
      </w:r>
      <w:r w:rsidR="00BE3B6C" w:rsidRPr="00BE3B6C">
        <w:rPr>
          <w:rFonts w:ascii="Times New Roman" w:hAnsi="Times New Roman" w:cs="Times New Roman"/>
          <w:noProof/>
          <w:sz w:val="24"/>
          <w:szCs w:val="24"/>
        </w:rPr>
        <w:t>1998)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Summative assessment usually takes the form of an examination; a disti</w:t>
      </w:r>
      <w:r w:rsidR="008229CF">
        <w:rPr>
          <w:rFonts w:ascii="Times New Roman" w:hAnsi="Times New Roman" w:cs="Times New Roman"/>
          <w:sz w:val="24"/>
          <w:szCs w:val="24"/>
        </w:rPr>
        <w:t>nct point in time when a trainee</w:t>
      </w:r>
      <w:r w:rsidRPr="006F3B00">
        <w:rPr>
          <w:rFonts w:ascii="Times New Roman" w:hAnsi="Times New Roman" w:cs="Times New Roman"/>
          <w:sz w:val="24"/>
          <w:szCs w:val="24"/>
        </w:rPr>
        <w:t>’s knowledge (or relevant attribute) is tested, scored and documented. For example, in histopathology, trainees sit a written exam called FRCPath Part 1 whose main purpose is to assess factual knowledge, while FRCPath Part 2 predominantly tests the ability of the trainee to apply their knowledge and experience in making histological diagnose</w:t>
      </w:r>
      <w:r w:rsidR="00FF5302">
        <w:rPr>
          <w:rFonts w:ascii="Times New Roman" w:hAnsi="Times New Roman" w:cs="Times New Roman"/>
          <w:sz w:val="24"/>
          <w:szCs w:val="24"/>
        </w:rPr>
        <w:t xml:space="preserve">s on previously unseen cases. </w:t>
      </w:r>
    </w:p>
    <w:p w14:paraId="20F66181" w14:textId="77777777" w:rsidR="00FF5302" w:rsidRPr="006F3B00" w:rsidRDefault="00FF5302" w:rsidP="00863DF5">
      <w:pPr>
        <w:spacing w:after="0" w:line="480" w:lineRule="auto"/>
        <w:rPr>
          <w:rFonts w:ascii="Times New Roman" w:hAnsi="Times New Roman" w:cs="Times New Roman"/>
          <w:sz w:val="24"/>
          <w:szCs w:val="24"/>
        </w:rPr>
      </w:pPr>
    </w:p>
    <w:p w14:paraId="510AE49F" w14:textId="55F0E3F0"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Summative assessment can create a</w:t>
      </w:r>
      <w:r w:rsidR="001E5DEF">
        <w:rPr>
          <w:rFonts w:ascii="Times New Roman" w:hAnsi="Times New Roman" w:cs="Times New Roman"/>
          <w:sz w:val="24"/>
          <w:szCs w:val="24"/>
        </w:rPr>
        <w:t xml:space="preserve"> barrier to learning if trainees</w:t>
      </w:r>
      <w:r w:rsidRPr="006F3B00">
        <w:rPr>
          <w:rFonts w:ascii="Times New Roman" w:hAnsi="Times New Roman" w:cs="Times New Roman"/>
          <w:sz w:val="24"/>
          <w:szCs w:val="24"/>
        </w:rPr>
        <w:t xml:space="preserve"> only learn what they think they will be assessed on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{"citationItems":[{"id":"ITEM-1","itemData":{"abstract":"Assessment practices in higher education institutions tend not to equip students well for the processes of effective learning in a learning society. The purposes of assessment should be extended to include the preparation of students for sustainable assessment. Sustainable assessment encompasses the abilities required to undertake those activities that necessarily accompany learning throughout life in formal and informal settings. Characteristics of effective formative assessment identified by recent research are used to illustrate features of sustainable assessment. Assessment acts need both to meet the specific and immediate goals of a course as well as establishing a basis for students to undertake their own assessment activities in the future. To draw attention to the importance of this, the idea that assessment always has to do double duty is introduced.","author":[{"dropping-particle":"","family":"Boud","given":"David","non-dropping-particle":"","parse-names":false,"suffix":""}],"container-title":"Continuing Education","id":"ITEM-1","issued":{"date-parts":[["2000"]]},"page":"151-167","title":"Sustaineable Assessment: Rethinking assessment for the learning society","type":"article-journal","volume":"22"},"uris":["http://www.mendeley.com/documents/?uuid=02c31c50-e120-429d-92a1-c6748d01a67d"]}],"mendeley":{"formattedCitation":"(Boud, 2000)","plainTextFormattedCitation":"(Boud, 2000)","previouslyFormattedCitation":"(Boud 2000)"},"properties":{"noteIndex":0},"schema":"https://github.com/citation-style-language/schema/raw/master/csl-citation.json"}</w:instrText>
      </w:r>
      <w:r w:rsidRPr="006F3B00">
        <w:rPr>
          <w:rFonts w:ascii="Times New Roman" w:hAnsi="Times New Roman" w:cs="Times New Roman"/>
          <w:sz w:val="24"/>
          <w:szCs w:val="24"/>
        </w:rPr>
        <w:fldChar w:fldCharType="separate"/>
      </w:r>
      <w:r w:rsidR="008C3867">
        <w:rPr>
          <w:rFonts w:ascii="Times New Roman" w:hAnsi="Times New Roman" w:cs="Times New Roman"/>
          <w:noProof/>
          <w:sz w:val="24"/>
          <w:szCs w:val="24"/>
        </w:rPr>
        <w:t xml:space="preserve">(Boud </w:t>
      </w:r>
      <w:r w:rsidR="00BE3B6C" w:rsidRPr="00BE3B6C">
        <w:rPr>
          <w:rFonts w:ascii="Times New Roman" w:hAnsi="Times New Roman" w:cs="Times New Roman"/>
          <w:noProof/>
          <w:sz w:val="24"/>
          <w:szCs w:val="24"/>
        </w:rPr>
        <w:t>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r w:rsidRPr="006F3B00">
        <w:rPr>
          <w:rFonts w:ascii="Times New Roman" w:hAnsi="Times New Roman" w:cs="Times New Roman"/>
          <w:sz w:val="24"/>
          <w:szCs w:val="24"/>
          <w:lang w:val="en-CA"/>
        </w:rPr>
        <w:t xml:space="preserve">There is a danger that summative assessment creates a society obsessed with grades and performance at the detriment of learning </w:t>
      </w:r>
      <w:r w:rsidRPr="006F3B00">
        <w:rPr>
          <w:rFonts w:ascii="Times New Roman" w:hAnsi="Times New Roman" w:cs="Times New Roman"/>
          <w:sz w:val="24"/>
          <w:szCs w:val="24"/>
          <w:lang w:val="en-CA"/>
        </w:rPr>
        <w:fldChar w:fldCharType="begin" w:fldLock="1"/>
      </w:r>
      <w:r w:rsidR="00BE3B6C">
        <w:rPr>
          <w:rFonts w:ascii="Times New Roman" w:hAnsi="Times New Roman" w:cs="Times New Roman"/>
          <w:sz w:val="24"/>
          <w:szCs w:val="24"/>
          <w:lang w:val="en-CA"/>
        </w:rPr>
        <w:instrText>ADDIN CSL_CITATION {"citationItems":[{"id":"ITEM-1","itemData":{"abstract":"Assessment practices in higher education institutions tend not to equip students well for the processes of effective learning in a learning society. The purposes of assessment should be extended to include the preparation of students for sustainable assessment. Sustainable assessment encompasses the abilities required to undertake those activities that necessarily accompany learning throughout life in formal and informal settings. Characteristics of effective formative assessment identified by recent research are used to illustrate features of sustainable assessment. Assessment acts need both to meet the specific and immediate goals of a course as well as establishing a basis for students to undertake their own assessment activities in the future. To draw attention to the importance of this, the idea that assessment always has to do double duty is introduced.","author":[{"dropping-particle":"","family":"Boud","given":"David","non-dropping-particle":"","parse-names":false,"suffix":""}],"container-title":"Continuing Education","id":"ITEM-1","issued":{"date-parts":[["2000"]]},"page":"151-167","title":"Sustaineable Assessment: Rethinking assessment for the learning society","type":"article-journal","volume":"22"},"uris":["http://www.mendeley.com/documents/?uuid=02c31c50-e120-429d-92a1-c6748d01a67d"]}],"mendeley":{"formattedCitation":"(Boud, 2000)","plainTextFormattedCitation":"(Boud, 2000)","previouslyFormattedCitation":"(Boud 2000)"},"properties":{"noteIndex":0},"schema":"https://github.com/citation-style-language/schema/raw/master/csl-citation.json"}</w:instrText>
      </w:r>
      <w:r w:rsidRPr="006F3B00">
        <w:rPr>
          <w:rFonts w:ascii="Times New Roman" w:hAnsi="Times New Roman" w:cs="Times New Roman"/>
          <w:sz w:val="24"/>
          <w:szCs w:val="24"/>
          <w:lang w:val="en-CA"/>
        </w:rPr>
        <w:fldChar w:fldCharType="separate"/>
      </w:r>
      <w:r w:rsidR="008C3867">
        <w:rPr>
          <w:rFonts w:ascii="Times New Roman" w:hAnsi="Times New Roman" w:cs="Times New Roman"/>
          <w:noProof/>
          <w:sz w:val="24"/>
          <w:szCs w:val="24"/>
          <w:lang w:val="en-CA"/>
        </w:rPr>
        <w:t xml:space="preserve">(Boud </w:t>
      </w:r>
      <w:r w:rsidR="00BE3B6C" w:rsidRPr="00BE3B6C">
        <w:rPr>
          <w:rFonts w:ascii="Times New Roman" w:hAnsi="Times New Roman" w:cs="Times New Roman"/>
          <w:noProof/>
          <w:sz w:val="24"/>
          <w:szCs w:val="24"/>
          <w:lang w:val="en-CA"/>
        </w:rPr>
        <w:t>2000)</w:t>
      </w:r>
      <w:r w:rsidRPr="006F3B00">
        <w:rPr>
          <w:rFonts w:ascii="Times New Roman" w:hAnsi="Times New Roman" w:cs="Times New Roman"/>
          <w:sz w:val="24"/>
          <w:szCs w:val="24"/>
          <w:lang w:val="en-CA"/>
        </w:rPr>
        <w:fldChar w:fldCharType="end"/>
      </w:r>
      <w:r w:rsidRPr="006F3B00">
        <w:rPr>
          <w:rFonts w:ascii="Times New Roman" w:hAnsi="Times New Roman" w:cs="Times New Roman"/>
          <w:sz w:val="24"/>
          <w:szCs w:val="24"/>
          <w:lang w:val="en-CA"/>
        </w:rPr>
        <w:t xml:space="preserve">. </w:t>
      </w:r>
      <w:r w:rsidRPr="006F3B00">
        <w:rPr>
          <w:rFonts w:ascii="Times New Roman" w:hAnsi="Times New Roman" w:cs="Times New Roman"/>
          <w:sz w:val="24"/>
          <w:szCs w:val="24"/>
        </w:rPr>
        <w:t>A superficial knowledge base built on a desire simply to pas</w:t>
      </w:r>
      <w:r w:rsidR="001E5DEF">
        <w:rPr>
          <w:rFonts w:ascii="Times New Roman" w:hAnsi="Times New Roman" w:cs="Times New Roman"/>
          <w:sz w:val="24"/>
          <w:szCs w:val="24"/>
        </w:rPr>
        <w:t>s exams will not create trainees</w:t>
      </w:r>
      <w:r w:rsidRPr="006F3B00">
        <w:rPr>
          <w:rFonts w:ascii="Times New Roman" w:hAnsi="Times New Roman" w:cs="Times New Roman"/>
          <w:sz w:val="24"/>
          <w:szCs w:val="24"/>
        </w:rPr>
        <w:t xml:space="preserve"> who engage with deeper learning by analysing what they are told, critiquing the literature and asking questions about the academic environment they are part of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{"citationItems":[{"id":"ITEM-1","itemData":{"DOI":"10.1080/02602930120063466","ISBN":"02602938","ISSN":"02602938","abstract":"The purpose of this study was to describe assessment practices as these were experienced by tutors and students in one higher education establishment. Eighty members of faculty staff (80% return) and 130 3rd-year undergraduates (100% return) completed a 40-item questionnaire on their experiences of assessment. The questionnaire included items on the purpose of assessment, the nature and demand level of the tasks which were assessed, the timing of assessment and the procedures for marking and reporting. Statistical analyses of the data showed that there was a significant difference of perception between the two groups. These results are discussed in terms of alternative theoretical models of assessment and suggest that while staff declared a commitment to the formative purposes of assessment and maintained that the full range of learning was frequently assessed, they engaged in practices which militated against formative assessment and authentic assessment being fully realised.","author":[{"dropping-particle":"","family":"MacLellan","given":"Effie","non-dropping-particle":"","parse-names":false,"suffix":""}],"container-title":"Assessment &amp; Evaluation in Higher Education","id":"ITEM-1","issue":"4","issued":{"date-parts":[["2001"]]},"page":"307-318","title":"Assessment for Learning: the differing perceptions of tutors and students","type":"article-journal","volume":"26"},"uris":["http://www.mendeley.com/documents/?uuid=a74485fb-b5ad-4bfe-9054-b096ac674904"]}],"mendeley":{"formattedCitation":"(MacLellan, 2001)","plainTextFormattedCitation":"(MacLellan, 2001)","previouslyFormattedCitation":"(MacLellan 2001)"},"properties":{"noteIndex":0},"schema":"https://github.com/citation-style-language/schema/raw/master/csl-citation.json"}</w:instrText>
      </w:r>
      <w:r w:rsidRPr="006F3B00">
        <w:rPr>
          <w:rFonts w:ascii="Times New Roman" w:hAnsi="Times New Roman" w:cs="Times New Roman"/>
          <w:sz w:val="24"/>
          <w:szCs w:val="24"/>
        </w:rPr>
        <w:fldChar w:fldCharType="separate"/>
      </w:r>
      <w:r w:rsidR="008C3867">
        <w:rPr>
          <w:rFonts w:ascii="Times New Roman" w:hAnsi="Times New Roman" w:cs="Times New Roman"/>
          <w:noProof/>
          <w:sz w:val="24"/>
          <w:szCs w:val="24"/>
        </w:rPr>
        <w:t xml:space="preserve">(MacLellan </w:t>
      </w:r>
      <w:r w:rsidR="00BE3B6C" w:rsidRPr="00BE3B6C">
        <w:rPr>
          <w:rFonts w:ascii="Times New Roman" w:hAnsi="Times New Roman" w:cs="Times New Roman"/>
          <w:noProof/>
          <w:sz w:val="24"/>
          <w:szCs w:val="24"/>
        </w:rPr>
        <w:t>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It may be argued that a trainee may not only be guided by the ed</w:t>
      </w:r>
      <w:r w:rsidR="00BA15D3">
        <w:rPr>
          <w:rFonts w:ascii="Times New Roman" w:hAnsi="Times New Roman" w:cs="Times New Roman"/>
          <w:sz w:val="24"/>
          <w:szCs w:val="24"/>
        </w:rPr>
        <w:t xml:space="preserve">ucation they have received but </w:t>
      </w:r>
      <w:r w:rsidRPr="006F3B00">
        <w:rPr>
          <w:rFonts w:ascii="Times New Roman" w:hAnsi="Times New Roman" w:cs="Times New Roman"/>
          <w:sz w:val="24"/>
          <w:szCs w:val="24"/>
        </w:rPr>
        <w:t>other factors such as their family life, hobbies, professional and personal relationships and even the constraints of the hospital they work in, can also alter perceptions regarding learning, whether positive or negative. However,</w:t>
      </w:r>
      <w:r w:rsidR="004143E0">
        <w:rPr>
          <w:rFonts w:ascii="Times New Roman" w:hAnsi="Times New Roman" w:cs="Times New Roman"/>
          <w:sz w:val="24"/>
          <w:szCs w:val="24"/>
        </w:rPr>
        <w:t xml:space="preserve"> </w:t>
      </w:r>
      <w:r w:rsidRPr="006F3B00">
        <w:rPr>
          <w:rFonts w:ascii="Times New Roman" w:hAnsi="Times New Roman" w:cs="Times New Roman"/>
          <w:sz w:val="24"/>
          <w:szCs w:val="24"/>
        </w:rPr>
        <w:lastRenderedPageBreak/>
        <w:t>education often forms the foundations for learning and may be responsible for instilling values which could be more resilient to external factors.</w:t>
      </w:r>
    </w:p>
    <w:p w14:paraId="29F19ADA" w14:textId="58A49ABB" w:rsidR="00863DF5" w:rsidRPr="006F3B00" w:rsidRDefault="00863DF5" w:rsidP="00FF5302">
      <w:pPr>
        <w:pStyle w:val="Heading3"/>
        <w:spacing w:line="480" w:lineRule="auto"/>
        <w:rPr>
          <w:rFonts w:ascii="Times New Roman" w:hAnsi="Times New Roman" w:cs="Times New Roman"/>
          <w:color w:val="auto"/>
          <w:sz w:val="24"/>
          <w:szCs w:val="24"/>
        </w:rPr>
      </w:pPr>
      <w:bookmarkStart w:id="6" w:name="_Toc23243735"/>
      <w:r w:rsidRPr="006F3B00">
        <w:rPr>
          <w:rFonts w:ascii="Times New Roman" w:hAnsi="Times New Roman" w:cs="Times New Roman"/>
          <w:color w:val="auto"/>
          <w:sz w:val="24"/>
          <w:szCs w:val="24"/>
        </w:rPr>
        <w:t>1.2.2</w:t>
      </w:r>
      <w:r w:rsidR="00AB7286">
        <w:rPr>
          <w:rFonts w:ascii="Times New Roman" w:hAnsi="Times New Roman" w:cs="Times New Roman"/>
          <w:color w:val="auto"/>
          <w:sz w:val="24"/>
          <w:szCs w:val="24"/>
        </w:rPr>
        <w:t>.2</w:t>
      </w:r>
      <w:r w:rsidRPr="006F3B00">
        <w:rPr>
          <w:rFonts w:ascii="Times New Roman" w:hAnsi="Times New Roman" w:cs="Times New Roman"/>
          <w:color w:val="auto"/>
          <w:sz w:val="24"/>
          <w:szCs w:val="24"/>
        </w:rPr>
        <w:t xml:space="preserve"> Formative assessment</w:t>
      </w:r>
      <w:bookmarkEnd w:id="6"/>
    </w:p>
    <w:p w14:paraId="34CE7709" w14:textId="77777777" w:rsidR="00863DF5" w:rsidRPr="006F3B00" w:rsidRDefault="00863DF5" w:rsidP="00863DF5">
      <w:pPr>
        <w:rPr>
          <w:rFonts w:ascii="Times New Roman" w:hAnsi="Times New Roman" w:cs="Times New Roman"/>
          <w:sz w:val="24"/>
          <w:szCs w:val="24"/>
        </w:rPr>
      </w:pPr>
    </w:p>
    <w:p w14:paraId="6FB965F0" w14:textId="4E122FC8"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Formative assessment is more </w:t>
      </w:r>
      <w:r w:rsidRPr="006F3B00">
        <w:rPr>
          <w:rFonts w:ascii="Times New Roman" w:hAnsi="Times New Roman" w:cs="Times New Roman"/>
          <w:sz w:val="24"/>
          <w:szCs w:val="24"/>
          <w:lang w:val="en-CA"/>
        </w:rPr>
        <w:t xml:space="preserve">continuous and holistic in its approach, with opportunity for feedback and reflection. To this end, formative assessment can </w:t>
      </w:r>
      <w:r w:rsidR="001E5DEF">
        <w:rPr>
          <w:rFonts w:ascii="Times New Roman" w:hAnsi="Times New Roman" w:cs="Times New Roman"/>
          <w:sz w:val="24"/>
          <w:szCs w:val="24"/>
          <w:lang w:val="en-CA"/>
        </w:rPr>
        <w:t>help trainees</w:t>
      </w:r>
      <w:r w:rsidRPr="006F3B00">
        <w:rPr>
          <w:rFonts w:ascii="Times New Roman" w:hAnsi="Times New Roman" w:cs="Times New Roman"/>
          <w:sz w:val="24"/>
          <w:szCs w:val="24"/>
          <w:lang w:val="en-CA"/>
        </w:rPr>
        <w:t xml:space="preserve"> to set goals, monitor their progress towards these goals and facilitate an ethos of self-monitoring and self-motivation, rather than being prompted to do so by an upcoming exam or instruction from an assessor </w:t>
      </w:r>
      <w:r w:rsidRPr="006F3B00">
        <w:rPr>
          <w:rFonts w:ascii="Times New Roman" w:hAnsi="Times New Roman" w:cs="Times New Roman"/>
          <w:sz w:val="24"/>
          <w:szCs w:val="24"/>
          <w:lang w:val="en-CA"/>
        </w:rPr>
        <w:fldChar w:fldCharType="begin" w:fldLock="1"/>
      </w:r>
      <w:r w:rsidR="00BE3B6C">
        <w:rPr>
          <w:rFonts w:ascii="Times New Roman" w:hAnsi="Times New Roman" w:cs="Times New Roman"/>
          <w:sz w:val="24"/>
          <w:szCs w:val="24"/>
          <w:lang w:val="en-CA"/>
        </w:rPr>
        <w:instrText>ADDIN CSL_CITATION {"citationItems":[{"id":"ITEM-1","itemData":{"author":[{"dropping-particle":"","family":"Brookhart","given":"S. M.","non-dropping-particle":"","parse-names":false,"suffix":""}],"container-title":"Assessment in Education","id":"ITEM-1","issue":"2","issued":{"date-parts":[["2001"]]},"page":"153 - 168.","title":"Successful Students' Formative and Summative Uses of Assessment Information","type":"article-journal","volume":"8"},"uris":["http://www.mendeley.com/documents/?uuid=026ce05f-2575-4730-a447-0e1ecda713ea"]}],"mendeley":{"formattedCitation":"(Brookhart, 2001)","plainTextFormattedCitation":"(Brookhart, 2001)","previouslyFormattedCitation":"(Brookhart 2001)"},"properties":{"noteIndex":0},"schema":"https://github.com/citation-style-language/schema/raw/master/csl-citation.json"}</w:instrText>
      </w:r>
      <w:r w:rsidRPr="006F3B00">
        <w:rPr>
          <w:rFonts w:ascii="Times New Roman" w:hAnsi="Times New Roman" w:cs="Times New Roman"/>
          <w:sz w:val="24"/>
          <w:szCs w:val="24"/>
          <w:lang w:val="en-CA"/>
        </w:rPr>
        <w:fldChar w:fldCharType="separate"/>
      </w:r>
      <w:r w:rsidR="008C3867">
        <w:rPr>
          <w:rFonts w:ascii="Times New Roman" w:hAnsi="Times New Roman" w:cs="Times New Roman"/>
          <w:noProof/>
          <w:sz w:val="24"/>
          <w:szCs w:val="24"/>
          <w:lang w:val="en-CA"/>
        </w:rPr>
        <w:t xml:space="preserve">(Brookhart </w:t>
      </w:r>
      <w:r w:rsidR="00BE3B6C" w:rsidRPr="00BE3B6C">
        <w:rPr>
          <w:rFonts w:ascii="Times New Roman" w:hAnsi="Times New Roman" w:cs="Times New Roman"/>
          <w:noProof/>
          <w:sz w:val="24"/>
          <w:szCs w:val="24"/>
          <w:lang w:val="en-CA"/>
        </w:rPr>
        <w:t>2001)</w:t>
      </w:r>
      <w:r w:rsidRPr="006F3B00">
        <w:rPr>
          <w:rFonts w:ascii="Times New Roman" w:hAnsi="Times New Roman" w:cs="Times New Roman"/>
          <w:sz w:val="24"/>
          <w:szCs w:val="24"/>
          <w:lang w:val="en-CA"/>
        </w:rPr>
        <w:fldChar w:fldCharType="end"/>
      </w:r>
      <w:r w:rsidR="008229CF">
        <w:rPr>
          <w:rFonts w:ascii="Times New Roman" w:hAnsi="Times New Roman" w:cs="Times New Roman"/>
          <w:sz w:val="24"/>
          <w:szCs w:val="24"/>
          <w:lang w:val="en-CA"/>
        </w:rPr>
        <w:t>. It aims to guide trainee</w:t>
      </w:r>
      <w:r w:rsidRPr="006F3B00">
        <w:rPr>
          <w:rFonts w:ascii="Times New Roman" w:hAnsi="Times New Roman" w:cs="Times New Roman"/>
          <w:sz w:val="24"/>
          <w:szCs w:val="24"/>
          <w:lang w:val="en-CA"/>
        </w:rPr>
        <w:t xml:space="preserve"> learning, improve perf</w:t>
      </w:r>
      <w:r w:rsidR="008229CF">
        <w:rPr>
          <w:rFonts w:ascii="Times New Roman" w:hAnsi="Times New Roman" w:cs="Times New Roman"/>
          <w:sz w:val="24"/>
          <w:szCs w:val="24"/>
          <w:lang w:val="en-CA"/>
        </w:rPr>
        <w:t>ormance and is very much trainee</w:t>
      </w:r>
      <w:r w:rsidRPr="006F3B00">
        <w:rPr>
          <w:rFonts w:ascii="Times New Roman" w:hAnsi="Times New Roman" w:cs="Times New Roman"/>
          <w:sz w:val="24"/>
          <w:szCs w:val="24"/>
          <w:lang w:val="en-CA"/>
        </w:rPr>
        <w:t xml:space="preserve"> focussed </w:t>
      </w:r>
      <w:r w:rsidRPr="006F3B00">
        <w:rPr>
          <w:rFonts w:ascii="Times New Roman" w:hAnsi="Times New Roman" w:cs="Times New Roman"/>
          <w:sz w:val="24"/>
          <w:szCs w:val="24"/>
          <w:lang w:val="en-CA"/>
        </w:rPr>
        <w:fldChar w:fldCharType="begin" w:fldLock="1"/>
      </w:r>
      <w:r w:rsidR="00BE3B6C">
        <w:rPr>
          <w:rFonts w:ascii="Times New Roman" w:hAnsi="Times New Roman" w:cs="Times New Roman"/>
          <w:sz w:val="24"/>
          <w:szCs w:val="24"/>
          <w:lang w:val="en-CA"/>
        </w:rPr>
        <w:instrText>ADDIN CSL_CITATION {"citationItems":[{"id":"ITEM-1","itemData":{"abstract":"Assessment practices in higher education institutions tend not to equip students well for the processes of effective learning in a learning society. The purposes of assessment should be extended to include the preparation of students for sustainable assessment. Sustainable assessment encompasses the abilities required to undertake those activities that necessarily accompany learning throughout life in formal and informal settings. Characteristics of effective formative assessment identified by recent research are used to illustrate features of sustainable assessment. Assessment acts need both to meet the specific and immediate goals of a course as well as establishing a basis for students to undertake their own assessment activities in the future. To draw attention to the importance of this, the idea that assessment always has to do double duty is introduced.","author":[{"dropping-particle":"","family":"Boud","given":"David","non-dropping-particle":"","parse-names":false,"suffix":""}],"container-title":"Continuing Education","id":"ITEM-1","issued":{"date-parts":[["2000"]]},"page":"151-167","title":"Sustaineable Assessment: Rethinking assessment for the learning society","type":"article-journal","volume":"22"},"uris":["http://www.mendeley.com/documents/?uuid=02c31c50-e120-429d-92a1-c6748d01a67d"]},{"id":"ITEM-2","itemData":{"author":[{"dropping-particle":"","family":"Brookhart","given":"S. M.","non-dropping-particle":"","parse-names":false,"suffix":""}],"container-title":"Assessment in Education","id":"ITEM-2","issue":"2","issued":{"date-parts":[["2001"]]},"page":"153 - 168.","title":"Successful Students' Formative and Summative Uses of Assessment Information","type":"article-journal","volume":"8"},"uris":["http://www.mendeley.com/documents/?uuid=026ce05f-2575-4730-a447-0e1ecda713ea"]}],"mendeley":{"formattedCitation":"(Boud, 2000; Brookhart, 2001)","plainTextFormattedCitation":"(Boud, 2000; Brookhart, 2001)","previouslyFormattedCitation":"(Boud 2000; Brookhart 2001)"},"properties":{"noteIndex":0},"schema":"https://github.com/citation-style-language/schema/raw/master/csl-citation.json"}</w:instrText>
      </w:r>
      <w:r w:rsidRPr="006F3B00">
        <w:rPr>
          <w:rFonts w:ascii="Times New Roman" w:hAnsi="Times New Roman" w:cs="Times New Roman"/>
          <w:sz w:val="24"/>
          <w:szCs w:val="24"/>
          <w:lang w:val="en-CA"/>
        </w:rPr>
        <w:fldChar w:fldCharType="separate"/>
      </w:r>
      <w:r w:rsidR="008C3867">
        <w:rPr>
          <w:rFonts w:ascii="Times New Roman" w:hAnsi="Times New Roman" w:cs="Times New Roman"/>
          <w:noProof/>
          <w:sz w:val="24"/>
          <w:szCs w:val="24"/>
          <w:lang w:val="en-CA"/>
        </w:rPr>
        <w:t xml:space="preserve">(Boud </w:t>
      </w:r>
      <w:r w:rsidR="00BE3B6C" w:rsidRPr="00BE3B6C">
        <w:rPr>
          <w:rFonts w:ascii="Times New Roman" w:hAnsi="Times New Roman" w:cs="Times New Roman"/>
          <w:noProof/>
          <w:sz w:val="24"/>
          <w:szCs w:val="24"/>
          <w:lang w:val="en-CA"/>
        </w:rPr>
        <w:t>2000; Brookha</w:t>
      </w:r>
      <w:r w:rsidR="008C3867">
        <w:rPr>
          <w:rFonts w:ascii="Times New Roman" w:hAnsi="Times New Roman" w:cs="Times New Roman"/>
          <w:noProof/>
          <w:sz w:val="24"/>
          <w:szCs w:val="24"/>
          <w:lang w:val="en-CA"/>
        </w:rPr>
        <w:t xml:space="preserve">rt </w:t>
      </w:r>
      <w:r w:rsidR="00BE3B6C" w:rsidRPr="00BE3B6C">
        <w:rPr>
          <w:rFonts w:ascii="Times New Roman" w:hAnsi="Times New Roman" w:cs="Times New Roman"/>
          <w:noProof/>
          <w:sz w:val="24"/>
          <w:szCs w:val="24"/>
          <w:lang w:val="en-CA"/>
        </w:rPr>
        <w:t>2001)</w:t>
      </w:r>
      <w:r w:rsidRPr="006F3B00">
        <w:rPr>
          <w:rFonts w:ascii="Times New Roman" w:hAnsi="Times New Roman" w:cs="Times New Roman"/>
          <w:sz w:val="24"/>
          <w:szCs w:val="24"/>
          <w:lang w:val="en-CA"/>
        </w:rPr>
        <w:fldChar w:fldCharType="end"/>
      </w:r>
      <w:r w:rsidRPr="006F3B00">
        <w:rPr>
          <w:rFonts w:ascii="Times New Roman" w:hAnsi="Times New Roman" w:cs="Times New Roman"/>
          <w:sz w:val="24"/>
          <w:szCs w:val="24"/>
        </w:rPr>
        <w:t xml:space="preserve">. Due to its more open and fluid philosophy, it should also provide feedback for the teacher such that learning, teaching and assessment become a more dynamic process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{"citationItems":[{"id":"ITEM-1","itemData":{"author":[{"dropping-particle":"","family":"Robertson, S., Rosenthal, J., &amp; Dawson","given":"V.","non-dropping-particle":"","parse-names":false,"suffix":""}],"id":"ITEM-1","issued":{"date-parts":[["1997"]]},"number-of-pages":"154 -184","publisher":"Stanley Thornes Ltd.","title":"Using assessment to promote student learning, facilitating Learning in Clinical Settings","type":"book"},"uris":["http://www.mendeley.com/documents/?uuid=7c4d0570-45fe-4966-a784-7c36d6334151"]}],"mendeley":{"formattedCitation":"(Robertson, S., Rosenthal, J., &amp; Dawson, 1997)","plainTextFormattedCitation":"(Robertson, S., Rosenthal, J., &amp; Dawson, 1997)","previouslyFormattedCitation":"(Robertson, S., Rosenthal, J., &amp; Dawson 1997)"},"properties":{"noteIndex":0},"schema":"https://github.com/citation-style-language/schema/raw/master/csl-citation.json"}</w:instrText>
      </w:r>
      <w:r w:rsidRPr="006F3B00">
        <w:rPr>
          <w:rFonts w:ascii="Times New Roman" w:hAnsi="Times New Roman" w:cs="Times New Roman"/>
          <w:sz w:val="24"/>
          <w:szCs w:val="24"/>
        </w:rPr>
        <w:fldChar w:fldCharType="separate"/>
      </w:r>
      <w:r w:rsidR="008C3867">
        <w:rPr>
          <w:rFonts w:ascii="Times New Roman" w:hAnsi="Times New Roman" w:cs="Times New Roman"/>
          <w:noProof/>
          <w:sz w:val="24"/>
          <w:szCs w:val="24"/>
        </w:rPr>
        <w:t>(Robertson, Rosenthal and Dawson</w:t>
      </w:r>
      <w:r w:rsidR="00BE3B6C" w:rsidRPr="00BE3B6C">
        <w:rPr>
          <w:rFonts w:ascii="Times New Roman" w:hAnsi="Times New Roman" w:cs="Times New Roman"/>
          <w:noProof/>
          <w:sz w:val="24"/>
          <w:szCs w:val="24"/>
        </w:rPr>
        <w:t xml:space="preserve"> 1997)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In histopathology, formative assessment may take the shape of an informal discussion between the trainee and the consultant regarding a particular case they have been working on together. It may embody feedback provided to a trainee following presentation at a meeting or teaching event. </w:t>
      </w:r>
    </w:p>
    <w:p w14:paraId="3688A7F1" w14:textId="476F962C"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It is well-known that many medical specialities, including histopathology, are c</w:t>
      </w:r>
      <w:r w:rsidR="00863717">
        <w:rPr>
          <w:rFonts w:ascii="Times New Roman" w:hAnsi="Times New Roman" w:cs="Times New Roman"/>
          <w:sz w:val="24"/>
          <w:szCs w:val="24"/>
        </w:rPr>
        <w:t xml:space="preserve">ontinually evolving and require </w:t>
      </w:r>
      <w:r w:rsidRPr="006F3B00">
        <w:rPr>
          <w:rFonts w:ascii="Times New Roman" w:hAnsi="Times New Roman" w:cs="Times New Roman"/>
          <w:sz w:val="24"/>
          <w:szCs w:val="24"/>
        </w:rPr>
        <w:t>staff to update their knowledge and skills accordingly yet a trainee who has not experienced an educational pathway which has instilled life-long learning, may struggle to develop effectively</w:t>
      </w:r>
      <w:r w:rsidR="00951FB0">
        <w:rPr>
          <w:rFonts w:ascii="Times New Roman" w:hAnsi="Times New Roman" w:cs="Times New Roman"/>
          <w:sz w:val="24"/>
          <w:szCs w:val="24"/>
        </w:rPr>
        <w:t xml:space="preserve"> </w:t>
      </w:r>
      <w:r w:rsidR="00951FB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{"citationItems":[{"id":"ITEM-1","itemData":{"DOI":"10.1080/01421590903050374","ISBN":"1466-187X (Electronic)\\r0142-159X (Linking)","ISSN":"0142159X","PMID":"19811204","abstract":"Reflection is a metacognitive process that creates a greater understanding of both the self and the situation so that future actions can be informed by this understanding. Self-regulated and lifelong learning have reflection as an essential aspect, and it is also required to develop both a therapeutic relationship and professional expertise. There are a variety of educational approaches in undergraduate, postgraduate and continuing medical education that can be used to facilitate reflection, from text based reflective journals and critical incident reports to the creative use of digital media and storytelling. The choice of approach varies with the intended outcomes, but it should also be determined by the user since everyone has a preferred style. Guided reflection, with supportive challenge from a mentor or facilitator, is important so that underlying assumptions can be challenged and new perspectives considered. Feedback also has an important role to enhance reflection. There is little research evidence to suggest that reflection improves quality of care but the process of care can be enhanced.","author":[{"dropping-particle":"","family":"Sandars","given":"John","non-dropping-particle":"","parse-names":false,"suffix":""}],"container-title":"Medical Teacher","id":"ITEM-1","issue":"8","issued":{"date-parts":[["2009"]]},"page":"685-695","title":"The use of reflection in medical education: AMEE Guide No. 44","type":"article","volume":"31"},"uris":["http://www.mendeley.com/documents/?uuid=486f7f70-8613-4bfa-aca1-e19670efd1c7"]}],"mendeley":{"formattedCitation":"(Sandars, 2009)","plainTextFormattedCitation":"(Sandars, 2009)","previouslyFormattedCitation":"(Sandars 2009)"},"properties":{"noteIndex":0},"schema":"https://github.com/citation-style-language/schema/raw/master/csl-citation.json"}</w:instrText>
      </w:r>
      <w:r w:rsidR="00951FB0">
        <w:rPr>
          <w:rFonts w:ascii="Times New Roman" w:hAnsi="Times New Roman" w:cs="Times New Roman"/>
          <w:sz w:val="24"/>
          <w:szCs w:val="24"/>
        </w:rPr>
        <w:fldChar w:fldCharType="separate"/>
      </w:r>
      <w:r w:rsidR="005A60B5">
        <w:rPr>
          <w:rFonts w:ascii="Times New Roman" w:hAnsi="Times New Roman" w:cs="Times New Roman"/>
          <w:noProof/>
          <w:sz w:val="24"/>
          <w:szCs w:val="24"/>
        </w:rPr>
        <w:t xml:space="preserve">(Sandars </w:t>
      </w:r>
      <w:r w:rsidR="00BE3B6C" w:rsidRPr="00BE3B6C">
        <w:rPr>
          <w:rFonts w:ascii="Times New Roman" w:hAnsi="Times New Roman" w:cs="Times New Roman"/>
          <w:noProof/>
          <w:sz w:val="24"/>
          <w:szCs w:val="24"/>
        </w:rPr>
        <w:t>2009)</w:t>
      </w:r>
      <w:r w:rsidR="00951FB0">
        <w:rPr>
          <w:rFonts w:ascii="Times New Roman" w:hAnsi="Times New Roman" w:cs="Times New Roman"/>
          <w:sz w:val="24"/>
          <w:szCs w:val="24"/>
        </w:rPr>
        <w:fldChar w:fldCharType="end"/>
      </w:r>
      <w:r w:rsidR="00951FB0">
        <w:rPr>
          <w:rFonts w:ascii="Times New Roman" w:hAnsi="Times New Roman" w:cs="Times New Roman"/>
          <w:sz w:val="24"/>
          <w:szCs w:val="24"/>
        </w:rPr>
        <w:t>.</w:t>
      </w:r>
      <w:r w:rsidRPr="006F3B00">
        <w:rPr>
          <w:rFonts w:ascii="Times New Roman" w:hAnsi="Times New Roman" w:cs="Times New Roman"/>
          <w:sz w:val="24"/>
          <w:szCs w:val="24"/>
        </w:rPr>
        <w:t>That is why formative assessment provides a rich environment to guide and nurture trainee development, through a process of continual feedback and, in turn, the possibility of subsequent adjustment by the trainee. Cyclical feedback encourages trainee professionalism and can encourage confidence in themselves as professionals</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{"citationItems":[{"id":"ITEM-1","itemData":{"author":[{"dropping-particle":"","family":"Robertson, S., Rosenthal, J., &amp; Dawson","given":"V.","non-dropping-particle":"","parse-names":false,"suffix":""}],"id":"ITEM-1","issued":{"date-parts":[["1997"]]},"number-of-pages":"154 -184","publisher":"Stanley Thornes Ltd.","title":"Using assessment to promote student learning, facilitating Learning in Clinical Settings","type":"book"},"uris":["http://www.mendeley.com/documents/?uuid=7c4d0570-45fe-4966-a784-7c36d6334151"]}],"mendeley":{"formattedCitation":"(Robertson, S., Rosenthal, J., &amp; Dawson, 1997)","plainTextFormattedCitation":"(Robertson, S., Rosenthal, J., &amp; Dawson, 1997)","previouslyFormattedCitation":"(Robertson, S., Rosenthal, J., &amp; Dawson 1997)"},"properties":{"noteIndex":0},"schema":"https://github.com/citation-style-language/schema/raw/master/csl-citation.json"}</w:instrText>
      </w:r>
      <w:r w:rsidRPr="006F3B00">
        <w:rPr>
          <w:rFonts w:ascii="Times New Roman" w:hAnsi="Times New Roman" w:cs="Times New Roman"/>
          <w:sz w:val="24"/>
          <w:szCs w:val="24"/>
        </w:rPr>
        <w:fldChar w:fldCharType="separate"/>
      </w:r>
      <w:r w:rsidR="005A60B5">
        <w:rPr>
          <w:rFonts w:ascii="Times New Roman" w:hAnsi="Times New Roman" w:cs="Times New Roman"/>
          <w:noProof/>
          <w:sz w:val="24"/>
          <w:szCs w:val="24"/>
        </w:rPr>
        <w:t>(Robertson,Rosenthal and Dawson</w:t>
      </w:r>
      <w:r w:rsidR="00BE3B6C" w:rsidRPr="00BE3B6C">
        <w:rPr>
          <w:rFonts w:ascii="Times New Roman" w:hAnsi="Times New Roman" w:cs="Times New Roman"/>
          <w:noProof/>
          <w:sz w:val="24"/>
          <w:szCs w:val="24"/>
        </w:rPr>
        <w:t xml:space="preserve"> 1997)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339F96DA" w14:textId="77777777" w:rsidR="00863DF5" w:rsidRPr="006F3B00" w:rsidRDefault="00863DF5" w:rsidP="00FF5302">
      <w:pPr>
        <w:spacing w:after="0" w:line="480" w:lineRule="auto"/>
        <w:rPr>
          <w:rFonts w:ascii="Times New Roman" w:hAnsi="Times New Roman" w:cs="Times New Roman"/>
          <w:sz w:val="24"/>
          <w:szCs w:val="24"/>
        </w:rPr>
      </w:pPr>
    </w:p>
    <w:p w14:paraId="0C6AFBEB" w14:textId="4A156948" w:rsidR="00863DF5" w:rsidRDefault="00AB7286" w:rsidP="00FF5302">
      <w:pPr>
        <w:spacing w:after="0" w:line="480" w:lineRule="auto"/>
        <w:rPr>
          <w:rFonts w:ascii="Times New Roman" w:hAnsi="Times New Roman" w:cs="Times New Roman"/>
          <w:b/>
          <w:sz w:val="24"/>
          <w:szCs w:val="24"/>
          <w:lang w:val="en-CA"/>
        </w:rPr>
      </w:pPr>
      <w:r>
        <w:rPr>
          <w:rFonts w:ascii="Times New Roman" w:hAnsi="Times New Roman" w:cs="Times New Roman"/>
          <w:b/>
          <w:sz w:val="24"/>
          <w:szCs w:val="24"/>
          <w:lang w:val="en-CA"/>
        </w:rPr>
        <w:t>1.2.2.3</w:t>
      </w:r>
      <w:r w:rsidR="00863DF5" w:rsidRPr="006F3B00">
        <w:rPr>
          <w:rFonts w:ascii="Times New Roman" w:hAnsi="Times New Roman" w:cs="Times New Roman"/>
          <w:b/>
          <w:sz w:val="24"/>
          <w:szCs w:val="24"/>
          <w:lang w:val="en-CA"/>
        </w:rPr>
        <w:t xml:space="preserve"> Combined approach</w:t>
      </w:r>
    </w:p>
    <w:p w14:paraId="3274C001" w14:textId="77777777" w:rsidR="00FF5302" w:rsidRPr="006F3B00" w:rsidRDefault="00FF5302" w:rsidP="00FF5302">
      <w:pPr>
        <w:spacing w:after="0" w:line="480" w:lineRule="auto"/>
        <w:rPr>
          <w:rFonts w:ascii="Times New Roman" w:hAnsi="Times New Roman" w:cs="Times New Roman"/>
          <w:b/>
          <w:sz w:val="24"/>
          <w:szCs w:val="24"/>
          <w:lang w:val="en-CA"/>
        </w:rPr>
      </w:pPr>
    </w:p>
    <w:p w14:paraId="7F4F2E39" w14:textId="6271E3AE"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balance of both summative </w:t>
      </w:r>
      <w:r w:rsidR="005A60B5">
        <w:rPr>
          <w:rFonts w:ascii="Times New Roman" w:hAnsi="Times New Roman" w:cs="Times New Roman"/>
          <w:sz w:val="24"/>
          <w:szCs w:val="24"/>
        </w:rPr>
        <w:t>s</w:t>
      </w:r>
      <w:r w:rsidRPr="006F3B00">
        <w:rPr>
          <w:rFonts w:ascii="Times New Roman" w:hAnsi="Times New Roman" w:cs="Times New Roman"/>
          <w:sz w:val="24"/>
          <w:szCs w:val="24"/>
        </w:rPr>
        <w:t xml:space="preserve">and formative assessment is often implemented in education, but the boundaries between the two may be somewhat blurred.  Sometimes this is inevitable but it doesn’t always necessitate change as assessment should be flexible. Nevertheless, in </w:t>
      </w:r>
      <w:r w:rsidR="001E5DEF">
        <w:rPr>
          <w:rFonts w:ascii="Times New Roman" w:hAnsi="Times New Roman" w:cs="Times New Roman"/>
          <w:sz w:val="24"/>
          <w:szCs w:val="24"/>
        </w:rPr>
        <w:t xml:space="preserve">certain circumstances, trainees </w:t>
      </w:r>
      <w:r w:rsidRPr="006F3B00">
        <w:rPr>
          <w:rFonts w:ascii="Times New Roman" w:hAnsi="Times New Roman" w:cs="Times New Roman"/>
          <w:sz w:val="24"/>
          <w:szCs w:val="24"/>
        </w:rPr>
        <w:t>do need to know if an assessment is going to be scored or documented so they can prepare appropriately and learn from the event.  From the assessor’s point of view, he/she may also experience personal conflict, as in some instances, th</w:t>
      </w:r>
      <w:r w:rsidR="001E5DEF">
        <w:rPr>
          <w:rFonts w:ascii="Times New Roman" w:hAnsi="Times New Roman" w:cs="Times New Roman"/>
          <w:sz w:val="24"/>
          <w:szCs w:val="24"/>
        </w:rPr>
        <w:t xml:space="preserve">ey want to assist their trainee’s </w:t>
      </w:r>
      <w:r w:rsidRPr="006F3B00">
        <w:rPr>
          <w:rFonts w:ascii="Times New Roman" w:hAnsi="Times New Roman" w:cs="Times New Roman"/>
          <w:sz w:val="24"/>
          <w:szCs w:val="24"/>
        </w:rPr>
        <w:t>learning (formative) but in other circumstances, they may be asked to make a final decision regarding their competence (summative)</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{"citationItems":[{"id":"ITEM-1","itemData":{"DOI":"http://dx.doi.org/10.1080/02602930120052369","ISBN":"0260-2938","ISSN":"0260-2938","abstract":"The range of conditions necessary for valid and reliable assessment of clinical competence may result in a gap between amount of evidence available from performance and that required for safe inferences of competence. Two assessment forms were compared for validity and reliability, using six video vignettes of undergraduates on placement. Form A was currently in use on the programme. Form B was developed from a Delphi study involving 108 physiotherapy practitioners' perceptions of competence. Effects of training on assessment decisions were also investigated. Results indicated wide differences in individual ability to assess students. Good students tended to be rated less positively than deserved and poor students better than deserved. Judgements were more valid and reliable on Form B than on Form A (A: ? = 0.496, rho = 0.61; B: ? = 0.647, rho = 0.71) Judgements on both forms were more reliable after training than before (before: ? = 0.524, rho = 0.62; after: ? = 0.620, rho = 0.70). Factor analysis of assessment data from both forms indicated Form B had greater validity amongst clinical assessors. It is concluded that video vignettes are effective in monitoring assessors' judgements and helping to identify the amount of evidence that can reasonably and reliably be collected by clinicians assessing undergraduates in the clinical environment.\\nThe range of conditions necessary for valid and reliable assessment of clinical competence may result in a gap between amount of evidence available from performance and that required for safe inferences of competence. Two assessment forms were compared for validity and reliability, using six video vignettes of undergraduates on placement. Form A was currently in use on the programme. Form B was developed from a Delphi study involving 108 physiotherapy practitioners' perceptions of competence. Effects of training on assessment decisions were also investigated. Results indicated wide differences in individual ability to assess students. Good students tended to be rated less positively than deserved and poor students better than deserved. Judgements were more valid and reliable on Form B than on Form A (A: ? = 0.496, rho = 0.61; B: ? = 0.647, rho = 0.71) Judgements on both forms were more reliable after training than before (before: ? = 0.524, rho = 0.62; after: ? = 0.620, rho = 0.70). Factor analysis of assessment data from both forms indicated Form B had greater validity amongst clinical assessors. It is concluded th…","author":[{"dropping-particle":"","family":"Cross","given":"Vinette","non-dropping-particle":"","parse-names":false,"suffix":""},{"dropping-particle":"","family":"Hicks","given":"Carolyn","non-dropping-particle":"","parse-names":false,"suffix":""},{"dropping-particle":"","family":"Barwell","given":"Fred","non-dropping-particle":"","parse-names":false,"suffix":""}],"container-title":"Assessment &amp; Evaluation in Higher Education","id":"ITEM-1","issue":"3","issued":{"date-parts":[["2001"]]},"page":"189-212","title":"Assessment &amp; Evaluation in Higher Education Exploring the Gap Between Evidence and Judgement : Using video vignettes for practice-based assessment of physiotherapy undergraduates","type":"article-journal","volume":"26"},"uris":["http://www.mendeley.com/documents/?uuid=5512f7b6-b509-4f3e-ab70-3e423cebc926"]},{"id":"ITEM-2","itemData":{"ISSN":"03092402","PMID":"8708257","abstract":"Evaluation of nursing students in the clinical field requires the clinical teacher to make judgements regarding student progress in a number of areas. In this study concepts of role theory, oppressed group behaviour and the ethics of caring emerged and were used as conceptual frameworks to interpret the data relating to the evaluation of undergraduate students. The number of experienced faculty available for clinical teaching and evaluation has become inadequate and a large number of casual or sessional clinical teachers are employed to teach students in the clinical field. Despite the well documented problems associated with clinical teaching and the use of inexperienced clinical teachers, sessional clinical teachers are nevertheless expected to evaluate student success in meeting the clinical requirements of the nursing course, often resulting in disparate decisions for students. A phenomenological study was carried out using unstructured interviews and written clinical scenarios, to explore the evaluation process from the perspective of the sessional clinical teachers. Research findings indicate that although the sessional clinical teachers were skilled at identifying student problems, they were reluctant to make difficult evaluation decisions, due to low self-esteem, role conflict and their ethic of caring. It seems that gender socialization, patriarchal dominance and apprenticeship training had effected their confidence in their own decision making. The implications of such findings are of concern for the ongoing credibility and integrity of nursing courses, as clinical teachers have an influence on the nursing profession through the preparation of its practitioners.","author":[{"dropping-particle":"","family":"Duke","given":"M","non-dropping-particle":"","parse-names":false,"suffix":""}],"container-title":"Journal of advanced nursing","id":"ITEM-2","issue":"2","issued":{"date-parts":[["1996"]]},"page":"408-414","title":"Clinical evaluation--difficulties experienced by sessional clinical teachers of nursing: a qualitative study.","type":"article-journal","volume":"23"},"uris":["http://www.mendeley.com/documents/?uuid=9ae59cb0-0858-4f1a-a208-2ee5cfcebe8e"]},{"id":"ITEM-3","itemData":{"DOI":"10.1080/0260293970220304","ISBN":"0260293970","ISSN":"0260-2938","abstract":"Assessing individuals as failures in education and training is rarely something that is done lightly or without misgivings. Related to this, the challenges of setting clear threshold or passing standards, are considerable. Assessors' affective responses during fail scenarios in professional training were explored during focused interviews with 30 academic and practice staff. The pattern of feelings reported at each stage of the decision-making process, factors which influence judgements and the reactions of others are described. The strength and spread of feelings stand out as an important sources of evidence. Understanding more about these affective responses may assist assessors as they make critical judgements at the margins of professional competence.","author":[{"dropping-particle":"","family":"Ilott","given":"Irene","non-dropping-particle":"","parse-names":false,"suffix":""},{"dropping-particle":"","family":"Murphy","given":"Roger","non-dropping-particle":"","parse-names":false,"suffix":""}],"container-title":"Assessment &amp; Evaluation in Higher Education","id":"ITEM-3","issue":"3","issued":{"date-parts":[["1997"]]},"page":"307-316","title":"Feelings and Failing in Professional Training: the assessor's dilemma","type":"article-journal","volume":"22"},"uris":["http://www.mendeley.com/documents/?uuid=59723d5e-516d-451b-9d49-6f8d515fa565"]}],"mendeley":{"formattedCitation":"(Duke, 1996; Ilott and Murphy, 1997; Cross, Hicks and Barwell, 2001)","plainTextFormattedCitation":"(Duke, 1996; Ilott and Murphy, 1997; Cross, Hicks and Barwell, 2001)","previouslyFormattedCitation":"(V. Cross, Hicks, and Barwell 2001; Duke 1996; Ilott and Murphy 1997)"},"properties":{"noteIndex":0},"schema":"https://github.com/citation-style-language/schema/raw/master/csl-citation.json"}</w:instrText>
      </w:r>
      <w:r w:rsidRPr="006F3B00">
        <w:rPr>
          <w:rFonts w:ascii="Times New Roman" w:hAnsi="Times New Roman" w:cs="Times New Roman"/>
          <w:sz w:val="24"/>
          <w:szCs w:val="24"/>
        </w:rPr>
        <w:fldChar w:fldCharType="separate"/>
      </w:r>
      <w:r w:rsidR="0001001F">
        <w:rPr>
          <w:rFonts w:ascii="Times New Roman" w:hAnsi="Times New Roman" w:cs="Times New Roman"/>
          <w:noProof/>
          <w:sz w:val="24"/>
          <w:szCs w:val="24"/>
        </w:rPr>
        <w:t xml:space="preserve">(Duke 1996; Ilott and Murphy 1997; Cross, Hicks and Barwell </w:t>
      </w:r>
      <w:r w:rsidR="00BE3B6C" w:rsidRPr="00BE3B6C">
        <w:rPr>
          <w:rFonts w:ascii="Times New Roman" w:hAnsi="Times New Roman" w:cs="Times New Roman"/>
          <w:noProof/>
          <w:sz w:val="24"/>
          <w:szCs w:val="24"/>
        </w:rPr>
        <w:t>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As such, assessment should</w:t>
      </w:r>
      <w:r w:rsidR="00C2177B">
        <w:rPr>
          <w:rFonts w:ascii="Times New Roman" w:hAnsi="Times New Roman" w:cs="Times New Roman"/>
          <w:sz w:val="24"/>
          <w:szCs w:val="24"/>
        </w:rPr>
        <w:t xml:space="preserve"> not</w:t>
      </w:r>
      <w:r w:rsidRPr="006F3B00">
        <w:rPr>
          <w:rFonts w:ascii="Times New Roman" w:hAnsi="Times New Roman" w:cs="Times New Roman"/>
          <w:sz w:val="24"/>
          <w:szCs w:val="24"/>
        </w:rPr>
        <w:t xml:space="preserve"> be a source of reward or punishment but be a source o</w:t>
      </w:r>
      <w:r w:rsidR="008229CF">
        <w:rPr>
          <w:rFonts w:ascii="Times New Roman" w:hAnsi="Times New Roman" w:cs="Times New Roman"/>
          <w:sz w:val="24"/>
          <w:szCs w:val="24"/>
        </w:rPr>
        <w:t>f insight and facilitate trainee</w:t>
      </w:r>
      <w:r w:rsidRPr="006F3B00">
        <w:rPr>
          <w:rFonts w:ascii="Times New Roman" w:hAnsi="Times New Roman" w:cs="Times New Roman"/>
          <w:sz w:val="24"/>
          <w:szCs w:val="24"/>
        </w:rPr>
        <w:t xml:space="preserve"> progress</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{"citationItems":[{"id":"ITEM-1","itemData":{"DOI":"10.3102/0013189X029007004","ISSN":"0013-189X","abstract":"The Role of Assessment in a Learning Culture Lorrie A. Shepard Educational Researcher Vol. 29, No. 7 (Oct., 2000), pp. 4-14","author":[{"dropping-particle":"","family":"Shepard","given":"L.A.","non-dropping-particle":"","parse-names":false,"suffix":""}],"container-title":"Educational Researcher","id":"ITEM-1","issued":{"date-parts":[["2000"]]},"page":"4-14","title":"The Role of Assessment in a Learning Culture","type":"article-journal","volume":"29"},"uris":["http://www.mendeley.com/documents/?uuid=cc47b57e-ad38-4ced-a5f3-51af0a34f353"]}],"mendeley":{"formattedCitation":"(Shepard, 2000)","plainTextFormattedCitation":"(Shepard, 2000)","previouslyFormattedCitation":"(Shepard 2000)"},"properties":{"noteIndex":0},"schema":"https://github.com/citation-style-language/schema/raw/master/csl-citation.json"}</w:instrText>
      </w:r>
      <w:r w:rsidRPr="006F3B00">
        <w:rPr>
          <w:rFonts w:ascii="Times New Roman" w:hAnsi="Times New Roman" w:cs="Times New Roman"/>
          <w:sz w:val="24"/>
          <w:szCs w:val="24"/>
        </w:rPr>
        <w:fldChar w:fldCharType="separate"/>
      </w:r>
      <w:r w:rsidR="0001001F">
        <w:rPr>
          <w:rFonts w:ascii="Times New Roman" w:hAnsi="Times New Roman" w:cs="Times New Roman"/>
          <w:noProof/>
          <w:sz w:val="24"/>
          <w:szCs w:val="24"/>
        </w:rPr>
        <w:t xml:space="preserve">(Shepard </w:t>
      </w:r>
      <w:r w:rsidR="00BE3B6C" w:rsidRPr="00BE3B6C">
        <w:rPr>
          <w:rFonts w:ascii="Times New Roman" w:hAnsi="Times New Roman" w:cs="Times New Roman"/>
          <w:noProof/>
          <w:sz w:val="24"/>
          <w:szCs w:val="24"/>
        </w:rPr>
        <w:t>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However, it could be argued that those assessments which are meant to foster learning and development should not be used to measure attainment as the purpose is not to pass judgement. This could undermine the purpose of formative assessment and potentially pu</w:t>
      </w:r>
      <w:r w:rsidR="008229CF">
        <w:rPr>
          <w:rFonts w:ascii="Times New Roman" w:hAnsi="Times New Roman" w:cs="Times New Roman"/>
          <w:sz w:val="24"/>
          <w:szCs w:val="24"/>
        </w:rPr>
        <w:t>t strain on the assessor-trainee</w:t>
      </w:r>
      <w:r w:rsidRPr="006F3B00">
        <w:rPr>
          <w:rFonts w:ascii="Times New Roman" w:hAnsi="Times New Roman" w:cs="Times New Roman"/>
          <w:sz w:val="24"/>
          <w:szCs w:val="24"/>
        </w:rPr>
        <w:t xml:space="preserve"> relationship.</w:t>
      </w:r>
    </w:p>
    <w:p w14:paraId="1BAD4854" w14:textId="77777777" w:rsidR="00863DF5" w:rsidRPr="006F3B00" w:rsidRDefault="00863DF5" w:rsidP="00863DF5">
      <w:pPr>
        <w:spacing w:after="0" w:line="480" w:lineRule="auto"/>
        <w:rPr>
          <w:rFonts w:ascii="Times New Roman" w:hAnsi="Times New Roman" w:cs="Times New Roman"/>
          <w:sz w:val="24"/>
          <w:szCs w:val="24"/>
        </w:rPr>
      </w:pPr>
    </w:p>
    <w:p w14:paraId="61BC8FA9" w14:textId="3C38DF7A"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Summative and formative assessments can also be categorised as either objective or subjective. Objective assessment only has one or a limited number of correct answers and may take the form of a multiple-choice question (MCQ) examination. Objective assessment may be perceived as being more reliable but this is not always the case</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{"citationItems":[{"id":"ITEM-1","itemData":{"DOI":"10.1111/j.1365-2929.2005.02094.x","ISBN":"0308-0110 (Print)","ISSN":"03080110","PMID":"15733167","abstract":"INTRODUCTION: We use a utility model to illustrate that, firstly, selecting an assessment method involves context-dependent compromises, and secondly, that assessment is not a measurement problem but an instructional design problem, comprising educational, implementation and resource aspects. In the model, assessment characteristics are differently weighted depending on the purpose and context of the assessment. EMPIRICAL AND THEORETICAL DEVELOPMENTS: Of the characteristics in the model, we focus on reliability, validity and educational impact and argue that they are not inherent qualities of any instrument. Reliability depends not on structuring or standardisation but on sampling. Key issues concerning validity are authenticity and integration of competencies. Assessment in medical education addresses complex competencies and thus requires quantitative and qualitative information from different sources as well as professional judgement. Adequate sampling across judges, instruments and contexts can ensure both validity and reliability. Despite recognition that assessment drives learning, this relationship has been little researched, possibly because of its strong context dependence. ASSESSMENT AS INSTRUCTIONAL DESIGN: When assessment should stimulate learning and requires adequate sampling, in authentic contexts, of the performance of complex competencies that cannot be broken down into simple parts, we need to make a shift from individual methods to an integral programme, intertwined with the education programme. Therefore, we need an instructional design perspective. IMPLICATIONS FOR DEVELOPMENT AND RESEARCH: Programmatic instructional design hinges on a careful description and motivation of choices, whose effectiveness should be measured against the intended outcomes. We should not evaluate individual methods, but provide evidence of the utility of the assessment programme as a whole.","author":[{"dropping-particle":"","family":"Vleuten","given":"C. P M","non-dropping-particle":"Van Der","parse-names":false,"suffix":""},{"dropping-particle":"","family":"Schuwirth","given":"L. W T","non-dropping-particle":"","parse-names":false,"suffix":""}],"container-title":"Medical Education","id":"ITEM-1","issue":"3","issued":{"date-parts":[["2005"]]},"page":"309-317","title":"Assessing professional competence: From methods to programmes","type":"article-journal","volume":"39"},"uris":["http://www.mendeley.com/documents/?uuid=57592151-3b74-439e-9b0a-d6b6b51a911a"]}],"mendeley":{"formattedCitation":"(Van Der Vleuten and Schuwirth, 2005)","plainTextFormattedCitation":"(Van Der Vleuten and Schuwirth, 2005)","previouslyFormattedCitation":"(Van Der Vleuten and Schuwirth 2005)"},"properties":{"noteIndex":0},"schema":"https://github.com/citation-style-language/schema/raw/master/csl-citation.json"}</w:instrText>
      </w:r>
      <w:r w:rsidRPr="006F3B00">
        <w:rPr>
          <w:rFonts w:ascii="Times New Roman" w:hAnsi="Times New Roman" w:cs="Times New Roman"/>
          <w:sz w:val="24"/>
          <w:szCs w:val="24"/>
        </w:rPr>
        <w:fldChar w:fldCharType="separate"/>
      </w:r>
      <w:r w:rsidR="007B031A">
        <w:rPr>
          <w:rFonts w:ascii="Times New Roman" w:hAnsi="Times New Roman" w:cs="Times New Roman"/>
          <w:noProof/>
          <w:sz w:val="24"/>
          <w:szCs w:val="24"/>
        </w:rPr>
        <w:t>(v</w:t>
      </w:r>
      <w:r w:rsidR="0001001F">
        <w:rPr>
          <w:rFonts w:ascii="Times New Roman" w:hAnsi="Times New Roman" w:cs="Times New Roman"/>
          <w:noProof/>
          <w:sz w:val="24"/>
          <w:szCs w:val="24"/>
        </w:rPr>
        <w:t xml:space="preserve">an Der Vleuten and Schuwirth </w:t>
      </w:r>
      <w:r w:rsidR="00BE3B6C" w:rsidRPr="00BE3B6C">
        <w:rPr>
          <w:rFonts w:ascii="Times New Roman" w:hAnsi="Times New Roman" w:cs="Times New Roman"/>
          <w:noProof/>
          <w:sz w:val="24"/>
          <w:szCs w:val="24"/>
        </w:rPr>
        <w:t>2005)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Objective assessments can be stifling and limit responses, which can over-simplify the constructs being examined. In subjective </w:t>
      </w:r>
      <w:r w:rsidRPr="006F3B00">
        <w:rPr>
          <w:rFonts w:ascii="Times New Roman" w:hAnsi="Times New Roman" w:cs="Times New Roman"/>
          <w:sz w:val="24"/>
          <w:szCs w:val="24"/>
        </w:rPr>
        <w:lastRenderedPageBreak/>
        <w:t>assessment the question posed may have several interpretations and more than one correct answer. Essay questions typically allow for more subjectivity in the answer. In reality, nearly all assessment methods have an element of subjectivity</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{"citationItems":[{"id":"ITEM-1","itemData":{"DOI":"10.1080/02602930120063457","ISBN":"0260-2938\\n1469-297X","ISSN":"0260-2938","abstract":"Assessment has a central role in formal education. It is the process that determines whether or not learners have succeeded. Traditionally teachers have been all-powerful in assessment processes. They decide what is to be assessed, how it will be assessed and what criteria will be used. They make judgements about which students have met the standards. This is beginning to change as more people, particularly in adult education, question conventional views of assessment. There is a growing recognition that adult learners have a legitimate role in an assessment partnership. This paper critiques the existing hegemony in assessment, considers our conception of learner empowerment in relation to assessment and describes how it is implemented in practice. STudents' perceptions are considered and issues about the practices are identified.","author":[{"dropping-particle":"","family":"Leach","given":"Linda","non-dropping-particle":"","parse-names":false,"suffix":""},{"dropping-particle":"","family":"Neutze","given":"Guyon","non-dropping-particle":"","parse-names":false,"suffix":""},{"dropping-particle":"","family":"Zepke","given":"Nick","non-dropping-particle":"","parse-names":false,"suffix":""}],"container-title":"Assessment &amp; Evaluation in Higher Education","id":"ITEM-1","issue":"4","issued":{"date-parts":[["2001"]]},"page":"293-305","title":"Assessment and empowerment: Some critical questions","type":"article-journal","volume":"26"},"uris":["http://www.mendeley.com/documents/?uuid=db618eb7-9c55-4e68-9340-3f331f95740e"]}],"mendeley":{"formattedCitation":"(Leach, Neutze and Zepke, 2001)","plainTextFormattedCitation":"(Leach, Neutze and Zepke, 2001)","previouslyFormattedCitation":"(Leach, Neutze, and Zepke 2001)"},"properties":{"noteIndex":0},"schema":"https://github.com/citation-style-language/schema/raw/master/csl-citation.json"}</w:instrText>
      </w:r>
      <w:r w:rsidRPr="006F3B00">
        <w:rPr>
          <w:rFonts w:ascii="Times New Roman" w:hAnsi="Times New Roman" w:cs="Times New Roman"/>
          <w:sz w:val="24"/>
          <w:szCs w:val="24"/>
        </w:rPr>
        <w:fldChar w:fldCharType="separate"/>
      </w:r>
      <w:r w:rsidR="0001001F">
        <w:rPr>
          <w:rFonts w:ascii="Times New Roman" w:hAnsi="Times New Roman" w:cs="Times New Roman"/>
          <w:noProof/>
          <w:sz w:val="24"/>
          <w:szCs w:val="24"/>
        </w:rPr>
        <w:t xml:space="preserve">(Leach, Neutze and Zepke </w:t>
      </w:r>
      <w:r w:rsidR="00BE3B6C" w:rsidRPr="00BE3B6C">
        <w:rPr>
          <w:rFonts w:ascii="Times New Roman" w:hAnsi="Times New Roman" w:cs="Times New Roman"/>
          <w:noProof/>
          <w:sz w:val="24"/>
          <w:szCs w:val="24"/>
        </w:rPr>
        <w:t>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 and whenever assessments are designed, they require an exercise in judgement regarding their content and difficulty</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{"citationItems":[{"id":"ITEM-1","itemData":{"DOI":"10.1080/13636829900200073","ISSN":"1363-6820","abstract":"Several studies into the response of Australian teachers, in the vocational education and training (VET) sector, to the implementation of competency-based education (CBE) have identified the role of judgement in competency-based assessment as a source of confusion and distress for assessors. This article explores the role of judgement from a philosophical perspective drawing on the work of Ryle, Geach and Polanyi. It is seen that judgement plays a pivotal role in all learning and assessment. The large component of tacit knowledge and judgement associated with vocational education requires high levels of vocational and educational expertise on the part of assessors. The implications of this for professional development of VET teachers are discussed briefly. The model of CBE that emerges from this article emphasises the exchange of tacit knowledge and the exercise of tacit judgement in learning. This model throws new light on many of the old debates in CBE and training and these are discussed","author":[{"dropping-particle":"","family":"Jones","given":"Anne","non-dropping-particle":"","parse-names":false,"suffix":""}],"container-title":"Journal of Vocational Education &amp; Training","id":"ITEM-1","issue":"1","issued":{"date-parts":[["1999"]]},"page":"145-160","title":"The place of judgement in competency-based assessment","type":"article-journal","volume":"51"},"uris":["http://www.mendeley.com/documents/?uuid=fa708485-bdae-4eae-9805-ffb582f43ad1"]}],"mendeley":{"formattedCitation":"(Jones, 1999)","plainTextFormattedCitation":"(Jones, 1999)","previouslyFormattedCitation":"(A. Jones 1999)"},"properties":{"noteIndex":0},"schema":"https://github.com/citation-style-language/schema/raw/master/csl-citation.json"}</w:instrText>
      </w:r>
      <w:r w:rsidRPr="006F3B00">
        <w:rPr>
          <w:rFonts w:ascii="Times New Roman" w:hAnsi="Times New Roman" w:cs="Times New Roman"/>
          <w:sz w:val="24"/>
          <w:szCs w:val="24"/>
        </w:rPr>
        <w:fldChar w:fldCharType="separate"/>
      </w:r>
      <w:r w:rsidR="00A856D9">
        <w:rPr>
          <w:rFonts w:ascii="Times New Roman" w:hAnsi="Times New Roman" w:cs="Times New Roman"/>
          <w:noProof/>
          <w:sz w:val="24"/>
          <w:szCs w:val="24"/>
        </w:rPr>
        <w:t xml:space="preserve">(Jones </w:t>
      </w:r>
      <w:r w:rsidR="00BE3B6C" w:rsidRPr="00BE3B6C">
        <w:rPr>
          <w:rFonts w:ascii="Times New Roman" w:hAnsi="Times New Roman" w:cs="Times New Roman"/>
          <w:noProof/>
          <w:sz w:val="24"/>
          <w:szCs w:val="24"/>
        </w:rPr>
        <w:t>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It can be argued that no assessment is completely objective, as most assessments have inherent biases which may stem from examiner preferences or wider cultural influences. In practical terms, it is necessary to ensure that biases or subjectivity is spread evenly across ex</w:t>
      </w:r>
      <w:r w:rsidR="008229CF">
        <w:rPr>
          <w:rFonts w:ascii="Times New Roman" w:hAnsi="Times New Roman" w:cs="Times New Roman"/>
          <w:sz w:val="24"/>
          <w:szCs w:val="24"/>
        </w:rPr>
        <w:t>aminers so that each trainee</w:t>
      </w:r>
      <w:r w:rsidRPr="006F3B00">
        <w:rPr>
          <w:rFonts w:ascii="Times New Roman" w:hAnsi="Times New Roman" w:cs="Times New Roman"/>
          <w:sz w:val="24"/>
          <w:szCs w:val="24"/>
        </w:rPr>
        <w:t xml:space="preserve"> receives a similar experience. However, this is difficult to manage as there are multiple factors to control such as how the test was designed, administered, by whom and under what conditions</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{"citationItems":[{"id":"ITEM-1","itemData":{"ISSN":"00255769","abstract":"Using examples of a teacher-made quiz, the AP Calculus test, and the SAT I exam, Lew demonstrates the subjectivity inherent in each of these thought-to-be-objective tests. He argues that no one measure is a consistent and meaningful indicator of a student&amp;apos;s knowledge. In conclusion, he states that focusing on dichotomous positions on issues in mathematics education, he suggests working towards developing more consistent and useful means to assess student&amp;apos;s understanding.","author":[{"dropping-particle":"","family":"Romagnano","given":"L","non-dropping-particle":"","parse-names":false,"suffix":""}],"container-title":"Mathematics Teacher","id":"ITEM-1","issue":"1","issued":{"date-parts":[["2001"]]},"page":"31-37","title":"The myth of objectivity in mathematics assessment","type":"article-journal","volume":"94"},"uris":["http://www.mendeley.com/documents/?uuid=734b3b68-d396-40c9-aac0-ef01f52a5fca"]}],"mendeley":{"formattedCitation":"(Romagnano, 2001)","plainTextFormattedCitation":"(Romagnano, 2001)","previouslyFormattedCitation":"(Romagnano 2001)"},"properties":{"noteIndex":0},"schema":"https://github.com/citation-style-language/schema/raw/master/csl-citation.json"}</w:instrText>
      </w:r>
      <w:r w:rsidRPr="006F3B00">
        <w:rPr>
          <w:rFonts w:ascii="Times New Roman" w:hAnsi="Times New Roman" w:cs="Times New Roman"/>
          <w:sz w:val="24"/>
          <w:szCs w:val="24"/>
        </w:rPr>
        <w:fldChar w:fldCharType="separate"/>
      </w:r>
      <w:r w:rsidR="00A856D9">
        <w:rPr>
          <w:rFonts w:ascii="Times New Roman" w:hAnsi="Times New Roman" w:cs="Times New Roman"/>
          <w:noProof/>
          <w:sz w:val="24"/>
          <w:szCs w:val="24"/>
        </w:rPr>
        <w:t xml:space="preserve">(Romagnano </w:t>
      </w:r>
      <w:r w:rsidR="00BE3B6C" w:rsidRPr="00BE3B6C">
        <w:rPr>
          <w:rFonts w:ascii="Times New Roman" w:hAnsi="Times New Roman" w:cs="Times New Roman"/>
          <w:noProof/>
          <w:sz w:val="24"/>
          <w:szCs w:val="24"/>
        </w:rPr>
        <w:t>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This is where examiner briefings, standard setting and post-exam feedback can help to inform future assessment rounds.</w:t>
      </w:r>
    </w:p>
    <w:p w14:paraId="19E03BBC" w14:textId="6AD82DF1" w:rsidR="00863DF5" w:rsidRPr="006F3B00" w:rsidRDefault="007A0757" w:rsidP="00FF5302">
      <w:pPr>
        <w:pStyle w:val="Heading2"/>
        <w:spacing w:line="480" w:lineRule="auto"/>
        <w:rPr>
          <w:rFonts w:ascii="Times New Roman" w:hAnsi="Times New Roman" w:cs="Times New Roman"/>
          <w:color w:val="auto"/>
          <w:sz w:val="24"/>
          <w:szCs w:val="24"/>
        </w:rPr>
      </w:pPr>
      <w:bookmarkStart w:id="7" w:name="_Toc23243736"/>
      <w:r>
        <w:rPr>
          <w:rFonts w:ascii="Times New Roman" w:hAnsi="Times New Roman" w:cs="Times New Roman"/>
          <w:color w:val="auto"/>
          <w:sz w:val="24"/>
          <w:szCs w:val="24"/>
        </w:rPr>
        <w:t>1.1</w:t>
      </w:r>
      <w:r w:rsidR="00AB7286">
        <w:rPr>
          <w:rFonts w:ascii="Times New Roman" w:hAnsi="Times New Roman" w:cs="Times New Roman"/>
          <w:color w:val="auto"/>
          <w:sz w:val="24"/>
          <w:szCs w:val="24"/>
        </w:rPr>
        <w:t>.3</w:t>
      </w:r>
      <w:r w:rsidR="00863DF5" w:rsidRPr="006F3B00">
        <w:rPr>
          <w:rFonts w:ascii="Times New Roman" w:hAnsi="Times New Roman" w:cs="Times New Roman"/>
          <w:color w:val="auto"/>
          <w:sz w:val="24"/>
          <w:szCs w:val="24"/>
        </w:rPr>
        <w:t xml:space="preserve"> Assessment for learning</w:t>
      </w:r>
      <w:bookmarkEnd w:id="7"/>
      <w:r w:rsidR="00863DF5" w:rsidRPr="006F3B00">
        <w:rPr>
          <w:rFonts w:ascii="Times New Roman" w:hAnsi="Times New Roman" w:cs="Times New Roman"/>
          <w:color w:val="auto"/>
          <w:sz w:val="24"/>
          <w:szCs w:val="24"/>
        </w:rPr>
        <w:t xml:space="preserve"> </w:t>
      </w:r>
    </w:p>
    <w:p w14:paraId="4A606001" w14:textId="77777777" w:rsidR="00863DF5" w:rsidRPr="006F3B00" w:rsidRDefault="00863DF5" w:rsidP="00863DF5">
      <w:pPr>
        <w:spacing w:after="0" w:line="480" w:lineRule="auto"/>
        <w:rPr>
          <w:rFonts w:ascii="Times New Roman" w:hAnsi="Times New Roman" w:cs="Times New Roman"/>
          <w:sz w:val="24"/>
          <w:szCs w:val="24"/>
        </w:rPr>
      </w:pPr>
    </w:p>
    <w:p w14:paraId="6E4FF5DB" w14:textId="47C4126A"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contrast to “assessment </w:t>
      </w:r>
      <w:r w:rsidRPr="006F3B00">
        <w:rPr>
          <w:rFonts w:ascii="Times New Roman" w:hAnsi="Times New Roman" w:cs="Times New Roman"/>
          <w:b/>
          <w:sz w:val="24"/>
          <w:szCs w:val="24"/>
        </w:rPr>
        <w:t xml:space="preserve">of </w:t>
      </w:r>
      <w:r w:rsidRPr="006F3B00">
        <w:rPr>
          <w:rFonts w:ascii="Times New Roman" w:hAnsi="Times New Roman" w:cs="Times New Roman"/>
          <w:sz w:val="24"/>
          <w:szCs w:val="24"/>
        </w:rPr>
        <w:t xml:space="preserve">learning”, which aims to determine a certain level of competence, usually by means of an examination, “assessment </w:t>
      </w:r>
      <w:r w:rsidRPr="006F3B00">
        <w:rPr>
          <w:rFonts w:ascii="Times New Roman" w:hAnsi="Times New Roman" w:cs="Times New Roman"/>
          <w:b/>
          <w:sz w:val="24"/>
          <w:szCs w:val="24"/>
        </w:rPr>
        <w:t>fo</w:t>
      </w:r>
      <w:r w:rsidRPr="006F3B00">
        <w:rPr>
          <w:rFonts w:ascii="Times New Roman" w:hAnsi="Times New Roman" w:cs="Times New Roman"/>
          <w:sz w:val="24"/>
          <w:szCs w:val="24"/>
        </w:rPr>
        <w:t>r learning” aims to improve learning through constructive feedback.  Assessment for learning (AfL) should be embedded within every</w:t>
      </w:r>
      <w:r w:rsidR="001E5DEF">
        <w:rPr>
          <w:rFonts w:ascii="Times New Roman" w:hAnsi="Times New Roman" w:cs="Times New Roman"/>
          <w:sz w:val="24"/>
          <w:szCs w:val="24"/>
        </w:rPr>
        <w:t xml:space="preserve"> activity undertaken by trainees</w:t>
      </w:r>
      <w:r w:rsidRPr="006F3B00">
        <w:rPr>
          <w:rFonts w:ascii="Times New Roman" w:hAnsi="Times New Roman" w:cs="Times New Roman"/>
          <w:sz w:val="24"/>
          <w:szCs w:val="24"/>
        </w:rPr>
        <w:t xml:space="preserve">, teachers and peers that seeks, reflects upon and responds to information from dialogue, demonstration and observation in ways that enhance ongoing learning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{"citationItems":[{"id":"ITEM-1","itemData":{"editor":[{"dropping-particle":"","family":"Gardiner","given":"John","non-dropping-particle":"","parse-names":false,"suffix":""}],"id":"ITEM-1","issued":{"date-parts":[["2006"]]},"publisher":"Sage publications","publisher-place":"London, UK","title":"Assessment and Learning","type":"book"},"uris":["http://www.mendeley.com/documents/?uuid=ff606782-8c47-4918-9db1-1d11dd3945be"]}],"mendeley":{"formattedCitation":"(Gardiner, 2006)","plainTextFormattedCitation":"(Gardiner, 2006)","previouslyFormattedCitation":"(Gardiner 2006)"},"properties":{"noteIndex":0},"schema":"https://github.com/citation-style-language/schema/raw/master/csl-citation.json"}</w:instrText>
      </w:r>
      <w:r w:rsidRPr="006F3B00">
        <w:rPr>
          <w:rFonts w:ascii="Times New Roman" w:hAnsi="Times New Roman" w:cs="Times New Roman"/>
          <w:sz w:val="24"/>
          <w:szCs w:val="24"/>
        </w:rPr>
        <w:fldChar w:fldCharType="separate"/>
      </w:r>
      <w:r w:rsidR="00A856D9">
        <w:rPr>
          <w:rFonts w:ascii="Times New Roman" w:hAnsi="Times New Roman" w:cs="Times New Roman"/>
          <w:noProof/>
          <w:sz w:val="24"/>
          <w:szCs w:val="24"/>
        </w:rPr>
        <w:t xml:space="preserve">(Gardiner </w:t>
      </w:r>
      <w:r w:rsidR="00BE3B6C" w:rsidRPr="00BE3B6C">
        <w:rPr>
          <w:rFonts w:ascii="Times New Roman" w:hAnsi="Times New Roman" w:cs="Times New Roman"/>
          <w:noProof/>
          <w:sz w:val="24"/>
          <w:szCs w:val="24"/>
        </w:rPr>
        <w:t>2006)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Assessments have been proven to drive learning and have been shown to be the most significant inf</w:t>
      </w:r>
      <w:r w:rsidR="008229CF">
        <w:rPr>
          <w:rFonts w:ascii="Times New Roman" w:hAnsi="Times New Roman" w:cs="Times New Roman"/>
          <w:sz w:val="24"/>
          <w:szCs w:val="24"/>
        </w:rPr>
        <w:t>luence on the quality of trainee</w:t>
      </w:r>
      <w:r w:rsidRPr="006F3B00">
        <w:rPr>
          <w:rFonts w:ascii="Times New Roman" w:hAnsi="Times New Roman" w:cs="Times New Roman"/>
          <w:sz w:val="24"/>
          <w:szCs w:val="24"/>
        </w:rPr>
        <w:t xml:space="preserve"> learning</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{"citationItems":[{"id":"ITEM-1","itemData":{"DOI":"10.1016/S0140-6736(00)04221-5","ISBN":"0140-6736 (Print)","ISSN":"0140-6736","PMID":"11289364","abstract":"Tests of clinical competence, which allow decisions to be made about medical qualification and fitness to practise, must be designed with respect to key issues including blueprinting, validity, reliability, and standard setting, as well as clarity about their formative or summative function. Multiple choice questions, essays, and oral examinations could be used to test factual recall and applied knowledge, but more sophisticated methods are needed to assess clincial performance, including directly observed long and short cases, objective structured clinical examinations, and the use of standardised patients. The goal of assessment in medical education remains the development of reliable measurements of student performance which, as well as having predictive value for subsequent clinical competence, also have a formative, educational role.","author":[{"dropping-particle":"","family":"Wass","given":"V","non-dropping-particle":"","parse-names":false,"suffix":""},{"dropping-particle":"","family":"Vleuten","given":"C","non-dropping-particle":"Van der","parse-names":false,"suffix":""},{"dropping-particle":"","family":"Shatzer","given":"J","non-dropping-particle":"","parse-names":false,"suffix":""},{"dropping-particle":"","family":"Jones","given":"R","non-dropping-particle":"","parse-names":false,"suffix":""}],"container-title":"Lancet","id":"ITEM-1","issue":"9260","issued":{"date-parts":[["2001"]]},"page":"945-9","title":"Assessment of clinical competence.","type":"article-journal","volume":"357"},"uris":["http://www.mendeley.com/documents/?uuid=839b00b6-2dda-4556-81e1-8970a51f43e2"]}],"mendeley":{"formattedCitation":"(Wass &lt;i&gt;et al.&lt;/i&gt;, 2001)","plainTextFormattedCitation":"(Wass et al., 2001)","previouslyFormattedCitation":"(Wass et al. 2001)"},"properties":{"noteIndex":0},"schema":"https://github.com/citation-style-language/schema/raw/master/csl-citation.json"}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(Wass </w:t>
      </w:r>
      <w:r w:rsidR="00BE3B6C" w:rsidRPr="00A856D9">
        <w:rPr>
          <w:rFonts w:ascii="Times New Roman" w:hAnsi="Times New Roman" w:cs="Times New Roman"/>
          <w:noProof/>
          <w:sz w:val="24"/>
          <w:szCs w:val="24"/>
        </w:rPr>
        <w:t>et al.</w:t>
      </w:r>
      <w:r w:rsidR="00A856D9">
        <w:rPr>
          <w:rFonts w:ascii="Times New Roman" w:hAnsi="Times New Roman" w:cs="Times New Roman"/>
          <w:i/>
          <w:noProof/>
          <w:sz w:val="24"/>
          <w:szCs w:val="24"/>
        </w:rPr>
        <w:t xml:space="preserve"> </w:t>
      </w:r>
      <w:r w:rsidR="00BE3B6C" w:rsidRPr="00BE3B6C">
        <w:rPr>
          <w:rFonts w:ascii="Times New Roman" w:hAnsi="Times New Roman" w:cs="Times New Roman"/>
          <w:noProof/>
          <w:sz w:val="24"/>
          <w:szCs w:val="24"/>
        </w:rPr>
        <w:t>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.AfL aims to instil learning that has depth, ra</w:t>
      </w:r>
      <w:r w:rsidR="001E5DEF">
        <w:rPr>
          <w:rFonts w:ascii="Times New Roman" w:hAnsi="Times New Roman" w:cs="Times New Roman"/>
          <w:sz w:val="24"/>
          <w:szCs w:val="24"/>
        </w:rPr>
        <w:t>ther than just enabling trainees</w:t>
      </w:r>
      <w:r w:rsidRPr="006F3B00">
        <w:rPr>
          <w:rFonts w:ascii="Times New Roman" w:hAnsi="Times New Roman" w:cs="Times New Roman"/>
          <w:sz w:val="24"/>
          <w:szCs w:val="24"/>
        </w:rPr>
        <w:t xml:space="preserve"> with the ability to score well on tests. Although AfL has similarities with formative assessment, some important differences have been described</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{"citationItems":[{"id":"ITEM-1","itemData":{"DOI":"10.1080/0969594X.2011.582838","ISBN":"10.1080/0969594X.2011.582838","ISSN":"0969-594X","abstract":"Assessment for Learning (AfL) has gained increasing international prominence in both policy and practice but some of its proliferation, notably the national strategy in England, has been accompanied by distortion of essential features. This paper presents an understanding of authentic (in the sense of genuine) AfL informed by literature and particularly by two major research projects. Assess- ment for learning is characterised by information being used to inform learning and teaching, its focus on learning conceived broadly, and actively engage progressively more autonomous students. It is distinctive in its timescale, protag- onists, beneficiaries, the role of students, the relationship between student and teacher, and the centrality of learning to the process – all of which can but may not necessarily be features of formative assessment. An examination of the doc- ument setting out the National Assessment for Learning Strategy in England reveals the ways that it is at odds with authentic assessment for learning.","author":[{"dropping-particle":"","family":"Swaffield","given":"Sue","non-dropping-particle":"","parse-names":false,"suffix":""}],"container-title":"Assessment in Education: Principles, Policy &amp; Practice","id":"ITEM-1","issue":"4","issued":{"date-parts":[["2011"]]},"page":"433-449","title":"Getting to the heart of authentic Assessment for Learning","type":"article-journal","volume":"18"},"uris":["http://www.mendeley.com/documents/?uuid=d904f1f7-0726-4731-ba1c-365ddff68bce"]}],"mendeley":{"formattedCitation":"(Swaffield, 2011)","plainTextFormattedCitation":"(Swaffield, 2011)","previouslyFormattedCitation":"(Swaffield 2011)"},"properties":{"noteIndex":0},"schema":"https://github.com/citation-style-language/schema/raw/master/csl-citation.json"}</w:instrText>
      </w:r>
      <w:r w:rsidRPr="006F3B00">
        <w:rPr>
          <w:rFonts w:ascii="Times New Roman" w:hAnsi="Times New Roman" w:cs="Times New Roman"/>
          <w:sz w:val="24"/>
          <w:szCs w:val="24"/>
        </w:rPr>
        <w:fldChar w:fldCharType="separate"/>
      </w:r>
      <w:r w:rsidR="00090E5D">
        <w:rPr>
          <w:rFonts w:ascii="Times New Roman" w:hAnsi="Times New Roman" w:cs="Times New Roman"/>
          <w:noProof/>
          <w:sz w:val="24"/>
          <w:szCs w:val="24"/>
        </w:rPr>
        <w:t xml:space="preserve">(Swaffield </w:t>
      </w:r>
      <w:r w:rsidR="00BE3B6C" w:rsidRPr="00BE3B6C">
        <w:rPr>
          <w:rFonts w:ascii="Times New Roman" w:hAnsi="Times New Roman" w:cs="Times New Roman"/>
          <w:noProof/>
          <w:sz w:val="24"/>
          <w:szCs w:val="24"/>
        </w:rPr>
        <w:t>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0C97B731" w14:textId="77777777" w:rsidR="00863DF5" w:rsidRPr="006F3B00" w:rsidRDefault="00863DF5" w:rsidP="001A1FF3">
      <w:pPr>
        <w:pStyle w:val="ListParagraph"/>
        <w:numPr>
          <w:ilvl w:val="0"/>
          <w:numId w:val="6"/>
        </w:numPr>
        <w:spacing w:line="480" w:lineRule="auto"/>
        <w:rPr>
          <w:rFonts w:ascii="Times New Roman" w:hAnsi="Times New Roman" w:cs="Times New Roman"/>
          <w:sz w:val="24"/>
          <w:szCs w:val="24"/>
        </w:rPr>
      </w:pPr>
      <w:proofErr w:type="gramStart"/>
      <w:r w:rsidRPr="006F3B00">
        <w:rPr>
          <w:rFonts w:ascii="Times New Roman" w:hAnsi="Times New Roman" w:cs="Times New Roman"/>
          <w:sz w:val="24"/>
          <w:szCs w:val="24"/>
        </w:rPr>
        <w:lastRenderedPageBreak/>
        <w:t>AfL</w:t>
      </w:r>
      <w:proofErr w:type="gramEnd"/>
      <w:r w:rsidRPr="006F3B00">
        <w:rPr>
          <w:rFonts w:ascii="Times New Roman" w:hAnsi="Times New Roman" w:cs="Times New Roman"/>
          <w:sz w:val="24"/>
          <w:szCs w:val="24"/>
        </w:rPr>
        <w:t xml:space="preserve"> concerns the immediate future. Formative assessments may have a long time span</w:t>
      </w:r>
    </w:p>
    <w:p w14:paraId="335B842E" w14:textId="0784C988" w:rsidR="00863DF5" w:rsidRPr="006F3B00" w:rsidRDefault="00863DF5" w:rsidP="001A1FF3">
      <w:pPr>
        <w:pStyle w:val="ListParagraph"/>
        <w:numPr>
          <w:ilvl w:val="0"/>
          <w:numId w:val="6"/>
        </w:num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two sides of </w:t>
      </w:r>
      <w:proofErr w:type="gramStart"/>
      <w:r w:rsidRPr="006F3B00">
        <w:rPr>
          <w:rFonts w:ascii="Times New Roman" w:hAnsi="Times New Roman" w:cs="Times New Roman"/>
          <w:sz w:val="24"/>
          <w:szCs w:val="24"/>
        </w:rPr>
        <w:t>A</w:t>
      </w:r>
      <w:r w:rsidR="001E5DEF">
        <w:rPr>
          <w:rFonts w:ascii="Times New Roman" w:hAnsi="Times New Roman" w:cs="Times New Roman"/>
          <w:sz w:val="24"/>
          <w:szCs w:val="24"/>
        </w:rPr>
        <w:t>fL</w:t>
      </w:r>
      <w:proofErr w:type="gramEnd"/>
      <w:r w:rsidR="001E5DEF">
        <w:rPr>
          <w:rFonts w:ascii="Times New Roman" w:hAnsi="Times New Roman" w:cs="Times New Roman"/>
          <w:sz w:val="24"/>
          <w:szCs w:val="24"/>
        </w:rPr>
        <w:t xml:space="preserve"> are the teachers and trainees</w:t>
      </w:r>
      <w:r w:rsidRPr="006F3B00">
        <w:rPr>
          <w:rFonts w:ascii="Times New Roman" w:hAnsi="Times New Roman" w:cs="Times New Roman"/>
          <w:sz w:val="24"/>
          <w:szCs w:val="24"/>
        </w:rPr>
        <w:t xml:space="preserve"> in a specific class. Formative assessments may involve and be of use to other teachers</w:t>
      </w:r>
    </w:p>
    <w:p w14:paraId="58EAA716" w14:textId="2C4A6018" w:rsidR="00863DF5" w:rsidRPr="006F3B00" w:rsidRDefault="00FE410F" w:rsidP="001A1FF3">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In </w:t>
      </w:r>
      <w:proofErr w:type="gramStart"/>
      <w:r>
        <w:rPr>
          <w:rFonts w:ascii="Times New Roman" w:hAnsi="Times New Roman" w:cs="Times New Roman"/>
          <w:sz w:val="24"/>
          <w:szCs w:val="24"/>
        </w:rPr>
        <w:t>AfL</w:t>
      </w:r>
      <w:proofErr w:type="gramEnd"/>
      <w:r>
        <w:rPr>
          <w:rFonts w:ascii="Times New Roman" w:hAnsi="Times New Roman" w:cs="Times New Roman"/>
          <w:sz w:val="24"/>
          <w:szCs w:val="24"/>
        </w:rPr>
        <w:t>, trainees</w:t>
      </w:r>
      <w:r w:rsidR="00863DF5" w:rsidRPr="006F3B00">
        <w:rPr>
          <w:rFonts w:ascii="Times New Roman" w:hAnsi="Times New Roman" w:cs="Times New Roman"/>
          <w:sz w:val="24"/>
          <w:szCs w:val="24"/>
        </w:rPr>
        <w:t xml:space="preserve"> exercise autonomy. Formative</w:t>
      </w:r>
      <w:r>
        <w:rPr>
          <w:rFonts w:ascii="Times New Roman" w:hAnsi="Times New Roman" w:cs="Times New Roman"/>
          <w:sz w:val="24"/>
          <w:szCs w:val="24"/>
        </w:rPr>
        <w:t xml:space="preserve"> assessments can render trainees</w:t>
      </w:r>
      <w:r w:rsidR="00863DF5" w:rsidRPr="006F3B00">
        <w:rPr>
          <w:rFonts w:ascii="Times New Roman" w:hAnsi="Times New Roman" w:cs="Times New Roman"/>
          <w:sz w:val="24"/>
          <w:szCs w:val="24"/>
        </w:rPr>
        <w:t xml:space="preserve"> passive recipients of teachers’ decisions and actions</w:t>
      </w:r>
    </w:p>
    <w:p w14:paraId="3D18D0AF" w14:textId="77777777" w:rsidR="00863DF5" w:rsidRPr="006F3B00" w:rsidRDefault="00863DF5" w:rsidP="001A1FF3">
      <w:pPr>
        <w:pStyle w:val="ListParagraph"/>
        <w:numPr>
          <w:ilvl w:val="0"/>
          <w:numId w:val="6"/>
        </w:numPr>
        <w:spacing w:line="480" w:lineRule="auto"/>
        <w:rPr>
          <w:rFonts w:ascii="Times New Roman" w:hAnsi="Times New Roman" w:cs="Times New Roman"/>
          <w:sz w:val="24"/>
          <w:szCs w:val="24"/>
        </w:rPr>
      </w:pPr>
      <w:proofErr w:type="gramStart"/>
      <w:r w:rsidRPr="006F3B00">
        <w:rPr>
          <w:rFonts w:ascii="Times New Roman" w:hAnsi="Times New Roman" w:cs="Times New Roman"/>
          <w:sz w:val="24"/>
          <w:szCs w:val="24"/>
        </w:rPr>
        <w:t>AfL</w:t>
      </w:r>
      <w:proofErr w:type="gramEnd"/>
      <w:r w:rsidRPr="006F3B00">
        <w:rPr>
          <w:rFonts w:ascii="Times New Roman" w:hAnsi="Times New Roman" w:cs="Times New Roman"/>
          <w:sz w:val="24"/>
          <w:szCs w:val="24"/>
        </w:rPr>
        <w:t xml:space="preserve"> is a learning process. Formative assessment provides information to direct future learning</w:t>
      </w:r>
    </w:p>
    <w:p w14:paraId="7C0A8D4E" w14:textId="77777777" w:rsidR="00863DF5" w:rsidRPr="006F3B00" w:rsidRDefault="00863DF5" w:rsidP="001A1FF3">
      <w:pPr>
        <w:pStyle w:val="ListParagraph"/>
        <w:numPr>
          <w:ilvl w:val="0"/>
          <w:numId w:val="6"/>
        </w:numPr>
        <w:spacing w:line="480" w:lineRule="auto"/>
        <w:rPr>
          <w:rFonts w:ascii="Times New Roman" w:hAnsi="Times New Roman" w:cs="Times New Roman"/>
          <w:sz w:val="24"/>
          <w:szCs w:val="24"/>
        </w:rPr>
      </w:pPr>
      <w:proofErr w:type="gramStart"/>
      <w:r w:rsidRPr="006F3B00">
        <w:rPr>
          <w:rFonts w:ascii="Times New Roman" w:hAnsi="Times New Roman" w:cs="Times New Roman"/>
          <w:sz w:val="24"/>
          <w:szCs w:val="24"/>
        </w:rPr>
        <w:t>AfL</w:t>
      </w:r>
      <w:proofErr w:type="gramEnd"/>
      <w:r w:rsidRPr="006F3B00">
        <w:rPr>
          <w:rFonts w:ascii="Times New Roman" w:hAnsi="Times New Roman" w:cs="Times New Roman"/>
          <w:sz w:val="24"/>
          <w:szCs w:val="24"/>
        </w:rPr>
        <w:t xml:space="preserve"> is concerned with learning how to learn as well as specific learning intentions. Formative assessments concentrate on curriculum objectives</w:t>
      </w:r>
    </w:p>
    <w:p w14:paraId="7FC6176D" w14:textId="55FEA04B"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Despite these supposed differences, it could be argued that there still appears to be a marked similarity with formative assessment. Indeed, both aim to improve learning and it must be  remembered that assessment and learning go hand-in hand, as d</w:t>
      </w:r>
      <w:r w:rsidR="00FE410F">
        <w:rPr>
          <w:rFonts w:ascii="Times New Roman" w:hAnsi="Times New Roman" w:cs="Times New Roman"/>
          <w:sz w:val="24"/>
          <w:szCs w:val="24"/>
        </w:rPr>
        <w:t>emonstrated by the many trainees</w:t>
      </w:r>
      <w:r w:rsidRPr="006F3B00">
        <w:rPr>
          <w:rFonts w:ascii="Times New Roman" w:hAnsi="Times New Roman" w:cs="Times New Roman"/>
          <w:sz w:val="24"/>
          <w:szCs w:val="24"/>
        </w:rPr>
        <w:t xml:space="preserve"> who seek to find out what they can afford not to learn in order to focus only on the areas of the course which they have discovered they will be tested on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{"citationItems":[{"id":"ITEM-1","itemData":{"DOI":"10.1016/S0140-6736(00)04221-5","ISBN":"0140-6736 (Print)","ISSN":"0140-6736","PMID":"11289364","abstract":"Tests of clinical competence, which allow decisions to be made about medical qualification and fitness to practise, must be designed with respect to key issues including blueprinting, validity, reliability, and standard setting, as well as clarity about their formative or summative function. Multiple choice questions, essays, and oral examinations could be used to test factual recall and applied knowledge, but more sophisticated methods are needed to assess clincial performance, including directly observed long and short cases, objective structured clinical examinations, and the use of standardised patients. The goal of assessment in medical education remains the development of reliable measurements of student performance which, as well as having predictive value for subsequent clinical competence, also have a formative, educational role.","author":[{"dropping-particle":"","family":"Wass","given":"V","non-dropping-particle":"","parse-names":false,"suffix":""},{"dropping-particle":"","family":"Vleuten","given":"C","non-dropping-particle":"Van der","parse-names":false,"suffix":""},{"dropping-particle":"","family":"Shatzer","given":"J","non-dropping-particle":"","parse-names":false,"suffix":""},{"dropping-particle":"","family":"Jones","given":"R","non-dropping-particle":"","parse-names":false,"suffix":""}],"container-title":"Lancet","id":"ITEM-1","issue":"9260","issued":{"date-parts":[["2001"]]},"page":"945-9","title":"Assessment of clinical competence.","type":"article-journal","volume":"357"},"uris":["http://www.mendeley.com/documents/?uuid=839b00b6-2dda-4556-81e1-8970a51f43e2"]}],"mendeley":{"formattedCitation":"(Wass &lt;i&gt;et al.&lt;/i&gt;, 2001)","plainTextFormattedCitation":"(Wass et al., 2001)","previouslyFormattedCitation":"(Wass et al. 2001)"},"properties":{"noteIndex":0},"schema":"https://github.com/citation-style-language/schema/raw/master/csl-citation.json"}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(Wass </w:t>
      </w:r>
      <w:r w:rsidR="00BE3B6C" w:rsidRPr="00090E5D">
        <w:rPr>
          <w:rFonts w:ascii="Times New Roman" w:hAnsi="Times New Roman" w:cs="Times New Roman"/>
          <w:noProof/>
          <w:sz w:val="24"/>
          <w:szCs w:val="24"/>
        </w:rPr>
        <w:t>et al</w:t>
      </w:r>
      <w:r w:rsidR="00BE3B6C" w:rsidRPr="00BE3B6C">
        <w:rPr>
          <w:rFonts w:ascii="Times New Roman" w:hAnsi="Times New Roman" w:cs="Times New Roman"/>
          <w:i/>
          <w:noProof/>
          <w:sz w:val="24"/>
          <w:szCs w:val="24"/>
        </w:rPr>
        <w:t>.</w:t>
      </w:r>
      <w:r w:rsidR="00090E5D">
        <w:rPr>
          <w:rFonts w:ascii="Times New Roman" w:hAnsi="Times New Roman" w:cs="Times New Roman"/>
          <w:noProof/>
          <w:sz w:val="24"/>
          <w:szCs w:val="24"/>
        </w:rPr>
        <w:t xml:space="preserve"> </w:t>
      </w:r>
      <w:r w:rsidR="00BE3B6C" w:rsidRPr="00BE3B6C">
        <w:rPr>
          <w:rFonts w:ascii="Times New Roman" w:hAnsi="Times New Roman" w:cs="Times New Roman"/>
          <w:noProof/>
          <w:sz w:val="24"/>
          <w:szCs w:val="24"/>
        </w:rPr>
        <w:t>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Effective or “good” ass</w:t>
      </w:r>
      <w:r w:rsidR="00FE410F">
        <w:rPr>
          <w:rFonts w:ascii="Times New Roman" w:hAnsi="Times New Roman" w:cs="Times New Roman"/>
          <w:sz w:val="24"/>
          <w:szCs w:val="24"/>
        </w:rPr>
        <w:t>essments will encourage trainees</w:t>
      </w:r>
      <w:r w:rsidRPr="006F3B00">
        <w:rPr>
          <w:rFonts w:ascii="Times New Roman" w:hAnsi="Times New Roman" w:cs="Times New Roman"/>
          <w:sz w:val="24"/>
          <w:szCs w:val="24"/>
        </w:rPr>
        <w:t xml:space="preserve"> to learn “what matters”, and the concept of “what matters” may reflect that particular institution’s beliefs and academic standing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{"citationItems":[{"id":"ITEM-1","itemData":{"author":[{"dropping-particle":"","family":"Robertson, S., Rosenthal, J., &amp; Dawson","given":"V.","non-dropping-particle":"","parse-names":false,"suffix":""}],"id":"ITEM-1","issued":{"date-parts":[["1997"]]},"number-of-pages":"154 -184","publisher":"Stanley Thornes Ltd.","title":"Using assessment to promote student learning, facilitating Learning in Clinical Settings","type":"book"},"uris":["http://www.mendeley.com/documents/?uuid=7c4d0570-45fe-4966-a784-7c36d6334151"]}],"mendeley":{"formattedCitation":"(Robertson, S., Rosenthal, J., &amp; Dawson, 1997)","plainTextFormattedCitation":"(Robertson, S., Rosenthal, J., &amp; Dawson, 1997)","previouslyFormattedCitation":"(Robertson, S., Rosenthal, J., &amp; Dawson 1997)"},"properties":{"noteIndex":0},"schema":"https://github.com/citation-style-language/schema/raw/master/csl-citation.json"}</w:instrText>
      </w:r>
      <w:r w:rsidRPr="006F3B00">
        <w:rPr>
          <w:rFonts w:ascii="Times New Roman" w:hAnsi="Times New Roman" w:cs="Times New Roman"/>
          <w:sz w:val="24"/>
          <w:szCs w:val="24"/>
        </w:rPr>
        <w:fldChar w:fldCharType="separate"/>
      </w:r>
      <w:r w:rsidR="00090E5D">
        <w:rPr>
          <w:rFonts w:ascii="Times New Roman" w:hAnsi="Times New Roman" w:cs="Times New Roman"/>
          <w:noProof/>
          <w:sz w:val="24"/>
          <w:szCs w:val="24"/>
        </w:rPr>
        <w:t xml:space="preserve">(Robertson, Rosenthal and Dawson </w:t>
      </w:r>
      <w:r w:rsidR="00BE3B6C" w:rsidRPr="00BE3B6C">
        <w:rPr>
          <w:rFonts w:ascii="Times New Roman" w:hAnsi="Times New Roman" w:cs="Times New Roman"/>
          <w:noProof/>
          <w:sz w:val="24"/>
          <w:szCs w:val="24"/>
        </w:rPr>
        <w:t>1997)</w:t>
      </w:r>
      <w:r w:rsidRPr="006F3B00">
        <w:rPr>
          <w:rFonts w:ascii="Times New Roman" w:hAnsi="Times New Roman" w:cs="Times New Roman"/>
          <w:sz w:val="24"/>
          <w:szCs w:val="24"/>
        </w:rPr>
        <w:fldChar w:fldCharType="end"/>
      </w:r>
      <w:r w:rsidR="00FE410F">
        <w:rPr>
          <w:rFonts w:ascii="Times New Roman" w:hAnsi="Times New Roman" w:cs="Times New Roman"/>
          <w:sz w:val="24"/>
          <w:szCs w:val="24"/>
        </w:rPr>
        <w:t xml:space="preserve">. Trainees </w:t>
      </w:r>
      <w:r w:rsidRPr="006F3B00">
        <w:rPr>
          <w:rFonts w:ascii="Times New Roman" w:hAnsi="Times New Roman" w:cs="Times New Roman"/>
          <w:sz w:val="24"/>
          <w:szCs w:val="24"/>
        </w:rPr>
        <w:t>will use their institution and its teachers as a benchmark of quality and aim to learn “what matters” to successfully complete the course. As assessment drives learning</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{"citationItems":[{"id":"ITEM-1","itemData":{"DOI":"10.1016/S0140-6736(00)04221-5","ISBN":"0140-6736 (Print)","ISSN":"0140-6736","PMID":"11289364","abstract":"Tests of clinical competence, which allow decisions to be made about medical qualification and fitness to practise, must be designed with respect to key issues including blueprinting, validity, reliability, and standard setting, as well as clarity about their formative or summative function. Multiple choice questions, essays, and oral examinations could be used to test factual recall and applied knowledge, but more sophisticated methods are needed to assess clincial performance, including directly observed long and short cases, objective structured clinical examinations, and the use of standardised patients. The goal of assessment in medical education remains the development of reliable measurements of student performance which, as well as having predictive value for subsequent clinical competence, also have a formative, educational role.","author":[{"dropping-particle":"","family":"Wass","given":"V","non-dropping-particle":"","parse-names":false,"suffix":""},{"dropping-particle":"","family":"Vleuten","given":"C","non-dropping-particle":"Van der","parse-names":false,"suffix":""},{"dropping-particle":"","family":"Shatzer","given":"J","non-dropping-particle":"","parse-names":false,"suffix":""},{"dropping-particle":"","family":"Jones","given":"R","non-dropping-particle":"","parse-names":false,"suffix":""}],"container-title":"Lancet","id":"ITEM-1","issue":"9260","issued":{"date-parts":[["2001"]]},"page":"945-9","title":"Assessment of clinical competence.","type":"article-journal","volume":"357"},"uris":["http://www.mendeley.com/documents/?uuid=839b00b6-2dda-4556-81e1-8970a51f43e2"]}],"mendeley":{"formattedCitation":"(Wass &lt;i&gt;et al.&lt;/i&gt;, 2001)","plainTextFormattedCitation":"(Wass et al., 2001)","previouslyFormattedCitation":"(Wass et al. 2001)"},"properties":{"noteIndex":0},"schema":"https://github.com/citation-style-language/schema/raw/master/csl-citation.json"}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(Wass </w:t>
      </w:r>
      <w:r w:rsidR="00BE3B6C" w:rsidRPr="00090E5D">
        <w:rPr>
          <w:rFonts w:ascii="Times New Roman" w:hAnsi="Times New Roman" w:cs="Times New Roman"/>
          <w:noProof/>
          <w:sz w:val="24"/>
          <w:szCs w:val="24"/>
        </w:rPr>
        <w:t>et al.</w:t>
      </w:r>
      <w:r w:rsidR="00090E5D" w:rsidRPr="00090E5D">
        <w:rPr>
          <w:rFonts w:ascii="Times New Roman" w:hAnsi="Times New Roman" w:cs="Times New Roman"/>
          <w:noProof/>
          <w:sz w:val="24"/>
          <w:szCs w:val="24"/>
        </w:rPr>
        <w:t xml:space="preserve"> </w:t>
      </w:r>
      <w:r w:rsidR="00BE3B6C" w:rsidRPr="00BE3B6C">
        <w:rPr>
          <w:rFonts w:ascii="Times New Roman" w:hAnsi="Times New Roman" w:cs="Times New Roman"/>
          <w:noProof/>
          <w:sz w:val="24"/>
          <w:szCs w:val="24"/>
        </w:rPr>
        <w:t>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what is not assessed, may not be learnt and remembered. In reality, assessments must focus on the most important and relevant aspects of the curriculum but must be mindful in suggesting, or sending subliminal messages, that other aspects of the course are not also important</w:t>
      </w:r>
      <w:r w:rsidR="00C2177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{"citationItems":[{"id":"ITEM-1","itemData":{"author":[{"dropping-particle":"","family":"Masters, G. N., Adams, R. J., &amp; Wilson","given":"M.","non-dropping-particle":"","parse-names":false,"suffix":""}],"chapter-number":"Charting o","editor":[{"dropping-particle":"","family":"G. N. Masters &amp; J. P. Keeves","given":"","non-dropping-particle":"","parse-names":false,"suffix":""}],"id":"ITEM-1","issued":{"date-parts":[["1999"]]},"page":"254-267","publisher":"Oxford: Elsevier Science Pty Ltd.","title":"Advances in Measurement in Educational Research and Assessment","type":"chapter"},"uris":["http://www.mendeley.com/documents/?uuid=221a0310-7aca-416e-8499-9763907b6ab9"]}],"mendeley":{"formattedCitation":"(Masters, G. N., Adams, R. J., &amp; Wilson, 1999)","plainTextFormattedCitation":"(Masters, G. N., Adams, R. J., &amp; Wilson, 1999)","previouslyFormattedCitation":"(Masters, G. N., Adams, R. J., &amp; Wilson 1999)"},"properties":{"noteIndex":0},"schema":"https://github.com/citation-style-language/schema/raw/master/csl-citation.json"}</w:instrText>
      </w:r>
      <w:r w:rsidRPr="006F3B00">
        <w:rPr>
          <w:rFonts w:ascii="Times New Roman" w:hAnsi="Times New Roman" w:cs="Times New Roman"/>
          <w:sz w:val="24"/>
          <w:szCs w:val="24"/>
        </w:rPr>
        <w:fldChar w:fldCharType="separate"/>
      </w:r>
      <w:r w:rsidR="00090E5D">
        <w:rPr>
          <w:rFonts w:ascii="Times New Roman" w:hAnsi="Times New Roman" w:cs="Times New Roman"/>
          <w:noProof/>
          <w:sz w:val="24"/>
          <w:szCs w:val="24"/>
        </w:rPr>
        <w:t xml:space="preserve">(Masters, Adams, Wilson </w:t>
      </w:r>
      <w:r w:rsidR="00BE3B6C" w:rsidRPr="00BE3B6C">
        <w:rPr>
          <w:rFonts w:ascii="Times New Roman" w:hAnsi="Times New Roman" w:cs="Times New Roman"/>
          <w:noProof/>
          <w:sz w:val="24"/>
          <w:szCs w:val="24"/>
        </w:rPr>
        <w:t>1999)</w:t>
      </w:r>
      <w:r w:rsidRPr="006F3B00">
        <w:rPr>
          <w:rFonts w:ascii="Times New Roman" w:hAnsi="Times New Roman" w:cs="Times New Roman"/>
          <w:sz w:val="24"/>
          <w:szCs w:val="24"/>
        </w:rPr>
        <w:fldChar w:fldCharType="end"/>
      </w:r>
      <w:r w:rsidR="007A0757">
        <w:rPr>
          <w:rFonts w:ascii="Times New Roman" w:hAnsi="Times New Roman" w:cs="Times New Roman"/>
          <w:sz w:val="24"/>
          <w:szCs w:val="24"/>
        </w:rPr>
        <w:t>.</w:t>
      </w:r>
    </w:p>
    <w:p w14:paraId="6D7DB0B9" w14:textId="2F864D2F" w:rsidR="00863DF5" w:rsidRPr="006F3B00" w:rsidRDefault="00863DF5" w:rsidP="00863DF5">
      <w:pPr>
        <w:pStyle w:val="Heading2"/>
        <w:rPr>
          <w:rFonts w:ascii="Times New Roman" w:hAnsi="Times New Roman" w:cs="Times New Roman"/>
          <w:color w:val="auto"/>
          <w:sz w:val="24"/>
          <w:szCs w:val="24"/>
        </w:rPr>
      </w:pPr>
      <w:bookmarkStart w:id="8" w:name="_Toc23243737"/>
      <w:r w:rsidRPr="006F3B00">
        <w:rPr>
          <w:rFonts w:ascii="Times New Roman" w:hAnsi="Times New Roman" w:cs="Times New Roman"/>
          <w:color w:val="auto"/>
          <w:sz w:val="24"/>
          <w:szCs w:val="24"/>
        </w:rPr>
        <w:lastRenderedPageBreak/>
        <w:t>1.</w:t>
      </w:r>
      <w:r w:rsidR="007A0757">
        <w:rPr>
          <w:rFonts w:ascii="Times New Roman" w:hAnsi="Times New Roman" w:cs="Times New Roman"/>
          <w:color w:val="auto"/>
          <w:sz w:val="24"/>
          <w:szCs w:val="24"/>
        </w:rPr>
        <w:t>1.</w:t>
      </w:r>
      <w:r w:rsidRPr="006F3B00">
        <w:rPr>
          <w:rFonts w:ascii="Times New Roman" w:hAnsi="Times New Roman" w:cs="Times New Roman"/>
          <w:color w:val="auto"/>
          <w:sz w:val="24"/>
          <w:szCs w:val="24"/>
        </w:rPr>
        <w:t>4 Standards in assessment</w:t>
      </w:r>
      <w:bookmarkEnd w:id="8"/>
    </w:p>
    <w:p w14:paraId="09F19A6D" w14:textId="77777777" w:rsidR="00863DF5" w:rsidRPr="006F3B00" w:rsidRDefault="00863DF5" w:rsidP="00863DF5">
      <w:pPr>
        <w:spacing w:after="0" w:line="480" w:lineRule="auto"/>
        <w:rPr>
          <w:rFonts w:ascii="Times New Roman" w:hAnsi="Times New Roman" w:cs="Times New Roman"/>
          <w:sz w:val="24"/>
          <w:szCs w:val="24"/>
        </w:rPr>
      </w:pPr>
    </w:p>
    <w:p w14:paraId="14BE0CC2" w14:textId="77777777"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Standard setting involves setting benchmarks which categorise important levels of performance. This may be the level which distinguishes a pass from a fail, but often the categories are more complex and reflect a range of performances. Standard-setting is needed to ensure only those individuals who have reached the required “standard” are able to progress, be certified or achieve a particular qualification.</w:t>
      </w:r>
    </w:p>
    <w:p w14:paraId="59FC3B0D" w14:textId="77777777" w:rsidR="00863DF5" w:rsidRPr="006F3B00" w:rsidRDefault="00863DF5" w:rsidP="00863DF5">
      <w:pPr>
        <w:spacing w:after="0" w:line="480" w:lineRule="auto"/>
        <w:rPr>
          <w:rFonts w:ascii="Times New Roman" w:hAnsi="Times New Roman" w:cs="Times New Roman"/>
          <w:sz w:val="24"/>
          <w:szCs w:val="24"/>
        </w:rPr>
      </w:pPr>
    </w:p>
    <w:p w14:paraId="3C7253FD" w14:textId="77777777"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Assessment often requires an established criterion against which individual performance can be measured and is called criterion-referenced assessment. In this model there is a set (or absolute) standard to reach, and attainment of that standard suggests the person is competent e.g. a practical driving test.  Norm-referenced assessment is a way of comparing individuals, whereby only a specified proportion of individuals will pass the exam e.g. school entrance exams. The quality of the cohort each year therefore dictates the standard required each year and results are all relative to one another.</w:t>
      </w:r>
    </w:p>
    <w:p w14:paraId="090CEAD4" w14:textId="77777777" w:rsidR="00863DF5" w:rsidRPr="006F3B00" w:rsidRDefault="00863DF5" w:rsidP="00863DF5">
      <w:pPr>
        <w:spacing w:after="0" w:line="480" w:lineRule="auto"/>
        <w:rPr>
          <w:rFonts w:ascii="Times New Roman" w:hAnsi="Times New Roman" w:cs="Times New Roman"/>
          <w:sz w:val="24"/>
          <w:szCs w:val="24"/>
        </w:rPr>
      </w:pPr>
    </w:p>
    <w:p w14:paraId="4F99794B" w14:textId="0495959B"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Most standards have been formed by educational judgements and can be considered arbitrary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{"citationItems":[{"id":"ITEM-1","itemData":{"DOI":"10.1046/j.1365-2923.2003.01495.x","ISBN":"0308-0110 (Print)\\r0308-0110 (Linking)","ISSN":"03080110","PMID":"12709190","abstract":"OBJECTIVE: This instalment in the series on professional assessment provides an introduction to methods of setting standards. METHOD: A standard is a special score that serves as a boundary between those who perform well enough and those who do not. The practical steps in selecting it include: deciding on the type of standard; deciding the method for setting it; selecting the judges; holding the meeting; calculating the cutpoint, and deciding what to do afterwards. Four of the more popular methods are illustrated for both written and clinical examinations. RESULTS: The most important criteria for selecting a method for setting standards are whether it is consistent with the purpose of the test, based on expert judgement, informed by data, supported by research, transparent, and requires due diligence. The credibility of the standard will rely largely on the nature of the standard setters and the selection of a broadly representative and knowledgeable group is essential. After the standard has been set, it is important to ensure that stakeholders view the results as credible and that the pass rates have sensible relationships with other markers of competence. CONCLUSIONS: A standard is an expression of professional values in the context of a test's purpose and content, the ability of the examinees, and the wider social or educational setting. Because standards are an expression of values, methods for setting them are systematic ways of gathering value judgements, reaching consensus and expressing that consensus as a single score on a test.","author":[{"dropping-particle":"","family":"Norcini","given":"John J.","non-dropping-particle":"","parse-names":false,"suffix":""}],"container-title":"Medical Education","id":"ITEM-1","issue":"5","issued":{"date-parts":[["2003"]]},"page":"464-469","title":"Setting standards on educational tests","type":"article-journal","volume":"37"},"uris":["http://www.mendeley.com/documents/?uuid=dc5ab2f6-ff1e-4410-b894-446c7d324ff9"]}],"mendeley":{"formattedCitation":"(Norcini, 2003)","plainTextFormattedCitation":"(Norcini, 2003)","previouslyFormattedCitation":"(John J. Norcini 2003)"},"properties":{"noteIndex":0},"schema":"https://github.com/citation-style-language/schema/raw/master/csl-citation.json"}</w:instrText>
      </w:r>
      <w:r w:rsidRPr="006F3B00">
        <w:rPr>
          <w:rFonts w:ascii="Times New Roman" w:hAnsi="Times New Roman" w:cs="Times New Roman"/>
          <w:sz w:val="24"/>
          <w:szCs w:val="24"/>
        </w:rPr>
        <w:fldChar w:fldCharType="separate"/>
      </w:r>
      <w:r w:rsidR="00090E5D">
        <w:rPr>
          <w:rFonts w:ascii="Times New Roman" w:hAnsi="Times New Roman" w:cs="Times New Roman"/>
          <w:noProof/>
          <w:sz w:val="24"/>
          <w:szCs w:val="24"/>
        </w:rPr>
        <w:t xml:space="preserve">(Norcini </w:t>
      </w:r>
      <w:r w:rsidR="00BE3B6C" w:rsidRPr="00BE3B6C">
        <w:rPr>
          <w:rFonts w:ascii="Times New Roman" w:hAnsi="Times New Roman" w:cs="Times New Roman"/>
          <w:noProof/>
          <w:sz w:val="24"/>
          <w:szCs w:val="24"/>
        </w:rPr>
        <w:t>2003)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Nevertheless, standards must be credible and defensible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{"citationItems":[{"id":"ITEM-1","itemData":{"DOI":"10.1097/00001888-199610000-00062","ISBN":"1040-2446","ISSN":"1040-2446","PMID":"8940953","abstract":"No abstract available. (C) 1996 Association of American Medical Colleges","author":[{"dropping-particle":"","family":"Cusimano","given":"M D","non-dropping-particle":"","parse-names":false,"suffix":""}],"container-title":"Academic Medicine","id":"ITEM-1","issue":"10","issued":{"date-parts":[["1996"]]},"page":"S112-20","title":"Standard setting in medical education","type":"article-journal","volume":"71"},"uris":["http://www.mendeley.com/documents/?uuid=57ba5909-2a2e-402c-b8ce-584c808e3061"]},{"id":"ITEM-2","itemData":{"DOI":"10.1046/j.1365-2923.2003.01495.x","ISBN":"0308-0110 (Print)\\r0308-0110 (Linking)","ISSN":"03080110","PMID":"12709190","abstract":"OBJECTIVE: This instalment in the series on professional assessment provides an introduction to methods of setting standards. METHOD: A standard is a special score that serves as a boundary between those who perform well enough and those who do not. The practical steps in selecting it include: deciding on the type of standard; deciding the method for setting it; selecting the judges; holding the meeting; calculating the cutpoint, and deciding what to do afterwards. Four of the more popular methods are illustrated for both written and clinical examinations. RESULTS: The most important criteria for selecting a method for setting standards are whether it is consistent with the purpose of the test, based on expert judgement, informed by data, supported by research, transparent, and requires due diligence. The credibility of the standard will rely largely on the nature of the standard setters and the selection of a broadly representative and knowledgeable group is essential. After the standard has been set, it is important to ensure that stakeholders view the results as credible and that the pass rates have sensible relationships with other markers of competence. CONCLUSIONS: A standard is an expression of professional values in the context of a test's purpose and content, the ability of the examinees, and the wider social or educational setting. Because standards are an expression of values, methods for setting them are systematic ways of gathering value judgements, reaching consensus and expressing that consensus as a single score on a test.","author":[{"dropping-particle":"","family":"Norcini","given":"John J.","non-dropping-particle":"","parse-names":false,"suffix":""}],"container-title":"Medical Education","id":"ITEM-2","issue":"5","issued":{"date-parts":[["2003"]]},"page":"464-469","title":"Setting standards on educational tests","type":"article-journal","volume":"37"},"uris":["http://www.mendeley.com/documents/?uuid=dc5ab2f6-ff1e-4410-b894-446c7d324ff9"]}],"mendeley":{"formattedCitation":"(Cusimano, 1996; Norcini, 2003)","plainTextFormattedCitation":"(Cusimano, 1996; Norcini, 2003)","previouslyFormattedCitation":"(Cusimano 1996; John J. Norcini 2003)"},"properties":{"noteIndex":0},"schema":"https://github.com/citation-style-language/schema/raw/master/csl-citation.json"}</w:instrText>
      </w:r>
      <w:r w:rsidRPr="006F3B00">
        <w:rPr>
          <w:rFonts w:ascii="Times New Roman" w:hAnsi="Times New Roman" w:cs="Times New Roman"/>
          <w:sz w:val="24"/>
          <w:szCs w:val="24"/>
        </w:rPr>
        <w:fldChar w:fldCharType="separate"/>
      </w:r>
      <w:r w:rsidR="00090E5D">
        <w:rPr>
          <w:rFonts w:ascii="Times New Roman" w:hAnsi="Times New Roman" w:cs="Times New Roman"/>
          <w:noProof/>
          <w:sz w:val="24"/>
          <w:szCs w:val="24"/>
        </w:rPr>
        <w:t xml:space="preserve">(Cusimano 1996; Norcini </w:t>
      </w:r>
      <w:r w:rsidR="00BE3B6C" w:rsidRPr="00BE3B6C">
        <w:rPr>
          <w:rFonts w:ascii="Times New Roman" w:hAnsi="Times New Roman" w:cs="Times New Roman"/>
          <w:noProof/>
          <w:sz w:val="24"/>
          <w:szCs w:val="24"/>
        </w:rPr>
        <w:t>2003)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and embody various elements to achieve this, including:</w:t>
      </w:r>
    </w:p>
    <w:p w14:paraId="4DCF0784" w14:textId="77777777" w:rsidR="00863DF5" w:rsidRPr="006F3B00" w:rsidRDefault="00863DF5" w:rsidP="00863DF5">
      <w:pPr>
        <w:spacing w:after="0" w:line="480" w:lineRule="auto"/>
        <w:rPr>
          <w:rFonts w:ascii="Times New Roman" w:hAnsi="Times New Roman" w:cs="Times New Roman"/>
          <w:sz w:val="24"/>
          <w:szCs w:val="24"/>
        </w:rPr>
      </w:pPr>
    </w:p>
    <w:p w14:paraId="1A60218E" w14:textId="77777777" w:rsidR="00863DF5" w:rsidRPr="006F3B00" w:rsidRDefault="00863DF5" w:rsidP="001A1FF3">
      <w:pPr>
        <w:pStyle w:val="ListParagraph"/>
        <w:numPr>
          <w:ilvl w:val="0"/>
          <w:numId w:val="7"/>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be simple to implement and describe</w:t>
      </w:r>
    </w:p>
    <w:p w14:paraId="74F40CD0" w14:textId="77777777" w:rsidR="00863DF5" w:rsidRPr="006F3B00" w:rsidRDefault="00863DF5" w:rsidP="001A1FF3">
      <w:pPr>
        <w:pStyle w:val="ListParagraph"/>
        <w:numPr>
          <w:ilvl w:val="0"/>
          <w:numId w:val="7"/>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utilise informed expert judgement</w:t>
      </w:r>
    </w:p>
    <w:p w14:paraId="519C8BA9" w14:textId="77777777" w:rsidR="00863DF5" w:rsidRPr="006F3B00" w:rsidRDefault="00863DF5" w:rsidP="001A1FF3">
      <w:pPr>
        <w:pStyle w:val="ListParagraph"/>
        <w:numPr>
          <w:ilvl w:val="0"/>
          <w:numId w:val="7"/>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utilise good research evidence</w:t>
      </w:r>
    </w:p>
    <w:p w14:paraId="7DA6B539" w14:textId="77777777" w:rsidR="00863DF5" w:rsidRPr="006F3B00" w:rsidRDefault="00863DF5" w:rsidP="001A1FF3">
      <w:pPr>
        <w:pStyle w:val="ListParagraph"/>
        <w:numPr>
          <w:ilvl w:val="0"/>
          <w:numId w:val="7"/>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produce standards which are consistent to the purpose of the test</w:t>
      </w:r>
    </w:p>
    <w:p w14:paraId="7F833BF2" w14:textId="77777777" w:rsidR="00863DF5" w:rsidRPr="006F3B00" w:rsidRDefault="00863DF5" w:rsidP="001A1FF3">
      <w:pPr>
        <w:pStyle w:val="ListParagraph"/>
        <w:numPr>
          <w:ilvl w:val="0"/>
          <w:numId w:val="7"/>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demonstrate due diligence</w:t>
      </w:r>
    </w:p>
    <w:p w14:paraId="689FB703" w14:textId="77777777" w:rsidR="00863DF5" w:rsidRPr="006F3B00" w:rsidRDefault="00863DF5" w:rsidP="00863DF5">
      <w:pPr>
        <w:spacing w:after="0" w:line="480" w:lineRule="auto"/>
        <w:rPr>
          <w:rFonts w:ascii="Times New Roman" w:hAnsi="Times New Roman" w:cs="Times New Roman"/>
          <w:sz w:val="24"/>
          <w:szCs w:val="24"/>
        </w:rPr>
      </w:pPr>
    </w:p>
    <w:p w14:paraId="523CD0EB" w14:textId="77777777" w:rsidR="00863DF5" w:rsidRPr="006F3B00" w:rsidRDefault="00863DF5" w:rsidP="00863DF5">
      <w:pPr>
        <w:spacing w:after="0" w:line="480" w:lineRule="auto"/>
        <w:rPr>
          <w:rFonts w:ascii="Times New Roman" w:hAnsi="Times New Roman" w:cs="Times New Roman"/>
          <w:sz w:val="24"/>
          <w:szCs w:val="24"/>
        </w:rPr>
      </w:pPr>
    </w:p>
    <w:p w14:paraId="0227B79E" w14:textId="708F2FC4"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It is inevitable that not all assessments use the same criteria when standard setting and flexibility is needed at times</w:t>
      </w:r>
      <w:r w:rsidR="00B05378">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{"citationItems":[{"id":"ITEM-1","itemData":{"DOI":"10.1111/j.1365-2929.2005.02094.x","ISBN":"0308-0110 (Print)","ISSN":"03080110","PMID":"15733167","abstract":"INTRODUCTION: We use a utility model to illustrate that, firstly, selecting an assessment method involves context-dependent compromises, and secondly, that assessment is not a measurement problem but an instructional design problem, comprising educational, implementation and resource aspects. In the model, assessment characteristics are differently weighted depending on the purpose and context of the assessment. EMPIRICAL AND THEORETICAL DEVELOPMENTS: Of the characteristics in the model, we focus on reliability, validity and educational impact and argue that they are not inherent qualities of any instrument. Reliability depends not on structuring or standardisation but on sampling. Key issues concerning validity are authenticity and integration of competencies. Assessment in medical education addresses complex competencies and thus requires quantitative and qualitative information from different sources as well as professional judgement. Adequate sampling across judges, instruments and contexts can ensure both validity and reliability. Despite recognition that assessment drives learning, this relationship has been little researched, possibly because of its strong context dependence. ASSESSMENT AS INSTRUCTIONAL DESIGN: When assessment should stimulate learning and requires adequate sampling, in authentic contexts, of the performance of complex competencies that cannot be broken down into simple parts, we need to make a shift from individual methods to an integral programme, intertwined with the education programme. Therefore, we need an instructional design perspective. IMPLICATIONS FOR DEVELOPMENT AND RESEARCH: Programmatic instructional design hinges on a careful description and motivation of choices, whose effectiveness should be measured against the intended outcomes. We should not evaluate individual methods, but provide evidence of the utility of the assessment programme as a whole.","author":[{"dropping-particle":"","family":"Vleuten","given":"C. P M","non-dropping-particle":"Van Der","parse-names":false,"suffix":""},{"dropping-particle":"","family":"Schuwirth","given":"L. W T","non-dropping-particle":"","parse-names":false,"suffix":""}],"container-title":"Medical Education","id":"ITEM-1","issue":"3","issued":{"date-parts":[["2005"]]},"page":"309-317","title":"Assessing professional competence: From methods to programmes","type":"article-journal","volume":"39"},"uris":["http://www.mendeley.com/documents/?uuid=57592151-3b74-439e-9b0a-d6b6b51a911a"]},{"id":"ITEM-2","itemData":{"DOI":"10.1007/BF00596229","ISBN":"1382-4996","ISSN":"1382-4996, 1573-1677","PMID":"24178994","abstract":"Overzicht van de geschiedenis en belangrijkste research bevindingen van de laatste decennia plus implicaties voor verder onderzoek en onderwijs.","author":[{"dropping-particle":"Van Der","family":"Vleuten","given":"C. P. M.","non-dropping-particle":"","parse-names":false,"suffix":""}],"container-title":"Advances in Health Sciences Education","id":"ITEM-2","issue":"1","issued":{"date-parts":[["1996"]]},"page":"41-67","title":"The assessment of professional competence: Developments, research and practical implications","type":"article-journal","volume":"1"},"uris":["http://www.mendeley.com/documents/?uuid=a20fa592-ca1a-444e-ae7d-9c4146054b33"]}],"mendeley":{"formattedCitation":"(Vleuten, 1996; Van Der Vleuten and Schuwirth, 2005)","plainTextFormattedCitation":"(Vleuten, 1996; Van Der Vleuten and Schuwirth, 2005)","previouslyFormattedCitation":"(Van Der Vleuten and Schuwirth 2005; Vleuten 1996)"},"properties":{"noteIndex":0},"schema":"https://github.com/citation-style-language/schema/raw/master/csl-citation.json"}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7B031A">
        <w:rPr>
          <w:rFonts w:ascii="Times New Roman" w:hAnsi="Times New Roman" w:cs="Times New Roman"/>
          <w:noProof/>
          <w:sz w:val="24"/>
          <w:szCs w:val="24"/>
        </w:rPr>
        <w:t>van der Vleuten 1996; v</w:t>
      </w:r>
      <w:r w:rsidR="00512593">
        <w:rPr>
          <w:rFonts w:ascii="Times New Roman" w:hAnsi="Times New Roman" w:cs="Times New Roman"/>
          <w:noProof/>
          <w:sz w:val="24"/>
          <w:szCs w:val="24"/>
        </w:rPr>
        <w:t>an der Vleuten and Schuwirth</w:t>
      </w:r>
      <w:r w:rsidR="00BE3B6C" w:rsidRPr="00BE3B6C">
        <w:rPr>
          <w:rFonts w:ascii="Times New Roman" w:hAnsi="Times New Roman" w:cs="Times New Roman"/>
          <w:noProof/>
          <w:sz w:val="24"/>
          <w:szCs w:val="24"/>
        </w:rPr>
        <w:t xml:space="preserve"> 2005)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Hambleton and Powell have previously suggested five context-setting variables which can be c</w:t>
      </w:r>
      <w:r w:rsidR="004967E1">
        <w:rPr>
          <w:rFonts w:ascii="Times New Roman" w:hAnsi="Times New Roman" w:cs="Times New Roman"/>
          <w:sz w:val="24"/>
          <w:szCs w:val="24"/>
        </w:rPr>
        <w:t>onsidered when standard setting (1983).</w:t>
      </w:r>
    </w:p>
    <w:p w14:paraId="48BBDF9F" w14:textId="77777777" w:rsidR="00863DF5" w:rsidRPr="006F3B00" w:rsidRDefault="00863DF5" w:rsidP="00863DF5">
      <w:pPr>
        <w:spacing w:after="0" w:line="480" w:lineRule="auto"/>
        <w:rPr>
          <w:rFonts w:ascii="Times New Roman" w:hAnsi="Times New Roman" w:cs="Times New Roman"/>
          <w:sz w:val="24"/>
          <w:szCs w:val="24"/>
        </w:rPr>
      </w:pPr>
    </w:p>
    <w:p w14:paraId="6A7EAB95" w14:textId="77777777" w:rsidR="00863DF5" w:rsidRPr="006F3B00" w:rsidRDefault="00863DF5" w:rsidP="001A1FF3">
      <w:pPr>
        <w:pStyle w:val="Default"/>
        <w:numPr>
          <w:ilvl w:val="0"/>
          <w:numId w:val="2"/>
        </w:numPr>
        <w:spacing w:line="480" w:lineRule="auto"/>
        <w:rPr>
          <w:rFonts w:ascii="Times New Roman" w:hAnsi="Times New Roman" w:cs="Times New Roman"/>
        </w:rPr>
      </w:pPr>
      <w:r w:rsidRPr="006F3B00">
        <w:rPr>
          <w:rFonts w:ascii="Times New Roman" w:hAnsi="Times New Roman" w:cs="Times New Roman"/>
          <w:u w:val="single"/>
        </w:rPr>
        <w:t>Laws.</w:t>
      </w:r>
      <w:r w:rsidRPr="006F3B00">
        <w:rPr>
          <w:rFonts w:ascii="Times New Roman" w:hAnsi="Times New Roman" w:cs="Times New Roman"/>
        </w:rPr>
        <w:t xml:space="preserve">  Do any pre-existing standards exist which define the minimum level of competence?</w:t>
      </w:r>
    </w:p>
    <w:p w14:paraId="1889554A" w14:textId="77777777" w:rsidR="00863DF5" w:rsidRPr="006F3B00" w:rsidRDefault="00863DF5" w:rsidP="001A1FF3">
      <w:pPr>
        <w:pStyle w:val="Default"/>
        <w:numPr>
          <w:ilvl w:val="0"/>
          <w:numId w:val="2"/>
        </w:numPr>
        <w:spacing w:after="150" w:line="480" w:lineRule="auto"/>
        <w:rPr>
          <w:rFonts w:ascii="Times New Roman" w:hAnsi="Times New Roman" w:cs="Times New Roman"/>
        </w:rPr>
      </w:pPr>
      <w:r w:rsidRPr="006F3B00">
        <w:rPr>
          <w:rFonts w:ascii="Times New Roman" w:hAnsi="Times New Roman" w:cs="Times New Roman"/>
          <w:u w:val="single"/>
        </w:rPr>
        <w:t>Importance of the decision</w:t>
      </w:r>
      <w:r w:rsidRPr="006F3B00">
        <w:rPr>
          <w:rFonts w:ascii="Times New Roman" w:hAnsi="Times New Roman" w:cs="Times New Roman"/>
        </w:rPr>
        <w:t>. This refers to the consequences of the decision which can be inferred from the standards set. For instance, tests which assess minor stages of progression within a course are less important than examinations which are used to certify trainees.</w:t>
      </w:r>
    </w:p>
    <w:p w14:paraId="6799A969" w14:textId="77777777" w:rsidR="00863DF5" w:rsidRPr="006F3B00" w:rsidRDefault="00863DF5" w:rsidP="001A1FF3">
      <w:pPr>
        <w:pStyle w:val="Default"/>
        <w:numPr>
          <w:ilvl w:val="0"/>
          <w:numId w:val="2"/>
        </w:numPr>
        <w:spacing w:line="480" w:lineRule="auto"/>
        <w:rPr>
          <w:rFonts w:ascii="Times New Roman" w:hAnsi="Times New Roman" w:cs="Times New Roman"/>
        </w:rPr>
      </w:pPr>
      <w:r w:rsidRPr="006F3B00">
        <w:rPr>
          <w:rFonts w:ascii="Times New Roman" w:hAnsi="Times New Roman" w:cs="Times New Roman"/>
          <w:u w:val="single"/>
        </w:rPr>
        <w:t>History</w:t>
      </w:r>
      <w:r w:rsidRPr="006F3B00">
        <w:rPr>
          <w:rFonts w:ascii="Times New Roman" w:hAnsi="Times New Roman" w:cs="Times New Roman"/>
        </w:rPr>
        <w:t>. It is important that new assessment methods are examined to see if they would be better suited to a different standard setting procedure than current assessments</w:t>
      </w:r>
    </w:p>
    <w:p w14:paraId="0D04FD76" w14:textId="77777777" w:rsidR="00863DF5" w:rsidRPr="006F3B00" w:rsidRDefault="00863DF5" w:rsidP="001A1FF3">
      <w:pPr>
        <w:pStyle w:val="Default"/>
        <w:numPr>
          <w:ilvl w:val="0"/>
          <w:numId w:val="2"/>
        </w:numPr>
        <w:spacing w:after="150" w:line="480" w:lineRule="auto"/>
        <w:rPr>
          <w:rFonts w:ascii="Times New Roman" w:hAnsi="Times New Roman" w:cs="Times New Roman"/>
        </w:rPr>
      </w:pPr>
      <w:r w:rsidRPr="006F3B00">
        <w:rPr>
          <w:rFonts w:ascii="Times New Roman" w:hAnsi="Times New Roman" w:cs="Times New Roman"/>
          <w:u w:val="single"/>
        </w:rPr>
        <w:t>Availability of resources</w:t>
      </w:r>
      <w:r w:rsidRPr="006F3B00">
        <w:rPr>
          <w:rFonts w:ascii="Times New Roman" w:hAnsi="Times New Roman" w:cs="Times New Roman"/>
        </w:rPr>
        <w:t>.  Standard setting requires numerous resources such as time, availability of expertise and materials, each capable of impacting on the standard-setting process.</w:t>
      </w:r>
    </w:p>
    <w:p w14:paraId="137C42F4" w14:textId="77777777" w:rsidR="00863DF5" w:rsidRPr="006F3B00" w:rsidRDefault="00863DF5" w:rsidP="001A1FF3">
      <w:pPr>
        <w:pStyle w:val="Default"/>
        <w:numPr>
          <w:ilvl w:val="0"/>
          <w:numId w:val="2"/>
        </w:numPr>
        <w:spacing w:after="150" w:line="480" w:lineRule="auto"/>
        <w:rPr>
          <w:rFonts w:ascii="Times New Roman" w:hAnsi="Times New Roman" w:cs="Times New Roman"/>
        </w:rPr>
      </w:pPr>
      <w:r w:rsidRPr="006F3B00">
        <w:rPr>
          <w:rFonts w:ascii="Times New Roman" w:hAnsi="Times New Roman" w:cs="Times New Roman"/>
          <w:u w:val="single"/>
        </w:rPr>
        <w:t>Test formats, contents and length</w:t>
      </w:r>
      <w:r w:rsidRPr="006F3B00">
        <w:rPr>
          <w:rFonts w:ascii="Times New Roman" w:hAnsi="Times New Roman" w:cs="Times New Roman"/>
        </w:rPr>
        <w:t>. This reflects the fact that there should be flexibility in the methods employed e.g. certain standard setting methods may be better suited to written tests than practical tests.</w:t>
      </w:r>
    </w:p>
    <w:p w14:paraId="21214F21" w14:textId="106C1DAA" w:rsidR="00863DF5" w:rsidRPr="006F3B00" w:rsidRDefault="00863DF5" w:rsidP="00FF5302">
      <w:pPr>
        <w:pStyle w:val="Default"/>
        <w:spacing w:after="150" w:line="480" w:lineRule="auto"/>
        <w:rPr>
          <w:rFonts w:ascii="Times New Roman" w:hAnsi="Times New Roman" w:cs="Times New Roman"/>
        </w:rPr>
      </w:pPr>
      <w:r w:rsidRPr="006F3B00">
        <w:rPr>
          <w:rFonts w:ascii="Times New Roman" w:hAnsi="Times New Roman" w:cs="Times New Roman"/>
        </w:rPr>
        <w:t xml:space="preserve">The two most commonly used standard setting methods used in medical education are the Angoff and borderline regression methods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{"citationItems":[{"id":"ITEM-1","itemData":{"DOI":"10.5116/ijme.560e.c964","ISSN":"20426372","PMID":"26520472","abstract":"OBJECTIVES The principal aim of this study is to provide an account of variation in UK undergraduate medical assessment styles and corresponding standard setting approaches with a view to highlighting the importance of a UK national licensing exam in recognizing a common standard. METHODS Using a secure online survey system, response data were collected during the period 13 - 30 January 2014 from selected specialists in medical education assessment, who served as representatives for their respective medical schools. RESULTS Assessment styles and corresponding choices of standard setting methods vary markedly across UK medical schools. While there is considerable consensus on the application of compensatory approaches, individual schools display their own nuances through use of hybrid assessment and standard setting styles, uptake of less popular standard setting techniques and divided views on norm referencing. CONCLUSIONS The extent of variation in assessment and standard setting practices across UK medical schools validates the concern that there is a lack of evidence that UK medical students achieve a common standard on graduation. A national licensing exam is therefore a viable option for benchmarking the performance of all UK undergraduate medical students.","author":[{"dropping-particle":"","family":"MacDougall","given":"Margaret","non-dropping-particle":"","parse-names":false,"suffix":""}],"container-title":"International journal of medical education","id":"ITEM-1","issued":{"date-parts":[["2015"]]},"page":"125-135","title":"Variation in assessment and standard setting practices across UK undergraduate medicine and the need for a benchmark","type":"article-journal","volume":"6"},"uris":["http://www.mendeley.com/documents/?uuid=626df282-f515-4e24-8020-ae8ba0f4f532"]}],"mendeley":{"formattedCitation":"(MacDougall, 2015)","plainTextFormattedCitation":"(MacDougall, 2015)","previouslyFormattedCitation":"(MacDougall 2015)"},"properties":{"noteIndex":0},"schema":"https://github.com/citation-style-language/schema/raw/master/csl-citation.json"}</w:instrText>
      </w:r>
      <w:r w:rsidRPr="006F3B00">
        <w:rPr>
          <w:rFonts w:ascii="Times New Roman" w:hAnsi="Times New Roman" w:cs="Times New Roman"/>
        </w:rPr>
        <w:fldChar w:fldCharType="separate"/>
      </w:r>
      <w:r w:rsidR="00E77872">
        <w:rPr>
          <w:rFonts w:ascii="Times New Roman" w:hAnsi="Times New Roman" w:cs="Times New Roman"/>
          <w:noProof/>
        </w:rPr>
        <w:t xml:space="preserve">(MacDougall </w:t>
      </w:r>
      <w:r w:rsidR="00BE3B6C" w:rsidRPr="00BE3B6C">
        <w:rPr>
          <w:rFonts w:ascii="Times New Roman" w:hAnsi="Times New Roman" w:cs="Times New Roman"/>
          <w:noProof/>
        </w:rPr>
        <w:t>2015)</w:t>
      </w:r>
      <w:r w:rsidRPr="006F3B00">
        <w:rPr>
          <w:rFonts w:ascii="Times New Roman" w:hAnsi="Times New Roman" w:cs="Times New Roman"/>
        </w:rPr>
        <w:fldChar w:fldCharType="end"/>
      </w:r>
      <w:r w:rsidRPr="006F3B00">
        <w:rPr>
          <w:rFonts w:ascii="Times New Roman" w:hAnsi="Times New Roman" w:cs="Times New Roman"/>
        </w:rPr>
        <w:t xml:space="preserve"> which are bri</w:t>
      </w:r>
      <w:r w:rsidR="00494018">
        <w:rPr>
          <w:rFonts w:ascii="Times New Roman" w:hAnsi="Times New Roman" w:cs="Times New Roman"/>
        </w:rPr>
        <w:t>efly described below (sections 1.1.4.1 and 1.1.4.2</w:t>
      </w:r>
      <w:r w:rsidRPr="006F3B00">
        <w:rPr>
          <w:rFonts w:ascii="Times New Roman" w:hAnsi="Times New Roman" w:cs="Times New Roman"/>
        </w:rPr>
        <w:t xml:space="preserve">). However, it is important to stress that </w:t>
      </w:r>
      <w:r w:rsidRPr="006F3B00">
        <w:rPr>
          <w:rFonts w:ascii="Times New Roman" w:hAnsi="Times New Roman" w:cs="Times New Roman"/>
        </w:rPr>
        <w:lastRenderedPageBreak/>
        <w:t>standard-setting does not necessarily mean the assessment is fit for purpose, as the quality assurance mechanisms should be multiple. For example, even if examiners agree that a particular question should have a pass rate of 30% because it is considered “difficult”, one might argue that this question is actually worth removing from the paper if it represents a particularl</w:t>
      </w:r>
      <w:r w:rsidR="00FE410F">
        <w:rPr>
          <w:rFonts w:ascii="Times New Roman" w:hAnsi="Times New Roman" w:cs="Times New Roman"/>
        </w:rPr>
        <w:t>y obscure fact that few trainees</w:t>
      </w:r>
      <w:r w:rsidRPr="006F3B00">
        <w:rPr>
          <w:rFonts w:ascii="Times New Roman" w:hAnsi="Times New Roman" w:cs="Times New Roman"/>
        </w:rPr>
        <w:t xml:space="preserve"> will be aware of. This is where examiner briefings can help review the appropriateness of questions. Indeed, there is a balance between those questions which act as discriminators to identify poor</w:t>
      </w:r>
      <w:r w:rsidR="00FE410F">
        <w:rPr>
          <w:rFonts w:ascii="Times New Roman" w:hAnsi="Times New Roman" w:cs="Times New Roman"/>
        </w:rPr>
        <w:t>, average and excellent trainees</w:t>
      </w:r>
      <w:r w:rsidRPr="006F3B00">
        <w:rPr>
          <w:rFonts w:ascii="Times New Roman" w:hAnsi="Times New Roman" w:cs="Times New Roman"/>
        </w:rPr>
        <w:t xml:space="preserve"> and those questions which are just </w:t>
      </w:r>
      <w:r w:rsidR="00D35C1E">
        <w:rPr>
          <w:rFonts w:ascii="Times New Roman" w:hAnsi="Times New Roman" w:cs="Times New Roman"/>
        </w:rPr>
        <w:t xml:space="preserve">too </w:t>
      </w:r>
      <w:r w:rsidRPr="006F3B00">
        <w:rPr>
          <w:rFonts w:ascii="Times New Roman" w:hAnsi="Times New Roman" w:cs="Times New Roman"/>
        </w:rPr>
        <w:t xml:space="preserve">difficult! </w:t>
      </w:r>
    </w:p>
    <w:p w14:paraId="6179FE1A" w14:textId="7B0F31E2" w:rsidR="00FF5302" w:rsidRPr="0067541B" w:rsidRDefault="001E1A25" w:rsidP="00FF5302">
      <w:pPr>
        <w:pStyle w:val="Default"/>
        <w:spacing w:after="150" w:line="480" w:lineRule="auto"/>
        <w:outlineLvl w:val="2"/>
        <w:rPr>
          <w:rFonts w:ascii="Times New Roman" w:hAnsi="Times New Roman" w:cs="Times New Roman"/>
          <w:b/>
        </w:rPr>
      </w:pPr>
      <w:bookmarkStart w:id="9" w:name="_Toc23243738"/>
      <w:r w:rsidRPr="0067541B">
        <w:rPr>
          <w:rFonts w:ascii="Times New Roman" w:hAnsi="Times New Roman" w:cs="Times New Roman"/>
          <w:b/>
        </w:rPr>
        <w:t>1.</w:t>
      </w:r>
      <w:r w:rsidR="007A0757">
        <w:rPr>
          <w:rFonts w:ascii="Times New Roman" w:hAnsi="Times New Roman" w:cs="Times New Roman"/>
          <w:b/>
        </w:rPr>
        <w:t>1.</w:t>
      </w:r>
      <w:r w:rsidRPr="0067541B">
        <w:rPr>
          <w:rFonts w:ascii="Times New Roman" w:hAnsi="Times New Roman" w:cs="Times New Roman"/>
          <w:b/>
        </w:rPr>
        <w:t>4.1 Angoff method</w:t>
      </w:r>
      <w:bookmarkEnd w:id="9"/>
    </w:p>
    <w:p w14:paraId="1A9C5D9D" w14:textId="68692750" w:rsidR="00863DF5" w:rsidRPr="006F3B00" w:rsidRDefault="00863DF5" w:rsidP="00FF5302">
      <w:pPr>
        <w:pStyle w:val="Default"/>
        <w:spacing w:after="150" w:line="480" w:lineRule="auto"/>
        <w:rPr>
          <w:rFonts w:ascii="Times New Roman" w:hAnsi="Times New Roman" w:cs="Times New Roman"/>
        </w:rPr>
      </w:pPr>
      <w:r w:rsidRPr="006F3B00">
        <w:rPr>
          <w:rFonts w:ascii="Times New Roman" w:hAnsi="Times New Roman" w:cs="Times New Roman"/>
        </w:rPr>
        <w:t>One form of standard setting is the Angoff process which involves a panel of experts deciding what percentage</w:t>
      </w:r>
      <w:r w:rsidR="00FE410F">
        <w:rPr>
          <w:rFonts w:ascii="Times New Roman" w:hAnsi="Times New Roman" w:cs="Times New Roman"/>
        </w:rPr>
        <w:t xml:space="preserve"> of minimally competent trainees</w:t>
      </w:r>
      <w:r w:rsidRPr="006F3B00">
        <w:rPr>
          <w:rFonts w:ascii="Times New Roman" w:hAnsi="Times New Roman" w:cs="Times New Roman"/>
        </w:rPr>
        <w:t xml:space="preserve"> will pass a particular question. This score is averaged, the results shared with the experts and a second round of ratings completed to create a final cut-off point for each question. The downside to this method is that the experts may struggle assigning scores to each question as the process is difficult. It depends on the expert’s own perceptions of what is difficult or easy fo</w:t>
      </w:r>
      <w:r w:rsidR="00FE410F">
        <w:rPr>
          <w:rFonts w:ascii="Times New Roman" w:hAnsi="Times New Roman" w:cs="Times New Roman"/>
        </w:rPr>
        <w:t>r a trainee</w:t>
      </w:r>
      <w:r w:rsidRPr="006F3B00">
        <w:rPr>
          <w:rFonts w:ascii="Times New Roman" w:hAnsi="Times New Roman" w:cs="Times New Roman"/>
        </w:rPr>
        <w:t xml:space="preserve"> or which aspects of the curriculum they favour, making it a rather subjective process. However, the method is legally defensible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{"citationItems":[{"id":"ITEM-1","itemData":{"DOI":"10.1007/s11845-014-1069-4","ISBN":"1184501410694","ISSN":"00211265","PMID":"24549647","abstract":"INTRODUCTION: Methods of teaching and assessment in medical schools have transformed over the recent past. Accreditation of medical schools through national licensing bodies and removal of bias at examinations is the norm. This review is intended to inform senior doctors who are peripherally involved in training at speciality or general professional level.\\n\\nMATERIALS AND METHODS: From the summative assessment of learning, the uses of assessment for learning and formative assessment have transformed the process of education. Student feedback has moved centre stage. The criteria used to rate questions and abilities are made explicit and there is accountability for student and examiner performances. Standard setting for medical professional examinations is formalised through norm or criteria referencing. Objective methods to determine the pass/fail border including Angoff, Ebel, Nedelsky, Bookmark, Hofstee, borderline group and contrast by group are described. There is some evidence for grade inflation over time at universities. Blueprinting by setting test questions to learning objectives is now standard. The Objective Structured Clinical Examination uses a wide variety of case tasks at different stations. Miller's pyramid is the road map for professional competence indication where 'doing' becomes the benchmark standard. Item response theory and computer adaptive testing are available through the Concerto testing platform which is an open resource.\\n\\nCONCLUSION: Examining the performance of examiners as well as that of students is a necessary part of good examination practice. The World Federation for Medical Education with the World Health Organisation has developed nine standards with two categories of basic and quality for the accreditation of medical education.","author":[{"dropping-particle":"","family":"Tormey","given":"W.","non-dropping-particle":"","parse-names":false,"suffix":""}],"container-title":"Irish Journal of Medical Science","id":"ITEM-1","issued":{"date-parts":[["2014"]]},"page":"1-12","title":"Education, learning and assessment: current trends and best practice for medical educators","type":"article-newspaper"},"uris":["http://www.mendeley.com/documents/?uuid=d0afb2bb-115d-40fb-aa4e-3409ef358584"]}],"mendeley":{"formattedCitation":"(Tormey, 2014)","plainTextFormattedCitation":"(Tormey, 2014)","previouslyFormattedCitation":"(Tormey 2014)"},"properties":{"noteIndex":0},"schema":"https://github.com/citation-style-language/schema/raw/master/csl-citation.json"}</w:instrText>
      </w:r>
      <w:r w:rsidRPr="006F3B00">
        <w:rPr>
          <w:rFonts w:ascii="Times New Roman" w:hAnsi="Times New Roman" w:cs="Times New Roman"/>
        </w:rPr>
        <w:fldChar w:fldCharType="separate"/>
      </w:r>
      <w:r w:rsidR="00E77872">
        <w:rPr>
          <w:rFonts w:ascii="Times New Roman" w:hAnsi="Times New Roman" w:cs="Times New Roman"/>
          <w:noProof/>
        </w:rPr>
        <w:t xml:space="preserve">(Tormey </w:t>
      </w:r>
      <w:r w:rsidR="00BE3B6C" w:rsidRPr="00BE3B6C">
        <w:rPr>
          <w:rFonts w:ascii="Times New Roman" w:hAnsi="Times New Roman" w:cs="Times New Roman"/>
          <w:noProof/>
        </w:rPr>
        <w:t>2014)</w:t>
      </w:r>
      <w:r w:rsidRPr="006F3B00">
        <w:rPr>
          <w:rFonts w:ascii="Times New Roman" w:hAnsi="Times New Roman" w:cs="Times New Roman"/>
        </w:rPr>
        <w:fldChar w:fldCharType="end"/>
      </w:r>
      <w:r w:rsidRPr="006F3B00">
        <w:rPr>
          <w:rFonts w:ascii="Times New Roman" w:hAnsi="Times New Roman" w:cs="Times New Roman"/>
        </w:rPr>
        <w:t>. This method means that, potentially, a whole year-group could fail the exam, unlike norm referencing where a percentage of the year group will nearly always pass.</w:t>
      </w:r>
    </w:p>
    <w:p w14:paraId="7BC00036" w14:textId="55E88EE0" w:rsidR="00863DF5" w:rsidRPr="006F3B00" w:rsidRDefault="007A0757" w:rsidP="00863DF5">
      <w:pPr>
        <w:pStyle w:val="Default"/>
        <w:spacing w:after="150" w:line="480" w:lineRule="auto"/>
        <w:outlineLvl w:val="2"/>
        <w:rPr>
          <w:rFonts w:ascii="Times New Roman" w:hAnsi="Times New Roman" w:cs="Times New Roman"/>
          <w:b/>
        </w:rPr>
      </w:pPr>
      <w:bookmarkStart w:id="10" w:name="_Toc23243739"/>
      <w:r>
        <w:rPr>
          <w:rFonts w:ascii="Times New Roman" w:hAnsi="Times New Roman" w:cs="Times New Roman"/>
          <w:b/>
        </w:rPr>
        <w:t>1.1.4</w:t>
      </w:r>
      <w:r w:rsidR="00863DF5" w:rsidRPr="006F3B00">
        <w:rPr>
          <w:rFonts w:ascii="Times New Roman" w:hAnsi="Times New Roman" w:cs="Times New Roman"/>
          <w:b/>
        </w:rPr>
        <w:t>.2. Borderline regression method</w:t>
      </w:r>
      <w:bookmarkEnd w:id="10"/>
    </w:p>
    <w:p w14:paraId="0FD50FF5" w14:textId="5418AD53" w:rsidR="00863DF5" w:rsidRPr="006F3B00" w:rsidRDefault="00863DF5" w:rsidP="00863DF5">
      <w:pPr>
        <w:pStyle w:val="Default"/>
        <w:spacing w:after="150" w:line="480" w:lineRule="auto"/>
        <w:rPr>
          <w:rFonts w:ascii="Times New Roman" w:hAnsi="Times New Roman" w:cs="Times New Roman"/>
        </w:rPr>
      </w:pPr>
      <w:r w:rsidRPr="006F3B00">
        <w:rPr>
          <w:rFonts w:ascii="Times New Roman" w:hAnsi="Times New Roman" w:cs="Times New Roman"/>
        </w:rPr>
        <w:t xml:space="preserve">The Angoff method can be categorized as exam-centred because expert judges review the content of the test. In contrast, an examinee-centred method relies on expert decisions based on actual examinee performance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{"citationItems":[{"id":"ITEM-1","itemData":{"DOI":"10.1046/j.1365-2923.2003.01495.x","ISBN":"0308-0110 (Print)\\r0308-0110 (Linking)","ISSN":"03080110","PMID":"12709190","abstract":"OBJECTIVE: This instalment in the series on professional assessment provides an introduction to methods of setting standards. METHOD: A standard is a special score that serves as a boundary between those who perform well enough and those who do not. The practical steps in selecting it include: deciding on the type of standard; deciding the method for setting it; selecting the judges; holding the meeting; calculating the cutpoint, and deciding what to do afterwards. Four of the more popular methods are illustrated for both written and clinical examinations. RESULTS: The most important criteria for selecting a method for setting standards are whether it is consistent with the purpose of the test, based on expert judgement, informed by data, supported by research, transparent, and requires due diligence. The credibility of the standard will rely largely on the nature of the standard setters and the selection of a broadly representative and knowledgeable group is essential. After the standard has been set, it is important to ensure that stakeholders view the results as credible and that the pass rates have sensible relationships with other markers of competence. CONCLUSIONS: A standard is an expression of professional values in the context of a test's purpose and content, the ability of the examinees, and the wider social or educational setting. Because standards are an expression of values, methods for setting them are systematic ways of gathering value judgements, reaching consensus and expressing that consensus as a single score on a test.","author":[{"dropping-particle":"","family":"Norcini","given":"John J.","non-dropping-particle":"","parse-names":false,"suffix":""}],"container-title":"Medical Education","id":"ITEM-1","issue":"5","issued":{"date-parts":[["2003"]]},"page":"464-469","title":"Setting standards on educational tests","type":"article-journal","volume":"37"},"uris":["http://www.mendeley.com/documents/?uuid=dc5ab2f6-ff1e-4410-b894-446c7d324ff9"]}],"mendeley":{"formattedCitation":"(Norcini, 2003)","plainTextFormattedCitation":"(Norcini, 2003)","previouslyFormattedCitation":"(John J. Norcini 2003)"},"properties":{"noteIndex":0},"schema":"https://github.com/citation-style-language/schema/raw/master/csl-citation.json"}</w:instrText>
      </w:r>
      <w:r w:rsidRPr="006F3B00">
        <w:rPr>
          <w:rFonts w:ascii="Times New Roman" w:hAnsi="Times New Roman" w:cs="Times New Roman"/>
        </w:rPr>
        <w:fldChar w:fldCharType="separate"/>
      </w:r>
      <w:r w:rsidR="00E77872">
        <w:rPr>
          <w:rFonts w:ascii="Times New Roman" w:hAnsi="Times New Roman" w:cs="Times New Roman"/>
          <w:noProof/>
        </w:rPr>
        <w:t xml:space="preserve">(Norcini </w:t>
      </w:r>
      <w:r w:rsidR="00BE3B6C" w:rsidRPr="00BE3B6C">
        <w:rPr>
          <w:rFonts w:ascii="Times New Roman" w:hAnsi="Times New Roman" w:cs="Times New Roman"/>
          <w:noProof/>
        </w:rPr>
        <w:t>2003)</w:t>
      </w:r>
      <w:r w:rsidRPr="006F3B00">
        <w:rPr>
          <w:rFonts w:ascii="Times New Roman" w:hAnsi="Times New Roman" w:cs="Times New Roman"/>
        </w:rPr>
        <w:fldChar w:fldCharType="end"/>
      </w:r>
      <w:r w:rsidRPr="006F3B00">
        <w:rPr>
          <w:rFonts w:ascii="Times New Roman" w:hAnsi="Times New Roman" w:cs="Times New Roman"/>
        </w:rPr>
        <w:t xml:space="preserve">. The borderline regression method is one such example and is often used in objective structured clinical examinations </w:t>
      </w:r>
      <w:r w:rsidRPr="006F3B00">
        <w:rPr>
          <w:rFonts w:ascii="Times New Roman" w:hAnsi="Times New Roman" w:cs="Times New Roman"/>
        </w:rPr>
        <w:lastRenderedPageBreak/>
        <w:t>(OSCEs). Here, at each station</w:t>
      </w:r>
      <w:r w:rsidR="00FE410F">
        <w:rPr>
          <w:rFonts w:ascii="Times New Roman" w:hAnsi="Times New Roman" w:cs="Times New Roman"/>
        </w:rPr>
        <w:t>, the examiner rates the trainee</w:t>
      </w:r>
      <w:r w:rsidRPr="006F3B00">
        <w:rPr>
          <w:rFonts w:ascii="Times New Roman" w:hAnsi="Times New Roman" w:cs="Times New Roman"/>
        </w:rPr>
        <w:t xml:space="preserve">’s performance via a checklist and gives a global rating score. The checklist marks from all examinees at each station are then regressed on the attributed global rating scores, providing a linear equation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{"citationItems":[{"id":"ITEM-1","itemData":{"ISBN":"1735-1995\\r1735-7136","ISSN":"1735-1995","PMID":"24497861","abstract":"BACKGROUND: One of the methods used for standard setting is the borderline regression method (BRM). This study aims to assess the reliability of BRM when the pass-fail standard in an objective structured clinical examination (OSCE) was calculated by averaging the BRM standards obtained for each station separately.\\n\\nMATERIALS AND METHODS: In nine stations of the OSCE with direct observation the examiners gave each student a checklist score and a global score. Using a linear regression model for each station, we calculated the checklist score cut-off on the regression equation for the global scale cut-off set at 2. The OSCE pass-fail standard was defined as the average of all station's standard. To determine the reliability, the root mean square error (RMSE) was calculated. The R (2) coefficient and the inter-grade discrimination were calculated to assess the quality of OSCE.\\n\\nRESULTS: The mean total test score was 60.78. The OSCE pass-fail standard and its RMSE were 47.37 and 0.55, respectively. The R (2) coefficients ranged from 0.44 to 0.79. The inter-grade discrimination score varied greatly among stations.\\n\\nCONCLUSION: The RMSE of the standard was very small indicating that BRM is a reliable method of setting standard for OSCE, which has the advantage of providing data for quality assurance.","author":[{"dropping-particle":"","family":"Hejri","given":"Sara Mortaz","non-dropping-particle":"","parse-names":false,"suffix":""},{"dropping-particle":"","family":"Jalili","given":"Mohammad","non-dropping-particle":"","parse-names":false,"suffix":""},{"dropping-particle":"","family":"Muijtjens","given":"Arno M M","non-dropping-particle":"","parse-names":false,"suffix":""},{"dropping-particle":"","family":"Vleuten","given":"Cees P M","non-dropping-particle":"Van Der","parse-names":false,"suffix":""}],"container-title":"Journal of research in medical sciences : the official journal of Isfahan University of Medical Sciences","id":"ITEM-1","issue":"10","issued":{"date-parts":[["2013"]]},"page":"887-91","title":"Assessing the reliability of the borderline regression method as a standard setting procedure for objective structured clinical examination.","type":"article-journal","volume":"18"},"uris":["http://www.mendeley.com/documents/?uuid=b414bdbe-aea3-4357-84b8-d7f79241efe5"]}],"mendeley":{"formattedCitation":"(Hejri &lt;i&gt;et al.&lt;/i&gt;, 2013)","plainTextFormattedCitation":"(Hejri et al., 2013)","previouslyFormattedCitation":"(Hejri et al. 2013)"},"properties":{"noteIndex":0},"schema":"https://github.com/citation-style-language/schema/raw/master/csl-citation.json"}</w:instrText>
      </w:r>
      <w:r w:rsidRPr="006F3B00">
        <w:rPr>
          <w:rFonts w:ascii="Times New Roman" w:hAnsi="Times New Roman" w:cs="Times New Roman"/>
        </w:rPr>
        <w:fldChar w:fldCharType="separate"/>
      </w:r>
      <w:r w:rsidR="00BE3B6C" w:rsidRPr="00BE3B6C">
        <w:rPr>
          <w:rFonts w:ascii="Times New Roman" w:hAnsi="Times New Roman" w:cs="Times New Roman"/>
          <w:noProof/>
        </w:rPr>
        <w:t xml:space="preserve">(Hejri </w:t>
      </w:r>
      <w:r w:rsidR="00BE3B6C" w:rsidRPr="00E77872">
        <w:rPr>
          <w:rFonts w:ascii="Times New Roman" w:hAnsi="Times New Roman" w:cs="Times New Roman"/>
          <w:noProof/>
        </w:rPr>
        <w:t>et al</w:t>
      </w:r>
      <w:r w:rsidR="00BE3B6C" w:rsidRPr="00BE3B6C">
        <w:rPr>
          <w:rFonts w:ascii="Times New Roman" w:hAnsi="Times New Roman" w:cs="Times New Roman"/>
          <w:i/>
          <w:noProof/>
        </w:rPr>
        <w:t>.</w:t>
      </w:r>
      <w:r w:rsidR="00E77872">
        <w:rPr>
          <w:rFonts w:ascii="Times New Roman" w:hAnsi="Times New Roman" w:cs="Times New Roman"/>
          <w:noProof/>
        </w:rPr>
        <w:t xml:space="preserve"> </w:t>
      </w:r>
      <w:r w:rsidR="00BE3B6C" w:rsidRPr="00BE3B6C">
        <w:rPr>
          <w:rFonts w:ascii="Times New Roman" w:hAnsi="Times New Roman" w:cs="Times New Roman"/>
          <w:noProof/>
        </w:rPr>
        <w:t>2013)</w:t>
      </w:r>
      <w:r w:rsidRPr="006F3B00">
        <w:rPr>
          <w:rFonts w:ascii="Times New Roman" w:hAnsi="Times New Roman" w:cs="Times New Roman"/>
        </w:rPr>
        <w:fldChar w:fldCharType="end"/>
      </w:r>
      <w:r w:rsidRPr="006F3B00">
        <w:rPr>
          <w:rFonts w:ascii="Times New Roman" w:hAnsi="Times New Roman" w:cs="Times New Roman"/>
        </w:rPr>
        <w:t>.  This number is then split by the global judgements given by each examiner, such as “pass”, “fail” or “borderline”. The point where the best fit regression line crosses the borderline mark equates to the pass mark.</w:t>
      </w:r>
    </w:p>
    <w:p w14:paraId="7BD1D2B0" w14:textId="77777777" w:rsidR="00863DF5" w:rsidRPr="006F3B00" w:rsidRDefault="00863DF5" w:rsidP="00863DF5">
      <w:pPr>
        <w:pStyle w:val="Default"/>
        <w:spacing w:after="150" w:line="480" w:lineRule="auto"/>
        <w:rPr>
          <w:rFonts w:ascii="Times New Roman" w:hAnsi="Times New Roman" w:cs="Times New Roman"/>
        </w:rPr>
      </w:pPr>
      <w:r w:rsidRPr="006F3B00">
        <w:rPr>
          <w:rFonts w:ascii="Times New Roman" w:hAnsi="Times New Roman" w:cs="Times New Roman"/>
        </w:rPr>
        <w:t>The advantages of this technique include:</w:t>
      </w:r>
    </w:p>
    <w:p w14:paraId="3B8C9BFB" w14:textId="77777777" w:rsidR="00863DF5" w:rsidRPr="006F3B00" w:rsidRDefault="00863DF5" w:rsidP="001A1FF3">
      <w:pPr>
        <w:pStyle w:val="Default"/>
        <w:numPr>
          <w:ilvl w:val="0"/>
          <w:numId w:val="8"/>
        </w:numPr>
        <w:spacing w:after="150" w:line="480" w:lineRule="auto"/>
        <w:rPr>
          <w:rFonts w:ascii="Times New Roman" w:hAnsi="Times New Roman" w:cs="Times New Roman"/>
        </w:rPr>
      </w:pPr>
      <w:r w:rsidRPr="006F3B00">
        <w:rPr>
          <w:rFonts w:ascii="Times New Roman" w:hAnsi="Times New Roman" w:cs="Times New Roman"/>
        </w:rPr>
        <w:t>relatively non-time consuming</w:t>
      </w:r>
    </w:p>
    <w:p w14:paraId="1C48B158" w14:textId="77777777" w:rsidR="00863DF5" w:rsidRPr="006F3B00" w:rsidRDefault="00863DF5" w:rsidP="001A1FF3">
      <w:pPr>
        <w:pStyle w:val="Default"/>
        <w:numPr>
          <w:ilvl w:val="0"/>
          <w:numId w:val="8"/>
        </w:numPr>
        <w:spacing w:after="150" w:line="480" w:lineRule="auto"/>
        <w:rPr>
          <w:rFonts w:ascii="Times New Roman" w:hAnsi="Times New Roman" w:cs="Times New Roman"/>
        </w:rPr>
      </w:pPr>
      <w:r w:rsidRPr="006F3B00">
        <w:rPr>
          <w:rFonts w:ascii="Times New Roman" w:hAnsi="Times New Roman" w:cs="Times New Roman"/>
        </w:rPr>
        <w:t>can generate metrics to gauge the quality of the OSCE</w:t>
      </w:r>
    </w:p>
    <w:p w14:paraId="2BC8498C" w14:textId="77777777" w:rsidR="00863DF5" w:rsidRPr="006F3B00" w:rsidRDefault="00863DF5" w:rsidP="001A1FF3">
      <w:pPr>
        <w:pStyle w:val="Default"/>
        <w:numPr>
          <w:ilvl w:val="0"/>
          <w:numId w:val="8"/>
        </w:numPr>
        <w:spacing w:after="150" w:line="480" w:lineRule="auto"/>
        <w:rPr>
          <w:rFonts w:ascii="Times New Roman" w:hAnsi="Times New Roman" w:cs="Times New Roman"/>
        </w:rPr>
      </w:pPr>
      <w:r w:rsidRPr="006F3B00">
        <w:rPr>
          <w:rFonts w:ascii="Times New Roman" w:hAnsi="Times New Roman" w:cs="Times New Roman"/>
        </w:rPr>
        <w:t xml:space="preserve">it is based on the performance of all examinees </w:t>
      </w:r>
    </w:p>
    <w:p w14:paraId="3DBA4BC3" w14:textId="77777777" w:rsidR="00863DF5" w:rsidRPr="006F3B00" w:rsidRDefault="00863DF5" w:rsidP="001A1FF3">
      <w:pPr>
        <w:pStyle w:val="Default"/>
        <w:numPr>
          <w:ilvl w:val="0"/>
          <w:numId w:val="8"/>
        </w:numPr>
        <w:spacing w:after="150" w:line="480" w:lineRule="auto"/>
        <w:rPr>
          <w:rFonts w:ascii="Times New Roman" w:hAnsi="Times New Roman" w:cs="Times New Roman"/>
        </w:rPr>
      </w:pPr>
      <w:r w:rsidRPr="006F3B00">
        <w:rPr>
          <w:rFonts w:ascii="Times New Roman" w:hAnsi="Times New Roman" w:cs="Times New Roman"/>
        </w:rPr>
        <w:t>it incorporates expert judgement</w:t>
      </w:r>
    </w:p>
    <w:p w14:paraId="2EF951C1" w14:textId="698BF443" w:rsidR="00863DF5"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This method of standard setting is not without fault, however. Assessments, such as OSCEs, which rely on subjective judgements of performance can undermine standard setting if the judgement is not founded on any training, guidance, marking rubric or suffers from significant bias. </w:t>
      </w:r>
    </w:p>
    <w:p w14:paraId="3926B00B" w14:textId="77777777" w:rsidR="00FF5302" w:rsidRPr="006F3B00" w:rsidRDefault="00FF5302" w:rsidP="00863DF5">
      <w:pPr>
        <w:spacing w:after="0" w:line="480" w:lineRule="auto"/>
        <w:rPr>
          <w:rFonts w:ascii="Times New Roman" w:hAnsi="Times New Roman" w:cs="Times New Roman"/>
          <w:sz w:val="24"/>
          <w:szCs w:val="24"/>
        </w:rPr>
      </w:pPr>
    </w:p>
    <w:p w14:paraId="0DFB8E63" w14:textId="3E6EA0C1" w:rsidR="00863DF5" w:rsidRPr="006F3B00" w:rsidRDefault="00863DF5" w:rsidP="00F12CB7">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Other methods of standard setting exist and include the Ebel, Nedelsky and Bookmark methods</w:t>
      </w:r>
      <w:r w:rsidR="00E778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{"citationItems":[{"id":"ITEM-1","itemData":{"DOI":"10.1097/00001888-200003000-00018","ISBN":"1040-2446 (Print) 1040-2446 (Linking)","ISSN":"10402446","PMID":"10724316","abstract":"PURPOSE: To compare four standard-setting procedures for an objective structure clinical examination (OSCE). METHODS: A 12-station OSCE was administered to 84 students in each of the final (fourth-) year medical classes of 1996 and 1997 at Dalhousie University Faculty of Medicine. Four standard-setting procedures (Angoff, borderline, relative, and holistic) were applied to the data to establish a cutoff score for a pass/fail decision. RESULTS: The procedures yielded highly inconsistent results. The Angoff and borderline procedures gave similar results; however, the relative and holistic methods gave widely divergent results. The Angoff procedure yielded results reliable enough to use in decision making for a high-stakes examination, but would have required more judges or more stations. CONCLUSIONS: The Angoff and borderline procedures provide reasonable and defensible approaches to standard setting and are practical to apply by non-psychometricians in medical schools. Further investigation of the other procedures is needed.","author":[{"dropping-particle":"","family":"Kaufman","given":"David M.","non-dropping-particle":"","parse-names":false,"suffix":""},{"dropping-particle":"V.","family":"Mann","given":"Karen","non-dropping-particle":"","parse-names":false,"suffix":""},{"dropping-particle":"","family":"Muijtjens","given":"Arno M.M.","non-dropping-particle":"","parse-names":false,"suffix":""},{"dropping-particle":"","family":"Vleuten","given":"Cees P.M.","non-dropping-particle":"Van Der","parse-names":false,"suffix":""}],"container-title":"Academic Medicine","id":"ITEM-1","issue":"3","issued":{"date-parts":[["2000"]]},"page":"267-271","title":"A comparison of standard-setting procedures for an OSCE in undergraduate medical education","type":"article-journal","volume":"75"},"uris":["http://www.mendeley.com/documents/?uuid=bf3faab1-3d03-45bb-844d-26580d15bcc0"]}],"mendeley":{"formattedCitation":"(Kaufman &lt;i&gt;et al.&lt;/i&gt;, 2000)","plainTextFormattedCitation":"(Kaufman et al., 2000)","previouslyFormattedCitation":"(Kaufman et al. 2000)"},"properties":{"noteIndex":0},"schema":"https://github.com/citation-style-language/schema/raw/master/csl-citation.json"}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(Kaufman </w:t>
      </w:r>
      <w:r w:rsidR="00BE3B6C" w:rsidRPr="00E77872">
        <w:rPr>
          <w:rFonts w:ascii="Times New Roman" w:hAnsi="Times New Roman" w:cs="Times New Roman"/>
          <w:noProof/>
          <w:sz w:val="24"/>
          <w:szCs w:val="24"/>
        </w:rPr>
        <w:t>et al.</w:t>
      </w:r>
      <w:r w:rsidR="00E77872">
        <w:rPr>
          <w:rFonts w:ascii="Times New Roman" w:hAnsi="Times New Roman" w:cs="Times New Roman"/>
          <w:noProof/>
          <w:sz w:val="24"/>
          <w:szCs w:val="24"/>
        </w:rPr>
        <w:t xml:space="preserve"> </w:t>
      </w:r>
      <w:r w:rsidR="00BE3B6C" w:rsidRPr="00BE3B6C">
        <w:rPr>
          <w:rFonts w:ascii="Times New Roman" w:hAnsi="Times New Roman" w:cs="Times New Roman"/>
          <w:noProof/>
          <w:sz w:val="24"/>
          <w:szCs w:val="24"/>
        </w:rPr>
        <w:t>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w:t>
      </w:r>
      <w:r w:rsidR="00D35C1E">
        <w:rPr>
          <w:rFonts w:ascii="Times New Roman" w:hAnsi="Times New Roman" w:cs="Times New Roman"/>
          <w:sz w:val="24"/>
          <w:szCs w:val="24"/>
        </w:rPr>
        <w:t>y will not be discussed further as they are not as commonly used as Angoff and Borderline regression.</w:t>
      </w:r>
    </w:p>
    <w:p w14:paraId="06921435" w14:textId="5E1A95EE" w:rsidR="00863DF5" w:rsidRPr="006F3B00" w:rsidRDefault="00863DF5" w:rsidP="00863DF5">
      <w:pPr>
        <w:pStyle w:val="Heading2"/>
        <w:rPr>
          <w:rFonts w:ascii="Times New Roman" w:hAnsi="Times New Roman" w:cs="Times New Roman"/>
          <w:color w:val="auto"/>
          <w:sz w:val="24"/>
          <w:szCs w:val="24"/>
        </w:rPr>
      </w:pPr>
      <w:bookmarkStart w:id="11" w:name="_Toc23243740"/>
      <w:r w:rsidRPr="006F3B00">
        <w:rPr>
          <w:rFonts w:ascii="Times New Roman" w:hAnsi="Times New Roman" w:cs="Times New Roman"/>
          <w:color w:val="auto"/>
          <w:sz w:val="24"/>
          <w:szCs w:val="24"/>
        </w:rPr>
        <w:t>1.</w:t>
      </w:r>
      <w:r w:rsidR="007A0757">
        <w:rPr>
          <w:rFonts w:ascii="Times New Roman" w:hAnsi="Times New Roman" w:cs="Times New Roman"/>
          <w:color w:val="auto"/>
          <w:sz w:val="24"/>
          <w:szCs w:val="24"/>
        </w:rPr>
        <w:t>1.</w:t>
      </w:r>
      <w:r w:rsidRPr="006F3B00">
        <w:rPr>
          <w:rFonts w:ascii="Times New Roman" w:hAnsi="Times New Roman" w:cs="Times New Roman"/>
          <w:color w:val="auto"/>
          <w:sz w:val="24"/>
          <w:szCs w:val="24"/>
        </w:rPr>
        <w:t>5 Utility of assessment</w:t>
      </w:r>
      <w:bookmarkEnd w:id="11"/>
    </w:p>
    <w:p w14:paraId="2D1DD71F" w14:textId="77777777" w:rsidR="00863DF5" w:rsidRPr="006F3B00" w:rsidRDefault="00863DF5" w:rsidP="00863DF5">
      <w:pPr>
        <w:rPr>
          <w:rFonts w:ascii="Times New Roman" w:hAnsi="Times New Roman" w:cs="Times New Roman"/>
          <w:b/>
          <w:sz w:val="24"/>
          <w:szCs w:val="24"/>
        </w:rPr>
      </w:pPr>
    </w:p>
    <w:p w14:paraId="6CD29DFF" w14:textId="6A86FDFB"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“utility of assessment” describes the “usefulness” of any assessment and how it is derived in a multiplicative manner from its reliability, validity, educational impact, acceptability and cost </w:t>
      </w:r>
      <w:r w:rsidRPr="00E77872">
        <w:rPr>
          <w:rFonts w:ascii="Times New Roman" w:hAnsi="Times New Roman" w:cs="Times New Roman"/>
          <w:sz w:val="24"/>
          <w:szCs w:val="24"/>
        </w:rPr>
        <w:fldChar w:fldCharType="begin" w:fldLock="1"/>
      </w:r>
      <w:r w:rsidR="00BE3B6C" w:rsidRPr="00E77872">
        <w:rPr>
          <w:rFonts w:ascii="Times New Roman" w:hAnsi="Times New Roman" w:cs="Times New Roman"/>
          <w:sz w:val="24"/>
          <w:szCs w:val="24"/>
        </w:rPr>
        <w:instrText>ADDIN CSL_CITATION {"citationItems":[{"id":"ITEM-1","itemData":{"DOI":"10.1007/BF00596229","ISBN":"1382-4996","ISSN":"1382-4996, 1573-1677","PMID":"24178994","abstract":"Overzicht van de geschiedenis en belangrijkste research bevindingen van de laatste decennia plus implicaties voor verder onderzoek en onderwijs.","author":[{"dropping-particle":"Van Der","family":"Vleuten","given":"C. P. M.","non-dropping-particle":"","parse-names":false,"suffix":""}],"container-title":"Advances in Health Sciences Education","id":"ITEM-1","issue":"1","issued":{"date-parts":[["1996"]]},"page":"41-67","title":"The assessment of professional competence: Developments, research and practical implications","type":"article-journal","volume":"1"},"uris":["http://www.mendeley.com/documents/?uuid=a20fa592-ca1a-444e-ae7d-9c4146054b33"]}],"mendeley":{"formattedCitation":"(Vleuten, 1996)","manualFormatting":"(Van der Vleuten 1996)","plainTextFormattedCitation":"(Vleuten, 1996)","previouslyFormattedCitation":"(Vleuten 1996)"},"properties":{"noteIndex":0},"schema":"https://github.com/citation-style-language/schema/raw/master/csl-citation.json"}</w:instrText>
      </w:r>
      <w:r w:rsidRPr="00E77872">
        <w:rPr>
          <w:rFonts w:ascii="Times New Roman" w:hAnsi="Times New Roman" w:cs="Times New Roman"/>
          <w:sz w:val="24"/>
          <w:szCs w:val="24"/>
        </w:rPr>
        <w:fldChar w:fldCharType="separate"/>
      </w:r>
      <w:r w:rsidR="00DB0BC8" w:rsidRPr="00E77872">
        <w:rPr>
          <w:rFonts w:ascii="Times New Roman" w:hAnsi="Times New Roman" w:cs="Times New Roman"/>
          <w:noProof/>
          <w:sz w:val="24"/>
          <w:szCs w:val="24"/>
        </w:rPr>
        <w:t>(</w:t>
      </w:r>
      <w:r w:rsidR="007B031A">
        <w:rPr>
          <w:rFonts w:ascii="Times New Roman" w:hAnsi="Times New Roman" w:cs="Times New Roman"/>
          <w:noProof/>
          <w:sz w:val="24"/>
          <w:szCs w:val="24"/>
        </w:rPr>
        <w:t>v</w:t>
      </w:r>
      <w:r w:rsidR="00BA15D3" w:rsidRPr="00E77872">
        <w:rPr>
          <w:rFonts w:ascii="Times New Roman" w:hAnsi="Times New Roman" w:cs="Times New Roman"/>
          <w:noProof/>
          <w:sz w:val="24"/>
          <w:szCs w:val="24"/>
        </w:rPr>
        <w:t xml:space="preserve">an der </w:t>
      </w:r>
      <w:r w:rsidR="00DB0BC8" w:rsidRPr="00E77872">
        <w:rPr>
          <w:rFonts w:ascii="Times New Roman" w:hAnsi="Times New Roman" w:cs="Times New Roman"/>
          <w:noProof/>
          <w:sz w:val="24"/>
          <w:szCs w:val="24"/>
        </w:rPr>
        <w:t>Vleuten 1996)</w:t>
      </w:r>
      <w:r w:rsidRPr="00E77872">
        <w:rPr>
          <w:rFonts w:ascii="Times New Roman" w:hAnsi="Times New Roman" w:cs="Times New Roman"/>
          <w:sz w:val="24"/>
          <w:szCs w:val="24"/>
        </w:rPr>
        <w:fldChar w:fldCharType="end"/>
      </w:r>
      <w:r w:rsidRPr="006F3B00">
        <w:rPr>
          <w:rFonts w:ascii="Times New Roman" w:hAnsi="Times New Roman" w:cs="Times New Roman"/>
          <w:sz w:val="24"/>
          <w:szCs w:val="24"/>
        </w:rPr>
        <w:t xml:space="preserve">. In later years, “feasibility” was also added </w:t>
      </w:r>
      <w:r w:rsidRPr="006F3B00">
        <w:rPr>
          <w:rFonts w:ascii="Times New Roman" w:hAnsi="Times New Roman" w:cs="Times New Roman"/>
          <w:sz w:val="24"/>
          <w:szCs w:val="24"/>
        </w:rPr>
        <w:lastRenderedPageBreak/>
        <w:t xml:space="preserve">to the definition but this could be considered implicit in cost effectiveness and acceptability. </w:t>
      </w:r>
    </w:p>
    <w:p w14:paraId="67042264" w14:textId="0C824FD0"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 is important that assessment can stand up to the scrutiny of regulatory bodies, especially in “high stakes” assessments where the graduates may enter a profession with significant impact on society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{"citationItems":[{"id":"ITEM-1","itemData":{"DOI":"10.1046/j.1365-2923.2000.00757.x","ISBN":"0308-0110","ISSN":"03080110","PMID":"11012938","abstract":"BACKGROUND: Medical education is not exempt from increasing societal expectations of accountability. Competition for financial resources requires medical educators to demonstrate cost-effective educational practice; health care practitioners, the products of medical education programmes, must meet increasing standards of professionalism; the culture of evidence-based medicine demands an evaluation of the effect educational programmes have on health care and service delivery. Educators cannot demonstrate that graduates possess the required attributes, or that their programmes have the desired impact on health care without appropriate assessment tools and measures of outcome.\\n\\nOBJECTIVE: To determine to what extent currently available assessment approaches can measure potentially relevant medical education outcomes addressing practitioner performance, health care delivery and population health, in order to highlight areas in need of research and development.\\n\\nMETHODS: Illustrative publications about desirable professional behaviour were synthesized to obtain examples of required competencies and health outcomes. A MEDLINE search for available assessment tools and measures of health outcome was performed.\\n\\nRESULTS: There are extensive tools for assessing clinical skills and knowledge. Some work has been done on the use of professional judgement for assessing professional behaviours; scholarship; and multiprofessional team working; but much more is needed. Very little literature exists on assessing group attributes of professionals, such as clinical governance, evidence-based practice and workforce allocation, and even less on examining individual patient or population health indices.\\n\\nCONCLUSIONS: The challenge facing medical educators is to develop new tools, many of which will rely on professional judgement, for assessing these broader competencies and outcomes.","author":[{"dropping-particle":"","family":"Murray","given":"Elizabeth","non-dropping-particle":"","parse-names":false,"suffix":""},{"dropping-particle":"","family":"Gruppen","given":"Larry","non-dropping-particle":"","parse-names":false,"suffix":""},{"dropping-particle":"","family":"Catton","given":"Pamela","non-dropping-particle":"","parse-names":false,"suffix":""},{"dropping-particle":"","family":"Hays","given":"Richard","non-dropping-particle":"","parse-names":false,"suffix":""},{"dropping-particle":"","family":"Woolliscroft","given":"James O.","non-dropping-particle":"","parse-names":false,"suffix":""}],"container-title":"Medical Education","id":"ITEM-1","issue":"10","issued":{"date-parts":[["2000"]]},"page":"871-879","title":"The accountability of clinical education: Its definition and assessment","type":"paper-conference","volume":"34"},"uris":["http://www.mendeley.com/documents/?uuid=b2254962-487f-41c2-911f-9c9f1896a86f"]}],"mendeley":{"formattedCitation":"(Murray &lt;i&gt;et al.&lt;/i&gt;, 2000)","plainTextFormattedCitation":"(Murray et al., 2000)","previouslyFormattedCitation":"(Murray et al. 2000)"},"properties":{"noteIndex":0},"schema":"https://github.com/citation-style-language/schema/raw/master/csl-citation.json"}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(Murray </w:t>
      </w:r>
      <w:r w:rsidR="00BE3B6C" w:rsidRPr="00A37B72">
        <w:rPr>
          <w:rFonts w:ascii="Times New Roman" w:hAnsi="Times New Roman" w:cs="Times New Roman"/>
          <w:noProof/>
          <w:sz w:val="24"/>
          <w:szCs w:val="24"/>
        </w:rPr>
        <w:t>et al</w:t>
      </w:r>
      <w:r w:rsidR="00BE3B6C" w:rsidRPr="00BE3B6C">
        <w:rPr>
          <w:rFonts w:ascii="Times New Roman" w:hAnsi="Times New Roman" w:cs="Times New Roman"/>
          <w:i/>
          <w:noProof/>
          <w:sz w:val="24"/>
          <w:szCs w:val="24"/>
        </w:rPr>
        <w:t>.</w:t>
      </w:r>
      <w:r w:rsidR="00A37B72">
        <w:rPr>
          <w:rFonts w:ascii="Times New Roman" w:hAnsi="Times New Roman" w:cs="Times New Roman"/>
          <w:noProof/>
          <w:sz w:val="24"/>
          <w:szCs w:val="24"/>
        </w:rPr>
        <w:t xml:space="preserve"> </w:t>
      </w:r>
      <w:r w:rsidR="00BE3B6C" w:rsidRPr="00BE3B6C">
        <w:rPr>
          <w:rFonts w:ascii="Times New Roman" w:hAnsi="Times New Roman" w:cs="Times New Roman"/>
          <w:noProof/>
          <w:sz w:val="24"/>
          <w:szCs w:val="24"/>
        </w:rPr>
        <w:t>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On a local level, the test results and the inferences drawn from them must be defensible to the candidates, examiners and educational establishment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{"citationItems":[{"id":"ITEM-1","itemData":{"author":[{"dropping-particle":"","family":"Downing","given":"S.M.","non-dropping-particle":"","parse-names":false,"suffix":""}],"container-title":"International Handbook of Research in Medical Education","editor":[{"dropping-particle":"","family":"Norman, G. Van der Vleuten, C. &amp; Newble","given":"D","non-dropping-particle":"","parse-names":false,"suffix":""}],"id":"ITEM-1","issued":{"date-parts":[["2002"]]},"page":"647-672","publisher":"Dordrecht, Kluwer Academic Publishers","title":"Assessment of Knowledge with Written Test Forms","type":"chapter"},"uris":["http://www.mendeley.com/documents/?uuid=1702c815-ca02-4b3c-80a2-10827d7831d0"]},{"id":"ITEM-2","itemData":{"DOI":"10.1111/j.1365-2929.2005.02094.x","ISBN":"0308-0110 (Print)","ISSN":"03080110","PMID":"15733167","abstract":"INTRODUCTION: We use a utility model to illustrate that, firstly, selecting an assessment method involves context-dependent compromises, and secondly, that assessment is not a measurement problem but an instructional design problem, comprising educational, implementation and resource aspects. In the model, assessment characteristics are differently weighted depending on the purpose and context of the assessment. EMPIRICAL AND THEORETICAL DEVELOPMENTS: Of the characteristics in the model, we focus on reliability, validity and educational impact and argue that they are not inherent qualities of any instrument. Reliability depends not on structuring or standardisation but on sampling. Key issues concerning validity are authenticity and integration of competencies. Assessment in medical education addresses complex competencies and thus requires quantitative and qualitative information from different sources as well as professional judgement. Adequate sampling across judges, instruments and contexts can ensure both validity and reliability. Despite recognition that assessment drives learning, this relationship has been little researched, possibly because of its strong context dependence. ASSESSMENT AS INSTRUCTIONAL DESIGN: When assessment should stimulate learning and requires adequate sampling, in authentic contexts, of the performance of complex competencies that cannot be broken down into simple parts, we need to make a shift from individual methods to an integral programme, intertwined with the education programme. Therefore, we need an instructional design perspective. IMPLICATIONS FOR DEVELOPMENT AND RESEARCH: Programmatic instructional design hinges on a careful description and motivation of choices, whose effectiveness should be measured against the intended outcomes. We should not evaluate individual methods, but provide evidence of the utility of the assessment programme as a whole.","author":[{"dropping-particle":"","family":"Vleuten","given":"C. P M","non-dropping-particle":"Van Der","parse-names":false,"suffix":""},{"dropping-particle":"","family":"Schuwirth","given":"L. W T","non-dropping-particle":"","parse-names":false,"suffix":""}],"container-title":"Medical Education","id":"ITEM-2","issue":"3","issued":{"date-parts":[["2005"]]},"page":"309-317","title":"Assessing professional competence: From methods to programmes","type":"article-journal","volume":"39"},"uris":["http://www.mendeley.com/documents/?uuid=57592151-3b74-439e-9b0a-d6b6b51a911a"]}],"mendeley":{"formattedCitation":"(Downing, 2002; Van Der Vleuten and Schuwirth, 2005)","plainTextFormattedCitation":"(Downing, 2002; Van Der Vleuten and Schuwirth, 2005)","previouslyFormattedCitation":"(S.M. Downing 2002; Van Der Vleuten and Schuwirth 2005)"},"properties":{"noteIndex":0},"schema":"https://github.com/citation-style-language/schema/raw/master/csl-citation.json"}</w:instrText>
      </w:r>
      <w:r w:rsidRPr="006F3B00">
        <w:rPr>
          <w:rFonts w:ascii="Times New Roman" w:hAnsi="Times New Roman" w:cs="Times New Roman"/>
          <w:sz w:val="24"/>
          <w:szCs w:val="24"/>
        </w:rPr>
        <w:fldChar w:fldCharType="separate"/>
      </w:r>
      <w:r w:rsidR="007B031A">
        <w:rPr>
          <w:rFonts w:ascii="Times New Roman" w:hAnsi="Times New Roman" w:cs="Times New Roman"/>
          <w:noProof/>
          <w:sz w:val="24"/>
          <w:szCs w:val="24"/>
        </w:rPr>
        <w:t>(Downing 2002; v</w:t>
      </w:r>
      <w:r w:rsidR="00A37B72">
        <w:rPr>
          <w:rFonts w:ascii="Times New Roman" w:hAnsi="Times New Roman" w:cs="Times New Roman"/>
          <w:noProof/>
          <w:sz w:val="24"/>
          <w:szCs w:val="24"/>
        </w:rPr>
        <w:t>an der Vleuten and Schuwirth</w:t>
      </w:r>
      <w:r w:rsidR="00BE3B6C" w:rsidRPr="00BE3B6C">
        <w:rPr>
          <w:rFonts w:ascii="Times New Roman" w:hAnsi="Times New Roman" w:cs="Times New Roman"/>
          <w:noProof/>
          <w:sz w:val="24"/>
          <w:szCs w:val="24"/>
        </w:rPr>
        <w:t xml:space="preserve"> 2005)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The utility of an assessment is a useful assessment framework to employ to achieve this ambition. It is described by the utility equation: </w:t>
      </w:r>
    </w:p>
    <w:p w14:paraId="24A83FC1" w14:textId="1A997727" w:rsidR="00863DF5" w:rsidRPr="006F3B00" w:rsidRDefault="00C95627" w:rsidP="00863DF5">
      <w:pPr>
        <w:spacing w:after="0" w:line="480" w:lineRule="auto"/>
        <w:rPr>
          <w:rFonts w:ascii="Times New Roman" w:hAnsi="Times New Roman" w:cs="Times New Roman"/>
          <w:sz w:val="24"/>
          <w:szCs w:val="24"/>
        </w:rPr>
      </w:pPr>
      <w:r>
        <w:rPr>
          <w:rFonts w:ascii="Times New Roman" w:hAnsi="Times New Roman" w:cs="Times New Roman"/>
          <w:sz w:val="24"/>
          <w:szCs w:val="24"/>
        </w:rPr>
        <w:t>Utility = R x V x EI x A x C</w:t>
      </w:r>
    </w:p>
    <w:p w14:paraId="65A29864" w14:textId="77777777"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 (</w:t>
      </w:r>
      <w:proofErr w:type="gramStart"/>
      <w:r w:rsidRPr="006F3B00">
        <w:rPr>
          <w:rFonts w:ascii="Times New Roman" w:hAnsi="Times New Roman" w:cs="Times New Roman"/>
          <w:sz w:val="24"/>
          <w:szCs w:val="24"/>
        </w:rPr>
        <w:t>where</w:t>
      </w:r>
      <w:proofErr w:type="gramEnd"/>
      <w:r w:rsidRPr="006F3B00">
        <w:rPr>
          <w:rFonts w:ascii="Times New Roman" w:hAnsi="Times New Roman" w:cs="Times New Roman"/>
          <w:sz w:val="24"/>
          <w:szCs w:val="24"/>
        </w:rPr>
        <w:t xml:space="preserve"> R=reliability, V=validity, EI=educational impact, A=acceptability, C=Cost). </w:t>
      </w:r>
    </w:p>
    <w:p w14:paraId="29BD26E5" w14:textId="20FE573D" w:rsidR="00863DF5" w:rsidRPr="006F3B00" w:rsidRDefault="0025279A" w:rsidP="00863DF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It </w:t>
      </w:r>
      <w:r w:rsidR="00863DF5" w:rsidRPr="006F3B00">
        <w:rPr>
          <w:rFonts w:ascii="Times New Roman" w:hAnsi="Times New Roman" w:cs="Times New Roman"/>
          <w:sz w:val="24"/>
          <w:szCs w:val="24"/>
        </w:rPr>
        <w:t>can</w:t>
      </w:r>
      <w:r>
        <w:rPr>
          <w:rFonts w:ascii="Times New Roman" w:hAnsi="Times New Roman" w:cs="Times New Roman"/>
          <w:sz w:val="24"/>
          <w:szCs w:val="24"/>
        </w:rPr>
        <w:t xml:space="preserve"> be</w:t>
      </w:r>
      <w:r w:rsidR="00863DF5" w:rsidRPr="006F3B00">
        <w:rPr>
          <w:rFonts w:ascii="Times New Roman" w:hAnsi="Times New Roman" w:cs="Times New Roman"/>
          <w:sz w:val="24"/>
          <w:szCs w:val="24"/>
        </w:rPr>
        <w:t xml:space="preserve"> see</w:t>
      </w:r>
      <w:r>
        <w:rPr>
          <w:rFonts w:ascii="Times New Roman" w:hAnsi="Times New Roman" w:cs="Times New Roman"/>
          <w:sz w:val="24"/>
          <w:szCs w:val="24"/>
        </w:rPr>
        <w:t>n</w:t>
      </w:r>
      <w:r w:rsidR="00863DF5" w:rsidRPr="006F3B00">
        <w:rPr>
          <w:rFonts w:ascii="Times New Roman" w:hAnsi="Times New Roman" w:cs="Times New Roman"/>
          <w:sz w:val="24"/>
          <w:szCs w:val="24"/>
        </w:rPr>
        <w:t xml:space="preserve"> that each element is equally important. Of note, this formula multiplies the different elements, which is why if any elements scores a hypothetical “zero”, the total utility score will always be zero. However it could be argued that certain elements of “utility” are more important than others and should have greater “weight”. For instance, validity is extremely important to an assessment as there is no point having a test that is incapable of testing what it is i</w:t>
      </w:r>
      <w:r w:rsidR="00494018">
        <w:rPr>
          <w:rFonts w:ascii="Times New Roman" w:hAnsi="Times New Roman" w:cs="Times New Roman"/>
          <w:sz w:val="24"/>
          <w:szCs w:val="24"/>
        </w:rPr>
        <w:t xml:space="preserve">ntended to test (see section 1.1.5.2 </w:t>
      </w:r>
      <w:r w:rsidR="00863DF5" w:rsidRPr="006F3B00">
        <w:rPr>
          <w:rFonts w:ascii="Times New Roman" w:hAnsi="Times New Roman" w:cs="Times New Roman"/>
          <w:sz w:val="24"/>
          <w:szCs w:val="24"/>
        </w:rPr>
        <w:t>for definition of validity).  However, despite its simplicity, the formula can act as an aide memoir to those designing assessment tools and ensure the various aspects have been considered.</w:t>
      </w:r>
    </w:p>
    <w:p w14:paraId="5889EE9D" w14:textId="77777777" w:rsidR="00863DF5" w:rsidRPr="006F3B00" w:rsidRDefault="00863DF5" w:rsidP="00863DF5">
      <w:pPr>
        <w:rPr>
          <w:rFonts w:ascii="Times New Roman" w:hAnsi="Times New Roman" w:cs="Times New Roman"/>
          <w:b/>
          <w:sz w:val="24"/>
          <w:szCs w:val="24"/>
        </w:rPr>
      </w:pPr>
    </w:p>
    <w:p w14:paraId="3E93EB8E" w14:textId="240F5C40" w:rsidR="00863DF5" w:rsidRPr="006F3B00" w:rsidRDefault="00863DF5" w:rsidP="00863DF5">
      <w:pPr>
        <w:pStyle w:val="Heading3"/>
        <w:rPr>
          <w:rFonts w:ascii="Times New Roman" w:hAnsi="Times New Roman" w:cs="Times New Roman"/>
          <w:color w:val="auto"/>
          <w:sz w:val="24"/>
          <w:szCs w:val="24"/>
        </w:rPr>
      </w:pPr>
      <w:bookmarkStart w:id="12" w:name="_Toc23243741"/>
      <w:r w:rsidRPr="006F3B00">
        <w:rPr>
          <w:rFonts w:ascii="Times New Roman" w:hAnsi="Times New Roman" w:cs="Times New Roman"/>
          <w:color w:val="auto"/>
          <w:sz w:val="24"/>
          <w:szCs w:val="24"/>
        </w:rPr>
        <w:t>1.</w:t>
      </w:r>
      <w:r w:rsidR="007A0757">
        <w:rPr>
          <w:rFonts w:ascii="Times New Roman" w:hAnsi="Times New Roman" w:cs="Times New Roman"/>
          <w:color w:val="auto"/>
          <w:sz w:val="24"/>
          <w:szCs w:val="24"/>
        </w:rPr>
        <w:t>1.</w:t>
      </w:r>
      <w:r w:rsidRPr="006F3B00">
        <w:rPr>
          <w:rFonts w:ascii="Times New Roman" w:hAnsi="Times New Roman" w:cs="Times New Roman"/>
          <w:color w:val="auto"/>
          <w:sz w:val="24"/>
          <w:szCs w:val="24"/>
        </w:rPr>
        <w:t>5.1 Reliability</w:t>
      </w:r>
      <w:bookmarkEnd w:id="12"/>
    </w:p>
    <w:p w14:paraId="4BC07D5A" w14:textId="77777777" w:rsidR="00863DF5" w:rsidRPr="006F3B00" w:rsidRDefault="00863DF5" w:rsidP="00863DF5">
      <w:pPr>
        <w:spacing w:after="0" w:line="480" w:lineRule="auto"/>
        <w:rPr>
          <w:rFonts w:ascii="Times New Roman" w:hAnsi="Times New Roman" w:cs="Times New Roman"/>
          <w:b/>
          <w:bCs/>
          <w:sz w:val="24"/>
          <w:szCs w:val="24"/>
        </w:rPr>
      </w:pPr>
    </w:p>
    <w:p w14:paraId="3295CC93" w14:textId="7CB2D2AE"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bCs/>
          <w:sz w:val="24"/>
          <w:szCs w:val="24"/>
        </w:rPr>
        <w:t xml:space="preserve">Reliability is the property of an assessment tool to give the same result if it were carried out on another similar group of individuals, in a similar context at different points in time. </w:t>
      </w:r>
      <w:r w:rsidRPr="006F3B00">
        <w:rPr>
          <w:rFonts w:ascii="Times New Roman" w:hAnsi="Times New Roman" w:cs="Times New Roman"/>
          <w:sz w:val="24"/>
          <w:szCs w:val="24"/>
        </w:rPr>
        <w:t xml:space="preserve">There is often confusion regarding the difference between reliability, repeatability and reproducibility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{"citationItems":[{"id":"ITEM-1","itemData":{"DOI":"10.1111/j.1745-3984.2001.tb01129.x","ISBN":"1745-3984","ISSN":"0022-0655","abstract":"This article provides a review of some important milestones in the history of reliability, some current issues concerning reliability, and some likely prospects for reliability, from the perspective of one central question: \"What constitutes a replication of a measurement procedure?\" Special attention is given to the fixed/random aspects of facets that characterize replications.","author":[{"dropping-particle":"","family":"Brennan","given":"Robert L","non-dropping-particle":"","parse-names":false,"suffix":""}],"container-title":"Journal of Educational Measurement","id":"ITEM-1","issue":"4","issued":{"date-parts":[["2001"]]},"page":"295-317","title":"An essay on the history and future of reliability from the perspctive of replications","type":"article-journal","volume":"38"},"uris":["http://www.mendeley.com/documents/?uuid=81ebf0cf-43e7-4817-915a-ba30a87b16f6"]}],"mendeley":{"formattedCitation":"(Brennan, 2001)","plainTextFormattedCitation":"(Brennan, 2001)","previouslyFormattedCitation":"(R. L. Brennan 2001)"},"properties":{"noteIndex":0},"schema":"https://github.com/citation-style-language/schema/raw/master/csl-citation.json"}</w:instrText>
      </w:r>
      <w:r w:rsidRPr="006F3B00">
        <w:rPr>
          <w:rFonts w:ascii="Times New Roman" w:hAnsi="Times New Roman" w:cs="Times New Roman"/>
          <w:sz w:val="24"/>
          <w:szCs w:val="24"/>
        </w:rPr>
        <w:fldChar w:fldCharType="separate"/>
      </w:r>
      <w:r w:rsidR="00A37B72">
        <w:rPr>
          <w:rFonts w:ascii="Times New Roman" w:hAnsi="Times New Roman" w:cs="Times New Roman"/>
          <w:noProof/>
          <w:sz w:val="24"/>
          <w:szCs w:val="24"/>
        </w:rPr>
        <w:t>(Brennan</w:t>
      </w:r>
      <w:r w:rsidR="00BE3B6C" w:rsidRPr="00BE3B6C">
        <w:rPr>
          <w:rFonts w:ascii="Times New Roman" w:hAnsi="Times New Roman" w:cs="Times New Roman"/>
          <w:noProof/>
          <w:sz w:val="24"/>
          <w:szCs w:val="24"/>
        </w:rPr>
        <w:t xml:space="preserve"> 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r w:rsidRPr="006F3B00">
        <w:rPr>
          <w:rFonts w:ascii="Times New Roman" w:eastAsia="Times New Roman" w:hAnsi="Times New Roman" w:cs="Times New Roman"/>
          <w:sz w:val="24"/>
          <w:szCs w:val="24"/>
          <w:lang w:eastAsia="en-GB"/>
        </w:rPr>
        <w:t xml:space="preserve">Repeatability of measurements refers to the </w:t>
      </w:r>
      <w:r w:rsidRPr="006F3B00">
        <w:rPr>
          <w:rFonts w:ascii="Times New Roman" w:eastAsia="Times New Roman" w:hAnsi="Times New Roman" w:cs="Times New Roman"/>
          <w:sz w:val="24"/>
          <w:szCs w:val="24"/>
          <w:lang w:eastAsia="en-GB"/>
        </w:rPr>
        <w:lastRenderedPageBreak/>
        <w:t>variation in</w:t>
      </w:r>
      <w:r w:rsidRPr="006F3B00">
        <w:rPr>
          <w:rFonts w:ascii="Times New Roman" w:hAnsi="Times New Roman" w:cs="Times New Roman"/>
          <w:sz w:val="24"/>
          <w:szCs w:val="24"/>
        </w:rPr>
        <w:t xml:space="preserve"> </w:t>
      </w:r>
      <w:r w:rsidRPr="006F3B00">
        <w:rPr>
          <w:rFonts w:ascii="Times New Roman" w:eastAsia="Times New Roman" w:hAnsi="Times New Roman" w:cs="Times New Roman"/>
          <w:sz w:val="24"/>
          <w:szCs w:val="24"/>
          <w:lang w:eastAsia="en-GB"/>
        </w:rPr>
        <w:t>repeat measurements made on the same subject under</w:t>
      </w:r>
      <w:r w:rsidRPr="006F3B00">
        <w:rPr>
          <w:rFonts w:ascii="Times New Roman" w:hAnsi="Times New Roman" w:cs="Times New Roman"/>
          <w:sz w:val="24"/>
          <w:szCs w:val="24"/>
        </w:rPr>
        <w:t xml:space="preserve"> </w:t>
      </w:r>
      <w:r w:rsidRPr="006F3B00">
        <w:rPr>
          <w:rFonts w:ascii="Times New Roman" w:eastAsia="Times New Roman" w:hAnsi="Times New Roman" w:cs="Times New Roman"/>
          <w:sz w:val="24"/>
          <w:szCs w:val="24"/>
          <w:lang w:eastAsia="en-GB"/>
        </w:rPr>
        <w:t>identical conditions</w:t>
      </w:r>
      <w:r w:rsidRPr="006F3B00">
        <w:rPr>
          <w:rFonts w:ascii="Times New Roman" w:hAnsi="Times New Roman" w:cs="Times New Roman"/>
          <w:sz w:val="24"/>
          <w:szCs w:val="24"/>
        </w:rPr>
        <w:t xml:space="preserve">. </w:t>
      </w:r>
      <w:r w:rsidRPr="006F3B00">
        <w:rPr>
          <w:rFonts w:ascii="Times New Roman" w:eastAsia="Times New Roman" w:hAnsi="Times New Roman" w:cs="Times New Roman"/>
          <w:sz w:val="24"/>
          <w:szCs w:val="24"/>
          <w:lang w:eastAsia="en-GB"/>
        </w:rPr>
        <w:t>Reproducibility takes into account how these measurements may vary under changing conditions</w:t>
      </w:r>
      <w:r w:rsidR="00A37B72">
        <w:rPr>
          <w:rFonts w:ascii="Times New Roman" w:eastAsia="Times New Roman" w:hAnsi="Times New Roman" w:cs="Times New Roman"/>
          <w:sz w:val="24"/>
          <w:szCs w:val="24"/>
          <w:lang w:eastAsia="en-GB"/>
        </w:rPr>
        <w:t xml:space="preserve"> </w:t>
      </w:r>
      <w:r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{"citationItems":[{"id":"ITEM-1","itemData":{"DOI":"10.1111/j.1745-3984.2001.tb01129.x","ISBN":"1745-3984","ISSN":"0022-0655","abstract":"This article provides a review of some important milestones in the history of reliability, some current issues concerning reliability, and some likely prospects for reliability, from the perspective of one central question: \"What constitutes a replication of a measurement procedure?\" Special attention is given to the fixed/random aspects of facets that characterize replications.","author":[{"dropping-particle":"","family":"Brennan","given":"Robert L","non-dropping-particle":"","parse-names":false,"suffix":""}],"container-title":"Journal of Educational Measurement","id":"ITEM-1","issue":"4","issued":{"date-parts":[["2001"]]},"page":"295-317","title":"An essay on the history and future of reliability from the perspctive of replications","type":"article-journal","volume":"38"},"uris":["http://www.mendeley.com/documents/?uuid=81ebf0cf-43e7-4817-915a-ba30a87b16f6"]}],"mendeley":{"formattedCitation":"(Brennan, 2001)","plainTextFormattedCitation":"(Brennan, 2001)","previouslyFormattedCitation":"(R. L. Brennan 2001)"},"properties":{"noteIndex":0},"schema":"https://github.com/citation-style-language/schema/raw/master/csl-citation.json"}</w:instrText>
      </w:r>
      <w:r w:rsidRPr="006F3B00">
        <w:rPr>
          <w:rFonts w:ascii="Times New Roman" w:eastAsia="Times New Roman" w:hAnsi="Times New Roman" w:cs="Times New Roman"/>
          <w:sz w:val="24"/>
          <w:szCs w:val="24"/>
          <w:lang w:eastAsia="en-GB"/>
        </w:rPr>
        <w:fldChar w:fldCharType="separate"/>
      </w:r>
      <w:r w:rsidR="00BE3B6C" w:rsidRPr="00BE3B6C">
        <w:rPr>
          <w:rFonts w:ascii="Times New Roman" w:eastAsia="Times New Roman" w:hAnsi="Times New Roman" w:cs="Times New Roman"/>
          <w:noProof/>
          <w:sz w:val="24"/>
          <w:szCs w:val="24"/>
          <w:lang w:eastAsia="en-GB"/>
        </w:rPr>
        <w:t>(Bre</w:t>
      </w:r>
      <w:r w:rsidR="00A37B72">
        <w:rPr>
          <w:rFonts w:ascii="Times New Roman" w:eastAsia="Times New Roman" w:hAnsi="Times New Roman" w:cs="Times New Roman"/>
          <w:noProof/>
          <w:sz w:val="24"/>
          <w:szCs w:val="24"/>
          <w:lang w:eastAsia="en-GB"/>
        </w:rPr>
        <w:t>nnan</w:t>
      </w:r>
      <w:r w:rsidR="00BE3B6C" w:rsidRPr="00BE3B6C">
        <w:rPr>
          <w:rFonts w:ascii="Times New Roman" w:eastAsia="Times New Roman" w:hAnsi="Times New Roman" w:cs="Times New Roman"/>
          <w:noProof/>
          <w:sz w:val="24"/>
          <w:szCs w:val="24"/>
          <w:lang w:eastAsia="en-GB"/>
        </w:rPr>
        <w:t xml:space="preserve"> 2001)</w:t>
      </w:r>
      <w:r w:rsidRPr="006F3B00">
        <w:rPr>
          <w:rFonts w:ascii="Times New Roman" w:eastAsia="Times New Roman" w:hAnsi="Times New Roman" w:cs="Times New Roman"/>
          <w:sz w:val="24"/>
          <w:szCs w:val="24"/>
          <w:lang w:eastAsia="en-GB"/>
        </w:rPr>
        <w:fldChar w:fldCharType="end"/>
      </w:r>
      <w:r w:rsidRPr="006F3B00">
        <w:rPr>
          <w:rFonts w:ascii="Times New Roman" w:eastAsia="Times New Roman" w:hAnsi="Times New Roman" w:cs="Times New Roman"/>
          <w:sz w:val="24"/>
          <w:szCs w:val="24"/>
          <w:lang w:eastAsia="en-GB"/>
        </w:rPr>
        <w:t>.</w:t>
      </w:r>
    </w:p>
    <w:p w14:paraId="37D5E5F1" w14:textId="77777777" w:rsidR="00863DF5" w:rsidRPr="006F3B00" w:rsidRDefault="00863DF5" w:rsidP="00863DF5">
      <w:pPr>
        <w:spacing w:after="0" w:line="480" w:lineRule="auto"/>
        <w:rPr>
          <w:rFonts w:ascii="Times New Roman" w:hAnsi="Times New Roman" w:cs="Times New Roman"/>
          <w:bCs/>
          <w:sz w:val="24"/>
          <w:szCs w:val="24"/>
        </w:rPr>
      </w:pPr>
    </w:p>
    <w:p w14:paraId="5886848E" w14:textId="19C65173" w:rsidR="00863DF5"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Deficiencies in sampling can be correlated with unreliability </w:t>
      </w:r>
      <w:r w:rsidRPr="00A37B72">
        <w:rPr>
          <w:rFonts w:ascii="Times New Roman" w:hAnsi="Times New Roman" w:cs="Times New Roman"/>
          <w:sz w:val="24"/>
          <w:szCs w:val="24"/>
        </w:rPr>
        <w:fldChar w:fldCharType="begin" w:fldLock="1"/>
      </w:r>
      <w:r w:rsidR="00BE3B6C" w:rsidRPr="00A37B72">
        <w:rPr>
          <w:rFonts w:ascii="Times New Roman" w:hAnsi="Times New Roman" w:cs="Times New Roman"/>
          <w:sz w:val="24"/>
          <w:szCs w:val="24"/>
        </w:rPr>
        <w:instrText>ADDIN CSL_CITATION {"citationItems":[{"id":"ITEM-1","itemData":{"DOI":"10.1111/j.1365-2929.2005.02094.x","ISBN":"0308-0110 (Print)","ISSN":"03080110","PMID":"15733167","abstract":"INTRODUCTION: We use a utility model to illustrate that, firstly, selecting an assessment method involves context-dependent compromises, and secondly, that assessment is not a measurement problem but an instructional design problem, comprising educational, implementation and resource aspects. In the model, assessment characteristics are differently weighted depending on the purpose and context of the assessment. EMPIRICAL AND THEORETICAL DEVELOPMENTS: Of the characteristics in the model, we focus on reliability, validity and educational impact and argue that they are not inherent qualities of any instrument. Reliability depends not on structuring or standardisation but on sampling. Key issues concerning validity are authenticity and integration of competencies. Assessment in medical education addresses complex competencies and thus requires quantitative and qualitative information from different sources as well as professional judgement. Adequate sampling across judges, instruments and contexts can ensure both validity and reliability. Despite recognition that assessment drives learning, this relationship has been little researched, possibly because of its strong context dependence. ASSESSMENT AS INSTRUCTIONAL DESIGN: When assessment should stimulate learning and requires adequate sampling, in authentic contexts, of the performance of complex competencies that cannot be broken down into simple parts, we need to make a shift from individual methods to an integral programme, intertwined with the education programme. Therefore, we need an instructional design perspective. IMPLICATIONS FOR DEVELOPMENT AND RESEARCH: Programmatic instructional design hinges on a careful description and motivation of choices, whose effectiveness should be measured against the intended outcomes. We should not evaluate individual methods, but provide evidence of the utility of the assessment programme as a whole.","author":[{"dropping-particle":"","family":"Vleuten","given":"C. P M","non-dropping-particle":"Van Der","parse-names":false,"suffix":""},{"dropping-particle":"","family":"Schuwirth","given":"L. W T","non-dropping-particle":"","parse-names":false,"suffix":""}],"container-title":"Medical Education","id":"ITEM-1","issue":"3","issued":{"date-parts":[["2005"]]},"page":"309-317","title":"Assessing professional competence: From methods to programmes","type":"article-journal","volume":"39"},"uris":["http://www.mendeley.com/documents/?uuid=57592151-3b74-439e-9b0a-d6b6b51a911a"]}],"mendeley":{"formattedCitation":"(Van Der Vleuten and Schuwirth, 2005)","plainTextFormattedCitation":"(Van Der Vleuten and Schuwirth, 2005)","previouslyFormattedCitation":"(Van Der Vleuten and Schuwirth 2005)"},"properties":{"noteIndex":0},"schema":"https://github.com/citation-style-language/schema/raw/master/csl-citation.json"}</w:instrText>
      </w:r>
      <w:r w:rsidRPr="00A37B72">
        <w:rPr>
          <w:rFonts w:ascii="Times New Roman" w:hAnsi="Times New Roman" w:cs="Times New Roman"/>
          <w:sz w:val="24"/>
          <w:szCs w:val="24"/>
        </w:rPr>
        <w:fldChar w:fldCharType="separate"/>
      </w:r>
      <w:r w:rsidR="00A37B72">
        <w:rPr>
          <w:rFonts w:ascii="Times New Roman" w:hAnsi="Times New Roman" w:cs="Times New Roman"/>
          <w:noProof/>
          <w:sz w:val="24"/>
          <w:szCs w:val="24"/>
        </w:rPr>
        <w:t>(van der Vleuten and Schuwirth</w:t>
      </w:r>
      <w:r w:rsidR="00BE3B6C" w:rsidRPr="00A37B72">
        <w:rPr>
          <w:rFonts w:ascii="Times New Roman" w:hAnsi="Times New Roman" w:cs="Times New Roman"/>
          <w:noProof/>
          <w:sz w:val="24"/>
          <w:szCs w:val="24"/>
        </w:rPr>
        <w:t xml:space="preserve"> 2005)</w:t>
      </w:r>
      <w:r w:rsidRPr="00A37B72">
        <w:rPr>
          <w:rFonts w:ascii="Times New Roman" w:hAnsi="Times New Roman" w:cs="Times New Roman"/>
          <w:sz w:val="24"/>
          <w:szCs w:val="24"/>
        </w:rPr>
        <w:fldChar w:fldCharType="end"/>
      </w:r>
      <w:r w:rsidRPr="006F3B00">
        <w:rPr>
          <w:rFonts w:ascii="Times New Roman" w:hAnsi="Times New Roman" w:cs="Times New Roman"/>
          <w:sz w:val="24"/>
          <w:szCs w:val="24"/>
        </w:rPr>
        <w:t xml:space="preserve"> so increasing the number of test items, the number of assessments, range of examiners or even combining results of varying examinations, can help to increase reliability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{"citationItems":[{"id":"ITEM-1","itemData":{"DOI":"10.1080/713611434","ISBN":"0260-2938","ISSN":"0260-2938","PMID":"144","abstract":"Reliability is important in the academic judgements that higher education institutions pass to employers, graduate schools and other stakeholders. However, there are well-known limits to the levels of reliability that can be reached at reasonable cost and without sacrificing validity. It is argued that a systemic approach to the assessment of student learning shows how resources may be freed up to invest in securing more reliable assessments where they are desirable and might reasonably be had.","author":[{"dropping-particle":"","family":"Knight","given":"Peter T.","non-dropping-particle":"","parse-names":false,"suffix":""}],"container-title":"Assessment &amp; Evaluation in Higher Education","id":"ITEM-1","issue":"3","issued":{"date-parts":[["2000"]]},"page":"237-251","title":"The Value of a Programme-wide Approach to Assessment","type":"article-journal","volume":"25"},"uris":["http://www.mendeley.com/documents/?uuid=e2ac0ebf-f441-4c01-afae-df246c30f0f5"]},{"id":"ITEM-2","itemData":{"DOI":"10.1016/S0140-6736(00)04221-5","ISBN":"0140-6736 (Print)","ISSN":"0140-6736","PMID":"11289364","abstract":"Tests of clinical competence, which allow decisions to be made about medical qualification and fitness to practise, must be designed with respect to key issues including blueprinting, validity, reliability, and standard setting, as well as clarity about their formative or summative function. Multiple choice questions, essays, and oral examinations could be used to test factual recall and applied knowledge, but more sophisticated methods are needed to assess clincial performance, including directly observed long and short cases, objective structured clinical examinations, and the use of standardised patients. The goal of assessment in medical education remains the development of reliable measurements of student performance which, as well as having predictive value for subsequent clinical competence, also have a formative, educational role.","author":[{"dropping-particle":"","family":"Wass","given":"V","non-dropping-particle":"","parse-names":false,"suffix":""},{"dropping-particle":"","family":"Vleuten","given":"C","non-dropping-particle":"Van der","parse-names":false,"suffix":""},{"dropping-particle":"","family":"Shatzer","given":"J","non-dropping-particle":"","parse-names":false,"suffix":""},{"dropping-particle":"","family":"Jones","given":"R","non-dropping-particle":"","parse-names":false,"suffix":""}],"container-title":"Lancet","id":"ITEM-2","issue":"9260","issued":{"date-parts":[["2001"]]},"page":"945-9","title":"Assessment of clinical competence.","type":"article-journal","volume":"357"},"uris":["http://www.mendeley.com/documents/?uuid=839b00b6-2dda-4556-81e1-8970a51f43e2"]}],"mendeley":{"formattedCitation":"(Knight, 2000; Wass &lt;i&gt;et al.&lt;/i&gt;, 2001)","plainTextFormattedCitation":"(Knight, 2000; Wass et al., 2001)","previouslyFormattedCitation":"(Knight 2000; Wass et al. 2001)"},"properties":{"noteIndex":0},"schema":"https://github.com/citation-style-language/schema/raw/master/csl-citation.json"}</w:instrText>
      </w:r>
      <w:r w:rsidRPr="006F3B00">
        <w:rPr>
          <w:rFonts w:ascii="Times New Roman" w:hAnsi="Times New Roman" w:cs="Times New Roman"/>
          <w:sz w:val="24"/>
          <w:szCs w:val="24"/>
        </w:rPr>
        <w:fldChar w:fldCharType="separate"/>
      </w:r>
      <w:r w:rsidR="00A37B72">
        <w:rPr>
          <w:rFonts w:ascii="Times New Roman" w:hAnsi="Times New Roman" w:cs="Times New Roman"/>
          <w:noProof/>
          <w:sz w:val="24"/>
          <w:szCs w:val="24"/>
        </w:rPr>
        <w:t>(Knight</w:t>
      </w:r>
      <w:r w:rsidR="00BE3B6C" w:rsidRPr="00BE3B6C">
        <w:rPr>
          <w:rFonts w:ascii="Times New Roman" w:hAnsi="Times New Roman" w:cs="Times New Roman"/>
          <w:noProof/>
          <w:sz w:val="24"/>
          <w:szCs w:val="24"/>
        </w:rPr>
        <w:t xml:space="preserve"> 2000; Wass</w:t>
      </w:r>
      <w:r w:rsidR="00BE3B6C" w:rsidRPr="00A37B72">
        <w:rPr>
          <w:rFonts w:ascii="Times New Roman" w:hAnsi="Times New Roman" w:cs="Times New Roman"/>
          <w:noProof/>
          <w:sz w:val="24"/>
          <w:szCs w:val="24"/>
        </w:rPr>
        <w:t xml:space="preserve"> et al.</w:t>
      </w:r>
      <w:r w:rsidR="00BE3B6C" w:rsidRPr="00BE3B6C">
        <w:rPr>
          <w:rFonts w:ascii="Times New Roman" w:hAnsi="Times New Roman" w:cs="Times New Roman"/>
          <w:noProof/>
          <w:sz w:val="24"/>
          <w:szCs w:val="24"/>
        </w:rPr>
        <w:t xml:space="preserve"> 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Providing training and marking proformas can also improve examiner objectivity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{"citationItems":[{"id":"ITEM-1","itemData":{"DOI":"10.1080/713611434","ISBN":"0260-2938","ISSN":"0260-2938","PMID":"144","abstract":"Reliability is important in the academic judgements that higher education institutions pass to employers, graduate schools and other stakeholders. However, there are well-known limits to the levels of reliability that can be reached at reasonable cost and without sacrificing validity. It is argued that a systemic approach to the assessment of student learning shows how resources may be freed up to invest in securing more reliable assessments where they are desirable and might reasonably be had.","author":[{"dropping-particle":"","family":"Knight","given":"Peter T.","non-dropping-particle":"","parse-names":false,"suffix":""}],"container-title":"Assessment &amp; Evaluation in Higher Education","id":"ITEM-1","issue":"3","issued":{"date-parts":[["2000"]]},"page":"237-251","title":"The Value of a Programme-wide Approach to Assessment","type":"article-journal","volume":"25"},"uris":["http://www.mendeley.com/documents/?uuid=e2ac0ebf-f441-4c01-afae-df246c30f0f5"]},{"id":"ITEM-2","itemData":{"DOI":"10.1177/1469787400001001002","ISSN":"1469-7874","abstract":"This article reports some findings which have emerged from research into assessment that has been carried out over a number of years by the Student Assessment and Classification Working Group in the UK. The findings raise questions at a number of levels about assessment practice. The heterogeneity in the distribution of honours degree classes that is visible in Higher Education Statistics Agency (HESA) statistics has a parallel at the level of the module, which provokes some disquiet about the equitability of assessment across disciplinary areas. Differences between performances in coursework and examinations prompt questions about the purposes and authenticity' of assessments. Initial work on lecturers' marking behaviour, coupled with the preceding points, suggests that there is considerable scope for professional development in the area of assessment.","author":[{"dropping-particle":"","family":"Yorke","given":"M.","non-dropping-particle":"","parse-names":false,"suffix":""},{"dropping-particle":"","family":"Bridges","given":"P.","non-dropping-particle":"","parse-names":false,"suffix":""},{"dropping-particle":"","family":"Woolf","given":"H.","non-dropping-particle":"","parse-names":false,"suffix":""}],"container-title":"Active Learning in Higher Education","id":"ITEM-2","issue":"1","issued":{"date-parts":[["2000"]]},"page":"7-27","title":"Mark Distributions and Marking Practices in UK Higher Education: Some Challenging Issues","type":"article-journal","volume":"1"},"uris":["http://www.mendeley.com/documents/?uuid=2049efb0-cfc2-4e95-a718-42ba3adef1ac"]},{"id":"ITEM-3","itemData":{"DOI":"10.1111/j.1365-2929.2005.02094.x","ISBN":"0308-0110 (Print)","ISSN":"03080110","PMID":"15733167","abstract":"INTRODUCTION: We use a utility model to illustrate that, firstly, selecting an assessment method involves context-dependent compromises, and secondly, that assessment is not a measurement problem but an instructional design problem, comprising educational, implementation and resource aspects. In the model, assessment characteristics are differently weighted depending on the purpose and context of the assessment. EMPIRICAL AND THEORETICAL DEVELOPMENTS: Of the characteristics in the model, we focus on reliability, validity and educational impact and argue that they are not inherent qualities of any instrument. Reliability depends not on structuring or standardisation but on sampling. Key issues concerning validity are authenticity and integration of competencies. Assessment in medical education addresses complex competencies and thus requires quantitative and qualitative information from different sources as well as professional judgement. Adequate sampling across judges, instruments and contexts can ensure both validity and reliability. Despite recognition that assessment drives learning, this relationship has been little researched, possibly because of its strong context dependence. ASSESSMENT AS INSTRUCTIONAL DESIGN: When assessment should stimulate learning and requires adequate sampling, in authentic contexts, of the performance of complex competencies that cannot be broken down into simple parts, we need to make a shift from individual methods to an integral programme, intertwined with the education programme. Therefore, we need an instructional design perspective. IMPLICATIONS FOR DEVELOPMENT AND RESEARCH: Programmatic instructional design hinges on a careful description and motivation of choices, whose effectiveness should be measured against the intended outcomes. We should not evaluate individual methods, but provide evidence of the utility of the assessment programme as a whole.","author":[{"dropping-particle":"","family":"Vleuten","given":"C. P M","non-dropping-particle":"Van Der","parse-names":false,"suffix":""},{"dropping-particle":"","family":"Schuwirth","given":"L. W T","non-dropping-particle":"","parse-names":false,"suffix":""}],"container-title":"Medical Education","id":"ITEM-3","issue":"3","issued":{"date-parts":[["2005"]]},"page":"309-317","title":"Assessing professional competence: From methods to programmes","type":"article-journal","volume":"39"},"uris":["http://www.mendeley.com/documents/?uuid=57592151-3b74-439e-9b0a-d6b6b51a911a"]}],"mendeley":{"formattedCitation":"(Knight, 2000; Yorke, Bridges and Woolf, 2000; Van Der Vleuten and Schuwirth, 2005)","plainTextFormattedCitation":"(Knight, 2000; Yorke, Bridges and Woolf, 2000; Van Der Vleuten and Schuwirth, 2005)","previouslyFormattedCitation":"(Knight 2000; Yorke, Bridges, and Woolf 2000; Van Der Vleuten and Schuwirth 2005)"},"properties":{"noteIndex":0},"schema":"https://github.com/citation-style-language/schema/raw/master/csl-citation.json"}</w:instrText>
      </w:r>
      <w:r w:rsidRPr="006F3B00">
        <w:rPr>
          <w:rFonts w:ascii="Times New Roman" w:hAnsi="Times New Roman" w:cs="Times New Roman"/>
          <w:sz w:val="24"/>
          <w:szCs w:val="24"/>
        </w:rPr>
        <w:fldChar w:fldCharType="separate"/>
      </w:r>
      <w:r w:rsidR="00A37B72">
        <w:rPr>
          <w:rFonts w:ascii="Times New Roman" w:hAnsi="Times New Roman" w:cs="Times New Roman"/>
          <w:noProof/>
          <w:sz w:val="24"/>
          <w:szCs w:val="24"/>
        </w:rPr>
        <w:t>(Knight</w:t>
      </w:r>
      <w:r w:rsidR="00BE3B6C" w:rsidRPr="00BE3B6C">
        <w:rPr>
          <w:rFonts w:ascii="Times New Roman" w:hAnsi="Times New Roman" w:cs="Times New Roman"/>
          <w:noProof/>
          <w:sz w:val="24"/>
          <w:szCs w:val="24"/>
        </w:rPr>
        <w:t xml:space="preserve"> 2000; Yorke, Bridges </w:t>
      </w:r>
      <w:r w:rsidR="00A37B72">
        <w:rPr>
          <w:rFonts w:ascii="Times New Roman" w:hAnsi="Times New Roman" w:cs="Times New Roman"/>
          <w:noProof/>
          <w:sz w:val="24"/>
          <w:szCs w:val="24"/>
        </w:rPr>
        <w:t>and Woolf 2000; van d</w:t>
      </w:r>
      <w:r w:rsidR="00BE3B6C" w:rsidRPr="00BE3B6C">
        <w:rPr>
          <w:rFonts w:ascii="Times New Roman" w:hAnsi="Times New Roman" w:cs="Times New Roman"/>
          <w:noProof/>
          <w:sz w:val="24"/>
          <w:szCs w:val="24"/>
        </w:rPr>
        <w:t>er Vleuten and Schuwirth, 2005)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However, over-prescription of these can reduce validity so assessments must have a degree of flexibility and yet a minimum level of structure and standardisation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{"citationItems":[{"id":"ITEM-1","itemData":{"DOI":"10.1007/BF00596229","ISBN":"1382-4996","ISSN":"1382-4996, 1573-1677","PMID":"24178994","abstract":"Overzicht van de geschiedenis en belangrijkste research bevindingen van de laatste decennia plus implicaties voor verder onderzoek en onderwijs.","author":[{"dropping-particle":"Van Der","family":"Vleuten","given":"C. P. M.","non-dropping-particle":"","parse-names":false,"suffix":""}],"container-title":"Advances in Health Sciences Education","id":"ITEM-1","issue":"1","issued":{"date-parts":[["1996"]]},"page":"41-67","title":"The assessment of professional competence: Developments, research and practical implications","type":"article-journal","volume":"1"},"uris":["http://www.mendeley.com/documents/?uuid=a20fa592-ca1a-444e-ae7d-9c4146054b33"]}],"mendeley":{"formattedCitation":"(Vleuten, 1996)","plainTextFormattedCitation":"(Vleuten, 1996)","previouslyFormattedCitation":"(Vleuten 1996)"},"properties":{"noteIndex":0},"schema":"https://github.com/citation-style-language/schema/raw/master/csl-citation.json"}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A37B72">
        <w:rPr>
          <w:rFonts w:ascii="Times New Roman" w:hAnsi="Times New Roman" w:cs="Times New Roman"/>
          <w:noProof/>
          <w:sz w:val="24"/>
          <w:szCs w:val="24"/>
        </w:rPr>
        <w:t>van der Vleuten</w:t>
      </w:r>
      <w:r w:rsidR="00BE3B6C" w:rsidRPr="00BE3B6C">
        <w:rPr>
          <w:rFonts w:ascii="Times New Roman" w:hAnsi="Times New Roman" w:cs="Times New Roman"/>
          <w:noProof/>
          <w:sz w:val="24"/>
          <w:szCs w:val="24"/>
        </w:rPr>
        <w:t xml:space="preserve"> 1996)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0D88FF51" w14:textId="77777777" w:rsidR="00F12CB7" w:rsidRPr="006F3B00" w:rsidRDefault="00F12CB7" w:rsidP="00863DF5">
      <w:pPr>
        <w:spacing w:after="0" w:line="480" w:lineRule="auto"/>
        <w:rPr>
          <w:rFonts w:ascii="Times New Roman" w:hAnsi="Times New Roman" w:cs="Times New Roman"/>
          <w:sz w:val="24"/>
          <w:szCs w:val="24"/>
        </w:rPr>
      </w:pPr>
    </w:p>
    <w:p w14:paraId="3B982EC0" w14:textId="6E1D574E"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Reliability involves measuring and quantifying errors that occur during assessment, errors which reflect that human performance is variable and affected by various factors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{"citationItems":[{"id":"ITEM-1","itemData":{"ISBN":"0-02-922400-4 (Hardcover)","abstract":"quantification of the consistency and inconsistency in examinee performance constitutes the essence of reliability analysis  concept of true score / sources of measurement error  reliability in classical test theory / definition of the reliability coefficient and the error variance for a test / parallel forms and test-retest approaches to estimation / estimation of reliability from a single administration of a test / numerical example / reliability of composite scores / stratified coefficient alpha / reliability of difference scores  reliability in generalizability theory / single-facet universes and designs / multifacet, infinite universes and random models / restricted universes of generalization and mixed models  reliability for criterion-referenced interpretations / indexes based on squared-error loss / indexes based on threshold loss (PsycINFO Database Record (c) 2012 APA, all rights reserved)","author":[{"dropping-particle":"","family":"Feldt","given":"Leonard S","non-dropping-particle":"","parse-names":false,"suffix":""},{"dropping-particle":"","family":"Brennan","given":"Robert L","non-dropping-particle":"","parse-names":false,"suffix":""}],"container-title":"Educational measurement (3rd ed.)","id":"ITEM-1","issued":{"date-parts":[["1989"]]},"page":"105-146","title":"Reliability","type":"chapter"},"uris":["http://www.mendeley.com/documents/?uuid=de5d019c-4214-443b-8375-3448420ad282"]}],"mendeley":{"formattedCitation":"(Feldt and Brennan, 1989)","plainTextFormattedCitation":"(Feldt and Brennan, 1989)","previouslyFormattedCitation":"(Feldt and Brennan 1989)"},"properties":{"noteIndex":0},"schema":"https://github.com/citation-style-language/schema/raw/master/csl-citation.json"}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(Feldt </w:t>
      </w:r>
      <w:r w:rsidR="00A37B72">
        <w:rPr>
          <w:rFonts w:ascii="Times New Roman" w:hAnsi="Times New Roman" w:cs="Times New Roman"/>
          <w:noProof/>
          <w:sz w:val="24"/>
          <w:szCs w:val="24"/>
        </w:rPr>
        <w:t>and Brennan</w:t>
      </w:r>
      <w:r w:rsidR="00BE3B6C" w:rsidRPr="00BE3B6C">
        <w:rPr>
          <w:rFonts w:ascii="Times New Roman" w:hAnsi="Times New Roman" w:cs="Times New Roman"/>
          <w:noProof/>
          <w:sz w:val="24"/>
          <w:szCs w:val="24"/>
        </w:rPr>
        <w:t xml:space="preserve"> 1989)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The reliability of the test may be affected by the perceived importance of the test, the temperature of the room, the time of day it was administered, or any countless number of factors. Threats to reliability include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{"citationItems":[{"id":"ITEM-1","itemData":{"ISBN":"0-02-922400-4 (Hardcover)","abstract":"quantification of the consistency and inconsistency in examinee performance constitutes the essence of reliability analysis  concept of true score / sources of measurement error  reliability in classical test theory / definition of the reliability coefficient and the error variance for a test / parallel forms and test-retest approaches to estimation / estimation of reliability from a single administration of a test / numerical example / reliability of composite scores / stratified coefficient alpha / reliability of difference scores  reliability in generalizability theory / single-facet universes and designs / multifacet, infinite universes and random models / restricted universes of generalization and mixed models  reliability for criterion-referenced interpretations / indexes based on squared-error loss / indexes based on threshold loss (PsycINFO Database Record (c) 2012 APA, all rights reserved)","author":[{"dropping-particle":"","family":"Feldt","given":"Leonard S","non-dropping-particle":"","parse-names":false,"suffix":""},{"dropping-particle":"","family":"Brennan","given":"Robert L","non-dropping-particle":"","parse-names":false,"suffix":""}],"container-title":"Educational measurement (3rd ed.)","id":"ITEM-1","issued":{"date-parts":[["1989"]]},"page":"105-146","title":"Reliability","type":"chapter"},"uris":["http://www.mendeley.com/documents/?uuid=de5d019c-4214-443b-8375-3448420ad282"]}],"mendeley":{"formattedCitation":"(Feldt and Brennan, 1989)","plainTextFormattedCitation":"(Feldt and Brennan, 1989)","previouslyFormattedCitation":"(Feldt and Brennan 1989)"},"properties":{"noteIndex":0},"schema":"https://github.com/citation-style-language/schema/raw/master/csl-citation.json"}</w:instrText>
      </w:r>
      <w:r w:rsidRPr="006F3B00">
        <w:rPr>
          <w:rFonts w:ascii="Times New Roman" w:hAnsi="Times New Roman" w:cs="Times New Roman"/>
          <w:sz w:val="24"/>
          <w:szCs w:val="24"/>
        </w:rPr>
        <w:fldChar w:fldCharType="separate"/>
      </w:r>
      <w:r w:rsidR="00A37B72">
        <w:rPr>
          <w:rFonts w:ascii="Times New Roman" w:hAnsi="Times New Roman" w:cs="Times New Roman"/>
          <w:noProof/>
          <w:sz w:val="24"/>
          <w:szCs w:val="24"/>
        </w:rPr>
        <w:t>(Feldt and Brennan</w:t>
      </w:r>
      <w:r w:rsidR="00BE3B6C" w:rsidRPr="00BE3B6C">
        <w:rPr>
          <w:rFonts w:ascii="Times New Roman" w:hAnsi="Times New Roman" w:cs="Times New Roman"/>
          <w:noProof/>
          <w:sz w:val="24"/>
          <w:szCs w:val="24"/>
        </w:rPr>
        <w:t xml:space="preserve"> 1989)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58465C8E" w14:textId="77777777" w:rsidR="00863DF5" w:rsidRPr="006F3B00" w:rsidRDefault="00863DF5" w:rsidP="00863DF5">
      <w:pPr>
        <w:spacing w:after="0" w:line="480" w:lineRule="auto"/>
        <w:rPr>
          <w:rFonts w:ascii="Times New Roman" w:hAnsi="Times New Roman" w:cs="Times New Roman"/>
          <w:sz w:val="24"/>
          <w:szCs w:val="24"/>
        </w:rPr>
      </w:pPr>
    </w:p>
    <w:p w14:paraId="1E59A781" w14:textId="77777777" w:rsidR="00863DF5" w:rsidRPr="006F3B00" w:rsidRDefault="00863DF5" w:rsidP="001A1FF3">
      <w:pPr>
        <w:pStyle w:val="ListParagraph"/>
        <w:numPr>
          <w:ilvl w:val="0"/>
          <w:numId w:val="9"/>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individuals e.g. their attitude, health, motivation</w:t>
      </w:r>
    </w:p>
    <w:p w14:paraId="707BB343" w14:textId="77777777" w:rsidR="00863DF5" w:rsidRPr="006F3B00" w:rsidRDefault="00863DF5" w:rsidP="001A1FF3">
      <w:pPr>
        <w:pStyle w:val="ListParagraph"/>
        <w:numPr>
          <w:ilvl w:val="0"/>
          <w:numId w:val="9"/>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instrument variables e.g. scoring errors, sampling errors, poor questions</w:t>
      </w:r>
    </w:p>
    <w:p w14:paraId="54990268" w14:textId="77777777" w:rsidR="00863DF5" w:rsidRPr="006F3B00" w:rsidRDefault="00863DF5" w:rsidP="001A1FF3">
      <w:pPr>
        <w:pStyle w:val="ListParagraph"/>
        <w:numPr>
          <w:ilvl w:val="0"/>
          <w:numId w:val="9"/>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situational factors e.g. the context of the assessment</w:t>
      </w:r>
    </w:p>
    <w:p w14:paraId="0CFE2D5F" w14:textId="77777777" w:rsidR="00863DF5" w:rsidRPr="006F3B00" w:rsidRDefault="00863DF5" w:rsidP="001A1FF3">
      <w:pPr>
        <w:pStyle w:val="ListParagraph"/>
        <w:numPr>
          <w:ilvl w:val="0"/>
          <w:numId w:val="9"/>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test marker factors e.g. subjectivity and idiosyncrasy</w:t>
      </w:r>
    </w:p>
    <w:p w14:paraId="0E1F43F8" w14:textId="77777777" w:rsidR="00863DF5" w:rsidRPr="006F3B00" w:rsidRDefault="00863DF5" w:rsidP="00863DF5">
      <w:pPr>
        <w:spacing w:after="0" w:line="480" w:lineRule="auto"/>
        <w:rPr>
          <w:rFonts w:ascii="Times New Roman" w:hAnsi="Times New Roman" w:cs="Times New Roman"/>
          <w:sz w:val="24"/>
          <w:szCs w:val="24"/>
        </w:rPr>
      </w:pPr>
    </w:p>
    <w:p w14:paraId="607F4C3F" w14:textId="42EA641A"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More specifically, threats to reliability in assessments can include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{"citationItems":[{"id":"ITEM-1","itemData":{"DOI":"10.1080/0969594960030302","ISBN":"0969-594X","ISSN":"0969-594X","PMID":"23483361","abstract":"Abstract Validity is the most important quality of an assessment, but its evaluation is often neglected. The step‐by‐step approach suggested here provides structured guidance to validators of educational assessments. Assessment is depicted as a chain of eight linked stages: administration, scoring, aggregation, generalization, extrapolation, evaluation, decision and impact. Evaluating validity requires careful consideration of threats to validity associated with each link. Several threats are described and exemplified for each link. These sets of threats are intended to be illustrative rather than comprehensive. The chain model suggests that validity is limited by the weakest link, and that efforts to make other links particularly strong may be wasteful or even harmful. The chain model and list of threats is also shown to be valuable when planning assessments.","author":[{"dropping-particle":"","family":"Crooks","given":"Terry J.","non-dropping-particle":"","parse-names":false,"suffix":""},{"dropping-particle":"","family":"Kane","given":"Michael T.","non-dropping-particle":"","parse-names":false,"suffix":""},{"dropping-particle":"","family":"Cohen","given":"Allan S.","non-dropping-particle":"","parse-names":false,"suffix":""}],"container-title":"Assessment in Education: Principles, Policy &amp; Practice","id":"ITEM-1","issue":"3","issued":{"date-parts":[["1996"]]},"page":"265-286","title":"Threats to the Valid Use of Assessments","type":"article-journal","volume":"3"},"uris":["http://www.mendeley.com/documents/?uuid=9dfd0cbf-9dd4-44df-b7cf-d28689e6177f"]}],"mendeley":{"formattedCitation":"(Crooks, Kane and Cohen, 1996)","plainTextFormattedCitation":"(Crooks, Kane and Cohen, 1996)","previouslyFormattedCitation":"(Crooks, Kane, and Cohen 1996)"},"properties":{"noteIndex":0},"schema":"https://github.com/citation-style-language/schema/raw/master/csl-citation.json"}</w:instrText>
      </w:r>
      <w:r w:rsidRPr="006F3B00">
        <w:rPr>
          <w:rFonts w:ascii="Times New Roman" w:hAnsi="Times New Roman" w:cs="Times New Roman"/>
          <w:sz w:val="24"/>
          <w:szCs w:val="24"/>
        </w:rPr>
        <w:fldChar w:fldCharType="separate"/>
      </w:r>
      <w:r w:rsidR="00A37B72">
        <w:rPr>
          <w:rFonts w:ascii="Times New Roman" w:hAnsi="Times New Roman" w:cs="Times New Roman"/>
          <w:noProof/>
          <w:sz w:val="24"/>
          <w:szCs w:val="24"/>
        </w:rPr>
        <w:t>(Crooks, Kane and Cohen</w:t>
      </w:r>
      <w:r w:rsidR="00BE3B6C" w:rsidRPr="00BE3B6C">
        <w:rPr>
          <w:rFonts w:ascii="Times New Roman" w:hAnsi="Times New Roman" w:cs="Times New Roman"/>
          <w:noProof/>
          <w:sz w:val="24"/>
          <w:szCs w:val="24"/>
        </w:rPr>
        <w:t xml:space="preserve"> 1996)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0E9CEDD9" w14:textId="77777777" w:rsidR="00863DF5" w:rsidRPr="006F3B00" w:rsidRDefault="00863DF5" w:rsidP="00863DF5">
      <w:pPr>
        <w:spacing w:after="0" w:line="480" w:lineRule="auto"/>
        <w:rPr>
          <w:rFonts w:ascii="Times New Roman" w:hAnsi="Times New Roman" w:cs="Times New Roman"/>
          <w:sz w:val="24"/>
          <w:szCs w:val="24"/>
        </w:rPr>
      </w:pPr>
    </w:p>
    <w:p w14:paraId="355D52F5" w14:textId="77777777" w:rsidR="00863DF5" w:rsidRPr="006F3B00" w:rsidRDefault="00863DF5" w:rsidP="001A1FF3">
      <w:pPr>
        <w:pStyle w:val="ListParagraph"/>
        <w:numPr>
          <w:ilvl w:val="0"/>
          <w:numId w:val="10"/>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the halo effect (a cognitive bias which allows positive traits to positively affect the outcome of a decision)</w:t>
      </w:r>
    </w:p>
    <w:p w14:paraId="58445286" w14:textId="1DA620E4" w:rsidR="00863DF5" w:rsidRPr="006F3B00" w:rsidRDefault="00863DF5" w:rsidP="001A1FF3">
      <w:pPr>
        <w:pStyle w:val="ListParagraph"/>
        <w:numPr>
          <w:ilvl w:val="0"/>
          <w:numId w:val="10"/>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impact of the </w:t>
      </w:r>
      <w:r w:rsidR="00FE410F">
        <w:rPr>
          <w:rFonts w:ascii="Times New Roman" w:hAnsi="Times New Roman" w:cs="Times New Roman"/>
          <w:sz w:val="24"/>
          <w:szCs w:val="24"/>
        </w:rPr>
        <w:t>relationship between the trainee</w:t>
      </w:r>
      <w:r w:rsidRPr="006F3B00">
        <w:rPr>
          <w:rFonts w:ascii="Times New Roman" w:hAnsi="Times New Roman" w:cs="Times New Roman"/>
          <w:sz w:val="24"/>
          <w:szCs w:val="24"/>
        </w:rPr>
        <w:t xml:space="preserve"> and assessor</w:t>
      </w:r>
    </w:p>
    <w:p w14:paraId="501ED07F" w14:textId="77777777" w:rsidR="00863DF5" w:rsidRPr="006F3B00" w:rsidRDefault="00863DF5" w:rsidP="001A1FF3">
      <w:pPr>
        <w:pStyle w:val="ListParagraph"/>
        <w:numPr>
          <w:ilvl w:val="0"/>
          <w:numId w:val="10"/>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errors in marking</w:t>
      </w:r>
    </w:p>
    <w:p w14:paraId="49316E9B" w14:textId="77777777" w:rsidR="00863DF5" w:rsidRPr="006F3B00" w:rsidRDefault="00863DF5" w:rsidP="001A1FF3">
      <w:pPr>
        <w:pStyle w:val="ListParagraph"/>
        <w:numPr>
          <w:ilvl w:val="0"/>
          <w:numId w:val="10"/>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the Hawthorne effect (when people modify their behaviour when being observed)</w:t>
      </w:r>
    </w:p>
    <w:p w14:paraId="086CFB51" w14:textId="77777777" w:rsidR="00863DF5" w:rsidRPr="006F3B00" w:rsidRDefault="00863DF5" w:rsidP="001A1FF3">
      <w:pPr>
        <w:pStyle w:val="ListParagraph"/>
        <w:numPr>
          <w:ilvl w:val="0"/>
          <w:numId w:val="10"/>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inter-rater reliability</w:t>
      </w:r>
    </w:p>
    <w:p w14:paraId="57F1FF15" w14:textId="77777777" w:rsidR="00863DF5" w:rsidRPr="006F3B00" w:rsidRDefault="00863DF5" w:rsidP="00863DF5">
      <w:pPr>
        <w:spacing w:after="0" w:line="480" w:lineRule="auto"/>
        <w:rPr>
          <w:rFonts w:ascii="Times New Roman" w:hAnsi="Times New Roman" w:cs="Times New Roman"/>
          <w:sz w:val="24"/>
          <w:szCs w:val="24"/>
        </w:rPr>
      </w:pPr>
    </w:p>
    <w:p w14:paraId="79D3AC5B" w14:textId="3BC99EC8"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Reliability of assessments may be improved by</w:t>
      </w:r>
      <w:r w:rsidR="0025279A">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{"citationItems":[{"id":"ITEM-1","itemData":{"DOI":"10.1016/j.stueduc.2007.01.003","ISBN":"0191-491X","ISSN":"0191491X","abstract":"The assessment of students is used for various different purposes within an assessment system. It has an impact on students, teaching and the curriculum, the nature of this impact depending upon how it is carried out. In order to evaluate the advantages and disadvantages of particular assessment procedures, criteria need to be applied. This article discusses the criteria of construct validity, reliability, desired impact (consequential validity), and good use of resources, and applies them to assessment for formative and summative purposes. It concludes that for these purposes, the criteria are more readily met when there is greater use of teachers' judgments in assessment rather than external tests. ?? 2007 Elsevier Ltd. All rights reserved.","author":[{"dropping-particle":"","family":"Harlen","given":"Wynne","non-dropping-particle":"","parse-names":false,"suffix":""}],"container-title":"Studies in Educational Evaluation","id":"ITEM-1","issue":"1","issued":{"date-parts":[["2007"]]},"page":"15-28","title":"CRITERIA FOR EVALUATING SYSTEMS FOR STUDENT ASSESSMENT","type":"article-journal","volume":"33"},"uris":["http://www.mendeley.com/documents/?uuid=2509e7b8-6dae-405f-8eec-0370c83bd46b"]}],"mendeley":{"formattedCitation":"(Harlen, 2007)","plainTextFormattedCitation":"(Harlen, 2007)","previouslyFormattedCitation":"(Harlen 2007)"},"properties":{"noteIndex":0},"schema":"https://github.com/citation-style-language/schema/raw/master/csl-citation.json"}</w:instrText>
      </w:r>
      <w:r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(Harlen</w:t>
      </w:r>
      <w:r w:rsidR="00BE3B6C" w:rsidRPr="00BE3B6C">
        <w:rPr>
          <w:rFonts w:ascii="Times New Roman" w:hAnsi="Times New Roman" w:cs="Times New Roman"/>
          <w:noProof/>
          <w:sz w:val="24"/>
          <w:szCs w:val="24"/>
        </w:rPr>
        <w:t xml:space="preserve"> 2007)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48881632" w14:textId="77777777" w:rsidR="00863DF5" w:rsidRPr="006F3B00" w:rsidRDefault="00863DF5" w:rsidP="00863DF5">
      <w:pPr>
        <w:spacing w:after="0" w:line="480" w:lineRule="auto"/>
        <w:rPr>
          <w:rFonts w:ascii="Times New Roman" w:hAnsi="Times New Roman" w:cs="Times New Roman"/>
          <w:sz w:val="24"/>
          <w:szCs w:val="24"/>
        </w:rPr>
      </w:pPr>
    </w:p>
    <w:p w14:paraId="27C84ED0" w14:textId="77777777" w:rsidR="00863DF5" w:rsidRPr="006F3B00" w:rsidRDefault="00863DF5" w:rsidP="001A1FF3">
      <w:pPr>
        <w:pStyle w:val="ListParagraph"/>
        <w:numPr>
          <w:ilvl w:val="0"/>
          <w:numId w:val="11"/>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group moderation meetings</w:t>
      </w:r>
    </w:p>
    <w:p w14:paraId="4A844273" w14:textId="77777777" w:rsidR="00863DF5" w:rsidRPr="006F3B00" w:rsidRDefault="00863DF5" w:rsidP="001A1FF3">
      <w:pPr>
        <w:pStyle w:val="ListParagraph"/>
        <w:numPr>
          <w:ilvl w:val="0"/>
          <w:numId w:val="11"/>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agreement panels</w:t>
      </w:r>
    </w:p>
    <w:p w14:paraId="4EF61B28" w14:textId="77777777" w:rsidR="00863DF5" w:rsidRPr="006F3B00" w:rsidRDefault="00863DF5" w:rsidP="001A1FF3">
      <w:pPr>
        <w:pStyle w:val="ListParagraph"/>
        <w:numPr>
          <w:ilvl w:val="0"/>
          <w:numId w:val="11"/>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statistical reference</w:t>
      </w:r>
    </w:p>
    <w:p w14:paraId="527C9E27" w14:textId="77777777" w:rsidR="00863DF5" w:rsidRPr="006F3B00" w:rsidRDefault="00863DF5" w:rsidP="001A1FF3">
      <w:pPr>
        <w:pStyle w:val="ListParagraph"/>
        <w:numPr>
          <w:ilvl w:val="0"/>
          <w:numId w:val="11"/>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external inspection of samples</w:t>
      </w:r>
    </w:p>
    <w:p w14:paraId="11CC2918" w14:textId="77777777" w:rsidR="00863DF5" w:rsidRPr="006F3B00" w:rsidRDefault="00863DF5" w:rsidP="001A1FF3">
      <w:pPr>
        <w:pStyle w:val="ListParagraph"/>
        <w:numPr>
          <w:ilvl w:val="0"/>
          <w:numId w:val="11"/>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defining marking criteria</w:t>
      </w:r>
    </w:p>
    <w:p w14:paraId="605138E9" w14:textId="77777777" w:rsidR="00863DF5" w:rsidRPr="006F3B00" w:rsidRDefault="00863DF5" w:rsidP="001A1FF3">
      <w:pPr>
        <w:pStyle w:val="ListParagraph"/>
        <w:numPr>
          <w:ilvl w:val="0"/>
          <w:numId w:val="11"/>
        </w:numPr>
        <w:spacing w:after="0" w:line="480" w:lineRule="auto"/>
        <w:rPr>
          <w:rFonts w:ascii="Times New Roman" w:hAnsi="Times New Roman" w:cs="Times New Roman"/>
          <w:sz w:val="24"/>
          <w:szCs w:val="24"/>
        </w:rPr>
      </w:pPr>
      <w:r w:rsidRPr="006F3B00">
        <w:rPr>
          <w:rFonts w:ascii="Times New Roman" w:hAnsi="Times New Roman" w:cs="Times New Roman"/>
          <w:i/>
          <w:sz w:val="24"/>
          <w:szCs w:val="24"/>
        </w:rPr>
        <w:t>post hoc</w:t>
      </w:r>
      <w:r w:rsidRPr="006F3B00">
        <w:rPr>
          <w:rFonts w:ascii="Times New Roman" w:hAnsi="Times New Roman" w:cs="Times New Roman"/>
          <w:sz w:val="24"/>
          <w:szCs w:val="24"/>
        </w:rPr>
        <w:t xml:space="preserve"> adjustment of marks</w:t>
      </w:r>
    </w:p>
    <w:p w14:paraId="27012F84" w14:textId="77777777" w:rsidR="00863DF5" w:rsidRPr="006F3B00" w:rsidRDefault="00863DF5" w:rsidP="001A1FF3">
      <w:pPr>
        <w:pStyle w:val="ListParagraph"/>
        <w:numPr>
          <w:ilvl w:val="0"/>
          <w:numId w:val="11"/>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accreditation of institutions </w:t>
      </w:r>
    </w:p>
    <w:p w14:paraId="7388B1DE" w14:textId="77777777" w:rsidR="00863DF5" w:rsidRPr="006F3B00" w:rsidRDefault="00863DF5" w:rsidP="00863DF5">
      <w:pPr>
        <w:spacing w:after="0" w:line="480" w:lineRule="auto"/>
        <w:rPr>
          <w:rFonts w:ascii="Times New Roman" w:hAnsi="Times New Roman" w:cs="Times New Roman"/>
          <w:sz w:val="24"/>
          <w:szCs w:val="24"/>
        </w:rPr>
      </w:pPr>
    </w:p>
    <w:p w14:paraId="5E1C8676" w14:textId="60C496AA"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 could be argued that while trying to achieve increased reliability, assessments become increasingly objective but also decontextualized.  Indeed, assessments might become contrived and artificial, and more emphasis should be placed on the importance of setting, individual perceptions and “authentic” testing. However, this is difficult to implement in reality as sometimes the most authentic testing might not be cost-efficient, </w:t>
      </w:r>
      <w:r w:rsidRPr="006F3B00">
        <w:rPr>
          <w:rFonts w:ascii="Times New Roman" w:hAnsi="Times New Roman" w:cs="Times New Roman"/>
          <w:sz w:val="24"/>
          <w:szCs w:val="24"/>
        </w:rPr>
        <w:lastRenderedPageBreak/>
        <w:t>feasible or acceptab</w:t>
      </w:r>
      <w:r w:rsidR="00FE410F">
        <w:rPr>
          <w:rFonts w:ascii="Times New Roman" w:hAnsi="Times New Roman" w:cs="Times New Roman"/>
          <w:sz w:val="24"/>
          <w:szCs w:val="24"/>
        </w:rPr>
        <w:t>le to the teachers and trainees.</w:t>
      </w:r>
      <w:r w:rsidRPr="006F3B00">
        <w:rPr>
          <w:rFonts w:ascii="Times New Roman" w:hAnsi="Times New Roman" w:cs="Times New Roman"/>
          <w:sz w:val="24"/>
          <w:szCs w:val="24"/>
        </w:rPr>
        <w:t xml:space="preserve"> This relates back to the utility of an assessment and that no assessment is perfect! </w:t>
      </w:r>
    </w:p>
    <w:p w14:paraId="3A9510C2" w14:textId="1486041F" w:rsidR="005458C0" w:rsidRDefault="005458C0" w:rsidP="00863DF5">
      <w:pPr>
        <w:spacing w:after="0" w:line="480" w:lineRule="auto"/>
        <w:rPr>
          <w:rFonts w:ascii="Times New Roman" w:hAnsi="Times New Roman" w:cs="Times New Roman"/>
          <w:sz w:val="24"/>
          <w:szCs w:val="24"/>
        </w:rPr>
      </w:pPr>
    </w:p>
    <w:p w14:paraId="66532FED" w14:textId="5B00379F" w:rsidR="00863DF5" w:rsidRPr="00FF5302" w:rsidRDefault="005458C0" w:rsidP="00863DF5">
      <w:pPr>
        <w:spacing w:after="0" w:line="480" w:lineRule="auto"/>
        <w:rPr>
          <w:rFonts w:ascii="Times New Roman" w:hAnsi="Times New Roman" w:cs="Times New Roman"/>
          <w:sz w:val="24"/>
          <w:szCs w:val="24"/>
        </w:rPr>
      </w:pPr>
      <w:r w:rsidRPr="005458C0">
        <w:rPr>
          <w:rFonts w:ascii="Times New Roman" w:hAnsi="Times New Roman" w:cs="Times New Roman"/>
          <w:sz w:val="24"/>
          <w:szCs w:val="24"/>
        </w:rPr>
        <w:t>Sometimes a more qualitative approach, as used in qualitative research is recommended because in some instances it offers a more authentic approach</w:t>
      </w:r>
      <w:r w:rsidR="00A26DBA">
        <w:rPr>
          <w:rFonts w:ascii="Times New Roman" w:hAnsi="Times New Roman" w:cs="Times New Roman"/>
          <w:sz w:val="24"/>
          <w:szCs w:val="24"/>
        </w:rPr>
        <w:t>. As such, r</w:t>
      </w:r>
      <w:r w:rsidR="00863DF5" w:rsidRPr="006F3B00">
        <w:rPr>
          <w:rFonts w:ascii="Times New Roman" w:hAnsi="Times New Roman" w:cs="Times New Roman"/>
          <w:sz w:val="24"/>
          <w:szCs w:val="24"/>
        </w:rPr>
        <w:t>eliability in qualitative research is referred to as “credibility” and “dependability”</w:t>
      </w:r>
      <w:r w:rsidR="00863DF5"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{"citationItems":[{"id":"ITEM-1","itemData":{"ISBN":"0803924313","ISSN":"00222437","abstract":"Lincoln YS, Guba EG. Establishing trustworthiness. In: Naturalistic Inquiry. Beverly Hills, Calif: Sage, 1985; chap 11.","author":[{"dropping-particle":"","family":"Lincoln","given":"Yvonna S","non-dropping-particle":"","parse-names":false,"suffix":""},{"dropping-particle":"","family":"Guba","given":"Egon G","non-dropping-particle":"","parse-names":false,"suffix":""}],"container-title":"Naturalistic Inquiry","id":"ITEM-1","issued":{"date-parts":[["1985"]]},"number-of-pages":"416","title":"Naturalistic Inquiry","type":"book"},"uris":["http://www.mendeley.com/documents/?uuid=abc3551e-3d52-403a-b9ac-59efd5083215"]}],"mendeley":{"formattedCitation":"(Lincoln and Guba, 1985)","plainTextFormattedCitation":"(Lincoln and Guba, 1985)","previouslyFormattedCitation":"(Lincoln and Guba 1985)"},"properties":{"noteIndex":0},"schema":"https://github.com/citation-style-language/schema/raw/master/csl-citation.json"}</w:instrText>
      </w:r>
      <w:r w:rsidR="00863DF5"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(Lincoln and Guba</w:t>
      </w:r>
      <w:r w:rsidR="00BE3B6C" w:rsidRPr="00BE3B6C">
        <w:rPr>
          <w:rFonts w:ascii="Times New Roman" w:hAnsi="Times New Roman" w:cs="Times New Roman"/>
          <w:noProof/>
          <w:sz w:val="24"/>
          <w:szCs w:val="24"/>
        </w:rPr>
        <w:t xml:space="preserve"> 1985)</w:t>
      </w:r>
      <w:r w:rsidR="00863DF5" w:rsidRPr="006F3B00">
        <w:rPr>
          <w:rFonts w:ascii="Times New Roman" w:hAnsi="Times New Roman" w:cs="Times New Roman"/>
          <w:sz w:val="24"/>
          <w:szCs w:val="24"/>
        </w:rPr>
        <w:fldChar w:fldCharType="end"/>
      </w:r>
      <w:r w:rsidR="00863DF5" w:rsidRPr="006F3B00">
        <w:rPr>
          <w:rFonts w:ascii="Times New Roman" w:hAnsi="Times New Roman" w:cs="Times New Roman"/>
          <w:sz w:val="24"/>
          <w:szCs w:val="24"/>
        </w:rPr>
        <w:t>. This is because the quantitative or positivist approach to reliability is harder to apply to qualitative research where methods and phenomena may not be as strictly controlled.  Reliability in qualitative research is best regarded as a fit between what researcher’s record as data and what actually occurs in the natural setting that is being researched. That may mean that two independent researchers can draw different meaning from exactly the same setting, yet both are reliable interpretations because there may be multiple versions of the same reality. This qualitative approach could therefore offer more authentic testing in some instances, but there are times when the quantitative approach of having a “correct answer” is needed as there is not a place for differences in interpretation. For example, if a patient has a cancer</w:t>
      </w:r>
      <w:r w:rsidR="00FE410F">
        <w:rPr>
          <w:rFonts w:ascii="Times New Roman" w:hAnsi="Times New Roman" w:cs="Times New Roman"/>
          <w:sz w:val="24"/>
          <w:szCs w:val="24"/>
        </w:rPr>
        <w:t xml:space="preserve"> of the oral cavity, the trainee</w:t>
      </w:r>
      <w:r w:rsidR="00863DF5" w:rsidRPr="006F3B00">
        <w:rPr>
          <w:rFonts w:ascii="Times New Roman" w:hAnsi="Times New Roman" w:cs="Times New Roman"/>
          <w:sz w:val="24"/>
          <w:szCs w:val="24"/>
        </w:rPr>
        <w:t xml:space="preserve"> needs to recognise this in their</w:t>
      </w:r>
      <w:r w:rsidR="008730CF">
        <w:rPr>
          <w:rFonts w:ascii="Times New Roman" w:hAnsi="Times New Roman" w:cs="Times New Roman"/>
          <w:sz w:val="24"/>
          <w:szCs w:val="24"/>
        </w:rPr>
        <w:t xml:space="preserve"> Objective Structured Clinical Examination</w:t>
      </w:r>
      <w:r w:rsidR="00863DF5" w:rsidRPr="006F3B00">
        <w:rPr>
          <w:rFonts w:ascii="Times New Roman" w:hAnsi="Times New Roman" w:cs="Times New Roman"/>
          <w:sz w:val="24"/>
          <w:szCs w:val="24"/>
        </w:rPr>
        <w:t xml:space="preserve"> </w:t>
      </w:r>
      <w:r w:rsidR="008730CF">
        <w:rPr>
          <w:rFonts w:ascii="Times New Roman" w:hAnsi="Times New Roman" w:cs="Times New Roman"/>
          <w:sz w:val="24"/>
          <w:szCs w:val="24"/>
        </w:rPr>
        <w:t>(</w:t>
      </w:r>
      <w:r w:rsidR="00863DF5" w:rsidRPr="006F3B00">
        <w:rPr>
          <w:rFonts w:ascii="Times New Roman" w:hAnsi="Times New Roman" w:cs="Times New Roman"/>
          <w:sz w:val="24"/>
          <w:szCs w:val="24"/>
        </w:rPr>
        <w:t>OSCE</w:t>
      </w:r>
      <w:r w:rsidR="008730CF">
        <w:rPr>
          <w:rFonts w:ascii="Times New Roman" w:hAnsi="Times New Roman" w:cs="Times New Roman"/>
          <w:sz w:val="24"/>
          <w:szCs w:val="24"/>
        </w:rPr>
        <w:t>)</w:t>
      </w:r>
      <w:r w:rsidR="00863DF5" w:rsidRPr="006F3B00">
        <w:rPr>
          <w:rFonts w:ascii="Times New Roman" w:hAnsi="Times New Roman" w:cs="Times New Roman"/>
          <w:sz w:val="24"/>
          <w:szCs w:val="24"/>
        </w:rPr>
        <w:t>. That is why the quantitative stance is often adopted in medicine, where risks t</w:t>
      </w:r>
      <w:r w:rsidR="00FF5302">
        <w:rPr>
          <w:rFonts w:ascii="Times New Roman" w:hAnsi="Times New Roman" w:cs="Times New Roman"/>
          <w:sz w:val="24"/>
          <w:szCs w:val="24"/>
        </w:rPr>
        <w:t>o patients are not acceptable.</w:t>
      </w:r>
    </w:p>
    <w:p w14:paraId="206287DE" w14:textId="7F00537D" w:rsidR="00863DF5" w:rsidRPr="006F3B00" w:rsidRDefault="00863DF5" w:rsidP="00863DF5">
      <w:pPr>
        <w:pStyle w:val="Heading3"/>
        <w:rPr>
          <w:rFonts w:ascii="Times New Roman" w:hAnsi="Times New Roman" w:cs="Times New Roman"/>
          <w:color w:val="auto"/>
          <w:sz w:val="24"/>
          <w:szCs w:val="24"/>
        </w:rPr>
      </w:pPr>
      <w:bookmarkStart w:id="13" w:name="_Toc23243742"/>
      <w:r w:rsidRPr="006F3B00">
        <w:rPr>
          <w:rFonts w:ascii="Times New Roman" w:hAnsi="Times New Roman" w:cs="Times New Roman"/>
          <w:color w:val="auto"/>
          <w:sz w:val="24"/>
          <w:szCs w:val="24"/>
        </w:rPr>
        <w:t>1.</w:t>
      </w:r>
      <w:r w:rsidR="007A0757">
        <w:rPr>
          <w:rFonts w:ascii="Times New Roman" w:hAnsi="Times New Roman" w:cs="Times New Roman"/>
          <w:color w:val="auto"/>
          <w:sz w:val="24"/>
          <w:szCs w:val="24"/>
        </w:rPr>
        <w:t>1.</w:t>
      </w:r>
      <w:r w:rsidRPr="006F3B00">
        <w:rPr>
          <w:rFonts w:ascii="Times New Roman" w:hAnsi="Times New Roman" w:cs="Times New Roman"/>
          <w:color w:val="auto"/>
          <w:sz w:val="24"/>
          <w:szCs w:val="24"/>
        </w:rPr>
        <w:t>5.2 Validity</w:t>
      </w:r>
      <w:bookmarkEnd w:id="13"/>
    </w:p>
    <w:p w14:paraId="7F031148" w14:textId="77777777" w:rsidR="00863DF5" w:rsidRPr="006F3B00" w:rsidRDefault="00863DF5" w:rsidP="00863DF5">
      <w:pPr>
        <w:spacing w:after="0" w:line="480" w:lineRule="auto"/>
        <w:rPr>
          <w:rFonts w:ascii="Times New Roman" w:hAnsi="Times New Roman" w:cs="Times New Roman"/>
          <w:sz w:val="24"/>
          <w:szCs w:val="24"/>
        </w:rPr>
      </w:pPr>
    </w:p>
    <w:p w14:paraId="33BAFBDB" w14:textId="1EE73AE7"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bCs/>
          <w:sz w:val="24"/>
          <w:szCs w:val="24"/>
        </w:rPr>
        <w:t>As reliability is easier to measure, it has often received more attention from medical educators, possibly at the detriment of also determining whether assessment tools are valid</w:t>
      </w:r>
      <w:r w:rsidR="00B47A3C">
        <w:rPr>
          <w:rFonts w:ascii="Times New Roman" w:hAnsi="Times New Roman" w:cs="Times New Roman"/>
          <w:sz w:val="24"/>
          <w:szCs w:val="24"/>
        </w:rPr>
        <w:t>. Epstein and</w:t>
      </w:r>
      <w:r w:rsidRPr="006F3B00">
        <w:rPr>
          <w:rFonts w:ascii="Times New Roman" w:hAnsi="Times New Roman" w:cs="Times New Roman"/>
          <w:sz w:val="24"/>
          <w:szCs w:val="24"/>
        </w:rPr>
        <w:t xml:space="preserve"> Hundert share this opinion, suggesting that many assessment tools may form reliable assessments of knowledge and skills, but the core qualities which </w:t>
      </w:r>
      <w:r w:rsidRPr="006F3B00">
        <w:rPr>
          <w:rFonts w:ascii="Times New Roman" w:hAnsi="Times New Roman" w:cs="Times New Roman"/>
          <w:sz w:val="24"/>
          <w:szCs w:val="24"/>
        </w:rPr>
        <w:lastRenderedPageBreak/>
        <w:t xml:space="preserve">constitute a sound clinician have been neglected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{"citationItems":[{"id":"ITEM-1","itemData":{"DOI":"10.1001/jama.287.2.226","ISBN":"0098-7484 (Print)","ISSN":"0098-7484","PMID":"11779266","abstract":"Context Current assessment formats for physicians and trainees reliably test core knowl- edge and basic skills. However, they may underemphasize some important domains of professional medical practice, including interpersonal skills, lifelong learning, pro- fessionalism, and integration of core knowledge into clinical practice. Objectives To propose a definition of professional competence, to review current means for assessing it, and to suggest new approaches to assessment. Data Sources We searched the MEDLINE database from 1966 to 2001 and refer- ence lists of relevant articles for English-language studies of reliability or validity of measures of competence of physicians, medical students, and residents. Study Selection We excluded articles of a purely descriptive nature, duplicate re- ports, reviews, and opinions and position statements, which yielded 195 relevant ci- tations. Data Extraction Data were abstracted by 1 of us (R.M.E.). Quality criteria for in- clusion were broad, given the heterogeneity of interventions, complexity of outcome measures, and paucity of randomized or longitudinal study designs. Data Synthesis We generated an inclusive definition of competence: the habitual and judicious use of communication, knowledge, technical skills, clinical reasoning, emo- tions, values, and reflection in daily practice for the benefit of the individual and the community being served. Aside from protecting the public and limiting access to ad- vanced training, assessments should foster habits of learning and self-reflection and drive institutional change. Subjective, multiple-choice, and standardized patient as- sessments, although reliable, underemphasize important domains of professional com- petence: integration of knowledge and skills, context of care, information manage- ment, teamwork, health systems, and patient-physician relationships. Few assessments observe trainees in real-life situations, incorporate the perspectives of peers and pa- tients, or use measures that predict clinical outcomes. Conclusions In addition to assessments of basic skills, new formats that assess clini- cal reasoning, expert judgment, management of ambiguity, professionalism, time man- agement, learning strategies, and teamwork promise a multidimensional assessment while maintaining adequate reliability and validity. Institutional support, reflection, and mentoring must accompany the development of assessment programs.","author":[{"dropping-particle":"","family":"Epstein","given":"Ronald M","non-dropping-particle":"","parse-names":false,"suffix":""},{"dropping-particle":"","family":"Hundert","given":"Edward M","non-dropping-particle":"","parse-names":false,"suffix":""}],"container-title":"JAMA : the journal of the American Medical Association","id":"ITEM-1","issue":"2","issued":{"date-parts":[["2002"]]},"page":"226-235","title":"Defining and assessing professional competence","type":"article-journal","volume":"287"},"uris":["http://www.mendeley.com/documents/?uuid=693dadfb-d6e5-4adb-884e-ef0bad7dbf60"]}],"mendeley":{"formattedCitation":"(Epstein and Hundert, 2002)","plainTextFormattedCitation":"(Epstein and Hundert, 2002)","previouslyFormattedCitation":"(Epstein and Hundert 2002)"},"properties":{"noteIndex":0},"schema":"https://github.com/citation-style-language/schema/raw/master/csl-citation.json"}</w:instrText>
      </w:r>
      <w:r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w:t>
      </w:r>
      <w:r w:rsidR="00BE3B6C" w:rsidRPr="00BE3B6C">
        <w:rPr>
          <w:rFonts w:ascii="Times New Roman" w:hAnsi="Times New Roman" w:cs="Times New Roman"/>
          <w:noProof/>
          <w:sz w:val="24"/>
          <w:szCs w:val="24"/>
        </w:rPr>
        <w:t>2002)</w:t>
      </w:r>
      <w:r w:rsidRPr="006F3B00">
        <w:rPr>
          <w:rFonts w:ascii="Times New Roman" w:hAnsi="Times New Roman" w:cs="Times New Roman"/>
          <w:sz w:val="24"/>
          <w:szCs w:val="24"/>
        </w:rPr>
        <w:fldChar w:fldCharType="end"/>
      </w:r>
      <w:r w:rsidR="00B47A3C">
        <w:rPr>
          <w:rFonts w:ascii="Times New Roman" w:hAnsi="Times New Roman" w:cs="Times New Roman"/>
          <w:sz w:val="24"/>
          <w:szCs w:val="24"/>
        </w:rPr>
        <w:t xml:space="preserve">. </w:t>
      </w:r>
      <w:r w:rsidRPr="006F3B00">
        <w:rPr>
          <w:rFonts w:ascii="Times New Roman" w:hAnsi="Times New Roman" w:cs="Times New Roman"/>
          <w:sz w:val="24"/>
          <w:szCs w:val="24"/>
        </w:rPr>
        <w:t>Clearly, validity is more important than reliability; there</w:t>
      </w:r>
      <w:r w:rsidR="00FE410F">
        <w:rPr>
          <w:rFonts w:ascii="Times New Roman" w:hAnsi="Times New Roman" w:cs="Times New Roman"/>
          <w:sz w:val="24"/>
          <w:szCs w:val="24"/>
        </w:rPr>
        <w:t xml:space="preserve"> is no point assessing a trainee</w:t>
      </w:r>
      <w:r w:rsidRPr="006F3B00">
        <w:rPr>
          <w:rFonts w:ascii="Times New Roman" w:hAnsi="Times New Roman" w:cs="Times New Roman"/>
          <w:sz w:val="24"/>
          <w:szCs w:val="24"/>
        </w:rPr>
        <w:t xml:space="preserve"> if the assessment is not testing what it should test, even if it can do it reliably.</w:t>
      </w:r>
      <w:r w:rsidR="004967E1">
        <w:rPr>
          <w:rFonts w:ascii="Times New Roman" w:hAnsi="Times New Roman" w:cs="Times New Roman"/>
          <w:sz w:val="24"/>
          <w:szCs w:val="24"/>
        </w:rPr>
        <w:t xml:space="preserve"> </w:t>
      </w:r>
      <w:r w:rsidR="004967E1" w:rsidRPr="006F3B00">
        <w:rPr>
          <w:rFonts w:ascii="Times New Roman" w:hAnsi="Times New Roman" w:cs="Times New Roman"/>
          <w:sz w:val="24"/>
          <w:szCs w:val="24"/>
        </w:rPr>
        <w:t xml:space="preserve">It is important that </w:t>
      </w:r>
      <w:r w:rsidR="004967E1">
        <w:rPr>
          <w:rFonts w:ascii="Times New Roman" w:hAnsi="Times New Roman" w:cs="Times New Roman"/>
          <w:sz w:val="24"/>
          <w:szCs w:val="24"/>
        </w:rPr>
        <w:t>validity</w:t>
      </w:r>
      <w:r w:rsidR="004967E1" w:rsidRPr="006F3B00">
        <w:rPr>
          <w:rFonts w:ascii="Times New Roman" w:hAnsi="Times New Roman" w:cs="Times New Roman"/>
          <w:sz w:val="24"/>
          <w:szCs w:val="24"/>
        </w:rPr>
        <w:t xml:space="preserve"> is achieved, especially in “high-stakes” assessment such as the certification of trainees, or otherwise certain individuals who do not meet the required standard of competency may qualify erroneously. In healthcare, incompetence can lead to serious consequences to patients. For example, if a pathologist was incompetent to make accurate diagnoses, their erroneous report could result in a patient receiving the wrong treatment. Therefor</w:t>
      </w:r>
      <w:r w:rsidR="004967E1">
        <w:rPr>
          <w:rFonts w:ascii="Times New Roman" w:hAnsi="Times New Roman" w:cs="Times New Roman"/>
          <w:sz w:val="24"/>
          <w:szCs w:val="24"/>
        </w:rPr>
        <w:t>e, the procedures for ensuring validity</w:t>
      </w:r>
      <w:r w:rsidR="004967E1" w:rsidRPr="006F3B00">
        <w:rPr>
          <w:rFonts w:ascii="Times New Roman" w:hAnsi="Times New Roman" w:cs="Times New Roman"/>
          <w:sz w:val="24"/>
          <w:szCs w:val="24"/>
        </w:rPr>
        <w:t xml:space="preserve"> should be transparent so that external regulatory bodies can be satisfied that trainees have been assessed appropriately.  </w:t>
      </w:r>
    </w:p>
    <w:p w14:paraId="275CCE69" w14:textId="77777777" w:rsidR="00863DF5" w:rsidRPr="006F3B00" w:rsidRDefault="00863DF5" w:rsidP="00863DF5">
      <w:pPr>
        <w:spacing w:after="0" w:line="480" w:lineRule="auto"/>
        <w:rPr>
          <w:rFonts w:ascii="Times New Roman" w:hAnsi="Times New Roman" w:cs="Times New Roman"/>
          <w:sz w:val="24"/>
          <w:szCs w:val="24"/>
        </w:rPr>
      </w:pPr>
    </w:p>
    <w:p w14:paraId="2E67616C" w14:textId="4391C49C"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traditional definition of validity refers to the ability an assessment to test what it is intended to test and represents what it was meant to describe, theorise or explain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{"citationItems":[{"id":"ITEM-1","itemData":{"DOI":"Retrieved from http://www.nova.edu/ssss/QR/QR4-3/winter.html","ISBN":"2160-3715","ISSN":"10520147","abstract":"Discussions on validity as it applies in quantitative and qualitative method of reseach","author":[{"dropping-particle":"","family":"Winter","given":"Glyn","non-dropping-particle":"","parse-names":false,"suffix":""}],"container-title":"The Qualitative Report","id":"ITEM-1","issue":"3","issued":{"date-parts":[["2000"]]},"page":"1-14","title":"A comparative discussions of the Notion of 'validity' in Qualitative and Quantitative Research","type":"article-journal","volume":"4"},"uris":["http://www.mendeley.com/documents/?uuid=78589a25-5bc0-4c0d-a72e-8f788223b647"]}],"mendeley":{"formattedCitation":"(Winter, 2000)","plainTextFormattedCitation":"(Winter, 2000)","previouslyFormattedCitation":"(G. Winter 2000)"},"properties":{"noteIndex":0},"schema":"https://github.com/citation-style-language/schema/raw/master/csl-citation.json"}</w:instrText>
      </w:r>
      <w:r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(Winter</w:t>
      </w:r>
      <w:r w:rsidR="00BE3B6C" w:rsidRPr="00BE3B6C">
        <w:rPr>
          <w:rFonts w:ascii="Times New Roman" w:hAnsi="Times New Roman" w:cs="Times New Roman"/>
          <w:noProof/>
          <w:sz w:val="24"/>
          <w:szCs w:val="24"/>
        </w:rPr>
        <w:t xml:space="preserve"> 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If an assessment is invalid, then it is worthless. An assessment tool may only remain valid so long as it is used on the population for which it was intended, so that it is useful and appropriate. Validity also relates to the interpretation of the results of an assessment and not just the test itself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{"citationItems":[{"id":"ITEM-1","itemData":{"DOI":"10.1046/j.1365-2923.2003.01594.x","ISBN":"1365-2923","ISSN":"03080110","PMID":"14506816","abstract":"CONTEXT: All assessments in medical education require evidence of validity to be interpreted meaningfully. In contemporary usage, all validity is construct validity, which requires multiple sources of evidence; construct validity is the whole of validity, but has multiple facets. Five sources--content, response process, internal structure, relationship to other variables and consequences--are noted by the Standards for Educational and Psychological Testing as fruitful areas to seek validity evidence. PURPOSE: The purpose of this article is to discuss construct validity in the context of medical education and to summarize, through example, some typical sources of validity evidence for a written and a performance examination. SUMMARY: Assessments are not valid or invalid; rather, the scores or outcomes of assessments have more or less evidence to support (or refute) a specific interpretation (such as passing or failing a course). Validity is approached as hypothesis and uses theory, logic and the scientific method to collect and assemble data to support or fail to support the proposed score interpretations, at a given point in time. Data and logic are assembled into arguments--pro and con--for some specific interpretation of assessment data. Examples of types of validity evidence, data and information from each source are discussed in the context of a high-stakes written and performance examination in medical education. CONCLUSION: All assessments require evidence of the reasonableness of the proposed interpretation, as test data in education have little or no intrinsic meaning. The constructs purported to be measured by our assessments are important to students, faculty, administrators, patients and society and require solid scientific evidence of their meaning.","author":[{"dropping-particle":"","family":"Downing","given":"Steven M.","non-dropping-particle":"","parse-names":false,"suffix":""}],"container-title":"Medical Education","id":"ITEM-1","issue":"9","issued":{"date-parts":[["2003"]]},"page":"830-837","title":"Validity: On the meaningful interpretation of assessment data","type":"article","volume":"37"},"uris":["http://www.mendeley.com/documents/?uuid=ab74013f-f040-4d2f-9786-69bd0772c33f"]}],"mendeley":{"formattedCitation":"(Downing, 2003)","plainTextFormattedCitation":"(Downing, 2003)","previouslyFormattedCitation":"(Steven M. Downing 2003)"},"properties":{"noteIndex":0},"schema":"https://github.com/citation-style-language/schema/raw/master/csl-citation.json"}</w:instrText>
      </w:r>
      <w:r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(Downing</w:t>
      </w:r>
      <w:r w:rsidR="00BE3B6C" w:rsidRPr="00BE3B6C">
        <w:rPr>
          <w:rFonts w:ascii="Times New Roman" w:hAnsi="Times New Roman" w:cs="Times New Roman"/>
          <w:noProof/>
          <w:sz w:val="24"/>
          <w:szCs w:val="24"/>
        </w:rPr>
        <w:t xml:space="preserve"> 2003)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4F112674" w14:textId="77777777" w:rsidR="00863DF5" w:rsidRPr="006F3B00" w:rsidRDefault="00863DF5" w:rsidP="00863DF5">
      <w:pPr>
        <w:spacing w:after="0" w:line="480" w:lineRule="auto"/>
        <w:rPr>
          <w:rFonts w:ascii="Times New Roman" w:hAnsi="Times New Roman" w:cs="Times New Roman"/>
          <w:sz w:val="24"/>
          <w:szCs w:val="24"/>
        </w:rPr>
      </w:pPr>
    </w:p>
    <w:p w14:paraId="5FFD0F26" w14:textId="38C34F44"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Validity is usually divided into content-related, criterion-related, and construct related but there is often considerable overlap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{"citationItems":[{"id":"ITEM-1","itemData":{"abstract":"Brualdi, A. (1999). Traditional and Modern Concepts of Validity. ERIC/AE Digest.","author":[{"dropping-particle":"","family":"Brualdi","given":"Amy","non-dropping-particle":"","parse-names":false,"suffix":""}],"container-title":"ERIC/AE Digest","id":"ITEM-1","issued":{"date-parts":[["1999"]]},"page":"1-6","title":"Traditional and Modern Concepts of Validity","type":"article-journal"},"uris":["http://www.mendeley.com/documents/?uuid=489bb5d9-9e7c-4b42-9649-5be6eb5f9f24"]}],"mendeley":{"formattedCitation":"(Brualdi, 1999)","plainTextFormattedCitation":"(Brualdi, 1999)","previouslyFormattedCitation":"(Brualdi 1999)"},"properties":{"noteIndex":0},"schema":"https://github.com/citation-style-language/schema/raw/master/csl-citation.json"}</w:instrText>
      </w:r>
      <w:r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(Brualdi</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Validity may also encompass many other types of validity including internal and external validity, face validity, predictive validity, educational validity and consequential validity. Each of these different types of validity will now be discussed. </w:t>
      </w:r>
    </w:p>
    <w:p w14:paraId="0A3B0AF0" w14:textId="77777777" w:rsidR="00863DF5" w:rsidRPr="006F3B00" w:rsidRDefault="00863DF5" w:rsidP="00863DF5">
      <w:pPr>
        <w:spacing w:after="0" w:line="480" w:lineRule="auto"/>
        <w:rPr>
          <w:rFonts w:ascii="Times New Roman" w:hAnsi="Times New Roman" w:cs="Times New Roman"/>
          <w:sz w:val="24"/>
          <w:szCs w:val="24"/>
        </w:rPr>
      </w:pPr>
    </w:p>
    <w:p w14:paraId="161F3C68" w14:textId="77777777"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Content-related:  Extent to which the assessment tests the domains being tested within a specified subject area.  Curriculum blueprints are often used to ensure all relevant areas are tested.</w:t>
      </w:r>
    </w:p>
    <w:p w14:paraId="475D237E" w14:textId="77777777" w:rsidR="00863DF5" w:rsidRPr="006F3B00" w:rsidRDefault="00863DF5" w:rsidP="00863DF5">
      <w:pPr>
        <w:spacing w:after="0" w:line="480" w:lineRule="auto"/>
        <w:rPr>
          <w:rFonts w:ascii="Times New Roman" w:hAnsi="Times New Roman" w:cs="Times New Roman"/>
          <w:sz w:val="24"/>
          <w:szCs w:val="24"/>
        </w:rPr>
      </w:pPr>
    </w:p>
    <w:p w14:paraId="5B277E13" w14:textId="35579B47"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Criterion-related (correlative): Test scores from different exams are compared to one another for the same individuals e.g. course work versus examination results</w:t>
      </w:r>
      <w:r w:rsidR="00B47A3C">
        <w:rPr>
          <w:rFonts w:ascii="Times New Roman" w:hAnsi="Times New Roman" w:cs="Times New Roman"/>
          <w:sz w:val="24"/>
          <w:szCs w:val="24"/>
        </w:rPr>
        <w:t>.</w:t>
      </w:r>
    </w:p>
    <w:p w14:paraId="151C8EEC" w14:textId="77777777" w:rsidR="00863DF5" w:rsidRPr="006F3B00" w:rsidRDefault="00863DF5" w:rsidP="00863DF5">
      <w:pPr>
        <w:spacing w:after="0" w:line="480" w:lineRule="auto"/>
        <w:rPr>
          <w:rFonts w:ascii="Times New Roman" w:hAnsi="Times New Roman" w:cs="Times New Roman"/>
          <w:sz w:val="24"/>
          <w:szCs w:val="24"/>
        </w:rPr>
      </w:pPr>
    </w:p>
    <w:p w14:paraId="03A3BC6B" w14:textId="1B90B0D8"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Construct-related: Extent to which the test measures the underlying concepts or psychological constructs being tested.  Constructs may include intelligence, self-esteem or critical thinking. These traits are often integral to the profession and may underpin the knowledge or skills that are required by the trainees</w:t>
      </w:r>
      <w:r w:rsidR="00B47A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{"citationItems":[{"id":"ITEM-1","itemData":{"DOI":"10.3102/0013189X023002013","ISBN":"0013189X","ISSN":"0013-189X","abstract":"Authentic and direct assessments of performances and products are examined in the light of contrasting functions and purposes having implications for validation, especially with respect to the need for specialized validity criteria tailored for performance assess- ment. These include contrasts between performances and products, between assessment of performance per se and performance assess- ment of competence or other constructs, between structured and unstructured problems and response modes, and between breadth and depth of domain coverage. These distinctions are elaborated in the context of an overarching contrast between task-driven and construct-driven performance assessment. Rhetoric touting perfor- mance assessments because they eschew decomposed skills and decontextualized tasks is viewed as misguided, in that component skills and abstract problems have a legitimate place in pedagogy. Hence, the essence of authentic assessment must be sought else- where, that is, in the quest for complete construct representation. With this background, the concepts of \"authenticity\" and \"direct- ness\" of performance assessment are treated as tantamount to prom- issory validity claims that they offset, respectively, the two major threats to construct validity, namely, construct underrepresenta- tion and construct-irrelevant variance. With respect to validation, the salient role of both positive and negative consequences is un- derscored as well as the need, as in all assessment, for evidence of construct validity.","author":[{"dropping-particle":"","family":"Messick","given":"S.","non-dropping-particle":"","parse-names":false,"suffix":""}],"container-title":"Educational Researcher","id":"ITEM-1","issue":"2","issued":{"date-parts":[["1994"]]},"page":"13-23","title":"The Interplay of Evidence and Consequences in the Validation of Performance Assessments","type":"article-journal","volume":"23"},"uris":["http://www.mendeley.com/documents/?uuid=ed6db89f-1230-49de-8d04-317a894cfb18"]}],"mendeley":{"formattedCitation":"(Messick, 1994)","plainTextFormattedCitation":"(Messick, 1994)","previouslyFormattedCitation":"(S. Messick 1994)"},"properties":{"noteIndex":0},"schema":"https://github.com/citation-style-language/schema/raw/master/csl-citation.json"}</w:instrText>
      </w:r>
      <w:r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(Messick</w:t>
      </w:r>
      <w:r w:rsidR="00BE3B6C" w:rsidRPr="00BE3B6C">
        <w:rPr>
          <w:rFonts w:ascii="Times New Roman" w:hAnsi="Times New Roman" w:cs="Times New Roman"/>
          <w:noProof/>
          <w:sz w:val="24"/>
          <w:szCs w:val="24"/>
        </w:rPr>
        <w:t xml:space="preserve"> 1994)</w:t>
      </w:r>
      <w:r w:rsidRPr="006F3B00">
        <w:rPr>
          <w:rFonts w:ascii="Times New Roman" w:hAnsi="Times New Roman" w:cs="Times New Roman"/>
          <w:sz w:val="24"/>
          <w:szCs w:val="24"/>
        </w:rPr>
        <w:fldChar w:fldCharType="end"/>
      </w:r>
      <w:r w:rsidR="00B47A3C">
        <w:rPr>
          <w:rFonts w:ascii="Times New Roman" w:hAnsi="Times New Roman" w:cs="Times New Roman"/>
          <w:sz w:val="24"/>
          <w:szCs w:val="24"/>
        </w:rPr>
        <w:t>.</w:t>
      </w:r>
    </w:p>
    <w:p w14:paraId="3B800FB1" w14:textId="77777777" w:rsidR="00863DF5" w:rsidRPr="006F3B00" w:rsidRDefault="00863DF5" w:rsidP="00863DF5">
      <w:pPr>
        <w:spacing w:after="0" w:line="480" w:lineRule="auto"/>
        <w:rPr>
          <w:rFonts w:ascii="Times New Roman" w:hAnsi="Times New Roman" w:cs="Times New Roman"/>
          <w:sz w:val="24"/>
          <w:szCs w:val="24"/>
        </w:rPr>
      </w:pPr>
    </w:p>
    <w:p w14:paraId="0C8FF97A" w14:textId="7AFD0F42" w:rsidR="00A26DBA"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Internal and external validity: </w:t>
      </w:r>
      <w:r w:rsidR="00A26DBA">
        <w:rPr>
          <w:rFonts w:ascii="Times New Roman" w:hAnsi="Times New Roman" w:cs="Times New Roman"/>
          <w:sz w:val="24"/>
          <w:szCs w:val="24"/>
        </w:rPr>
        <w:t xml:space="preserve">In assessment, internal validity </w:t>
      </w:r>
      <w:r w:rsidRPr="006F3B00">
        <w:rPr>
          <w:rFonts w:ascii="Times New Roman" w:hAnsi="Times New Roman" w:cs="Times New Roman"/>
          <w:sz w:val="24"/>
          <w:szCs w:val="24"/>
        </w:rPr>
        <w:t>aims to demonstrate that the</w:t>
      </w:r>
      <w:r w:rsidR="00A26DBA">
        <w:rPr>
          <w:rFonts w:ascii="Times New Roman" w:hAnsi="Times New Roman" w:cs="Times New Roman"/>
          <w:sz w:val="24"/>
          <w:szCs w:val="24"/>
        </w:rPr>
        <w:t xml:space="preserve"> conclusions drawn from examination results</w:t>
      </w:r>
      <w:r w:rsidRPr="006F3B00">
        <w:rPr>
          <w:rFonts w:ascii="Times New Roman" w:hAnsi="Times New Roman" w:cs="Times New Roman"/>
          <w:sz w:val="24"/>
          <w:szCs w:val="24"/>
        </w:rPr>
        <w:t xml:space="preserve"> can be sustained by the data. External validity asks if the</w:t>
      </w:r>
      <w:r w:rsidR="00A26DBA">
        <w:rPr>
          <w:rFonts w:ascii="Times New Roman" w:hAnsi="Times New Roman" w:cs="Times New Roman"/>
          <w:sz w:val="24"/>
          <w:szCs w:val="24"/>
        </w:rPr>
        <w:t xml:space="preserve"> examination</w:t>
      </w:r>
      <w:r w:rsidRPr="006F3B00">
        <w:rPr>
          <w:rFonts w:ascii="Times New Roman" w:hAnsi="Times New Roman" w:cs="Times New Roman"/>
          <w:sz w:val="24"/>
          <w:szCs w:val="24"/>
        </w:rPr>
        <w:t xml:space="preserve"> results</w:t>
      </w:r>
      <w:r w:rsidR="00A26DBA">
        <w:rPr>
          <w:rFonts w:ascii="Times New Roman" w:hAnsi="Times New Roman" w:cs="Times New Roman"/>
          <w:sz w:val="24"/>
          <w:szCs w:val="24"/>
        </w:rPr>
        <w:t xml:space="preserve"> satisfy external regulators of the profession e.g. the General Dental Council</w:t>
      </w:r>
      <w:r w:rsidR="008730CF">
        <w:rPr>
          <w:rFonts w:ascii="Times New Roman" w:hAnsi="Times New Roman" w:cs="Times New Roman"/>
          <w:sz w:val="24"/>
          <w:szCs w:val="24"/>
        </w:rPr>
        <w:t xml:space="preserve"> (GDC)</w:t>
      </w:r>
      <w:r w:rsidR="00A26DBA">
        <w:rPr>
          <w:rFonts w:ascii="Times New Roman" w:hAnsi="Times New Roman" w:cs="Times New Roman"/>
          <w:sz w:val="24"/>
          <w:szCs w:val="24"/>
        </w:rPr>
        <w:t xml:space="preserve"> quality assures curricula in dental schools to ensure standards are upheld across all dental schools).</w:t>
      </w:r>
    </w:p>
    <w:p w14:paraId="41E0590A" w14:textId="77777777" w:rsidR="00863DF5" w:rsidRPr="006F3B00" w:rsidRDefault="00863DF5" w:rsidP="00863DF5">
      <w:pPr>
        <w:spacing w:after="0" w:line="480" w:lineRule="auto"/>
        <w:rPr>
          <w:rFonts w:ascii="Times New Roman" w:hAnsi="Times New Roman" w:cs="Times New Roman"/>
          <w:sz w:val="24"/>
          <w:szCs w:val="24"/>
        </w:rPr>
      </w:pPr>
    </w:p>
    <w:p w14:paraId="56C4A135" w14:textId="6ED138E2"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Face validity:  Put simply, if a test has face validity then it appears to be a valid test to the people who use it. Although not an objective measure, it is important because learners and teachers need to think a test is credible if it is to work. It is closely related to “acceptance” of the tool and the assessment being authentic.  It can affect both assessor and trainee engagement in the assessment process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{"citationItems":[{"id":"ITEM-1","itemData":{"DOI":"10.1054/nedt.2000.0458","ISBN":"0260-6917 (Print)\\r0260-6917 (Linking)","PMID":"10959135","abstract":"This paper is based on the results of two studies carried out by the writer, over a period of 6 years (1991-1996), aimed to establish what happens in nursing practice in relation to assessing clinical competence of nursing students and the support they receive during their Nurse Education Programme. Study number one (1991-1995) was based upon the experiences and perceptions of 155 skilled practitioners and 300 students from three Colleges of Nursing and 45 interested practitioners, who volunteered to join the research at a later date because they were experienced assessors and mentors. Many themes and categories emerged. One in particular was that of the role of the practitioner who has been charged with the responsibility of assessing student performance on practice placement. Initial interviews with 155 practitioners of varying experience as assessors were used to design a questionnaire containing both context free and context specific items. Subsequent follow-up interviews were undertaken with both students and practitioners and non-participant observation of practitioners working with students were carried out. The majority of students accepted the dual role and at times, even the triple role of assessors, mentors and/or supervisors forced upon practitioners, provided that the practitioners assessing them were well prepared and 'trained' as assessors, were perceived to be 'fair', 'competent', 'skilful' and 'knowledgeable' (Neary 1997a). Study two (1992-1994) aimed to establish the process and outcomes of practitioner-teachers and mentorship in Wales, and was based on the data from a much extended period of semi-structured interviews with policy makers, managers, teachers and nurse practitioners (n = 360, 330 analyzed in detail) spanning 10 months, which gave an invaluable pictures of ongoing changes in the placement areas and the basis from which to construct a widely administered questionnaire (n = 1332) dealing with context-free and context-specific factors underpinning the definition of the mentor role, selection and relationship with students. Similar logic lay behind the use of reflective semi-structured diaries which asked 138 students and 133 practitioners to keep during practice placements. This study showed the practitioners readily adopted the term 'mentor' to describe their role in their relationship with students in clinical practice. How they were selected for this role proved to be more complex (Davies et al. 1994). for the purpose of …","author":[{"dropping-particle":"","family":"Neary","given":"M","non-dropping-particle":"","parse-names":false,"suffix":""}],"container-title":"Nurse Educ Today","id":"ITEM-1","issue":"6","issued":{"date-parts":[["2000"]]},"page":"463-474","title":"Supporting students' learning and professional development through the process of continuous assessment and mentorship","type":"article-journal","volume":"20"},"uris":["http://www.mendeley.com/documents/?uuid=d3a833bb-d32b-4aa7-bfed-146f294ffd90"]}],"mendeley":{"formattedCitation":"(Neary, 2000)","plainTextFormattedCitation":"(Neary, 2000)","previouslyFormattedCitation":"(Neary 2000)"},"properties":{"noteIndex":0},"schema":"https://github.com/citation-style-language/schema/raw/master/csl-citation.json"}</w:instrText>
      </w:r>
      <w:r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(Neary</w:t>
      </w:r>
      <w:r w:rsidR="00BE3B6C" w:rsidRPr="00BE3B6C">
        <w:rPr>
          <w:rFonts w:ascii="Times New Roman" w:hAnsi="Times New Roman" w:cs="Times New Roman"/>
          <w:noProof/>
          <w:sz w:val="24"/>
          <w:szCs w:val="24"/>
        </w:rPr>
        <w:t xml:space="preserve"> 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and is akin to the concept of meaningfulness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{"citationItems":[{"id":"ITEM-1","itemData":{"DOI":"10.3102/0013189X020008015","ISBN":"0013-189X","ISSN":"0013-189X","abstract":"In recent years there has been an increasing emphasis on assessment results as well as increasing concern about the nature of the most widely used forms of student assessment and uses that are made of the results. These conflicting forces have helped create a burgeoning interest in alternative forms of assessments, particularly complex, performance-based assessments. It is argued that there is a need to rethink the criteria by which the quality of educational assessments are judged and a set of criteria that are sensitive to some of the expectations for performancebased assessments are proposed.","author":[{"dropping-particle":"","family":"Linn","given":"R. L.","non-dropping-particle":"","parse-names":false,"suffix":""},{"dropping-particle":"","family":"Baker","given":"E. L.","non-dropping-particle":"","parse-names":false,"suffix":""},{"dropping-particle":"","family":"Dunbar","given":"S. B.","non-dropping-particle":"","parse-names":false,"suffix":""}],"container-title":"Educational Researcher","id":"ITEM-1","issue":"November 1991","issued":{"date-parts":[["1991"]]},"page":"15-21","title":"Complex, Performance-Based Assessment: Expectations and Validation Criteria","type":"article-journal","volume":"20"},"uris":["http://www.mendeley.com/documents/?uuid=02f20a5f-f3b8-4e1a-a3c8-7e2954450255"]}],"mendeley":{"formattedCitation":"(Linn, Baker and Dunbar, 1991)","plainTextFormattedCitation":"(Linn, Baker and Dunbar, 1991)","previouslyFormattedCitation":"(R. L. Linn, Baker, and Dunbar 1991)"},"properties":{"noteIndex":0},"schema":"https://github.com/citation-style-language/schema/raw/master/csl-citation.json"}</w:instrText>
      </w:r>
      <w:r w:rsidRPr="006F3B00">
        <w:rPr>
          <w:rFonts w:ascii="Times New Roman" w:hAnsi="Times New Roman" w:cs="Times New Roman"/>
          <w:sz w:val="24"/>
          <w:szCs w:val="24"/>
        </w:rPr>
        <w:fldChar w:fldCharType="separate"/>
      </w:r>
      <w:r w:rsidR="00B47A3C">
        <w:rPr>
          <w:rFonts w:ascii="Times New Roman" w:hAnsi="Times New Roman" w:cs="Times New Roman"/>
          <w:noProof/>
          <w:sz w:val="24"/>
          <w:szCs w:val="24"/>
        </w:rPr>
        <w:t>(Linn, Baker and Dunbar</w:t>
      </w:r>
      <w:r w:rsidR="00BE3B6C" w:rsidRPr="00BE3B6C">
        <w:rPr>
          <w:rFonts w:ascii="Times New Roman" w:hAnsi="Times New Roman" w:cs="Times New Roman"/>
          <w:noProof/>
          <w:sz w:val="24"/>
          <w:szCs w:val="24"/>
        </w:rPr>
        <w:t xml:space="preserve"> 1991)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Meaningfulness is important b</w:t>
      </w:r>
      <w:r w:rsidR="00FE410F">
        <w:rPr>
          <w:rFonts w:ascii="Times New Roman" w:hAnsi="Times New Roman" w:cs="Times New Roman"/>
          <w:sz w:val="24"/>
          <w:szCs w:val="24"/>
        </w:rPr>
        <w:t>ecause when examiner and trainee</w:t>
      </w:r>
      <w:r w:rsidRPr="006F3B00">
        <w:rPr>
          <w:rFonts w:ascii="Times New Roman" w:hAnsi="Times New Roman" w:cs="Times New Roman"/>
          <w:sz w:val="24"/>
          <w:szCs w:val="24"/>
        </w:rPr>
        <w:t xml:space="preserve"> don’t engage with an assessment process, they may </w:t>
      </w:r>
      <w:r w:rsidRPr="006F3B00">
        <w:rPr>
          <w:rFonts w:ascii="Times New Roman" w:hAnsi="Times New Roman" w:cs="Times New Roman"/>
          <w:sz w:val="24"/>
          <w:szCs w:val="24"/>
        </w:rPr>
        <w:lastRenderedPageBreak/>
        <w:t xml:space="preserve">not want to complete assessments or only focus on aspects they perceive as being meaningful.  Similarly, if rating scales are felt to be too rigid, supervisors may prefer to evaluate performance informally (based on their own perceptions of a sound performance) with forms filled in to reflect this rather than against the scale descriptors provided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{"citationItems":[{"id":"ITEM-1","itemData":{"author":[{"dropping-particle":"","family":"Gomez-Mejia","given":"G","non-dropping-particle":"","parse-names":false,"suffix":""}],"container-title":"Journal of Organizational Behavior Management","id":"ITEM-1","issue":"2","issued":{"date-parts":[["1998"]]},"page":"155-172","title":"Evaluating employee performance: Does the appraisal instrument make a difference?","type":"article-journal","volume":"9"},"uris":["http://www.mendeley.com/documents/?uuid=5b5cf78f-50cd-42c1-b3ec-bbd2db02012e"]}],"mendeley":{"formattedCitation":"(Gomez-Mejia, 1998)","plainTextFormattedCitation":"(Gomez-Mejia, 1998)","previouslyFormattedCitation":"(Gomez-Mejia 1998)"},"properties":{"noteIndex":0},"schema":"https://github.com/citation-style-language/schema/raw/master/csl-citation.json"}</w:instrText>
      </w:r>
      <w:r w:rsidRPr="006F3B00">
        <w:rPr>
          <w:rFonts w:ascii="Times New Roman" w:hAnsi="Times New Roman" w:cs="Times New Roman"/>
          <w:sz w:val="24"/>
          <w:szCs w:val="24"/>
        </w:rPr>
        <w:fldChar w:fldCharType="separate"/>
      </w:r>
      <w:r w:rsidR="002A2BB2">
        <w:rPr>
          <w:rFonts w:ascii="Times New Roman" w:hAnsi="Times New Roman" w:cs="Times New Roman"/>
          <w:noProof/>
          <w:sz w:val="24"/>
          <w:szCs w:val="24"/>
        </w:rPr>
        <w:t>(Gomez-Mejia</w:t>
      </w:r>
      <w:r w:rsidR="00BE3B6C" w:rsidRPr="00BE3B6C">
        <w:rPr>
          <w:rFonts w:ascii="Times New Roman" w:hAnsi="Times New Roman" w:cs="Times New Roman"/>
          <w:noProof/>
          <w:sz w:val="24"/>
          <w:szCs w:val="24"/>
        </w:rPr>
        <w:t xml:space="preserve"> 1998)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50696085" w14:textId="77777777" w:rsidR="00863DF5" w:rsidRPr="006F3B00" w:rsidRDefault="00863DF5" w:rsidP="00863DF5">
      <w:pPr>
        <w:pStyle w:val="Default"/>
        <w:spacing w:line="480" w:lineRule="auto"/>
        <w:rPr>
          <w:rFonts w:ascii="Times New Roman" w:hAnsi="Times New Roman" w:cs="Times New Roman"/>
          <w:color w:val="auto"/>
        </w:rPr>
      </w:pPr>
    </w:p>
    <w:p w14:paraId="75A8A83A" w14:textId="77777777"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 xml:space="preserve">Predictive validity: This type of validity aims to determine if current results can predict future performance and can be exemplified by entrance examinations for certain school or courses, where the results from such examinations may infer whether the candidate has sufficient potential to do well at the school. </w:t>
      </w:r>
    </w:p>
    <w:p w14:paraId="624AB812" w14:textId="77777777" w:rsidR="00863DF5" w:rsidRPr="006F3B00" w:rsidRDefault="00863DF5" w:rsidP="00863DF5">
      <w:pPr>
        <w:pStyle w:val="Default"/>
        <w:spacing w:line="480" w:lineRule="auto"/>
        <w:rPr>
          <w:rFonts w:ascii="Times New Roman" w:hAnsi="Times New Roman" w:cs="Times New Roman"/>
        </w:rPr>
      </w:pPr>
    </w:p>
    <w:p w14:paraId="6784863E" w14:textId="47BEF14A"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Educational validity: Explores the relationship of the assessment to its educational function, such as the ability of the</w:t>
      </w:r>
      <w:r w:rsidR="00FE410F">
        <w:rPr>
          <w:rFonts w:ascii="Times New Roman" w:hAnsi="Times New Roman" w:cs="Times New Roman"/>
        </w:rPr>
        <w:t xml:space="preserve"> assessment to influence trainee</w:t>
      </w:r>
      <w:r w:rsidRPr="006F3B00">
        <w:rPr>
          <w:rFonts w:ascii="Times New Roman" w:hAnsi="Times New Roman" w:cs="Times New Roman"/>
        </w:rPr>
        <w:t xml:space="preserve"> learning, how to provide or increase feedback and striking the right balance of formative and summative assessments.</w:t>
      </w:r>
    </w:p>
    <w:p w14:paraId="621EF474" w14:textId="77777777" w:rsidR="00863DF5" w:rsidRPr="006F3B00" w:rsidRDefault="00863DF5" w:rsidP="00863DF5">
      <w:pPr>
        <w:pStyle w:val="Default"/>
        <w:spacing w:line="480" w:lineRule="auto"/>
        <w:rPr>
          <w:rFonts w:ascii="Times New Roman" w:hAnsi="Times New Roman" w:cs="Times New Roman"/>
        </w:rPr>
      </w:pPr>
    </w:p>
    <w:p w14:paraId="5894F09D" w14:textId="740A51CB"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 xml:space="preserve">Consequential validity: To what extent can consequences be drawn from the assessment and assessment </w:t>
      </w:r>
      <w:proofErr w:type="gramStart"/>
      <w:r w:rsidRPr="006F3B00">
        <w:rPr>
          <w:rFonts w:ascii="Times New Roman" w:hAnsi="Times New Roman" w:cs="Times New Roman"/>
        </w:rPr>
        <w:t>results.</w:t>
      </w:r>
      <w:proofErr w:type="gramEnd"/>
      <w:r w:rsidRPr="006F3B00">
        <w:rPr>
          <w:rFonts w:ascii="Times New Roman" w:hAnsi="Times New Roman" w:cs="Times New Roman"/>
        </w:rPr>
        <w:t xml:space="preserve"> To this end, there can be many and varied consequences, some of which may be beneficial e.g. the assessment identifies that the teaching provided was appropriate to the candidates; while others may have a negative impact e.g. increasing workload for examiners.  Consequences may affect the individuals who sat the exam or even the wider </w:t>
      </w:r>
      <w:r w:rsidRPr="002A2BB2">
        <w:rPr>
          <w:rFonts w:ascii="Times New Roman" w:hAnsi="Times New Roman" w:cs="Times New Roman"/>
        </w:rPr>
        <w:t xml:space="preserve">society </w:t>
      </w:r>
      <w:r w:rsidRPr="002A2BB2">
        <w:rPr>
          <w:rFonts w:ascii="Times New Roman" w:hAnsi="Times New Roman" w:cs="Times New Roman"/>
        </w:rPr>
        <w:fldChar w:fldCharType="begin" w:fldLock="1"/>
      </w:r>
      <w:r w:rsidR="00BE3B6C" w:rsidRPr="002A2BB2">
        <w:rPr>
          <w:rFonts w:ascii="Times New Roman" w:hAnsi="Times New Roman" w:cs="Times New Roman"/>
        </w:rPr>
        <w:instrText>ADDIN CSL_CITATION {"citationItems":[{"id":"ITEM-1","itemData":{"DOI":"10.1046/j.1365-2923.2003.01594.x","ISBN":"1365-2923","ISSN":"03080110","PMID":"14506816","abstract":"CONTEXT: All assessments in medical education require evidence of validity to be interpreted meaningfully. In contemporary usage, all validity is construct validity, which requires multiple sources of evidence; construct validity is the whole of validity, but has multiple facets. Five sources--content, response process, internal structure, relationship to other variables and consequences--are noted by the Standards for Educational and Psychological Testing as fruitful areas to seek validity evidence. PURPOSE: The purpose of this article is to discuss construct validity in the context of medical education and to summarize, through example, some typical sources of validity evidence for a written and a performance examination. SUMMARY: Assessments are not valid or invalid; rather, the scores or outcomes of assessments have more or less evidence to support (or refute) a specific interpretation (such as passing or failing a course). Validity is approached as hypothesis and uses theory, logic and the scientific method to collect and assemble data to support or fail to support the proposed score interpretations, at a given point in time. Data and logic are assembled into arguments--pro and con--for some specific interpretation of assessment data. Examples of types of validity evidence, data and information from each source are discussed in the context of a high-stakes written and performance examination in medical education. CONCLUSION: All assessments require evidence of the reasonableness of the proposed interpretation, as test data in education have little or no intrinsic meaning. The constructs purported to be measured by our assessments are important to students, faculty, administrators, patients and society and require solid scientific evidence of their meaning.","author":[{"dropping-particle":"","family":"Downing","given":"Steven M.","non-dropping-particle":"","parse-names":false,"suffix":""}],"container-title":"Medical Education","id":"ITEM-1","issue":"9","issued":{"date-parts":[["2003"]]},"page":"830-837","title":"Validity: On the meaningful interpretation of assessment data","type":"article","volume":"37"},"uris":["http://www.mendeley.com/documents/?uuid=ab74013f-f040-4d2f-9786-69bd0772c33f"]}],"mendeley":{"formattedCitation":"(Downing, 2003)","plainTextFormattedCitation":"(Downing, 2003)","previouslyFormattedCitation":"(Steven M. Downing 2003)"},"properties":{"noteIndex":0},"schema":"https://github.com/citation-style-language/schema/raw/master/csl-citation.json"}</w:instrText>
      </w:r>
      <w:r w:rsidRPr="002A2BB2">
        <w:rPr>
          <w:rFonts w:ascii="Times New Roman" w:hAnsi="Times New Roman" w:cs="Times New Roman"/>
        </w:rPr>
        <w:fldChar w:fldCharType="separate"/>
      </w:r>
      <w:r w:rsidR="002A2BB2">
        <w:rPr>
          <w:rFonts w:ascii="Times New Roman" w:hAnsi="Times New Roman" w:cs="Times New Roman"/>
          <w:noProof/>
        </w:rPr>
        <w:t>(Downing</w:t>
      </w:r>
      <w:r w:rsidR="00BE3B6C" w:rsidRPr="002A2BB2">
        <w:rPr>
          <w:rFonts w:ascii="Times New Roman" w:hAnsi="Times New Roman" w:cs="Times New Roman"/>
          <w:noProof/>
        </w:rPr>
        <w:t xml:space="preserve"> 2003)</w:t>
      </w:r>
      <w:r w:rsidRPr="002A2BB2">
        <w:rPr>
          <w:rFonts w:ascii="Times New Roman" w:hAnsi="Times New Roman" w:cs="Times New Roman"/>
        </w:rPr>
        <w:fldChar w:fldCharType="end"/>
      </w:r>
      <w:r w:rsidRPr="002A2BB2">
        <w:rPr>
          <w:rFonts w:ascii="Times New Roman" w:hAnsi="Times New Roman" w:cs="Times New Roman"/>
        </w:rPr>
        <w:t>.</w:t>
      </w:r>
      <w:r w:rsidRPr="006F3B00">
        <w:rPr>
          <w:rFonts w:ascii="Times New Roman" w:hAnsi="Times New Roman" w:cs="Times New Roman"/>
        </w:rPr>
        <w:t xml:space="preserve"> </w:t>
      </w:r>
    </w:p>
    <w:p w14:paraId="64DF9525" w14:textId="77777777" w:rsidR="00863DF5" w:rsidRPr="006F3B00" w:rsidRDefault="00863DF5" w:rsidP="00863DF5">
      <w:pPr>
        <w:spacing w:after="0" w:line="480" w:lineRule="auto"/>
        <w:rPr>
          <w:rFonts w:ascii="Times New Roman" w:hAnsi="Times New Roman" w:cs="Times New Roman"/>
          <w:sz w:val="24"/>
          <w:szCs w:val="24"/>
        </w:rPr>
      </w:pPr>
    </w:p>
    <w:p w14:paraId="70698BAC" w14:textId="647C587D" w:rsidR="00863DF5" w:rsidRPr="006F3B00" w:rsidRDefault="00863DF5" w:rsidP="00863DF5">
      <w:p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 xml:space="preserve">As many different types of validity have been described, this has led to the concept of validity becoming overcomplicated and increasingly difficult for assessments to satisfy </w:t>
      </w:r>
      <w:r w:rsidRPr="006F3B00">
        <w:rPr>
          <w:rFonts w:ascii="Times New Roman" w:eastAsia="Times New Roman" w:hAnsi="Times New Roman" w:cs="Times New Roman"/>
          <w:sz w:val="24"/>
          <w:szCs w:val="24"/>
          <w:lang w:eastAsia="en-GB"/>
        </w:rPr>
        <w:lastRenderedPageBreak/>
        <w:t xml:space="preserve">the varying definitions.  This led Messick and Kane to evolve the meaning of validity to try and unify certain concepts </w:t>
      </w:r>
      <w:r w:rsidRPr="00C93B85">
        <w:rPr>
          <w:rFonts w:ascii="Times New Roman" w:eastAsia="Times New Roman" w:hAnsi="Times New Roman" w:cs="Times New Roman"/>
          <w:sz w:val="24"/>
          <w:szCs w:val="24"/>
          <w:lang w:eastAsia="en-GB"/>
        </w:rPr>
        <w:fldChar w:fldCharType="begin" w:fldLock="1"/>
      </w:r>
      <w:r w:rsidR="00BE3B6C" w:rsidRPr="00C93B85">
        <w:rPr>
          <w:rFonts w:ascii="Times New Roman" w:eastAsia="Times New Roman" w:hAnsi="Times New Roman" w:cs="Times New Roman"/>
          <w:sz w:val="24"/>
          <w:szCs w:val="24"/>
          <w:lang w:eastAsia="en-GB"/>
        </w:rPr>
        <w:instrText>ADDIN CSL_CITATION {"citationItems":[{"id":"ITEM-1","itemData":{"author":[{"dropping-particle":"","family":"Messick","given":"S.","non-dropping-particle":"","parse-names":false,"suffix":""}],"container-title":"Educational Measurement","edition":"3rd editio","editor":[{"dropping-particle":"","family":"Linn","given":"RL","non-dropping-particle":"","parse-names":false,"suffix":""}],"id":"ITEM-1","issued":{"date-parts":[["1989"]]},"page":"13-103","publisher":"American Council on Education and Macmillan","publisher-place":"New York, NY","title":"Validity","type":"chapter"},"uris":["http://www.mendeley.com/documents/?uuid=77bb5b5d-aca4-4fe4-8cd1-62ee7f8fdc40"]},{"id":"ITEM-2","itemData":{"author":[{"dropping-particle":"","family":"Kane","given":"MT","non-dropping-particle":"","parse-names":false,"suffix":""}],"container-title":"Educational Measurement","edition":"4th","editor":[{"dropping-particle":"","family":"Brennan","given":"RL","non-dropping-particle":"","parse-names":false,"suffix":""}],"id":"ITEM-2","issued":{"date-parts":[["2006"]]},"page":"17-64","publisher":"Praeger","publisher-place":"Westport, CT","title":"Validation","type":"chapter"},"uris":["http://www.mendeley.com/documents/?uuid=d7900797-7c4f-4a94-9adb-8d0b4b57d403"]}],"mendeley":{"formattedCitation":"(S. Messick, 1989; Kane, 2006)","plainTextFormattedCitation":"(S. Messick, 1989; Kane, 2006)","previouslyFormattedCitation":"(S. Messick 1989; Kane 2006)"},"properties":{"noteIndex":0},"schema":"https://github.com/citation-style-language/schema/raw/master/csl-citation.json"}</w:instrText>
      </w:r>
      <w:r w:rsidRPr="00C93B85">
        <w:rPr>
          <w:rFonts w:ascii="Times New Roman" w:eastAsia="Times New Roman" w:hAnsi="Times New Roman" w:cs="Times New Roman"/>
          <w:sz w:val="24"/>
          <w:szCs w:val="24"/>
          <w:lang w:eastAsia="en-GB"/>
        </w:rPr>
        <w:fldChar w:fldCharType="separate"/>
      </w:r>
      <w:r w:rsidR="00C93B85" w:rsidRPr="00C93B85">
        <w:rPr>
          <w:rFonts w:ascii="Times New Roman" w:eastAsia="Times New Roman" w:hAnsi="Times New Roman" w:cs="Times New Roman"/>
          <w:noProof/>
          <w:sz w:val="24"/>
          <w:szCs w:val="24"/>
          <w:lang w:eastAsia="en-GB"/>
        </w:rPr>
        <w:t>(Messick 1989; Kane</w:t>
      </w:r>
      <w:r w:rsidR="00BE3B6C" w:rsidRPr="00C93B85">
        <w:rPr>
          <w:rFonts w:ascii="Times New Roman" w:eastAsia="Times New Roman" w:hAnsi="Times New Roman" w:cs="Times New Roman"/>
          <w:noProof/>
          <w:sz w:val="24"/>
          <w:szCs w:val="24"/>
          <w:lang w:eastAsia="en-GB"/>
        </w:rPr>
        <w:t xml:space="preserve"> 2006)</w:t>
      </w:r>
      <w:r w:rsidRPr="00C93B85">
        <w:rPr>
          <w:rFonts w:ascii="Times New Roman" w:eastAsia="Times New Roman" w:hAnsi="Times New Roman" w:cs="Times New Roman"/>
          <w:sz w:val="24"/>
          <w:szCs w:val="24"/>
          <w:lang w:eastAsia="en-GB"/>
        </w:rPr>
        <w:fldChar w:fldCharType="end"/>
      </w:r>
      <w:r w:rsidR="00A26DBA" w:rsidRPr="00C93B85">
        <w:rPr>
          <w:rFonts w:ascii="Times New Roman" w:eastAsia="Times New Roman" w:hAnsi="Times New Roman" w:cs="Times New Roman"/>
          <w:sz w:val="24"/>
          <w:szCs w:val="24"/>
          <w:lang w:eastAsia="en-GB"/>
        </w:rPr>
        <w:t>.</w:t>
      </w:r>
      <w:r w:rsidR="00A26DBA">
        <w:rPr>
          <w:rFonts w:ascii="Times New Roman" w:eastAsia="Times New Roman" w:hAnsi="Times New Roman" w:cs="Times New Roman"/>
          <w:sz w:val="24"/>
          <w:szCs w:val="24"/>
          <w:lang w:eastAsia="en-GB"/>
        </w:rPr>
        <w:t xml:space="preserve"> Their more focu</w:t>
      </w:r>
      <w:r w:rsidRPr="006F3B00">
        <w:rPr>
          <w:rFonts w:ascii="Times New Roman" w:eastAsia="Times New Roman" w:hAnsi="Times New Roman" w:cs="Times New Roman"/>
          <w:sz w:val="24"/>
          <w:szCs w:val="24"/>
          <w:lang w:eastAsia="en-GB"/>
        </w:rPr>
        <w:t>sed approach is to consider construct validity as being the only real type of validity which should be underpinned by evidence from multiple sources.</w:t>
      </w:r>
      <w:r w:rsidRPr="006F3B00">
        <w:rPr>
          <w:rFonts w:ascii="Times New Roman" w:hAnsi="Times New Roman" w:cs="Times New Roman"/>
          <w:sz w:val="24"/>
          <w:szCs w:val="24"/>
        </w:rPr>
        <w:t xml:space="preserve"> Messick suggested six distinct aspects of construct validity that are interdependent and complementary forms of validity evidence which include 1) content validity 2) substantive validity 3) structural validity 4) generalisability 5) external validity and 6) consequences. </w:t>
      </w:r>
      <w:r w:rsidRPr="006F3B00">
        <w:rPr>
          <w:rFonts w:ascii="Times New Roman" w:eastAsia="Times New Roman" w:hAnsi="Times New Roman" w:cs="Times New Roman"/>
          <w:sz w:val="24"/>
          <w:szCs w:val="24"/>
          <w:lang w:eastAsia="en-GB"/>
        </w:rPr>
        <w:t xml:space="preserve">However, Messick’s framework does not suggest which sources of evidence are most important or how they might change for different assessments.  Kane’s theory addresses this issue of prioritisation as he advises what evidence can be collected to support (or refute) each of the assumptions linked to the assessment and, by extension, the inferences made from it. </w:t>
      </w:r>
    </w:p>
    <w:p w14:paraId="1C204085" w14:textId="77777777" w:rsidR="00863DF5" w:rsidRPr="006F3B00" w:rsidRDefault="00863DF5" w:rsidP="00863DF5">
      <w:pPr>
        <w:spacing w:after="0" w:line="480" w:lineRule="auto"/>
        <w:rPr>
          <w:rFonts w:ascii="Times New Roman" w:eastAsia="Times New Roman" w:hAnsi="Times New Roman" w:cs="Times New Roman"/>
          <w:sz w:val="24"/>
          <w:szCs w:val="24"/>
          <w:lang w:eastAsia="en-GB"/>
        </w:rPr>
      </w:pPr>
    </w:p>
    <w:p w14:paraId="1C57EBAF" w14:textId="65BC7666" w:rsidR="00863DF5" w:rsidRPr="006F3B00" w:rsidRDefault="00863DF5" w:rsidP="00863DF5">
      <w:pPr>
        <w:widowControl w:val="0"/>
        <w:autoSpaceDE w:val="0"/>
        <w:autoSpaceDN w:val="0"/>
        <w:adjustRightInd w:val="0"/>
        <w:spacing w:after="0" w:line="480" w:lineRule="auto"/>
        <w:jc w:val="both"/>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In Kane’s theory, if the initial assessment involve</w:t>
      </w:r>
      <w:r w:rsidR="00FE410F">
        <w:rPr>
          <w:rFonts w:ascii="Times New Roman" w:eastAsia="Times New Roman" w:hAnsi="Times New Roman" w:cs="Times New Roman"/>
          <w:sz w:val="24"/>
          <w:szCs w:val="24"/>
          <w:lang w:eastAsia="en-GB"/>
        </w:rPr>
        <w:t>s assigning a score to a trainee</w:t>
      </w:r>
      <w:r w:rsidRPr="006F3B00">
        <w:rPr>
          <w:rFonts w:ascii="Times New Roman" w:eastAsia="Times New Roman" w:hAnsi="Times New Roman" w:cs="Times New Roman"/>
          <w:sz w:val="24"/>
          <w:szCs w:val="24"/>
          <w:lang w:eastAsia="en-GB"/>
        </w:rPr>
        <w:t xml:space="preserve"> (scoring), the next phase would be generating an overall test score which represents their performance (generalisation). The next stage is how this generalisation is used to make an </w:t>
      </w:r>
      <w:r w:rsidR="00FE410F">
        <w:rPr>
          <w:rFonts w:ascii="Times New Roman" w:eastAsia="Times New Roman" w:hAnsi="Times New Roman" w:cs="Times New Roman"/>
          <w:sz w:val="24"/>
          <w:szCs w:val="24"/>
          <w:lang w:eastAsia="en-GB"/>
        </w:rPr>
        <w:t>assumption about how the trainee</w:t>
      </w:r>
      <w:r w:rsidRPr="006F3B00">
        <w:rPr>
          <w:rFonts w:ascii="Times New Roman" w:eastAsia="Times New Roman" w:hAnsi="Times New Roman" w:cs="Times New Roman"/>
          <w:sz w:val="24"/>
          <w:szCs w:val="24"/>
          <w:lang w:eastAsia="en-GB"/>
        </w:rPr>
        <w:t xml:space="preserve"> might perform in real-life situations (extrapolation). The final stage is how the information is used to m</w:t>
      </w:r>
      <w:r w:rsidR="00FE410F">
        <w:rPr>
          <w:rFonts w:ascii="Times New Roman" w:eastAsia="Times New Roman" w:hAnsi="Times New Roman" w:cs="Times New Roman"/>
          <w:sz w:val="24"/>
          <w:szCs w:val="24"/>
          <w:lang w:eastAsia="en-GB"/>
        </w:rPr>
        <w:t>ake a decision about the trainee</w:t>
      </w:r>
      <w:r w:rsidRPr="006F3B00">
        <w:rPr>
          <w:rFonts w:ascii="Times New Roman" w:eastAsia="Times New Roman" w:hAnsi="Times New Roman" w:cs="Times New Roman"/>
          <w:sz w:val="24"/>
          <w:szCs w:val="24"/>
          <w:lang w:eastAsia="en-GB"/>
        </w:rPr>
        <w:t xml:space="preserve"> (implications). Each stage represents an inference with its own assumptions. For each step, evidence must be gathered to support the assumptions. The most complex attributes require the most evidence to substantiate the inferences made from them and vice versa. Just because a test has been validated, this does not mean the results of that test are going to be applied and interpreted properly and as such validation should not be viewed as an endpoint but rather a process. </w:t>
      </w:r>
    </w:p>
    <w:p w14:paraId="73F96958" w14:textId="77777777" w:rsidR="00863DF5" w:rsidRPr="006F3B00" w:rsidRDefault="00863DF5" w:rsidP="00863DF5">
      <w:pPr>
        <w:widowControl w:val="0"/>
        <w:autoSpaceDE w:val="0"/>
        <w:autoSpaceDN w:val="0"/>
        <w:adjustRightInd w:val="0"/>
        <w:spacing w:after="0" w:line="480" w:lineRule="auto"/>
        <w:jc w:val="both"/>
        <w:rPr>
          <w:rFonts w:ascii="Times New Roman" w:eastAsia="Times New Roman" w:hAnsi="Times New Roman" w:cs="Times New Roman"/>
          <w:sz w:val="24"/>
          <w:szCs w:val="24"/>
          <w:lang w:eastAsia="en-GB"/>
        </w:rPr>
      </w:pPr>
    </w:p>
    <w:p w14:paraId="31BE3F02" w14:textId="38328865"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In healthcare, the ultimate goal of assessment tools is to have publicly accountable measures of the competence of trainees prior to them entering the profession. Here, Messick’s and Kane’s theories are particularly relevant, as the assessments used to determine competence must 1) be sufficiently rigorous and supported by appropriate validity evidence and 2) only used in an appropriate context so the inferences made from the assessment are substantiated.</w:t>
      </w:r>
    </w:p>
    <w:p w14:paraId="6A83FB7A" w14:textId="3E1C9062" w:rsidR="00863DF5" w:rsidRPr="006F3B00" w:rsidRDefault="00863DF5" w:rsidP="00863DF5">
      <w:pPr>
        <w:pStyle w:val="Heading3"/>
        <w:rPr>
          <w:rFonts w:ascii="Times New Roman" w:hAnsi="Times New Roman" w:cs="Times New Roman"/>
          <w:color w:val="auto"/>
          <w:sz w:val="24"/>
          <w:szCs w:val="24"/>
        </w:rPr>
      </w:pPr>
      <w:bookmarkStart w:id="14" w:name="_Toc23243743"/>
      <w:r w:rsidRPr="006F3B00">
        <w:rPr>
          <w:rFonts w:ascii="Times New Roman" w:hAnsi="Times New Roman" w:cs="Times New Roman"/>
          <w:color w:val="auto"/>
          <w:sz w:val="24"/>
          <w:szCs w:val="24"/>
        </w:rPr>
        <w:t>1.</w:t>
      </w:r>
      <w:r w:rsidR="007A0757">
        <w:rPr>
          <w:rFonts w:ascii="Times New Roman" w:hAnsi="Times New Roman" w:cs="Times New Roman"/>
          <w:color w:val="auto"/>
          <w:sz w:val="24"/>
          <w:szCs w:val="24"/>
        </w:rPr>
        <w:t>1.</w:t>
      </w:r>
      <w:r w:rsidRPr="006F3B00">
        <w:rPr>
          <w:rFonts w:ascii="Times New Roman" w:hAnsi="Times New Roman" w:cs="Times New Roman"/>
          <w:color w:val="auto"/>
          <w:sz w:val="24"/>
          <w:szCs w:val="24"/>
        </w:rPr>
        <w:t>5.3 Educational value</w:t>
      </w:r>
      <w:bookmarkEnd w:id="14"/>
    </w:p>
    <w:p w14:paraId="645369A9" w14:textId="77777777" w:rsidR="00863DF5" w:rsidRPr="006F3B00" w:rsidRDefault="00863DF5" w:rsidP="00863DF5">
      <w:pPr>
        <w:rPr>
          <w:rFonts w:ascii="Times New Roman" w:hAnsi="Times New Roman" w:cs="Times New Roman"/>
          <w:sz w:val="24"/>
          <w:szCs w:val="24"/>
        </w:rPr>
      </w:pPr>
    </w:p>
    <w:p w14:paraId="51B43840" w14:textId="79F06099" w:rsidR="003E3DB6"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The educational value of an assessment is an important outcome to examine. Formative exercises rely on quality discussion between the assess</w:t>
      </w:r>
      <w:r w:rsidR="00FE410F">
        <w:rPr>
          <w:rFonts w:ascii="Times New Roman" w:hAnsi="Times New Roman" w:cs="Times New Roman"/>
        </w:rPr>
        <w:t>or and trainee</w:t>
      </w:r>
      <w:r w:rsidRPr="006F3B00">
        <w:rPr>
          <w:rFonts w:ascii="Times New Roman" w:hAnsi="Times New Roman" w:cs="Times New Roman"/>
        </w:rPr>
        <w:t xml:space="preserve"> following certain events or tasks.  These episodes of feedback can set new learning objectives, identify strengths and weaknesses and try to address more appropriate lea</w:t>
      </w:r>
      <w:r w:rsidR="00FE410F">
        <w:rPr>
          <w:rFonts w:ascii="Times New Roman" w:hAnsi="Times New Roman" w:cs="Times New Roman"/>
        </w:rPr>
        <w:t>rning strategies for the trainee</w:t>
      </w:r>
      <w:r w:rsidRPr="006F3B00">
        <w:rPr>
          <w:rFonts w:ascii="Times New Roman" w:hAnsi="Times New Roman" w:cs="Times New Roman"/>
        </w:rPr>
        <w:t>. Summative assessments can also drive l</w:t>
      </w:r>
      <w:r w:rsidR="00FE410F">
        <w:rPr>
          <w:rFonts w:ascii="Times New Roman" w:hAnsi="Times New Roman" w:cs="Times New Roman"/>
        </w:rPr>
        <w:t>earning as trainees</w:t>
      </w:r>
      <w:r w:rsidRPr="006F3B00">
        <w:rPr>
          <w:rFonts w:ascii="Times New Roman" w:hAnsi="Times New Roman" w:cs="Times New Roman"/>
        </w:rPr>
        <w:t xml:space="preserve"> seek to learn relevant material to their examination. </w:t>
      </w:r>
      <w:r w:rsidRPr="003E3DB6">
        <w:rPr>
          <w:rFonts w:ascii="Times New Roman" w:hAnsi="Times New Roman" w:cs="Times New Roman"/>
        </w:rPr>
        <w:t>Van der Vleuten</w:t>
      </w:r>
      <w:r w:rsidR="003E3DB6">
        <w:rPr>
          <w:rFonts w:ascii="Times New Roman" w:hAnsi="Times New Roman" w:cs="Times New Roman"/>
        </w:rPr>
        <w:t xml:space="preserve"> (1996, p.51)</w:t>
      </w:r>
      <w:r w:rsidRPr="003E3DB6">
        <w:rPr>
          <w:rFonts w:ascii="Times New Roman" w:hAnsi="Times New Roman" w:cs="Times New Roman"/>
        </w:rPr>
        <w:t xml:space="preserve"> </w:t>
      </w:r>
      <w:r w:rsidR="00FB1880">
        <w:rPr>
          <w:rFonts w:ascii="Times New Roman" w:hAnsi="Times New Roman" w:cs="Times New Roman"/>
        </w:rPr>
        <w:t>notes</w:t>
      </w:r>
      <w:r w:rsidR="003E3DB6">
        <w:rPr>
          <w:rFonts w:ascii="Times New Roman" w:hAnsi="Times New Roman" w:cs="Times New Roman"/>
        </w:rPr>
        <w:t>:</w:t>
      </w:r>
    </w:p>
    <w:p w14:paraId="0855F397" w14:textId="77777777" w:rsidR="003E3DB6" w:rsidRDefault="003E3DB6" w:rsidP="00863DF5">
      <w:pPr>
        <w:pStyle w:val="Default"/>
        <w:spacing w:line="480" w:lineRule="auto"/>
        <w:rPr>
          <w:rFonts w:ascii="Times New Roman" w:hAnsi="Times New Roman" w:cs="Times New Roman"/>
        </w:rPr>
      </w:pPr>
    </w:p>
    <w:p w14:paraId="54B2CD50" w14:textId="7315C88A" w:rsidR="00863DF5" w:rsidRDefault="00FB1880" w:rsidP="003E3DB6">
      <w:pPr>
        <w:pStyle w:val="Default"/>
        <w:spacing w:line="480" w:lineRule="auto"/>
        <w:ind w:left="720"/>
        <w:rPr>
          <w:rFonts w:ascii="Times New Roman" w:hAnsi="Times New Roman" w:cs="Times New Roman"/>
        </w:rPr>
      </w:pPr>
      <w:r>
        <w:rPr>
          <w:rFonts w:ascii="Times New Roman" w:hAnsi="Times New Roman" w:cs="Times New Roman"/>
        </w:rPr>
        <w:t>The tremendous impact</w:t>
      </w:r>
      <w:r w:rsidR="00863DF5" w:rsidRPr="003E3DB6">
        <w:rPr>
          <w:rFonts w:ascii="Times New Roman" w:hAnsi="Times New Roman" w:cs="Times New Roman"/>
        </w:rPr>
        <w:t xml:space="preserve"> </w:t>
      </w:r>
      <w:r>
        <w:rPr>
          <w:rFonts w:ascii="Times New Roman" w:hAnsi="Times New Roman" w:cs="Times New Roman"/>
        </w:rPr>
        <w:t>that the assessment program has on the learner</w:t>
      </w:r>
      <w:r w:rsidR="003E3DB6">
        <w:rPr>
          <w:rFonts w:ascii="Times New Roman" w:hAnsi="Times New Roman" w:cs="Times New Roman"/>
        </w:rPr>
        <w:t>…</w:t>
      </w:r>
      <w:r w:rsidR="00FE410F" w:rsidRPr="003E3DB6">
        <w:rPr>
          <w:rFonts w:ascii="Times New Roman" w:hAnsi="Times New Roman" w:cs="Times New Roman"/>
        </w:rPr>
        <w:t xml:space="preserve"> and </w:t>
      </w:r>
      <w:r w:rsidR="003E3DB6" w:rsidRPr="003E3DB6">
        <w:rPr>
          <w:rFonts w:ascii="Times New Roman" w:hAnsi="Times New Roman" w:cs="Times New Roman"/>
        </w:rPr>
        <w:t>there is some hauntingly truth in that students do whatever they are</w:t>
      </w:r>
      <w:r>
        <w:rPr>
          <w:rFonts w:ascii="Times New Roman" w:hAnsi="Times New Roman" w:cs="Times New Roman"/>
        </w:rPr>
        <w:t xml:space="preserve"> </w:t>
      </w:r>
      <w:r w:rsidR="003E3DB6" w:rsidRPr="003E3DB6">
        <w:rPr>
          <w:rFonts w:ascii="Times New Roman" w:hAnsi="Times New Roman" w:cs="Times New Roman"/>
        </w:rPr>
        <w:t>tested on and are not likely to do what they are not tested</w:t>
      </w:r>
      <w:r w:rsidR="003E3DB6">
        <w:rPr>
          <w:rFonts w:ascii="Times New Roman" w:hAnsi="Times New Roman" w:cs="Times New Roman"/>
        </w:rPr>
        <w:t xml:space="preserve"> on. </w:t>
      </w:r>
    </w:p>
    <w:p w14:paraId="223FBD74" w14:textId="77777777" w:rsidR="00FB1880" w:rsidRDefault="00FB1880" w:rsidP="003E3DB6">
      <w:pPr>
        <w:pStyle w:val="Default"/>
        <w:spacing w:line="480" w:lineRule="auto"/>
        <w:ind w:left="720"/>
        <w:rPr>
          <w:rFonts w:ascii="Times New Roman" w:hAnsi="Times New Roman" w:cs="Times New Roman"/>
        </w:rPr>
      </w:pPr>
    </w:p>
    <w:p w14:paraId="171429D6" w14:textId="010E1DF0" w:rsidR="00863DF5" w:rsidRPr="006F3B00" w:rsidRDefault="00863DF5" w:rsidP="007A0757">
      <w:pPr>
        <w:pStyle w:val="Default"/>
        <w:spacing w:line="480" w:lineRule="auto"/>
        <w:rPr>
          <w:rFonts w:ascii="Times New Roman" w:hAnsi="Times New Roman" w:cs="Times New Roman"/>
        </w:rPr>
      </w:pPr>
      <w:r w:rsidRPr="006F3B00">
        <w:rPr>
          <w:rFonts w:ascii="Times New Roman" w:hAnsi="Times New Roman" w:cs="Times New Roman"/>
        </w:rPr>
        <w:t>To th</w:t>
      </w:r>
      <w:r w:rsidR="00FB1880">
        <w:rPr>
          <w:rFonts w:ascii="Times New Roman" w:hAnsi="Times New Roman" w:cs="Times New Roman"/>
        </w:rPr>
        <w:t xml:space="preserve">is end, constructive alignment </w:t>
      </w:r>
      <w:r w:rsidRPr="006F3B00">
        <w:rPr>
          <w:rFonts w:ascii="Times New Roman" w:hAnsi="Times New Roman" w:cs="Times New Roman"/>
        </w:rPr>
        <w:t>can be used so that teaching and assessments are aligned to the desired learning objectives</w:t>
      </w:r>
      <w:r w:rsidR="0062633C">
        <w:rPr>
          <w:rFonts w:ascii="Times New Roman" w:hAnsi="Times New Roman" w:cs="Times New Roman"/>
        </w:rPr>
        <w:t xml:space="preserve">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{"citationItems":[{"id":"ITEM-1","itemData":{"DOI":"10.1080/02602930600848309","ISBN":"026029381469297X","ISSN":"0260-2938","abstract":"The paper will explore Biggs’ concept of constructive alignment in the context of work-based learning (WBL). In his book Teaching for Quality Learning at University Biggs quotes Tyler making the claim that ‘Learning takes place through the active behaviour of the student: it is what he does that he learns, not what the teacher does’. Biggs’ model is student-centred and outcomes focused, and has been very influential in the area of staff development relating to learning and teaching. The model emerged and has mostly been considered in the context of formal education. However, the strong emphasis on the student and the nature of the learning (as opposed to the location in which the learning takes place) lends itself well to the area of WBL. With the rapid expansion of awards such as the Foundation Degree, many academic colleagues are becoming involved in the supporting and assessing of WBL. For those staff whose background has been in formal teaching, it can prove difficult to achieve the change in perspective which is necessary to effectively support work-based students. Biggs’ model, which has been very influential inside HE, potentially offers a way of provid- ing guidance to colleagues when they are required to engage with the evaluation and assessment of WBL. The intention here is to consider the constructive alignment model and explore the extent to which it can be applied in a WBL context.","author":[{"dropping-particle":"","family":"Walsh","given":"Anita","non-dropping-particle":"","parse-names":false,"suffix":""}],"container-title":"Assessment &amp; Evaluation in Higher Education","id":"ITEM-1","issue":"1","issued":{"date-parts":[["2007"]]},"page":"79-87","title":"An exploration of Biggs’ constructive alignment in the context of work‐based learning","type":"article-journal","volume":"32"},"uris":["http://www.mendeley.com/documents/?uuid=708ce190-38ba-42d8-9201-22b677aeb682"]}],"mendeley":{"formattedCitation":"(Walsh, 2007)","plainTextFormattedCitation":"(Walsh, 2007)","previouslyFormattedCitation":"(Walsh 2007)"},"properties":{"noteIndex":0},"schema":"https://github.com/citation-style-language/schema/raw/master/csl-citation.json"}</w:instrText>
      </w:r>
      <w:r w:rsidRPr="006F3B00">
        <w:rPr>
          <w:rFonts w:ascii="Times New Roman" w:hAnsi="Times New Roman" w:cs="Times New Roman"/>
        </w:rPr>
        <w:fldChar w:fldCharType="separate"/>
      </w:r>
      <w:r w:rsidR="00FB1880">
        <w:rPr>
          <w:rFonts w:ascii="Times New Roman" w:hAnsi="Times New Roman" w:cs="Times New Roman"/>
          <w:noProof/>
        </w:rPr>
        <w:t>(Walsh</w:t>
      </w:r>
      <w:r w:rsidR="00BE3B6C" w:rsidRPr="00BE3B6C">
        <w:rPr>
          <w:rFonts w:ascii="Times New Roman" w:hAnsi="Times New Roman" w:cs="Times New Roman"/>
          <w:noProof/>
        </w:rPr>
        <w:t xml:space="preserve"> 2007)</w:t>
      </w:r>
      <w:r w:rsidRPr="006F3B00">
        <w:rPr>
          <w:rFonts w:ascii="Times New Roman" w:hAnsi="Times New Roman" w:cs="Times New Roman"/>
        </w:rPr>
        <w:fldChar w:fldCharType="end"/>
      </w:r>
      <w:r w:rsidRPr="006F3B00">
        <w:rPr>
          <w:rFonts w:ascii="Times New Roman" w:hAnsi="Times New Roman" w:cs="Times New Roman"/>
        </w:rPr>
        <w:t xml:space="preserve">.  Constructive alignment therefore teaches </w:t>
      </w:r>
      <w:r w:rsidR="00FE410F">
        <w:rPr>
          <w:rFonts w:ascii="Times New Roman" w:hAnsi="Times New Roman" w:cs="Times New Roman"/>
        </w:rPr>
        <w:t>what really matters, so trainees</w:t>
      </w:r>
      <w:r w:rsidRPr="006F3B00">
        <w:rPr>
          <w:rFonts w:ascii="Times New Roman" w:hAnsi="Times New Roman" w:cs="Times New Roman"/>
        </w:rPr>
        <w:t xml:space="preserve"> can see exactly how their teaching feeds into the assessments they are given. This method underpins the current outcome-based approach to education, where learning outcomes are created first, with the teaching and assessment practices devised afterwards to achieve the former. For example, in dentistry, The Association for Dental Education in Europe (ADEE) helped to devise </w:t>
      </w:r>
      <w:r w:rsidRPr="006F3B00">
        <w:rPr>
          <w:rFonts w:ascii="Times New Roman" w:hAnsi="Times New Roman" w:cs="Times New Roman"/>
        </w:rPr>
        <w:lastRenderedPageBreak/>
        <w:t xml:space="preserve">learning outcomes for undergraduate dental education  on which curricula and assessment strategies can be based </w:t>
      </w:r>
      <w:r w:rsidRPr="00FB1880">
        <w:rPr>
          <w:rFonts w:ascii="Times New Roman" w:hAnsi="Times New Roman" w:cs="Times New Roman"/>
        </w:rPr>
        <w:fldChar w:fldCharType="begin" w:fldLock="1"/>
      </w:r>
      <w:r w:rsidR="00BE3B6C" w:rsidRPr="00FB1880">
        <w:rPr>
          <w:rFonts w:ascii="Times New Roman" w:hAnsi="Times New Roman" w:cs="Times New Roman"/>
        </w:rPr>
        <w:instrText>ADDIN CSL_CITATION {"citationItems":[{"id":"ITEM-1","itemData":{"DOI":"10.1111/eje.12307","ISSN":"16000579","abstract":"With \" The Graduating European Dentist \" , ADEE provides a new approach that reflects best academic practice for European undergraduate dental education. The new suite of documents sees increased emphasis on important curriculum components such as patient safety, working as a team and patient-centred care. There is also an increased emphasis on teaching excellence, student satisfaction and student preparedness and support. Guidance relating to methods of teaching and learning, and assessment (educational measurement), is also provided. It is anticipated that this new format will further increase accessibility and utility for educators, institutions, societies and regulators, across the sector.","author":[{"dropping-particle":"","family":"Field","given":"J. C.","non-dropping-particle":"","parse-names":false,"suffix":""},{"dropping-particle":"","family":"Cowpe","given":"J. G.","non-dropping-particle":"","parse-names":false,"suffix":""},{"dropping-particle":"","family":"Walmsley","given":"A. D.","non-dropping-particle":"","parse-names":false,"suffix":""}],"container-title":"European Journal of Dental Education","id":"ITEM-1","issued":{"date-parts":[["2017"]]},"page":"2-10","title":"The Graduating European Dentist: A New Undergraduate Curriculum Framework","type":"article-magazine","volume":"21"},"uris":["http://www.mendeley.com/documents/?uuid=ef686c55-744b-4083-bc08-21a98386f058"]}],"mendeley":{"formattedCitation":"(Field, Cowpe and Walmsley, 2017)","plainTextFormattedCitation":"(Field, Cowpe and Walmsley, 2017)","previouslyFormattedCitation":"(Field, Cowpe, and Walmsley 2017)"},"properties":{"noteIndex":0},"schema":"https://github.com/citation-style-language/schema/raw/master/csl-citation.json"}</w:instrText>
      </w:r>
      <w:r w:rsidRPr="00FB1880">
        <w:rPr>
          <w:rFonts w:ascii="Times New Roman" w:hAnsi="Times New Roman" w:cs="Times New Roman"/>
        </w:rPr>
        <w:fldChar w:fldCharType="separate"/>
      </w:r>
      <w:r w:rsidR="00FB1880" w:rsidRPr="00FB1880">
        <w:rPr>
          <w:rFonts w:ascii="Times New Roman" w:hAnsi="Times New Roman" w:cs="Times New Roman"/>
          <w:noProof/>
        </w:rPr>
        <w:t>(Field, Cowpe and Walmsley</w:t>
      </w:r>
      <w:r w:rsidR="00BE3B6C" w:rsidRPr="00FB1880">
        <w:rPr>
          <w:rFonts w:ascii="Times New Roman" w:hAnsi="Times New Roman" w:cs="Times New Roman"/>
          <w:noProof/>
        </w:rPr>
        <w:t xml:space="preserve"> 2017)</w:t>
      </w:r>
      <w:r w:rsidRPr="00FB1880">
        <w:rPr>
          <w:rFonts w:ascii="Times New Roman" w:hAnsi="Times New Roman" w:cs="Times New Roman"/>
        </w:rPr>
        <w:fldChar w:fldCharType="end"/>
      </w:r>
      <w:r w:rsidRPr="00FB1880">
        <w:rPr>
          <w:rFonts w:ascii="Times New Roman" w:hAnsi="Times New Roman" w:cs="Times New Roman"/>
        </w:rPr>
        <w:t>.</w:t>
      </w:r>
      <w:r w:rsidRPr="006F3B00">
        <w:rPr>
          <w:rFonts w:ascii="Times New Roman" w:hAnsi="Times New Roman" w:cs="Times New Roman"/>
        </w:rPr>
        <w:t xml:space="preserve">  Assessment tools which can foster reflective practice are</w:t>
      </w:r>
      <w:r w:rsidR="00FE410F">
        <w:rPr>
          <w:rFonts w:ascii="Times New Roman" w:hAnsi="Times New Roman" w:cs="Times New Roman"/>
        </w:rPr>
        <w:t xml:space="preserve"> also important so that trainees</w:t>
      </w:r>
      <w:r w:rsidRPr="006F3B00">
        <w:rPr>
          <w:rFonts w:ascii="Times New Roman" w:hAnsi="Times New Roman" w:cs="Times New Roman"/>
        </w:rPr>
        <w:t xml:space="preserve"> engage more with a deeper level of learning </w:t>
      </w:r>
      <w:r w:rsidR="007A0757">
        <w:rPr>
          <w:rFonts w:ascii="Times New Roman" w:hAnsi="Times New Roman" w:cs="Times New Roman"/>
        </w:rPr>
        <w:t>from each experience they have.</w:t>
      </w:r>
    </w:p>
    <w:p w14:paraId="7B95AA5D" w14:textId="51E7CB9E" w:rsidR="00863DF5" w:rsidRPr="006F3B00" w:rsidRDefault="00863DF5" w:rsidP="00863DF5">
      <w:pPr>
        <w:pStyle w:val="Heading3"/>
        <w:rPr>
          <w:rFonts w:ascii="Times New Roman" w:hAnsi="Times New Roman" w:cs="Times New Roman"/>
          <w:color w:val="auto"/>
          <w:sz w:val="24"/>
          <w:szCs w:val="24"/>
        </w:rPr>
      </w:pPr>
      <w:bookmarkStart w:id="15" w:name="_Toc23243744"/>
      <w:r w:rsidRPr="006F3B00">
        <w:rPr>
          <w:rFonts w:ascii="Times New Roman" w:hAnsi="Times New Roman" w:cs="Times New Roman"/>
          <w:color w:val="auto"/>
          <w:sz w:val="24"/>
          <w:szCs w:val="24"/>
        </w:rPr>
        <w:t>1.</w:t>
      </w:r>
      <w:r w:rsidR="007A0757">
        <w:rPr>
          <w:rFonts w:ascii="Times New Roman" w:hAnsi="Times New Roman" w:cs="Times New Roman"/>
          <w:color w:val="auto"/>
          <w:sz w:val="24"/>
          <w:szCs w:val="24"/>
        </w:rPr>
        <w:t>1.</w:t>
      </w:r>
      <w:r w:rsidRPr="006F3B00">
        <w:rPr>
          <w:rFonts w:ascii="Times New Roman" w:hAnsi="Times New Roman" w:cs="Times New Roman"/>
          <w:color w:val="auto"/>
          <w:sz w:val="24"/>
          <w:szCs w:val="24"/>
        </w:rPr>
        <w:t>5.4 Acceptability</w:t>
      </w:r>
      <w:bookmarkEnd w:id="15"/>
    </w:p>
    <w:p w14:paraId="37B5B7C2" w14:textId="77777777" w:rsidR="00863DF5" w:rsidRPr="006F3B00" w:rsidRDefault="00863DF5" w:rsidP="00863DF5">
      <w:pPr>
        <w:rPr>
          <w:rFonts w:ascii="Times New Roman" w:hAnsi="Times New Roman" w:cs="Times New Roman"/>
          <w:sz w:val="24"/>
          <w:szCs w:val="24"/>
        </w:rPr>
      </w:pPr>
    </w:p>
    <w:p w14:paraId="51575EA0" w14:textId="18185325" w:rsidR="00863DF5" w:rsidRPr="006F3B00" w:rsidRDefault="00863DF5" w:rsidP="00863DF5">
      <w:pPr>
        <w:pStyle w:val="Default"/>
        <w:spacing w:line="480" w:lineRule="auto"/>
        <w:rPr>
          <w:rFonts w:ascii="Times New Roman" w:hAnsi="Times New Roman" w:cs="Times New Roman"/>
          <w:vertAlign w:val="superscript"/>
        </w:rPr>
      </w:pPr>
      <w:r w:rsidRPr="006F3B00">
        <w:rPr>
          <w:rFonts w:ascii="Times New Roman" w:hAnsi="Times New Roman" w:cs="Times New Roman"/>
        </w:rPr>
        <w:t>Acceptability  can vary betw</w:t>
      </w:r>
      <w:r w:rsidR="00FE410F">
        <w:rPr>
          <w:rFonts w:ascii="Times New Roman" w:hAnsi="Times New Roman" w:cs="Times New Roman"/>
        </w:rPr>
        <w:t>een the examiner and the trainee</w:t>
      </w:r>
      <w:r w:rsidRPr="006F3B00">
        <w:rPr>
          <w:rFonts w:ascii="Times New Roman" w:hAnsi="Times New Roman" w:cs="Times New Roman"/>
        </w:rPr>
        <w:t xml:space="preserve"> and within each respective group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{"citationItems":[{"id":"ITEM-1","itemData":{"author":[{"dropping-particle":"","family":"Lowry","given":"S.","non-dropping-particle":"","parse-names":false,"suffix":""}],"id":"ITEM-1","issued":{"date-parts":[["1993"]]},"page":"46-47","publisher":"BMJ books","publisher-place":"London, UK","title":"Medical Education","type":"chapter"},"uris":["http://www.mendeley.com/documents/?uuid=de5fff37-f547-4bd8-9289-f4c835c91c3d"]}],"mendeley":{"formattedCitation":"(Lowry, 1993)","plainTextFormattedCitation":"(Lowry, 1993)","previouslyFormattedCitation":"(Lowry 1993)"},"properties":{"noteIndex":0},"schema":"https://github.com/citation-style-language/schema/raw/master/csl-citation.json"}</w:instrText>
      </w:r>
      <w:r w:rsidRPr="006F3B00">
        <w:rPr>
          <w:rFonts w:ascii="Times New Roman" w:hAnsi="Times New Roman" w:cs="Times New Roman"/>
        </w:rPr>
        <w:fldChar w:fldCharType="separate"/>
      </w:r>
      <w:r w:rsidR="009F403B">
        <w:rPr>
          <w:rFonts w:ascii="Times New Roman" w:hAnsi="Times New Roman" w:cs="Times New Roman"/>
          <w:noProof/>
        </w:rPr>
        <w:t>(Lowry</w:t>
      </w:r>
      <w:r w:rsidR="00BE3B6C" w:rsidRPr="00BE3B6C">
        <w:rPr>
          <w:rFonts w:ascii="Times New Roman" w:hAnsi="Times New Roman" w:cs="Times New Roman"/>
          <w:noProof/>
        </w:rPr>
        <w:t xml:space="preserve"> 1993)</w:t>
      </w:r>
      <w:r w:rsidRPr="006F3B00">
        <w:rPr>
          <w:rFonts w:ascii="Times New Roman" w:hAnsi="Times New Roman" w:cs="Times New Roman"/>
        </w:rPr>
        <w:fldChar w:fldCharType="end"/>
      </w:r>
      <w:r w:rsidRPr="006F3B00">
        <w:rPr>
          <w:rFonts w:ascii="Times New Roman" w:hAnsi="Times New Roman" w:cs="Times New Roman"/>
        </w:rPr>
        <w:t>. Acceptability may stem from an individual’s experiences, beliefs and values</w:t>
      </w:r>
      <w:r w:rsidR="0062633C">
        <w:rPr>
          <w:rFonts w:ascii="Times New Roman" w:hAnsi="Times New Roman" w:cs="Times New Roman"/>
        </w:rPr>
        <w:t xml:space="preserve">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{"citationItems":[{"id":"ITEM-1","itemData":{"DOI":"10.1007/BF00596229","ISBN":"1382-4996","ISSN":"1382-4996, 1573-1677","PMID":"24178994","abstract":"Overzicht van de geschiedenis en belangrijkste research bevindingen van de laatste decennia plus implicaties voor verder onderzoek en onderwijs.","author":[{"dropping-particle":"Van Der","family":"Vleuten","given":"C. P. M.","non-dropping-particle":"","parse-names":false,"suffix":""}],"container-title":"Advances in Health Sciences Education","id":"ITEM-1","issue":"1","issued":{"date-parts":[["1996"]]},"page":"41-67","title":"The assessment of professional competence: Developments, research and practical implications","type":"article-journal","volume":"1"},"uris":["http://www.mendeley.com/documents/?uuid=a20fa592-ca1a-444e-ae7d-9c4146054b33"]}],"mendeley":{"formattedCitation":"(Vleuten, 1996)","plainTextFormattedCitation":"(Vleuten, 1996)","previouslyFormattedCitation":"(Vleuten 1996)"},"properties":{"noteIndex":0},"schema":"https://github.com/citation-style-language/schema/raw/master/csl-citation.json"}</w:instrText>
      </w:r>
      <w:r w:rsidRPr="006F3B00">
        <w:rPr>
          <w:rFonts w:ascii="Times New Roman" w:hAnsi="Times New Roman" w:cs="Times New Roman"/>
        </w:rPr>
        <w:fldChar w:fldCharType="separate"/>
      </w:r>
      <w:r w:rsidR="00BE3B6C" w:rsidRPr="00BE3B6C">
        <w:rPr>
          <w:rFonts w:ascii="Times New Roman" w:hAnsi="Times New Roman" w:cs="Times New Roman"/>
          <w:noProof/>
        </w:rPr>
        <w:t>(</w:t>
      </w:r>
      <w:r w:rsidR="007B031A">
        <w:rPr>
          <w:rFonts w:ascii="Times New Roman" w:hAnsi="Times New Roman" w:cs="Times New Roman"/>
          <w:noProof/>
        </w:rPr>
        <w:t>v</w:t>
      </w:r>
      <w:r w:rsidR="009F403B">
        <w:rPr>
          <w:rFonts w:ascii="Times New Roman" w:hAnsi="Times New Roman" w:cs="Times New Roman"/>
          <w:noProof/>
        </w:rPr>
        <w:t>an der Vleuten</w:t>
      </w:r>
      <w:r w:rsidR="00BE3B6C" w:rsidRPr="00BE3B6C">
        <w:rPr>
          <w:rFonts w:ascii="Times New Roman" w:hAnsi="Times New Roman" w:cs="Times New Roman"/>
          <w:noProof/>
        </w:rPr>
        <w:t xml:space="preserve"> 1996)</w:t>
      </w:r>
      <w:r w:rsidRPr="006F3B00">
        <w:rPr>
          <w:rFonts w:ascii="Times New Roman" w:hAnsi="Times New Roman" w:cs="Times New Roman"/>
        </w:rPr>
        <w:fldChar w:fldCharType="end"/>
      </w:r>
      <w:r w:rsidRPr="006F3B00">
        <w:rPr>
          <w:rFonts w:ascii="Times New Roman" w:hAnsi="Times New Roman" w:cs="Times New Roman"/>
        </w:rPr>
        <w:t>. Understanding these items is complex and a pragmatic approach is to consult with the relevant individuals when designing assessments and providing necessary information to ensure the final assessment is acceptable</w:t>
      </w:r>
      <w:r w:rsidR="0062633C">
        <w:rPr>
          <w:rFonts w:ascii="Times New Roman" w:hAnsi="Times New Roman" w:cs="Times New Roman"/>
        </w:rPr>
        <w:t xml:space="preserve">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{"citationItems":[{"id":"ITEM-1","itemData":{"DOI":"10.1007/BF00596229","ISBN":"1382-4996","ISSN":"1382-4996, 1573-1677","PMID":"24178994","abstract":"Overzicht van de geschiedenis en belangrijkste research bevindingen van de laatste decennia plus implicaties voor verder onderzoek en onderwijs.","author":[{"dropping-particle":"Van Der","family":"Vleuten","given":"C. P. M.","non-dropping-particle":"","parse-names":false,"suffix":""}],"container-title":"Advances in Health Sciences Education","id":"ITEM-1","issue":"1","issued":{"date-parts":[["1996"]]},"page":"41-67","title":"The assessment of professional competence: Developments, research and practical implications","type":"article-journal","volume":"1"},"uris":["http://www.mendeley.com/documents/?uuid=a20fa592-ca1a-444e-ae7d-9c4146054b33"]}],"mendeley":{"formattedCitation":"(Vleuten, 1996)","plainTextFormattedCitation":"(Vleuten, 1996)","previouslyFormattedCitation":"(Vleuten 1996)"},"properties":{"noteIndex":0},"schema":"https://github.com/citation-style-language/schema/raw/master/csl-citation.json"}</w:instrText>
      </w:r>
      <w:r w:rsidRPr="006F3B00">
        <w:rPr>
          <w:rFonts w:ascii="Times New Roman" w:hAnsi="Times New Roman" w:cs="Times New Roman"/>
        </w:rPr>
        <w:fldChar w:fldCharType="separate"/>
      </w:r>
      <w:r w:rsidR="007B031A">
        <w:rPr>
          <w:rFonts w:ascii="Times New Roman" w:hAnsi="Times New Roman" w:cs="Times New Roman"/>
          <w:noProof/>
        </w:rPr>
        <w:t>(v</w:t>
      </w:r>
      <w:r w:rsidR="009F403B">
        <w:rPr>
          <w:rFonts w:ascii="Times New Roman" w:hAnsi="Times New Roman" w:cs="Times New Roman"/>
          <w:noProof/>
        </w:rPr>
        <w:t>an der Vleuten</w:t>
      </w:r>
      <w:r w:rsidR="00BE3B6C" w:rsidRPr="00BE3B6C">
        <w:rPr>
          <w:rFonts w:ascii="Times New Roman" w:hAnsi="Times New Roman" w:cs="Times New Roman"/>
          <w:noProof/>
        </w:rPr>
        <w:t xml:space="preserve"> 1996)</w:t>
      </w:r>
      <w:r w:rsidRPr="006F3B00">
        <w:rPr>
          <w:rFonts w:ascii="Times New Roman" w:hAnsi="Times New Roman" w:cs="Times New Roman"/>
        </w:rPr>
        <w:fldChar w:fldCharType="end"/>
      </w:r>
      <w:r w:rsidR="00FE410F">
        <w:rPr>
          <w:rFonts w:ascii="Times New Roman" w:hAnsi="Times New Roman" w:cs="Times New Roman"/>
        </w:rPr>
        <w:t>. If the examiner and trainee</w:t>
      </w:r>
      <w:r w:rsidRPr="006F3B00">
        <w:rPr>
          <w:rFonts w:ascii="Times New Roman" w:hAnsi="Times New Roman" w:cs="Times New Roman"/>
        </w:rPr>
        <w:t xml:space="preserve"> don’t engage with the assessment, then the educational value will be lost. Acceptability of assessments c</w:t>
      </w:r>
      <w:r w:rsidR="00FE410F">
        <w:rPr>
          <w:rFonts w:ascii="Times New Roman" w:hAnsi="Times New Roman" w:cs="Times New Roman"/>
        </w:rPr>
        <w:t>an be linked to whether trainees</w:t>
      </w:r>
      <w:r w:rsidRPr="006F3B00">
        <w:rPr>
          <w:rFonts w:ascii="Times New Roman" w:hAnsi="Times New Roman" w:cs="Times New Roman"/>
        </w:rPr>
        <w:t xml:space="preserve"> feel the assessme</w:t>
      </w:r>
      <w:r w:rsidR="00FE410F">
        <w:rPr>
          <w:rFonts w:ascii="Times New Roman" w:hAnsi="Times New Roman" w:cs="Times New Roman"/>
        </w:rPr>
        <w:t>nt is valid because if a trainee</w:t>
      </w:r>
      <w:r w:rsidRPr="006F3B00">
        <w:rPr>
          <w:rFonts w:ascii="Times New Roman" w:hAnsi="Times New Roman" w:cs="Times New Roman"/>
        </w:rPr>
        <w:t xml:space="preserve"> can see no value in the assessment tool, they might choose to ignore it or disengage with the assessment process where possible.</w:t>
      </w:r>
    </w:p>
    <w:p w14:paraId="6D427D27" w14:textId="74E16CA5" w:rsidR="00863DF5" w:rsidRPr="00B51DBC" w:rsidRDefault="00B51DBC" w:rsidP="00B51DBC">
      <w:pPr>
        <w:pStyle w:val="Default"/>
        <w:spacing w:line="480" w:lineRule="auto"/>
        <w:outlineLvl w:val="2"/>
        <w:rPr>
          <w:rFonts w:ascii="Times New Roman" w:hAnsi="Times New Roman" w:cs="Times New Roman"/>
          <w:b/>
        </w:rPr>
      </w:pPr>
      <w:bookmarkStart w:id="16" w:name="_Toc23243745"/>
      <w:r>
        <w:rPr>
          <w:rFonts w:ascii="Times New Roman" w:hAnsi="Times New Roman" w:cs="Times New Roman"/>
          <w:b/>
        </w:rPr>
        <w:t>1.1.5.5</w:t>
      </w:r>
      <w:r w:rsidRPr="00B51DBC">
        <w:rPr>
          <w:rFonts w:ascii="Times New Roman" w:hAnsi="Times New Roman" w:cs="Times New Roman"/>
          <w:b/>
        </w:rPr>
        <w:t xml:space="preserve"> Cost</w:t>
      </w:r>
      <w:bookmarkEnd w:id="16"/>
    </w:p>
    <w:p w14:paraId="2AC830AA" w14:textId="222336F1" w:rsidR="00863DF5" w:rsidRPr="006F3B00" w:rsidRDefault="00863DF5" w:rsidP="00863DF5">
      <w:pPr>
        <w:pStyle w:val="Default"/>
        <w:spacing w:line="480" w:lineRule="auto"/>
        <w:rPr>
          <w:rFonts w:ascii="Times New Roman" w:hAnsi="Times New Roman" w:cs="Times New Roman"/>
        </w:rPr>
      </w:pPr>
      <w:r w:rsidRPr="006F3B00">
        <w:rPr>
          <w:rFonts w:ascii="Times New Roman" w:hAnsi="Times New Roman" w:cs="Times New Roman"/>
        </w:rPr>
        <w:t>Cost is a useful parameter within assessment because it aims to ensure that time, resources and finances are used appropriately when assessments are designed, administered and marked. MCQs can be very quick to mark because answers are either right or wrong (and can even be scanned by computers), while essays can take a considerable amount of time to mark because they require judgement and interpretation.  Efficiency is very much dependent on having appropriate infrastructure, planning and communication amongst colleagu</w:t>
      </w:r>
      <w:r w:rsidR="008730CF">
        <w:rPr>
          <w:rFonts w:ascii="Times New Roman" w:hAnsi="Times New Roman" w:cs="Times New Roman"/>
        </w:rPr>
        <w:t xml:space="preserve">es, as exemplified by OSCE’s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{"citationItems":[{"id":"ITEM-1","itemData":{"DOI":"10.1111/j.1365-2929.2005.02094.x","ISBN":"0308-0110 (Print)","ISSN":"03080110","PMID":"15733167","abstract":"INTRODUCTION: We use a utility model to illustrate that, firstly, selecting an assessment method involves context-dependent compromises, and secondly, that assessment is not a measurement problem but an instructional design problem, comprising educational, implementation and resource aspects. In the model, assessment characteristics are differently weighted depending on the purpose and context of the assessment. EMPIRICAL AND THEORETICAL DEVELOPMENTS: Of the characteristics in the model, we focus on reliability, validity and educational impact and argue that they are not inherent qualities of any instrument. Reliability depends not on structuring or standardisation but on sampling. Key issues concerning validity are authenticity and integration of competencies. Assessment in medical education addresses complex competencies and thus requires quantitative and qualitative information from different sources as well as professional judgement. Adequate sampling across judges, instruments and contexts can ensure both validity and reliability. Despite recognition that assessment drives learning, this relationship has been little researched, possibly because of its strong context dependence. ASSESSMENT AS INSTRUCTIONAL DESIGN: When assessment should stimulate learning and requires adequate sampling, in authentic contexts, of the performance of complex competencies that cannot be broken down into simple parts, we need to make a shift from individual methods to an integral programme, intertwined with the education programme. Therefore, we need an instructional design perspective. IMPLICATIONS FOR DEVELOPMENT AND RESEARCH: Programmatic instructional design hinges on a careful description and motivation of choices, whose effectiveness should be measured against the intended outcomes. We should not evaluate individual methods, but provide evidence of the utility of the assessment programme as a whole.","author":[{"dropping-particle":"","family":"Vleuten","given":"C. P M","non-dropping-particle":"Van Der","parse-names":false,"suffix":""},{"dropping-particle":"","family":"Schuwirth","given":"L. W T","non-dropping-particle":"","parse-names":false,"suffix":""}],"container-title":"Medical Education","id":"ITEM-1","issue":"3","issued":{"date-parts":[["2005"]]},"page":"309-317","title":"Assessing professional competence: From methods to programmes","type":"article-journal","volume":"39"},"uris":["http://www.mendeley.com/documents/?uuid=57592151-3b74-439e-9b0a-d6b6b51a911a"]}],"mendeley":{"formattedCitation":"(Van Der Vleuten and Schuwirth, 2005)","plainTextFormattedCitation":"(Van Der Vleuten and Schuwirth, 2005)","previouslyFormattedCitation":"(Van Der Vleuten and Schuwirth 2005)"},"properties":{"noteIndex":0},"schema":"https://github.com/citation-style-language/schema/raw/master/csl-citation.json"}</w:instrText>
      </w:r>
      <w:r w:rsidRPr="006F3B00">
        <w:rPr>
          <w:rFonts w:ascii="Times New Roman" w:hAnsi="Times New Roman" w:cs="Times New Roman"/>
        </w:rPr>
        <w:fldChar w:fldCharType="separate"/>
      </w:r>
      <w:r w:rsidR="007B031A">
        <w:rPr>
          <w:rFonts w:ascii="Times New Roman" w:hAnsi="Times New Roman" w:cs="Times New Roman"/>
          <w:noProof/>
        </w:rPr>
        <w:t>(v</w:t>
      </w:r>
      <w:r w:rsidR="009F403B">
        <w:rPr>
          <w:rFonts w:ascii="Times New Roman" w:hAnsi="Times New Roman" w:cs="Times New Roman"/>
          <w:noProof/>
        </w:rPr>
        <w:t>an der Vleuten and Schuwirth</w:t>
      </w:r>
      <w:r w:rsidR="00BE3B6C" w:rsidRPr="00BE3B6C">
        <w:rPr>
          <w:rFonts w:ascii="Times New Roman" w:hAnsi="Times New Roman" w:cs="Times New Roman"/>
          <w:noProof/>
        </w:rPr>
        <w:t xml:space="preserve"> 2005)</w:t>
      </w:r>
      <w:r w:rsidRPr="006F3B00">
        <w:rPr>
          <w:rFonts w:ascii="Times New Roman" w:hAnsi="Times New Roman" w:cs="Times New Roman"/>
        </w:rPr>
        <w:fldChar w:fldCharType="end"/>
      </w:r>
      <w:r w:rsidRPr="006F3B00">
        <w:rPr>
          <w:rFonts w:ascii="Times New Roman" w:hAnsi="Times New Roman" w:cs="Times New Roman"/>
        </w:rPr>
        <w:t xml:space="preserve">. </w:t>
      </w:r>
    </w:p>
    <w:p w14:paraId="5CFFA806" w14:textId="77777777" w:rsidR="00863DF5" w:rsidRPr="006F3B00" w:rsidRDefault="00863DF5" w:rsidP="00863DF5">
      <w:pPr>
        <w:pStyle w:val="Default"/>
        <w:spacing w:line="480" w:lineRule="auto"/>
        <w:rPr>
          <w:rFonts w:ascii="Times New Roman" w:hAnsi="Times New Roman" w:cs="Times New Roman"/>
        </w:rPr>
      </w:pPr>
    </w:p>
    <w:p w14:paraId="56DDC5D8" w14:textId="77777777" w:rsidR="00863DF5" w:rsidRPr="00DB7E3B" w:rsidRDefault="00863DF5" w:rsidP="00DB7E3B">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In reality, no assessment tool is perfect and trade-offs have to be made depending on the purpose and nature of the assessment. For instance, workplace-based assessments (when used appropriately) can offer high educational impact, but they might not be performed as reliably as summative assessments such as MCQs. Often, this problem is circumvented by using a range of assessment tools to t</w:t>
      </w:r>
      <w:r w:rsidR="00DB7E3B">
        <w:rPr>
          <w:rFonts w:ascii="Times New Roman" w:hAnsi="Times New Roman" w:cs="Times New Roman"/>
          <w:sz w:val="24"/>
          <w:szCs w:val="24"/>
        </w:rPr>
        <w:t>riangulate assessment outcomes.</w:t>
      </w:r>
    </w:p>
    <w:p w14:paraId="14FBDD3E" w14:textId="54F40F84" w:rsidR="00863DF5" w:rsidRPr="007A0757" w:rsidRDefault="00863DF5" w:rsidP="007A0757">
      <w:pPr>
        <w:pStyle w:val="Heading1"/>
        <w:rPr>
          <w:rFonts w:ascii="Times New Roman" w:hAnsi="Times New Roman" w:cs="Times New Roman"/>
          <w:b/>
          <w:color w:val="auto"/>
          <w:sz w:val="24"/>
          <w:szCs w:val="24"/>
        </w:rPr>
      </w:pPr>
      <w:bookmarkStart w:id="17" w:name="_Toc23243746"/>
      <w:r w:rsidRPr="007A0757">
        <w:rPr>
          <w:rFonts w:ascii="Times New Roman" w:hAnsi="Times New Roman" w:cs="Times New Roman"/>
          <w:b/>
          <w:color w:val="auto"/>
          <w:sz w:val="24"/>
          <w:szCs w:val="24"/>
        </w:rPr>
        <w:t>1.</w:t>
      </w:r>
      <w:r w:rsidR="007A0757" w:rsidRPr="007A0757">
        <w:rPr>
          <w:rFonts w:ascii="Times New Roman" w:hAnsi="Times New Roman" w:cs="Times New Roman"/>
          <w:b/>
          <w:color w:val="auto"/>
          <w:sz w:val="24"/>
          <w:szCs w:val="24"/>
        </w:rPr>
        <w:t>2</w:t>
      </w:r>
      <w:r w:rsidRPr="007A0757">
        <w:rPr>
          <w:rFonts w:ascii="Times New Roman" w:hAnsi="Times New Roman" w:cs="Times New Roman"/>
          <w:b/>
          <w:color w:val="auto"/>
          <w:sz w:val="24"/>
          <w:szCs w:val="24"/>
        </w:rPr>
        <w:t xml:space="preserve"> Competence and assessment of competence</w:t>
      </w:r>
      <w:bookmarkEnd w:id="17"/>
    </w:p>
    <w:p w14:paraId="1D634AF9" w14:textId="77777777" w:rsidR="00863DF5" w:rsidRPr="006F3B00" w:rsidRDefault="00863DF5" w:rsidP="00863DF5">
      <w:pPr>
        <w:rPr>
          <w:rFonts w:ascii="Times New Roman" w:hAnsi="Times New Roman" w:cs="Times New Roman"/>
          <w:sz w:val="24"/>
          <w:szCs w:val="24"/>
        </w:rPr>
      </w:pPr>
    </w:p>
    <w:p w14:paraId="053FF5D2" w14:textId="4282838A" w:rsidR="00863DF5" w:rsidRPr="006F3B00" w:rsidRDefault="006A43B1" w:rsidP="00863DF5">
      <w:pPr>
        <w:pStyle w:val="Heading2"/>
        <w:rPr>
          <w:rFonts w:ascii="Times New Roman" w:hAnsi="Times New Roman" w:cs="Times New Roman"/>
          <w:color w:val="auto"/>
          <w:sz w:val="24"/>
          <w:szCs w:val="24"/>
        </w:rPr>
      </w:pPr>
      <w:bookmarkStart w:id="18" w:name="_Toc23243747"/>
      <w:r>
        <w:rPr>
          <w:rFonts w:ascii="Times New Roman" w:hAnsi="Times New Roman" w:cs="Times New Roman"/>
          <w:color w:val="auto"/>
          <w:sz w:val="24"/>
          <w:szCs w:val="24"/>
        </w:rPr>
        <w:t>1.</w:t>
      </w:r>
      <w:r w:rsidR="007A0757">
        <w:rPr>
          <w:rFonts w:ascii="Times New Roman" w:hAnsi="Times New Roman" w:cs="Times New Roman"/>
          <w:color w:val="auto"/>
          <w:sz w:val="24"/>
          <w:szCs w:val="24"/>
        </w:rPr>
        <w:t>2.1</w:t>
      </w:r>
      <w:r w:rsidR="00863DF5" w:rsidRPr="006F3B00">
        <w:rPr>
          <w:rFonts w:ascii="Times New Roman" w:hAnsi="Times New Roman" w:cs="Times New Roman"/>
          <w:color w:val="auto"/>
          <w:sz w:val="24"/>
          <w:szCs w:val="24"/>
        </w:rPr>
        <w:t xml:space="preserve"> Introduction</w:t>
      </w:r>
      <w:bookmarkEnd w:id="18"/>
    </w:p>
    <w:p w14:paraId="01C63815"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551A9573" w14:textId="0A101D5A" w:rsidR="009F403B"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In order to measure competence, one must first define what it is. It has been d</w:t>
      </w:r>
      <w:r w:rsidR="00F40391">
        <w:rPr>
          <w:rFonts w:ascii="Times New Roman" w:hAnsi="Times New Roman" w:cs="Times New Roman"/>
          <w:sz w:val="24"/>
          <w:szCs w:val="24"/>
        </w:rPr>
        <w:t>escribed</w:t>
      </w:r>
      <w:r w:rsidR="009F403B">
        <w:rPr>
          <w:rFonts w:ascii="Times New Roman" w:hAnsi="Times New Roman" w:cs="Times New Roman"/>
          <w:sz w:val="24"/>
          <w:szCs w:val="24"/>
        </w:rPr>
        <w:t xml:space="preserve"> for </w:t>
      </w:r>
      <w:r w:rsidR="009F403B" w:rsidRPr="006F3B00">
        <w:rPr>
          <w:rFonts w:ascii="Times New Roman" w:hAnsi="Times New Roman" w:cs="Times New Roman"/>
          <w:sz w:val="24"/>
          <w:szCs w:val="24"/>
        </w:rPr>
        <w:t>health care professions</w:t>
      </w:r>
      <w:r w:rsidR="009F403B">
        <w:rPr>
          <w:rFonts w:ascii="Times New Roman" w:hAnsi="Times New Roman" w:cs="Times New Roman"/>
          <w:sz w:val="24"/>
          <w:szCs w:val="24"/>
        </w:rPr>
        <w:t xml:space="preserve"> by So</w:t>
      </w:r>
      <w:r w:rsidR="00F40391">
        <w:rPr>
          <w:rFonts w:ascii="Times New Roman" w:hAnsi="Times New Roman" w:cs="Times New Roman"/>
          <w:sz w:val="24"/>
          <w:szCs w:val="24"/>
        </w:rPr>
        <w:t>uthgate (1999</w:t>
      </w:r>
      <w:r w:rsidR="009F403B">
        <w:rPr>
          <w:rFonts w:ascii="Times New Roman" w:hAnsi="Times New Roman" w:cs="Times New Roman"/>
          <w:sz w:val="24"/>
          <w:szCs w:val="24"/>
        </w:rPr>
        <w:t>)</w:t>
      </w:r>
      <w:r w:rsidRPr="006F3B00">
        <w:rPr>
          <w:rFonts w:ascii="Times New Roman" w:hAnsi="Times New Roman" w:cs="Times New Roman"/>
          <w:sz w:val="24"/>
          <w:szCs w:val="24"/>
        </w:rPr>
        <w:t xml:space="preserve"> as</w:t>
      </w:r>
      <w:r w:rsidR="00F40391">
        <w:rPr>
          <w:rFonts w:ascii="Times New Roman" w:hAnsi="Times New Roman" w:cs="Times New Roman"/>
          <w:sz w:val="24"/>
          <w:szCs w:val="24"/>
        </w:rPr>
        <w:t xml:space="preserve"> the ability of trainees to perform clinical tasks consistently to resolve health issues of individuals while being aware of the social context. Tasks should be completed efficiently, effectively, economically and in a humane manner (Southgate 1999).</w:t>
      </w:r>
    </w:p>
    <w:p w14:paraId="5760B64A" w14:textId="77777777" w:rsidR="00F40391" w:rsidRDefault="00F40391" w:rsidP="00863DF5">
      <w:pPr>
        <w:autoSpaceDE w:val="0"/>
        <w:autoSpaceDN w:val="0"/>
        <w:adjustRightInd w:val="0"/>
        <w:spacing w:after="0" w:line="480" w:lineRule="auto"/>
        <w:rPr>
          <w:rFonts w:ascii="Times New Roman" w:hAnsi="Times New Roman" w:cs="Times New Roman"/>
          <w:sz w:val="24"/>
          <w:szCs w:val="24"/>
        </w:rPr>
      </w:pPr>
    </w:p>
    <w:p w14:paraId="2C623959" w14:textId="7139BDF6"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However,  competence is used widely and in many varying contexts resulting in many different meanings</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{"citationItems":[{"id":"ITEM-1","itemData":{"author":[{"dropping-particle":"","family":"Eraut","given":"Michael","non-dropping-particle":"","parse-names":false,"suffix":""}],"id":"ITEM-1","issued":{"date-parts":[["1994"]]},"number-of-pages":"272","publisher":"Falmer Press","publisher-place":"London","title":"Developing Professional Knowledge and Competence","type":"book"},"uris":["http://www.mendeley.com/documents/?uuid=65a2521d-184d-4595-9ea7-915c6acc482e"]}],"mendeley":{"formattedCitation":"(Eraut, 1994b)","plainTextFormattedCitation":"(Eraut, 1994b)","previouslyFormattedCitation":"(Eraut 1994b)"},"properties":{"noteIndex":0},"schema":"https://github.com/citation-style-language/schema/raw/master/csl-citation.json"}</w:instrText>
      </w:r>
      <w:r w:rsidRPr="006F3B00">
        <w:rPr>
          <w:rFonts w:ascii="Times New Roman" w:hAnsi="Times New Roman" w:cs="Times New Roman"/>
          <w:sz w:val="24"/>
          <w:szCs w:val="24"/>
        </w:rPr>
        <w:fldChar w:fldCharType="separate"/>
      </w:r>
      <w:r w:rsidR="00F40391">
        <w:rPr>
          <w:rFonts w:ascii="Times New Roman" w:hAnsi="Times New Roman" w:cs="Times New Roman"/>
          <w:noProof/>
          <w:sz w:val="24"/>
          <w:szCs w:val="24"/>
        </w:rPr>
        <w:t>(Eraut 1994</w:t>
      </w:r>
      <w:r w:rsidR="00BE3B6C" w:rsidRPr="00BE3B6C">
        <w:rPr>
          <w:rFonts w:ascii="Times New Roman" w:hAnsi="Times New Roman" w:cs="Times New Roman"/>
          <w:noProof/>
          <w:sz w:val="24"/>
          <w:szCs w:val="24"/>
        </w:rPr>
        <w:t>)</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For example, sometimes competence is related to a positive outcome (e.g. completing a task successfully), but may also be considered the baseline level (e.g. it was a satisfactory but not excellent). Competence is often viewed as a binary system, where one can either be competent or incompetent at completing a task. However, this can sometimes lead to a superficial view of competence, and a linear scale of competency may provide more feedback to learners and better reflect the range of competencies observed. Competence may be difficult to define because it cannot be directly observed; only inferred from demonstrated behaviours. It is made of several components or characteristics, some of which may be recognisable while others may be imperceptible. </w:t>
      </w:r>
    </w:p>
    <w:p w14:paraId="4F3EDC42"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3994A10D" w14:textId="38722AD3"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The behaviourist would probably define competence as the ability to perform a specific set of tasks</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{"citationItems":[{"id":"ITEM-1","itemData":{"author":[{"dropping-particle":"","family":"Eraut","given":"Michael","non-dropping-particle":"","parse-names":false,"suffix":""}],"id":"ITEM-1","issued":{"date-parts":[["1994"]]},"number-of-pages":"272","publisher":"Falmer Press","publisher-place":"London","title":"Developing Professional Knowledge and Competence","type":"book"},"uris":["http://www.mendeley.com/documents/?uuid=65a2521d-184d-4595-9ea7-915c6acc482e"]}],"mendeley":{"formattedCitation":"(Eraut, 1994b)","plainTextFormattedCitation":"(Eraut, 1994b)","previouslyFormattedCitation":"(Eraut 1994b)"},"properties":{"noteIndex":0},"schema":"https://github.com/citation-style-language/schema/raw/master/csl-citation.json"}</w:instrText>
      </w:r>
      <w:r w:rsidRPr="006F3B00">
        <w:rPr>
          <w:rFonts w:ascii="Times New Roman" w:hAnsi="Times New Roman" w:cs="Times New Roman"/>
          <w:sz w:val="24"/>
          <w:szCs w:val="24"/>
        </w:rPr>
        <w:fldChar w:fldCharType="separate"/>
      </w:r>
      <w:r w:rsidR="00F40391">
        <w:rPr>
          <w:rFonts w:ascii="Times New Roman" w:hAnsi="Times New Roman" w:cs="Times New Roman"/>
          <w:noProof/>
          <w:sz w:val="24"/>
          <w:szCs w:val="24"/>
        </w:rPr>
        <w:t>(Eraut 1994</w:t>
      </w:r>
      <w:r w:rsidR="00BE3B6C" w:rsidRPr="00BE3B6C">
        <w:rPr>
          <w:rFonts w:ascii="Times New Roman" w:hAnsi="Times New Roman" w:cs="Times New Roman"/>
          <w:noProof/>
          <w:sz w:val="24"/>
          <w:szCs w:val="24"/>
        </w:rPr>
        <w:t>)</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but it could be argued that the approach of separately assessing individual skills may not reflect the more complicated and interchangeable environment of the workplace and be criticised as having a cursory stance</w:t>
      </w:r>
      <w:r w:rsidR="00F40391">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{"citationItems":[{"id":"ITEM-1","itemData":{"author":[{"dropping-particle":"","family":"Grant J","given":"","non-dropping-particle":"","parse-names":false,"suffix":""}],"container-title":"Sciences Education","id":"ITEM-1","issue":"3","issued":{"date-parts":[["1999"]]},"page":"271-277","title":"The incapacitating effects of competence: A critique.","type":"article-journal","volume":"4"},"uris":["http://www.mendeley.com/documents/?uuid=33c5e704-ea08-411a-b5e9-b392bacd4bc2"]}],"mendeley":{"formattedCitation":"(Grant J, 1999)","plainTextFormattedCitation":"(Grant J, 1999)","previouslyFormattedCitation":"(Grant J 1999)"},"properties":{"noteIndex":0},"schema":"https://github.com/citation-style-language/schema/raw/master/csl-citation.json"}</w:instrText>
      </w:r>
      <w:r w:rsidRPr="006F3B00">
        <w:rPr>
          <w:rFonts w:ascii="Times New Roman" w:hAnsi="Times New Roman" w:cs="Times New Roman"/>
          <w:sz w:val="24"/>
          <w:szCs w:val="24"/>
        </w:rPr>
        <w:fldChar w:fldCharType="separate"/>
      </w:r>
      <w:r w:rsidR="00F40391">
        <w:rPr>
          <w:rFonts w:ascii="Times New Roman" w:hAnsi="Times New Roman" w:cs="Times New Roman"/>
          <w:noProof/>
          <w:sz w:val="24"/>
          <w:szCs w:val="24"/>
        </w:rPr>
        <w:t>(Grant</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Some people may prefer this approach as it easier to separate out individual tasks and build a framework on which assessment of these competencies can be built. However, the disadvantages have included lowering of standards in certain professions and its ignorance of more abstract or tacit behaviours, skills and attitudes</w:t>
      </w:r>
      <w:r w:rsidR="0094183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{"citationItems":[{"id":"ITEM-1","itemData":{"author":[{"dropping-particle":"","family":"Grant J","given":"","non-dropping-particle":"","parse-names":false,"suffix":""}],"container-title":"Sciences Education","id":"ITEM-1","issue":"3","issued":{"date-parts":[["1999"]]},"page":"271-277","title":"The incapacitating effects of competence: A critique.","type":"article-journal","volume":"4"},"uris":["http://www.mendeley.com/documents/?uuid=33c5e704-ea08-411a-b5e9-b392bacd4bc2"]}],"mendeley":{"formattedCitation":"(Grant J, 1999)","plainTextFormattedCitation":"(Grant J, 1999)","previouslyFormattedCitation":"(Grant J 1999)"},"properties":{"noteIndex":0},"schema":"https://github.com/citation-style-language/schema/raw/master/csl-citation.json"}</w:instrText>
      </w:r>
      <w:r w:rsidRPr="006F3B00">
        <w:rPr>
          <w:rFonts w:ascii="Times New Roman" w:hAnsi="Times New Roman" w:cs="Times New Roman"/>
          <w:sz w:val="24"/>
          <w:szCs w:val="24"/>
        </w:rPr>
        <w:fldChar w:fldCharType="separate"/>
      </w:r>
      <w:r w:rsidR="00941830">
        <w:rPr>
          <w:rFonts w:ascii="Times New Roman" w:hAnsi="Times New Roman" w:cs="Times New Roman"/>
          <w:noProof/>
          <w:sz w:val="24"/>
          <w:szCs w:val="24"/>
        </w:rPr>
        <w:t xml:space="preserve">(Grant </w:t>
      </w:r>
      <w:r w:rsidR="00BE3B6C" w:rsidRPr="00BE3B6C">
        <w:rPr>
          <w:rFonts w:ascii="Times New Roman" w:hAnsi="Times New Roman" w:cs="Times New Roman"/>
          <w:noProof/>
          <w:sz w:val="24"/>
          <w:szCs w:val="24"/>
        </w:rPr>
        <w:t>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 overall perception of an individual’s performan</w:t>
      </w:r>
      <w:r w:rsidR="00FD59D0">
        <w:rPr>
          <w:rFonts w:ascii="Times New Roman" w:hAnsi="Times New Roman" w:cs="Times New Roman"/>
          <w:sz w:val="24"/>
          <w:szCs w:val="24"/>
        </w:rPr>
        <w:t>ce may then be overlooked. Focu</w:t>
      </w:r>
      <w:r w:rsidRPr="006F3B00">
        <w:rPr>
          <w:rFonts w:ascii="Times New Roman" w:hAnsi="Times New Roman" w:cs="Times New Roman"/>
          <w:sz w:val="24"/>
          <w:szCs w:val="24"/>
        </w:rPr>
        <w:t xml:space="preserve">sing on specific skills may also neglect an appreciation of the need to adapt and be flexible in the work environment and the transfer of skills to new or unfamiliar environments. </w:t>
      </w:r>
    </w:p>
    <w:p w14:paraId="15F337BB"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2EADC9C4" w14:textId="77777777" w:rsidR="00863DF5" w:rsidRPr="006F3B00" w:rsidRDefault="00863DF5" w:rsidP="00863DF5">
      <w:pPr>
        <w:spacing w:line="480" w:lineRule="auto"/>
        <w:rPr>
          <w:rFonts w:ascii="Times New Roman" w:hAnsi="Times New Roman" w:cs="Times New Roman"/>
          <w:sz w:val="24"/>
          <w:szCs w:val="24"/>
          <w:lang w:val="en-CA"/>
        </w:rPr>
      </w:pPr>
      <w:r w:rsidRPr="006F3B00">
        <w:rPr>
          <w:rFonts w:ascii="Times New Roman" w:hAnsi="Times New Roman" w:cs="Times New Roman"/>
          <w:sz w:val="24"/>
          <w:szCs w:val="24"/>
          <w:lang w:val="en-CA"/>
        </w:rPr>
        <w:t>Trainers and consultants often use the term “competence” when discussing the relative merits of their trainees. In their opinion, they may know what they are looking for when making a judgment regarding whether their trainee is competent or incompetent at a particular task. Defining competence and objectively measuring it may pose much more difficulty, however. Therefore, it is important that the trainer and trainee both understand what constitutes “competence” if the trainee is to have a fair chance at becoming “competent”. Competence may be related to a simple or discrete task (e.g. tying a suture) or used to determine if a trainee completed a complicated procedure requiring many different skills (e.g. the entire surgical operation).</w:t>
      </w:r>
    </w:p>
    <w:p w14:paraId="5C222CF5" w14:textId="77777777" w:rsidR="00863DF5" w:rsidRPr="006F3B00" w:rsidRDefault="00863DF5" w:rsidP="00863DF5">
      <w:pPr>
        <w:spacing w:line="480" w:lineRule="auto"/>
        <w:rPr>
          <w:rFonts w:ascii="Times New Roman" w:hAnsi="Times New Roman" w:cs="Times New Roman"/>
          <w:sz w:val="24"/>
          <w:szCs w:val="24"/>
          <w:lang w:val="en-CA"/>
        </w:rPr>
      </w:pPr>
      <w:r w:rsidRPr="006F3B00">
        <w:rPr>
          <w:rFonts w:ascii="Times New Roman" w:hAnsi="Times New Roman" w:cs="Times New Roman"/>
          <w:sz w:val="24"/>
          <w:szCs w:val="24"/>
          <w:lang w:val="en-CA"/>
        </w:rPr>
        <w:t xml:space="preserve">Competence may encompass what is “acceptable” to a particular medical speciality, as judged by its peers or patients; it may simply be whether the trainee got the “right” answer; if they were “safe” or implemented the “correct” treatment plan; maybe a </w:t>
      </w:r>
      <w:r w:rsidRPr="006F3B00">
        <w:rPr>
          <w:rFonts w:ascii="Times New Roman" w:hAnsi="Times New Roman" w:cs="Times New Roman"/>
          <w:sz w:val="24"/>
          <w:szCs w:val="24"/>
          <w:lang w:val="en-CA"/>
        </w:rPr>
        <w:lastRenderedPageBreak/>
        <w:t xml:space="preserve">competent performance is an impression someone has of you; is it how you cope with difficulties and conduct yourself or the ability to undertake procedures and tasks without constant supervision or support? </w:t>
      </w:r>
      <w:r w:rsidRPr="006F3B00">
        <w:rPr>
          <w:rFonts w:ascii="Times New Roman" w:hAnsi="Times New Roman" w:cs="Times New Roman"/>
          <w:sz w:val="24"/>
          <w:szCs w:val="24"/>
        </w:rPr>
        <w:t>It may be viewed simply as the ability to “get the job done” or incorporate a combination of practical and theoretical knowledge, along with certain behaviours and values.</w:t>
      </w:r>
    </w:p>
    <w:p w14:paraId="26239B28" w14:textId="0AA76E8E"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lang w:val="en-CA"/>
        </w:rPr>
        <w:t>A judgement of competency could potentially vary depending on who is judging, the task being undertaken and even the day of the week.</w:t>
      </w:r>
      <w:r w:rsidR="00D35C1E">
        <w:rPr>
          <w:rFonts w:ascii="Times New Roman" w:hAnsi="Times New Roman" w:cs="Times New Roman"/>
          <w:sz w:val="24"/>
          <w:szCs w:val="24"/>
          <w:lang w:val="en-CA"/>
        </w:rPr>
        <w:t xml:space="preserve"> For example, some examiners, by their very own nature, examine more harshly than others (Hawk-dove effect) and on certain tasks (Hawthorne effect). </w:t>
      </w:r>
      <w:r w:rsidRPr="006F3B00">
        <w:rPr>
          <w:rFonts w:ascii="Times New Roman" w:hAnsi="Times New Roman" w:cs="Times New Roman"/>
          <w:sz w:val="24"/>
          <w:szCs w:val="24"/>
          <w:lang w:val="en-CA"/>
        </w:rPr>
        <w:t xml:space="preserve"> One task may require excellent communication and empathy (e.g. informing a patient of a terminal diagnosis) whereas another calls for acute concentration and excellent manual dexterity (e.g. performing a complex operation). Clearly, the concept of competence appears less tangible than it first seems. </w:t>
      </w:r>
      <w:r w:rsidRPr="006F3B00">
        <w:rPr>
          <w:rFonts w:ascii="Times New Roman" w:hAnsi="Times New Roman" w:cs="Times New Roman"/>
          <w:sz w:val="24"/>
          <w:szCs w:val="24"/>
        </w:rPr>
        <w:t>Competence can be elusive</w:t>
      </w:r>
      <w:r w:rsidR="0094183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{"citationItems":[{"id":"ITEM-1","itemData":{"DOI":"10.1080/0260293970220304","ISBN":"0260293970","ISSN":"0260-2938","abstract":"Assessing individuals as failures in education and training is rarely something that is done lightly or without misgivings. Related to this, the challenges of setting clear threshold or passing standards, are considerable. Assessors' affective responses during fail scenarios in professional training were explored during focused interviews with 30 academic and practice staff. The pattern of feelings reported at each stage of the decision-making process, factors which influence judgements and the reactions of others are described. The strength and spread of feelings stand out as an important sources of evidence. Understanding more about these affective responses may assist assessors as they make critical judgements at the margins of professional competence.","author":[{"dropping-particle":"","family":"Ilott","given":"Irene","non-dropping-particle":"","parse-names":false,"suffix":""},{"dropping-particle":"","family":"Murphy","given":"Roger","non-dropping-particle":"","parse-names":false,"suffix":""}],"container-title":"Assessment &amp; Evaluation in Higher Education","id":"ITEM-1","issue":"3","issued":{"date-parts":[["1997"]]},"page":"307-316","title":"Feelings and Failing in Professional Training: the assessor's dilemma","type":"article-journal","volume":"22"},"uris":["http://www.mendeley.com/documents/?uuid=59723d5e-516d-451b-9d49-6f8d515fa565"]}],"mendeley":{"formattedCitation":"(Ilott and Murphy, 1997)","plainTextFormattedCitation":"(Ilott and Murphy, 1997)","previouslyFormattedCitation":"(Ilott and Murphy 1997)"},"properties":{"noteIndex":0},"schema":"https://github.com/citation-style-language/schema/raw/master/csl-citation.json"}</w:instrText>
      </w:r>
      <w:r w:rsidRPr="006F3B00">
        <w:rPr>
          <w:rFonts w:ascii="Times New Roman" w:hAnsi="Times New Roman" w:cs="Times New Roman"/>
          <w:sz w:val="24"/>
          <w:szCs w:val="24"/>
        </w:rPr>
        <w:fldChar w:fldCharType="separate"/>
      </w:r>
      <w:r w:rsidR="00941830">
        <w:rPr>
          <w:rFonts w:ascii="Times New Roman" w:hAnsi="Times New Roman" w:cs="Times New Roman"/>
          <w:noProof/>
          <w:sz w:val="24"/>
          <w:szCs w:val="24"/>
        </w:rPr>
        <w:t>(Ilott and Murphy</w:t>
      </w:r>
      <w:r w:rsidR="00BE3B6C" w:rsidRPr="00BE3B6C">
        <w:rPr>
          <w:rFonts w:ascii="Times New Roman" w:hAnsi="Times New Roman" w:cs="Times New Roman"/>
          <w:noProof/>
          <w:sz w:val="24"/>
          <w:szCs w:val="24"/>
        </w:rPr>
        <w:t xml:space="preserve"> 1997)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3F041371" w14:textId="19882CF5" w:rsidR="00863DF5" w:rsidRPr="00FB10F9" w:rsidRDefault="006A43B1" w:rsidP="00863DF5">
      <w:pPr>
        <w:pStyle w:val="Heading2"/>
        <w:rPr>
          <w:rFonts w:ascii="Times New Roman" w:hAnsi="Times New Roman" w:cs="Times New Roman"/>
          <w:color w:val="auto"/>
          <w:sz w:val="24"/>
          <w:szCs w:val="24"/>
        </w:rPr>
      </w:pPr>
      <w:bookmarkStart w:id="19" w:name="_Toc23243748"/>
      <w:r w:rsidRPr="00FB10F9">
        <w:rPr>
          <w:rFonts w:ascii="Times New Roman" w:hAnsi="Times New Roman" w:cs="Times New Roman"/>
          <w:color w:val="auto"/>
          <w:sz w:val="24"/>
          <w:szCs w:val="24"/>
        </w:rPr>
        <w:t>1.</w:t>
      </w:r>
      <w:r w:rsidR="007A0757" w:rsidRPr="00FB10F9">
        <w:rPr>
          <w:rFonts w:ascii="Times New Roman" w:hAnsi="Times New Roman" w:cs="Times New Roman"/>
          <w:color w:val="auto"/>
          <w:sz w:val="24"/>
          <w:szCs w:val="24"/>
        </w:rPr>
        <w:t>2.2</w:t>
      </w:r>
      <w:r w:rsidR="00863DF5" w:rsidRPr="00FB10F9">
        <w:rPr>
          <w:rFonts w:ascii="Times New Roman" w:hAnsi="Times New Roman" w:cs="Times New Roman"/>
          <w:color w:val="auto"/>
          <w:sz w:val="24"/>
          <w:szCs w:val="24"/>
        </w:rPr>
        <w:t xml:space="preserve"> The theory of competence</w:t>
      </w:r>
      <w:bookmarkEnd w:id="19"/>
    </w:p>
    <w:p w14:paraId="1A6A9B96" w14:textId="77777777" w:rsidR="00863DF5" w:rsidRPr="006F3B00" w:rsidRDefault="00863DF5" w:rsidP="00863DF5">
      <w:pPr>
        <w:pStyle w:val="Heading3"/>
        <w:rPr>
          <w:rFonts w:ascii="Times New Roman" w:hAnsi="Times New Roman" w:cs="Times New Roman"/>
          <w:color w:val="auto"/>
          <w:sz w:val="24"/>
          <w:szCs w:val="24"/>
        </w:rPr>
      </w:pPr>
    </w:p>
    <w:p w14:paraId="06DF928D" w14:textId="573DAA42" w:rsidR="00863DF5" w:rsidRPr="006F3B00" w:rsidRDefault="007A0757" w:rsidP="00863DF5">
      <w:pPr>
        <w:pStyle w:val="Heading3"/>
        <w:rPr>
          <w:rFonts w:ascii="Times New Roman" w:hAnsi="Times New Roman" w:cs="Times New Roman"/>
          <w:color w:val="auto"/>
          <w:sz w:val="24"/>
          <w:szCs w:val="24"/>
        </w:rPr>
      </w:pPr>
      <w:bookmarkStart w:id="20" w:name="_Toc23243749"/>
      <w:r>
        <w:rPr>
          <w:rFonts w:ascii="Times New Roman" w:hAnsi="Times New Roman" w:cs="Times New Roman"/>
          <w:color w:val="auto"/>
          <w:sz w:val="24"/>
          <w:szCs w:val="24"/>
        </w:rPr>
        <w:t>1.2.2.1</w:t>
      </w:r>
      <w:r w:rsidR="00863DF5" w:rsidRPr="006F3B00">
        <w:rPr>
          <w:rFonts w:ascii="Times New Roman" w:hAnsi="Times New Roman" w:cs="Times New Roman"/>
          <w:color w:val="auto"/>
          <w:sz w:val="24"/>
          <w:szCs w:val="24"/>
        </w:rPr>
        <w:t xml:space="preserve"> Millers Pyramid and the Cambridge model: Competence versus performance</w:t>
      </w:r>
      <w:bookmarkEnd w:id="20"/>
    </w:p>
    <w:p w14:paraId="4A05E285" w14:textId="77777777" w:rsidR="00863DF5" w:rsidRPr="006F3B00" w:rsidRDefault="00863DF5" w:rsidP="00863DF5">
      <w:pPr>
        <w:rPr>
          <w:rFonts w:ascii="Times New Roman" w:hAnsi="Times New Roman" w:cs="Times New Roman"/>
          <w:sz w:val="24"/>
          <w:szCs w:val="24"/>
        </w:rPr>
      </w:pPr>
    </w:p>
    <w:p w14:paraId="5ECFE41A" w14:textId="21A8363C"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In Miller’s conceptual model (Figure 1</w:t>
      </w:r>
      <w:r w:rsidR="00BC04B0">
        <w:rPr>
          <w:rFonts w:ascii="Times New Roman" w:hAnsi="Times New Roman" w:cs="Times New Roman"/>
          <w:sz w:val="24"/>
          <w:szCs w:val="24"/>
        </w:rPr>
        <w:t>.1</w:t>
      </w:r>
      <w:r w:rsidRPr="006F3B00">
        <w:rPr>
          <w:rFonts w:ascii="Times New Roman" w:hAnsi="Times New Roman" w:cs="Times New Roman"/>
          <w:sz w:val="24"/>
          <w:szCs w:val="24"/>
        </w:rPr>
        <w:t xml:space="preserve">), there are traditionally four stages of development. The first two stages at the bottom of the pyramid, “knows” and “knows how”, can be assessed using assessment tools such as written and oral tests. “Shows” and “does” are the higher levels of the pyramid, with the former usually assessed in exams such as </w:t>
      </w:r>
      <w:r w:rsidR="002B1984">
        <w:rPr>
          <w:rFonts w:ascii="Times New Roman" w:hAnsi="Times New Roman" w:cs="Times New Roman"/>
          <w:sz w:val="24"/>
          <w:szCs w:val="24"/>
        </w:rPr>
        <w:t>OSCEs</w:t>
      </w:r>
      <w:r w:rsidRPr="006F3B00">
        <w:rPr>
          <w:rFonts w:ascii="Times New Roman" w:hAnsi="Times New Roman" w:cs="Times New Roman"/>
          <w:sz w:val="24"/>
          <w:szCs w:val="24"/>
        </w:rPr>
        <w:t xml:space="preserve"> and the latter normally demonstrated from observations of the t</w:t>
      </w:r>
      <w:r w:rsidR="002B1984">
        <w:rPr>
          <w:rFonts w:ascii="Times New Roman" w:hAnsi="Times New Roman" w:cs="Times New Roman"/>
          <w:sz w:val="24"/>
          <w:szCs w:val="24"/>
        </w:rPr>
        <w:t>rainee in the “real world” and Workplace-based A</w:t>
      </w:r>
      <w:r w:rsidRPr="006F3B00">
        <w:rPr>
          <w:rFonts w:ascii="Times New Roman" w:hAnsi="Times New Roman" w:cs="Times New Roman"/>
          <w:sz w:val="24"/>
          <w:szCs w:val="24"/>
        </w:rPr>
        <w:t xml:space="preserve">ssessments (WBAs). Successful progression to the highest levels of the pyramid requires the trainee to gain the necessary skills, </w:t>
      </w:r>
      <w:r w:rsidRPr="006F3B00">
        <w:rPr>
          <w:rFonts w:ascii="Times New Roman" w:hAnsi="Times New Roman" w:cs="Times New Roman"/>
          <w:sz w:val="24"/>
          <w:szCs w:val="24"/>
        </w:rPr>
        <w:lastRenderedPageBreak/>
        <w:t>knowledge and behaviours expected of a professional in their relevant specialist field</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{"citationItems":[{"id":"ITEM-1","itemData":{"DOI":"10.1097/00001888-199009000-00045","ISBN":"1040-2446","ISSN":"1040-2446","PMID":"2400509","abstract":"No abstract available. (C) 1990 Association of American Medical Colleges","author":[{"dropping-particle":"","family":"Miller","given":"G E","non-dropping-particle":"","parse-names":false,"suffix":""}],"container-title":"Academic medicine : journal of the Association of American Medical Colleges","id":"ITEM-1","issue":"9 Suppl","issued":{"date-parts":[["1990"]]},"page":"S63-S67","title":"The assessment of clinical skills/competence/performance.","type":"article-journal","volume":"65"},"uris":["http://www.mendeley.com/documents/?uuid=447d45d0-ad29-4bd1-9a84-9d8055604fd3"]}],"mendeley":{"formattedCitation":"(Miller, 1990)","plainTextFormattedCitation":"(Miller, 1990)","previouslyFormattedCitation":"(G. E. Miller 1990)"},"properties":{"noteIndex":0},"schema":"https://github.com/citation-style-language/schema/raw/master/csl-citation.json"}</w:instrText>
      </w:r>
      <w:r w:rsidRPr="006F3B00">
        <w:rPr>
          <w:rFonts w:ascii="Times New Roman" w:hAnsi="Times New Roman" w:cs="Times New Roman"/>
          <w:sz w:val="24"/>
          <w:szCs w:val="24"/>
        </w:rPr>
        <w:fldChar w:fldCharType="separate"/>
      </w:r>
      <w:r w:rsidR="00941830">
        <w:rPr>
          <w:rFonts w:ascii="Times New Roman" w:hAnsi="Times New Roman" w:cs="Times New Roman"/>
          <w:noProof/>
          <w:sz w:val="24"/>
          <w:szCs w:val="24"/>
        </w:rPr>
        <w:t>(Miller</w:t>
      </w:r>
      <w:r w:rsidR="00BE3B6C" w:rsidRPr="00BE3B6C">
        <w:rPr>
          <w:rFonts w:ascii="Times New Roman" w:hAnsi="Times New Roman" w:cs="Times New Roman"/>
          <w:noProof/>
          <w:sz w:val="24"/>
          <w:szCs w:val="24"/>
        </w:rPr>
        <w:t xml:space="preserve"> 1990)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686EA6D7" w14:textId="5AFB96DA" w:rsidR="00863DF5" w:rsidRPr="006F3B00" w:rsidRDefault="00FF5302" w:rsidP="00863DF5">
      <w:pPr>
        <w:spacing w:line="480" w:lineRule="auto"/>
        <w:rPr>
          <w:rFonts w:ascii="Times New Roman" w:hAnsi="Times New Roman" w:cs="Times New Roman"/>
          <w:sz w:val="24"/>
          <w:szCs w:val="24"/>
        </w:rPr>
      </w:pPr>
      <w:r w:rsidRPr="006F3B0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69E0309" wp14:editId="2CDCD6E8">
                <wp:simplePos x="0" y="0"/>
                <wp:positionH relativeFrom="column">
                  <wp:posOffset>4001632</wp:posOffset>
                </wp:positionH>
                <wp:positionV relativeFrom="paragraph">
                  <wp:posOffset>0</wp:posOffset>
                </wp:positionV>
                <wp:extent cx="684530" cy="285750"/>
                <wp:effectExtent l="0" t="0" r="2032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85750"/>
                        </a:xfrm>
                        <a:prstGeom prst="rect">
                          <a:avLst/>
                        </a:prstGeom>
                        <a:solidFill>
                          <a:srgbClr val="FFFFFF"/>
                        </a:solidFill>
                        <a:ln w="9525">
                          <a:solidFill>
                            <a:srgbClr val="000000"/>
                          </a:solidFill>
                          <a:miter lim="800000"/>
                          <a:headEnd/>
                          <a:tailEnd/>
                        </a:ln>
                      </wps:spPr>
                      <wps:txbx>
                        <w:txbxContent>
                          <w:p w14:paraId="22087238" w14:textId="77777777" w:rsidR="00D35C1E" w:rsidRDefault="00D35C1E" w:rsidP="00863DF5">
                            <w:r>
                              <w:t>Expert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E0309" id="_x0000_t202" coordsize="21600,21600" o:spt="202" path="m,l,21600r21600,l21600,xe">
                <v:stroke joinstyle="miter"/>
                <v:path gradientshapeok="t" o:connecttype="rect"/>
              </v:shapetype>
              <v:shape id="Text Box 2" o:spid="_x0000_s1026" type="#_x0000_t202" style="position:absolute;margin-left:315.1pt;margin-top:0;width:53.9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scJAIAAEUEAAAOAAAAZHJzL2Uyb0RvYy54bWysU9uO2yAQfa/Uf0C8N3a8ySZrxVlts01V&#10;aXuRdvsBGOMYFRgKJHb69R1wNo227UtVHhDDDIczZ2ZWt4NW5CCcl2AqOp3klAjDoZFmV9GvT9s3&#10;S0p8YKZhCoyo6FF4ert+/WrV21IU0IFqhCMIYnzZ24p2IdgyyzzvhGZ+AlYYdLbgNAtoul3WONYj&#10;ulZZkefXWQ+usQ648B5v70cnXSf8thU8fG5bLwJRFUVuIe0u7XXcs/WKlTvHbCf5iQb7BxaaSYOf&#10;nqHuWWBk7+RvUFpyBx7aMOGgM2hbyUXKAbOZ5i+yeeyYFSkXFMfbs0z+/8HyT4cvjsimolf5ghLD&#10;NBbpSQyBvIWBFFGf3voSwx4tBoYBr7HOKVdvH4B/88TApmNmJ+6cg74TrEF+0/gyu3g64vgIUvcf&#10;ocFv2D5AAhpap6N4KAdBdKzT8VybSIXj5fVyNr9CD0dXsZwv5ql2GSufH1vnw3sBmsRDRR2WPoGz&#10;w4MPkQwrn0PiXx6UbLZSqWS4Xb1RjhwYtsk2rcT/RZgypK/ozbyYj/n/FSJP608QWgbsdyV1RZfn&#10;IFZG1d6ZJnVjYFKNZ6SszEnGqNyoYRjq4VSWGpojCupg7GucQzx04H5Q0mNPV9R/3zMnKFEfDBbl&#10;ZjqbxSFIxmy+KNBwl5760sMMR6iKBkrG4yakwYmCGbjD4rUyCRurPDI5ccVeTXqf5ioOw6Wdon5N&#10;//onAAAA//8DAFBLAwQUAAYACAAAACEA5HTZU94AAAAHAQAADwAAAGRycy9kb3ducmV2LnhtbEyP&#10;wU7DMBBE70j8g7VIXFBr05Q0hDgVQgLRG7QIrm7sJhH2OthuGv6e5QS3Wc1o5m21npxlowmx9yjh&#10;ei6AGWy87rGV8LZ7nBXAYlKolfVoJHybCOv6/KxSpfYnfDXjNrWMSjCWSkKX0lByHpvOOBXnfjBI&#10;3sEHpxKdoeU6qBOVO8sXQuTcqR5poVODeehM87k9OgnF8nn8iJvs5b3JD/Y2Xa3Gp68g5eXFdH8H&#10;LJkp/YXhF5/QoSamvT+ijsxKyDOxoKgE+ojsVVaQ2EtY3gjgdcX/89c/AAAA//8DAFBLAQItABQA&#10;BgAIAAAAIQC2gziS/gAAAOEBAAATAAAAAAAAAAAAAAAAAAAAAABbQ29udGVudF9UeXBlc10ueG1s&#10;UEsBAi0AFAAGAAgAAAAhADj9If/WAAAAlAEAAAsAAAAAAAAAAAAAAAAALwEAAF9yZWxzLy5yZWxz&#10;UEsBAi0AFAAGAAgAAAAhAJVUaxwkAgAARQQAAA4AAAAAAAAAAAAAAAAALgIAAGRycy9lMm9Eb2Mu&#10;eG1sUEsBAi0AFAAGAAgAAAAhAOR02VPeAAAABwEAAA8AAAAAAAAAAAAAAAAAfgQAAGRycy9kb3du&#10;cmV2LnhtbFBLBQYAAAAABAAEAPMAAACJBQAAAAA=&#10;">
                <v:textbox>
                  <w:txbxContent>
                    <w:p w14:paraId="22087238" w14:textId="77777777" w:rsidR="00D35C1E" w:rsidRDefault="00D35C1E" w:rsidP="00863DF5">
                      <w:r>
                        <w:t>Expert</w:t>
                      </w:r>
                    </w:p>
                  </w:txbxContent>
                </v:textbox>
              </v:shape>
            </w:pict>
          </mc:Fallback>
        </mc:AlternateContent>
      </w:r>
      <w:r w:rsidRPr="006F3B00">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A348BCD" wp14:editId="2B5CD308">
                <wp:simplePos x="0" y="0"/>
                <wp:positionH relativeFrom="column">
                  <wp:posOffset>4001135</wp:posOffset>
                </wp:positionH>
                <wp:positionV relativeFrom="paragraph">
                  <wp:posOffset>2360930</wp:posOffset>
                </wp:positionV>
                <wp:extent cx="684530" cy="285750"/>
                <wp:effectExtent l="0" t="0" r="2032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85750"/>
                        </a:xfrm>
                        <a:prstGeom prst="rect">
                          <a:avLst/>
                        </a:prstGeom>
                        <a:solidFill>
                          <a:srgbClr val="FFFFFF"/>
                        </a:solidFill>
                        <a:ln w="9525">
                          <a:solidFill>
                            <a:srgbClr val="000000"/>
                          </a:solidFill>
                          <a:miter lim="800000"/>
                          <a:headEnd/>
                          <a:tailEnd/>
                        </a:ln>
                      </wps:spPr>
                      <wps:txbx>
                        <w:txbxContent>
                          <w:p w14:paraId="6CE610DE" w14:textId="77777777" w:rsidR="00D35C1E" w:rsidRDefault="00D35C1E" w:rsidP="00863DF5">
                            <w:r>
                              <w:t>Novice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48BCD" id="_x0000_s1027" type="#_x0000_t202" style="position:absolute;margin-left:315.05pt;margin-top:185.9pt;width:53.9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xEJQIAAEoEAAAOAAAAZHJzL2Uyb0RvYy54bWysVNtu2zAMfR+wfxD0vjhx4zY14hRdugwD&#10;ugvQ7gNkWY6FSaImKbGzry8lp2nQbS/D/CCIInV0eEh6eTNoRfbCeQmmorPJlBJhODTSbCv6/XHz&#10;bkGJD8w0TIERFT0IT29Wb98se1uKHDpQjXAEQYwve1vRLgRbZpnnndDMT8AKg84WnGYBTbfNGsd6&#10;RNcqy6fTy6wH11gHXHiPp3ejk64SftsKHr62rReBqIoit5BWl9Y6rtlqycqtY7aT/EiD/QMLzaTB&#10;R09QdywwsnPyNygtuQMPbZhw0Bm0reQi5YDZzKavsnnomBUpFxTH25NM/v/B8i/7b47IpqIXlBim&#10;sUSPYgjkPQwkj+r01pcY9GAxLAx4jFVOmXp7D/yHJwbWHTNbcesc9J1gDbKbxZvZ2dURx0eQuv8M&#10;DT7DdgES0NA6HaVDMQiiY5UOp8pEKhwPLxfz4gI9HF35orgqUuUyVj5fts6HjwI0iZuKOix8Amf7&#10;ex8iGVY+h8S3PCjZbKRSyXDbeq0c2TNskk36Ev9XYcqQvqLXRV6M+f8VYpq+P0FoGbDbldQVXZyC&#10;WBlV+2Ca1IuBSTXukbIyRxmjcqOGYaiHVK+kcZS4huaAujoYmxuHETcduF+U9NjYFfU/d8wJStQn&#10;g7W5ns3ncRKSMS+ucjTcuac+9zDDEaqigZJxuw5peqJuBm6xhq1M+r4wOVLGhk2yH4crTsS5naJe&#10;fgGrJwAAAP//AwBQSwMEFAAGAAgAAAAhACrGNfLhAAAACwEAAA8AAABkcnMvZG93bnJldi54bWxM&#10;j8tOwzAQRfdI/IM1SGwQdUKqJA2ZVAgJBLtSqrJ142kS4Uew3TT8PWYFy9Ec3XtuvZ61YhM5P1iD&#10;kC4SYGRaKwfTIezen25LYD4II4WyhhC+ycO6ubyoRSXt2bzRtA0diyHGVwKhD2GsOPdtT1r4hR3J&#10;xN/ROi1CPF3HpRPnGK4Vv0uSnGsxmNjQi5Eee2o/tyeNUC5fpg//mm32bX5Uq3BTTM9fDvH6an64&#10;BxZoDn8w/OpHdWii08GejPRMIeRZkkYUISvSuCESRVasgB0QlmleAm9q/n9D8wMAAP//AwBQSwEC&#10;LQAUAAYACAAAACEAtoM4kv4AAADhAQAAEwAAAAAAAAAAAAAAAAAAAAAAW0NvbnRlbnRfVHlwZXNd&#10;LnhtbFBLAQItABQABgAIAAAAIQA4/SH/1gAAAJQBAAALAAAAAAAAAAAAAAAAAC8BAABfcmVscy8u&#10;cmVsc1BLAQItABQABgAIAAAAIQAHE8xEJQIAAEoEAAAOAAAAAAAAAAAAAAAAAC4CAABkcnMvZTJv&#10;RG9jLnhtbFBLAQItABQABgAIAAAAIQAqxjXy4QAAAAsBAAAPAAAAAAAAAAAAAAAAAH8EAABkcnMv&#10;ZG93bnJldi54bWxQSwUGAAAAAAQABADzAAAAjQUAAAAA&#10;">
                <v:textbox>
                  <w:txbxContent>
                    <w:p w14:paraId="6CE610DE" w14:textId="77777777" w:rsidR="00D35C1E" w:rsidRDefault="00D35C1E" w:rsidP="00863DF5">
                      <w:r>
                        <w:t>Novice</w:t>
                      </w:r>
                    </w:p>
                  </w:txbxContent>
                </v:textbox>
              </v:shape>
            </w:pict>
          </mc:Fallback>
        </mc:AlternateContent>
      </w:r>
      <w:r w:rsidR="00863DF5" w:rsidRPr="006F3B00">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F07E8E4" wp14:editId="7D7E507C">
                <wp:simplePos x="0" y="0"/>
                <wp:positionH relativeFrom="column">
                  <wp:posOffset>4699221</wp:posOffset>
                </wp:positionH>
                <wp:positionV relativeFrom="paragraph">
                  <wp:posOffset>-248</wp:posOffset>
                </wp:positionV>
                <wp:extent cx="365760" cy="2647784"/>
                <wp:effectExtent l="19050" t="19050" r="34290" b="19685"/>
                <wp:wrapNone/>
                <wp:docPr id="2" name="Up Arrow 2"/>
                <wp:cNvGraphicFramePr/>
                <a:graphic xmlns:a="http://schemas.openxmlformats.org/drawingml/2006/main">
                  <a:graphicData uri="http://schemas.microsoft.com/office/word/2010/wordprocessingShape">
                    <wps:wsp>
                      <wps:cNvSpPr/>
                      <wps:spPr>
                        <a:xfrm>
                          <a:off x="0" y="0"/>
                          <a:ext cx="365760" cy="2647784"/>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E6B0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6" type="#_x0000_t68" style="position:absolute;margin-left:370pt;margin-top:0;width:28.8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wScwIAAC8FAAAOAAAAZHJzL2Uyb0RvYy54bWysVFFv2yAQfp+0/4B4X514adJFdaqoVadJ&#10;VVetrfpMMdTWgGMHiZP9+h3Ycbuue5nmBwzc3cfdx3ecnu2sYVuFoQVX8enRhDPlJNSte6r4/d3l&#10;hxPOQhSuFgacqvheBX62ev/utPNLVUIDplbICMSFZecr3sTol0URZKOsCEfglSOjBrQi0hKfihpF&#10;R+jWFOVkMi86wNojSBUC7V70Rr7K+ForGb9qHVRkpuKUW8wj5vExjcXqVCyfUPimlUMa4h+ysKJ1&#10;dOgIdSGiYBts/4CyrUQIoOORBFuA1q1UuQaqZjp5Vc1tI7zKtRA5wY80hf8HK6+3N8jauuIlZ05Y&#10;uqJ7z9aI0LEysdP5sCSnW3+DwyrQNJW602jTn4pgu8zofmRU7SKTtPlxfryYE++STOV8tliczBJo&#10;8RztMcTPCixLk4pvfD47cym2VyH23gcvCk0J9SnkWdwblbIw7pvSVAgdWuboLCF1bpBtBV1+/X3a&#10;bzeiVv3W8YS+IZ3ROyeXwRKqbo0ZcQeAJM3fcfscB98UprLyxsDJ3xLqA0fvfCK4OAba1gG+FWzi&#10;dEhc9/4HYno6EjOPUO/pahF6zQcvL1ui+EqEeCOQRE7XQo0bv9KgDXQVh2HGWQP486395E/aIytn&#10;HTVNxcOPjUDFmfniSJWfprNZ6rK8mB0vSlrgS8vjS4vb2HOgq5nSE+Flnib/aA5TjWAfqL/X6VQy&#10;CSfp7IrLiIfFeeybmV4Iqdbr7Ead5UW8crdeJvDEatLP3e5BoB90Fkmh13BoMLF8pbXeN0U6WG8i&#10;6DYL8ZnXgW/qyiyY4QVJbf9ynb2e37nVLwAAAP//AwBQSwMEFAAGAAgAAAAhANKIV/HeAAAACAEA&#10;AA8AAABkcnMvZG93bnJldi54bWxMj8FOwzAQRO9I/IO1SNyoXagSCNlUpRIXQKoofIATL0lEvA6x&#10;24a/ZznBZaTVrGbelOvZD+pIU+wDIywXBhRxE1zPLcL72+PVLaiYLDs7BCaEb4qwrs7PSlu4cOJX&#10;Ou5TqySEY2ERupTGQuvYdORtXISRWLyPMHmb5Jxa7SZ7knA/6GtjMu1tz9LQ2ZG2HTWf+4NHyHZN&#10;tklsbrb1S5if291X/dA+IV5ezJt7UInm9PcMv/iCDpUw1eHALqoBIV8Z2ZIQRMXO7/IMVI2wWuYG&#10;dFXq/wOqHwAAAP//AwBQSwECLQAUAAYACAAAACEAtoM4kv4AAADhAQAAEwAAAAAAAAAAAAAAAAAA&#10;AAAAW0NvbnRlbnRfVHlwZXNdLnhtbFBLAQItABQABgAIAAAAIQA4/SH/1gAAAJQBAAALAAAAAAAA&#10;AAAAAAAAAC8BAABfcmVscy8ucmVsc1BLAQItABQABgAIAAAAIQBoufwScwIAAC8FAAAOAAAAAAAA&#10;AAAAAAAAAC4CAABkcnMvZTJvRG9jLnhtbFBLAQItABQABgAIAAAAIQDSiFfx3gAAAAgBAAAPAAAA&#10;AAAAAAAAAAAAAM0EAABkcnMvZG93bnJldi54bWxQSwUGAAAAAAQABADzAAAA2AUAAAAA&#10;" adj="1492" fillcolor="black [3200]" strokecolor="black [1600]" strokeweight="1pt"/>
            </w:pict>
          </mc:Fallback>
        </mc:AlternateContent>
      </w:r>
      <w:r w:rsidR="00863DF5" w:rsidRPr="006F3B00">
        <w:rPr>
          <w:rFonts w:ascii="Times New Roman" w:hAnsi="Times New Roman" w:cs="Times New Roman"/>
          <w:noProof/>
          <w:sz w:val="24"/>
          <w:szCs w:val="24"/>
        </w:rPr>
        <w:drawing>
          <wp:inline distT="0" distB="0" distL="0" distR="0" wp14:anchorId="71E2A732" wp14:editId="6781CCB0">
            <wp:extent cx="4547870" cy="2629208"/>
            <wp:effectExtent l="19050" t="19050" r="4318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5A40BA7" w14:textId="21D16E79" w:rsidR="00863DF5" w:rsidRPr="006F3B00" w:rsidRDefault="00863DF5" w:rsidP="00FF5302">
      <w:pPr>
        <w:spacing w:line="480" w:lineRule="auto"/>
        <w:rPr>
          <w:rFonts w:ascii="Times New Roman" w:hAnsi="Times New Roman" w:cs="Times New Roman"/>
          <w:sz w:val="24"/>
          <w:szCs w:val="24"/>
        </w:rPr>
      </w:pPr>
      <w:r w:rsidRPr="006F3B00">
        <w:rPr>
          <w:rFonts w:ascii="Times New Roman" w:hAnsi="Times New Roman" w:cs="Times New Roman"/>
          <w:b/>
          <w:sz w:val="24"/>
          <w:szCs w:val="24"/>
        </w:rPr>
        <w:t>Figure 1</w:t>
      </w:r>
      <w:r w:rsidR="00BC04B0">
        <w:rPr>
          <w:rFonts w:ascii="Times New Roman" w:hAnsi="Times New Roman" w:cs="Times New Roman"/>
          <w:sz w:val="24"/>
          <w:szCs w:val="24"/>
        </w:rPr>
        <w:t>.</w:t>
      </w:r>
      <w:r w:rsidR="00BC04B0" w:rsidRPr="00BC04B0">
        <w:rPr>
          <w:rFonts w:ascii="Times New Roman" w:hAnsi="Times New Roman" w:cs="Times New Roman"/>
          <w:b/>
          <w:sz w:val="24"/>
          <w:szCs w:val="24"/>
        </w:rPr>
        <w:t>1.</w:t>
      </w:r>
      <w:r w:rsidRPr="006F3B00">
        <w:rPr>
          <w:rFonts w:ascii="Times New Roman" w:hAnsi="Times New Roman" w:cs="Times New Roman"/>
          <w:sz w:val="24"/>
          <w:szCs w:val="24"/>
        </w:rPr>
        <w:t xml:space="preserve"> Miller’s pyram</w:t>
      </w:r>
      <w:r w:rsidRPr="00941830">
        <w:rPr>
          <w:rFonts w:ascii="Times New Roman" w:hAnsi="Times New Roman" w:cs="Times New Roman"/>
          <w:sz w:val="24"/>
          <w:szCs w:val="24"/>
        </w:rPr>
        <w:t>id</w:t>
      </w:r>
      <w:r w:rsidRPr="00941830">
        <w:rPr>
          <w:rFonts w:ascii="Times New Roman" w:hAnsi="Times New Roman" w:cs="Times New Roman"/>
          <w:sz w:val="24"/>
          <w:szCs w:val="24"/>
        </w:rPr>
        <w:fldChar w:fldCharType="begin" w:fldLock="1"/>
      </w:r>
      <w:r w:rsidR="00BE3B6C" w:rsidRPr="00941830">
        <w:rPr>
          <w:rFonts w:ascii="Times New Roman" w:hAnsi="Times New Roman" w:cs="Times New Roman"/>
          <w:sz w:val="24"/>
          <w:szCs w:val="24"/>
        </w:rPr>
        <w:instrText>ADDIN CSL_CITATION {"citationItems":[{"id":"ITEM-1","itemData":{"DOI":"10.1097/00001888-199009000-00045","ISBN":"1040-2446","ISSN":"1040-2446","PMID":"2400509","abstract":"No abstract available. (C) 1990 Association of American Medical Colleges","author":[{"dropping-particle":"","family":"Miller","given":"G E","non-dropping-particle":"","parse-names":false,"suffix":""}],"container-title":"Academic medicine : journal of the Association of American Medical Colleges","id":"ITEM-1","issue":"9 Suppl","issued":{"date-parts":[["1990"]]},"page":"S63-S67","title":"The assessment of clinical skills/competence/performance.","type":"article-journal","volume":"65"},"uris":["http://www.mendeley.com/documents/?uuid=447d45d0-ad29-4bd1-9a84-9d8055604fd3"]}],"mendeley":{"formattedCitation":"(Miller, 1990)","manualFormatting":" (G. E. Miller 1990)","plainTextFormattedCitation":"(Miller, 1990)","previouslyFormattedCitation":"(G. E. Miller 1990)"},"properties":{"noteIndex":0},"schema":"https://github.com/citation-style-language/schema/raw/master/csl-citation.json"}</w:instrText>
      </w:r>
      <w:r w:rsidRPr="00941830">
        <w:rPr>
          <w:rFonts w:ascii="Times New Roman" w:hAnsi="Times New Roman" w:cs="Times New Roman"/>
          <w:sz w:val="24"/>
          <w:szCs w:val="24"/>
        </w:rPr>
        <w:fldChar w:fldCharType="separate"/>
      </w:r>
      <w:r w:rsidR="0062633C" w:rsidRPr="00941830">
        <w:rPr>
          <w:rFonts w:ascii="Times New Roman" w:hAnsi="Times New Roman" w:cs="Times New Roman"/>
          <w:noProof/>
          <w:sz w:val="24"/>
          <w:szCs w:val="24"/>
        </w:rPr>
        <w:t xml:space="preserve"> </w:t>
      </w:r>
      <w:r w:rsidR="00941830" w:rsidRPr="00941830">
        <w:rPr>
          <w:rFonts w:ascii="Times New Roman" w:hAnsi="Times New Roman" w:cs="Times New Roman"/>
          <w:noProof/>
          <w:sz w:val="24"/>
          <w:szCs w:val="24"/>
        </w:rPr>
        <w:t>(</w:t>
      </w:r>
      <w:r w:rsidR="00DB0BC8" w:rsidRPr="00941830">
        <w:rPr>
          <w:rFonts w:ascii="Times New Roman" w:hAnsi="Times New Roman" w:cs="Times New Roman"/>
          <w:noProof/>
          <w:sz w:val="24"/>
          <w:szCs w:val="24"/>
        </w:rPr>
        <w:t>Miller 1990)</w:t>
      </w:r>
      <w:r w:rsidRPr="00941830">
        <w:rPr>
          <w:rFonts w:ascii="Times New Roman" w:hAnsi="Times New Roman" w:cs="Times New Roman"/>
          <w:sz w:val="24"/>
          <w:szCs w:val="24"/>
        </w:rPr>
        <w:fldChar w:fldCharType="end"/>
      </w:r>
      <w:r w:rsidR="00941830">
        <w:rPr>
          <w:rFonts w:ascii="Times New Roman" w:hAnsi="Times New Roman" w:cs="Times New Roman"/>
          <w:sz w:val="24"/>
          <w:szCs w:val="24"/>
        </w:rPr>
        <w:t>.</w:t>
      </w:r>
    </w:p>
    <w:p w14:paraId="715FE918" w14:textId="379EB5BD" w:rsidR="00863DF5" w:rsidRPr="006F3B00" w:rsidRDefault="00863DF5" w:rsidP="00863DF5">
      <w:pPr>
        <w:autoSpaceDE w:val="0"/>
        <w:autoSpaceDN w:val="0"/>
        <w:adjustRightInd w:val="0"/>
        <w:spacing w:after="0" w:line="480" w:lineRule="auto"/>
        <w:rPr>
          <w:rStyle w:val="apple-converted-space"/>
          <w:rFonts w:ascii="Times New Roman" w:hAnsi="Times New Roman" w:cs="Times New Roman"/>
          <w:color w:val="FF0000"/>
          <w:sz w:val="24"/>
          <w:szCs w:val="24"/>
        </w:rPr>
      </w:pPr>
      <w:r w:rsidRPr="006F3B00">
        <w:rPr>
          <w:rFonts w:ascii="Times New Roman" w:hAnsi="Times New Roman" w:cs="Times New Roman"/>
          <w:sz w:val="24"/>
          <w:szCs w:val="24"/>
        </w:rPr>
        <w:t xml:space="preserve">Thus practical experience increases and is augmented with existing skills and knowledge, eventually reaching “knowledge-based practice” theorised by Ramussen over 20 years ago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{"citationItems":[{"id":"ITEM-1","itemData":{"DOI":"10.1109/TSMC.1983.6313160","ISBN":"0018-9472","ISSN":"21682909","PMID":"11866201","abstract":"The introduction of information technology based on digital computers for the design of man-machine interface systems has led to a requirement for consistent models of human performance in routine task environments and during unfamiliar task conditions. A discussion is presented of the requirement for different types of models for representing performance at the skill-, rule-, and knowledge-based levels, together with a review of the different levels in terms of signals, signs, and symbols. Particular attention is paid to the different possible ways of representing system properties which underlie knowledge-based performance and which can be characterised at several levels of abstraction-from the representation of physical form, through functional representation, to representation in terms of intention or purpose. Furthermore, the role of qualitative and quantitative models in the design and evaluation of interface systems is mentioned, and the need to consider such distinctions carefully is discussed.","author":[{"dropping-particle":"","family":"Rasmussen","given":"Jens","non-dropping-particle":"","parse-names":false,"suffix":""}],"container-title":"IEEE Transactions on Systems, Man and Cybernetics","id":"ITEM-1","issue":"3","issued":{"date-parts":[["1983"]]},"page":"257-266","title":"Skills, Rules, and Knowledge; Signals, Signs, and Symbols, and Other Distinctions in Human Performance Models","type":"article-journal","volume":"SMC-13"},"uris":["http://www.mendeley.com/documents/?uuid=4dc6d959-658b-430a-9506-b213ff4ace4d"]}],"mendeley":{"formattedCitation":"(Rasmussen, 1983)","plainTextFormattedCitation":"(Rasmussen, 1983)","previouslyFormattedCitation":"(Rasmussen 1983)"},"properties":{"noteIndex":0},"schema":"https://github.com/citation-style-language/schema/raw/master/csl-citation.json"}</w:instrText>
      </w:r>
      <w:r w:rsidRPr="006F3B00">
        <w:rPr>
          <w:rFonts w:ascii="Times New Roman" w:hAnsi="Times New Roman" w:cs="Times New Roman"/>
          <w:sz w:val="24"/>
          <w:szCs w:val="24"/>
        </w:rPr>
        <w:fldChar w:fldCharType="separate"/>
      </w:r>
      <w:r w:rsidR="00EC13DC">
        <w:rPr>
          <w:rFonts w:ascii="Times New Roman" w:hAnsi="Times New Roman" w:cs="Times New Roman"/>
          <w:noProof/>
          <w:sz w:val="24"/>
          <w:szCs w:val="24"/>
        </w:rPr>
        <w:t>(Rasmussen</w:t>
      </w:r>
      <w:r w:rsidR="00BE3B6C" w:rsidRPr="00BE3B6C">
        <w:rPr>
          <w:rFonts w:ascii="Times New Roman" w:hAnsi="Times New Roman" w:cs="Times New Roman"/>
          <w:noProof/>
          <w:sz w:val="24"/>
          <w:szCs w:val="24"/>
        </w:rPr>
        <w:t xml:space="preserve"> 1983)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.Rasmussen described situations where decisions have to be made even when not all the necessary information is available-a situation often encountered in medicine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{"citationItems":[{"id":"ITEM-1","itemData":{"DOI":"10.1109/TSMC.1983.6313160","ISBN":"0018-9472","ISSN":"21682909","PMID":"11866201","abstract":"The introduction of information technology based on digital computers for the design of man-machine interface systems has led to a requirement for consistent models of human performance in routine task environments and during unfamiliar task conditions. A discussion is presented of the requirement for different types of models for representing performance at the skill-, rule-, and knowledge-based levels, together with a review of the different levels in terms of signals, signs, and symbols. Particular attention is paid to the different possible ways of representing system properties which underlie knowledge-based performance and which can be characterised at several levels of abstraction-from the representation of physical form, through functional representation, to representation in terms of intention or purpose. Furthermore, the role of qualitative and quantitative models in the design and evaluation of interface systems is mentioned, and the need to consider such distinctions carefully is discussed.","author":[{"dropping-particle":"","family":"Rasmussen","given":"Jens","non-dropping-particle":"","parse-names":false,"suffix":""}],"container-title":"IEEE Transactions on Systems, Man and Cybernetics","id":"ITEM-1","issue":"3","issued":{"date-parts":[["1983"]]},"page":"257-266","title":"Skills, Rules, and Knowledge; Signals, Signs, and Symbols, and Other Distinctions in Human Performance Models","type":"article-journal","volume":"SMC-13"},"uris":["http://www.mendeley.com/documents/?uuid=4dc6d959-658b-430a-9506-b213ff4ace4d"]}],"mendeley":{"formattedCitation":"(Rasmussen, 1983)","plainTextFormattedCitation":"(Rasmussen, 1983)","previouslyFormattedCitation":"(Rasmussen 1983)"},"properties":{"noteIndex":0},"schema":"https://github.com/citation-style-language/schema/raw/master/csl-citation.json"}</w:instrText>
      </w:r>
      <w:r w:rsidRPr="006F3B00">
        <w:rPr>
          <w:rFonts w:ascii="Times New Roman" w:hAnsi="Times New Roman" w:cs="Times New Roman"/>
          <w:sz w:val="24"/>
          <w:szCs w:val="24"/>
        </w:rPr>
        <w:fldChar w:fldCharType="separate"/>
      </w:r>
      <w:r w:rsidR="00EC13DC">
        <w:rPr>
          <w:rFonts w:ascii="Times New Roman" w:hAnsi="Times New Roman" w:cs="Times New Roman"/>
          <w:noProof/>
          <w:sz w:val="24"/>
          <w:szCs w:val="24"/>
        </w:rPr>
        <w:t>(Rasmussen</w:t>
      </w:r>
      <w:r w:rsidR="00BE3B6C" w:rsidRPr="00BE3B6C">
        <w:rPr>
          <w:rFonts w:ascii="Times New Roman" w:hAnsi="Times New Roman" w:cs="Times New Roman"/>
          <w:noProof/>
          <w:sz w:val="24"/>
          <w:szCs w:val="24"/>
        </w:rPr>
        <w:t xml:space="preserve"> 1983)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He argued that in practical tasks, skills are acquired first before the full knowledge relating to the skill has been learnt. Over time, experience is gained from using these skills and augmented with knowledge, such that the individual would eventually reach “knowledge based practice” which is the highest level. Long has quoted Rasmussen’s theory as forming the basis for competency based training in medicine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{"citationItems":[{"id":"ITEM-1","itemData":{"DOI":"10.1097/00001888-200012000-00009","ISBN":"1040-2446 (Print)\\r1040-2446 (Linking)","ISSN":"10402446","PMID":"11112714","abstract":"The goal of all graduate medical education is to ensure that the graduating physician is competent to practice in his or her chosen field of medicine. The evaluation of a resident’s competency to practice, however, has never been clearly defined, nor has the fixed period of time given for residency training in each specialty been shown to be the right amount of time for each individual resident to achieve competency. To better ensure that new physicians have the competencies they need, the author proposes the replacement of the current approach to residents’ education, which specifies a fixed number of years in training, with competency-based training, in which each resident remains in training until he or she has been shown to have the required knowledge and skills and can apply them independently. Such programs, in addition to tailoring the training time to each individual, would make it possible to devise and test schemes to evaluate competency more surely than is now possible. The author reviews the basis of traditional residency training and the problems with the current training approach, both its fixed amount of time for training and the uncertainty of the methods of evaluation used. He then explains competency-based residency education, notes that it is possible, indeed probable, that some trainees will become competent considerably sooner than they would in the current required years of training, quotes a study in which this was the case, and explains the implications. He describes the encouraging experience of his neurosurgery department, which has used competency-based training for its residents since 1994. He then discusses issues of demonstrating competency in procedural and nonprocedural fields, as well as the evaluation of competency in traditional and competency-based training, emphasizing that the latter approach offers hope for better ways of assessing competency. Acad. Med. 2000;75:1178–1183.","author":[{"dropping-particle":"","family":"Long","given":"D. M.","non-dropping-particle":"","parse-names":false,"suffix":""}],"container-title":"Academic Medicine","id":"ITEM-1","issue":"12","issued":{"date-parts":[["2000"]]},"page":"1178-1183","title":"Competency-based residency training: The next advance in graduate medical education","type":"article-journal","volume":"75"},"uris":["http://www.mendeley.com/documents/?uuid=b71e91c0-09ff-43fe-b588-83d957bea315","http://www.mendeley.com/documents/?uuid=afcfecc9-9ff7-471f-8de5-a46be1f3e4a2"]}],"mendeley":{"formattedCitation":"(D. M. Long, 2000)","plainTextFormattedCitation":"(D. M. Long, 2000)","previouslyFormattedCitation":"(D. M. Long 2000)"},"properties":{"noteIndex":0},"schema":"https://github.com/citation-style-language/schema/raw/master/csl-citation.json"}</w:instrText>
      </w:r>
      <w:r w:rsidRPr="006F3B00">
        <w:rPr>
          <w:rFonts w:ascii="Times New Roman" w:hAnsi="Times New Roman" w:cs="Times New Roman"/>
          <w:sz w:val="24"/>
          <w:szCs w:val="24"/>
        </w:rPr>
        <w:fldChar w:fldCharType="separate"/>
      </w:r>
      <w:r w:rsidR="00EC13DC">
        <w:rPr>
          <w:rFonts w:ascii="Times New Roman" w:hAnsi="Times New Roman" w:cs="Times New Roman"/>
          <w:noProof/>
          <w:sz w:val="24"/>
          <w:szCs w:val="24"/>
        </w:rPr>
        <w:t>(Long</w:t>
      </w:r>
      <w:r w:rsidR="00BE3B6C" w:rsidRPr="00BE3B6C">
        <w:rPr>
          <w:rFonts w:ascii="Times New Roman" w:hAnsi="Times New Roman" w:cs="Times New Roman"/>
          <w:noProof/>
          <w:sz w:val="24"/>
          <w:szCs w:val="24"/>
        </w:rPr>
        <w:t xml:space="preserve"> 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r w:rsidRPr="006F3B00">
        <w:rPr>
          <w:rStyle w:val="apple-converted-space"/>
          <w:rFonts w:ascii="Times New Roman" w:hAnsi="Times New Roman" w:cs="Times New Roman"/>
          <w:sz w:val="24"/>
          <w:szCs w:val="24"/>
        </w:rPr>
        <w:t xml:space="preserve">  However, it could be argued that Rasmussen’s theory lends itself to more practical fields such as surgery, rather than the work of a pathologist. For instance, the skill of making a diagnosis cannot be acquired before all </w:t>
      </w:r>
      <w:r w:rsidRPr="006F3B00">
        <w:rPr>
          <w:rStyle w:val="apple-converted-space"/>
          <w:rFonts w:ascii="Times New Roman" w:hAnsi="Times New Roman" w:cs="Times New Roman"/>
          <w:sz w:val="24"/>
          <w:szCs w:val="24"/>
        </w:rPr>
        <w:lastRenderedPageBreak/>
        <w:t>the knowledge has been acquired, as one would be ignorant to the range and depth of possible pathological diagnoses and come to an erroneous conclusion.</w:t>
      </w:r>
    </w:p>
    <w:p w14:paraId="077E3F59"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1150F61A" w14:textId="17638B13"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Performance and competence have been conceptualised in the literature as being different, whereby competence is what a person is capable of in ideal circumstances whereas performance is how that competence is affected by the environment or motivation of the individual to succeed at the task at hand. However, many examinations assess this underlying competence (in the ideal environment), as otherwise it could be argued that the environment was not consistent between individuals and the test considered unfair</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{"citationItems":[{"id":"ITEM-1","itemData":{"ISSN":"10913734","PMID":"2000051797","abstract":"Performance in nursing, both in service and education, has been an activity that evokes feelings of apprehension and fear of failure. The service area is mandated by Joint Commission to evaluate competency of clinicians for safe practice and schools of nursing have a similar mandate to graduate students that are safe clinicians. The transition of process evaluation to a competency-based assessment system in both service and education sectors is threatening to the stakeholders who are managers, staff, faculty, and students. This article explores the various dimensions of threats to stakeholders, the investment of the stakeholders, and strategies that can be used to protect the stakeholders' investment. (C) 1999 Online Journal of Issues in Nursing Article published Sept. 30, 1999","author":[{"dropping-particle":"","family":"Bargagliotti","given":"Toni","non-dropping-particle":"","parse-names":false,"suffix":""}],"container-title":"Online Journal of Issues in …","id":"ITEM-1","issue":"2","issued":{"date-parts":[["1999"]]},"page":"1-10","title":"Reducing Threats to the Implementation of a Competency-Based Performance Assessment System","type":"article-journal","volume":"4"},"uris":["http://www.mendeley.com/documents/?uuid=6ef2b00c-3c0a-4a6a-ad01-4f408df24197"]}],"mendeley":{"formattedCitation":"(Bargagliotti, 1999)","plainTextFormattedCitation":"(Bargagliotti, 1999)","previouslyFormattedCitation":"(Bargagliotti 1999)"},"properties":{"noteIndex":0},"schema":"https://github.com/citation-style-language/schema/raw/master/csl-citation.json"}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(Bar</w:t>
      </w:r>
      <w:r w:rsidR="00EC13DC">
        <w:rPr>
          <w:rFonts w:ascii="Times New Roman" w:hAnsi="Times New Roman" w:cs="Times New Roman"/>
          <w:noProof/>
          <w:sz w:val="24"/>
          <w:szCs w:val="24"/>
        </w:rPr>
        <w:t>gagliotti</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r w:rsidR="00FE410F">
        <w:rPr>
          <w:rFonts w:ascii="Times New Roman" w:hAnsi="Times New Roman" w:cs="Times New Roman"/>
          <w:sz w:val="24"/>
          <w:szCs w:val="24"/>
        </w:rPr>
        <w:t xml:space="preserve"> But what about when the trainee</w:t>
      </w:r>
      <w:r w:rsidRPr="006F3B00">
        <w:rPr>
          <w:rFonts w:ascii="Times New Roman" w:hAnsi="Times New Roman" w:cs="Times New Roman"/>
          <w:sz w:val="24"/>
          <w:szCs w:val="24"/>
        </w:rPr>
        <w:t xml:space="preserve"> enters the real workplace-can they still function to the required level? This underlying competence is akin to “knows” in Miller’s pyramid whereas performance relates to the highest level of the pyramid, “does”</w:t>
      </w:r>
      <w:r w:rsidR="00EC13D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{"citationItems":[{"id":"ITEM-1","itemData":{"DOI":"10.1097/00001888-199009000-00045","ISBN":"1040-2446","ISSN":"1040-2446","PMID":"2400509","abstract":"No abstract available. (C) 1990 Association of American Medical Colleges","author":[{"dropping-particle":"","family":"Miller","given":"G E","non-dropping-particle":"","parse-names":false,"suffix":""}],"container-title":"Academic medicine : journal of the Association of American Medical Colleges","id":"ITEM-1","issue":"9 Suppl","issued":{"date-parts":[["1990"]]},"page":"S63-S67","title":"The assessment of clinical skills/competence/performance.","type":"article-journal","volume":"65"},"uris":["http://www.mendeley.com/documents/?uuid=447d45d0-ad29-4bd1-9a84-9d8055604fd3"]}],"mendeley":{"formattedCitation":"(Miller, 1990)","plainTextFormattedCitation":"(Miller, 1990)","previouslyFormattedCitation":"(G. E. Miller 1990)"},"properties":{"noteIndex":0},"schema":"https://github.com/citation-style-language/schema/raw/master/csl-citation.json"}</w:instrText>
      </w:r>
      <w:r w:rsidRPr="006F3B00">
        <w:rPr>
          <w:rFonts w:ascii="Times New Roman" w:hAnsi="Times New Roman" w:cs="Times New Roman"/>
          <w:sz w:val="24"/>
          <w:szCs w:val="24"/>
        </w:rPr>
        <w:fldChar w:fldCharType="separate"/>
      </w:r>
      <w:r w:rsidR="00EC13DC">
        <w:rPr>
          <w:rFonts w:ascii="Times New Roman" w:hAnsi="Times New Roman" w:cs="Times New Roman"/>
          <w:noProof/>
          <w:sz w:val="24"/>
          <w:szCs w:val="24"/>
        </w:rPr>
        <w:t>(Miller</w:t>
      </w:r>
      <w:r w:rsidR="00BE3B6C" w:rsidRPr="00BE3B6C">
        <w:rPr>
          <w:rFonts w:ascii="Times New Roman" w:hAnsi="Times New Roman" w:cs="Times New Roman"/>
          <w:noProof/>
          <w:sz w:val="24"/>
          <w:szCs w:val="24"/>
        </w:rPr>
        <w:t xml:space="preserve"> 1990)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and being able to “do” something under less than perfect conditions. Employers and the general public are more interested in an individual’s performance rather than their ability to just pass exams and this view is in alignment with the two main reasons for assessing competency: certification and fitness to practice. </w:t>
      </w:r>
    </w:p>
    <w:p w14:paraId="69FE02D5"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50BF98D8" w14:textId="6E1AD62D"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Competence is a reflection of what one does when one is being watched, under ideal conditions, where one might feel challenged to demonstrate their exemplary knowledge, skills and attitudes. Performance, however, deals with how a trainee performs in the workplace when the degree of observation and control over external factors is less rigorous. A trainee may be competent but incapable of a competent performance when conditions are not ideal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{"citationItems":[{"id":"ITEM-1","itemData":{"DOI":"10.3109/13561829809014100","ISBN":"13561820","ISSN":"1356-1820","abstract":"An analysis of everyday use of the term ‘competence' is followed by a literature review. Some authors treat competence as a socially situated concept—the ability to perform tasks and roles to the expected standard—leaving its precise meaning to be negotiated by stakeholders in a macro-or micro-political context. Others treat competence as individually situated, a personal capability or characteristic. This latter concept is labelled ‘capability' and its vital relationship with socially-defined Competence is analysed. The importance for practice of representations of competence and for professional preparation of models of capability is discussed.","author":[{"dropping-particle":"","family":"Eraut","given":"Michael","non-dropping-particle":"","parse-names":false,"suffix":""}],"container-title":"Journal of Interprofessional Care","id":"ITEM-1","issue":"2","issued":{"date-parts":[["1998"]]},"page":"127-139","title":"Concepts of competence","type":"article-journal","volume":"12"},"uris":["http://www.mendeley.com/documents/?uuid=4fa4866c-689f-49c3-b4cf-4babe9efa705"]},{"id":"ITEM-2","itemData":{"DOI":"10.1046/j.1365-2923.2002.01316.x","ISBN":"0308-0110","ISSN":"03080110","PMID":"12390456","abstract":"OBJECTIVE: This paper aims to describe current views of the relationship between competence and performance and to delineate some of the implications of the distinctions between the two areas for the purpose of assessing doctors in practice. METHODS: During a 2-day closed session, the authors, using their wide experiences in this domain, defined the problem and the context, discussed the content and set up a new model. This was developed further by e-mail correspondence over a 6-month period. RESULTS: Competency-based assessments were defined as measures of what doctors do in testing situations, while performance-based assessments were defined as measures of what doctors do in practice. The distinction between competency-based and performance-based methods leads to a three-stage model for assessing doctors in practice. The first component of the model proposed is a screening test that would identify doctors at risk. Practitioners who 'pass' the screen would move on to a continuous quality improvement process aimed at raising the general level of performance. Practitioners deemed to be at risk would undergo a more detailed assessment process focused on rigorous testing, with poor performers targeted for remediation or removal from practice. CONCLUSION: We propose a new model, designated the Cambridge Model, which extends and refines Miller's pyramid. It inverts his pyramid, focuses exclusively on the top two tiers, and identifies performance as a product of competence, the influences of the individual (e.g. health, relationships), and the influences of the system (e.g. facilities, practice time). The model provides a basis for understanding and designing assessments of practice performance.","author":[{"dropping-particle":"","family":"Rethans","given":"J. J.","non-dropping-particle":"","parse-names":false,"suffix":""},{"dropping-particle":"","family":"Norcini","given":"J. J.","non-dropping-particle":"","parse-names":false,"suffix":""},{"dropping-particle":"","family":"Barón-Maldonado","given":"M.","non-dropping-particle":"","parse-names":false,"suffix":""},{"dropping-particle":"","family":"Blackmore","given":"D.","non-dropping-particle":"","parse-names":false,"suffix":""},{"dropping-particle":"","family":"Jolly","given":"B. C.","non-dropping-particle":"","parse-names":false,"suffix":""},{"dropping-particle":"","family":"LaDuca","given":"T.","non-dropping-particle":"","parse-names":false,"suffix":""},{"dropping-particle":"","family":"Lew","given":"S.","non-dropping-particle":"","parse-names":false,"suffix":""},{"dropping-particle":"","family":"Page","given":"G. G.","non-dropping-particle":"","parse-names":false,"suffix":""},{"dropping-particle":"","family":"Southgate","given":"L. H.","non-dropping-particle":"","parse-names":false,"suffix":""}],"container-title":"Medical Education","id":"ITEM-2","issue":"10","issued":{"date-parts":[["2002"]]},"page":"901-909","title":"The relationship between competence and performance: Implications for assessing practice performance","type":"article-journal","volume":"36"},"uris":["http://www.mendeley.com/documents/?uuid=3524d628-ff61-410d-b3e0-cfd7e5128430"]},{"id":"ITEM-3","itemData":{"DOI":"10.1046/j.1365-2923.2002.01313.x","ISBN":"0308-0110 (Print)","ISSN":"03080110","PMID":"12390459","abstract":"INTRODUCTION: An essential element of practice performance assessment involves combining the results of various procedures in order to see the whole picture. This must be derived from both objective and subjective assessment, as well as a combination of quantitative and qualitative assessment procedures. Because of the severe consequences an assessment of practice performance may have, it is essential that the procedure is both defensible to the stakeholders and fair in that it distinguishes well between good performers and underperformers. LESSONS FROM COMPETENCE ASSESSMENT: Large samples of behaviour are always necessary because of the domain specificity of competence and performance. The test content is considerably more important in determining which competency is being measured than the test format, and it is important to recognise that the process of problem-solving process is more idiosyncratic than its outcome. It is advisable to add some structure to the assessment but to refrain from over-structuring, as this tends to trivialise the measurement. IMPLICATIONS FOR PRACTICE PERFORMANCE ASSESSMENT: A practice performance assessment should use multiple instruments. The reproducibility of subjective parts should not be increased by over-structuring, but by sampling through sources of bias. As many sources of bias may exist, sampling through all of them may not prove feasible. Therefore, a more project-orientated approach is suggested using a range of instruments. At various timepoints during any assessment with a particular instrument, questions should be raised as to whether the sampling is sufficient with respect to the quantity and quality of the observations, and whether the totality of assessments across instruments is sufficient to see 'the whole picture'. This policy is embedded within a larger organisational and health care context.","author":[{"dropping-particle":"","family":"Schuwirth","given":"L. W T","non-dropping-particle":"","parse-names":false,"suffix":""},{"dropping-particle":"","family":"Southgate","given":"L.","non-dropping-particle":"","parse-names":false,"suffix":""},{"dropping-particle":"","family":"Page","given":"G. G.","non-dropping-particle":"","parse-names":false,"suffix":""},{"dropping-particle":"","family":"Paget","given":"N. S.","non-dropping-particle":"","parse-names":false,"suffix":""},{"dropping-particle":"","family":"Lescop","given":"J. M J","non-dropping-particle":"","parse-names":false,"suffix":""},{"dropping-particle":"","family":"Lew","given":"S. R.","non-dropping-particle":"","parse-names":false,"suffix":""},{"dropping-particle":"","family":"Wade","given":"W. B.","non-dropping-particle":"","parse-names":false,"suffix":""},{"dropping-particle":"","family":"Barón-Maldonado","given":"M.","non-dropping-particle":"","parse-names":false,"suffix":""}],"container-title":"Medical Education","id":"ITEM-3","issue":"10","issued":{"date-parts":[["2002"]]},"page":"925-930","title":"When enough is enough: A conceptual basis for fair and defensible practice performance assessment","type":"paper-conference","volume":"36"},"uris":["http://www.mendeley.com/documents/?uuid=ed7854d7-6edc-4491-b9b4-823eb3694be2"]}],"mendeley":{"formattedCitation":"(Eraut, 1998; Rethans &lt;i&gt;et al.&lt;/i&gt;, 2002a; Schuwirth &lt;i&gt;et al.&lt;/i&gt;, 2002)","plainTextFormattedCitation":"(Eraut, 1998; Rethans et al., 2002a; Schuwirth et al., 2002)","previouslyFormattedCitation":"(Eraut 1998; Rethans et al. 2002a; L. W. T. Schuwirth et al. 2002)"},"properties":{"noteIndex":0},"schema":"https://github.com/citation-style-language/schema/raw/master/csl-citation.json"}</w:instrText>
      </w:r>
      <w:r w:rsidRPr="006F3B00">
        <w:rPr>
          <w:rFonts w:ascii="Times New Roman" w:hAnsi="Times New Roman" w:cs="Times New Roman"/>
          <w:sz w:val="24"/>
          <w:szCs w:val="24"/>
        </w:rPr>
        <w:fldChar w:fldCharType="separate"/>
      </w:r>
      <w:r w:rsidR="00EC13DC">
        <w:rPr>
          <w:rFonts w:ascii="Times New Roman" w:hAnsi="Times New Roman" w:cs="Times New Roman"/>
          <w:noProof/>
          <w:sz w:val="24"/>
          <w:szCs w:val="24"/>
        </w:rPr>
        <w:t>(Eraut</w:t>
      </w:r>
      <w:r w:rsidR="00BE3B6C" w:rsidRPr="00BE3B6C">
        <w:rPr>
          <w:rFonts w:ascii="Times New Roman" w:hAnsi="Times New Roman" w:cs="Times New Roman"/>
          <w:noProof/>
          <w:sz w:val="24"/>
          <w:szCs w:val="24"/>
        </w:rPr>
        <w:t xml:space="preserve"> 1998; Rethans </w:t>
      </w:r>
      <w:r w:rsidR="00BE3B6C" w:rsidRPr="00EC13DC">
        <w:rPr>
          <w:rFonts w:ascii="Times New Roman" w:hAnsi="Times New Roman" w:cs="Times New Roman"/>
          <w:noProof/>
          <w:sz w:val="24"/>
          <w:szCs w:val="24"/>
        </w:rPr>
        <w:t>et al.</w:t>
      </w:r>
      <w:r w:rsidR="00EC13DC" w:rsidRPr="00EC13DC">
        <w:rPr>
          <w:rFonts w:ascii="Times New Roman" w:hAnsi="Times New Roman" w:cs="Times New Roman"/>
          <w:noProof/>
          <w:sz w:val="24"/>
          <w:szCs w:val="24"/>
        </w:rPr>
        <w:t xml:space="preserve"> 2002</w:t>
      </w:r>
      <w:r w:rsidR="00BE3B6C" w:rsidRPr="00EC13DC">
        <w:rPr>
          <w:rFonts w:ascii="Times New Roman" w:hAnsi="Times New Roman" w:cs="Times New Roman"/>
          <w:noProof/>
          <w:sz w:val="24"/>
          <w:szCs w:val="24"/>
        </w:rPr>
        <w:t xml:space="preserve">; Schuwirth et al. </w:t>
      </w:r>
      <w:r w:rsidR="00BE3B6C" w:rsidRPr="00BE3B6C">
        <w:rPr>
          <w:rFonts w:ascii="Times New Roman" w:hAnsi="Times New Roman" w:cs="Times New Roman"/>
          <w:noProof/>
          <w:sz w:val="24"/>
          <w:szCs w:val="24"/>
        </w:rPr>
        <w:t>2002)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Furthermore, factors such as anxiety stemming from knowing you might be assessed, or </w:t>
      </w:r>
      <w:r w:rsidRPr="006F3B00">
        <w:rPr>
          <w:rFonts w:ascii="Times New Roman" w:hAnsi="Times New Roman" w:cs="Times New Roman"/>
          <w:sz w:val="24"/>
          <w:szCs w:val="24"/>
        </w:rPr>
        <w:lastRenderedPageBreak/>
        <w:t>altering your behaviour for the simple reason that you know “at some point” you might be assessed, is not likely to be representative of how a trainee would perform in the real world. Assessments should actu</w:t>
      </w:r>
      <w:r w:rsidR="00FE410F">
        <w:rPr>
          <w:rFonts w:ascii="Times New Roman" w:hAnsi="Times New Roman" w:cs="Times New Roman"/>
          <w:sz w:val="24"/>
          <w:szCs w:val="24"/>
        </w:rPr>
        <w:t>ally focus on equipping trainees</w:t>
      </w:r>
      <w:r w:rsidRPr="006F3B00">
        <w:rPr>
          <w:rFonts w:ascii="Times New Roman" w:hAnsi="Times New Roman" w:cs="Times New Roman"/>
          <w:sz w:val="24"/>
          <w:szCs w:val="24"/>
        </w:rPr>
        <w:t xml:space="preserve"> with the skills which will encourage them to continue to learn, adapt and respond to the real working environment</w:t>
      </w:r>
      <w:r w:rsidR="00EC13D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{"citationItems":[{"id":"ITEM-1","itemData":{"DOI":"10.1111/j.1556-4029.2010.01328.x","ISBN":"1449-9789","ISSN":"14499789","abstract":"This paper offers a medical-education perspective that I will hope complement other disciplinary perspectives in examining the value of reflection for learning in tertiary education. The paper outlines some of the theoretical strands of reflective practice facilitated in a unique course subject for professionalism and patient safety, within the new spiral curriculum at Leeds University School of Medicine. The material presented in this paper outlines some of what is delivered during the medical students' interactive sessions; this material is continually modified based on feedback from both students and learning facilitators. The paper discusses why both students and clinicians need to reflect, some of the theoretical dimensions and models and examples from the Leeds context of how reflective competence can be progressively developed over the course of an undergraduate program.","author":[{"dropping-particle":"","family":"Hargreaves","given":"K.","non-dropping-particle":"","parse-names":false,"suffix":""}],"container-title":"Journal of University Teaching and Learning","id":"ITEM-1","issue":"2","issued":{"date-parts":[["2016"]]},"page":"6","title":"Reflection in Medical Education.","type":"article-journal","volume":"13"},"uris":["http://www.mendeley.com/documents/?uuid=dfcdbf92-8b37-40e7-902b-2f763b467e16"]}],"mendeley":{"formattedCitation":"(Hargreaves, 2016)","plainTextFormattedCitation":"(Hargreaves, 2016)","previouslyFormattedCitation":"(Hargreaves 2016)"},"properties":{"noteIndex":0},"schema":"https://github.com/citation-style-language/schema/raw/master/csl-citation.json"}</w:instrText>
      </w:r>
      <w:r w:rsidRPr="006F3B00">
        <w:rPr>
          <w:rFonts w:ascii="Times New Roman" w:hAnsi="Times New Roman" w:cs="Times New Roman"/>
          <w:sz w:val="24"/>
          <w:szCs w:val="24"/>
        </w:rPr>
        <w:fldChar w:fldCharType="separate"/>
      </w:r>
      <w:r w:rsidR="00EC13DC">
        <w:rPr>
          <w:rFonts w:ascii="Times New Roman" w:hAnsi="Times New Roman" w:cs="Times New Roman"/>
          <w:noProof/>
          <w:sz w:val="24"/>
          <w:szCs w:val="24"/>
        </w:rPr>
        <w:t>(Hargreaves</w:t>
      </w:r>
      <w:r w:rsidR="00BE3B6C" w:rsidRPr="00BE3B6C">
        <w:rPr>
          <w:rFonts w:ascii="Times New Roman" w:hAnsi="Times New Roman" w:cs="Times New Roman"/>
          <w:noProof/>
          <w:sz w:val="24"/>
          <w:szCs w:val="24"/>
        </w:rPr>
        <w:t xml:space="preserve"> 2016)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A competent performance would encompass the necessary knowledge, skills and personal qualities one might expect as well as the ability to adapt, continue to learn and remain safe. Professional competence is not just a set of unrelated competencies joined together, it is the ability to adapt and respond to environmental factors</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{"citationItems":[{"id":"ITEM-1","itemData":{"DOI":"10.1001/jama.287.2.226","ISBN":"0098-7484 (Print)","ISSN":"0098-7484","PMID":"11779266","abstract":"Context Current assessment formats for physicians and trainees reliably test core knowl- edge and basic skills. However, they may underemphasize some important domains of professional medical practice, including interpersonal skills, lifelong learning, pro- fessionalism, and integration of core knowledge into clinical practice. Objectives To propose a definition of professional competence, to review current means for assessing it, and to suggest new approaches to assessment. Data Sources We searched the MEDLINE database from 1966 to 2001 and refer- ence lists of relevant articles for English-language studies of reliability or validity of measures of competence of physicians, medical students, and residents. Study Selection We excluded articles of a purely descriptive nature, duplicate re- ports, reviews, and opinions and position statements, which yielded 195 relevant ci- tations. Data Extraction Data were abstracted by 1 of us (R.M.E.). Quality criteria for in- clusion were broad, given the heterogeneity of interventions, complexity of outcome measures, and paucity of randomized or longitudinal study designs. Data Synthesis We generated an inclusive definition of competence: the habitual and judicious use of communication, knowledge, technical skills, clinical reasoning, emo- tions, values, and reflection in daily practice for the benefit of the individual and the community being served. Aside from protecting the public and limiting access to ad- vanced training, assessments should foster habits of learning and self-reflection and drive institutional change. Subjective, multiple-choice, and standardized patient as- sessments, although reliable, underemphasize important domains of professional com- petence: integration of knowledge and skills, context of care, information manage- ment, teamwork, health systems, and patient-physician relationships. Few assessments observe trainees in real-life situations, incorporate the perspectives of peers and pa- tients, or use measures that predict clinical outcomes. Conclusions In addition to assessments of basic skills, new formats that assess clini- cal reasoning, expert judgment, management of ambiguity, professionalism, time man- agement, learning strategies, and teamwork promise a multidimensional assessment while maintaining adequate reliability and validity. Institutional support, reflection, and mentoring must accompany the development of assessment programs.","author":[{"dropping-particle":"","family":"Epstein","given":"Ronald M","non-dropping-particle":"","parse-names":false,"suffix":""},{"dropping-particle":"","family":"Hundert","given":"Edward M","non-dropping-particle":"","parse-names":false,"suffix":""}],"container-title":"JAMA : the journal of the American Medical Association","id":"ITEM-1","issue":"2","issued":{"date-parts":[["2002"]]},"page":"226-235","title":"Defining and assessing professional competence","type":"article-journal","volume":"287"},"uris":["http://www.mendeley.com/documents/?uuid=693dadfb-d6e5-4adb-884e-ef0bad7dbf60"]}],"mendeley":{"formattedCitation":"(Epstein and Hundert, 2002)","plainTextFormattedCitation":"(Epstein and Hundert, 2002)","previouslyFormattedCitation":"(Epstein and Hundert 2002)"},"properties":{"noteIndex":0},"schema":"https://github.com/citation-style-language/schema/raw/master/csl-citation.json"}</w:instrText>
      </w:r>
      <w:r w:rsidRPr="006F3B00">
        <w:rPr>
          <w:rFonts w:ascii="Times New Roman" w:hAnsi="Times New Roman" w:cs="Times New Roman"/>
          <w:sz w:val="24"/>
          <w:szCs w:val="24"/>
        </w:rPr>
        <w:fldChar w:fldCharType="separate"/>
      </w:r>
      <w:r w:rsidR="00EC13DC">
        <w:rPr>
          <w:rFonts w:ascii="Times New Roman" w:hAnsi="Times New Roman" w:cs="Times New Roman"/>
          <w:noProof/>
          <w:sz w:val="24"/>
          <w:szCs w:val="24"/>
        </w:rPr>
        <w:t>(Epstein and Hundert</w:t>
      </w:r>
      <w:r w:rsidR="00BE3B6C" w:rsidRPr="00BE3B6C">
        <w:rPr>
          <w:rFonts w:ascii="Times New Roman" w:hAnsi="Times New Roman" w:cs="Times New Roman"/>
          <w:noProof/>
          <w:sz w:val="24"/>
          <w:szCs w:val="24"/>
        </w:rPr>
        <w:t xml:space="preserve"> 2002)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Trainees must pass through an educational system that is “future-proofed” such that the trainee can give a performance which would be acceptable upon completion of training and within real work environments and continue to be competent and deliver a competent performance, years after qualifying</w:t>
      </w:r>
      <w:r w:rsidR="00EC13D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{"citationItems":[{"id":"ITEM-1","itemData":{"DOI":"10.1007/s10459-005-2339-8","ISBN":"1382-4996 (Print)\\r1382-4996 (Linking)","ISSN":"13824996","PMID":"15912285","abstract":"In this article, part of the Exemplar series in Advances in Health Sciences Education, we profile the career of Christine McGuire, and capture her perspectives on the status of medical education practice and research. Her career was prototypical of other exemplars in the series--a pathway characterized by serendipity. As an exemplar, her contributions of leadership, scholarship, and innovations have changed the face of medical education. We describe our methods of data collection--literature reviews and in-depth interviews. We provide a portrayal of her career and accomplishments. Finally, we characterize her perspectives on medical eduction, including her views of significant innovations, contributions of professional educators, lessons learned, and needed future efforts.","author":[{"dropping-particle":"","family":"Harris","given":"Ilene B.","non-dropping-particle":"","parse-names":false,"suffix":""},{"dropping-particle":"","family":"Simpson","given":"Deborah","non-dropping-particle":"","parse-names":false,"suffix":""}],"container-title":"Advances in Health Sciences Education","id":"ITEM-1","issue":"1","issued":{"date-parts":[["2005"]]},"page":"65-80","title":"Christine McGuire: At the heart of the maverick measurement maven","type":"article","volume":"10"},"uris":["http://www.mendeley.com/documents/?uuid=30ce8cf8-f71e-4abd-9079-6ddae28c902e"]}],"mendeley":{"formattedCitation":"(Harris and Simpson, 2005)","plainTextFormattedCitation":"(Harris and Simpson, 2005)","previouslyFormattedCitation":"(I. B. Harris and Simpson 2005)"},"properties":{"noteIndex":0},"schema":"https://github.com/citation-style-language/schema/raw/master/csl-citation.json"}</w:instrText>
      </w:r>
      <w:r w:rsidRPr="006F3B00">
        <w:rPr>
          <w:rFonts w:ascii="Times New Roman" w:hAnsi="Times New Roman" w:cs="Times New Roman"/>
          <w:sz w:val="24"/>
          <w:szCs w:val="24"/>
        </w:rPr>
        <w:fldChar w:fldCharType="separate"/>
      </w:r>
      <w:r w:rsidR="00EC13DC">
        <w:rPr>
          <w:rFonts w:ascii="Times New Roman" w:hAnsi="Times New Roman" w:cs="Times New Roman"/>
          <w:noProof/>
          <w:sz w:val="24"/>
          <w:szCs w:val="24"/>
        </w:rPr>
        <w:t>(Harris and Simpson</w:t>
      </w:r>
      <w:r w:rsidR="00BE3B6C" w:rsidRPr="00BE3B6C">
        <w:rPr>
          <w:rFonts w:ascii="Times New Roman" w:hAnsi="Times New Roman" w:cs="Times New Roman"/>
          <w:noProof/>
          <w:sz w:val="24"/>
          <w:szCs w:val="24"/>
        </w:rPr>
        <w:t xml:space="preserve"> 2005)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61576CC9" w14:textId="77777777" w:rsidR="00863DF5" w:rsidRPr="006F3B00" w:rsidRDefault="00863DF5" w:rsidP="00863DF5">
      <w:pPr>
        <w:spacing w:after="0" w:line="480" w:lineRule="auto"/>
        <w:rPr>
          <w:rFonts w:ascii="Times New Roman" w:hAnsi="Times New Roman" w:cs="Times New Roman"/>
          <w:sz w:val="24"/>
          <w:szCs w:val="24"/>
        </w:rPr>
      </w:pPr>
    </w:p>
    <w:p w14:paraId="71F53E72" w14:textId="201FE15F" w:rsidR="00863DF5" w:rsidRPr="006F3B00" w:rsidRDefault="00FD59D0" w:rsidP="00863DF5">
      <w:pPr>
        <w:tabs>
          <w:tab w:val="left" w:pos="1020"/>
        </w:tabs>
        <w:spacing w:after="0" w:line="480" w:lineRule="auto"/>
        <w:rPr>
          <w:rFonts w:ascii="Times New Roman" w:hAnsi="Times New Roman" w:cs="Times New Roman"/>
          <w:sz w:val="24"/>
          <w:szCs w:val="24"/>
        </w:rPr>
      </w:pPr>
      <w:r>
        <w:rPr>
          <w:rFonts w:ascii="Times New Roman" w:hAnsi="Times New Roman" w:cs="Times New Roman"/>
          <w:sz w:val="24"/>
          <w:szCs w:val="24"/>
        </w:rPr>
        <w:t>Akin to the idea that exam-focu</w:t>
      </w:r>
      <w:r w:rsidR="00863DF5" w:rsidRPr="006F3B00">
        <w:rPr>
          <w:rFonts w:ascii="Times New Roman" w:hAnsi="Times New Roman" w:cs="Times New Roman"/>
          <w:sz w:val="24"/>
          <w:szCs w:val="24"/>
        </w:rPr>
        <w:t xml:space="preserve">sed trainees who fail to appreciate deeper learning have not become equipped to self-regulate and self-monitor their future learning needs, the ability of a trainee to adapt to a change in environment rather than having a “one size, fits all” approach, is clearly advantageous. The context of practice and the way that a professional’s work interacts with this context is often reciprocal </w:t>
      </w:r>
      <w:r w:rsidR="00863DF5"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{"citationItems":[{"id":"ITEM-1","itemData":{"author":[{"dropping-particle":"","family":"Hunt, A., Adamson, B., &amp; Harris","given":"L.","non-dropping-particle":"","parse-names":false,"suffix":""}],"container-title":"Educating Beginning Practitioners","editor":[{"dropping-particle":"","family":"Edwards","given":"J. Higgs &amp; H.","non-dropping-particle":"","parse-names":false,"suffix":""}],"id":"ITEM-1","issued":{"date-parts":[["1999"]]},"page":"38-45","publisher":"Oxford: Butterworth-Heinemann.","title":"Community and workplace expectations of health science graduates.","type":"chapter"},"uris":["http://www.mendeley.com/documents/?uuid=a68cb768-a9c3-400d-9deb-fc332116182a"]}],"mendeley":{"formattedCitation":"(Hunt, A., Adamson, B., &amp; Harris, 1999)","plainTextFormattedCitation":"(Hunt, A., Adamson, B., &amp; Harris, 1999)","previouslyFormattedCitation":"(Hunt, A., Adamson, B., &amp; Harris 1999)"},"properties":{"noteIndex":0},"schema":"https://github.com/citation-style-language/schema/raw/master/csl-citation.json"}</w:instrText>
      </w:r>
      <w:r w:rsidR="00863DF5"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(Hunt, Adamson and Harris</w:t>
      </w:r>
      <w:r w:rsidR="00BE3B6C" w:rsidRPr="00BE3B6C">
        <w:rPr>
          <w:rFonts w:ascii="Times New Roman" w:hAnsi="Times New Roman" w:cs="Times New Roman"/>
          <w:noProof/>
          <w:sz w:val="24"/>
          <w:szCs w:val="24"/>
        </w:rPr>
        <w:t xml:space="preserve"> 1999)</w:t>
      </w:r>
      <w:r w:rsidR="00863DF5" w:rsidRPr="006F3B00">
        <w:rPr>
          <w:rFonts w:ascii="Times New Roman" w:hAnsi="Times New Roman" w:cs="Times New Roman"/>
          <w:sz w:val="24"/>
          <w:szCs w:val="24"/>
        </w:rPr>
        <w:fldChar w:fldCharType="end"/>
      </w:r>
      <w:r w:rsidR="00863DF5" w:rsidRPr="006F3B00">
        <w:rPr>
          <w:rFonts w:ascii="Times New Roman" w:hAnsi="Times New Roman" w:cs="Times New Roman"/>
          <w:sz w:val="24"/>
          <w:szCs w:val="24"/>
        </w:rPr>
        <w:t xml:space="preserve">.  This means that a trainee’s actions and behaviours can affect their working environment as the trainee is an integral part of that environment. </w:t>
      </w:r>
    </w:p>
    <w:p w14:paraId="68699D0A" w14:textId="77777777" w:rsidR="00863DF5" w:rsidRPr="006F3B00" w:rsidRDefault="00863DF5" w:rsidP="00863DF5">
      <w:pPr>
        <w:tabs>
          <w:tab w:val="left" w:pos="1020"/>
        </w:tabs>
        <w:spacing w:after="0" w:line="480" w:lineRule="auto"/>
        <w:rPr>
          <w:rFonts w:ascii="Times New Roman" w:hAnsi="Times New Roman" w:cs="Times New Roman"/>
          <w:sz w:val="24"/>
          <w:szCs w:val="24"/>
        </w:rPr>
      </w:pPr>
    </w:p>
    <w:p w14:paraId="28C4FD98" w14:textId="5E3186D9" w:rsidR="00863DF5" w:rsidRPr="003762ED" w:rsidRDefault="00863DF5" w:rsidP="003762ED">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lang w:val="en-CA"/>
        </w:rPr>
        <w:t xml:space="preserve">It could be argued that one fault of Miller’s pyramid is that it suggests that competence predicts performance, which is not necessarily true. Clinical practice is infinitely complex and many factors can affect an individual’s performance. </w:t>
      </w:r>
      <w:r w:rsidRPr="006F3B00">
        <w:rPr>
          <w:rFonts w:ascii="Times New Roman" w:hAnsi="Times New Roman" w:cs="Times New Roman"/>
          <w:sz w:val="24"/>
          <w:szCs w:val="24"/>
        </w:rPr>
        <w:t xml:space="preserve">Miller’s pyramid has </w:t>
      </w:r>
      <w:r w:rsidRPr="006F3B00">
        <w:rPr>
          <w:rFonts w:ascii="Times New Roman" w:hAnsi="Times New Roman" w:cs="Times New Roman"/>
          <w:sz w:val="24"/>
          <w:szCs w:val="24"/>
        </w:rPr>
        <w:lastRenderedPageBreak/>
        <w:t>now been modified by Rethans and colleagues to form the “Cambridge model” which reflects factors which influence performance other than basic competence</w:t>
      </w:r>
      <w:r w:rsidR="002A55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{"citationItems":[{"id":"ITEM-1","itemData":{"DOI":"10.1046/j.1365-2923.2002.01316.x","ISBN":"0308-0110","ISSN":"03080110","PMID":"12390456","abstract":"OBJECTIVE: This paper aims to describe current views of the relationship between competence and performance and to delineate some of the implications of the distinctions between the two areas for the purpose of assessing doctors in practice. METHODS: During a 2-day closed session, the authors, using their wide experiences in this domain, defined the problem and the context, discussed the content and set up a new model. This was developed further by e-mail correspondence over a 6-month period. RESULTS: Competency-based assessments were defined as measures of what doctors do in testing situations, while performance-based assessments were defined as measures of what doctors do in practice. The distinction between competency-based and performance-based methods leads to a three-stage model for assessing doctors in practice. The first component of the model proposed is a screening test that would identify doctors at risk. Practitioners who 'pass' the screen would move on to a continuous quality improvement process aimed at raising the general level of performance. Practitioners deemed to be at risk would undergo a more detailed assessment process focused on rigorous testing, with poor performers targeted for remediation or removal from practice. CONCLUSION: We propose a new model, designated the Cambridge Model, which extends and refines Miller's pyramid. It inverts his pyramid, focuses exclusively on the top two tiers, and identifies performance as a product of competence, the influences of the individual (e.g. health, relationships), and the influences of the system (e.g. facilities, practice time). The model provides a basis for understanding and designing assessments of practice performance.","author":[{"dropping-particle":"","family":"Rethans","given":"J. J.","non-dropping-particle":"","parse-names":false,"suffix":""},{"dropping-particle":"","family":"Norcini","given":"J. J.","non-dropping-particle":"","parse-names":false,"suffix":""},{"dropping-particle":"","family":"Barón-Maldonado","given":"M.","non-dropping-particle":"","parse-names":false,"suffix":""},{"dropping-particle":"","family":"Blackmore","given":"D.","non-dropping-particle":"","parse-names":false,"suffix":""},{"dropping-particle":"","family":"Jolly","given":"B. C.","non-dropping-particle":"","parse-names":false,"suffix":""},{"dropping-particle":"","family":"LaDuca","given":"T.","non-dropping-particle":"","parse-names":false,"suffix":""},{"dropping-particle":"","family":"Lew","given":"S.","non-dropping-particle":"","parse-names":false,"suffix":""},{"dropping-particle":"","family":"Page","given":"G. G.","non-dropping-particle":"","parse-names":false,"suffix":""},{"dropping-particle":"","family":"Southgate","given":"L. H.","non-dropping-particle":"","parse-names":false,"suffix":""}],"container-title":"Medical Education","id":"ITEM-1","issue":"10","issued":{"date-parts":[["2002"]]},"page":"901-909","title":"The relationship between competence and performance: Implications for assessing practice performance","type":"article-journal","volume":"36"},"uris":["http://www.mendeley.com/documents/?uuid=3524d628-ff61-410d-b3e0-cfd7e5128430"]}],"mendeley":{"formattedCitation":"(Rethans &lt;i&gt;et al.&lt;/i&gt;, 2002a)","plainTextFormattedCitation":"(Rethans et al., 2002a)","previouslyFormattedCitation":"(Rethans et al. 2002a)"},"properties":{"noteIndex":0},"schema":"https://github.com/citation-style-language/schema/raw/master/csl-citation.json"}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(Rethans </w:t>
      </w:r>
      <w:r w:rsidR="002A5572" w:rsidRPr="002A5572">
        <w:rPr>
          <w:rFonts w:ascii="Times New Roman" w:hAnsi="Times New Roman" w:cs="Times New Roman"/>
          <w:noProof/>
          <w:sz w:val="24"/>
          <w:szCs w:val="24"/>
        </w:rPr>
        <w:t>et al</w:t>
      </w:r>
      <w:r w:rsidR="002A5572">
        <w:rPr>
          <w:rFonts w:ascii="Times New Roman" w:hAnsi="Times New Roman" w:cs="Times New Roman"/>
          <w:noProof/>
          <w:sz w:val="24"/>
          <w:szCs w:val="24"/>
        </w:rPr>
        <w:t xml:space="preserve"> 2002</w:t>
      </w:r>
      <w:r w:rsidR="00BE3B6C" w:rsidRPr="00BE3B6C">
        <w:rPr>
          <w:rFonts w:ascii="Times New Roman" w:hAnsi="Times New Roman" w:cs="Times New Roman"/>
          <w:noProof/>
          <w:sz w:val="24"/>
          <w:szCs w:val="24"/>
        </w:rPr>
        <w:t>)</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These influences include system related influences such as guidelines and individual related influences such as mental health and relationships with colleagues. This model acknowledges that competence should be assessed in realistic environments and we should not just assess knowledge and practical skills in isolation.  Performance therefore includes the ability to manage ambiguous problems, tolerate uncertainty and make decisions with limited information</w:t>
      </w:r>
      <w:r w:rsidR="002A55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{"citationItems":[{"id":"ITEM-1","itemData":{"author":[{"dropping-particle":"","family":"Schon DA","given":"","non-dropping-particle":"","parse-names":false,"suffix":""}],"id":"ITEM-1","issued":{"date-parts":[["1983"]]},"publisher":"Basic Books","publisher-place":"New York","title":"The reflective practitioner","type":"book"},"uris":["http://www.mendeley.com/documents/?uuid=dbb62fb6-373a-4635-91e1-4bd514a356d2"]}],"mendeley":{"formattedCitation":"(Schon DA, 1983)","plainTextFormattedCitation":"(Schon DA, 1983)","previouslyFormattedCitation":"(Schon DA 1983)"},"properties":{"noteIndex":0},"schema":"https://github.com/citation-style-language/schema/raw/master/csl-citation.json"}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(Schon</w:t>
      </w:r>
      <w:r w:rsidR="00BE3B6C" w:rsidRPr="00BE3B6C">
        <w:rPr>
          <w:rFonts w:ascii="Times New Roman" w:hAnsi="Times New Roman" w:cs="Times New Roman"/>
          <w:noProof/>
          <w:sz w:val="24"/>
          <w:szCs w:val="24"/>
        </w:rPr>
        <w:t xml:space="preserve"> 1983)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28417D52" w14:textId="7FA6EF0E" w:rsidR="00863DF5" w:rsidRPr="006F3B00" w:rsidRDefault="007A0757" w:rsidP="00863DF5">
      <w:pPr>
        <w:pStyle w:val="NormalWeb"/>
        <w:spacing w:line="480" w:lineRule="auto"/>
        <w:outlineLvl w:val="2"/>
        <w:rPr>
          <w:b/>
        </w:rPr>
      </w:pPr>
      <w:bookmarkStart w:id="21" w:name="_Toc23243750"/>
      <w:r>
        <w:rPr>
          <w:b/>
        </w:rPr>
        <w:t>1.2</w:t>
      </w:r>
      <w:r w:rsidR="006A43B1">
        <w:rPr>
          <w:b/>
        </w:rPr>
        <w:t>.2.2</w:t>
      </w:r>
      <w:r w:rsidR="00863DF5" w:rsidRPr="006F3B00">
        <w:rPr>
          <w:b/>
        </w:rPr>
        <w:t xml:space="preserve"> Dreyfus and Dreyfus’ Skill Acquisition theory</w:t>
      </w:r>
      <w:bookmarkEnd w:id="21"/>
    </w:p>
    <w:p w14:paraId="7371891B" w14:textId="21EBE2F8" w:rsidR="00863DF5" w:rsidRPr="006F3B00" w:rsidRDefault="00863DF5" w:rsidP="00863DF5">
      <w:pPr>
        <w:pStyle w:val="NormalWeb"/>
        <w:spacing w:line="480" w:lineRule="auto"/>
      </w:pPr>
      <w:r w:rsidRPr="006F3B00">
        <w:t>This theory describes how individual’s acquire competence through formal instruction and personal experience, gradually evolving from novice to expert</w:t>
      </w:r>
      <w:r w:rsidR="0062633C">
        <w:t xml:space="preserve"> </w:t>
      </w:r>
      <w:r w:rsidRPr="006F3B00">
        <w:fldChar w:fldCharType="begin" w:fldLock="1"/>
      </w:r>
      <w:r w:rsidR="00BE3B6C">
        <w:instrText>ADDIN CSL_CITATION {"citationItems":[{"id":"ITEM-1","itemData":{"DOI":"ADA084551","ISBN":"716834968","abstract":"In acquiring a skill by means of instruction and ex-perience, the student normally passes through five developmental stages which we designate novice, competence, proficiency, expertise and mastery. We argue, based on analysis of careful descriptions of skill acquisition, that as the student becomes skilled, he depends less on abstract principles and more on concrete experience. We systematize and illustrate the progressive changes in a performer's ways of seeing his task environment. We conclude that any skill training procedure must be based on some model of skill acquisition, so that it can address, at each stage of training, the appropriate issues involved in facilitating advancement.","author":[{"dropping-particle":"","family":"Dreyfuss","given":"Stuart E.","non-dropping-particle":"","parse-names":false,"suffix":""},{"dropping-particle":"","family":"Dreyfus","given":"Hubert L.","non-dropping-particle":"","parse-names":false,"suffix":""}],"container-title":"Operations Research Center","id":"ITEM-1","issue":"February","issued":{"date-parts":[["1980"]]},"page":"1-18","title":"A five-stage model of the mental activities involved in directed skill acquisition","type":"article-journal"},"uris":["http://www.mendeley.com/documents/?uuid=662d0a97-05ab-4f5b-8bcd-357bd8e30d9d"]}],"mendeley":{"formattedCitation":"(Dreyfuss and Dreyfus, 1980)","plainTextFormattedCitation":"(Dreyfuss and Dreyfus, 1980)","previouslyFormattedCitation":"(Dreyfuss and Dreyfus 1980)"},"properties":{"noteIndex":0},"schema":"https://github.com/citation-style-language/schema/raw/master/csl-citation.json"}</w:instrText>
      </w:r>
      <w:r w:rsidRPr="006F3B00">
        <w:fldChar w:fldCharType="separate"/>
      </w:r>
      <w:r w:rsidR="002A5572">
        <w:rPr>
          <w:noProof/>
        </w:rPr>
        <w:t>(Dreyfus and Dreyfus</w:t>
      </w:r>
      <w:r w:rsidR="00BE3B6C" w:rsidRPr="00BE3B6C">
        <w:rPr>
          <w:noProof/>
        </w:rPr>
        <w:t xml:space="preserve"> 1980)</w:t>
      </w:r>
      <w:r w:rsidRPr="006F3B00">
        <w:fldChar w:fldCharType="end"/>
      </w:r>
      <w:r w:rsidRPr="006F3B00">
        <w:t>. It was originally developed for the training of pilots and comprised five stages:</w:t>
      </w:r>
    </w:p>
    <w:p w14:paraId="65A5B43D" w14:textId="77777777" w:rsidR="00863DF5" w:rsidRPr="006F3B00" w:rsidRDefault="00863DF5" w:rsidP="001A1FF3">
      <w:pPr>
        <w:pStyle w:val="NormalWeb"/>
        <w:numPr>
          <w:ilvl w:val="0"/>
          <w:numId w:val="1"/>
        </w:numPr>
        <w:spacing w:line="480" w:lineRule="auto"/>
      </w:pPr>
      <w:r w:rsidRPr="006F3B00">
        <w:t>Novice: Rule-based behaviour, strongly limited and inflexible</w:t>
      </w:r>
    </w:p>
    <w:p w14:paraId="21006380" w14:textId="77777777" w:rsidR="00863DF5" w:rsidRPr="006F3B00" w:rsidRDefault="00863DF5" w:rsidP="001A1FF3">
      <w:pPr>
        <w:numPr>
          <w:ilvl w:val="0"/>
          <w:numId w:val="1"/>
        </w:numPr>
        <w:spacing w:before="100" w:beforeAutospacing="1" w:after="100" w:afterAutospacing="1" w:line="480" w:lineRule="auto"/>
        <w:rPr>
          <w:rFonts w:ascii="Times New Roman" w:hAnsi="Times New Roman" w:cs="Times New Roman"/>
          <w:sz w:val="24"/>
          <w:szCs w:val="24"/>
        </w:rPr>
      </w:pPr>
      <w:r w:rsidRPr="006F3B00">
        <w:rPr>
          <w:rFonts w:ascii="Times New Roman" w:hAnsi="Times New Roman" w:cs="Times New Roman"/>
          <w:sz w:val="24"/>
          <w:szCs w:val="24"/>
        </w:rPr>
        <w:t>Advanced Beginner: Incorporates aspects of the situation and organises key aspects of situation presented</w:t>
      </w:r>
    </w:p>
    <w:p w14:paraId="26F5E916" w14:textId="77777777" w:rsidR="00863DF5" w:rsidRPr="006F3B00" w:rsidRDefault="00863DF5" w:rsidP="001A1FF3">
      <w:pPr>
        <w:numPr>
          <w:ilvl w:val="0"/>
          <w:numId w:val="1"/>
        </w:numPr>
        <w:spacing w:before="100" w:beforeAutospacing="1" w:after="100" w:afterAutospacing="1" w:line="480" w:lineRule="auto"/>
        <w:rPr>
          <w:rFonts w:ascii="Times New Roman" w:hAnsi="Times New Roman" w:cs="Times New Roman"/>
          <w:sz w:val="24"/>
          <w:szCs w:val="24"/>
        </w:rPr>
      </w:pPr>
      <w:r w:rsidRPr="006F3B00">
        <w:rPr>
          <w:rFonts w:ascii="Times New Roman" w:hAnsi="Times New Roman" w:cs="Times New Roman"/>
          <w:sz w:val="24"/>
          <w:szCs w:val="24"/>
        </w:rPr>
        <w:t>Competent: Acting consciously with definitive planning and action plan</w:t>
      </w:r>
    </w:p>
    <w:p w14:paraId="42FBC4B0" w14:textId="77777777" w:rsidR="00863DF5" w:rsidRPr="006F3B00" w:rsidRDefault="00863DF5" w:rsidP="001A1FF3">
      <w:pPr>
        <w:numPr>
          <w:ilvl w:val="0"/>
          <w:numId w:val="1"/>
        </w:numPr>
        <w:spacing w:before="100" w:beforeAutospacing="1" w:after="100" w:afterAutospacing="1" w:line="480" w:lineRule="auto"/>
        <w:rPr>
          <w:rFonts w:ascii="Times New Roman" w:hAnsi="Times New Roman" w:cs="Times New Roman"/>
          <w:sz w:val="24"/>
          <w:szCs w:val="24"/>
        </w:rPr>
      </w:pPr>
      <w:r w:rsidRPr="006F3B00">
        <w:rPr>
          <w:rFonts w:ascii="Times New Roman" w:hAnsi="Times New Roman" w:cs="Times New Roman"/>
          <w:sz w:val="24"/>
          <w:szCs w:val="24"/>
        </w:rPr>
        <w:t>Proficient: Sees the situation holistically as a whole and acts from personal conviction</w:t>
      </w:r>
    </w:p>
    <w:p w14:paraId="4FB569A8" w14:textId="77777777" w:rsidR="00863DF5" w:rsidRPr="006F3B00" w:rsidRDefault="00863DF5" w:rsidP="001A1FF3">
      <w:pPr>
        <w:numPr>
          <w:ilvl w:val="0"/>
          <w:numId w:val="1"/>
        </w:numPr>
        <w:spacing w:before="100" w:beforeAutospacing="1" w:after="100" w:afterAutospacing="1" w:line="480" w:lineRule="auto"/>
        <w:rPr>
          <w:rFonts w:ascii="Times New Roman" w:hAnsi="Times New Roman" w:cs="Times New Roman"/>
          <w:sz w:val="24"/>
          <w:szCs w:val="24"/>
        </w:rPr>
      </w:pPr>
      <w:r w:rsidRPr="006F3B00">
        <w:rPr>
          <w:rFonts w:ascii="Times New Roman" w:hAnsi="Times New Roman" w:cs="Times New Roman"/>
          <w:sz w:val="24"/>
          <w:szCs w:val="24"/>
        </w:rPr>
        <w:t>Expert: Has an intuitive understanding of the situation and transcends rules</w:t>
      </w:r>
    </w:p>
    <w:p w14:paraId="76ABE921" w14:textId="23F16FF0"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This linear model of competence acquisition could be criticised for being too structured. Expertise does not necessarily develop in a step-wise manner either.  In the healthcare setting, intuitive decision-making can be dangerous, and certain situations require evaluation of a number of tests to formulate the correct treatment plan for a patient, with </w:t>
      </w:r>
      <w:r w:rsidRPr="006F3B00">
        <w:rPr>
          <w:rFonts w:ascii="Times New Roman" w:hAnsi="Times New Roman" w:cs="Times New Roman"/>
          <w:sz w:val="24"/>
          <w:szCs w:val="24"/>
        </w:rPr>
        <w:lastRenderedPageBreak/>
        <w:t xml:space="preserve">little place for intuition. Benner has </w:t>
      </w:r>
      <w:r w:rsidR="002B1984">
        <w:rPr>
          <w:rFonts w:ascii="Times New Roman" w:hAnsi="Times New Roman" w:cs="Times New Roman"/>
          <w:sz w:val="24"/>
          <w:szCs w:val="24"/>
        </w:rPr>
        <w:t>utilised the Skill Acquisition T</w:t>
      </w:r>
      <w:r w:rsidRPr="006F3B00">
        <w:rPr>
          <w:rFonts w:ascii="Times New Roman" w:hAnsi="Times New Roman" w:cs="Times New Roman"/>
          <w:sz w:val="24"/>
          <w:szCs w:val="24"/>
        </w:rPr>
        <w:t>heory to describe nursing practices, but suggests that perception of ethical issues and being emotionally involved with patient care are also involved in developing expertise and intuition</w:t>
      </w:r>
      <w:r w:rsidR="002A55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{"citationItems":[{"id":"ITEM-1","itemData":{"author":[{"dropping-particle":"","family":"Benner, P., Tanner, C., Chesla","given":"C.","non-dropping-particle":"","parse-names":false,"suffix":""}],"editor":[{"dropping-particle":"","family":"Springer","given":"","non-dropping-particle":"","parse-names":false,"suffix":""}],"id":"ITEM-1","issued":{"date-parts":[["1996"]]},"publisher-place":"New York","title":"Expertise in Nursing Practice: Caring, Clinical Judgment, and Ethics.","type":"book"},"uris":["http://www.mendeley.com/documents/?uuid=2c211817-dcfb-4450-a3e3-9620cabf906d"]}],"mendeley":{"formattedCitation":"(Benner, P., Tanner, C., Chesla, 1996)","plainTextFormattedCitation":"(Benner, P., Tanner, C., Chesla, 1996)","previouslyFormattedCitation":"(Benner, P., Tanner, C., Chesla 1996)"},"properties":{"noteIndex":0},"schema":"https://github.com/citation-style-language/schema/raw/master/csl-citation.json"}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(Benner, Tanner and Chesla</w:t>
      </w:r>
      <w:r w:rsidR="00BE3B6C" w:rsidRPr="00BE3B6C">
        <w:rPr>
          <w:rFonts w:ascii="Times New Roman" w:hAnsi="Times New Roman" w:cs="Times New Roman"/>
          <w:noProof/>
          <w:sz w:val="24"/>
          <w:szCs w:val="24"/>
        </w:rPr>
        <w:t xml:space="preserve"> 1996)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Sometimes theory does not sufficiently reflect the complex phenomena that occur in the workplace</w:t>
      </w:r>
      <w:r w:rsidR="002A5572">
        <w:rPr>
          <w:rFonts w:ascii="Times New Roman" w:hAnsi="Times New Roman" w:cs="Times New Roman"/>
          <w:sz w:val="24"/>
          <w:szCs w:val="24"/>
        </w:rPr>
        <w:t xml:space="preserve"> </w:t>
      </w:r>
      <w:r w:rsidR="002A5572" w:rsidRPr="006F3B00">
        <w:rPr>
          <w:rFonts w:ascii="Times New Roman" w:hAnsi="Times New Roman" w:cs="Times New Roman"/>
          <w:sz w:val="24"/>
          <w:szCs w:val="24"/>
        </w:rPr>
        <w:fldChar w:fldCharType="begin" w:fldLock="1"/>
      </w:r>
      <w:r w:rsidR="002A5572">
        <w:rPr>
          <w:rFonts w:ascii="Times New Roman" w:hAnsi="Times New Roman" w:cs="Times New Roman"/>
          <w:sz w:val="24"/>
          <w:szCs w:val="24"/>
        </w:rPr>
        <w:instrText>ADDIN CSL_CITATION {"citationItems":[{"id":"ITEM-1","itemData":{"author":[{"dropping-particle":"","family":"Benner, P., Tanner, C., Chesla","given":"C.","non-dropping-particle":"","parse-names":false,"suffix":""}],"editor":[{"dropping-particle":"","family":"Springer","given":"","non-dropping-particle":"","parse-names":false,"suffix":""}],"id":"ITEM-1","issued":{"date-parts":[["1996"]]},"publisher-place":"New York","title":"Expertise in Nursing Practice: Caring, Clinical Judgment, and Ethics.","type":"book"},"uris":["http://www.mendeley.com/documents/?uuid=2c211817-dcfb-4450-a3e3-9620cabf906d"]}],"mendeley":{"formattedCitation":"(Benner, P., Tanner, C., Chesla, 1996)","plainTextFormattedCitation":"(Benner, P., Tanner, C., Chesla, 1996)","previouslyFormattedCitation":"(Benner, P., Tanner, C., Chesla 1996)"},"properties":{"noteIndex":0},"schema":"https://github.com/citation-style-language/schema/raw/master/csl-citation.json"}</w:instrText>
      </w:r>
      <w:r w:rsidR="002A5572"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(Benner, Tanner and Chesla</w:t>
      </w:r>
      <w:r w:rsidR="002A5572" w:rsidRPr="00BE3B6C">
        <w:rPr>
          <w:rFonts w:ascii="Times New Roman" w:hAnsi="Times New Roman" w:cs="Times New Roman"/>
          <w:noProof/>
          <w:sz w:val="24"/>
          <w:szCs w:val="24"/>
        </w:rPr>
        <w:t xml:space="preserve"> 1996)</w:t>
      </w:r>
      <w:r w:rsidR="002A5572" w:rsidRPr="006F3B00">
        <w:rPr>
          <w:rFonts w:ascii="Times New Roman" w:hAnsi="Times New Roman" w:cs="Times New Roman"/>
          <w:sz w:val="24"/>
          <w:szCs w:val="24"/>
        </w:rPr>
        <w:fldChar w:fldCharType="end"/>
      </w:r>
      <w:r w:rsidR="002A5572" w:rsidRPr="006F3B00">
        <w:rPr>
          <w:rFonts w:ascii="Times New Roman" w:hAnsi="Times New Roman" w:cs="Times New Roman"/>
          <w:sz w:val="24"/>
          <w:szCs w:val="24"/>
        </w:rPr>
        <w:t>.</w:t>
      </w:r>
    </w:p>
    <w:p w14:paraId="3C1B9D7C" w14:textId="1D6B5401" w:rsidR="00863DF5" w:rsidRPr="006F3B00" w:rsidRDefault="007A0757" w:rsidP="00863DF5">
      <w:pPr>
        <w:pStyle w:val="Heading3"/>
        <w:rPr>
          <w:rFonts w:ascii="Times New Roman" w:hAnsi="Times New Roman" w:cs="Times New Roman"/>
          <w:color w:val="auto"/>
          <w:sz w:val="24"/>
          <w:szCs w:val="24"/>
        </w:rPr>
      </w:pPr>
      <w:bookmarkStart w:id="22" w:name="_Toc23243751"/>
      <w:r>
        <w:rPr>
          <w:rFonts w:ascii="Times New Roman" w:hAnsi="Times New Roman" w:cs="Times New Roman"/>
          <w:color w:val="auto"/>
          <w:sz w:val="24"/>
          <w:szCs w:val="24"/>
        </w:rPr>
        <w:t>1.2</w:t>
      </w:r>
      <w:r w:rsidR="006A43B1">
        <w:rPr>
          <w:rFonts w:ascii="Times New Roman" w:hAnsi="Times New Roman" w:cs="Times New Roman"/>
          <w:color w:val="auto"/>
          <w:sz w:val="24"/>
          <w:szCs w:val="24"/>
        </w:rPr>
        <w:t>.2.3</w:t>
      </w:r>
      <w:r w:rsidR="00863DF5" w:rsidRPr="006F3B00">
        <w:rPr>
          <w:rFonts w:ascii="Times New Roman" w:hAnsi="Times New Roman" w:cs="Times New Roman"/>
          <w:color w:val="auto"/>
          <w:sz w:val="24"/>
          <w:szCs w:val="24"/>
        </w:rPr>
        <w:t xml:space="preserve"> Bloom’s taxonomy</w:t>
      </w:r>
      <w:bookmarkEnd w:id="22"/>
      <w:r w:rsidR="00863DF5" w:rsidRPr="006F3B00">
        <w:rPr>
          <w:rFonts w:ascii="Times New Roman" w:hAnsi="Times New Roman" w:cs="Times New Roman"/>
          <w:color w:val="auto"/>
          <w:sz w:val="24"/>
          <w:szCs w:val="24"/>
        </w:rPr>
        <w:t xml:space="preserve"> </w:t>
      </w:r>
    </w:p>
    <w:p w14:paraId="0A7579B0"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57CA0E08" w14:textId="6039988D"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bCs/>
          <w:sz w:val="24"/>
          <w:szCs w:val="24"/>
        </w:rPr>
        <w:t>Bloom's taxonomy</w:t>
      </w:r>
      <w:r w:rsidRPr="006F3B00">
        <w:rPr>
          <w:rFonts w:ascii="Times New Roman" w:hAnsi="Times New Roman" w:cs="Times New Roman"/>
          <w:sz w:val="24"/>
          <w:szCs w:val="24"/>
        </w:rPr>
        <w:t xml:space="preserve"> is a set of three hierarchical models covering learning objectives in cognitive (thinking, knowledge), affective (</w:t>
      </w:r>
      <w:r w:rsidR="00187DD2">
        <w:rPr>
          <w:rFonts w:ascii="Times New Roman" w:hAnsi="Times New Roman" w:cs="Times New Roman"/>
          <w:sz w:val="24"/>
          <w:szCs w:val="24"/>
        </w:rPr>
        <w:t>emotions, feelings) and psychomotor</w:t>
      </w:r>
      <w:r w:rsidRPr="006F3B00">
        <w:rPr>
          <w:rFonts w:ascii="Times New Roman" w:hAnsi="Times New Roman" w:cs="Times New Roman"/>
          <w:sz w:val="24"/>
          <w:szCs w:val="24"/>
        </w:rPr>
        <w:t xml:space="preserve"> domains (</w:t>
      </w:r>
      <w:r w:rsidR="00187DD2">
        <w:rPr>
          <w:rFonts w:ascii="Times New Roman" w:hAnsi="Times New Roman" w:cs="Times New Roman"/>
          <w:sz w:val="24"/>
          <w:szCs w:val="24"/>
        </w:rPr>
        <w:t>physical</w:t>
      </w:r>
      <w:r w:rsidRPr="006F3B00">
        <w:rPr>
          <w:rFonts w:ascii="Times New Roman" w:hAnsi="Times New Roman" w:cs="Times New Roman"/>
          <w:sz w:val="24"/>
          <w:szCs w:val="24"/>
        </w:rPr>
        <w:t>)</w:t>
      </w:r>
      <w:r w:rsidR="002A55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{"citationItems":[{"id":"ITEM-1","itemData":{"DOI":"10.1300/J104v03n01_03","ISBN":"9780679302117","ISSN":"00131644","PMID":"189992","abstract":"Bloom, B. S. (1956) Taxonomy of Educational Objectives: The Classification of Edu- cational Goals: Handbook 1, Cognitive Domain. New York: David McKay.","author":[{"dropping-particle":"","family":"Bloom","given":"B S","non-dropping-particle":"","parse-names":false,"suffix":""},{"dropping-particle":"","family":"Englehard","given":"M.D.","non-dropping-particle":"","parse-names":false,"suffix":""},{"dropping-particle":"","family":"Furst","given":"E.J.","non-dropping-particle":"","parse-names":false,"suffix":""},{"dropping-particle":"","family":"Hill","given":"W.H.","non-dropping-particle":"","parse-names":false,"suffix":""},{"dropping-particle":"","family":"Krathwohl","given":"D.R.","non-dropping-particle":"","parse-names":false,"suffix":""},{"dropping-particle":"","family":"Committee of College and University Examiners","given":"","non-dropping-particle":"","parse-names":false,"suffix":""}],"container-title":"New York","id":"ITEM-1","issued":{"date-parts":[["1956"]]},"page":"207","title":"Taxonomy of educational objectives: The classification of educational goals: Handbook I, cognitive domain","type":"article-journal","volume":"16"},"uris":["http://www.mendeley.com/documents/?uuid=7e6fa088-3a98-4e90-8a6b-12fcbed913d8"]}],"mendeley":{"formattedCitation":"(Bloom &lt;i&gt;et al.&lt;/i&gt;, 1956)","plainTextFormattedCitation":"(Bloom et al., 1956)","previouslyFormattedCitation":"(Bloom et al. 1956)"},"properties":{"noteIndex":0},"schema":"https://github.com/citation-style-language/schema/raw/master/csl-citation.json"}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(Bloom </w:t>
      </w:r>
      <w:r w:rsidR="00BE3B6C" w:rsidRPr="002A5572">
        <w:rPr>
          <w:rFonts w:ascii="Times New Roman" w:hAnsi="Times New Roman" w:cs="Times New Roman"/>
          <w:noProof/>
          <w:sz w:val="24"/>
          <w:szCs w:val="24"/>
        </w:rPr>
        <w:t xml:space="preserve">et al. </w:t>
      </w:r>
      <w:r w:rsidR="00BE3B6C" w:rsidRPr="00BE3B6C">
        <w:rPr>
          <w:rFonts w:ascii="Times New Roman" w:hAnsi="Times New Roman" w:cs="Times New Roman"/>
          <w:noProof/>
          <w:sz w:val="24"/>
          <w:szCs w:val="24"/>
        </w:rPr>
        <w:t>1956)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In particular, the cognitive domain is used in education to help devise curricula, assessment tools and learning objectives.  The original cognitive domain had six levels: recall; comprehension; application; analysis; synthesis; and evaluation.  However, this was later revised to replace nouns with verbs and a slight reordering of the items: Remembering, understanding, applying, analysing, evaluating and creating</w:t>
      </w:r>
      <w:r w:rsidR="002A5572">
        <w:rPr>
          <w:rFonts w:ascii="Times New Roman" w:hAnsi="Times New Roman" w:cs="Times New Roman"/>
          <w:sz w:val="24"/>
          <w:szCs w:val="24"/>
        </w:rPr>
        <w:t xml:space="preserve"> </w:t>
      </w:r>
      <w:r w:rsidRPr="002A5572">
        <w:rPr>
          <w:rFonts w:ascii="Times New Roman" w:hAnsi="Times New Roman" w:cs="Times New Roman"/>
          <w:sz w:val="24"/>
          <w:szCs w:val="24"/>
        </w:rPr>
        <w:fldChar w:fldCharType="begin" w:fldLock="1"/>
      </w:r>
      <w:r w:rsidR="00BE3B6C" w:rsidRPr="002A5572">
        <w:rPr>
          <w:rFonts w:ascii="Times New Roman" w:hAnsi="Times New Roman" w:cs="Times New Roman"/>
          <w:sz w:val="24"/>
          <w:szCs w:val="24"/>
        </w:rPr>
        <w:instrText>ADDIN CSL_CITATION {"citationItems":[{"id":"ITEM-1","itemData":{"author":[{"dropping-particle":"","family":"Anderson, L. and Krathwohl","given":"D.","non-dropping-particle":"","parse-names":false,"suffix":""}],"edition":"1st","id":"ITEM-1","issued":{"date-parts":[["2001"]]},"publisher":"Longman","publisher-place":"New York","title":"A taxonomy for learning, teaching, and assessing : A Revision of Bloom’s Taxonomy of Educational Objectives","type":"book"},"uris":["http://www.mendeley.com/documents/?uuid=c58c896a-c18d-42d2-ba96-0bc613d262fd"]}],"mendeley":{"formattedCitation":"(Anderson, L. and Krathwohl, 2001)","plainTextFormattedCitation":"(Anderson, L. and Krathwohl, 2001)","previouslyFormattedCitation":"(Anderson, L. and Krathwohl 2001)"},"properties":{"noteIndex":0},"schema":"https://github.com/citation-style-language/schema/raw/master/csl-citation.json"}</w:instrText>
      </w:r>
      <w:r w:rsidRPr="002A5572">
        <w:rPr>
          <w:rFonts w:ascii="Times New Roman" w:hAnsi="Times New Roman" w:cs="Times New Roman"/>
          <w:sz w:val="24"/>
          <w:szCs w:val="24"/>
        </w:rPr>
        <w:fldChar w:fldCharType="separate"/>
      </w:r>
      <w:r w:rsidR="002A5572" w:rsidRPr="002A5572">
        <w:rPr>
          <w:rFonts w:ascii="Times New Roman" w:hAnsi="Times New Roman" w:cs="Times New Roman"/>
          <w:noProof/>
          <w:sz w:val="24"/>
          <w:szCs w:val="24"/>
        </w:rPr>
        <w:t>(Anderson and Krathwohl</w:t>
      </w:r>
      <w:r w:rsidR="00BE3B6C" w:rsidRPr="002A5572">
        <w:rPr>
          <w:rFonts w:ascii="Times New Roman" w:hAnsi="Times New Roman" w:cs="Times New Roman"/>
          <w:noProof/>
          <w:sz w:val="24"/>
          <w:szCs w:val="24"/>
        </w:rPr>
        <w:t xml:space="preserve"> 2001)</w:t>
      </w:r>
      <w:r w:rsidRPr="002A5572">
        <w:rPr>
          <w:rFonts w:ascii="Times New Roman" w:hAnsi="Times New Roman" w:cs="Times New Roman"/>
          <w:sz w:val="24"/>
          <w:szCs w:val="24"/>
        </w:rPr>
        <w:fldChar w:fldCharType="end"/>
      </w:r>
      <w:r w:rsidRPr="002A5572">
        <w:rPr>
          <w:rFonts w:ascii="Times New Roman" w:hAnsi="Times New Roman" w:cs="Times New Roman"/>
          <w:sz w:val="24"/>
          <w:szCs w:val="24"/>
        </w:rPr>
        <w:t>.</w:t>
      </w:r>
      <w:r w:rsidRPr="006F3B00">
        <w:rPr>
          <w:rFonts w:ascii="Times New Roman" w:hAnsi="Times New Roman" w:cs="Times New Roman"/>
          <w:sz w:val="24"/>
          <w:szCs w:val="24"/>
        </w:rPr>
        <w:t xml:space="preserve"> At the bottom of the pyramid, remembering and understanding are associated with” lower order thinking” whereas analysing, evaluating and creating” are forms of “higher order thinking”.</w:t>
      </w:r>
    </w:p>
    <w:p w14:paraId="0230BAD0" w14:textId="442EF65A" w:rsidR="00FF5302" w:rsidRDefault="00863DF5" w:rsidP="00FF5302">
      <w:pPr>
        <w:spacing w:line="480" w:lineRule="auto"/>
        <w:rPr>
          <w:rFonts w:ascii="Times New Roman" w:hAnsi="Times New Roman" w:cs="Times New Roman"/>
          <w:sz w:val="24"/>
          <w:szCs w:val="24"/>
        </w:rPr>
      </w:pPr>
      <w:r w:rsidRPr="006F3B00">
        <w:rPr>
          <w:rFonts w:ascii="Times New Roman" w:hAnsi="Times New Roman" w:cs="Times New Roman"/>
          <w:sz w:val="24"/>
          <w:szCs w:val="24"/>
        </w:rPr>
        <w:t>Although originally designed to aid learning, the three domains described in the taxonomy (cognitive, psychomotor and affective) can also be applied to the workplace but there are some important differences.  For instance, theoretical knowledge is considered different to professional knowledge, with the latter being more dynamic and acquired independently of theoretical knowledge</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{"citationItems":[{"id":"ITEM-1","itemData":{"DOI":"10.1097/01.NUMA.0000313089.04519.f4","ISBN":"0002936X","ISSN":"0744-6314","PMID":"6917683","abstract":"what cognitive changes occur as a novice becomes an expert.","author":[{"dropping-particle":"","family":"Benner","given":"P","non-dropping-particle":"","parse-names":false,"suffix":""}],"container-title":"The American journal of nursing","id":"ITEM-1","issued":{"date-parts":[["1982"]]},"page":"402-407","title":"From novice to expert.","type":"article-journal","volume":"82"},"uris":["http://www.mendeley.com/documents/?uuid=43cdcf6a-0fe9-468c-bfd3-22ef0e36e0a3"]}],"mendeley":{"formattedCitation":"(Benner, 1982)","plainTextFormattedCitation":"(Benner, 1982)","previouslyFormattedCitation":"(Benner 1982)"},"properties":{"noteIndex":0},"schema":"https://github.com/citation-style-language/schema/raw/master/csl-citation.json"}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(Benner</w:t>
      </w:r>
      <w:r w:rsidR="00BE3B6C" w:rsidRPr="00BE3B6C">
        <w:rPr>
          <w:rFonts w:ascii="Times New Roman" w:hAnsi="Times New Roman" w:cs="Times New Roman"/>
          <w:noProof/>
          <w:sz w:val="24"/>
          <w:szCs w:val="24"/>
        </w:rPr>
        <w:t xml:space="preserve"> 1982)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Professional knowledge may be composed of propositional, craft and experiential knowledge</w:t>
      </w:r>
      <w:r w:rsidR="002A55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{"citationItems":[{"id":"ITEM-1","itemData":{"author":[{"dropping-particle":"","family":"Beeston, S., &amp; Higgs","given":"J.","non-dropping-particle":"","parse-names":false,"suffix":""}],"container-title":"Practice Knowledge and Expertise in the Health Professions.","editor":[{"dropping-particle":"","family":"Titchen","given":"Higgs &amp; A.","non-dropping-particle":"","parse-names":false,"suffix":""}],"id":"ITEM-1","issued":{"date-parts":[["2001"]]},"page":"108-121","publisher":"Oxford: Butterworth-Heinemann.","title":"Professional practice: Artistry and connoisseurship","type":"chapter"},"uris":["http://www.mendeley.com/documents/?uuid=dac499f6-10ca-40cb-a5b8-35135b16e945"]}],"mendeley":{"formattedCitation":"(Beeston, S., &amp; Higgs, 2001)","plainTextFormattedCitation":"(Beeston, S., &amp; Higgs, 2001)","previouslyFormattedCitation":"(Beeston, S., &amp; Higgs 2001)"},"properties":{"noteIndex":0},"schema":"https://github.com/citation-style-language/schema/raw/master/csl-citation.json"}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(Beeston and Higgs</w:t>
      </w:r>
      <w:r w:rsidR="00BE3B6C" w:rsidRPr="00BE3B6C">
        <w:rPr>
          <w:rFonts w:ascii="Times New Roman" w:hAnsi="Times New Roman" w:cs="Times New Roman"/>
          <w:noProof/>
          <w:sz w:val="24"/>
          <w:szCs w:val="24"/>
        </w:rPr>
        <w:t xml:space="preserve"> 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Propositional knowledge has foundations in theory and research. Craft knowledge relates to developing skills to practice one’s own profession, similar to intuition and </w:t>
      </w:r>
      <w:r w:rsidRPr="006F3B00">
        <w:rPr>
          <w:rFonts w:ascii="Times New Roman" w:hAnsi="Times New Roman" w:cs="Times New Roman"/>
          <w:sz w:val="24"/>
          <w:szCs w:val="24"/>
        </w:rPr>
        <w:lastRenderedPageBreak/>
        <w:t>other tacit behaviours. Experiential knowledge is often personal to the individual and comes from their experiences in life and work, in keeping with Bloom’s affective domain. The interaction of the various components of professional knowledge reflect the ambiguous nature of the “real world”</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{"citationItems":[{"id":"ITEM-1","itemData":{"author":[{"dropping-particle":"","family":"Harris","given":"I.","non-dropping-particle":"","parse-names":false,"suffix":""}],"container-title":"Educating Professionals","editor":[{"dropping-particle":"","family":"Wergin","given":"L. Curry &amp; J. F.","non-dropping-particle":"","parse-names":false,"suffix":""}],"id":"ITEM-1","issued":{"date-parts":[["1993"]]},"page":"17-52","publisher":"San Francisco: Jossey-Bass.","title":"New expectations for professional competence.","type":"chapter"},"uris":["http://www.mendeley.com/documents/?uuid=2b8f63e7-5add-4880-8e83-14269f581e66"]}],"mendeley":{"formattedCitation":"(Harris, 1993)","plainTextFormattedCitation":"(Harris, 1993)","previouslyFormattedCitation":"(I. Harris 1993)"},"properties":{"noteIndex":0},"schema":"https://github.com/citation-style-language/schema/raw/master/csl-citation.json"}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(Harris</w:t>
      </w:r>
      <w:r w:rsidR="00BE3B6C" w:rsidRPr="00BE3B6C">
        <w:rPr>
          <w:rFonts w:ascii="Times New Roman" w:hAnsi="Times New Roman" w:cs="Times New Roman"/>
          <w:noProof/>
          <w:sz w:val="24"/>
          <w:szCs w:val="24"/>
        </w:rPr>
        <w:t xml:space="preserve"> 1993)</w:t>
      </w:r>
      <w:r w:rsidRPr="006F3B00">
        <w:rPr>
          <w:rFonts w:ascii="Times New Roman" w:hAnsi="Times New Roman" w:cs="Times New Roman"/>
          <w:sz w:val="24"/>
          <w:szCs w:val="24"/>
        </w:rPr>
        <w:fldChar w:fldCharType="end"/>
      </w:r>
      <w:r w:rsidR="002A5572">
        <w:rPr>
          <w:rFonts w:ascii="Times New Roman" w:hAnsi="Times New Roman" w:cs="Times New Roman"/>
          <w:sz w:val="24"/>
          <w:szCs w:val="24"/>
        </w:rPr>
        <w:t>.</w:t>
      </w:r>
    </w:p>
    <w:p w14:paraId="58ADBDD3" w14:textId="77777777" w:rsidR="002A5572" w:rsidRPr="006F3B00" w:rsidRDefault="002A5572" w:rsidP="00FF5302">
      <w:pPr>
        <w:spacing w:line="480" w:lineRule="auto"/>
        <w:rPr>
          <w:rFonts w:ascii="Times New Roman" w:hAnsi="Times New Roman" w:cs="Times New Roman"/>
          <w:sz w:val="24"/>
          <w:szCs w:val="24"/>
        </w:rPr>
      </w:pPr>
    </w:p>
    <w:p w14:paraId="426BB4E1" w14:textId="5938F560"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Regarding the nature of “skills”, these are obviously integral to professional practice but by trying to list each individual skill, one may lose the complexity and dynamic nature of the overall “whole”</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{"citationItems":[{"id":"ITEM-1","itemData":{"DOI":"10.1046/j.1365-2923.2002.01313.x","ISBN":"0308-0110 (Print)","ISSN":"03080110","PMID":"12390459","abstract":"INTRODUCTION: An essential element of practice performance assessment involves combining the results of various procedures in order to see the whole picture. This must be derived from both objective and subjective assessment, as well as a combination of quantitative and qualitative assessment procedures. Because of the severe consequences an assessment of practice performance may have, it is essential that the procedure is both defensible to the stakeholders and fair in that it distinguishes well between good performers and underperformers. LESSONS FROM COMPETENCE ASSESSMENT: Large samples of behaviour are always necessary because of the domain specificity of competence and performance. The test content is considerably more important in determining which competency is being measured than the test format, and it is important to recognise that the process of problem-solving process is more idiosyncratic than its outcome. It is advisable to add some structure to the assessment but to refrain from over-structuring, as this tends to trivialise the measurement. IMPLICATIONS FOR PRACTICE PERFORMANCE ASSESSMENT: A practice performance assessment should use multiple instruments. The reproducibility of subjective parts should not be increased by over-structuring, but by sampling through sources of bias. As many sources of bias may exist, sampling through all of them may not prove feasible. Therefore, a more project-orientated approach is suggested using a range of instruments. At various timepoints during any assessment with a particular instrument, questions should be raised as to whether the sampling is sufficient with respect to the quantity and quality of the observations, and whether the totality of assessments across instruments is sufficient to see 'the whole picture'. This policy is embedded within a larger organisational and health care context.","author":[{"dropping-particle":"","family":"Schuwirth","given":"L. W T","non-dropping-particle":"","parse-names":false,"suffix":""},{"dropping-particle":"","family":"Southgate","given":"L.","non-dropping-particle":"","parse-names":false,"suffix":""},{"dropping-particle":"","family":"Page","given":"G. G.","non-dropping-particle":"","parse-names":false,"suffix":""},{"dropping-particle":"","family":"Paget","given":"N. S.","non-dropping-particle":"","parse-names":false,"suffix":""},{"dropping-particle":"","family":"Lescop","given":"J. M J","non-dropping-particle":"","parse-names":false,"suffix":""},{"dropping-particle":"","family":"Lew","given":"S. R.","non-dropping-particle":"","parse-names":false,"suffix":""},{"dropping-particle":"","family":"Wade","given":"W. B.","non-dropping-particle":"","parse-names":false,"suffix":""},{"dropping-particle":"","family":"Barón-Maldonado","given":"M.","non-dropping-particle":"","parse-names":false,"suffix":""}],"container-title":"Medical Education","id":"ITEM-1","issue":"10","issued":{"date-parts":[["2002"]]},"page":"925-930","title":"When enough is enough: A conceptual basis for fair and defensible practice performance assessment","type":"paper-conference","volume":"36"},"uris":["http://www.mendeley.com/documents/?uuid=ed7854d7-6edc-4491-b9b4-823eb3694be2"]}],"mendeley":{"formattedCitation":"(Schuwirth &lt;i&gt;et al.&lt;/i&gt;, 2002)","plainTextFormattedCitation":"(Schuwirth et al., 2002)","previouslyFormattedCitation":"(L. W. T. Schuwirth et al. 2002)"},"properties":{"noteIndex":0},"schema":"https://github.com/citation-style-language/schema/raw/master/csl-citation.json"}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(Schuwirth </w:t>
      </w:r>
      <w:r w:rsidR="00BE3B6C" w:rsidRPr="002A5572">
        <w:rPr>
          <w:rFonts w:ascii="Times New Roman" w:hAnsi="Times New Roman" w:cs="Times New Roman"/>
          <w:noProof/>
          <w:sz w:val="24"/>
          <w:szCs w:val="24"/>
        </w:rPr>
        <w:t xml:space="preserve">et al. </w:t>
      </w:r>
      <w:r w:rsidR="00BE3B6C" w:rsidRPr="00BE3B6C">
        <w:rPr>
          <w:rFonts w:ascii="Times New Roman" w:hAnsi="Times New Roman" w:cs="Times New Roman"/>
          <w:noProof/>
          <w:sz w:val="24"/>
          <w:szCs w:val="24"/>
        </w:rPr>
        <w:t>2002)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Skills in professional practice have been described as being technologies, craft and art</w:t>
      </w:r>
      <w:r w:rsidR="002A55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{"citationItems":[{"id":"ITEM-1","itemData":{"author":[{"dropping-particle":"","family":"Harris","given":"I.","non-dropping-particle":"","parse-names":false,"suffix":""}],"container-title":"Educating Professionals","editor":[{"dropping-particle":"","family":"Wergin","given":"L. Curry &amp; J. F.","non-dropping-particle":"","parse-names":false,"suffix":""}],"id":"ITEM-1","issued":{"date-parts":[["1993"]]},"page":"17-52","publisher":"San Francisco: Jossey-Bass.","title":"New expectations for professional competence.","type":"chapter"},"uris":["http://www.mendeley.com/documents/?uuid=2b8f63e7-5add-4880-8e83-14269f581e66"]}],"mendeley":{"formattedCitation":"(Harris, 1993)","plainTextFormattedCitation":"(Harris, 1993)","previouslyFormattedCitation":"(I. Harris 1993)"},"properties":{"noteIndex":0},"schema":"https://github.com/citation-style-language/schema/raw/master/csl-citation.json"}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(Harris</w:t>
      </w:r>
      <w:r w:rsidR="00BE3B6C" w:rsidRPr="00BE3B6C">
        <w:rPr>
          <w:rFonts w:ascii="Times New Roman" w:hAnsi="Times New Roman" w:cs="Times New Roman"/>
          <w:noProof/>
          <w:sz w:val="24"/>
          <w:szCs w:val="24"/>
        </w:rPr>
        <w:t xml:space="preserve"> 1993)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Technologies are specific and prescribed procedures which are not open to interpretation; technologies are therefore relatively easy to assess</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{"citationItems":[{"id":"ITEM-1","itemData":{"author":[{"dropping-particle":"","family":"Chapman","given":"J.","non-dropping-particle":"","parse-names":false,"suffix":""}],"container-title":"Developing Professional Judgement in Health Care: Learning through the critical appreciation of practice","editor":[{"dropping-particle":"","family":"D. Fish &amp; C. Coles","given":"","non-dropping-particle":"","parse-names":false,"suffix":""}],"id":"ITEM-1","issued":{"date-parts":[["1998"]]},"page":"157-181","publisher":"Oxford: Butterworth-Heinemann.","title":"Agonising about assessment","type":"chapter"},"uris":["http://www.mendeley.com/documents/?uuid=dbf057f3-9b5a-4993-bbd5-494769906542"]}],"mendeley":{"formattedCitation":"(Chapman, 1998)","plainTextFormattedCitation":"(Chapman, 1998)","previouslyFormattedCitation":"(Chapman 1998)"},"properties":{"noteIndex":0},"schema":"https://github.com/citation-style-language/schema/raw/master/csl-citation.json"}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(Chapman</w:t>
      </w:r>
      <w:r w:rsidR="00BE3B6C" w:rsidRPr="00BE3B6C">
        <w:rPr>
          <w:rFonts w:ascii="Times New Roman" w:hAnsi="Times New Roman" w:cs="Times New Roman"/>
          <w:noProof/>
          <w:sz w:val="24"/>
          <w:szCs w:val="24"/>
        </w:rPr>
        <w:t xml:space="preserve"> 1998)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Craft skills allow for interpretation by the individual and may be adapted to particular situations. Artistic skills relates to having “artistry” in your profession, almost like having flair or an ability to work at a level that colleagues may strive for, but may never achieve.</w:t>
      </w:r>
    </w:p>
    <w:p w14:paraId="3906EBEA"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4B8A462E" w14:textId="4A1145EC"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Different professions place differing degrees of emphasis on particular “attitudes”, which probably stems from what is important and expected of that profession. Sometimes skills are confused with attitudes. For instance, professionalism may be described as a skill, but includes aspects of accountability, tolerance, reflection and integrity</w:t>
      </w:r>
      <w:r w:rsidR="002A55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{"citationItems":[{"id":"ITEM-1","itemData":{"abstract":"Defines the apprenticeship model-learn by studying master's art and moving from simple to more complex tasks initially highly supervised then less so until independent.  At its best offered individual tuition, hands-on , expert role model. At worst, poor role models, little quality control. Talks fo the development of the health professions which  sought to  acquire the characteristics already owned by medicine ie a body of knowledge, operated in a service mode under a code of professional conduct through professional self-regulation. Initially did so by emulating medicine then shifted to health professional model to clinical-technical competence supported by scientific knowledge base within the context and rules of professionalism.","author":[{"dropping-particle":"","family":"Higgs","given":"Joy","non-dropping-particle":"","parse-names":false,"suffix":""},{"dropping-particle":"","family":"Hunt","given":"Adrienne","non-dropping-particle":"","parse-names":false,"suffix":""}],"container-title":"Educating Beginning Practitioners.  Challenges for health professional education","id":"ITEM-1","issued":{"date-parts":[["1999"]]},"page":"10-18","title":"Rethinking the beginning practitioner: introducing the 'Interactional Professional'","type":"chapter"},"uris":["http://www.mendeley.com/documents/?uuid=6ce71199-bdfb-416f-b33b-dfcf0cefed68"]}],"mendeley":{"formattedCitation":"(Higgs and Hunt, 1999)","plainTextFormattedCitation":"(Higgs and Hunt, 1999)","previouslyFormattedCitation":"(Higgs and Hunt 1999)"},"properties":{"noteIndex":0},"schema":"https://github.com/citation-style-language/schema/raw/master/csl-citation.json"}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(Higgs and Hunt</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00FF5302">
        <w:rPr>
          <w:rFonts w:ascii="Times New Roman" w:hAnsi="Times New Roman" w:cs="Times New Roman"/>
          <w:sz w:val="24"/>
          <w:szCs w:val="24"/>
        </w:rPr>
        <w:t xml:space="preserve">. </w:t>
      </w:r>
    </w:p>
    <w:p w14:paraId="12B33D56" w14:textId="53C35DCE" w:rsidR="00863DF5" w:rsidRPr="006F3B00" w:rsidRDefault="007A0757" w:rsidP="00863DF5">
      <w:pPr>
        <w:pStyle w:val="Heading3"/>
        <w:rPr>
          <w:rFonts w:ascii="Times New Roman" w:hAnsi="Times New Roman" w:cs="Times New Roman"/>
          <w:color w:val="auto"/>
          <w:sz w:val="24"/>
          <w:szCs w:val="24"/>
        </w:rPr>
      </w:pPr>
      <w:bookmarkStart w:id="23" w:name="_Toc23243752"/>
      <w:r>
        <w:rPr>
          <w:rFonts w:ascii="Times New Roman" w:hAnsi="Times New Roman" w:cs="Times New Roman"/>
          <w:color w:val="auto"/>
          <w:sz w:val="24"/>
          <w:szCs w:val="24"/>
        </w:rPr>
        <w:t>1.2</w:t>
      </w:r>
      <w:r w:rsidR="006A43B1">
        <w:rPr>
          <w:rFonts w:ascii="Times New Roman" w:hAnsi="Times New Roman" w:cs="Times New Roman"/>
          <w:color w:val="auto"/>
          <w:sz w:val="24"/>
          <w:szCs w:val="24"/>
        </w:rPr>
        <w:t>.2.4</w:t>
      </w:r>
      <w:r w:rsidR="00863DF5" w:rsidRPr="006F3B00">
        <w:rPr>
          <w:rFonts w:ascii="Times New Roman" w:hAnsi="Times New Roman" w:cs="Times New Roman"/>
          <w:color w:val="auto"/>
          <w:sz w:val="24"/>
          <w:szCs w:val="24"/>
        </w:rPr>
        <w:t xml:space="preserve"> Carter’s taxonomy</w:t>
      </w:r>
      <w:bookmarkEnd w:id="23"/>
    </w:p>
    <w:p w14:paraId="0144D1EE" w14:textId="77777777" w:rsidR="00863DF5" w:rsidRPr="006F3B00" w:rsidRDefault="00863DF5" w:rsidP="00863DF5">
      <w:pPr>
        <w:rPr>
          <w:rFonts w:ascii="Times New Roman" w:hAnsi="Times New Roman" w:cs="Times New Roman"/>
          <w:sz w:val="24"/>
          <w:szCs w:val="24"/>
        </w:rPr>
      </w:pPr>
    </w:p>
    <w:p w14:paraId="65786FC6" w14:textId="6E535439" w:rsidR="00863DF5"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Bloom’s taxonomy identifies important attributes which help to decipher the idea of competency, but perhaps it does not satisfactorily describe the learning outcomes expected of a trainee entering their profession. These shortcomings were explored by </w:t>
      </w:r>
      <w:r w:rsidRPr="006F3B00">
        <w:rPr>
          <w:rFonts w:ascii="Times New Roman" w:hAnsi="Times New Roman" w:cs="Times New Roman"/>
          <w:sz w:val="24"/>
          <w:szCs w:val="24"/>
        </w:rPr>
        <w:lastRenderedPageBreak/>
        <w:t>Carter</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{"citationItems":[{"id":"ITEM-1","itemData":{"DOI":"10.1080/03075078512331378559","ISSN":"0307-5079","abstract":"ABSTRACT A discussion of available ways of analysing and specifying educational objectives shows that none is adequate for considering professional education. A new taxonomy of educational objectives designed to meet this need is described. The classification is based on a description of personal attributes under the main headings: knowledge, skill and personal qualities. The application of the taxonomy to the analysis and design of curricula is discussed together with implications for learning experiences and assessment. It is suggested that the taxonomy could have applications in other areas of education as an aid to clarity of thought about educational objectives.","author":[{"dropping-particle":"","family":"Carter","given":"Richard","non-dropping-particle":"","parse-names":false,"suffix":""}],"container-title":"Studies in Higher Education","id":"ITEM-1","issue":"2","issued":{"date-parts":[["1985"]]},"page":"135-149","title":"A taxonomy of objectives for professional education","type":"article-journal","volume":"10"},"uris":["http://www.mendeley.com/documents/?uuid=e1338ebe-8327-41e5-9164-23d03461ad1d"]}],"mendeley":{"formattedCitation":"(Carter, 1985)","plainTextFormattedCitation":"(Carter, 1985)","previouslyFormattedCitation":"(Carter 1985)"},"properties":{"noteIndex":0},"schema":"https://github.com/citation-style-language/schema/raw/master/csl-citation.json"}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(Carter</w:t>
      </w:r>
      <w:r w:rsidR="00BE3B6C" w:rsidRPr="00BE3B6C">
        <w:rPr>
          <w:rFonts w:ascii="Times New Roman" w:hAnsi="Times New Roman" w:cs="Times New Roman"/>
          <w:noProof/>
          <w:sz w:val="24"/>
          <w:szCs w:val="24"/>
        </w:rPr>
        <w:t xml:space="preserve"> 1985)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For instance, knowing how to do something is not the same as actually being able to do it. Other criticisms of Bloom’s taxonomy are related to the categories being too broad and not allowing examination of specific qualities. Carter’s taxonomy contains three principle divisions, each with a cognitive and an affective component. The divisions are knowledge, skills and personal qualities. Taking the knowledge division as an example, the cognitive component would cover factual knowledge whereas the affective component covers experiential knowledge. To this end, knowledge is more than just knowing facts, it is about understanding the principles that underpin the facts. Carter’s approach therefore emphasises the qualities required for professional practice and the importance of each category can be adapted to f</w:t>
      </w:r>
      <w:r w:rsidR="00FF5302">
        <w:rPr>
          <w:rFonts w:ascii="Times New Roman" w:hAnsi="Times New Roman" w:cs="Times New Roman"/>
          <w:sz w:val="24"/>
          <w:szCs w:val="24"/>
        </w:rPr>
        <w:t xml:space="preserve">it each individual profession. </w:t>
      </w:r>
    </w:p>
    <w:p w14:paraId="0BACDF45" w14:textId="77777777" w:rsidR="00FF5302" w:rsidRPr="006F3B00" w:rsidRDefault="00FF5302" w:rsidP="00863DF5">
      <w:pPr>
        <w:autoSpaceDE w:val="0"/>
        <w:autoSpaceDN w:val="0"/>
        <w:adjustRightInd w:val="0"/>
        <w:spacing w:after="0" w:line="480" w:lineRule="auto"/>
        <w:rPr>
          <w:rFonts w:ascii="Times New Roman" w:hAnsi="Times New Roman" w:cs="Times New Roman"/>
          <w:sz w:val="24"/>
          <w:szCs w:val="24"/>
        </w:rPr>
      </w:pPr>
    </w:p>
    <w:p w14:paraId="5864E6EE" w14:textId="365454F9"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For instance, a teacher may need to place emphasis on the value of the individual but a manager would place more emphasis on groups of people</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{"citationItems":[{"id":"ITEM-1","itemData":{"DOI":"10.1080/03075078512331378559","ISSN":"0307-5079","abstract":"ABSTRACT A discussion of available ways of analysing and specifying educational objectives shows that none is adequate for considering professional education. A new taxonomy of educational objectives designed to meet this need is described. The classification is based on a description of personal attributes under the main headings: knowledge, skill and personal qualities. The application of the taxonomy to the analysis and design of curricula is discussed together with implications for learning experiences and assessment. It is suggested that the taxonomy could have applications in other areas of education as an aid to clarity of thought about educational objectives.","author":[{"dropping-particle":"","family":"Carter","given":"Richard","non-dropping-particle":"","parse-names":false,"suffix":""}],"container-title":"Studies in Higher Education","id":"ITEM-1","issue":"2","issued":{"date-parts":[["1985"]]},"page":"135-149","title":"A taxonomy of objectives for professional education","type":"article-journal","volume":"10"},"uris":["http://www.mendeley.com/documents/?uuid=e1338ebe-8327-41e5-9164-23d03461ad1d"]}],"mendeley":{"formattedCitation":"(Carter, 1985)","plainTextFormattedCitation":"(Carter, 1985)","previouslyFormattedCitation":"(Carter 1985)"},"properties":{"noteIndex":0},"schema":"https://github.com/citation-style-language/schema/raw/master/csl-citation.json"}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(Carter</w:t>
      </w:r>
      <w:r w:rsidR="00BE3B6C" w:rsidRPr="00BE3B6C">
        <w:rPr>
          <w:rFonts w:ascii="Times New Roman" w:hAnsi="Times New Roman" w:cs="Times New Roman"/>
          <w:noProof/>
          <w:sz w:val="24"/>
          <w:szCs w:val="24"/>
        </w:rPr>
        <w:t xml:space="preserve"> 1985)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allowing a more tailored approach. With regard to the “skill” category, it would be simplistic to focus only on a particular skill, but Carter’s approach includes aspects of judgement and reflection, offering a more holistic taxonomy which is aligned to professional practice. </w:t>
      </w:r>
    </w:p>
    <w:p w14:paraId="31FC16CC"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2F035DE3" w14:textId="296B218C"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Higgs and Hunt also developed a model of competency for health professionals, where competence is viewed in the context that the professional works in and covers four main domains of professional competence</w:t>
      </w:r>
      <w:r w:rsidR="002A557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{"citationItems":[{"id":"ITEM-1","itemData":{"abstract":"Defines the apprenticeship model-learn by studying master's art and moving from simple to more complex tasks initially highly supervised then less so until independent.  At its best offered individual tuition, hands-on , expert role model. At worst, poor role models, little quality control. Talks fo the development of the health professions which  sought to  acquire the characteristics already owned by medicine ie a body of knowledge, operated in a service mode under a code of professional conduct through professional self-regulation. Initially did so by emulating medicine then shifted to health professional model to clinical-technical competence supported by scientific knowledge base within the context and rules of professionalism.","author":[{"dropping-particle":"","family":"Higgs","given":"Joy","non-dropping-particle":"","parse-names":false,"suffix":""},{"dropping-particle":"","family":"Hunt","given":"Adrienne","non-dropping-particle":"","parse-names":false,"suffix":""}],"container-title":"Educating Beginning Practitioners.  Challenges for health professional education","id":"ITEM-1","issued":{"date-parts":[["1999"]]},"page":"10-18","title":"Rethinking the beginning practitioner: introducing the 'Interactional Professional'","type":"chapter"},"uris":["http://www.mendeley.com/documents/?uuid=6ce71199-bdfb-416f-b33b-dfcf0cefed68"]}],"mendeley":{"formattedCitation":"(Higgs and Hunt, 1999)","plainTextFormattedCitation":"(Higgs and Hunt, 1999)","previouslyFormattedCitation":"(Higgs and Hunt 1999)"},"properties":{"noteIndex":0},"schema":"https://github.com/citation-style-language/schema/raw/master/csl-citation.json"}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(Higgs and Hunt</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They focus on skills and qualities which are more integral to the workplace and the broader context of the profession, including technical competence, interpersonal competence, interacting with others, coping with change, professional responsibilities, accountability and even interactions with society.</w:t>
      </w:r>
    </w:p>
    <w:p w14:paraId="2F3595C6"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35BF8B45" w14:textId="7FCB509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Clearly, knowledge, skills and attitudes are integral to competency and do not exist in isolation. Dreyfus and Dreyfus highlight that good practice requires sound knowledge, and similarly, sound knowledge without evidence of practice will not produce the correct behaviours, especially in complex scenarios</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{"citationItems":[{"id":"ITEM-1","itemData":{"author":[{"dropping-particle":"","family":"Dreyfus, H. L., &amp; Dreyfus","given":"S. E.","non-dropping-particle":"","parse-names":false,"suffix":""}],"container-title":"Expertise in Nursing Practice: Caring, clinical judgment, and ethics.","editor":[{"dropping-particle":"","family":"Chesla","given":"P. A. Benner &amp; C. A. Tanner &amp; C. A.","non-dropping-particle":"","parse-names":false,"suffix":""}],"id":"ITEM-1","issued":{"date-parts":[["1996"]]},"page":"29-47","publisher":"New York: Springer Publishing Company.","title":"The relationship of theory and practice in the acquisition of skill.","type":"chapter"},"uris":["http://www.mendeley.com/documents/?uuid=fe3d1883-ed57-426c-98b7-8eacaf038381"]}],"mendeley":{"formattedCitation":"(Dreyfus, H. L., &amp; Dreyfus, 1996)","plainTextFormattedCitation":"(Dreyfus, H. L., &amp; Dreyfus, 1996)","previouslyFormattedCitation":"(Dreyfus, H. L., &amp; Dreyfus 1996)"},"properties":{"noteIndex":0},"schema":"https://github.com/citation-style-language/schema/raw/master/csl-citation.json"}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(Dreyfus and Dreyfus</w:t>
      </w:r>
      <w:r w:rsidR="00BE3B6C" w:rsidRPr="00BE3B6C">
        <w:rPr>
          <w:rFonts w:ascii="Times New Roman" w:hAnsi="Times New Roman" w:cs="Times New Roman"/>
          <w:noProof/>
          <w:sz w:val="24"/>
          <w:szCs w:val="24"/>
        </w:rPr>
        <w:t xml:space="preserve"> 1996)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It is therefore important not to view the integral aspects of competency as being separate and unrelated, but one should appreciate the interplay between knowledge, skills and attitudes in achieving competency. For instance, one cannot manage patients on a hospital ward without sufficient medical knowledge, but even with sufficient knowledge, the individual must be aware of the ethical and cultural implications of their proposed treatment</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{"citationItems":[{"id":"ITEM-1","itemData":{"author":[{"dropping-particle":"","family":"Boshuizen, H. P. A., &amp; Schmidt","given":"H. G.","non-dropping-particle":"","parse-names":false,"suffix":""}],"container-title":"Clinical Reasoning in the Health Professions","edition":"2nd","editor":[{"dropping-particle":"","family":"Higgs J, Jones","given":"M","non-dropping-particle":"","parse-names":false,"suffix":""}],"id":"ITEM-1","issued":{"date-parts":[["2000"]]},"page":"15-22","publisher":"Oxford: Butterworth-Heinemann.","title":"The development of clinical reasoning expertise.","type":"chapter"},"uris":["http://www.mendeley.com/documents/?uuid=8625f796-dab5-4582-9934-789f3e32f723"]}],"mendeley":{"formattedCitation":"(Boshuizen, H. P. A., &amp; Schmidt, 2000)","plainTextFormattedCitation":"(Boshuizen, H. P. A., &amp; Schmidt, 2000)","previouslyFormattedCitation":"(Boshuizen, H. P. A., &amp; Schmidt 2000)"},"properties":{"noteIndex":0},"schema":"https://github.com/citation-style-language/schema/raw/master/csl-citation.json"}</w:instrText>
      </w:r>
      <w:r w:rsidRPr="006F3B00">
        <w:rPr>
          <w:rFonts w:ascii="Times New Roman" w:hAnsi="Times New Roman" w:cs="Times New Roman"/>
          <w:sz w:val="24"/>
          <w:szCs w:val="24"/>
        </w:rPr>
        <w:fldChar w:fldCharType="separate"/>
      </w:r>
      <w:r w:rsidR="002A5572">
        <w:rPr>
          <w:rFonts w:ascii="Times New Roman" w:hAnsi="Times New Roman" w:cs="Times New Roman"/>
          <w:noProof/>
          <w:sz w:val="24"/>
          <w:szCs w:val="24"/>
        </w:rPr>
        <w:t>(Boshuizen and Schmidt</w:t>
      </w:r>
      <w:r w:rsidR="00BE3B6C" w:rsidRPr="00BE3B6C">
        <w:rPr>
          <w:rFonts w:ascii="Times New Roman" w:hAnsi="Times New Roman" w:cs="Times New Roman"/>
          <w:noProof/>
          <w:sz w:val="24"/>
          <w:szCs w:val="24"/>
        </w:rPr>
        <w:t xml:space="preserve"> 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104EB4B4" w14:textId="2215AD14" w:rsidR="00863DF5" w:rsidRPr="006F3B00" w:rsidRDefault="007A0757" w:rsidP="00863DF5">
      <w:pPr>
        <w:pStyle w:val="Heading2"/>
        <w:rPr>
          <w:rFonts w:ascii="Times New Roman" w:eastAsia="Times New Roman" w:hAnsi="Times New Roman" w:cs="Times New Roman"/>
          <w:color w:val="auto"/>
          <w:sz w:val="24"/>
          <w:szCs w:val="24"/>
          <w:shd w:val="clear" w:color="auto" w:fill="FFFFFF"/>
        </w:rPr>
      </w:pPr>
      <w:bookmarkStart w:id="24" w:name="_Toc23243753"/>
      <w:r>
        <w:rPr>
          <w:rFonts w:ascii="Times New Roman" w:eastAsia="Times New Roman" w:hAnsi="Times New Roman" w:cs="Times New Roman"/>
          <w:color w:val="auto"/>
          <w:sz w:val="24"/>
          <w:szCs w:val="24"/>
          <w:shd w:val="clear" w:color="auto" w:fill="FFFFFF"/>
        </w:rPr>
        <w:t>1.2</w:t>
      </w:r>
      <w:r w:rsidR="006A43B1">
        <w:rPr>
          <w:rFonts w:ascii="Times New Roman" w:eastAsia="Times New Roman" w:hAnsi="Times New Roman" w:cs="Times New Roman"/>
          <w:color w:val="auto"/>
          <w:sz w:val="24"/>
          <w:szCs w:val="24"/>
          <w:shd w:val="clear" w:color="auto" w:fill="FFFFFF"/>
        </w:rPr>
        <w:t>.3</w:t>
      </w:r>
      <w:r w:rsidR="00863DF5" w:rsidRPr="006F3B00">
        <w:rPr>
          <w:rFonts w:ascii="Times New Roman" w:eastAsia="Times New Roman" w:hAnsi="Times New Roman" w:cs="Times New Roman"/>
          <w:color w:val="auto"/>
          <w:sz w:val="24"/>
          <w:szCs w:val="24"/>
          <w:shd w:val="clear" w:color="auto" w:fill="FFFFFF"/>
        </w:rPr>
        <w:t xml:space="preserve"> Reflection and competence</w:t>
      </w:r>
      <w:bookmarkEnd w:id="24"/>
    </w:p>
    <w:p w14:paraId="367720AD" w14:textId="77777777" w:rsidR="00863DF5" w:rsidRPr="006F3B00" w:rsidRDefault="00863DF5" w:rsidP="00863DF5">
      <w:pPr>
        <w:rPr>
          <w:rFonts w:ascii="Times New Roman" w:hAnsi="Times New Roman" w:cs="Times New Roman"/>
          <w:sz w:val="24"/>
          <w:szCs w:val="24"/>
        </w:rPr>
      </w:pPr>
    </w:p>
    <w:p w14:paraId="132D6B09" w14:textId="1E8A3AF2" w:rsidR="00863DF5" w:rsidRPr="006F3B00" w:rsidRDefault="00863DF5" w:rsidP="00863DF5">
      <w:pPr>
        <w:spacing w:line="480" w:lineRule="auto"/>
        <w:rPr>
          <w:rFonts w:ascii="Times New Roman" w:hAnsi="Times New Roman" w:cs="Times New Roman"/>
          <w:sz w:val="24"/>
          <w:szCs w:val="24"/>
        </w:rPr>
      </w:pPr>
      <w:r w:rsidRPr="006F3B00">
        <w:rPr>
          <w:rFonts w:ascii="Times New Roman" w:eastAsia="Times New Roman" w:hAnsi="Times New Roman" w:cs="Times New Roman"/>
          <w:sz w:val="24"/>
          <w:szCs w:val="24"/>
          <w:shd w:val="clear" w:color="auto" w:fill="FFFFFF"/>
        </w:rPr>
        <w:t xml:space="preserve">Competency is not a static quality, somehow maintained throughout one’s career by the virtue of passing an exam 20 years ago! Reflection is </w:t>
      </w:r>
      <w:r w:rsidRPr="006F3B00">
        <w:rPr>
          <w:rFonts w:ascii="Times New Roman" w:hAnsi="Times New Roman" w:cs="Times New Roman"/>
          <w:sz w:val="24"/>
          <w:szCs w:val="24"/>
        </w:rPr>
        <w:t>strongly linked to improving and maintaining clinical competence</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{"citationItems":[{"id":"ITEM-1","itemData":{"DOI":"10.1111/j.1556-4029.2010.01328.x","ISBN":"1449-9789","ISSN":"14499789","abstract":"This paper offers a medical-education perspective that I will hope complement other disciplinary perspectives in examining the value of reflection for learning in tertiary education. The paper outlines some of the theoretical strands of reflective practice facilitated in a unique course subject for professionalism and patient safety, within the new spiral curriculum at Leeds University School of Medicine. The material presented in this paper outlines some of what is delivered during the medical students' interactive sessions; this material is continually modified based on feedback from both students and learning facilitators. The paper discusses why both students and clinicians need to reflect, some of the theoretical dimensions and models and examples from the Leeds context of how reflective competence can be progressively developed over the course of an undergraduate program.","author":[{"dropping-particle":"","family":"Hargreaves","given":"K.","non-dropping-particle":"","parse-names":false,"suffix":""}],"container-title":"Journal of University Teaching and Learning","id":"ITEM-1","issue":"2","issued":{"date-parts":[["2016"]]},"page":"6","title":"Reflection in Medical Education.","type":"article-journal","volume":"13"},"uris":["http://www.mendeley.com/documents/?uuid=6c3c21bb-3bad-46f9-a9df-54247043db9d","http://www.mendeley.com/documents/?uuid=dfcdbf92-8b37-40e7-902b-2f763b467e16"]}],"mendeley":{"formattedCitation":"(Hargreaves, 2016)","plainTextFormattedCitation":"(Hargreaves, 2016)","previouslyFormattedCitation":"(Hargreaves 2016)"},"properties":{"noteIndex":0},"schema":"https://github.com/citation-style-language/schema/raw/master/csl-citation.json"}</w:instrText>
      </w:r>
      <w:r w:rsidRPr="006F3B00">
        <w:rPr>
          <w:rFonts w:ascii="Times New Roman" w:hAnsi="Times New Roman" w:cs="Times New Roman"/>
          <w:sz w:val="24"/>
          <w:szCs w:val="24"/>
        </w:rPr>
        <w:fldChar w:fldCharType="separate"/>
      </w:r>
      <w:r w:rsidR="00F7156E">
        <w:rPr>
          <w:rFonts w:ascii="Times New Roman" w:hAnsi="Times New Roman" w:cs="Times New Roman"/>
          <w:noProof/>
          <w:sz w:val="24"/>
          <w:szCs w:val="24"/>
        </w:rPr>
        <w:t>(Hargreaves</w:t>
      </w:r>
      <w:r w:rsidR="00BE3B6C" w:rsidRPr="00BE3B6C">
        <w:rPr>
          <w:rFonts w:ascii="Times New Roman" w:hAnsi="Times New Roman" w:cs="Times New Roman"/>
          <w:noProof/>
          <w:sz w:val="24"/>
          <w:szCs w:val="24"/>
        </w:rPr>
        <w:t xml:space="preserve"> 2016)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Refl</w:t>
      </w:r>
      <w:r w:rsidR="001454C7">
        <w:rPr>
          <w:rFonts w:ascii="Times New Roman" w:hAnsi="Times New Roman" w:cs="Times New Roman"/>
          <w:sz w:val="24"/>
          <w:szCs w:val="24"/>
        </w:rPr>
        <w:t>ection is a metacognitive skill</w:t>
      </w:r>
      <w:r w:rsidRPr="006F3B00">
        <w:rPr>
          <w:rFonts w:ascii="Times New Roman" w:hAnsi="Times New Roman" w:cs="Times New Roman"/>
          <w:sz w:val="24"/>
          <w:szCs w:val="24"/>
        </w:rPr>
        <w:t xml:space="preserve"> involving a process of deconstruction and reconstruction where individuals make sense and give meaning to their practice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{"citationItems":[{"id":"ITEM-1","itemData":{"author":[{"dropping-particle":"","family":"Schon","given":"Donald","non-dropping-particle":"","parse-names":false,"suffix":""}],"id":"ITEM-1","issued":{"date-parts":[["1983"]]},"publisher":"Basic Books","publisher-place":"New York","title":"The reflective practitioner: how professionals think in action","type":"book"},"uris":["http://www.mendeley.com/documents/?uuid=3bf877b5-5ff4-48d6-998c-80f78ad6a060"]}],"mendeley":{"formattedCitation":"(Schon, 1983)","plainTextFormattedCitation":"(Schon, 1983)","previouslyFormattedCitation":"(Schon 1983)"},"properties":{"noteIndex":0},"schema":"https://github.com/citation-style-language/schema/raw/master/csl-citation.json"}</w:instrText>
      </w:r>
      <w:r w:rsidRPr="006F3B00">
        <w:rPr>
          <w:rFonts w:ascii="Times New Roman" w:hAnsi="Times New Roman" w:cs="Times New Roman"/>
          <w:sz w:val="24"/>
          <w:szCs w:val="24"/>
        </w:rPr>
        <w:fldChar w:fldCharType="separate"/>
      </w:r>
      <w:r w:rsidR="00F7156E">
        <w:rPr>
          <w:rFonts w:ascii="Times New Roman" w:hAnsi="Times New Roman" w:cs="Times New Roman"/>
          <w:noProof/>
          <w:sz w:val="24"/>
          <w:szCs w:val="24"/>
        </w:rPr>
        <w:t>(Schon</w:t>
      </w:r>
      <w:r w:rsidR="00BE3B6C" w:rsidRPr="00BE3B6C">
        <w:rPr>
          <w:rFonts w:ascii="Times New Roman" w:hAnsi="Times New Roman" w:cs="Times New Roman"/>
          <w:noProof/>
          <w:sz w:val="24"/>
          <w:szCs w:val="24"/>
        </w:rPr>
        <w:t xml:space="preserve"> 1983)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Reflection can be thought of as using thoughtful practice into a potential learning situation</w:t>
      </w:r>
      <w:r w:rsidR="0062633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{"citationItems":[{"id":"ITEM-1","itemData":{"DOI":"10.1080/713611442","ISBN":"02602938","ISSN":"02602938","PMID":"3990961","abstract":"Many courses aim to promote reflective thinking or reflection upon practice, but there is a scarcity of readily usable instruments to determine whether students engage in reflective thinking and, if so, to what extent. This paper reports the development and testing of such an instrument. To ensure validity, the constructs measured were derived from the extensive literature on reflective thinking, particularly the writing of Mezirow. A combination of the literature review and initial testing led to the development of a four-scale instrument measuring four constructs; habitual action, understanding, reflection and critical reflection. The final version of the instrument was tested with a sample of 303 students from eight classes of a health science faculty. The reliability of the scales was established by acceptable Cronbach alpha values. Confirmatory factor analysis showed a good fit to the proposed four-factor structure. Comparison of mean scores between the eight classes showed predicted significant differences on each of the four scales between undergraduate and postgraduate students. [ABSTRACT FROM AUTHOR]","author":[{"dropping-particle":"","family":"Kember","given":"David","non-dropping-particle":"","parse-names":false,"suffix":""},{"dropping-particle":"","family":"Leung","given":"Doris Y.P.","non-dropping-particle":"","parse-names":false,"suffix":""},{"dropping-particle":"","family":"Jones","given":"Alice","non-dropping-particle":"","parse-names":false,"suffix":""},{"dropping-particle":"","family":"Loke","given":"Alice Yuen","non-dropping-particle":"","parse-names":false,"suffix":""},{"dropping-particle":"","family":"McKay","given":"Jan","non-dropping-particle":"","parse-names":false,"suffix":""},{"dropping-particle":"","family":"Sinclair","given":"Kit","non-dropping-particle":"","parse-names":false,"suffix":""},{"dropping-particle":"","family":"Tse","given":"Harrison","non-dropping-particle":"","parse-names":false,"suffix":""},{"dropping-particle":"","family":"Webb","given":"Celia","non-dropping-particle":"","parse-names":false,"suffix":""},{"dropping-particle":"","family":"Wong","given":"Frances Kam Yuet","non-dropping-particle":"","parse-names":false,"suffix":""},{"dropping-particle":"","family":"Wong","given":"Marian","non-dropping-particle":"","parse-names":false,"suffix":""},{"dropping-particle":"","family":"Yeung","given":"Ella","non-dropping-particle":"","parse-names":false,"suffix":""}],"container-title":"Assessment and Evaluation in Higher Education","id":"ITEM-1","issue":"4","issued":{"date-parts":[["2000"]]},"page":"381-395","title":"Development of a questionnaire to measure the level of reflective thinking","type":"article","volume":"25"},"uris":["http://www.mendeley.com/documents/?uuid=5d0390c2-07d3-4090-a733-cde75cad49b9","http://www.mendeley.com/documents/?uuid=6699d331-bcee-47b9-9492-1a2aaa5032d7"]}],"mendeley":{"formattedCitation":"(Kember &lt;i&gt;et al.&lt;/i&gt;, 2000)","plainTextFormattedCitation":"(Kember et al., 2000)","previouslyFormattedCitation":"(Kember et al. 2000)"},"properties":{"noteIndex":0},"schema":"https://github.com/citation-style-language/schema/raw/master/csl-citation.json"}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(Kember </w:t>
      </w:r>
      <w:r w:rsidR="00BE3B6C" w:rsidRPr="00F7156E">
        <w:rPr>
          <w:rFonts w:ascii="Times New Roman" w:hAnsi="Times New Roman" w:cs="Times New Roman"/>
          <w:noProof/>
          <w:sz w:val="24"/>
          <w:szCs w:val="24"/>
        </w:rPr>
        <w:t xml:space="preserve">et al. </w:t>
      </w:r>
      <w:r w:rsidR="00BE3B6C" w:rsidRPr="00BE3B6C">
        <w:rPr>
          <w:rFonts w:ascii="Times New Roman" w:hAnsi="Times New Roman" w:cs="Times New Roman"/>
          <w:noProof/>
          <w:sz w:val="24"/>
          <w:szCs w:val="24"/>
        </w:rPr>
        <w:t>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It has become an integral part of training and assessment in nursing, teacher education, social care and the training of doctors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{"citationItems":[{"id":"ITEM-1","itemData":{"abstract":"Assessment practices in higher education institutions tend not to equip students well for the processes of effective learning in a learning society. The purposes of assessment should be extended to include the preparation of students for sustainable assessment. Sustainable assessment encompasses the abilities required to undertake those activities that necessarily accompany learning throughout life in formal and informal settings. Characteristics of effective formative assessment identified by recent research are used to illustrate features of sustainable assessment. Assessment acts need both to meet the specific and immediate goals of a course as well as establishing a basis for students to undertake their own assessment activities in the future. To draw attention to the importance of this, the idea that assessment always has to do double duty is introduced.","author":[{"dropping-particle":"","family":"Boud","given":"David","non-dropping-particle":"","parse-names":false,"suffix":""}],"container-title":"Continuing Education","id":"ITEM-1","issued":{"date-parts":[["2000"]]},"page":"151-167","title":"Sustaineable Assessment: Rethinking assessment for the learning society","type":"article-journal","volume":"22"},"uris":["http://www.mendeley.com/documents/?uuid=02c31c50-e120-429d-92a1-c6748d01a67d"]}],"mendeley":{"formattedCitation":"(Boud, 2000)","plainTextFormattedCitation":"(Boud, 2000)","previouslyFormattedCitation":"(Boud 2000)"},"properties":{"noteIndex":0},"schema":"https://github.com/citation-style-language/schema/raw/master/csl-citation.json"}</w:instrText>
      </w:r>
      <w:r w:rsidRPr="006F3B00">
        <w:rPr>
          <w:rFonts w:ascii="Times New Roman" w:hAnsi="Times New Roman" w:cs="Times New Roman"/>
          <w:sz w:val="24"/>
          <w:szCs w:val="24"/>
        </w:rPr>
        <w:fldChar w:fldCharType="separate"/>
      </w:r>
      <w:r w:rsidR="00F7156E">
        <w:rPr>
          <w:rFonts w:ascii="Times New Roman" w:hAnsi="Times New Roman" w:cs="Times New Roman"/>
          <w:noProof/>
          <w:sz w:val="24"/>
          <w:szCs w:val="24"/>
        </w:rPr>
        <w:t>(Boud</w:t>
      </w:r>
      <w:r w:rsidR="00BE3B6C" w:rsidRPr="00BE3B6C">
        <w:rPr>
          <w:rFonts w:ascii="Times New Roman" w:hAnsi="Times New Roman" w:cs="Times New Roman"/>
          <w:noProof/>
          <w:sz w:val="24"/>
          <w:szCs w:val="24"/>
        </w:rPr>
        <w:t xml:space="preserve"> 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Regular feedback and in-depth discussions between a trainer and trainee may help the trainee to examine their performance in detail and act upon aspects of their performance which require development</w:t>
      </w:r>
      <w:r w:rsidR="00F7156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{"citationItems":[{"id":"ITEM-1","itemData":{"DOI":"10.1111/j.1600-0579.2010.00650.x","ISBN":"1600-0579 (Electronic)\\r1396-5883 (Linking)","ISSN":"1600-0579","PMID":"21762320","abstract":"INTRODUCTION: For health professionals, the development of insight into their performance is vital for safe practice, professional development and self-regulation. This study investigates whether the development of dental trainees' insight, when provided with external feedback on performance, can be assessed using a single criterion on a simple global ratings form such as the Longitudinal Evaluation of Performance or Mini Clinical Evaluation Exercise.\\n\\nMETHODS: Postgraduate dental trainees (N = 139) were assessed using this tool on a weekly basis for 6 months. Regression analysis of the data was carried out using SPSS, and a short trainer questionnaire was implemented to investigate feasibility.\\n\\nRESULTS: Ratings for insight were shown to increase with time in a similar manner to the growth observed in other essential skills. The gradient of the slope for growth of insight was slightly less than that of the other observed skills. Trainers were mostly positive about the new criterion assessing trainees' insight, although the importance of training for trainers in this process was highlighted.\\n\\nDISCUSSION: Our data suggest that practitioners' insight into their performance can be developed with experience and regular feedback. However, this is most likely a complex skill dependent on a number of intrinsic and external factors.\\n\\nCONCLUSION: The development of trainees' insight into their performance can be assessed using a single criterion on a simple global ratings form. The process involves no additional burden on evaluators in terms of their time or cost, and promotes best practice in the provision of feedback for trainees.","author":[{"dropping-particle":"","family":"Prescott-Clements","given":"L E","non-dropping-particle":"","parse-names":false,"suffix":""},{"dropping-particle":"","family":"Vleuten","given":"C P M","non-dropping-particle":"van der","parse-names":false,"suffix":""},{"dropping-particle":"","family":"Schuwirth","given":"L","non-dropping-particle":"","parse-names":false,"suffix":""},{"dropping-particle":"","family":"Gibb","given":"E","non-dropping-particle":"","parse-names":false,"suffix":""},{"dropping-particle":"","family":"Hurst","given":"Y","non-dropping-particle":"","parse-names":false,"suffix":""},{"dropping-particle":"","family":"Rennie","given":"J S","non-dropping-particle":"","parse-names":false,"suffix":""}],"container-title":"European journal of dental education : official journal of the Association for Dental Education in Europe","id":"ITEM-1","issue":"3","issued":{"date-parts":[["2011"]]},"page":"159-64","title":"Measuring the development of insight by dental health professionals in training using workplace-based assessment.","type":"article-journal","volume":"15"},"uris":["http://www.mendeley.com/documents/?uuid=c5519164-3372-4506-b9da-fd4ce050de52"]}],"mendeley":{"formattedCitation":"(Prescott-Clements &lt;i&gt;et al.&lt;/i&gt;, 2011)","plainTextFormattedCitation":"(Prescott-Clements et al., 2011)","previouslyFormattedCitation":"(Prescott-Clements et al. 2011)"},"properties":{"noteIndex":0},"schema":"https://github.com/citation-style-language/schema/raw/master/csl-citation.json"}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(Prescott-Clements </w:t>
      </w:r>
      <w:r w:rsidR="00BE3B6C" w:rsidRPr="00F7156E">
        <w:rPr>
          <w:rFonts w:ascii="Times New Roman" w:hAnsi="Times New Roman" w:cs="Times New Roman"/>
          <w:noProof/>
          <w:sz w:val="24"/>
          <w:szCs w:val="24"/>
        </w:rPr>
        <w:t xml:space="preserve">et al. </w:t>
      </w:r>
      <w:r w:rsidR="00BE3B6C" w:rsidRPr="00BE3B6C">
        <w:rPr>
          <w:rFonts w:ascii="Times New Roman" w:hAnsi="Times New Roman" w:cs="Times New Roman"/>
          <w:noProof/>
          <w:sz w:val="24"/>
          <w:szCs w:val="24"/>
        </w:rPr>
        <w:t>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Reflection improves deep and lifelong learning, improving professional performance for the benefit of patient</w:t>
      </w:r>
      <w:r w:rsidR="00DF2209">
        <w:rPr>
          <w:rFonts w:ascii="Times New Roman" w:hAnsi="Times New Roman" w:cs="Times New Roman"/>
          <w:sz w:val="24"/>
          <w:szCs w:val="24"/>
        </w:rPr>
        <w:t>s</w:t>
      </w:r>
      <w:r w:rsidRPr="006F3B0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{"citationItems":[{"id":"ITEM-1","itemData":{"DOI":"10.1111/j.1556-4029.2010.01328.x","ISBN":"1449-9789","ISSN":"14499789","abstract":"This paper offers a medical-education perspective that I will hope complement other disciplinary perspectives in examining the value of reflection for learning in tertiary education. The paper outlines some of the theoretical strands of reflective practice facilitated in a unique course subject for professionalism and patient safety, within the new spiral curriculum at Leeds University School of Medicine. The material presented in this paper outlines some of what is delivered during the medical students' interactive sessions; this material is continually modified based on feedback from both students and learning facilitators. The paper discusses why both students and clinicians need to reflect, some of the theoretical dimensions and models and examples from the Leeds context of how reflective competence can be progressively developed over the course of an undergraduate program.","author":[{"dropping-particle":"","family":"Hargreaves","given":"K.","non-dropping-particle":"","parse-names":false,"suffix":""}],"container-title":"Journal of University Teaching and Learning","id":"ITEM-1","issue":"2","issued":{"date-parts":[["2016"]]},"page":"6","title":"Reflection in Medical Education.","type":"article-journal","volume":"13"},"uris":["http://www.mendeley.com/documents/?uuid=dfcdbf92-8b37-40e7-902b-2f763b467e16","http://www.mendeley.com/documents/?uuid=6c3c21bb-3bad-46f9-a9df-54247043db9d"]}],"mendeley":{"formattedCitation":"(Hargreaves, 2016)","plainTextFormattedCitation":"(Hargreaves, 2016)","previouslyFormattedCitation":"(Hargreaves 2016)"},"properties":{"noteIndex":0},"schema":"https://github.com/citation-style-language/schema/raw/master/csl-citation.json"}</w:instrText>
      </w:r>
      <w:r w:rsidRPr="006F3B00">
        <w:rPr>
          <w:rFonts w:ascii="Times New Roman" w:hAnsi="Times New Roman" w:cs="Times New Roman"/>
          <w:sz w:val="24"/>
          <w:szCs w:val="24"/>
        </w:rPr>
        <w:fldChar w:fldCharType="separate"/>
      </w:r>
      <w:r w:rsidR="00F7156E">
        <w:rPr>
          <w:rFonts w:ascii="Times New Roman" w:hAnsi="Times New Roman" w:cs="Times New Roman"/>
          <w:noProof/>
          <w:sz w:val="24"/>
          <w:szCs w:val="24"/>
        </w:rPr>
        <w:t>(Hargreaves</w:t>
      </w:r>
      <w:r w:rsidR="00BE3B6C" w:rsidRPr="00BE3B6C">
        <w:rPr>
          <w:rFonts w:ascii="Times New Roman" w:hAnsi="Times New Roman" w:cs="Times New Roman"/>
          <w:noProof/>
          <w:sz w:val="24"/>
          <w:szCs w:val="24"/>
        </w:rPr>
        <w:t xml:space="preserve"> 2016)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For example, reflective practice was found to promote clinical competency in medical imaging undergraduates, </w:t>
      </w:r>
      <w:r w:rsidRPr="006F3B00">
        <w:rPr>
          <w:rFonts w:ascii="Times New Roman" w:hAnsi="Times New Roman" w:cs="Times New Roman"/>
          <w:sz w:val="24"/>
          <w:szCs w:val="24"/>
        </w:rPr>
        <w:lastRenderedPageBreak/>
        <w:t>which helped them to pr</w:t>
      </w:r>
      <w:r w:rsidR="00F7156E">
        <w:rPr>
          <w:rFonts w:ascii="Times New Roman" w:hAnsi="Times New Roman" w:cs="Times New Roman"/>
          <w:sz w:val="24"/>
          <w:szCs w:val="24"/>
        </w:rPr>
        <w:t xml:space="preserve">epare for professional practice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{"citationItems":[{"id":"ITEM-1","itemData":{"DOI":"10.1016/j.sbspro.2012.09.349","ISSN":"18770428","abstract":"Reflection enables the interpretation of processes in order to learn from such experiences. A study was designed to determine the level of reflective thinking and its influence on clinical competency assessments. Level of reflection between year three and four students was not significant (p&lt;0.21) however clinical competencies and students’ reflection level before and after intervention showed significant difference (p&lt;0.05). The agreement between lecturers evaluation on student competencies (k=0.611) was high. Overall, the study showed that reflective practice promotes the development of clinical competencies in medical imaging undergraduates and provides the pathway for readiness in professional practice.","author":[{"dropping-particle":"","family":"Chelliah","given":"Kanaga Kumari","non-dropping-particle":"","parse-names":false,"suffix":""},{"dropping-particle":"","family":"Arumugam","given":"Zena","non-dropping-particle":"","parse-names":false,"suffix":""}],"container-title":"Procedia - Social and Behavioral Sciences","id":"ITEM-1","issued":{"date-parts":[["2012"]]},"page":"73-77","title":"Does Reflective Practice Enhance Clinical Competency in Medical Imaging Undergraduates?","type":"article-journal","volume":"60"},"uris":["http://www.mendeley.com/documents/?uuid=6a24e82d-9d30-4734-9135-e30a22e0e248"]}],"mendeley":{"formattedCitation":"(Chelliah and Arumugam, 2012)","plainTextFormattedCitation":"(Chelliah and Arumugam, 2012)","previouslyFormattedCitation":"(Chelliah and Arumugam 2012)"},"properties":{"noteIndex":0},"schema":"https://github.com/citation-style-language/schema/raw/master/csl-citation.json"}</w:instrText>
      </w:r>
      <w:r w:rsidRPr="006F3B00">
        <w:rPr>
          <w:rFonts w:ascii="Times New Roman" w:hAnsi="Times New Roman" w:cs="Times New Roman"/>
          <w:sz w:val="24"/>
          <w:szCs w:val="24"/>
        </w:rPr>
        <w:fldChar w:fldCharType="separate"/>
      </w:r>
      <w:r w:rsidR="00F7156E">
        <w:rPr>
          <w:rFonts w:ascii="Times New Roman" w:hAnsi="Times New Roman" w:cs="Times New Roman"/>
          <w:noProof/>
          <w:sz w:val="24"/>
          <w:szCs w:val="24"/>
        </w:rPr>
        <w:t>(Chelliah and Arumugam</w:t>
      </w:r>
      <w:r w:rsidR="00BE3B6C" w:rsidRPr="00BE3B6C">
        <w:rPr>
          <w:rFonts w:ascii="Times New Roman" w:hAnsi="Times New Roman" w:cs="Times New Roman"/>
          <w:noProof/>
          <w:sz w:val="24"/>
          <w:szCs w:val="24"/>
        </w:rPr>
        <w:t xml:space="preserve"> 2012)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Medical schools are being encouraged to design curricula that align with reflective practice or motivate trainees to want to learn</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{"citationItems":[{"id":"ITEM-1","itemData":{"DOI":"10.1097/ACM.0b013e318253cc0e","ISBN":"1040-2446","ISSN":"10402446","PMID":"22534597","abstract":"Purpose Educational psychology indicates that learning processes can be mapped on three dimensions: cognitive (what to learn), affective or motivational (why learn), and metacognitive regulation (how to learn). In a truly student-centered medical curriculum, all three dimensions should guide curriculum developers in constructing learning environments. The authors explored whether student motivation has guided medical education curriculum developments. Method The authors reviewed the literature on motivation theory related to education and on medical education curriculum development to identify major developments. Using the Learning-Oriented Teaching model as a framework, they evaluated the extent to which motivation theory has guided medical education curriculum developers. Results Major developments in the field of motivation theory indicate that motivation drives learning and influences students' academic performance, that gender differences exist in motivational mechanisms, and that the focus has shifted from quantity of motivation to quality of motivation and its determinants, and how they stimulate academic motivation. Major developments in medical curricula include the introduction of standardized and regulated medical education as well as problem-based, learner-centered, integrated teaching, outcome-based, and community-based approaches. These curricular changes have been based more on improving students' cognitive processing of content or metacognitive regulation than on stimulating motivation. Conclusions Motivational processes may be a substantially undervalued factor in curriculum development. Building curricula to specifically stimulate motivation in students may powerfully influence the outcomes of curricula. The elements essential for stimulating intrinsic motivation in students, including autonomy support, adequate feedback, and emotional support, appear lacking as a primary aim in many curricular plans. Abstract content, including selecting, relating, concretizing, and applying information.","author":[{"dropping-particle":"","family":"Kusurkar","given":"Rashmi A.","non-dropping-particle":"","parse-names":false,"suffix":""},{"dropping-particle":"","family":"Croiset","given":"Gerda","non-dropping-particle":"","parse-names":false,"suffix":""},{"dropping-particle":"V.","family":"Mann","given":"Karen","non-dropping-particle":"","parse-names":false,"suffix":""},{"dropping-particle":"","family":"Custers","given":"Eugene","non-dropping-particle":"","parse-names":false,"suffix":""},{"dropping-particle":"","family":"Cate","given":"Olle","non-dropping-particle":"Ten","parse-names":false,"suffix":""}],"container-title":"Academic Medicine","id":"ITEM-1","issue":"6","issued":{"date-parts":[["2012"]]},"page":"735-743","title":"Have motivation theories guided the development and reform of medical education curricula? a review of the literature","type":"article","volume":"87"},"uris":["http://www.mendeley.com/documents/?uuid=ffe169b8-2b01-4077-b6a5-ca00785d9b88","http://www.mendeley.com/documents/?uuid=08f648a2-f576-41ad-affe-11ff6ed5b3d7"]}],"mendeley":{"formattedCitation":"(Kusurkar &lt;i&gt;et al.&lt;/i&gt;, 2012)","plainTextFormattedCitation":"(Kusurkar et al., 2012)","previouslyFormattedCitation":"(Kusurkar et al. 2012)"},"properties":{"noteIndex":0},"schema":"https://github.com/citation-style-language/schema/raw/master/csl-citation.json"}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(Kusurkar </w:t>
      </w:r>
      <w:r w:rsidR="00BE3B6C" w:rsidRPr="00F7156E">
        <w:rPr>
          <w:rFonts w:ascii="Times New Roman" w:hAnsi="Times New Roman" w:cs="Times New Roman"/>
          <w:noProof/>
          <w:sz w:val="24"/>
          <w:szCs w:val="24"/>
        </w:rPr>
        <w:t>et al</w:t>
      </w:r>
      <w:r w:rsidR="00BE3B6C" w:rsidRPr="00BE3B6C">
        <w:rPr>
          <w:rFonts w:ascii="Times New Roman" w:hAnsi="Times New Roman" w:cs="Times New Roman"/>
          <w:i/>
          <w:noProof/>
          <w:sz w:val="24"/>
          <w:szCs w:val="24"/>
        </w:rPr>
        <w:t>.</w:t>
      </w:r>
      <w:r w:rsidR="00BE3B6C" w:rsidRPr="00BE3B6C">
        <w:rPr>
          <w:rFonts w:ascii="Times New Roman" w:hAnsi="Times New Roman" w:cs="Times New Roman"/>
          <w:noProof/>
          <w:sz w:val="24"/>
          <w:szCs w:val="24"/>
        </w:rPr>
        <w:t xml:space="preserve"> 2012)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Medical education should promote learners’ reflection and self-directed assessment seeking</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{"citationItems":[{"id":"ITEM-1","itemData":{"DOI":"10.1002/chp.150","ISBN":"1544-1717","ISSN":"08941912","PMID":"20151773","abstract":"Given this growing need for effective and appropriate evaluation of research, it is increasingly important to understand how research can and should be evaluated in different contexts and to meet different needs. This report provides a guide to the key considerations in developing an approach to research evaluation. It outlines the trade-offs that have to be taken into account and the contextual factors that need to be understood, drawing on experience of international approaches to research evaluation.","author":[{"dropping-particle":"","family":"Eva","given":"Kevin W.","non-dropping-particle":"","parse-names":false,"suffix":""},{"dropping-particle":"","family":"Regehr","given":"Glenn","non-dropping-particle":"","parse-names":false,"suffix":""}],"container-title":"Journal of Continuing Education in the Health Professions","id":"ITEM-1","issue":"1","issued":{"date-parts":[["2008"]]},"page":"14-19","title":"I'll never play professional football and other fallacies of self-assessment","type":"article-journal","volume":"28"},"uris":["http://www.mendeley.com/documents/?uuid=897f3054-cefd-4380-b3c5-18e94b8725b1","http://www.mendeley.com/documents/?uuid=ca586a2b-5662-46ee-987d-c133cf4124ef"]}],"mendeley":{"formattedCitation":"(Eva and Regehr, 2008)","plainTextFormattedCitation":"(Eva and Regehr, 2008)","previouslyFormattedCitation":"(Eva and Regehr 2008)"},"properties":{"noteIndex":0},"schema":"https://github.com/citation-style-language/schema/raw/master/csl-citation.json"}</w:instrText>
      </w:r>
      <w:r w:rsidRPr="006F3B00">
        <w:rPr>
          <w:rFonts w:ascii="Times New Roman" w:hAnsi="Times New Roman" w:cs="Times New Roman"/>
          <w:sz w:val="24"/>
          <w:szCs w:val="24"/>
        </w:rPr>
        <w:fldChar w:fldCharType="separate"/>
      </w:r>
      <w:r w:rsidR="00F7156E">
        <w:rPr>
          <w:rFonts w:ascii="Times New Roman" w:hAnsi="Times New Roman" w:cs="Times New Roman"/>
          <w:noProof/>
          <w:sz w:val="24"/>
          <w:szCs w:val="24"/>
        </w:rPr>
        <w:t>(Eva and Regehr</w:t>
      </w:r>
      <w:r w:rsidR="00BE3B6C" w:rsidRPr="00BE3B6C">
        <w:rPr>
          <w:rFonts w:ascii="Times New Roman" w:hAnsi="Times New Roman" w:cs="Times New Roman"/>
          <w:noProof/>
          <w:sz w:val="24"/>
          <w:szCs w:val="24"/>
        </w:rPr>
        <w:t xml:space="preserve"> 2008)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506FF81C" w14:textId="29BFE12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However, it has also been said that there is little evidence that reflection correlates with competence</w:t>
      </w:r>
      <w:r w:rsidR="00F7156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{"citationItems":[{"id":"ITEM-1","itemData":{"DOI":"10.1007/s10459-007-9090-2","ISBN":"1382-4996","ISSN":"13824996","PMID":"18034364","abstract":"The importance of reflection and reflective practice are frequently noted in the literature; indeed, reflective capacity is regarded by many as an essential characteristic for professional competence. Educators assert that the emergence of reflective practice is part of a change that acknowledges the need for students to act and to think professionally as an integral part of learning throughout their courses of study, integrating theory and practice from the outset. Activities to promote reflection are now being incorporated into undergraduate, postgraduate and continuing medical education, and across a variety of health professions. The evidence to support and inform these curricular interventions and innovations remains largely theoretical. Further, the literature is dispersed across several fields, and it is unclear which approaches may have efficacy or impact. We, therefore, designed a literature review to evaluate the existing evidence about reflection and reflective practice and their utility in health professional education. Our aim was to understand the key variables influencing this educational process, identify gaps in the evidence, and to explore any implications for educational practice and research.","author":[{"dropping-particle":"","family":"Mann","given":"Karen","non-dropping-particle":"","parse-names":false,"suffix":""},{"dropping-particle":"","family":"Gordon","given":"Jill","non-dropping-particle":"","parse-names":false,"suffix":""},{"dropping-particle":"","family":"MacLeod","given":"Anna","non-dropping-particle":"","parse-names":false,"suffix":""}],"container-title":"Advances in Health Sciences Education","id":"ITEM-1","issue":"4","issued":{"date-parts":[["2009"]]},"page":"595-621","title":"Reflection and reflective practice in health professions education: A systematic review","type":"article-journal","volume":"14"},"uris":["http://www.mendeley.com/documents/?uuid=fdfab3d4-ac4e-4946-8c77-841aca4f3c89"]}],"mendeley":{"formattedCitation":"(Mann, Gordon and MacLeod, 2009)","plainTextFormattedCitation":"(Mann, Gordon and MacLeod, 2009)","previouslyFormattedCitation":"(Mann, Gordon, and MacLeod 2009)"},"properties":{"noteIndex":0},"schema":"https://github.com/citation-style-language/schema/raw/master/csl-citation.json"}</w:instrText>
      </w:r>
      <w:r w:rsidRPr="006F3B00">
        <w:rPr>
          <w:rFonts w:ascii="Times New Roman" w:hAnsi="Times New Roman" w:cs="Times New Roman"/>
          <w:sz w:val="24"/>
          <w:szCs w:val="24"/>
        </w:rPr>
        <w:fldChar w:fldCharType="separate"/>
      </w:r>
      <w:r w:rsidR="00F7156E">
        <w:rPr>
          <w:rFonts w:ascii="Times New Roman" w:hAnsi="Times New Roman" w:cs="Times New Roman"/>
          <w:noProof/>
          <w:sz w:val="24"/>
          <w:szCs w:val="24"/>
        </w:rPr>
        <w:t>(Mann, Gordon and MacLeod</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This may be because it is a difficult area to assess as there are not defined “levels of reflection” such that one can correlate “excellent reflectors” with those who are most competent.  Indeed, reflection is also a very personal process with much of it being unobservable. Even when it is encouraged and individuals are asked to document their reflection, does this really indicates the level of reflection that has actually occurred?</w:t>
      </w:r>
    </w:p>
    <w:p w14:paraId="50A3E8CC" w14:textId="3B306909" w:rsidR="00863DF5" w:rsidRDefault="007A0757" w:rsidP="006121BA">
      <w:pPr>
        <w:pStyle w:val="Heading2"/>
        <w:spacing w:line="360" w:lineRule="auto"/>
        <w:rPr>
          <w:rFonts w:ascii="Times New Roman" w:eastAsia="Times New Roman" w:hAnsi="Times New Roman" w:cs="Times New Roman"/>
          <w:color w:val="auto"/>
          <w:sz w:val="24"/>
          <w:szCs w:val="24"/>
          <w:shd w:val="clear" w:color="auto" w:fill="FFFFFF"/>
        </w:rPr>
      </w:pPr>
      <w:bookmarkStart w:id="25" w:name="_Toc23243754"/>
      <w:r>
        <w:rPr>
          <w:rFonts w:ascii="Times New Roman" w:eastAsia="Times New Roman" w:hAnsi="Times New Roman" w:cs="Times New Roman"/>
          <w:color w:val="auto"/>
          <w:sz w:val="24"/>
          <w:szCs w:val="24"/>
          <w:shd w:val="clear" w:color="auto" w:fill="FFFFFF"/>
        </w:rPr>
        <w:t>1.2</w:t>
      </w:r>
      <w:r w:rsidR="006A43B1">
        <w:rPr>
          <w:rFonts w:ascii="Times New Roman" w:eastAsia="Times New Roman" w:hAnsi="Times New Roman" w:cs="Times New Roman"/>
          <w:color w:val="auto"/>
          <w:sz w:val="24"/>
          <w:szCs w:val="24"/>
          <w:shd w:val="clear" w:color="auto" w:fill="FFFFFF"/>
        </w:rPr>
        <w:t>.4</w:t>
      </w:r>
      <w:r w:rsidR="00863DF5" w:rsidRPr="006F3B00">
        <w:rPr>
          <w:rFonts w:ascii="Times New Roman" w:eastAsia="Times New Roman" w:hAnsi="Times New Roman" w:cs="Times New Roman"/>
          <w:color w:val="auto"/>
          <w:sz w:val="24"/>
          <w:szCs w:val="24"/>
          <w:shd w:val="clear" w:color="auto" w:fill="FFFFFF"/>
        </w:rPr>
        <w:t xml:space="preserve"> Professionalism and competence</w:t>
      </w:r>
      <w:bookmarkEnd w:id="25"/>
    </w:p>
    <w:p w14:paraId="4B3A631F" w14:textId="77777777" w:rsidR="006121BA" w:rsidRPr="006121BA" w:rsidRDefault="006121BA" w:rsidP="006121BA">
      <w:pPr>
        <w:rPr>
          <w:lang w:val="en-GB"/>
        </w:rPr>
      </w:pPr>
    </w:p>
    <w:p w14:paraId="4BB32DAC" w14:textId="77777777" w:rsidR="00194E76" w:rsidRDefault="00863DF5" w:rsidP="00863DF5">
      <w:pPr>
        <w:pStyle w:val="para"/>
        <w:spacing w:before="0" w:beforeAutospacing="0" w:after="360" w:afterAutospacing="0" w:line="480" w:lineRule="auto"/>
        <w:rPr>
          <w:sz w:val="24"/>
          <w:szCs w:val="24"/>
        </w:rPr>
      </w:pPr>
      <w:r w:rsidRPr="006F3B00">
        <w:rPr>
          <w:sz w:val="24"/>
          <w:szCs w:val="24"/>
        </w:rPr>
        <w:t xml:space="preserve">Personal qualities are often valued in the assessment of competence, incorporating many aspects of professionalism. For example, a recent study showed that doctors take into account how individuals interact with others, their communication skills, teamwork abilities and ethical principles when assessing competence </w:t>
      </w:r>
      <w:r w:rsidRPr="006F3B00">
        <w:rPr>
          <w:sz w:val="24"/>
          <w:szCs w:val="24"/>
        </w:rPr>
        <w:fldChar w:fldCharType="begin" w:fldLock="1"/>
      </w:r>
      <w:r w:rsidR="00BE3B6C">
        <w:rPr>
          <w:sz w:val="24"/>
          <w:szCs w:val="24"/>
        </w:rPr>
        <w:instrText>ADDIN CSL_CITATION {"citationItems":[{"id":"ITEM-1","itemData":{"DOI":"10.1111/j.1365-2923.2007.02841.x","ISBN":"0308-0110 (Print)\\r0308-0110 (Linking)","ISSN":"03080110","PMID":"17908116","abstract":"CONTEXT: The conceptualisation and measurement of competence in patient care are critical to the design of medical education programmes and outcome assessment. OBJECTIVE: We aimed to examine the major components and correlates of postgraduate competence in patient care. METHODS: A 24-item rating form with additional questions about resident doctors' performance and future residency offers was used. Study participants comprised 4560 subjects who graduated from Jefferson Medical College between 1975 and 2004. They pursued their graduate medical education in 508 hospitals. We used a longitudinal study design in which the rating form was completed by programme directors to evaluate residents at the end of the first postgraduate year. Factor analysis was used to identify the underlying components of postgraduate ratings. Multiple regression, t-test and correlational analyses were used to study the validity of the components that emerged. RESULTS: Two major components emerged, which we labelled 'Knowledge and Clinical Capabilities' and 'Professionalism', and which addressed the science and art of medicine, respectively. Performance measures during medical school, scores on medical licensing examinations, and global assessment of Medical Knowledge, Clinical Judgement and Data-gathering Skills showed higher correlations with scores on the Knowledge and Clinical Capabilities component. Global assessments of Professional Attitudes and ratings of Empathic Behaviour showed higher correlations with scores on the Professionalism component. Offers of continued residency and evaluations of desirable qualities were associated with both components. CONCLUSIONS: Psychometric support for measuring the components of Knowledge and Clinical Capabilities, and Professionalism provides an instrument to empirically evaluate educational outcomes to medical educators who are in search of such a tool.","author":[{"dropping-particle":"","family":"Hojat","given":"Mohammadreza","non-dropping-particle":"","parse-names":false,"suffix":""},{"dropping-particle":"","family":"Paskin","given":"David L.","non-dropping-particle":"","parse-names":false,"suffix":""},{"dropping-particle":"","family":"Callahan","given":"Clara A.","non-dropping-particle":"","parse-names":false,"suffix":""},{"dropping-particle":"","family":"Nasca","given":"Thomas J.","non-dropping-particle":"","parse-names":false,"suffix":""},{"dropping-particle":"","family":"Louis","given":"Daniel Z.","non-dropping-particle":"","parse-names":false,"suffix":""},{"dropping-particle":"","family":"Veloski","given":"Jon","non-dropping-particle":"","parse-names":false,"suffix":""},{"dropping-particle":"","family":"Erdmann","given":"James B.","non-dropping-particle":"","parse-names":false,"suffix":""},{"dropping-particle":"","family":"Gonnella","given":"Joseph S.","non-dropping-particle":"","parse-names":false,"suffix":""}],"container-title":"Medical Education","id":"ITEM-1","issue":"10","issued":{"date-parts":[["2007"]]},"page":"982-989","title":"Components of postgraduate competence: Analyses of thirty years of longitudinal data","type":"article-journal","volume":"41"},"uris":["http://www.mendeley.com/documents/?uuid=809fe966-6722-42d9-ae12-6beac796924a","http://www.mendeley.com/documents/?uuid=14bf88b1-3c90-4bb1-9886-8f88e246b1ec"]}],"mendeley":{"formattedCitation":"(Hojat &lt;i&gt;et al.&lt;/i&gt;, 2007)","plainTextFormattedCitation":"(Hojat et al., 2007)","previouslyFormattedCitation":"(Hojat et al. 2007)"},"properties":{"noteIndex":0},"schema":"https://github.com/citation-style-language/schema/raw/master/csl-citation.json"}</w:instrText>
      </w:r>
      <w:r w:rsidRPr="006F3B00">
        <w:rPr>
          <w:sz w:val="24"/>
          <w:szCs w:val="24"/>
        </w:rPr>
        <w:fldChar w:fldCharType="separate"/>
      </w:r>
      <w:r w:rsidR="00BE3B6C" w:rsidRPr="00BE3B6C">
        <w:rPr>
          <w:noProof/>
          <w:sz w:val="24"/>
          <w:szCs w:val="24"/>
        </w:rPr>
        <w:t xml:space="preserve">(Hojat </w:t>
      </w:r>
      <w:r w:rsidR="00BE3B6C" w:rsidRPr="00F7156E">
        <w:rPr>
          <w:noProof/>
          <w:sz w:val="24"/>
          <w:szCs w:val="24"/>
        </w:rPr>
        <w:t>et al.</w:t>
      </w:r>
      <w:r w:rsidR="00BE3B6C" w:rsidRPr="00BE3B6C">
        <w:rPr>
          <w:noProof/>
          <w:sz w:val="24"/>
          <w:szCs w:val="24"/>
        </w:rPr>
        <w:t xml:space="preserve"> 2007)</w:t>
      </w:r>
      <w:r w:rsidRPr="006F3B00">
        <w:rPr>
          <w:sz w:val="24"/>
          <w:szCs w:val="24"/>
        </w:rPr>
        <w:fldChar w:fldCharType="end"/>
      </w:r>
      <w:r w:rsidRPr="006F3B00">
        <w:rPr>
          <w:sz w:val="24"/>
          <w:szCs w:val="24"/>
        </w:rPr>
        <w:t xml:space="preserve">. Indeed, professionalism differs from knowledge and skill capabilities as it has been described as </w:t>
      </w:r>
      <w:r w:rsidRPr="006F3B00">
        <w:rPr>
          <w:rFonts w:eastAsia="Times New Roman"/>
          <w:color w:val="1C1D1E"/>
          <w:sz w:val="24"/>
          <w:szCs w:val="24"/>
          <w:shd w:val="clear" w:color="auto" w:fill="FFFFFF"/>
        </w:rPr>
        <w:t xml:space="preserve"> personal qualities </w:t>
      </w:r>
      <w:r w:rsidRPr="000B393F">
        <w:rPr>
          <w:rFonts w:eastAsia="Times New Roman"/>
          <w:iCs/>
          <w:color w:val="1C1D1E"/>
          <w:sz w:val="24"/>
          <w:szCs w:val="24"/>
        </w:rPr>
        <w:t>beyond</w:t>
      </w:r>
      <w:r w:rsidRPr="006F3B00">
        <w:rPr>
          <w:rFonts w:eastAsia="Times New Roman"/>
          <w:color w:val="1C1D1E"/>
          <w:sz w:val="24"/>
          <w:szCs w:val="24"/>
          <w:shd w:val="clear" w:color="auto" w:fill="FFFFFF"/>
        </w:rPr>
        <w:t xml:space="preserve"> the </w:t>
      </w:r>
      <w:r w:rsidR="000B393F">
        <w:rPr>
          <w:rFonts w:eastAsia="Times New Roman"/>
          <w:color w:val="1C1D1E"/>
          <w:sz w:val="24"/>
          <w:szCs w:val="24"/>
          <w:shd w:val="clear" w:color="auto" w:fill="FFFFFF"/>
        </w:rPr>
        <w:t xml:space="preserve">obligatory </w:t>
      </w:r>
      <w:r w:rsidRPr="006F3B00">
        <w:rPr>
          <w:rFonts w:eastAsia="Times New Roman"/>
          <w:color w:val="1C1D1E"/>
          <w:sz w:val="24"/>
          <w:szCs w:val="24"/>
          <w:shd w:val="clear" w:color="auto" w:fill="FFFFFF"/>
        </w:rPr>
        <w:t xml:space="preserve">medical knowledge and procedural skills that health care professionals must possess </w:t>
      </w:r>
      <w:r w:rsidRPr="006F3B00">
        <w:rPr>
          <w:rFonts w:eastAsia="Times New Roman"/>
          <w:color w:val="1C1D1E"/>
          <w:sz w:val="24"/>
          <w:szCs w:val="24"/>
          <w:shd w:val="clear" w:color="auto" w:fill="FFFFFF"/>
        </w:rPr>
        <w:fldChar w:fldCharType="begin" w:fldLock="1"/>
      </w:r>
      <w:r w:rsidR="00BE3B6C">
        <w:rPr>
          <w:rFonts w:eastAsia="Times New Roman"/>
          <w:color w:val="1C1D1E"/>
          <w:sz w:val="24"/>
          <w:szCs w:val="24"/>
          <w:shd w:val="clear" w:color="auto" w:fill="FFFFFF"/>
        </w:rPr>
        <w:instrText>ADDIN CSL_CITATION {"citationItems":[{"id":"ITEM-1","itemData":{"author":[{"dropping-particle":"","family":"Veloski JJ","given":"Hojat M.","non-dropping-particle":"","parse-names":false,"suffix":""}],"container-title":"Measurement of Professionalism in Medicine.","editor":[{"dropping-particle":"","family":"DT","given":"Stern","non-dropping-particle":"","parse-names":false,"suffix":""}],"id":"ITEM-1","issued":{"date-parts":[["2006"]]},"page":"117–45","publisher":"Oxford University Press","publisher-place":"Oxford, UK","title":"Measuring specific elements of professionalism: empathy, teamwork and lifelong learning.","type":"chapter"},"uris":["http://www.mendeley.com/documents/?uuid=5450425b-1d45-4017-ba46-3f4d4c7ff7ce","http://www.mendeley.com/documents/?uuid=5892b5c4-5353-46cd-8fa2-1b92a7f6b15c"]}],"mendeley":{"formattedCitation":"(Veloski JJ, 2006)","plainTextFormattedCitation":"(Veloski JJ, 2006)","previouslyFormattedCitation":"(Veloski JJ 2006)"},"properties":{"noteIndex":0},"schema":"https://github.com/citation-style-language/schema/raw/master/csl-citation.json"}</w:instrText>
      </w:r>
      <w:r w:rsidRPr="006F3B00">
        <w:rPr>
          <w:rFonts w:eastAsia="Times New Roman"/>
          <w:color w:val="1C1D1E"/>
          <w:sz w:val="24"/>
          <w:szCs w:val="24"/>
          <w:shd w:val="clear" w:color="auto" w:fill="FFFFFF"/>
        </w:rPr>
        <w:fldChar w:fldCharType="separate"/>
      </w:r>
      <w:r w:rsidR="00884B1D">
        <w:rPr>
          <w:rFonts w:eastAsia="Times New Roman"/>
          <w:noProof/>
          <w:color w:val="1C1D1E"/>
          <w:sz w:val="24"/>
          <w:szCs w:val="24"/>
          <w:shd w:val="clear" w:color="auto" w:fill="FFFFFF"/>
        </w:rPr>
        <w:t>(Veloski</w:t>
      </w:r>
      <w:r w:rsidR="00BE3B6C" w:rsidRPr="00BE3B6C">
        <w:rPr>
          <w:rFonts w:eastAsia="Times New Roman"/>
          <w:noProof/>
          <w:color w:val="1C1D1E"/>
          <w:sz w:val="24"/>
          <w:szCs w:val="24"/>
          <w:shd w:val="clear" w:color="auto" w:fill="FFFFFF"/>
        </w:rPr>
        <w:t xml:space="preserve"> 2006)</w:t>
      </w:r>
      <w:r w:rsidRPr="006F3B00">
        <w:rPr>
          <w:rFonts w:eastAsia="Times New Roman"/>
          <w:color w:val="1C1D1E"/>
          <w:sz w:val="24"/>
          <w:szCs w:val="24"/>
          <w:shd w:val="clear" w:color="auto" w:fill="FFFFFF"/>
        </w:rPr>
        <w:fldChar w:fldCharType="end"/>
      </w:r>
      <w:r w:rsidRPr="006F3B00">
        <w:rPr>
          <w:rFonts w:eastAsia="Times New Roman"/>
          <w:color w:val="005293"/>
          <w:sz w:val="24"/>
          <w:szCs w:val="24"/>
        </w:rPr>
        <w:t xml:space="preserve">. </w:t>
      </w:r>
      <w:r w:rsidRPr="006F3B00">
        <w:rPr>
          <w:sz w:val="24"/>
          <w:szCs w:val="24"/>
        </w:rPr>
        <w:t xml:space="preserve">Professionalism is now considered an integral part of training curricula </w:t>
      </w:r>
      <w:r w:rsidRPr="006F3B00">
        <w:rPr>
          <w:sz w:val="24"/>
          <w:szCs w:val="24"/>
        </w:rPr>
        <w:fldChar w:fldCharType="begin" w:fldLock="1"/>
      </w:r>
      <w:r w:rsidR="00BE3B6C">
        <w:rPr>
          <w:sz w:val="24"/>
          <w:szCs w:val="24"/>
        </w:rPr>
        <w:instrText>ADDIN CSL_CITATION {"citationItems":[{"id":"ITEM-1","itemData":{"DOI":"10.1111/j.1600-0579.2011.00687.x","ISBN":"1396-5883","ISSN":"13965883","PMID":"22251336","abstract":"Professionalism is a broad competency needed by dentists to act effectively and efficiently and is seen as a central part of both undergraduate and postgraduate curricula. Assessment is vital in education to assess progress and direct future learning. It is also an essential part of good professional regulation, which depends upon high quality assessment to maintain credibility. Educators must produce clear expectations that students can strive for. Thus dental educators are required to understand precisely what is meant by \"professionalism\" in relation to dentistry in order to both teach and assess it. The aim of this paper is to explain the importance of professionalism, explore its features and its assessment as described in the literature. The paper concludes that without a validated definition of this construct, assessment of professionalism within dental education will be compromised.","author":[{"dropping-particle":"","family":"Zijlstra-Shaw","given":"S.","non-dropping-particle":"","parse-names":false,"suffix":""},{"dropping-particle":"","family":"Robinson","given":"P. G.","non-dropping-particle":"","parse-names":false,"suffix":""},{"dropping-particle":"","family":"Roberts","given":"T.","non-dropping-particle":"","parse-names":false,"suffix":""}],"container-title":"European Journal of Dental Education","id":"ITEM-1","issue":"1","issued":{"date-parts":[["2012"]]},"title":"Assessing professionalism within dental education; the need for a definition","type":"article-journal","volume":"16"},"uris":["http://www.mendeley.com/documents/?uuid=7e2a3365-5b9a-4136-8380-5b7f7367ab12"]}],"mendeley":{"formattedCitation":"(Zijlstra-Shaw, Robinson and Roberts, 2012)","plainTextFormattedCitation":"(Zijlstra-Shaw, Robinson and Roberts, 2012)","previouslyFormattedCitation":"(S. Zijlstra-Shaw, Robinson, and Roberts 2012)"},"properties":{"noteIndex":0},"schema":"https://github.com/citation-style-language/schema/raw/master/csl-citation.json"}</w:instrText>
      </w:r>
      <w:r w:rsidRPr="006F3B00">
        <w:rPr>
          <w:sz w:val="24"/>
          <w:szCs w:val="24"/>
        </w:rPr>
        <w:fldChar w:fldCharType="separate"/>
      </w:r>
      <w:r w:rsidR="00BE3B6C" w:rsidRPr="00BE3B6C">
        <w:rPr>
          <w:noProof/>
          <w:sz w:val="24"/>
          <w:szCs w:val="24"/>
        </w:rPr>
        <w:t>(Zijlstra-Shaw, Robinson and</w:t>
      </w:r>
      <w:r w:rsidR="000B393F">
        <w:rPr>
          <w:noProof/>
          <w:sz w:val="24"/>
          <w:szCs w:val="24"/>
        </w:rPr>
        <w:t xml:space="preserve"> Roberts</w:t>
      </w:r>
      <w:r w:rsidR="00BE3B6C" w:rsidRPr="00BE3B6C">
        <w:rPr>
          <w:noProof/>
          <w:sz w:val="24"/>
          <w:szCs w:val="24"/>
        </w:rPr>
        <w:t xml:space="preserve"> 2012)</w:t>
      </w:r>
      <w:r w:rsidRPr="006F3B00">
        <w:rPr>
          <w:sz w:val="24"/>
          <w:szCs w:val="24"/>
        </w:rPr>
        <w:fldChar w:fldCharType="end"/>
      </w:r>
      <w:r w:rsidRPr="006F3B00">
        <w:rPr>
          <w:sz w:val="24"/>
          <w:szCs w:val="24"/>
        </w:rPr>
        <w:t xml:space="preserve">. Medical professionalism has been defined as a set of values, behaviours and relationships </w:t>
      </w:r>
      <w:r w:rsidRPr="006F3B00">
        <w:rPr>
          <w:sz w:val="24"/>
          <w:szCs w:val="24"/>
        </w:rPr>
        <w:fldChar w:fldCharType="begin" w:fldLock="1"/>
      </w:r>
      <w:r w:rsidR="00BE3B6C">
        <w:rPr>
          <w:sz w:val="24"/>
          <w:szCs w:val="24"/>
        </w:rPr>
        <w:instrText>ADDIN CSL_CITATION {"citationItems":[{"id":"ITEM-1","itemData":{"DOI":"10.7861/clinmedicine.6-1-7","ISBN":"1 86016 256 8","ISSN":"1470-2118","PMID":"16408403","abstract":"Medicine bridges the gap between science and society. Indeed, the application of scientific knowledge to human health is a crucial aspect of clinical practice. Doctors are one important agent through which that scientific understanding is expressed. But medicine is more than the sum of our knowledge about disease. Medicine concerns the experiences, feelings, and interpretations of human beings in often extraordinary moments of fear, anxiety, and doubt. In this extremely vulnerable position, it is medical professionalism that underpins the trust the public has in doctors. This Working Party was established to define the nature and role of medical professionalism in modern society. Britain's health system is undergoing enormous change. The entry of multiple health providers, the wish for more equal engagement between patients and professionals, and the ever-greater contribution of science to advances in clinical practice all demand a clear statement of medicine's unifying purpose and doctors' common values. What is medical professionalism and does it matter to patients? Although evidence is lacking that more robust professionalism will inevitably lead to better health outcomes, patients certainly understand the meaning of poor professionalism and associate it with poor medical care. The public is well aware that an absence of professionalism is harmful to their interests. The Working Party's view, based on the evidence it has received, is that medical professionalism lies at the heart of being a good doctor. The values that doctors embrace set a standard for what patients expect from their medical practitioners. The practice of medicine is distinguished by the need for judgement in the face of uncertainty. Doctors take responsibility for these judgements and their consequences. A doctor's up-to-date knowledge and skill provide the explicit scientific and often tacit experiential basis for such judgements. But because so much of medicine's unpredictability calls for wisdom as well as technical ability, doctors are vulnerable to the charge that their decisions are neither transparent nor accountable. In an age where deference is dead and league tables are the norm, doctors must be clearer about what they do, and how and why they do it. We define medical professionalism as a set of values, behaviours, and relationships that underpin the trust the public has in doctors. We go on to describe what those values, behaviours, and relationships are, how they are ch…","author":[{"dropping-particle":"","family":"Physicians","given":"Working Party of the Royal College of","non-dropping-particle":"","parse-names":false,"suffix":""},{"dropping-particle":"","family":"Royal College of Physicians","given":"","non-dropping-particle":"","parse-names":false,"suffix":""},{"dropping-particle":"","family":"Wass","given":"Valerie","non-dropping-particle":"","parse-names":false,"suffix":""}],"container-title":"Technical suplllement to a Report of a Working Party of the Royal College of Physicians of London","id":"ITEM-1","issue":"December 2005","issued":{"date-parts":[["2005"]]},"page":"S5-40","title":"Doctors in society. Medical professionalism in a changing world.","type":"article-journal","volume":"6"},"uris":["http://www.mendeley.com/documents/?uuid=ce1d3704-fe1e-46c6-8b85-2cb292b723f7"]}],"mendeley":{"formattedCitation":"(Physicians, Royal College of Physicians and Wass, 2005)","plainTextFormattedCitation":"(Physicians, Royal College of Physicians and Wass, 2005)","previouslyFormattedCitation":"(W. P. of the R. C. of Physicians, Royal College of Physicians, and Wass 2005)"},"properties":{"noteIndex":0},"schema":"https://github.com/citation-style-language/schema/raw/master/csl-citation.json"}</w:instrText>
      </w:r>
      <w:r w:rsidRPr="006F3B00">
        <w:rPr>
          <w:sz w:val="24"/>
          <w:szCs w:val="24"/>
        </w:rPr>
        <w:fldChar w:fldCharType="separate"/>
      </w:r>
      <w:r w:rsidR="000B393F">
        <w:rPr>
          <w:noProof/>
          <w:sz w:val="24"/>
          <w:szCs w:val="24"/>
        </w:rPr>
        <w:t>(The Royal College of Physicians 2005</w:t>
      </w:r>
      <w:r w:rsidR="00BE3B6C" w:rsidRPr="00BE3B6C">
        <w:rPr>
          <w:noProof/>
          <w:sz w:val="24"/>
          <w:szCs w:val="24"/>
        </w:rPr>
        <w:t>)</w:t>
      </w:r>
      <w:r w:rsidRPr="006F3B00">
        <w:rPr>
          <w:sz w:val="24"/>
          <w:szCs w:val="24"/>
        </w:rPr>
        <w:fldChar w:fldCharType="end"/>
      </w:r>
      <w:r w:rsidR="00FD59D0">
        <w:rPr>
          <w:sz w:val="24"/>
          <w:szCs w:val="24"/>
        </w:rPr>
        <w:t xml:space="preserve"> which especially</w:t>
      </w:r>
      <w:r w:rsidRPr="006F3B00">
        <w:rPr>
          <w:sz w:val="24"/>
          <w:szCs w:val="24"/>
        </w:rPr>
        <w:t xml:space="preserve"> includes integrity, compassion, altruism, continuous improvement, excellence and working </w:t>
      </w:r>
      <w:r w:rsidRPr="006F3B00">
        <w:rPr>
          <w:sz w:val="24"/>
          <w:szCs w:val="24"/>
        </w:rPr>
        <w:lastRenderedPageBreak/>
        <w:t>partnership with membe</w:t>
      </w:r>
      <w:r w:rsidR="000B393F">
        <w:rPr>
          <w:sz w:val="24"/>
          <w:szCs w:val="24"/>
        </w:rPr>
        <w:t xml:space="preserve">rs of the wider healthcare team </w:t>
      </w:r>
      <w:r w:rsidR="000B393F" w:rsidRPr="006F3B00">
        <w:rPr>
          <w:sz w:val="24"/>
          <w:szCs w:val="24"/>
        </w:rPr>
        <w:fldChar w:fldCharType="begin" w:fldLock="1"/>
      </w:r>
      <w:r w:rsidR="000B393F">
        <w:rPr>
          <w:sz w:val="24"/>
          <w:szCs w:val="24"/>
        </w:rPr>
        <w:instrText>ADDIN CSL_CITATION {"citationItems":[{"id":"ITEM-1","itemData":{"DOI":"10.7861/clinmedicine.6-1-7","ISBN":"1 86016 256 8","ISSN":"1470-2118","PMID":"16408403","abstract":"Medicine bridges the gap between science and society. Indeed, the application of scientific knowledge to human health is a crucial aspect of clinical practice. Doctors are one important agent through which that scientific understanding is expressed. But medicine is more than the sum of our knowledge about disease. Medicine concerns the experiences, feelings, and interpretations of human beings in often extraordinary moments of fear, anxiety, and doubt. In this extremely vulnerable position, it is medical professionalism that underpins the trust the public has in doctors. This Working Party was established to define the nature and role of medical professionalism in modern society. Britain's health system is undergoing enormous change. The entry of multiple health providers, the wish for more equal engagement between patients and professionals, and the ever-greater contribution of science to advances in clinical practice all demand a clear statement of medicine's unifying purpose and doctors' common values. What is medical professionalism and does it matter to patients? Although evidence is lacking that more robust professionalism will inevitably lead to better health outcomes, patients certainly understand the meaning of poor professionalism and associate it with poor medical care. The public is well aware that an absence of professionalism is harmful to their interests. The Working Party's view, based on the evidence it has received, is that medical professionalism lies at the heart of being a good doctor. The values that doctors embrace set a standard for what patients expect from their medical practitioners. The practice of medicine is distinguished by the need for judgement in the face of uncertainty. Doctors take responsibility for these judgements and their consequences. A doctor's up-to-date knowledge and skill provide the explicit scientific and often tacit experiential basis for such judgements. But because so much of medicine's unpredictability calls for wisdom as well as technical ability, doctors are vulnerable to the charge that their decisions are neither transparent nor accountable. In an age where deference is dead and league tables are the norm, doctors must be clearer about what they do, and how and why they do it. We define medical professionalism as a set of values, behaviours, and relationships that underpin the trust the public has in doctors. We go on to describe what those values, behaviours, and relationships are, how they are ch…","author":[{"dropping-particle":"","family":"Physicians","given":"Working Party of the Royal College of","non-dropping-particle":"","parse-names":false,"suffix":""},{"dropping-particle":"","family":"Royal College of Physicians","given":"","non-dropping-particle":"","parse-names":false,"suffix":""},{"dropping-particle":"","family":"Wass","given":"Valerie","non-dropping-particle":"","parse-names":false,"suffix":""}],"container-title":"Technical suplllement to a Report of a Working Party of the Royal College of Physicians of London","id":"ITEM-1","issue":"December 2005","issued":{"date-parts":[["2005"]]},"page":"S5-40","title":"Doctors in society. Medical professionalism in a changing world.","type":"article-journal","volume":"6"},"uris":["http://www.mendeley.com/documents/?uuid=ce1d3704-fe1e-46c6-8b85-2cb292b723f7"]}],"mendeley":{"formattedCitation":"(Physicians, Royal College of Physicians and Wass, 2005)","plainTextFormattedCitation":"(Physicians, Royal College of Physicians and Wass, 2005)","previouslyFormattedCitation":"(W. P. of the R. C. of Physicians, Royal College of Physicians, and Wass 2005)"},"properties":{"noteIndex":0},"schema":"https://github.com/citation-style-language/schema/raw/master/csl-citation.json"}</w:instrText>
      </w:r>
      <w:r w:rsidR="000B393F" w:rsidRPr="006F3B00">
        <w:rPr>
          <w:sz w:val="24"/>
          <w:szCs w:val="24"/>
        </w:rPr>
        <w:fldChar w:fldCharType="separate"/>
      </w:r>
      <w:r w:rsidR="000B393F">
        <w:rPr>
          <w:noProof/>
          <w:sz w:val="24"/>
          <w:szCs w:val="24"/>
        </w:rPr>
        <w:t>(The Royal College of Physicians 2005</w:t>
      </w:r>
      <w:r w:rsidR="000B393F" w:rsidRPr="00BE3B6C">
        <w:rPr>
          <w:noProof/>
          <w:sz w:val="24"/>
          <w:szCs w:val="24"/>
        </w:rPr>
        <w:t>)</w:t>
      </w:r>
      <w:r w:rsidR="000B393F" w:rsidRPr="006F3B00">
        <w:rPr>
          <w:sz w:val="24"/>
          <w:szCs w:val="24"/>
        </w:rPr>
        <w:fldChar w:fldCharType="end"/>
      </w:r>
      <w:r w:rsidR="000B393F">
        <w:rPr>
          <w:sz w:val="24"/>
          <w:szCs w:val="24"/>
        </w:rPr>
        <w:t xml:space="preserve">. </w:t>
      </w:r>
      <w:r w:rsidRPr="006F3B00">
        <w:rPr>
          <w:sz w:val="24"/>
          <w:szCs w:val="24"/>
        </w:rPr>
        <w:t xml:space="preserve"> Here, the definition does not just describe behaviours such as “compassion” and “altruism” but also includes aspects of reflection such as “continuous improvement” and vaguer terms such as “excellence” which presumably relates to aspects of knowledge, skills and behaviour which deliver excellent patient care. </w:t>
      </w:r>
      <w:r w:rsidRPr="006F3B00">
        <w:rPr>
          <w:rFonts w:eastAsia="Times New Roman"/>
          <w:sz w:val="24"/>
          <w:szCs w:val="24"/>
          <w:shd w:val="clear" w:color="auto" w:fill="FFFFFF"/>
        </w:rPr>
        <w:t xml:space="preserve">In contrast, The Accreditation Council for Graduate Medical Education in America </w:t>
      </w:r>
      <w:r w:rsidR="002B1984">
        <w:rPr>
          <w:rFonts w:eastAsia="Times New Roman"/>
          <w:sz w:val="24"/>
          <w:szCs w:val="24"/>
          <w:shd w:val="clear" w:color="auto" w:fill="FFFFFF"/>
        </w:rPr>
        <w:t xml:space="preserve">(ACGMEA) </w:t>
      </w:r>
      <w:r w:rsidRPr="006F3B00">
        <w:rPr>
          <w:rFonts w:eastAsia="Times New Roman"/>
          <w:sz w:val="24"/>
          <w:szCs w:val="24"/>
          <w:shd w:val="clear" w:color="auto" w:fill="FFFFFF"/>
        </w:rPr>
        <w:t>stated six core competencies for resident education</w:t>
      </w:r>
      <w:r w:rsidR="000B393F">
        <w:rPr>
          <w:rFonts w:eastAsia="Times New Roman"/>
          <w:sz w:val="24"/>
          <w:szCs w:val="24"/>
          <w:shd w:val="clear" w:color="auto" w:fill="FFFFFF"/>
        </w:rPr>
        <w:t xml:space="preserve"> which are being used to design curricula</w:t>
      </w:r>
      <w:r w:rsidRPr="006F3B00">
        <w:rPr>
          <w:rFonts w:eastAsia="Times New Roman"/>
          <w:sz w:val="24"/>
          <w:szCs w:val="24"/>
          <w:shd w:val="clear" w:color="auto" w:fill="FFFFFF"/>
        </w:rPr>
        <w:t xml:space="preserve"> (medical knowledge, patient care, professionalism, interpersonal and communication skills, practice-based learning, and systems-based practice)</w:t>
      </w:r>
      <w:r w:rsidR="000B393F">
        <w:rPr>
          <w:rFonts w:eastAsia="Times New Roman"/>
          <w:sz w:val="24"/>
          <w:szCs w:val="24"/>
          <w:shd w:val="clear" w:color="auto" w:fill="FFFFFF"/>
        </w:rPr>
        <w:t xml:space="preserve"> </w:t>
      </w:r>
      <w:r w:rsidRPr="006F3B00">
        <w:rPr>
          <w:rFonts w:eastAsia="Times New Roman"/>
          <w:sz w:val="24"/>
          <w:szCs w:val="24"/>
          <w:shd w:val="clear" w:color="auto" w:fill="FFFFFF"/>
        </w:rPr>
        <w:fldChar w:fldCharType="begin" w:fldLock="1"/>
      </w:r>
      <w:r w:rsidR="00BE3B6C">
        <w:rPr>
          <w:rFonts w:eastAsia="Times New Roman"/>
          <w:sz w:val="24"/>
          <w:szCs w:val="24"/>
          <w:shd w:val="clear" w:color="auto" w:fill="FFFFFF"/>
        </w:rPr>
        <w:instrText>ADDIN CSL_CITATION {"citationItems":[{"id":"ITEM-1","itemData":{"DOI":"10.1212/WNL.0000000000000646","ISBN":"0000000000000","ISSN":"1526632X","PMID":"24975860","abstract":"Current medical educational theory encourages the development of competency-based curricula. The Accreditation Council for Graduate Medical Education's 6 core competencies for resident education (medical knowledge, patient care, professionalism, interpersonal and communication skills, practice-based learning, and systems-based practice) have been embraced by medical schools as the building blocks necessary for becoming a competent licensed physician. Many medical schools are therefore changing their educational approach to an integrated model in which students demonstrate incremental acquisition and mastery of all competencies as they progress through medical school. Challenges to medical schools include integration of preclinical and clinical studies as well as development of learning objectives and assessment measures for each competency. The Undergraduate Education Subcommittee (UES) of the American Academy of Neurology (AAN) assembled a group of neuroscience educators to outline a longitudinal competency-based curriculum in medical neuroscience encompassing both preclinical and clinical coursework. In development of this curriculum, the committee reviewed United States Medical Licensing Examination content outlines, Liaison Committee on Medical Education requirements, prior AAN-mandated core curricula for basic neuroscience and clinical neurology, and survey responses from educators in US medical schools. The newly recommended curriculum provides an outline of learning objectives for each of the 6 competencies, listing each learning objective in active terms. Documentation of experiences is emphasized, and assessment measures are suggested to demonstrate adequate achievement in each competency. These guidelines, widely vetted and approved by the UES membership, aspire to be both useful as a stand-alone curriculum and also provide a framework for neuroscience educators who wish to develop a more detailed focus in certain areas of study.","author":[{"dropping-particle":"","family":"Merlin","given":"Lisa R.","non-dropping-particle":"","parse-names":false,"suffix":""},{"dropping-particle":"","family":"Horak","given":"Holli A.","non-dropping-particle":"","parse-names":false,"suffix":""},{"dropping-particle":"","family":"Milligan","given":"Tracey A.","non-dropping-particle":"","parse-names":false,"suffix":""},{"dropping-particle":"","family":"Kraakevik","given":"Jeff A.","non-dropping-particle":"","parse-names":false,"suffix":""},{"dropping-particle":"","family":"Ali","given":"Imran I.","non-dropping-particle":"","parse-names":false,"suffix":""}],"container-title":"Neurology","id":"ITEM-1","issue":"5","issued":{"date-parts":[["2014"]]},"page":"456-462","title":"A competency-based longitudinal core curriculum in medical neuroscience","type":"article-journal","volume":"83"},"uris":["http://www.mendeley.com/documents/?uuid=2c5ebd9c-5eb9-4078-8de4-533d00548caa","http://www.mendeley.com/documents/?uuid=2402a8a7-92ef-49e2-95b0-1cf288c368ed"]}],"mendeley":{"formattedCitation":"(Merlin &lt;i&gt;et al.&lt;/i&gt;, 2014)","plainTextFormattedCitation":"(Merlin et al., 2014)","previouslyFormattedCitation":"(Merlin et al. 2014)"},"properties":{"noteIndex":0},"schema":"https://github.com/citation-style-language/schema/raw/master/csl-citation.json"}</w:instrText>
      </w:r>
      <w:r w:rsidRPr="006F3B00">
        <w:rPr>
          <w:rFonts w:eastAsia="Times New Roman"/>
          <w:sz w:val="24"/>
          <w:szCs w:val="24"/>
          <w:shd w:val="clear" w:color="auto" w:fill="FFFFFF"/>
        </w:rPr>
        <w:fldChar w:fldCharType="separate"/>
      </w:r>
      <w:r w:rsidR="00BE3B6C" w:rsidRPr="00BE3B6C">
        <w:rPr>
          <w:rFonts w:eastAsia="Times New Roman"/>
          <w:noProof/>
          <w:sz w:val="24"/>
          <w:szCs w:val="24"/>
          <w:shd w:val="clear" w:color="auto" w:fill="FFFFFF"/>
        </w:rPr>
        <w:t xml:space="preserve">(Merlin </w:t>
      </w:r>
      <w:r w:rsidR="00BE3B6C" w:rsidRPr="000B393F">
        <w:rPr>
          <w:rFonts w:eastAsia="Times New Roman"/>
          <w:noProof/>
          <w:sz w:val="24"/>
          <w:szCs w:val="24"/>
          <w:shd w:val="clear" w:color="auto" w:fill="FFFFFF"/>
        </w:rPr>
        <w:t xml:space="preserve">et al. </w:t>
      </w:r>
      <w:r w:rsidR="00BE3B6C" w:rsidRPr="00BE3B6C">
        <w:rPr>
          <w:rFonts w:eastAsia="Times New Roman"/>
          <w:noProof/>
          <w:sz w:val="24"/>
          <w:szCs w:val="24"/>
          <w:shd w:val="clear" w:color="auto" w:fill="FFFFFF"/>
        </w:rPr>
        <w:t>2014)</w:t>
      </w:r>
      <w:r w:rsidRPr="006F3B00">
        <w:rPr>
          <w:rFonts w:eastAsia="Times New Roman"/>
          <w:sz w:val="24"/>
          <w:szCs w:val="24"/>
          <w:shd w:val="clear" w:color="auto" w:fill="FFFFFF"/>
        </w:rPr>
        <w:fldChar w:fldCharType="end"/>
      </w:r>
      <w:r w:rsidRPr="006F3B00">
        <w:rPr>
          <w:rFonts w:eastAsia="Times New Roman"/>
          <w:sz w:val="24"/>
          <w:szCs w:val="24"/>
          <w:shd w:val="clear" w:color="auto" w:fill="FFFFFF"/>
        </w:rPr>
        <w:t xml:space="preserve">. Here, professionalism is considered a separate competency, distinct from the other competencies such as “communication” and “medical knowledge”. </w:t>
      </w:r>
      <w:r w:rsidRPr="006F3B00">
        <w:rPr>
          <w:sz w:val="24"/>
          <w:szCs w:val="24"/>
        </w:rPr>
        <w:t>Confusion is compounded when the term “professional competence” is used, as this phrasing tends to incorporate aspect of competency and professionalism, such as</w:t>
      </w:r>
      <w:r w:rsidR="00194E76">
        <w:rPr>
          <w:sz w:val="24"/>
          <w:szCs w:val="24"/>
        </w:rPr>
        <w:t>:</w:t>
      </w:r>
    </w:p>
    <w:p w14:paraId="0243B677" w14:textId="264C5891" w:rsidR="00194E76" w:rsidRDefault="00863DF5" w:rsidP="00194E76">
      <w:pPr>
        <w:pStyle w:val="para"/>
        <w:spacing w:before="0" w:beforeAutospacing="0" w:after="360" w:afterAutospacing="0" w:line="480" w:lineRule="auto"/>
        <w:ind w:left="720"/>
        <w:rPr>
          <w:rFonts w:eastAsia="Times New Roman"/>
          <w:iCs/>
          <w:sz w:val="24"/>
          <w:szCs w:val="24"/>
          <w:shd w:val="clear" w:color="auto" w:fill="FFFFFF"/>
        </w:rPr>
      </w:pPr>
      <w:r w:rsidRPr="00194E76">
        <w:rPr>
          <w:rFonts w:eastAsia="Times New Roman"/>
          <w:iCs/>
          <w:sz w:val="24"/>
          <w:szCs w:val="24"/>
          <w:shd w:val="clear" w:color="auto" w:fill="FFFFFF"/>
        </w:rPr>
        <w:t>Professional competence is the habitual and judicious use of communication, knowledge, technical skills, clinical reasoning, emotions, values, and reflection in daily practice for the benefit of the individual and c</w:t>
      </w:r>
      <w:r w:rsidR="00FE25E6">
        <w:rPr>
          <w:rFonts w:eastAsia="Times New Roman"/>
          <w:iCs/>
          <w:sz w:val="24"/>
          <w:szCs w:val="24"/>
          <w:shd w:val="clear" w:color="auto" w:fill="FFFFFF"/>
        </w:rPr>
        <w:t>ommunity being served</w:t>
      </w:r>
      <w:r w:rsidR="00D75904" w:rsidRPr="00194E76">
        <w:rPr>
          <w:rFonts w:eastAsia="Times New Roman"/>
          <w:iCs/>
          <w:sz w:val="24"/>
          <w:szCs w:val="24"/>
          <w:shd w:val="clear" w:color="auto" w:fill="FFFFFF"/>
        </w:rPr>
        <w:t xml:space="preserve"> </w:t>
      </w:r>
      <w:r w:rsidRPr="006F3B00">
        <w:rPr>
          <w:rFonts w:eastAsia="Times New Roman"/>
          <w:i/>
          <w:iCs/>
          <w:sz w:val="24"/>
          <w:szCs w:val="24"/>
          <w:shd w:val="clear" w:color="auto" w:fill="FFFFFF"/>
        </w:rPr>
        <w:fldChar w:fldCharType="begin" w:fldLock="1"/>
      </w:r>
      <w:r w:rsidR="00BE3B6C">
        <w:rPr>
          <w:rFonts w:eastAsia="Times New Roman"/>
          <w:i/>
          <w:iCs/>
          <w:sz w:val="24"/>
          <w:szCs w:val="24"/>
          <w:shd w:val="clear" w:color="auto" w:fill="FFFFFF"/>
        </w:rPr>
        <w:instrText>ADDIN CSL_CITATION {"citationItems":[{"id":"ITEM-1","itemData":{"DOI":"10.1001/jama.287.2.226","ISBN":"0098-7484 (Print)","ISSN":"0098-7484","PMID":"11779266","abstract":"Context Current assessment formats for physicians and trainees reliably test core knowl- edge and basic skills. However, they may underemphasize some important domains of professional medical practice, including interpersonal skills, lifelong learning, pro- fessionalism, and integration of core knowledge into clinical practice. Objectives To propose a definition of professional competence, to review current means for assessing it, and to suggest new approaches to assessment. Data Sources We searched the MEDLINE database from 1966 to 2001 and refer- ence lists of relevant articles for English-language studies of reliability or validity of measures of competence of physicians, medical students, and residents. Study Selection We excluded articles of a purely descriptive nature, duplicate re- ports, reviews, and opinions and position statements, which yielded 195 relevant ci- tations. Data Extraction Data were abstracted by 1 of us (R.M.E.). Quality criteria for in- clusion were broad, given the heterogeneity of interventions, complexity of outcome measures, and paucity of randomized or longitudinal study designs. Data Synthesis We generated an inclusive definition of competence: the habitual and judicious use of communication, knowledge, technical skills, clinical reasoning, emo- tions, values, and reflection in daily practice for the benefit of the individual and the community being served. Aside from protecting the public and limiting access to ad- vanced training, assessments should foster habits of learning and self-reflection and drive institutional change. Subjective, multiple-choice, and standardized patient as- sessments, although reliable, underemphasize important domains of professional com- petence: integration of knowledge and skills, context of care, information manage- ment, teamwork, health systems, and patient-physician relationships. Few assessments observe trainees in real-life situations, incorporate the perspectives of peers and pa- tients, or use measures that predict clinical outcomes. Conclusions In addition to assessments of basic skills, new formats that assess clini- cal reasoning, expert judgment, management of ambiguity, professionalism, time man- agement, learning strategies, and teamwork promise a multidimensional assessment while maintaining adequate reliability and validity. Institutional support, reflection, and mentoring must accompany the development of assessment programs.","author":[{"dropping-particle":"","family":"Epstein","given":"Ronald M","non-dropping-particle":"","parse-names":false,"suffix":""},{"dropping-particle":"","family":"Hundert","given":"Edward M","non-dropping-particle":"","parse-names":false,"suffix":""}],"container-title":"JAMA : the journal of the American Medical Association","id":"ITEM-1","issue":"2","issued":{"date-parts":[["2002"]]},"page":"226-235","title":"Defining and assessing professional competence","type":"article-journal","volume":"287"},"uris":["http://www.mendeley.com/documents/?uuid=693dadfb-d6e5-4adb-884e-ef0bad7dbf60"]}],"mendeley":{"formattedCitation":"(Epstein and Hundert, 2002)","plainTextFormattedCitation":"(Epstein and Hundert, 2002)","previouslyFormattedCitation":"(Epstein and Hundert 2002)"},"properties":{"noteIndex":0},"schema":"https://github.com/citation-style-language/schema/raw/master/csl-citation.json"}</w:instrText>
      </w:r>
      <w:r w:rsidRPr="006F3B00">
        <w:rPr>
          <w:rFonts w:eastAsia="Times New Roman"/>
          <w:i/>
          <w:iCs/>
          <w:sz w:val="24"/>
          <w:szCs w:val="24"/>
          <w:shd w:val="clear" w:color="auto" w:fill="FFFFFF"/>
        </w:rPr>
        <w:fldChar w:fldCharType="separate"/>
      </w:r>
      <w:r w:rsidR="00D75904">
        <w:rPr>
          <w:rFonts w:eastAsia="Times New Roman"/>
          <w:iCs/>
          <w:noProof/>
          <w:sz w:val="24"/>
          <w:szCs w:val="24"/>
          <w:shd w:val="clear" w:color="auto" w:fill="FFFFFF"/>
        </w:rPr>
        <w:t>(Epstein and Hundert</w:t>
      </w:r>
      <w:r w:rsidR="00BE3B6C" w:rsidRPr="00BE3B6C">
        <w:rPr>
          <w:rFonts w:eastAsia="Times New Roman"/>
          <w:iCs/>
          <w:noProof/>
          <w:sz w:val="24"/>
          <w:szCs w:val="24"/>
          <w:shd w:val="clear" w:color="auto" w:fill="FFFFFF"/>
        </w:rPr>
        <w:t xml:space="preserve"> 2002</w:t>
      </w:r>
      <w:r w:rsidR="00194E76">
        <w:rPr>
          <w:rFonts w:eastAsia="Times New Roman"/>
          <w:iCs/>
          <w:noProof/>
          <w:sz w:val="24"/>
          <w:szCs w:val="24"/>
          <w:shd w:val="clear" w:color="auto" w:fill="FFFFFF"/>
        </w:rPr>
        <w:t>, p</w:t>
      </w:r>
      <w:r w:rsidR="00FE25E6">
        <w:rPr>
          <w:rFonts w:eastAsia="Times New Roman"/>
          <w:iCs/>
          <w:noProof/>
          <w:sz w:val="24"/>
          <w:szCs w:val="24"/>
          <w:shd w:val="clear" w:color="auto" w:fill="FFFFFF"/>
        </w:rPr>
        <w:t xml:space="preserve">. </w:t>
      </w:r>
      <w:r w:rsidR="00194E76">
        <w:rPr>
          <w:rFonts w:eastAsia="Times New Roman"/>
          <w:iCs/>
          <w:noProof/>
          <w:sz w:val="24"/>
          <w:szCs w:val="24"/>
          <w:shd w:val="clear" w:color="auto" w:fill="FFFFFF"/>
        </w:rPr>
        <w:t>226</w:t>
      </w:r>
      <w:r w:rsidR="00BE3B6C" w:rsidRPr="00BE3B6C">
        <w:rPr>
          <w:rFonts w:eastAsia="Times New Roman"/>
          <w:iCs/>
          <w:noProof/>
          <w:sz w:val="24"/>
          <w:szCs w:val="24"/>
          <w:shd w:val="clear" w:color="auto" w:fill="FFFFFF"/>
        </w:rPr>
        <w:t>)</w:t>
      </w:r>
      <w:r w:rsidRPr="006F3B00">
        <w:rPr>
          <w:rFonts w:eastAsia="Times New Roman"/>
          <w:i/>
          <w:iCs/>
          <w:sz w:val="24"/>
          <w:szCs w:val="24"/>
          <w:shd w:val="clear" w:color="auto" w:fill="FFFFFF"/>
        </w:rPr>
        <w:fldChar w:fldCharType="end"/>
      </w:r>
      <w:r w:rsidRPr="006F3B00">
        <w:rPr>
          <w:rFonts w:eastAsia="Times New Roman"/>
          <w:i/>
          <w:iCs/>
          <w:sz w:val="24"/>
          <w:szCs w:val="24"/>
          <w:shd w:val="clear" w:color="auto" w:fill="FFFFFF"/>
        </w:rPr>
        <w:t>.</w:t>
      </w:r>
      <w:r w:rsidRPr="006F3B00">
        <w:rPr>
          <w:rFonts w:eastAsia="Times New Roman"/>
          <w:iCs/>
          <w:sz w:val="24"/>
          <w:szCs w:val="24"/>
          <w:shd w:val="clear" w:color="auto" w:fill="FFFFFF"/>
        </w:rPr>
        <w:t xml:space="preserve"> </w:t>
      </w:r>
    </w:p>
    <w:p w14:paraId="3B26BFF0" w14:textId="7105B027" w:rsidR="00863DF5" w:rsidRPr="006F3B00" w:rsidRDefault="00863DF5" w:rsidP="00194E76">
      <w:pPr>
        <w:pStyle w:val="para"/>
        <w:spacing w:before="0" w:beforeAutospacing="0" w:after="360" w:afterAutospacing="0" w:line="480" w:lineRule="auto"/>
        <w:rPr>
          <w:sz w:val="24"/>
          <w:szCs w:val="24"/>
        </w:rPr>
      </w:pPr>
      <w:r w:rsidRPr="006F3B00">
        <w:rPr>
          <w:sz w:val="24"/>
          <w:szCs w:val="24"/>
        </w:rPr>
        <w:t>Given the complex nature of professionalism it can be difficult to separate it from competency. Indeed, professionalism has been described as a second-order competence and is manifested in all that we do and say</w:t>
      </w:r>
      <w:r w:rsidR="002807CD">
        <w:rPr>
          <w:sz w:val="24"/>
          <w:szCs w:val="24"/>
        </w:rPr>
        <w:t xml:space="preserve"> </w:t>
      </w:r>
      <w:r w:rsidRPr="006F3B00">
        <w:rPr>
          <w:sz w:val="24"/>
          <w:szCs w:val="24"/>
        </w:rPr>
        <w:fldChar w:fldCharType="begin" w:fldLock="1"/>
      </w:r>
      <w:r w:rsidR="00BE3B6C">
        <w:rPr>
          <w:sz w:val="24"/>
          <w:szCs w:val="24"/>
        </w:rPr>
        <w:instrText>ADDIN CSL_CITATION {"citationItems":[{"id":"ITEM-1","itemData":{"DOI":"10.1038/sj.bdj.2013.1048","ISBN":"1476-5373 (Electronic)\\r0007-0610 (Linking)","ISSN":"17417503","PMID":"24201649","abstract":"OBJECTIVES: Professionalism is an essential competence for dental professionals. Dental educators require both a clear definition and an understanding of the scope of professionalism in order to teach and assess it. The aim of this study was to identify concepts of professionalism in dentistry and the themes within this construct.\\n\\nMETHOD: Semi-structured interviews with participants purposively sampled to ensure representation of relevant viewpoints. Qualitative framework analysis was used to induct themes.\\n\\nRESULTS: Four themes arose from the data: (i) professionalism as a second order competence, (ii) the expression of professionalism as dependent on context, (iii) reflection as a necessary component and (iv) professionalism encompasses both tacit and overt personal aspects. These results were then incorporated into a conceptual model of dental professionalism.\\n\\nCONCLUSIONS: Analysis of the interview data reveals that participants conceptualise professionalism as the manner in which one reflects on and reconciles different aspects of professional practice, which demonstrates acceptance of professional responsibility and accountability. It is manifested in the manner in which work is carried out. The definition and model conceptualise the construct of professionalism within dentistry that can be used to derive an educational and assessment system.","author":[{"dropping-particle":"","family":"Zijlstra-Shaw","given":"Sandra","non-dropping-particle":"","parse-names":false,"suffix":""},{"dropping-particle":"","family":"Roberts","given":"T. E.","non-dropping-particle":"","parse-names":false,"suffix":""},{"dropping-particle":"","family":"Robinson","given":"P. G.","non-dropping-particle":"","parse-names":false,"suffix":""}],"container-title":"British Dental Journal","id":"ITEM-1","issue":"9","issued":{"date-parts":[["2013"]]},"page":"E18-E18","title":"Perceptions of professionalism in dentistry -a qualitative study","type":"article-journal","volume":"215"},"uris":["http://www.mendeley.com/documents/?uuid=1d2ac73f-1ecc-4d7f-866b-e31aaad78547"]}],"mendeley":{"formattedCitation":"(Zijlstra-Shaw, Roberts and Robinson, 2013)","manualFormatting":"(Zijlstra-Shaw, Roberts, and Robinson 2013)","plainTextFormattedCitation":"(Zijlstra-Shaw, Roberts and Robinson, 2013)","previouslyFormattedCitation":"(Sandra Zijlstra-Shaw, Roberts, and Robinson 2013)"},"properties":{"noteIndex":0},"schema":"https://github.com/citation-style-language/schema/raw/master/csl-citation.json"}</w:instrText>
      </w:r>
      <w:r w:rsidRPr="006F3B00">
        <w:rPr>
          <w:sz w:val="24"/>
          <w:szCs w:val="24"/>
        </w:rPr>
        <w:fldChar w:fldCharType="separate"/>
      </w:r>
      <w:r w:rsidR="00FD59D0">
        <w:rPr>
          <w:noProof/>
          <w:sz w:val="24"/>
          <w:szCs w:val="24"/>
        </w:rPr>
        <w:t>(</w:t>
      </w:r>
      <w:r w:rsidR="00D75904">
        <w:rPr>
          <w:noProof/>
          <w:sz w:val="24"/>
          <w:szCs w:val="24"/>
        </w:rPr>
        <w:t>Zijlstra-Shaw, Roberts</w:t>
      </w:r>
      <w:r w:rsidR="00DB0BC8" w:rsidRPr="00DB0BC8">
        <w:rPr>
          <w:noProof/>
          <w:sz w:val="24"/>
          <w:szCs w:val="24"/>
        </w:rPr>
        <w:t xml:space="preserve"> and Robinson 2013)</w:t>
      </w:r>
      <w:r w:rsidRPr="006F3B00">
        <w:rPr>
          <w:sz w:val="24"/>
          <w:szCs w:val="24"/>
        </w:rPr>
        <w:fldChar w:fldCharType="end"/>
      </w:r>
      <w:r w:rsidRPr="006F3B00">
        <w:rPr>
          <w:sz w:val="24"/>
          <w:szCs w:val="24"/>
        </w:rPr>
        <w:t xml:space="preserve">. It could be argued that professionalism therefore acts to unify and harmonise our competencies. Maybe professionalism and competency have become confused by some because when they seek to measure “professionalism”, they can oversimplify what it is </w:t>
      </w:r>
      <w:r w:rsidRPr="006F3B00">
        <w:rPr>
          <w:sz w:val="24"/>
          <w:szCs w:val="24"/>
        </w:rPr>
        <w:lastRenderedPageBreak/>
        <w:t>by viewing it as a standalone competency when it really shouldn’t be examined in isolation?</w:t>
      </w:r>
    </w:p>
    <w:p w14:paraId="589E2E42" w14:textId="22FF8916" w:rsidR="00863DF5" w:rsidRPr="006F3B00" w:rsidRDefault="007A0757" w:rsidP="00863DF5">
      <w:pPr>
        <w:pStyle w:val="Heading2"/>
        <w:rPr>
          <w:rFonts w:ascii="Times New Roman" w:hAnsi="Times New Roman" w:cs="Times New Roman"/>
          <w:color w:val="auto"/>
          <w:sz w:val="24"/>
          <w:szCs w:val="24"/>
        </w:rPr>
      </w:pPr>
      <w:bookmarkStart w:id="26" w:name="_Toc23243755"/>
      <w:r>
        <w:rPr>
          <w:rFonts w:ascii="Times New Roman" w:hAnsi="Times New Roman" w:cs="Times New Roman"/>
          <w:color w:val="auto"/>
          <w:sz w:val="24"/>
          <w:szCs w:val="24"/>
        </w:rPr>
        <w:t>1.2</w:t>
      </w:r>
      <w:r w:rsidR="006A43B1">
        <w:rPr>
          <w:rFonts w:ascii="Times New Roman" w:hAnsi="Times New Roman" w:cs="Times New Roman"/>
          <w:color w:val="auto"/>
          <w:sz w:val="24"/>
          <w:szCs w:val="24"/>
        </w:rPr>
        <w:t>.5</w:t>
      </w:r>
      <w:r w:rsidR="00863DF5" w:rsidRPr="006F3B00">
        <w:rPr>
          <w:rFonts w:ascii="Times New Roman" w:hAnsi="Times New Roman" w:cs="Times New Roman"/>
          <w:color w:val="auto"/>
          <w:sz w:val="24"/>
          <w:szCs w:val="24"/>
        </w:rPr>
        <w:t xml:space="preserve"> Competence and Capability</w:t>
      </w:r>
      <w:bookmarkEnd w:id="26"/>
    </w:p>
    <w:p w14:paraId="47616C2C"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rPr>
      </w:pPr>
    </w:p>
    <w:p w14:paraId="61BA981F" w14:textId="4B4B7965" w:rsidR="00863DF5" w:rsidRPr="006A43B1" w:rsidRDefault="00863DF5" w:rsidP="006A43B1">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Competence may be underpinned by certain personal characteristics of the individual, such as their attitude.  But do these personal attributes translate into a competent performance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{"citationItems":[{"id":"ITEM-1","itemData":{"DOI":"10.3109/13561829809014100","ISBN":"13561820","ISSN":"1356-1820","abstract":"An analysis of everyday use of the term ‘competence' is followed by a literature review. Some authors treat competence as a socially situated concept—the ability to perform tasks and roles to the expected standard—leaving its precise meaning to be negotiated by stakeholders in a macro-or micro-political context. Others treat competence as individually situated, a personal capability or characteristic. This latter concept is labelled ‘capability' and its vital relationship with socially-defined Competence is analysed. The importance for practice of representations of competence and for professional preparation of models of capability is discussed.","author":[{"dropping-particle":"","family":"Eraut","given":"Michael","non-dropping-particle":"","parse-names":false,"suffix":""}],"container-title":"Journal of Interprofessional Care","id":"ITEM-1","issue":"2","issued":{"date-parts":[["1998"]]},"page":"127-139","title":"Concepts of competence","type":"article-journal","volume":"12"},"uris":["http://www.mendeley.com/documents/?uuid=4fa4866c-689f-49c3-b4cf-4babe9efa705"]}],"mendeley":{"formattedCitation":"(Eraut, 1998)","plainTextFormattedCitation":"(Eraut, 1998)","previouslyFormattedCitation":"(Eraut 1998)"},"properties":{"noteIndex":0},"schema":"https://github.com/citation-style-language/schema/raw/master/csl-citation.json"}</w:instrText>
      </w:r>
      <w:r w:rsidRPr="006F3B00">
        <w:rPr>
          <w:rFonts w:ascii="Times New Roman" w:hAnsi="Times New Roman" w:cs="Times New Roman"/>
          <w:sz w:val="24"/>
          <w:szCs w:val="24"/>
        </w:rPr>
        <w:fldChar w:fldCharType="separate"/>
      </w:r>
      <w:r w:rsidR="00194E76">
        <w:rPr>
          <w:rFonts w:ascii="Times New Roman" w:hAnsi="Times New Roman" w:cs="Times New Roman"/>
          <w:noProof/>
          <w:sz w:val="24"/>
          <w:szCs w:val="24"/>
        </w:rPr>
        <w:t>(Eraut</w:t>
      </w:r>
      <w:r w:rsidR="00BE3B6C" w:rsidRPr="00BE3B6C">
        <w:rPr>
          <w:rFonts w:ascii="Times New Roman" w:hAnsi="Times New Roman" w:cs="Times New Roman"/>
          <w:noProof/>
          <w:sz w:val="24"/>
          <w:szCs w:val="24"/>
        </w:rPr>
        <w:t xml:space="preserve"> 1998)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can be explained by the term “capability” which is more a property of the individual and their ability to adapt to new environments, learn from others and transfer their competencies to others. With this in mind, capability empowers and facilitates an individual </w:t>
      </w:r>
      <w:r w:rsidR="00DF2209">
        <w:rPr>
          <w:rFonts w:ascii="Times New Roman" w:hAnsi="Times New Roman" w:cs="Times New Roman"/>
          <w:sz w:val="24"/>
          <w:szCs w:val="24"/>
        </w:rPr>
        <w:t>to learn new competencies</w:t>
      </w:r>
      <w:r w:rsidRPr="006F3B0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{"citationItems":[{"id":"ITEM-1","itemData":{"DOI":"9780203486016","ISBN":"0750703318","abstract":"This volume analyzes different types of knowledge and know-how used by practising professionals in their work and how these different kinds of knowledge are acquired by a combination of learning from books, learning from people and learning from personal experience.; Drawing on various examples, problems addressed include the way theory changes and is personalized in practice, and how individuals form generalizations out of their practice. Eraut considers the meaning of client-centredness and its implications, and to what extent professional knowledge is based on intuition, understanding and learning. He considers the issue of competence versus knowledge and the effect of lifelong learning on the quality of practice.","author":[{"dropping-particle":"","family":"Eraut","given":"Michael","non-dropping-particle":"","parse-names":false,"suffix":""}],"container-title":"Knowledge Creation Diffusion Utilization","id":"ITEM-1","issued":{"date-parts":[["1994"]]},"number-of-pages":"260","title":"Developing professional knowledge and competence","type":"book"},"uris":["http://www.mendeley.com/documents/?uuid=81cbacf2-c1a5-4277-9515-3b77c364f751"]}],"mendeley":{"formattedCitation":"(Eraut, 1994a)","plainTextFormattedCitation":"(Eraut, 1994a)","previouslyFormattedCitation":"(Eraut 1994a)"},"properties":{"noteIndex":0},"schema":"https://github.com/citation-style-language/schema/raw/master/csl-citation.json"}</w:instrText>
      </w:r>
      <w:r w:rsidRPr="006F3B00">
        <w:rPr>
          <w:rFonts w:ascii="Times New Roman" w:hAnsi="Times New Roman" w:cs="Times New Roman"/>
          <w:sz w:val="24"/>
          <w:szCs w:val="24"/>
        </w:rPr>
        <w:fldChar w:fldCharType="separate"/>
      </w:r>
      <w:r w:rsidR="00194E76">
        <w:rPr>
          <w:rFonts w:ascii="Times New Roman" w:hAnsi="Times New Roman" w:cs="Times New Roman"/>
          <w:noProof/>
          <w:sz w:val="24"/>
          <w:szCs w:val="24"/>
        </w:rPr>
        <w:t>(Eraut 1994</w:t>
      </w:r>
      <w:r w:rsidR="00BE3B6C" w:rsidRPr="00BE3B6C">
        <w:rPr>
          <w:rFonts w:ascii="Times New Roman" w:hAnsi="Times New Roman" w:cs="Times New Roman"/>
          <w:noProof/>
          <w:sz w:val="24"/>
          <w:szCs w:val="24"/>
        </w:rPr>
        <w:t>)</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Successful work performance is more than performing discrete tasks successfully but also involves effective holistic integration a</w:t>
      </w:r>
      <w:r w:rsidR="006A43B1">
        <w:rPr>
          <w:rFonts w:ascii="Times New Roman" w:hAnsi="Times New Roman" w:cs="Times New Roman"/>
          <w:sz w:val="24"/>
          <w:szCs w:val="24"/>
        </w:rPr>
        <w:t>nd coordination of these tasks.</w:t>
      </w:r>
    </w:p>
    <w:p w14:paraId="4E6AD213" w14:textId="3274DE7E" w:rsidR="00863DF5" w:rsidRPr="006F3B00" w:rsidRDefault="00863DF5" w:rsidP="00863DF5">
      <w:pPr>
        <w:pStyle w:val="Heading2"/>
        <w:rPr>
          <w:rFonts w:ascii="Times New Roman" w:eastAsia="Times New Roman" w:hAnsi="Times New Roman" w:cs="Times New Roman"/>
          <w:color w:val="auto"/>
          <w:sz w:val="24"/>
          <w:szCs w:val="24"/>
          <w:shd w:val="clear" w:color="auto" w:fill="FFFFFF"/>
        </w:rPr>
      </w:pPr>
      <w:bookmarkStart w:id="27" w:name="_Toc23243756"/>
      <w:r w:rsidRPr="006F3B00">
        <w:rPr>
          <w:rFonts w:ascii="Times New Roman" w:eastAsia="Times New Roman" w:hAnsi="Times New Roman" w:cs="Times New Roman"/>
          <w:color w:val="auto"/>
          <w:sz w:val="24"/>
          <w:szCs w:val="24"/>
          <w:shd w:val="clear" w:color="auto" w:fill="FFFFFF"/>
        </w:rPr>
        <w:t>1</w:t>
      </w:r>
      <w:r w:rsidR="007A0757">
        <w:rPr>
          <w:rFonts w:ascii="Times New Roman" w:eastAsia="Times New Roman" w:hAnsi="Times New Roman" w:cs="Times New Roman"/>
          <w:color w:val="auto"/>
          <w:sz w:val="24"/>
          <w:szCs w:val="24"/>
          <w:shd w:val="clear" w:color="auto" w:fill="FFFFFF"/>
        </w:rPr>
        <w:t>.2</w:t>
      </w:r>
      <w:r w:rsidR="006A43B1">
        <w:rPr>
          <w:rFonts w:ascii="Times New Roman" w:eastAsia="Times New Roman" w:hAnsi="Times New Roman" w:cs="Times New Roman"/>
          <w:color w:val="auto"/>
          <w:sz w:val="24"/>
          <w:szCs w:val="24"/>
          <w:shd w:val="clear" w:color="auto" w:fill="FFFFFF"/>
        </w:rPr>
        <w:t>.6</w:t>
      </w:r>
      <w:r w:rsidRPr="006F3B00">
        <w:rPr>
          <w:rFonts w:ascii="Times New Roman" w:eastAsia="Times New Roman" w:hAnsi="Times New Roman" w:cs="Times New Roman"/>
          <w:color w:val="auto"/>
          <w:sz w:val="24"/>
          <w:szCs w:val="24"/>
          <w:shd w:val="clear" w:color="auto" w:fill="FFFFFF"/>
        </w:rPr>
        <w:t xml:space="preserve"> Competency-based education</w:t>
      </w:r>
      <w:bookmarkEnd w:id="27"/>
    </w:p>
    <w:p w14:paraId="730A038F" w14:textId="77777777" w:rsidR="00863DF5" w:rsidRPr="006F3B00" w:rsidRDefault="00863DF5" w:rsidP="00863DF5">
      <w:pPr>
        <w:autoSpaceDE w:val="0"/>
        <w:autoSpaceDN w:val="0"/>
        <w:adjustRightInd w:val="0"/>
        <w:spacing w:after="0" w:line="480" w:lineRule="auto"/>
        <w:rPr>
          <w:rFonts w:ascii="Times New Roman" w:hAnsi="Times New Roman" w:cs="Times New Roman"/>
          <w:sz w:val="24"/>
          <w:szCs w:val="24"/>
          <w:lang w:val="en-CA"/>
        </w:rPr>
      </w:pPr>
    </w:p>
    <w:p w14:paraId="030DE82F" w14:textId="1645C9AD" w:rsidR="00863DF5" w:rsidRDefault="00863DF5" w:rsidP="006A43B1">
      <w:pPr>
        <w:autoSpaceDE w:val="0"/>
        <w:autoSpaceDN w:val="0"/>
        <w:adjustRightInd w:val="0"/>
        <w:spacing w:after="0" w:line="480" w:lineRule="auto"/>
        <w:rPr>
          <w:rFonts w:ascii="Times New Roman" w:hAnsi="Times New Roman" w:cs="Times New Roman"/>
          <w:sz w:val="24"/>
          <w:szCs w:val="24"/>
        </w:rPr>
      </w:pPr>
      <w:r w:rsidRPr="006F3B00">
        <w:rPr>
          <w:rFonts w:ascii="Times New Roman" w:hAnsi="Times New Roman" w:cs="Times New Roman"/>
          <w:sz w:val="24"/>
          <w:szCs w:val="24"/>
          <w:lang w:val="en-CA"/>
        </w:rPr>
        <w:t xml:space="preserve">Training in medical and dental education often aims at determining when a trainee is competent to move to the next stage of training. </w:t>
      </w:r>
      <w:r w:rsidRPr="006F3B00">
        <w:rPr>
          <w:rFonts w:ascii="Times New Roman" w:hAnsi="Times New Roman" w:cs="Times New Roman"/>
          <w:sz w:val="24"/>
          <w:szCs w:val="24"/>
        </w:rPr>
        <w:t>In general terms, organizations may stipulate their desired competencies so people know what they need to do to produce the desired outcomes of the organization and this forms a framework for appraisals and development of staff. There is an increasing emphasis towards competenc</w:t>
      </w:r>
      <w:r w:rsidR="002B1984">
        <w:rPr>
          <w:rFonts w:ascii="Times New Roman" w:hAnsi="Times New Roman" w:cs="Times New Roman"/>
          <w:sz w:val="24"/>
          <w:szCs w:val="24"/>
        </w:rPr>
        <w:t>y based training in the United Kingdom (UK)</w:t>
      </w:r>
      <w:r w:rsidRPr="006F3B00">
        <w:rPr>
          <w:rFonts w:ascii="Times New Roman" w:hAnsi="Times New Roman" w:cs="Times New Roman"/>
          <w:sz w:val="24"/>
          <w:szCs w:val="24"/>
        </w:rPr>
        <w:t xml:space="preserve"> and other countries worldwide, where there is pressure to increase accountability and set minimum standards for entry into practice</w:t>
      </w:r>
      <w:r w:rsidR="00194E76">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{"citationItems":[{"id":"ITEM-1","itemData":{"DOI":"10.1136/postgradmedj-2012-130881","ISBN":"1469-0756 (Electronic)\\n0032-5473 (Linking)","ISSN":"00325473","PMID":"23019588","abstract":"Competency based training describes progression through training referenced to the demonstrated ability to perform certain tasks. In recent years, this has become the dominant curriculum model. We seek to examine who benefits from a competency based approach to medical education. For the regulators and service, the apparent advantage is in terms of apparent measurable accountability and flexibility. For assessors, the promise of competence based assessments in the workplace to provide a reliable and objective measurement of a trainee's performance has not been demonstrated in practice. For the doctor in training, there is very little evidence to show benefit from competency based training. Competency based training places emphasis on individual skills rather than overall learning experience thus risks diminishing the role of the trainee in the workplace. Any form of medical education that devalues workplace based learning will ultimately harm the profession and, in turn, patient care.","author":[{"dropping-particle":"","family":"Brightwell","given":"Alexandra","non-dropping-particle":"","parse-names":false,"suffix":""},{"dropping-particle":"","family":"Grant","given":"Janet","non-dropping-particle":"","parse-names":false,"suffix":""}],"container-title":"Postgraduate Medical Journal","id":"ITEM-1","issue":"1048","issued":{"date-parts":[["2013"]]},"page":"107-110","title":"Competency-based training: Who benefits?","type":"article","volume":"89"},"uris":["http://www.mendeley.com/documents/?uuid=616fa9e3-e552-43f2-9a65-7082457941d6"]}],"mendeley":{"formattedCitation":"(Brightwell and Grant, 2013)","plainTextFormattedCitation":"(Brightwell and Grant, 2013)","previouslyFormattedCitation":"(Brightwell and Grant 2013)"},"properties":{"noteIndex":0},"schema":"https://github.com/citation-style-language/schema/raw/master/csl-citation.json"}</w:instrText>
      </w:r>
      <w:r w:rsidRPr="006F3B00">
        <w:rPr>
          <w:rFonts w:ascii="Times New Roman" w:hAnsi="Times New Roman" w:cs="Times New Roman"/>
          <w:sz w:val="24"/>
          <w:szCs w:val="24"/>
        </w:rPr>
        <w:fldChar w:fldCharType="separate"/>
      </w:r>
      <w:r w:rsidR="00194E76">
        <w:rPr>
          <w:rFonts w:ascii="Times New Roman" w:hAnsi="Times New Roman" w:cs="Times New Roman"/>
          <w:noProof/>
          <w:sz w:val="24"/>
          <w:szCs w:val="24"/>
        </w:rPr>
        <w:t>(Brightwell and Grant</w:t>
      </w:r>
      <w:r w:rsidR="00BE3B6C" w:rsidRPr="00BE3B6C">
        <w:rPr>
          <w:rFonts w:ascii="Times New Roman" w:hAnsi="Times New Roman" w:cs="Times New Roman"/>
          <w:noProof/>
          <w:sz w:val="24"/>
          <w:szCs w:val="24"/>
        </w:rPr>
        <w:t xml:space="preserve"> 2013)</w:t>
      </w:r>
      <w:r w:rsidRPr="006F3B00">
        <w:rPr>
          <w:rFonts w:ascii="Times New Roman" w:hAnsi="Times New Roman" w:cs="Times New Roman"/>
          <w:sz w:val="24"/>
          <w:szCs w:val="24"/>
        </w:rPr>
        <w:fldChar w:fldCharType="end"/>
      </w:r>
      <w:r w:rsidR="006A43B1">
        <w:rPr>
          <w:rFonts w:ascii="Times New Roman" w:hAnsi="Times New Roman" w:cs="Times New Roman"/>
          <w:sz w:val="24"/>
          <w:szCs w:val="24"/>
        </w:rPr>
        <w:t>.</w:t>
      </w:r>
    </w:p>
    <w:p w14:paraId="5C32DFEA" w14:textId="77777777" w:rsidR="006A43B1" w:rsidRPr="006A43B1" w:rsidRDefault="006A43B1" w:rsidP="006A43B1">
      <w:pPr>
        <w:autoSpaceDE w:val="0"/>
        <w:autoSpaceDN w:val="0"/>
        <w:adjustRightInd w:val="0"/>
        <w:spacing w:after="0" w:line="480" w:lineRule="auto"/>
        <w:rPr>
          <w:rFonts w:ascii="Times New Roman" w:hAnsi="Times New Roman" w:cs="Times New Roman"/>
          <w:sz w:val="24"/>
          <w:szCs w:val="24"/>
        </w:rPr>
      </w:pPr>
    </w:p>
    <w:p w14:paraId="0A94AAFD" w14:textId="77777777" w:rsidR="00194E76" w:rsidRDefault="00863DF5" w:rsidP="00863DF5">
      <w:pPr>
        <w:spacing w:line="480" w:lineRule="auto"/>
        <w:rPr>
          <w:rFonts w:ascii="Times New Roman" w:eastAsia="Times New Roman" w:hAnsi="Times New Roman" w:cs="Times New Roman"/>
          <w:sz w:val="24"/>
          <w:szCs w:val="24"/>
          <w:shd w:val="clear" w:color="auto" w:fill="FFFFFF"/>
        </w:rPr>
      </w:pPr>
      <w:r w:rsidRPr="006F3B00">
        <w:rPr>
          <w:rFonts w:ascii="Times New Roman" w:eastAsia="Times New Roman" w:hAnsi="Times New Roman" w:cs="Times New Roman"/>
          <w:sz w:val="24"/>
          <w:szCs w:val="24"/>
          <w:shd w:val="clear" w:color="auto" w:fill="FFFFFF"/>
        </w:rPr>
        <w:lastRenderedPageBreak/>
        <w:t>Competency-based education is usually assessed longitudinally as it takes time for trainees to acquire the necessary knowledge, skills and attitudes to be signed off or be “competent” at particular tasks. This echoes Carr who comments that</w:t>
      </w:r>
      <w:r w:rsidR="00194E76">
        <w:rPr>
          <w:rFonts w:ascii="Times New Roman" w:eastAsia="Times New Roman" w:hAnsi="Times New Roman" w:cs="Times New Roman"/>
          <w:sz w:val="24"/>
          <w:szCs w:val="24"/>
          <w:shd w:val="clear" w:color="auto" w:fill="FFFFFF"/>
        </w:rPr>
        <w:t>:</w:t>
      </w:r>
    </w:p>
    <w:p w14:paraId="3EEF0E82" w14:textId="1B5D3497" w:rsidR="00194E76" w:rsidRPr="00FE25E6" w:rsidRDefault="00863DF5" w:rsidP="00194E76">
      <w:pPr>
        <w:spacing w:line="480" w:lineRule="auto"/>
        <w:ind w:left="720"/>
        <w:rPr>
          <w:rFonts w:ascii="Times New Roman" w:eastAsia="Times New Roman" w:hAnsi="Times New Roman" w:cs="Times New Roman"/>
          <w:sz w:val="24"/>
          <w:szCs w:val="24"/>
          <w:shd w:val="clear" w:color="auto" w:fill="FFFFFF"/>
        </w:rPr>
      </w:pPr>
      <w:r w:rsidRPr="00FE25E6">
        <w:rPr>
          <w:rFonts w:ascii="Times New Roman" w:eastAsia="Times New Roman" w:hAnsi="Times New Roman" w:cs="Times New Roman"/>
          <w:sz w:val="24"/>
          <w:szCs w:val="24"/>
          <w:shd w:val="clear" w:color="auto" w:fill="FFFFFF"/>
        </w:rPr>
        <w:t>It is generally recognised that it is no longer sufficient for doctors to</w:t>
      </w:r>
      <w:r w:rsidR="00FE25E6">
        <w:rPr>
          <w:rFonts w:ascii="Times New Roman" w:eastAsia="Times New Roman" w:hAnsi="Times New Roman" w:cs="Times New Roman"/>
          <w:sz w:val="24"/>
          <w:szCs w:val="24"/>
          <w:shd w:val="clear" w:color="auto" w:fill="FFFFFF"/>
        </w:rPr>
        <w:t xml:space="preserve"> consider themselves competent but...</w:t>
      </w:r>
      <w:r w:rsidRPr="00FE25E6">
        <w:rPr>
          <w:rFonts w:ascii="Times New Roman" w:eastAsia="Times New Roman" w:hAnsi="Times New Roman" w:cs="Times New Roman"/>
          <w:sz w:val="24"/>
          <w:szCs w:val="24"/>
          <w:shd w:val="clear" w:color="auto" w:fill="FFFFFF"/>
        </w:rPr>
        <w:t>demonstrate they are clinically competent to perform certain roles</w:t>
      </w:r>
      <w:r w:rsidR="00FE25E6" w:rsidRPr="00FE25E6">
        <w:rPr>
          <w:rFonts w:ascii="Times New Roman" w:eastAsia="Times New Roman" w:hAnsi="Times New Roman" w:cs="Times New Roman"/>
          <w:sz w:val="24"/>
          <w:szCs w:val="24"/>
          <w:shd w:val="clear" w:color="auto" w:fill="FFFFFF"/>
        </w:rPr>
        <w:t xml:space="preserve"> </w:t>
      </w:r>
      <w:r w:rsidRPr="00FE25E6">
        <w:rPr>
          <w:rFonts w:ascii="Times New Roman" w:eastAsia="Times New Roman" w:hAnsi="Times New Roman" w:cs="Times New Roman"/>
          <w:sz w:val="24"/>
          <w:szCs w:val="24"/>
          <w:shd w:val="clear" w:color="auto" w:fill="FFFFFF"/>
        </w:rPr>
        <w:fldChar w:fldCharType="begin" w:fldLock="1"/>
      </w:r>
      <w:r w:rsidR="00BE3B6C" w:rsidRPr="00FE25E6">
        <w:rPr>
          <w:rFonts w:ascii="Times New Roman" w:eastAsia="Times New Roman" w:hAnsi="Times New Roman" w:cs="Times New Roman"/>
          <w:sz w:val="24"/>
          <w:szCs w:val="24"/>
          <w:shd w:val="clear" w:color="auto" w:fill="FFFFFF"/>
        </w:rPr>
        <w:instrText>ADDIN CSL_CITATION {"citationItems":[{"id":"ITEM-1","itemData":{"DOI":"10.1136/pmj.2003.011718","ISSN":"00325473","PMID":"14970290","abstract":"Most consultants are involved in the training and assessment of several grades of doctors in training especially senior house officers (SHOs) and specialist registrars. In the medical and other specialties there is an increasing trend towards assessing junior doctors' competency using the record of in-training assessment process for specialist registrars and using the Royal College of Physicians folder to record competences of medical SHOs. It is necessary to consider why there is a need to assess competency, how it may be done practically, and the advantages and disadvantages of this system of assessment. There are considerable hurdles to the implementation of this system in the medical specialties within today's NHS and the organisation may need to undergo fairly radical change to facilitate this system.","author":[{"dropping-particle":"","family":"Carr","given":"S. J.","non-dropping-particle":"","parse-names":false,"suffix":""}],"container-title":"Postgraduate Medical Journal","id":"ITEM-1","issue":"940","issued":{"date-parts":[["2004"]]},"page":"63-66","title":"Assessing clinical competency in medical senior house officers: Now and why should we do it?","type":"article","volume":"80"},"uris":["http://www.mendeley.com/documents/?uuid=6da50b40-04ec-47c0-8e49-79083a37ca2a","http://www.mendeley.com/documents/?uuid=a54439c9-4b80-442b-9ac2-7022f13e56b6"]}],"mendeley":{"formattedCitation":"(Carr, 2004)","plainTextFormattedCitation":"(Carr, 2004)","previouslyFormattedCitation":"(Carr 2004)"},"properties":{"noteIndex":0},"schema":"https://github.com/citation-style-language/schema/raw/master/csl-citation.json"}</w:instrText>
      </w:r>
      <w:r w:rsidRPr="00FE25E6">
        <w:rPr>
          <w:rFonts w:ascii="Times New Roman" w:eastAsia="Times New Roman" w:hAnsi="Times New Roman" w:cs="Times New Roman"/>
          <w:sz w:val="24"/>
          <w:szCs w:val="24"/>
          <w:shd w:val="clear" w:color="auto" w:fill="FFFFFF"/>
        </w:rPr>
        <w:fldChar w:fldCharType="separate"/>
      </w:r>
      <w:r w:rsidR="00194E76" w:rsidRPr="00FE25E6">
        <w:rPr>
          <w:rFonts w:ascii="Times New Roman" w:eastAsia="Times New Roman" w:hAnsi="Times New Roman" w:cs="Times New Roman"/>
          <w:noProof/>
          <w:sz w:val="24"/>
          <w:szCs w:val="24"/>
          <w:shd w:val="clear" w:color="auto" w:fill="FFFFFF"/>
        </w:rPr>
        <w:t>(</w:t>
      </w:r>
      <w:r w:rsidR="00BE3B6C" w:rsidRPr="00FE25E6">
        <w:rPr>
          <w:rFonts w:ascii="Times New Roman" w:eastAsia="Times New Roman" w:hAnsi="Times New Roman" w:cs="Times New Roman"/>
          <w:noProof/>
          <w:sz w:val="24"/>
          <w:szCs w:val="24"/>
          <w:shd w:val="clear" w:color="auto" w:fill="FFFFFF"/>
        </w:rPr>
        <w:t>2004</w:t>
      </w:r>
      <w:r w:rsidR="00194E76" w:rsidRPr="00FE25E6">
        <w:rPr>
          <w:rFonts w:ascii="Times New Roman" w:eastAsia="Times New Roman" w:hAnsi="Times New Roman" w:cs="Times New Roman"/>
          <w:noProof/>
          <w:sz w:val="24"/>
          <w:szCs w:val="24"/>
          <w:shd w:val="clear" w:color="auto" w:fill="FFFFFF"/>
        </w:rPr>
        <w:t>, p.</w:t>
      </w:r>
      <w:r w:rsidR="00FE25E6" w:rsidRPr="00FE25E6">
        <w:rPr>
          <w:rFonts w:ascii="Times New Roman" w:eastAsia="Times New Roman" w:hAnsi="Times New Roman" w:cs="Times New Roman"/>
          <w:noProof/>
          <w:sz w:val="24"/>
          <w:szCs w:val="24"/>
          <w:shd w:val="clear" w:color="auto" w:fill="FFFFFF"/>
        </w:rPr>
        <w:t xml:space="preserve"> 63</w:t>
      </w:r>
      <w:r w:rsidR="00194E76" w:rsidRPr="00FE25E6">
        <w:rPr>
          <w:rFonts w:ascii="Times New Roman" w:eastAsia="Times New Roman" w:hAnsi="Times New Roman" w:cs="Times New Roman"/>
          <w:noProof/>
          <w:sz w:val="24"/>
          <w:szCs w:val="24"/>
          <w:shd w:val="clear" w:color="auto" w:fill="FFFFFF"/>
        </w:rPr>
        <w:t xml:space="preserve"> </w:t>
      </w:r>
      <w:r w:rsidR="00BE3B6C" w:rsidRPr="00FE25E6">
        <w:rPr>
          <w:rFonts w:ascii="Times New Roman" w:eastAsia="Times New Roman" w:hAnsi="Times New Roman" w:cs="Times New Roman"/>
          <w:noProof/>
          <w:sz w:val="24"/>
          <w:szCs w:val="24"/>
          <w:shd w:val="clear" w:color="auto" w:fill="FFFFFF"/>
        </w:rPr>
        <w:t>)</w:t>
      </w:r>
      <w:r w:rsidRPr="00FE25E6">
        <w:rPr>
          <w:rFonts w:ascii="Times New Roman" w:eastAsia="Times New Roman" w:hAnsi="Times New Roman" w:cs="Times New Roman"/>
          <w:sz w:val="24"/>
          <w:szCs w:val="24"/>
          <w:shd w:val="clear" w:color="auto" w:fill="FFFFFF"/>
        </w:rPr>
        <w:fldChar w:fldCharType="end"/>
      </w:r>
      <w:r w:rsidRPr="00FE25E6">
        <w:rPr>
          <w:rFonts w:ascii="Times New Roman" w:eastAsia="Times New Roman" w:hAnsi="Times New Roman" w:cs="Times New Roman"/>
          <w:sz w:val="24"/>
          <w:szCs w:val="24"/>
          <w:shd w:val="clear" w:color="auto" w:fill="FFFFFF"/>
        </w:rPr>
        <w:t xml:space="preserve">. </w:t>
      </w:r>
    </w:p>
    <w:p w14:paraId="4790FDA2" w14:textId="6EB151A6" w:rsidR="00863DF5" w:rsidRPr="006F3B00" w:rsidRDefault="00863DF5" w:rsidP="00194E76">
      <w:pPr>
        <w:spacing w:line="480" w:lineRule="auto"/>
        <w:rPr>
          <w:rFonts w:ascii="Times New Roman" w:eastAsia="Times New Roman" w:hAnsi="Times New Roman" w:cs="Times New Roman"/>
          <w:sz w:val="24"/>
          <w:szCs w:val="24"/>
          <w:shd w:val="clear" w:color="auto" w:fill="FFFFFF"/>
        </w:rPr>
      </w:pPr>
      <w:r w:rsidRPr="006F3B00">
        <w:rPr>
          <w:rFonts w:ascii="Times New Roman" w:eastAsia="Times New Roman" w:hAnsi="Times New Roman" w:cs="Times New Roman"/>
          <w:sz w:val="24"/>
          <w:szCs w:val="24"/>
          <w:shd w:val="clear" w:color="auto" w:fill="FFFFFF"/>
        </w:rPr>
        <w:t xml:space="preserve">Therefore, it could be argued that a trainee is not fully competent until they are signed off for all the roles or tasks. Individuals must therefore recognise the limits of their abilities and not partake in work beyond their scope of competency.  Interestingly, despite the emphasis placed on competency-based education, there is little consensus among trainees, trainers, and committees on what this approach entails </w:t>
      </w:r>
      <w:r w:rsidRPr="006F3B00">
        <w:rPr>
          <w:rFonts w:ascii="Times New Roman" w:eastAsia="Times New Roman" w:hAnsi="Times New Roman" w:cs="Times New Roman"/>
          <w:sz w:val="24"/>
          <w:szCs w:val="24"/>
          <w:shd w:val="clear" w:color="auto" w:fill="FFFFFF"/>
        </w:rPr>
        <w:fldChar w:fldCharType="begin" w:fldLock="1"/>
      </w:r>
      <w:r w:rsidR="00BE3B6C">
        <w:rPr>
          <w:rFonts w:ascii="Times New Roman" w:eastAsia="Times New Roman" w:hAnsi="Times New Roman" w:cs="Times New Roman"/>
          <w:sz w:val="24"/>
          <w:szCs w:val="24"/>
          <w:shd w:val="clear" w:color="auto" w:fill="FFFFFF"/>
        </w:rPr>
        <w:instrText>ADDIN CSL_CITATION {"citationItems":[{"id":"ITEM-1","itemData":{"abstract":"The competency approach has become prominent at most stages of undergraduate and postgraduate medical training in many countries. In the United Kingdom, for example, it forms part of the performance procedures of the General Medical Council (GMC), 1 ... \\n","author":[{"dropping-particle":"","family":"Leung","given":"W C","non-dropping-particle":"","parse-names":false,"suffix":""}],"container-title":"BMJ: British Medical Journal","id":"ITEM-1","issued":{"date-parts":[["2002"]]},"title":"Competency based medical training: review","type":"article-journal"},"uris":["http://www.mendeley.com/documents/?uuid=ec0595d6-9087-4917-8f78-7b9006d5a098"]}],"mendeley":{"formattedCitation":"(Leung, 2002)","plainTextFormattedCitation":"(Leung, 2002)","previouslyFormattedCitation":"(Leung 2002)"},"properties":{"noteIndex":0},"schema":"https://github.com/citation-style-language/schema/raw/master/csl-citation.json"}</w:instrText>
      </w:r>
      <w:r w:rsidRPr="006F3B00">
        <w:rPr>
          <w:rFonts w:ascii="Times New Roman" w:eastAsia="Times New Roman" w:hAnsi="Times New Roman" w:cs="Times New Roman"/>
          <w:sz w:val="24"/>
          <w:szCs w:val="24"/>
          <w:shd w:val="clear" w:color="auto" w:fill="FFFFFF"/>
        </w:rPr>
        <w:fldChar w:fldCharType="separate"/>
      </w:r>
      <w:r w:rsidR="00FE25E6">
        <w:rPr>
          <w:rFonts w:ascii="Times New Roman" w:eastAsia="Times New Roman" w:hAnsi="Times New Roman" w:cs="Times New Roman"/>
          <w:noProof/>
          <w:sz w:val="24"/>
          <w:szCs w:val="24"/>
          <w:shd w:val="clear" w:color="auto" w:fill="FFFFFF"/>
        </w:rPr>
        <w:t>(Leung</w:t>
      </w:r>
      <w:r w:rsidR="00BE3B6C" w:rsidRPr="00BE3B6C">
        <w:rPr>
          <w:rFonts w:ascii="Times New Roman" w:eastAsia="Times New Roman" w:hAnsi="Times New Roman" w:cs="Times New Roman"/>
          <w:noProof/>
          <w:sz w:val="24"/>
          <w:szCs w:val="24"/>
          <w:shd w:val="clear" w:color="auto" w:fill="FFFFFF"/>
        </w:rPr>
        <w:t xml:space="preserve"> 2002)</w:t>
      </w:r>
      <w:r w:rsidRPr="006F3B00">
        <w:rPr>
          <w:rFonts w:ascii="Times New Roman" w:eastAsia="Times New Roman" w:hAnsi="Times New Roman" w:cs="Times New Roman"/>
          <w:sz w:val="24"/>
          <w:szCs w:val="24"/>
          <w:shd w:val="clear" w:color="auto" w:fill="FFFFFF"/>
        </w:rPr>
        <w:fldChar w:fldCharType="end"/>
      </w:r>
      <w:r w:rsidRPr="006F3B00">
        <w:rPr>
          <w:rFonts w:ascii="Times New Roman" w:eastAsia="Times New Roman" w:hAnsi="Times New Roman" w:cs="Times New Roman"/>
          <w:sz w:val="24"/>
          <w:szCs w:val="24"/>
          <w:shd w:val="clear" w:color="auto" w:fill="FFFFFF"/>
        </w:rPr>
        <w:t>.</w:t>
      </w:r>
    </w:p>
    <w:p w14:paraId="205F104A" w14:textId="0923971E" w:rsidR="00863DF5" w:rsidRPr="006F3B00" w:rsidRDefault="00863DF5" w:rsidP="00863DF5">
      <w:pPr>
        <w:spacing w:line="480" w:lineRule="auto"/>
        <w:rPr>
          <w:rFonts w:ascii="Times New Roman" w:hAnsi="Times New Roman" w:cs="Times New Roman"/>
          <w:sz w:val="24"/>
          <w:szCs w:val="24"/>
        </w:rPr>
      </w:pPr>
      <w:r w:rsidRPr="006F3B00">
        <w:rPr>
          <w:rFonts w:ascii="Times New Roman" w:eastAsia="Times New Roman" w:hAnsi="Times New Roman" w:cs="Times New Roman"/>
          <w:sz w:val="24"/>
          <w:szCs w:val="24"/>
          <w:shd w:val="clear" w:color="auto" w:fill="FFFFFF"/>
        </w:rPr>
        <w:t xml:space="preserve">There has therefore been an effort to make competency based education more explicit, with, for example, </w:t>
      </w:r>
      <w:r w:rsidR="002B1984">
        <w:rPr>
          <w:rFonts w:ascii="Times New Roman" w:hAnsi="Times New Roman" w:cs="Times New Roman"/>
          <w:sz w:val="24"/>
          <w:szCs w:val="24"/>
        </w:rPr>
        <w:t>the ACGMEA</w:t>
      </w:r>
      <w:r w:rsidRPr="006F3B00">
        <w:rPr>
          <w:rFonts w:ascii="Times New Roman" w:hAnsi="Times New Roman" w:cs="Times New Roman"/>
          <w:sz w:val="24"/>
          <w:szCs w:val="24"/>
        </w:rPr>
        <w:t xml:space="preserve"> listing six competencies expected of medical graduates: medical knowledge, patient care, interpersonal and communication skills, professionalism, practice-based learning and improvement, and systems-based practice</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{"citationItems":[{"id":"ITEM-1","itemData":{"DOI":"10.1213/ane.0b013e3181a1653b","ISBN":"1526-7598 (Electronic)\\n0003-2999 (Linking)","ISSN":"00032999","PMID":"19439681","abstract":"BACKGROUND: The Accreditation Council for Graduate Medical Education (ACGME) Outcome Project, endorsed at the 1999 ACGME annual meeting, was intended to shift the focus of residency program requirements and accreditation from process-oriented assessment to an assessment of outcomes. The Outcome Project established six general competencies, each of which is supported by more specific competencies. METHODS: We compared contemporary resident evaluation based on the Outcome Project to faculty evaluation of a surgical resident at Mayo Clinic that was completed in 1917. RESULTS: The contemporary faculty assessment of resident performance was remarkably similar to the evaluation form and criteria used in 1917. All six general competencies, and nearly all of the more specific items listed under each general competency, were included in the 1917 evaluation. Duty hour data as a component of the 1917 resident evaluation included the number of hours per week spent in \"practical work,\" \"medical library,\" and \"research work.\" CONCLUSIONS: The remarkable similarities between the qualities assessed in the 1917 evaluation and the assessment of contemporary ACGME competencies suggest that a common set of desirable physician characteristics and behaviors can be identified and measured.","author":[{"dropping-particle":"","family":"Rose","given":"Steven H.","non-dropping-particle":"","parse-names":false,"suffix":""},{"dropping-particle":"","family":"Long","given":"Timothy R.","non-dropping-particle":"","parse-names":false,"suffix":""},{"dropping-particle":"","family":"Elliott","given":"Beth A.","non-dropping-particle":"","parse-names":false,"suffix":""},{"dropping-particle":"","family":"Brown","given":"Michael J.","non-dropping-particle":"","parse-names":false,"suffix":""}],"container-title":"Anesthesia and Analgesia","id":"ITEM-1","issue":"1","issued":{"date-parts":[["2009"]]},"page":"190-193","title":"A historical perspective on resident evaluation, the accreditation council for graduate medical education outcome project and accreditation council for graduate medical education duty hour requirement","type":"article-journal","volume":"109"},"uris":["http://www.mendeley.com/documents/?uuid=3b4285a5-467b-4cb8-8061-4f98686ab3f5","http://www.mendeley.com/documents/?uuid=8cb820cd-2090-4afa-bbfb-644dc8643f16"]}],"mendeley":{"formattedCitation":"(Rose &lt;i&gt;et al.&lt;/i&gt;, 2009)","plainTextFormattedCitation":"(Rose et al., 2009)","previouslyFormattedCitation":"(Rose et al. 2009)"},"properties":{"noteIndex":0},"schema":"https://github.com/citation-style-language/schema/raw/master/csl-citation.json"}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(Rose </w:t>
      </w:r>
      <w:r w:rsidR="00BE3B6C" w:rsidRPr="00FE25E6">
        <w:rPr>
          <w:rFonts w:ascii="Times New Roman" w:hAnsi="Times New Roman" w:cs="Times New Roman"/>
          <w:noProof/>
          <w:sz w:val="24"/>
          <w:szCs w:val="24"/>
        </w:rPr>
        <w:t xml:space="preserve">et al. </w:t>
      </w:r>
      <w:r w:rsidR="00BE3B6C" w:rsidRPr="00BE3B6C">
        <w:rPr>
          <w:rFonts w:ascii="Times New Roman" w:hAnsi="Times New Roman" w:cs="Times New Roman"/>
          <w:noProof/>
          <w:sz w:val="24"/>
          <w:szCs w:val="24"/>
        </w:rPr>
        <w:t>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These competencies reinforce the fact that having the necessary knowledge and skills are not enough and individuals must develop a wider range of skills and attitude so that they can develop throughout their career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{"citationItems":[{"id":"ITEM-1","itemData":{"DOI":"10.1212/WNL.0000000000000646","ISBN":"0000000000000","ISSN":"1526632X","PMID":"24975860","abstract":"Current medical educational theory encourages the development of competency-based curricula. The Accreditation Council for Graduate Medical Education's 6 core competencies for resident education (medical knowledge, patient care, professionalism, interpersonal and communication skills, practice-based learning, and systems-based practice) have been embraced by medical schools as the building blocks necessary for becoming a competent licensed physician. Many medical schools are therefore changing their educational approach to an integrated model in which students demonstrate incremental acquisition and mastery of all competencies as they progress through medical school. Challenges to medical schools include integration of preclinical and clinical studies as well as development of learning objectives and assessment measures for each competency. The Undergraduate Education Subcommittee (UES) of the American Academy of Neurology (AAN) assembled a group of neuroscience educators to outline a longitudinal competency-based curriculum in medical neuroscience encompassing both preclinical and clinical coursework. In development of this curriculum, the committee reviewed United States Medical Licensing Examination content outlines, Liaison Committee on Medical Education requirements, prior AAN-mandated core curricula for basic neuroscience and clinical neurology, and survey responses from educators in US medical schools. The newly recommended curriculum provides an outline of learning objectives for each of the 6 competencies, listing each learning objective in active terms. Documentation of experiences is emphasized, and assessment measures are suggested to demonstrate adequate achievement in each competency. These guidelines, widely vetted and approved by the UES membership, aspire to be both useful as a stand-alone curriculum and also provide a framework for neuroscience educators who wish to develop a more detailed focus in certain areas of study.","author":[{"dropping-particle":"","family":"Merlin","given":"Lisa R.","non-dropping-particle":"","parse-names":false,"suffix":""},{"dropping-particle":"","family":"Horak","given":"Holli A.","non-dropping-particle":"","parse-names":false,"suffix":""},{"dropping-particle":"","family":"Milligan","given":"Tracey A.","non-dropping-particle":"","parse-names":false,"suffix":""},{"dropping-particle":"","family":"Kraakevik","given":"Jeff A.","non-dropping-particle":"","parse-names":false,"suffix":""},{"dropping-particle":"","family":"Ali","given":"Imran I.","non-dropping-particle":"","parse-names":false,"suffix":""}],"container-title":"Neurology","id":"ITEM-1","issue":"5","issued":{"date-parts":[["2014"]]},"page":"456-462","title":"A competency-based longitudinal core curriculum in medical neuroscience","type":"article-journal","volume":"83"},"uris":["http://www.mendeley.com/documents/?uuid=2c5ebd9c-5eb9-4078-8de4-533d00548caa"]}],"mendeley":{"formattedCitation":"(Merlin &lt;i&gt;et al.&lt;/i&gt;, 2014)","plainTextFormattedCitation":"(Merlin et al., 2014)","previouslyFormattedCitation":"(Merlin et al. 2014)"},"properties":{"noteIndex":0},"schema":"https://github.com/citation-style-language/schema/raw/master/csl-citation.json"}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(Merlin </w:t>
      </w:r>
      <w:r w:rsidR="00BE3B6C" w:rsidRPr="00FE25E6">
        <w:rPr>
          <w:rFonts w:ascii="Times New Roman" w:hAnsi="Times New Roman" w:cs="Times New Roman"/>
          <w:noProof/>
          <w:sz w:val="24"/>
          <w:szCs w:val="24"/>
        </w:rPr>
        <w:t xml:space="preserve">et al. </w:t>
      </w:r>
      <w:r w:rsidR="00BE3B6C" w:rsidRPr="00BE3B6C">
        <w:rPr>
          <w:rFonts w:ascii="Times New Roman" w:hAnsi="Times New Roman" w:cs="Times New Roman"/>
          <w:noProof/>
          <w:sz w:val="24"/>
          <w:szCs w:val="24"/>
        </w:rPr>
        <w:t>2014)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Indeed, one criticism of some competency-based education systems is that its reductive nature can sometimes lead trainees into thinking they understand and have met all that is expected of them when they finish training. However these expectations do not always align to the context of real work responsibilities or the likely scope of practice</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{"citationItems":[{"id":"ITEM-1","itemData":{"DOI":"10.4300/01.01.0009","ISSN":"1949-8349","PMID":"21975707","abstract":"PURPOSE: To demonstrate a methodology for coding and taxonomy development and to operationally define residents' competence in systems-based practice (SBP) in terms of observable roles, actions, and behaviors.\\n\\nMETHODS: The Accreditation Council for Graduate Medical Education's (ACGME's) full-text definition of SBP and the 6 discrete expectations it contains were content analyzed. Structured interviews of 88 health care professionals using a variant of focus group interviews called nominal group processes were conducted and qualitatively analyzed to identify the key attributes of SBP. Themes obtained from these 2 procedures were conceptually matched and organized to create a taxonomy of observable SPB behaviors and the SBP domain.\\n\\nRESULTS: Six general resident roles emerged, under which 35 specific behavioral attributes were subsumed. From the SBP domain specified. Sample SBP items categorized by roles were derived that reflected \"in-context\" representations of ACGME SBP expectations.\\n\\nCONCLUSION: Our comprehensive analysis created an operational representation of the SBP competency. The taxonomy development model provides a framework for constructing assessment instrument(s) that could be applied to the other ACGME competencies or complex concepts in medical education.","author":[{"dropping-particle":"","family":"Graham","given":"Mark J.","non-dropping-particle":"","parse-names":false,"suffix":""},{"dropping-particle":"","family":"Naqvi","given":"Zoon","non-dropping-particle":"","parse-names":false,"suffix":""},{"dropping-particle":"","family":"Encandela","given":"John","non-dropping-particle":"","parse-names":false,"suffix":""},{"dropping-particle":"","family":"Harding","given":"Kelli J.","non-dropping-particle":"","parse-names":false,"suffix":""},{"dropping-particle":"","family":"Chatterji","given":"Madhabi","non-dropping-particle":"","parse-names":false,"suffix":""}],"container-title":"Journal of Graduate Medical Education","id":"ITEM-1","issue":"1","issued":{"date-parts":[["2009"]]},"page":"49-60","title":"Systems-Based Practice Defined: Taxonomy Development and Role Identification for Competency Assessment of Residents","type":"article-journal","volume":"1"},"uris":["http://www.mendeley.com/documents/?uuid=ce6a00a2-b12d-465b-8b5c-de75667be7bf","http://www.mendeley.com/documents/?uuid=5d80d124-f625-4c69-946e-9722e73784e3"]}],"mendeley":{"formattedCitation":"(Graham &lt;i&gt;et al.&lt;/i&gt;, 2009)","plainTextFormattedCitation":"(Graham et al., 2009)","previouslyFormattedCitation":"(Graham et al. 2009)"},"properties":{"noteIndex":0},"schema":"https://github.com/citation-style-language/schema/raw/master/csl-citation.json"}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(Graham </w:t>
      </w:r>
      <w:r w:rsidR="00BE3B6C" w:rsidRPr="00FE25E6">
        <w:rPr>
          <w:rFonts w:ascii="Times New Roman" w:hAnsi="Times New Roman" w:cs="Times New Roman"/>
          <w:noProof/>
          <w:sz w:val="24"/>
          <w:szCs w:val="24"/>
        </w:rPr>
        <w:t>et al</w:t>
      </w:r>
      <w:r w:rsidR="00BE3B6C" w:rsidRPr="00BE3B6C">
        <w:rPr>
          <w:rFonts w:ascii="Times New Roman" w:hAnsi="Times New Roman" w:cs="Times New Roman"/>
          <w:i/>
          <w:noProof/>
          <w:sz w:val="24"/>
          <w:szCs w:val="24"/>
        </w:rPr>
        <w:t>.</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00FE25E6">
        <w:rPr>
          <w:rFonts w:ascii="Times New Roman" w:hAnsi="Times New Roman" w:cs="Times New Roman"/>
          <w:sz w:val="24"/>
          <w:szCs w:val="24"/>
        </w:rPr>
        <w:t>;</w:t>
      </w:r>
      <w:r w:rsidRPr="006F3B0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{"citationItems":[{"id":"ITEM-1","itemData":{"DOI":"10.4300/JGME-D-10-00127.1","ISBN":"1949-8349","ISSN":"1949-8349","PMID":"21976092","abstract":"I n this issue of the Journal, the Pediatrics Milestone Working Group describes an innovative and unique process for addressing the charge from the Accreditation Council for Graduate Medical Education (ACGME) and the American Board of Pediatrics to further define the 6 ACGME competencies along with performance standards for our specialty. After 18 months of intense learning, discussion, writing, and rewriting, we have a first iteration of our work. This is not the end but rather the beginning. Where do we go from here? In this brief commentary we hope to provide the background and rationale for our suggested next steps. Background and Rationale","author":[{"dropping-particle":"","family":"Carraccio","given":"Carol","non-dropping-particle":"","parse-names":false,"suffix":""},{"dropping-particle":"","family":"Burke","given":"Ann E.","non-dropping-particle":"","parse-names":false,"suffix":""}],"container-title":"Journal of Graduate Medical Education","id":"ITEM-1","issue":"3","issued":{"date-parts":[["2010"]]},"page":"419-422","title":"Beyond Competencies and Milestones: Adding Meaning Through Context","type":"article-journal","volume":"2"},"uris":["http://www.mendeley.com/documents/?uuid=86b06334-0d25-48ab-9b22-da1637bc9df8","http://www.mendeley.com/documents/?uuid=3a5ff8fd-f7e8-499f-be9a-da74d01d3116"]}],"mendeley":{"formattedCitation":"(Carraccio and Burke, 2010)","manualFormatting":"Carraccio and Burke 2010)","plainTextFormattedCitation":"(Carraccio and Burke, 2010)","previouslyFormattedCitation":"(Carraccio and Burke 2010)"},"properties":{"noteIndex":0},"schema":"https://github.com/citation-style-language/schema/raw/master/csl-citation.json"}</w:instrText>
      </w:r>
      <w:r w:rsidRPr="006F3B00">
        <w:rPr>
          <w:rFonts w:ascii="Times New Roman" w:hAnsi="Times New Roman" w:cs="Times New Roman"/>
          <w:sz w:val="24"/>
          <w:szCs w:val="24"/>
        </w:rPr>
        <w:fldChar w:fldCharType="separate"/>
      </w:r>
      <w:r w:rsidR="00DB0BC8" w:rsidRPr="00DB0BC8">
        <w:rPr>
          <w:rFonts w:ascii="Times New Roman" w:hAnsi="Times New Roman" w:cs="Times New Roman"/>
          <w:noProof/>
          <w:sz w:val="24"/>
          <w:szCs w:val="24"/>
        </w:rPr>
        <w:t>Carraccio and Burke 2010)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Sometimes the</w:t>
      </w:r>
      <w:r w:rsidR="00DF2209">
        <w:rPr>
          <w:rFonts w:ascii="Times New Roman" w:hAnsi="Times New Roman" w:cs="Times New Roman"/>
          <w:sz w:val="24"/>
          <w:szCs w:val="24"/>
        </w:rPr>
        <w:t xml:space="preserve"> subcomponents of a competency d</w:t>
      </w:r>
      <w:r w:rsidRPr="006F3B00">
        <w:rPr>
          <w:rFonts w:ascii="Times New Roman" w:hAnsi="Times New Roman" w:cs="Times New Roman"/>
          <w:sz w:val="24"/>
          <w:szCs w:val="24"/>
        </w:rPr>
        <w:t xml:space="preserve">o not always add up to the “whole” or </w:t>
      </w:r>
      <w:r w:rsidR="00DF2209">
        <w:rPr>
          <w:rFonts w:ascii="Times New Roman" w:hAnsi="Times New Roman" w:cs="Times New Roman"/>
          <w:sz w:val="24"/>
          <w:szCs w:val="24"/>
        </w:rPr>
        <w:t>reflect</w:t>
      </w:r>
      <w:r w:rsidRPr="006F3B00">
        <w:rPr>
          <w:rFonts w:ascii="Times New Roman" w:hAnsi="Times New Roman" w:cs="Times New Roman"/>
          <w:sz w:val="24"/>
          <w:szCs w:val="24"/>
        </w:rPr>
        <w:t xml:space="preserve"> the connections between them </w:t>
      </w:r>
      <w:r w:rsidRPr="006F3B00">
        <w:rPr>
          <w:rFonts w:ascii="Times New Roman" w:hAnsi="Times New Roman" w:cs="Times New Roman"/>
          <w:sz w:val="24"/>
          <w:szCs w:val="24"/>
        </w:rPr>
        <w:lastRenderedPageBreak/>
        <w:fldChar w:fldCharType="begin" w:fldLock="1"/>
      </w:r>
      <w:r w:rsidR="00BE3B6C">
        <w:rPr>
          <w:rFonts w:ascii="Times New Roman" w:hAnsi="Times New Roman" w:cs="Times New Roman"/>
          <w:sz w:val="24"/>
          <w:szCs w:val="24"/>
        </w:rPr>
        <w:instrText>ADDIN CSL_CITATION {"citationItems":[{"id":"ITEM-1","itemData":{"DOI":"10.1109/TSMC.1983.6313160","ISBN":"0018-9472","ISSN":"21682909","PMID":"11866201","abstract":"The introduction of information technology based on digital computers for the design of man-machine interface systems has led to a requirement for consistent models of human performance in routine task environments and during unfamiliar task conditions. A discussion is presented of the requirement for different types of models for representing performance at the skill-, rule-, and knowledge-based levels, together with a review of the different levels in terms of signals, signs, and symbols. Particular attention is paid to the different possible ways of representing system properties which underlie knowledge-based performance and which can be characterised at several levels of abstraction-from the representation of physical form, through functional representation, to representation in terms of intention or purpose. Furthermore, the role of qualitative and quantitative models in the design and evaluation of interface systems is mentioned, and the need to consider such distinctions carefully is discussed.","author":[{"dropping-particle":"","family":"Rasmussen","given":"Jens","non-dropping-particle":"","parse-names":false,"suffix":""}],"container-title":"IEEE Transactions on Systems, Man and Cybernetics","id":"ITEM-1","issue":"3","issued":{"date-parts":[["1983"]]},"page":"257-266","title":"Skills, Rules, and Knowledge; Signals, Signs, and Symbols, and Other Distinctions in Human Performance Models","type":"article-journal","volume":"SMC-13"},"uris":["http://www.mendeley.com/documents/?uuid=4dc6d959-658b-430a-9506-b213ff4ace4d"]}],"mendeley":{"formattedCitation":"(Rasmussen, 1983)","plainTextFormattedCitation":"(Rasmussen, 1983)","previouslyFormattedCitation":"(Rasmussen 1983)"},"properties":{"noteIndex":0},"schema":"https://github.com/citation-style-language/schema/raw/master/csl-citation.json"}</w:instrText>
      </w:r>
      <w:r w:rsidRPr="006F3B00">
        <w:rPr>
          <w:rFonts w:ascii="Times New Roman" w:hAnsi="Times New Roman" w:cs="Times New Roman"/>
          <w:sz w:val="24"/>
          <w:szCs w:val="24"/>
        </w:rPr>
        <w:fldChar w:fldCharType="separate"/>
      </w:r>
      <w:r w:rsidR="00FE25E6">
        <w:rPr>
          <w:rFonts w:ascii="Times New Roman" w:hAnsi="Times New Roman" w:cs="Times New Roman"/>
          <w:noProof/>
          <w:sz w:val="24"/>
          <w:szCs w:val="24"/>
        </w:rPr>
        <w:t>(Rasmussen</w:t>
      </w:r>
      <w:r w:rsidR="00BE3B6C" w:rsidRPr="00BE3B6C">
        <w:rPr>
          <w:rFonts w:ascii="Times New Roman" w:hAnsi="Times New Roman" w:cs="Times New Roman"/>
          <w:noProof/>
          <w:sz w:val="24"/>
          <w:szCs w:val="24"/>
        </w:rPr>
        <w:t xml:space="preserve"> 1983)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r w:rsidRPr="006F3B00">
        <w:rPr>
          <w:rStyle w:val="apple-converted-space"/>
          <w:rFonts w:ascii="Times New Roman" w:hAnsi="Times New Roman" w:cs="Times New Roman"/>
          <w:sz w:val="24"/>
          <w:szCs w:val="24"/>
        </w:rPr>
        <w:t> </w:t>
      </w:r>
      <w:r w:rsidR="001B7984">
        <w:rPr>
          <w:rStyle w:val="apple-converted-space"/>
          <w:rFonts w:ascii="Times New Roman" w:hAnsi="Times New Roman" w:cs="Times New Roman"/>
          <w:sz w:val="24"/>
          <w:szCs w:val="24"/>
        </w:rPr>
        <w:t xml:space="preserve"> C</w:t>
      </w:r>
      <w:r w:rsidRPr="006F3B00">
        <w:rPr>
          <w:rStyle w:val="apple-converted-space"/>
          <w:rFonts w:ascii="Times New Roman" w:hAnsi="Times New Roman" w:cs="Times New Roman"/>
          <w:sz w:val="24"/>
          <w:szCs w:val="24"/>
        </w:rPr>
        <w:t xml:space="preserve">ompetency based education </w:t>
      </w:r>
      <w:r w:rsidR="001B7984">
        <w:rPr>
          <w:rStyle w:val="apple-converted-space"/>
          <w:rFonts w:ascii="Times New Roman" w:hAnsi="Times New Roman" w:cs="Times New Roman"/>
          <w:sz w:val="24"/>
          <w:szCs w:val="24"/>
        </w:rPr>
        <w:t xml:space="preserve">has been criticized </w:t>
      </w:r>
      <w:r w:rsidRPr="006F3B00">
        <w:rPr>
          <w:rStyle w:val="apple-converted-space"/>
          <w:rFonts w:ascii="Times New Roman" w:hAnsi="Times New Roman" w:cs="Times New Roman"/>
          <w:sz w:val="24"/>
          <w:szCs w:val="24"/>
        </w:rPr>
        <w:t xml:space="preserve">as being politically motivated so that the government could assign resources based on the </w:t>
      </w:r>
      <w:r w:rsidRPr="006F3B00">
        <w:rPr>
          <w:rFonts w:ascii="Times New Roman" w:hAnsi="Times New Roman" w:cs="Times New Roman"/>
          <w:sz w:val="24"/>
          <w:szCs w:val="24"/>
        </w:rPr>
        <w:t>outcomes of performance</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{"citationItems":[{"id":"ITEM-1","itemData":{"abstract":"The competency approach has become prominent at most stages of undergraduate and postgraduate medical training in many countries. In the United Kingdom, for example, it forms part of the performance procedures of the General Medical Council (GMC), 1 ... \\n","author":[{"dropping-particle":"","family":"Leung","given":"W C","non-dropping-particle":"","parse-names":false,"suffix":""}],"container-title":"BMJ: British Medical Journal","id":"ITEM-1","issued":{"date-parts":[["2002"]]},"title":"Competency based medical training: review","type":"article-journal"},"uris":["http://www.mendeley.com/documents/?uuid=ec0595d6-9087-4917-8f78-7b9006d5a098"]}],"mendeley":{"formattedCitation":"(Leung, 2002)","plainTextFormattedCitation":"(Leung, 2002)","previouslyFormattedCitation":"(Leung 2002)"},"properties":{"noteIndex":0},"schema":"https://github.com/citation-style-language/schema/raw/master/csl-citation.json"}</w:instrText>
      </w:r>
      <w:r w:rsidRPr="006F3B00">
        <w:rPr>
          <w:rFonts w:ascii="Times New Roman" w:hAnsi="Times New Roman" w:cs="Times New Roman"/>
          <w:sz w:val="24"/>
          <w:szCs w:val="24"/>
        </w:rPr>
        <w:fldChar w:fldCharType="separate"/>
      </w:r>
      <w:r w:rsidR="00FE25E6">
        <w:rPr>
          <w:rFonts w:ascii="Times New Roman" w:hAnsi="Times New Roman" w:cs="Times New Roman"/>
          <w:noProof/>
          <w:sz w:val="24"/>
          <w:szCs w:val="24"/>
        </w:rPr>
        <w:t>(Leung</w:t>
      </w:r>
      <w:r w:rsidR="00BE3B6C" w:rsidRPr="00BE3B6C">
        <w:rPr>
          <w:rFonts w:ascii="Times New Roman" w:hAnsi="Times New Roman" w:cs="Times New Roman"/>
          <w:noProof/>
          <w:sz w:val="24"/>
          <w:szCs w:val="24"/>
        </w:rPr>
        <w:t xml:space="preserve"> 2002)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The system has also been accused of being impersonal and rigid, which can demotivate some individuals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{"citationItems":[{"id":"ITEM-1","itemData":{"DOI":"10.1136/pmj.2003.011718","ISSN":"00325473","PMID":"14970290","abstract":"Most consultants are involved in the training and assessment of several grades of doctors in training especially senior house officers (SHOs) and specialist registrars. In the medical and other specialties there is an increasing trend towards assessing junior doctors' competency using the record of in-training assessment process for specialist registrars and using the Royal College of Physicians folder to record competences of medical SHOs. It is necessary to consider why there is a need to assess competency, how it may be done practically, and the advantages and disadvantages of this system of assessment. There are considerable hurdles to the implementation of this system in the medical specialties within today's NHS and the organisation may need to undergo fairly radical change to facilitate this system.","author":[{"dropping-particle":"","family":"Carr","given":"S. J.","non-dropping-particle":"","parse-names":false,"suffix":""}],"container-title":"Postgraduate Medical Journal","id":"ITEM-1","issue":"940","issued":{"date-parts":[["2004"]]},"page":"63-66","title":"Assessing clinical competency in medical senior house officers: Now and why should we do it?","type":"article","volume":"80"},"uris":["http://www.mendeley.com/documents/?uuid=a54439c9-4b80-442b-9ac2-7022f13e56b6","http://www.mendeley.com/documents/?uuid=6da50b40-04ec-47c0-8e49-79083a37ca2a"]}],"mendeley":{"formattedCitation":"(Carr, 2004)","plainTextFormattedCitation":"(Carr, 2004)","previouslyFormattedCitation":"(Carr 2004)"},"properties":{"noteIndex":0},"schema":"https://github.com/citation-style-language/schema/raw/master/csl-citation.json"}</w:instrText>
      </w:r>
      <w:r w:rsidRPr="006F3B00">
        <w:rPr>
          <w:rFonts w:ascii="Times New Roman" w:hAnsi="Times New Roman" w:cs="Times New Roman"/>
          <w:sz w:val="24"/>
          <w:szCs w:val="24"/>
        </w:rPr>
        <w:fldChar w:fldCharType="separate"/>
      </w:r>
      <w:r w:rsidR="00FE25E6">
        <w:rPr>
          <w:rFonts w:ascii="Times New Roman" w:hAnsi="Times New Roman" w:cs="Times New Roman"/>
          <w:noProof/>
          <w:sz w:val="24"/>
          <w:szCs w:val="24"/>
        </w:rPr>
        <w:t>(Carr</w:t>
      </w:r>
      <w:r w:rsidR="00BE3B6C" w:rsidRPr="00BE3B6C">
        <w:rPr>
          <w:rFonts w:ascii="Times New Roman" w:hAnsi="Times New Roman" w:cs="Times New Roman"/>
          <w:noProof/>
          <w:sz w:val="24"/>
          <w:szCs w:val="24"/>
        </w:rPr>
        <w:t xml:space="preserve"> 2004)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Competencies not represented in traditional curricula might not be explicit to trainees and therefore undervalued, especially when trainees have limited access to role models. </w:t>
      </w:r>
      <w:r w:rsidRPr="006F3B00">
        <w:rPr>
          <w:rFonts w:ascii="Times New Roman" w:hAnsi="Times New Roman" w:cs="Times New Roman"/>
          <w:sz w:val="24"/>
          <w:szCs w:val="24"/>
          <w:shd w:val="clear" w:color="auto" w:fill="FFFFFF"/>
        </w:rPr>
        <w:t>For example, in the Canadian accreditation system</w:t>
      </w:r>
      <w:r w:rsidR="002B1984">
        <w:rPr>
          <w:rFonts w:ascii="Times New Roman" w:hAnsi="Times New Roman" w:cs="Times New Roman"/>
          <w:sz w:val="24"/>
          <w:szCs w:val="24"/>
          <w:shd w:val="clear" w:color="auto" w:fill="FFFFFF"/>
        </w:rPr>
        <w:t xml:space="preserve"> </w:t>
      </w:r>
      <w:r w:rsidR="002B1984" w:rsidRPr="006F3B00">
        <w:rPr>
          <w:rFonts w:ascii="Times New Roman" w:hAnsi="Times New Roman" w:cs="Times New Roman"/>
          <w:sz w:val="24"/>
          <w:szCs w:val="24"/>
          <w:shd w:val="clear" w:color="auto" w:fill="FFFFFF"/>
        </w:rPr>
        <w:t>(CanMEDS)</w:t>
      </w:r>
      <w:r w:rsidRPr="006F3B00">
        <w:rPr>
          <w:rFonts w:ascii="Times New Roman" w:hAnsi="Times New Roman" w:cs="Times New Roman"/>
          <w:sz w:val="24"/>
          <w:szCs w:val="24"/>
          <w:shd w:val="clear" w:color="auto" w:fill="FFFFFF"/>
        </w:rPr>
        <w:t xml:space="preserve">, advocacy (defined as physicians responsibly using “their expertise and influence to advance the health and well-being of individual patients, communities, and populations)” constitutes an explicit expectation for every member in the profession </w:t>
      </w:r>
      <w:r w:rsidRPr="00FE25E6">
        <w:rPr>
          <w:rFonts w:ascii="Times New Roman" w:hAnsi="Times New Roman" w:cs="Times New Roman"/>
          <w:sz w:val="24"/>
          <w:szCs w:val="24"/>
          <w:shd w:val="clear" w:color="auto" w:fill="FFFFFF"/>
        </w:rPr>
        <w:fldChar w:fldCharType="begin" w:fldLock="1"/>
      </w:r>
      <w:r w:rsidR="00BE3B6C" w:rsidRPr="00FE25E6">
        <w:rPr>
          <w:rFonts w:ascii="Times New Roman" w:hAnsi="Times New Roman" w:cs="Times New Roman"/>
          <w:sz w:val="24"/>
          <w:szCs w:val="24"/>
          <w:shd w:val="clear" w:color="auto" w:fill="FFFFFF"/>
        </w:rPr>
        <w:instrText>ADDIN CSL_CITATION {"citationItems":[{"id":"ITEM-1","itemData":{"DOI":"Ottawa: The Royal College of Physicians and Surgeons of Canada.","ISBN":"0973915803","ISSN":"&lt;null&gt;","PMID":"26410174","abstract":"The CanMEDS 2005 Physician Competency Framework Better standards. Better physicians. Better care.","author":[{"dropping-particle":"","family":"Frank","given":"Jason R","non-dropping-particle":"","parse-names":false,"suffix":""}],"container-title":"The Royal College of Physicians and Surgeons of Canada","id":"ITEM-1","issued":{"date-parts":[["2005"]]},"number-of-pages":"1-40","title":"The CanMEDS 2005 physician competency framework. Better standsards. Better physicians. Better care.","type":"book"},"uris":["http://www.mendeley.com/documents/?uuid=7087997f-4837-4d37-ae7d-4ae035b54ae8","http://www.mendeley.com/documents/?uuid=a6466c75-4260-42a1-9569-a24eca5e5680"]}],"mendeley":{"formattedCitation":"(Frank, 2005)","plainTextFormattedCitation":"(Frank, 2005)","previouslyFormattedCitation":"(J. R. Frank 2005)"},"properties":{"noteIndex":0},"schema":"https://github.com/citation-style-language/schema/raw/master/csl-citation.json"}</w:instrText>
      </w:r>
      <w:r w:rsidRPr="00FE25E6">
        <w:rPr>
          <w:rFonts w:ascii="Times New Roman" w:hAnsi="Times New Roman" w:cs="Times New Roman"/>
          <w:sz w:val="24"/>
          <w:szCs w:val="24"/>
          <w:shd w:val="clear" w:color="auto" w:fill="FFFFFF"/>
        </w:rPr>
        <w:fldChar w:fldCharType="separate"/>
      </w:r>
      <w:r w:rsidR="00FE25E6">
        <w:rPr>
          <w:rFonts w:ascii="Times New Roman" w:hAnsi="Times New Roman" w:cs="Times New Roman"/>
          <w:noProof/>
          <w:sz w:val="24"/>
          <w:szCs w:val="24"/>
          <w:shd w:val="clear" w:color="auto" w:fill="FFFFFF"/>
        </w:rPr>
        <w:t>(Frank</w:t>
      </w:r>
      <w:r w:rsidR="00BE3B6C" w:rsidRPr="00FE25E6">
        <w:rPr>
          <w:rFonts w:ascii="Times New Roman" w:hAnsi="Times New Roman" w:cs="Times New Roman"/>
          <w:noProof/>
          <w:sz w:val="24"/>
          <w:szCs w:val="24"/>
          <w:shd w:val="clear" w:color="auto" w:fill="FFFFFF"/>
        </w:rPr>
        <w:t xml:space="preserve"> 2005)</w:t>
      </w:r>
      <w:r w:rsidRPr="00FE25E6">
        <w:rPr>
          <w:rFonts w:ascii="Times New Roman" w:hAnsi="Times New Roman" w:cs="Times New Roman"/>
          <w:sz w:val="24"/>
          <w:szCs w:val="24"/>
          <w:shd w:val="clear" w:color="auto" w:fill="FFFFFF"/>
        </w:rPr>
        <w:fldChar w:fldCharType="end"/>
      </w:r>
      <w:r w:rsidRPr="00FE25E6">
        <w:rPr>
          <w:rFonts w:ascii="Times New Roman" w:hAnsi="Times New Roman" w:cs="Times New Roman"/>
          <w:sz w:val="24"/>
          <w:szCs w:val="24"/>
        </w:rPr>
        <w:t>.</w:t>
      </w:r>
      <w:r w:rsidR="0067541B">
        <w:rPr>
          <w:rFonts w:ascii="Times New Roman" w:hAnsi="Times New Roman" w:cs="Times New Roman"/>
          <w:sz w:val="24"/>
          <w:szCs w:val="24"/>
        </w:rPr>
        <w:t xml:space="preserve"> While this ethos might help trainees to see what qualities are valued, it still relies on having enough staff to act as role models.</w:t>
      </w:r>
    </w:p>
    <w:p w14:paraId="7A00A897" w14:textId="77777777" w:rsidR="00863DF5" w:rsidRPr="006F3B00" w:rsidRDefault="00863DF5" w:rsidP="00863DF5">
      <w:pPr>
        <w:pStyle w:val="NormalWeb"/>
        <w:spacing w:before="0" w:beforeAutospacing="0" w:after="150" w:afterAutospacing="0" w:line="480" w:lineRule="auto"/>
      </w:pPr>
      <w:r w:rsidRPr="006F3B00">
        <w:t>However, competency based education does also have several advantages, including:</w:t>
      </w:r>
    </w:p>
    <w:p w14:paraId="0650B487" w14:textId="77777777" w:rsidR="00863DF5" w:rsidRPr="006F3B00" w:rsidRDefault="00863DF5" w:rsidP="001A1FF3">
      <w:pPr>
        <w:pStyle w:val="NormalWeb"/>
        <w:numPr>
          <w:ilvl w:val="0"/>
          <w:numId w:val="17"/>
        </w:numPr>
        <w:spacing w:before="0" w:beforeAutospacing="0" w:after="150" w:afterAutospacing="0" w:line="480" w:lineRule="auto"/>
      </w:pPr>
      <w:r w:rsidRPr="006F3B00">
        <w:t>it improves public accountability of medicine</w:t>
      </w:r>
    </w:p>
    <w:p w14:paraId="612A4255" w14:textId="77777777" w:rsidR="00863DF5" w:rsidRPr="006F3B00" w:rsidRDefault="00863DF5" w:rsidP="001A1FF3">
      <w:pPr>
        <w:pStyle w:val="NormalWeb"/>
        <w:numPr>
          <w:ilvl w:val="0"/>
          <w:numId w:val="17"/>
        </w:numPr>
        <w:spacing w:before="0" w:beforeAutospacing="0" w:after="150" w:afterAutospacing="0" w:line="480" w:lineRule="auto"/>
      </w:pPr>
      <w:r w:rsidRPr="006F3B00">
        <w:t>standards are transparent to trainees, the profession and the public</w:t>
      </w:r>
    </w:p>
    <w:p w14:paraId="2D3FA5ED" w14:textId="77777777" w:rsidR="00863DF5" w:rsidRPr="006F3B00" w:rsidRDefault="00863DF5" w:rsidP="001A1FF3">
      <w:pPr>
        <w:pStyle w:val="NormalWeb"/>
        <w:numPr>
          <w:ilvl w:val="0"/>
          <w:numId w:val="17"/>
        </w:numPr>
        <w:spacing w:before="0" w:beforeAutospacing="0" w:after="150" w:afterAutospacing="0" w:line="480" w:lineRule="auto"/>
      </w:pPr>
      <w:r w:rsidRPr="006F3B00">
        <w:t>by defining and listing core competencies, it is sometimes easier to then identify gaps in training which may stem from varied clinical exposure</w:t>
      </w:r>
    </w:p>
    <w:p w14:paraId="5B51FF2A" w14:textId="7F51AEEA" w:rsidR="006121BA" w:rsidRPr="006121BA" w:rsidRDefault="00863DF5" w:rsidP="00997CB7">
      <w:pPr>
        <w:pStyle w:val="NormalWeb"/>
        <w:numPr>
          <w:ilvl w:val="0"/>
          <w:numId w:val="17"/>
        </w:numPr>
        <w:spacing w:before="0" w:beforeAutospacing="0" w:after="150" w:afterAutospacing="0" w:line="480" w:lineRule="auto"/>
      </w:pPr>
      <w:r w:rsidRPr="006F3B00">
        <w:t>as progression through training is based on acquiring competencies, trainees can progress at their own pace (although this theoretical flexibility may not be a reality in practice)</w:t>
      </w:r>
    </w:p>
    <w:p w14:paraId="6E7F7893" w14:textId="46FC1AAA" w:rsidR="00863DF5" w:rsidRPr="006F3B00" w:rsidRDefault="007A0757" w:rsidP="00863DF5">
      <w:pPr>
        <w:pStyle w:val="Heading2"/>
        <w:rPr>
          <w:rFonts w:ascii="Times New Roman" w:hAnsi="Times New Roman" w:cs="Times New Roman"/>
          <w:color w:val="auto"/>
          <w:sz w:val="24"/>
          <w:szCs w:val="24"/>
        </w:rPr>
      </w:pPr>
      <w:bookmarkStart w:id="28" w:name="_Toc23243757"/>
      <w:r>
        <w:rPr>
          <w:rFonts w:ascii="Times New Roman" w:hAnsi="Times New Roman" w:cs="Times New Roman"/>
          <w:color w:val="auto"/>
          <w:sz w:val="24"/>
          <w:szCs w:val="24"/>
        </w:rPr>
        <w:t>1.2</w:t>
      </w:r>
      <w:r w:rsidR="006A43B1">
        <w:rPr>
          <w:rFonts w:ascii="Times New Roman" w:hAnsi="Times New Roman" w:cs="Times New Roman"/>
          <w:color w:val="auto"/>
          <w:sz w:val="24"/>
          <w:szCs w:val="24"/>
        </w:rPr>
        <w:t>.7</w:t>
      </w:r>
      <w:r w:rsidR="00863DF5" w:rsidRPr="006F3B00">
        <w:rPr>
          <w:rFonts w:ascii="Times New Roman" w:hAnsi="Times New Roman" w:cs="Times New Roman"/>
          <w:color w:val="auto"/>
          <w:sz w:val="24"/>
          <w:szCs w:val="24"/>
        </w:rPr>
        <w:t xml:space="preserve"> Assessing competence and performance and a move towards Entrustable Professional Activities</w:t>
      </w:r>
      <w:bookmarkEnd w:id="28"/>
      <w:r w:rsidR="002B1984">
        <w:rPr>
          <w:rFonts w:ascii="Times New Roman" w:hAnsi="Times New Roman" w:cs="Times New Roman"/>
          <w:color w:val="auto"/>
          <w:sz w:val="24"/>
          <w:szCs w:val="24"/>
        </w:rPr>
        <w:t xml:space="preserve"> </w:t>
      </w:r>
    </w:p>
    <w:p w14:paraId="2B419258" w14:textId="77777777" w:rsidR="00863DF5" w:rsidRPr="006F3B00" w:rsidRDefault="00863DF5" w:rsidP="00863DF5">
      <w:pPr>
        <w:spacing w:after="0" w:line="480" w:lineRule="auto"/>
        <w:rPr>
          <w:rFonts w:ascii="Times New Roman" w:hAnsi="Times New Roman" w:cs="Times New Roman"/>
          <w:sz w:val="24"/>
          <w:szCs w:val="24"/>
        </w:rPr>
      </w:pPr>
    </w:p>
    <w:p w14:paraId="0D980606" w14:textId="3CD35BC2" w:rsidR="00863DF5" w:rsidRPr="006F3B00" w:rsidRDefault="00863DF5" w:rsidP="00863DF5">
      <w:p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t xml:space="preserve">The assessment of competence is done for a number of reasons </w:t>
      </w:r>
      <w:r w:rsidRPr="006F3B00">
        <w:rPr>
          <w:rFonts w:ascii="Times New Roman" w:eastAsia="Times New Roman" w:hAnsi="Times New Roman" w:cs="Times New Roman"/>
          <w:sz w:val="24"/>
          <w:szCs w:val="24"/>
        </w:rPr>
        <w:fldChar w:fldCharType="begin" w:fldLock="1"/>
      </w:r>
      <w:r w:rsidR="00BE3B6C">
        <w:rPr>
          <w:rFonts w:ascii="Times New Roman" w:eastAsia="Times New Roman" w:hAnsi="Times New Roman" w:cs="Times New Roman"/>
          <w:sz w:val="24"/>
          <w:szCs w:val="24"/>
        </w:rPr>
        <w:instrText>ADDIN CSL_CITATION {"citationItems":[{"id":"ITEM-1","itemData":{"DOI":"10.1016/S0960-9822(06)00333-2","ISSN":"09609822","abstract":"Executive Summary Competence encompasses knowledge, skills, abilities, and traits. It is gained in the healthcare professions through pre-service education, in-service training, and work experience. Competence is a major determinant of provider performance as represented by conformance with various clinical, non-clinical, and interpersonal standards. Measuring competence is essential for determining the ability and readiness of health workers to provide quality services. Although competence is a precursor to doing the job right, measuring performance periodically is also crucial to determine whether providers are using their competence on the job. A provider can have the knowledge and skill, but use it poorly because of individual factors (abilities, traits, goals, values, inertia, etc.) or external factors (unavailability of drugs,equipment,organizational support,etc.). This paper provides a framework for understanding the key factors that affect provider competence. Different methods for measuring competence are discussed, as are criteria for selecting measurement methods. Also, evidence from various research studies on measuring the effectiveness of different assessment techniques is presented.","author":[{"dropping-particle":"","family":"Kak","given":"Neeraj","non-dropping-particle":"","parse-names":false,"suffix":""},{"dropping-particle":"","family":"Burkhalter","given":"Bart","non-dropping-particle":"","parse-names":false,"suffix":""},{"dropping-particle":"","family":"Cooper","given":"Merri-ann","non-dropping-particle":"","parse-names":false,"suffix":""}],"container-title":"Quality Assurance","id":"ITEM-1","issue":"1","issued":{"date-parts":[["2001"]]},"number-of-pages":"1-28","title":"Measuring the Competence of Healthcare Providers","type":"report","volume":"2"},"uris":["http://www.mendeley.com/documents/?uuid=24e60b55-1632-4254-a8ad-2fbae8052666","http://www.mendeley.com/documents/?uuid=e5cd0ec8-89c5-4dde-b522-67322728ce04"]}],"mendeley":{"formattedCitation":"(Kak, Burkhalter and Cooper, 2001)","plainTextFormattedCitation":"(Kak, Burkhalter and Cooper, 2001)","previouslyFormattedCitation":"(Kak, Burkhalter, and Cooper 2001)"},"properties":{"noteIndex":0},"schema":"https://github.com/citation-style-language/schema/raw/master/csl-citation.json"}</w:instrText>
      </w:r>
      <w:r w:rsidRPr="006F3B00">
        <w:rPr>
          <w:rFonts w:ascii="Times New Roman" w:eastAsia="Times New Roman" w:hAnsi="Times New Roman" w:cs="Times New Roman"/>
          <w:sz w:val="24"/>
          <w:szCs w:val="24"/>
        </w:rPr>
        <w:fldChar w:fldCharType="separate"/>
      </w:r>
      <w:r w:rsidR="00011AD2">
        <w:rPr>
          <w:rFonts w:ascii="Times New Roman" w:eastAsia="Times New Roman" w:hAnsi="Times New Roman" w:cs="Times New Roman"/>
          <w:noProof/>
          <w:sz w:val="24"/>
          <w:szCs w:val="24"/>
        </w:rPr>
        <w:t>(Kak, Burkhalter and Cooper</w:t>
      </w:r>
      <w:r w:rsidR="00BE3B6C" w:rsidRPr="00BE3B6C">
        <w:rPr>
          <w:rFonts w:ascii="Times New Roman" w:eastAsia="Times New Roman" w:hAnsi="Times New Roman" w:cs="Times New Roman"/>
          <w:noProof/>
          <w:sz w:val="24"/>
          <w:szCs w:val="24"/>
        </w:rPr>
        <w:t xml:space="preserve"> 2001)</w:t>
      </w:r>
      <w:r w:rsidRPr="006F3B00">
        <w:rPr>
          <w:rFonts w:ascii="Times New Roman" w:eastAsia="Times New Roman" w:hAnsi="Times New Roman" w:cs="Times New Roman"/>
          <w:sz w:val="24"/>
          <w:szCs w:val="24"/>
        </w:rPr>
        <w:fldChar w:fldCharType="end"/>
      </w:r>
      <w:r w:rsidRPr="006F3B00">
        <w:rPr>
          <w:rFonts w:ascii="Times New Roman" w:eastAsia="Times New Roman" w:hAnsi="Times New Roman" w:cs="Times New Roman"/>
          <w:sz w:val="24"/>
          <w:szCs w:val="24"/>
        </w:rPr>
        <w:t xml:space="preserve"> including:</w:t>
      </w:r>
    </w:p>
    <w:p w14:paraId="1C2BD5AB" w14:textId="77777777" w:rsidR="00863DF5" w:rsidRPr="006F3B00" w:rsidRDefault="00863DF5" w:rsidP="001A1FF3">
      <w:pPr>
        <w:pStyle w:val="ListParagraph"/>
        <w:numPr>
          <w:ilvl w:val="0"/>
          <w:numId w:val="18"/>
        </w:num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lastRenderedPageBreak/>
        <w:t>healthcare reform</w:t>
      </w:r>
    </w:p>
    <w:p w14:paraId="58B0D185" w14:textId="77777777" w:rsidR="00863DF5" w:rsidRPr="006F3B00" w:rsidRDefault="00863DF5" w:rsidP="001A1FF3">
      <w:pPr>
        <w:pStyle w:val="ListParagraph"/>
        <w:numPr>
          <w:ilvl w:val="0"/>
          <w:numId w:val="18"/>
        </w:num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t>organisational performance</w:t>
      </w:r>
    </w:p>
    <w:p w14:paraId="1262B156" w14:textId="77777777" w:rsidR="00863DF5" w:rsidRPr="006F3B00" w:rsidRDefault="00863DF5" w:rsidP="001A1FF3">
      <w:pPr>
        <w:pStyle w:val="ListParagraph"/>
        <w:numPr>
          <w:ilvl w:val="0"/>
          <w:numId w:val="18"/>
        </w:num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t>planning for new services</w:t>
      </w:r>
    </w:p>
    <w:p w14:paraId="6F39F7CC" w14:textId="77777777" w:rsidR="00863DF5" w:rsidRPr="006F3B00" w:rsidRDefault="00863DF5" w:rsidP="001A1FF3">
      <w:pPr>
        <w:pStyle w:val="ListParagraph"/>
        <w:numPr>
          <w:ilvl w:val="0"/>
          <w:numId w:val="18"/>
        </w:num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t>measuring training outcomes</w:t>
      </w:r>
    </w:p>
    <w:p w14:paraId="1DE438DC" w14:textId="77777777" w:rsidR="00863DF5" w:rsidRPr="006F3B00" w:rsidRDefault="00863DF5" w:rsidP="001A1FF3">
      <w:pPr>
        <w:pStyle w:val="ListParagraph"/>
        <w:numPr>
          <w:ilvl w:val="0"/>
          <w:numId w:val="18"/>
        </w:num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t>liability and ethics</w:t>
      </w:r>
    </w:p>
    <w:p w14:paraId="57660B30" w14:textId="77777777" w:rsidR="00863DF5" w:rsidRPr="006F3B00" w:rsidRDefault="00863DF5" w:rsidP="001A1FF3">
      <w:pPr>
        <w:pStyle w:val="ListParagraph"/>
        <w:numPr>
          <w:ilvl w:val="0"/>
          <w:numId w:val="18"/>
        </w:num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t>risk management</w:t>
      </w:r>
    </w:p>
    <w:p w14:paraId="00C82448" w14:textId="77777777" w:rsidR="00863DF5" w:rsidRPr="006F3B00" w:rsidRDefault="00863DF5" w:rsidP="001A1FF3">
      <w:pPr>
        <w:pStyle w:val="ListParagraph"/>
        <w:numPr>
          <w:ilvl w:val="0"/>
          <w:numId w:val="18"/>
        </w:num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t>certification of providers</w:t>
      </w:r>
    </w:p>
    <w:p w14:paraId="19248A97" w14:textId="77777777" w:rsidR="00863DF5" w:rsidRPr="006F3B00" w:rsidRDefault="00863DF5" w:rsidP="001A1FF3">
      <w:pPr>
        <w:pStyle w:val="ListParagraph"/>
        <w:numPr>
          <w:ilvl w:val="0"/>
          <w:numId w:val="18"/>
        </w:numPr>
        <w:spacing w:line="480" w:lineRule="auto"/>
        <w:rPr>
          <w:rFonts w:ascii="Times New Roman" w:eastAsia="Times New Roman" w:hAnsi="Times New Roman" w:cs="Times New Roman"/>
          <w:sz w:val="24"/>
          <w:szCs w:val="24"/>
        </w:rPr>
      </w:pPr>
      <w:r w:rsidRPr="006F3B00">
        <w:rPr>
          <w:rFonts w:ascii="Times New Roman" w:eastAsia="Times New Roman" w:hAnsi="Times New Roman" w:cs="Times New Roman"/>
          <w:sz w:val="24"/>
          <w:szCs w:val="24"/>
        </w:rPr>
        <w:t>selection of new staff</w:t>
      </w:r>
    </w:p>
    <w:p w14:paraId="29E591AF" w14:textId="58876853" w:rsidR="00863DF5" w:rsidRPr="006F3B00" w:rsidRDefault="00863DF5" w:rsidP="00863DF5">
      <w:pPr>
        <w:pStyle w:val="Default"/>
        <w:spacing w:line="480" w:lineRule="auto"/>
        <w:rPr>
          <w:rFonts w:ascii="Times New Roman" w:hAnsi="Times New Roman" w:cs="Times New Roman"/>
        </w:rPr>
      </w:pPr>
      <w:r w:rsidRPr="006F3B00">
        <w:rPr>
          <w:rFonts w:ascii="Times New Roman" w:eastAsia="Times New Roman" w:hAnsi="Times New Roman" w:cs="Times New Roman"/>
        </w:rPr>
        <w:t>For the purposes of this discussion, measuring training outcomes is most relevan</w:t>
      </w:r>
      <w:r w:rsidRPr="006F3B00">
        <w:rPr>
          <w:rFonts w:ascii="Times New Roman" w:hAnsi="Times New Roman" w:cs="Times New Roman"/>
        </w:rPr>
        <w:t xml:space="preserve">t. This can be assessed in many ways including </w:t>
      </w:r>
      <w:r w:rsidR="002B1984">
        <w:rPr>
          <w:rFonts w:ascii="Times New Roman" w:eastAsia="Times New Roman" w:hAnsi="Times New Roman" w:cs="Times New Roman"/>
          <w:shd w:val="clear" w:color="auto" w:fill="FFFFFF"/>
        </w:rPr>
        <w:t>OSCEs</w:t>
      </w:r>
      <w:r w:rsidRPr="006F3B00">
        <w:rPr>
          <w:rFonts w:ascii="Times New Roman" w:eastAsia="Times New Roman" w:hAnsi="Times New Roman" w:cs="Times New Roman"/>
          <w:shd w:val="clear" w:color="auto" w:fill="FFFFFF"/>
        </w:rPr>
        <w:t xml:space="preserve">, written examinations, direct observation, peer ratings and patient satisfaction surveys </w:t>
      </w:r>
      <w:r w:rsidRPr="006F3B00">
        <w:rPr>
          <w:rFonts w:ascii="Times New Roman" w:eastAsia="Times New Roman" w:hAnsi="Times New Roman" w:cs="Times New Roman"/>
          <w:shd w:val="clear" w:color="auto" w:fill="FFFFFF"/>
        </w:rPr>
        <w:fldChar w:fldCharType="begin" w:fldLock="1"/>
      </w:r>
      <w:r w:rsidR="00BE3B6C">
        <w:rPr>
          <w:rFonts w:ascii="Times New Roman" w:eastAsia="Times New Roman" w:hAnsi="Times New Roman" w:cs="Times New Roman"/>
          <w:shd w:val="clear" w:color="auto" w:fill="FFFFFF"/>
        </w:rPr>
        <w:instrText>ADDIN CSL_CITATION {"citationItems":[{"id":"ITEM-1","itemData":{"DOI":"10.1111/j.1365-2923.2007.02841.x","ISBN":"0308-0110 (Print)\\r0308-0110 (Linking)","ISSN":"03080110","PMID":"17908116","abstract":"CONTEXT: The conceptualisation and measurement of competence in patient care are critical to the design of medical education programmes and outcome assessment. OBJECTIVE: We aimed to examine the major components and correlates of postgraduate competence in patient care. METHODS: A 24-item rating form with additional questions about resident doctors' performance and future residency offers was used. Study participants comprised 4560 subjects who graduated from Jefferson Medical College between 1975 and 2004. They pursued their graduate medical education in 508 hospitals. We used a longitudinal study design in which the rating form was completed by programme directors to evaluate residents at the end of the first postgraduate year. Factor analysis was used to identify the underlying components of postgraduate ratings. Multiple regression, t-test and correlational analyses were used to study the validity of the components that emerged. RESULTS: Two major components emerged, which we labelled 'Knowledge and Clinical Capabilities' and 'Professionalism', and which addressed the science and art of medicine, respectively. Performance measures during medical school, scores on medical licensing examinations, and global assessment of Medical Knowledge, Clinical Judgement and Data-gathering Skills showed higher correlations with scores on the Knowledge and Clinical Capabilities component. Global assessments of Professional Attitudes and ratings of Empathic Behaviour showed higher correlations with scores on the Professionalism component. Offers of continued residency and evaluations of desirable qualities were associated with both components. CONCLUSIONS: Psychometric support for measuring the components of Knowledge and Clinical Capabilities, and Professionalism provides an instrument to empirically evaluate educational outcomes to medical educators who are in search of such a tool.","author":[{"dropping-particle":"","family":"Hojat","given":"Mohammadreza","non-dropping-particle":"","parse-names":false,"suffix":""},{"dropping-particle":"","family":"Paskin","given":"David L.","non-dropping-particle":"","parse-names":false,"suffix":""},{"dropping-particle":"","family":"Callahan","given":"Clara A.","non-dropping-particle":"","parse-names":false,"suffix":""},{"dropping-particle":"","family":"Nasca","given":"Thomas J.","non-dropping-particle":"","parse-names":false,"suffix":""},{"dropping-particle":"","family":"Louis","given":"Daniel Z.","non-dropping-particle":"","parse-names":false,"suffix":""},{"dropping-particle":"","family":"Veloski","given":"Jon","non-dropping-particle":"","parse-names":false,"suffix":""},{"dropping-particle":"","family":"Erdmann","given":"James B.","non-dropping-particle":"","parse-names":false,"suffix":""},{"dropping-particle":"","family":"Gonnella","given":"Joseph S.","non-dropping-particle":"","parse-names":false,"suffix":""}],"container-title":"Medical Education","id":"ITEM-1","issue":"10","issued":{"date-parts":[["2007"]]},"page":"982-989","title":"Components of postgraduate competence: Analyses of thirty years of longitudinal data","type":"article-journal","volume":"41"},"uris":["http://www.mendeley.com/documents/?uuid=14bf88b1-3c90-4bb1-9886-8f88e246b1ec","http://www.mendeley.com/documents/?uuid=809fe966-6722-42d9-ae12-6beac796924a"]}],"mendeley":{"formattedCitation":"(Hojat &lt;i&gt;et al.&lt;/i&gt;, 2007)","plainTextFormattedCitation":"(Hojat et al., 2007)","previouslyFormattedCitation":"(Hojat et al. 2007)"},"properties":{"noteIndex":0},"schema":"https://github.com/citation-style-language/schema/raw/master/csl-citation.json"}</w:instrText>
      </w:r>
      <w:r w:rsidRPr="006F3B00">
        <w:rPr>
          <w:rFonts w:ascii="Times New Roman" w:eastAsia="Times New Roman" w:hAnsi="Times New Roman" w:cs="Times New Roman"/>
          <w:shd w:val="clear" w:color="auto" w:fill="FFFFFF"/>
        </w:rPr>
        <w:fldChar w:fldCharType="separate"/>
      </w:r>
      <w:r w:rsidR="00BE3B6C" w:rsidRPr="00BE3B6C">
        <w:rPr>
          <w:rFonts w:ascii="Times New Roman" w:eastAsia="Times New Roman" w:hAnsi="Times New Roman" w:cs="Times New Roman"/>
          <w:noProof/>
          <w:shd w:val="clear" w:color="auto" w:fill="FFFFFF"/>
        </w:rPr>
        <w:t>(Hojat</w:t>
      </w:r>
      <w:r w:rsidR="00BE3B6C" w:rsidRPr="00011AD2">
        <w:rPr>
          <w:rFonts w:ascii="Times New Roman" w:eastAsia="Times New Roman" w:hAnsi="Times New Roman" w:cs="Times New Roman"/>
          <w:noProof/>
          <w:shd w:val="clear" w:color="auto" w:fill="FFFFFF"/>
        </w:rPr>
        <w:t xml:space="preserve"> et al. </w:t>
      </w:r>
      <w:r w:rsidR="00BE3B6C" w:rsidRPr="00BE3B6C">
        <w:rPr>
          <w:rFonts w:ascii="Times New Roman" w:eastAsia="Times New Roman" w:hAnsi="Times New Roman" w:cs="Times New Roman"/>
          <w:noProof/>
          <w:shd w:val="clear" w:color="auto" w:fill="FFFFFF"/>
        </w:rPr>
        <w:t>2007)</w:t>
      </w:r>
      <w:r w:rsidRPr="006F3B00">
        <w:rPr>
          <w:rFonts w:ascii="Times New Roman" w:eastAsia="Times New Roman" w:hAnsi="Times New Roman" w:cs="Times New Roman"/>
          <w:shd w:val="clear" w:color="auto" w:fill="FFFFFF"/>
        </w:rPr>
        <w:fldChar w:fldCharType="end"/>
      </w:r>
      <w:r w:rsidRPr="006F3B00">
        <w:rPr>
          <w:rFonts w:ascii="Times New Roman" w:eastAsia="Times New Roman" w:hAnsi="Times New Roman" w:cs="Times New Roman"/>
          <w:shd w:val="clear" w:color="auto" w:fill="FFFFFF"/>
        </w:rPr>
        <w:t xml:space="preserve">. However, the most commonly utilised form of assessment in graduate medical education involves senior members of the team (e.g. consultants) rating performance using pre-designed forms, such as </w:t>
      </w:r>
      <w:r w:rsidR="002B1984">
        <w:rPr>
          <w:rFonts w:ascii="Times New Roman" w:eastAsia="Times New Roman" w:hAnsi="Times New Roman" w:cs="Times New Roman"/>
          <w:shd w:val="clear" w:color="auto" w:fill="FFFFFF"/>
        </w:rPr>
        <w:t>WBAs</w:t>
      </w:r>
      <w:r w:rsidR="00EC3AAE">
        <w:rPr>
          <w:rFonts w:ascii="Times New Roman" w:eastAsia="Times New Roman" w:hAnsi="Times New Roman" w:cs="Times New Roman"/>
          <w:shd w:val="clear" w:color="auto" w:fill="FFFFFF"/>
        </w:rPr>
        <w:t xml:space="preserve"> </w:t>
      </w:r>
      <w:r w:rsidRPr="006F3B00">
        <w:rPr>
          <w:rFonts w:ascii="Times New Roman" w:eastAsia="Times New Roman" w:hAnsi="Times New Roman" w:cs="Times New Roman"/>
          <w:shd w:val="clear" w:color="auto" w:fill="FFFFFF"/>
        </w:rPr>
        <w:fldChar w:fldCharType="begin" w:fldLock="1"/>
      </w:r>
      <w:r w:rsidR="00BE3B6C">
        <w:rPr>
          <w:rFonts w:ascii="Times New Roman" w:eastAsia="Times New Roman" w:hAnsi="Times New Roman" w:cs="Times New Roman"/>
          <w:shd w:val="clear" w:color="auto" w:fill="FFFFFF"/>
        </w:rPr>
        <w:instrText>ADDIN CSL_CITATION {"citationItems":[{"id":"ITEM-1","itemData":{"DOI":"10.1097/00001888-200406000-00010","ISBN":"1040-2446","ISSN":"10402446","PMID":"15165974","abstract":"PURPOSE: In 1999 the Accreditation Council for Graduate Medical Education (ACGME) mandated that GME programs require their residents to be proficient in six general competencies. The purpose of this study was to ascertain whether an existing global rating form could be modified to assess these competencies. METHOD: A rating form covering 23 skills described in the ACGME competencies was developed. The directors of 92 specialty and subspecialty programs at Thomas Jefferson University Hospital and the Albert Einstein Medical Center in Philadelphia were asked to rate residents at the end of the 2001-02 and 2002-03 academic years. RESULTS: Ratings for 1,295 of 1,367 (95%) residents were available. Residents were awarded the highest mean ratings on items tied to professionalism, compassion, and empathy. The lowest mean ratings were assigned for items related to consideration of costs in care and management of resources. Factor analysis indicated that the program directors viewed overall competence in two dimensions of medical knowledge and interpersonal skills. This factor structure was stable for groups of specialties, and residents' gender and training level. Mean ratings in each dimension were progressively higher for residents at advanced levels of training. CONCLUSION: Global rating forms, the tool that program directors use most frequently to document residents' competence, may not be adequate to assess the six general competencies. The results are consistent with earlier published research indicating that physicians view competence in just two broad dimensions, which questions the premise of the six ACGME competencies. Further research is needed to validate and measure six distinct dimensions of clinical competence.","author":[{"dropping-particle":"","family":"Silber","given":"Cynthia G.","non-dropping-particle":"","parse-names":false,"suffix":""},{"dropping-particle":"","family":"Nasca","given":"Thomas J.","non-dropping-particle":"","parse-names":false,"suffix":""},{"dropping-particle":"","family":"Paskin","given":"David L.","non-dropping-particle":"","parse-names":false,"suffix":""},{"dropping-particle":"","family":"Eiger","given":"Glenn","non-dropping-particle":"","parse-names":false,"suffix":""},{"dropping-particle":"","family":"Robeson","given":"Mary","non-dropping-particle":"","parse-names":false,"suffix":""},{"dropping-particle":"","family":"Veloski","given":"J. Jon","non-dropping-particle":"","parse-names":false,"suffix":""}],"container-title":"Academic Medicine","id":"ITEM-1","issue":"6","issued":{"date-parts":[["2004"]]},"page":"549-556","title":"Do global rating forms enable program directors to assess the ACGME competencies?","type":"article-journal","volume":"79"},"uris":["http://www.mendeley.com/documents/?uuid=ca836748-b216-4cc3-bd21-bc1e241290e4","http://www.mendeley.com/documents/?uuid=fdbb5607-fe7b-414d-a85c-aeb7c9c24343"]},{"id":"ITEM-2","itemData":{"DOI":"10.1097/00001888-199601000-00043","ISBN":"1040-2446 (Print) 1040-2446","ISSN":"1040-2446","PMID":"8546784","abstract":"No abstract available. (C) 1996 Association of American Medical Colleges","author":[{"dropping-particle":"","family":"Gray","given":"J D","non-dropping-particle":"","parse-names":false,"suffix":""}],"container-title":"Academic medicine : journal of the Association of American Medical Colleges","id":"ITEM-2","issue":"1 Suppl","issued":{"date-parts":[["1996"]]},"page":"S55-S63","title":"Global rating scales in residency education.","type":"article","volume":"71"},"uris":["http://www.mendeley.com/documents/?uuid=0f5a9bf1-c7e5-4907-b09d-62a2cf8e28f7","http://www.mendeley.com/documents/?uuid=2ec097b6-dc4c-482a-a345-c45a5ac866d7"]}],"mendeley":{"formattedCitation":"(Gray, 1996; Silber &lt;i&gt;et al.&lt;/i&gt;, 2004)","plainTextFormattedCitation":"(Gray, 1996; Silber et al., 2004)","previouslyFormattedCitation":"(Silber et al. 2004; Gray 1996)"},"properties":{"noteIndex":0},"schema":"https://github.com/citation-style-language/schema/raw/master/csl-citation.json"}</w:instrText>
      </w:r>
      <w:r w:rsidRPr="006F3B00">
        <w:rPr>
          <w:rFonts w:ascii="Times New Roman" w:eastAsia="Times New Roman" w:hAnsi="Times New Roman" w:cs="Times New Roman"/>
          <w:shd w:val="clear" w:color="auto" w:fill="FFFFFF"/>
        </w:rPr>
        <w:fldChar w:fldCharType="separate"/>
      </w:r>
      <w:r w:rsidR="00011AD2">
        <w:rPr>
          <w:rFonts w:ascii="Times New Roman" w:eastAsia="Times New Roman" w:hAnsi="Times New Roman" w:cs="Times New Roman"/>
          <w:noProof/>
          <w:shd w:val="clear" w:color="auto" w:fill="FFFFFF"/>
        </w:rPr>
        <w:t>(Gray</w:t>
      </w:r>
      <w:r w:rsidR="00BE3B6C" w:rsidRPr="00BE3B6C">
        <w:rPr>
          <w:rFonts w:ascii="Times New Roman" w:eastAsia="Times New Roman" w:hAnsi="Times New Roman" w:cs="Times New Roman"/>
          <w:noProof/>
          <w:shd w:val="clear" w:color="auto" w:fill="FFFFFF"/>
        </w:rPr>
        <w:t xml:space="preserve"> 1996; Silber </w:t>
      </w:r>
      <w:r w:rsidR="00BE3B6C" w:rsidRPr="00011AD2">
        <w:rPr>
          <w:rFonts w:ascii="Times New Roman" w:eastAsia="Times New Roman" w:hAnsi="Times New Roman" w:cs="Times New Roman"/>
          <w:noProof/>
          <w:shd w:val="clear" w:color="auto" w:fill="FFFFFF"/>
        </w:rPr>
        <w:t>et al</w:t>
      </w:r>
      <w:r w:rsidR="00BE3B6C" w:rsidRPr="00BE3B6C">
        <w:rPr>
          <w:rFonts w:ascii="Times New Roman" w:eastAsia="Times New Roman" w:hAnsi="Times New Roman" w:cs="Times New Roman"/>
          <w:i/>
          <w:noProof/>
          <w:shd w:val="clear" w:color="auto" w:fill="FFFFFF"/>
        </w:rPr>
        <w:t>.</w:t>
      </w:r>
      <w:r w:rsidR="00BE3B6C" w:rsidRPr="00BE3B6C">
        <w:rPr>
          <w:rFonts w:ascii="Times New Roman" w:eastAsia="Times New Roman" w:hAnsi="Times New Roman" w:cs="Times New Roman"/>
          <w:noProof/>
          <w:shd w:val="clear" w:color="auto" w:fill="FFFFFF"/>
        </w:rPr>
        <w:t xml:space="preserve"> 2004)</w:t>
      </w:r>
      <w:r w:rsidRPr="006F3B00">
        <w:rPr>
          <w:rFonts w:ascii="Times New Roman" w:eastAsia="Times New Roman" w:hAnsi="Times New Roman" w:cs="Times New Roman"/>
          <w:shd w:val="clear" w:color="auto" w:fill="FFFFFF"/>
        </w:rPr>
        <w:fldChar w:fldCharType="end"/>
      </w:r>
      <w:r w:rsidRPr="006F3B00">
        <w:rPr>
          <w:rFonts w:ascii="Times New Roman" w:eastAsia="Times New Roman" w:hAnsi="Times New Roman" w:cs="Times New Roman"/>
          <w:shd w:val="clear" w:color="auto" w:fill="FFFFFF"/>
        </w:rPr>
        <w:t xml:space="preserve">. In other words, it is the work trainees do in the real working environment, or their performance, which is most important rather than separate competencies which tend to be recorded at undergraduate level. </w:t>
      </w:r>
      <w:r w:rsidRPr="006F3B00">
        <w:rPr>
          <w:rFonts w:ascii="Times New Roman" w:hAnsi="Times New Roman" w:cs="Times New Roman"/>
        </w:rPr>
        <w:t xml:space="preserve">Performance assessments focus on a trainee’s ability to understand underlying concepts of a task rather than being just a test of knowledge or specific skill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{"citationItems":[{"id":"ITEM-1","itemData":{"author":[{"dropping-particle":"","family":"Masters, G. N., Adams, R. J., &amp; Wilson","given":"M.","non-dropping-particle":"","parse-names":false,"suffix":""}],"chapter-number":"Charting o","editor":[{"dropping-particle":"","family":"G. N. Masters &amp; J. P. Keeves","given":"","non-dropping-particle":"","parse-names":false,"suffix":""}],"id":"ITEM-1","issued":{"date-parts":[["1999"]]},"page":"254-267","publisher":"Oxford: Elsevier Science Pty Ltd.","title":"Advances in Measurement in Educational Research and Assessment","type":"chapter"},"uris":["http://www.mendeley.com/documents/?uuid=221a0310-7aca-416e-8499-9763907b6ab9"]}],"mendeley":{"formattedCitation":"(Masters, G. N., Adams, R. J., &amp; Wilson, 1999)","plainTextFormattedCitation":"(Masters, G. N., Adams, R. J., &amp; Wilson, 1999)","previouslyFormattedCitation":"(Masters, G. N., Adams, R. J., &amp; Wilson 1999)"},"properties":{"noteIndex":0},"schema":"https://github.com/citation-style-language/schema/raw/master/csl-citation.json"}</w:instrText>
      </w:r>
      <w:r w:rsidRPr="006F3B00">
        <w:rPr>
          <w:rFonts w:ascii="Times New Roman" w:hAnsi="Times New Roman" w:cs="Times New Roman"/>
        </w:rPr>
        <w:fldChar w:fldCharType="separate"/>
      </w:r>
      <w:r w:rsidR="00BE3B6C" w:rsidRPr="00BE3B6C">
        <w:rPr>
          <w:rFonts w:ascii="Times New Roman" w:hAnsi="Times New Roman" w:cs="Times New Roman"/>
          <w:noProof/>
        </w:rPr>
        <w:t>(Masters</w:t>
      </w:r>
      <w:r w:rsidR="00EC3AAE">
        <w:rPr>
          <w:rFonts w:ascii="Times New Roman" w:hAnsi="Times New Roman" w:cs="Times New Roman"/>
          <w:noProof/>
        </w:rPr>
        <w:t>, Adams and Wilson</w:t>
      </w:r>
      <w:r w:rsidR="00BE3B6C" w:rsidRPr="00BE3B6C">
        <w:rPr>
          <w:rFonts w:ascii="Times New Roman" w:hAnsi="Times New Roman" w:cs="Times New Roman"/>
          <w:noProof/>
        </w:rPr>
        <w:t xml:space="preserve"> 1999)</w:t>
      </w:r>
      <w:r w:rsidRPr="006F3B00">
        <w:rPr>
          <w:rFonts w:ascii="Times New Roman" w:hAnsi="Times New Roman" w:cs="Times New Roman"/>
        </w:rPr>
        <w:fldChar w:fldCharType="end"/>
      </w:r>
      <w:r w:rsidRPr="006F3B00">
        <w:rPr>
          <w:rFonts w:ascii="Times New Roman" w:hAnsi="Times New Roman" w:cs="Times New Roman"/>
        </w:rPr>
        <w:t xml:space="preserve">. These assessments are undertaken in the workplace where direct observations of the trainee or individual can be made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{"citationItems":[{"id":"ITEM-1","itemData":{"DOI":"10.1002/9781444320282.ch17","ISBN":"9781444320282","ISSN":"1750-8460","PMID":"20551875","abstract":"Clinical teachers are often involved in assessing clinical competence in the workplace, in universities and colleges. Assessments commonly used to formally assess clinical competence include long and short cases and the objective structured clinical examination which, if well designed, is a fair and reliable method of assessing clinical competence.","author":[{"dropping-particle":"","family":"Boursicot","given":"Katharine A M","non-dropping-particle":"","parse-names":false,"suffix":""},{"dropping-particle":"","family":"Roberts","given":"Trudie E.","non-dropping-particle":"","parse-names":false,"suffix":""},{"dropping-particle":"","family":"Burdick","given":"William P.","non-dropping-particle":"","parse-names":false,"suffix":""}],"container-title":"Understanding Medical Education: Evidence, Theory and Practice","id":"ITEM-1","issued":{"date-parts":[["2010"]]},"page":"246-258","title":"Structured Assessments of Clinical Competence","type":"chapter"},"uris":["http://www.mendeley.com/documents/?uuid=6059638c-afd6-4f33-988d-b4e23e708361"]}],"mendeley":{"formattedCitation":"(Boursicot, Roberts and Burdick, 2010)","plainTextFormattedCitation":"(Boursicot, Roberts and Burdick, 2010)","previouslyFormattedCitation":"(Boursicot, Roberts, and Burdick 2010)"},"properties":{"noteIndex":0},"schema":"https://github.com/citation-style-language/schema/raw/master/csl-citation.json"}</w:instrText>
      </w:r>
      <w:r w:rsidRPr="006F3B00">
        <w:rPr>
          <w:rFonts w:ascii="Times New Roman" w:hAnsi="Times New Roman" w:cs="Times New Roman"/>
        </w:rPr>
        <w:fldChar w:fldCharType="separate"/>
      </w:r>
      <w:r w:rsidR="00EC3AAE">
        <w:rPr>
          <w:rFonts w:ascii="Times New Roman" w:hAnsi="Times New Roman" w:cs="Times New Roman"/>
          <w:noProof/>
        </w:rPr>
        <w:t>(Boursicot, Roberts and Burdick</w:t>
      </w:r>
      <w:r w:rsidR="00BE3B6C" w:rsidRPr="00BE3B6C">
        <w:rPr>
          <w:rFonts w:ascii="Times New Roman" w:hAnsi="Times New Roman" w:cs="Times New Roman"/>
          <w:noProof/>
        </w:rPr>
        <w:t xml:space="preserve"> 2010)</w:t>
      </w:r>
      <w:r w:rsidRPr="006F3B00">
        <w:rPr>
          <w:rFonts w:ascii="Times New Roman" w:hAnsi="Times New Roman" w:cs="Times New Roman"/>
        </w:rPr>
        <w:fldChar w:fldCharType="end"/>
      </w:r>
      <w:r w:rsidRPr="006F3B00">
        <w:rPr>
          <w:rFonts w:ascii="Times New Roman" w:hAnsi="Times New Roman" w:cs="Times New Roman"/>
        </w:rPr>
        <w:t>. Performance assessments are often fairly dynamic, exploiting changes in the environment, assessor and format to document a well-rounded perception of performance in the workplace</w:t>
      </w:r>
      <w:r w:rsidR="00EC3AAE">
        <w:rPr>
          <w:rFonts w:ascii="Times New Roman" w:hAnsi="Times New Roman" w:cs="Times New Roman"/>
        </w:rPr>
        <w:t xml:space="preserve"> </w:t>
      </w:r>
      <w:r w:rsidRPr="00EC3AAE">
        <w:rPr>
          <w:rFonts w:ascii="Times New Roman" w:hAnsi="Times New Roman" w:cs="Times New Roman"/>
        </w:rPr>
        <w:fldChar w:fldCharType="begin" w:fldLock="1"/>
      </w:r>
      <w:r w:rsidR="00BE3B6C" w:rsidRPr="00EC3AAE">
        <w:rPr>
          <w:rFonts w:ascii="Times New Roman" w:hAnsi="Times New Roman" w:cs="Times New Roman"/>
        </w:rPr>
        <w:instrText>ADDIN CSL_CITATION {"citationItems":[{"id":"ITEM-1","itemData":{"DOI":"10.1097/00001888-200206000-00006","ISBN":"1040-2446 (Print)","ISSN":"1040-2446","PMID":"12063194","abstract":"PURPOSE: The author interprets the state of the art of assessing professional behavior. She defines the concept of professionalism, reviews the psychometric properties of key approaches to assessing professionalism, conveys major findings that these approaches produced, and discusses recommendations to improve the assessment of professionalism. METHOD: The author reviewed professionalism literature from the last 30 years that had been identified through database searches; included in conference proceedings, bibliographies, and reference lists; and suggested by experts. The cited literature largely came from peer-reviewed journals, represented themes or novel approaches, reported qualitative or quantitative data about measurement instruments, or described pragmatic or theoretical approaches to assessing professionalism. RESULTS: A circumscribed concept of professionalism is available to serve as a foundation for next steps in assessing professional behavior. The current array of assessment tools is rich. However, their measurement properties should be strengthened. Accordingly, future research should explore rigorous qualitative techniques; refine quantitative assessments of competence, for example, through OSCEs; and evaluate separate elements of professionalism. It should test the hypothesis that assessment tools will be better if they define professionalism as behaviors expressive of value conflicts, investigate the resolution of these conflicts, and recognize the contextual nature of professional behaviors. Whether measurement tools should be tailored to the stage of a medical career and how the environment can support or sabotage the assessment of professional behavior are central issues. FINAL THOUGHT: Without solid assessment tools, questions about the efficacy of approaches to educating learners about professional behavior will not be effectively answered.","author":[{"dropping-particle":"","family":"Arnold","given":"Louise","non-dropping-particle":"","parse-names":false,"suffix":""}],"container-title":"Academic medicine : journal of the Association of American Medical Colleges","id":"ITEM-1","issue":"6","issued":{"date-parts":[["2002"]]},"page":"502-515","title":"Assessing professional behavior: yesterday, today, and tomorrow.","type":"article-journal","volume":"77"},"uris":["http://www.mendeley.com/documents/?uuid=42b7e3e1-1b5c-4c76-8791-c369c160dc45"]},{"id":"ITEM-2","itemData":{"DOI":"10.1097/00001888-200610001-00019","ISBN":"1040-2446 (Print)","ISSN":"1040-2446","PMID":"17001141","abstract":"BACKGROUND:As the evaluation of professional behaviors has been identified as an area for development, the Professionalism Mini-Evaluation Exercise (P-MEX) was developed using the mini-Clinical Examination Exercise (mini-CEX) format.\\n\\nMETHOD:From a set of 142 observable behaviors reflective of professionalism identified at a McGill workshop, 24 were converted into an evaluation instrument modeled on the mini-CEX. This instrument, designed for use in multiple settings, was tested on clinical clerks in medicine, surgery, obstetrics and gynecology, psychiatry, and pediatrics. In all, 211 forms were completed on 74 students by 47 evaluators.\\n\\nRESULTS:Results indicate content and construct validity. Exploratory factor analysis yielded 4 factors: doctor-patient relationship skills, reflective skills, time management, and interprofessional relationship skills. A decision study showed confidence intervals sufficiently narrow for many measurement purposes with as few as 8 observations. Four items frequently marked below expectations may be identifiers for \"problem\" students.\\n\\nCONCLUSION:This preliminary study suggests that the P-MEX is a feasible format for evaluating professionalism in clinical training.","author":[{"dropping-particle":"","family":"Cruess","given":"Richard","non-dropping-particle":"","parse-names":false,"suffix":""},{"dropping-particle":"","family":"McIlroy","given":"Jodi Herold","non-dropping-particle":"","parse-names":false,"suffix":""},{"dropping-particle":"","family":"Cruess","given":"Sylvia","non-dropping-particle":"","parse-names":false,"suffix":""},{"dropping-particle":"","family":"Ginsburg","given":"Shiphra","non-dropping-particle":"","parse-names":false,"suffix":""},{"dropping-particle":"","family":"Steinert","given":"Yvonne","non-dropping-particle":"","parse-names":false,"suffix":""}],"container-title":"Academic medicine : journal of the Association of American Medical Colleges","id":"ITEM-2","issue":"10 Suppl","issued":{"date-parts":[["2006"]]},"page":"S74-8","title":"The Professionalism Mini-evaluation Exercise: a preliminary investigation.","type":"article-journal","volume":"81"},"uris":["http://www.mendeley.com/documents/?uuid=8d98ef87-4546-47c3-aa6a-9bccaa4be69a"]},{"id":"ITEM-3","itemData":{"DOI":"10.1111/j.1365-2923.2007.02849.x","ISBN":"0308-0110 (Print)\\r0308-0110 (Linking)","ISSN":"03080110","PMID":"17727525","abstract":"CONTEXT: We addressed the assessment of professional behaviour in tutorial groups by investigating students' perceptions of the frequency and impact of critical incidents that impede this assessment and 5 factors underlying these critical incidents. METHODS: A questionnaire asking students to rate the frequency and impact of 40 critical incidents relating to effective assessment of professional behaviour on a 5-point Likert scale was developed and sent to all undergraduate medical students in Years 2-4 of a 6-year undergraduate curriculum. RESULTS: The response rate was 70% (n = 393). Important factors underlying critical incidents are: lack of effective interaction; lack of thoroughness; tutors' failure to confront students with unprofessional behaviour; lack of effort to find solutions, and lack of student motivation. Confirmatory factor analysis showed a good model fit. Because the relationship between frequency of occurrence and degree of impediment varies, the best information about the true impact of critical incidents and the underlying factors is provided by the product of frequency and degree of impediment. Frequency of occurrence remains stable and degree of impediment increases in Years 2-4. CONCLUSIONS: The results of this study can be used to design and improve faculty development programmes aimed at improving assessment of professional behaviour. Training programmes should motivate tutors by providing background information as to why and how sound assessment of professional behaviour is to be performed and encourage tutors to confront students with and discuss all aspects of professional behaviour, as well as provide appropriate feedback.","author":[{"dropping-particle":"","family":"Mook","given":"Walther N K A","non-dropping-particle":"Van","parse-names":false,"suffix":""},{"dropping-particle":"","family":"Grave","given":"Willem S.","non-dropping-particle":"De","parse-names":false,"suffix":""},{"dropping-particle":"","family":"Huijssen-Huisman","given":"Elise","non-dropping-particle":"","parse-names":false,"suffix":""},{"dropping-particle":"","family":"Witt-Luth","given":"Marianne","non-dropping-particle":"De","parse-names":false,"suffix":""},{"dropping-particle":"","family":"Dolmans","given":"Diana H J M","non-dropping-particle":"","parse-names":false,"suffix":""},{"dropping-particle":"","family":"Muijtjens","given":"Arno M M","non-dropping-particle":"","parse-names":false,"suffix":""},{"dropping-particle":"","family":"Schuwirth","given":"Lambert W.","non-dropping-particle":"","parse-names":false,"suffix":""},{"dropping-particle":"","family":"Vleuten","given":"Cees P M","non-dropping-particle":"Van Der","parse-names":false,"suffix":""}],"container-title":"Medical Education","id":"ITEM-3","issue":"9","issued":{"date-parts":[["2007"]]},"page":"849-856","title":"Factors inhibiting assessment of students' professional behaviour in the tutorial group during problem-based learning","type":"article-journal","volume":"41"},"uris":["http://www.mendeley.com/documents/?uuid=d2434e12-8953-4775-933b-5dd578ed9742"]}],"mendeley":{"formattedCitation":"(Arnold, 2002; Cruess &lt;i&gt;et al.&lt;/i&gt;, 2006; Van Mook &lt;i&gt;et al.&lt;/i&gt;, 2007)","plainTextFormattedCitation":"(Arnold, 2002; Cruess et al., 2006; Van Mook et al., 2007)","previouslyFormattedCitation":"(Arnold 2002; R. Cruess et al. 2006; Van Mook et al. 2007)"},"properties":{"noteIndex":0},"schema":"https://github.com/citation-style-language/schema/raw/master/csl-citation.json"}</w:instrText>
      </w:r>
      <w:r w:rsidRPr="00EC3AAE">
        <w:rPr>
          <w:rFonts w:ascii="Times New Roman" w:hAnsi="Times New Roman" w:cs="Times New Roman"/>
        </w:rPr>
        <w:fldChar w:fldCharType="separate"/>
      </w:r>
      <w:r w:rsidR="00EC3AAE" w:rsidRPr="00EC3AAE">
        <w:rPr>
          <w:rFonts w:ascii="Times New Roman" w:hAnsi="Times New Roman" w:cs="Times New Roman"/>
          <w:noProof/>
        </w:rPr>
        <w:t>(Arnold</w:t>
      </w:r>
      <w:r w:rsidR="00BE3B6C" w:rsidRPr="00EC3AAE">
        <w:rPr>
          <w:rFonts w:ascii="Times New Roman" w:hAnsi="Times New Roman" w:cs="Times New Roman"/>
          <w:noProof/>
        </w:rPr>
        <w:t xml:space="preserve"> 2002; Cruess et al. 2006; Van Mook et al. 2007)</w:t>
      </w:r>
      <w:r w:rsidRPr="00EC3AAE">
        <w:rPr>
          <w:rFonts w:ascii="Times New Roman" w:hAnsi="Times New Roman" w:cs="Times New Roman"/>
        </w:rPr>
        <w:fldChar w:fldCharType="end"/>
      </w:r>
      <w:r w:rsidRPr="00EC3AAE">
        <w:rPr>
          <w:rFonts w:ascii="Times New Roman" w:hAnsi="Times New Roman" w:cs="Times New Roman"/>
        </w:rPr>
        <w:t>.</w:t>
      </w:r>
      <w:r w:rsidRPr="006F3B00">
        <w:rPr>
          <w:rFonts w:ascii="Times New Roman" w:hAnsi="Times New Roman" w:cs="Times New Roman"/>
        </w:rPr>
        <w:t xml:space="preserve"> Clinical context must also be integrated into curricula but without detracting from the need to develop a sound knowledge base to begin with</w:t>
      </w:r>
      <w:r w:rsidR="00EC3AAE">
        <w:rPr>
          <w:rFonts w:ascii="Times New Roman" w:hAnsi="Times New Roman" w:cs="Times New Roman"/>
        </w:rPr>
        <w:t xml:space="preserve"> </w:t>
      </w:r>
      <w:r w:rsidRPr="00EC3AAE">
        <w:rPr>
          <w:rFonts w:ascii="Times New Roman" w:hAnsi="Times New Roman" w:cs="Times New Roman"/>
        </w:rPr>
        <w:fldChar w:fldCharType="begin" w:fldLock="1"/>
      </w:r>
      <w:r w:rsidR="00BE3B6C" w:rsidRPr="00EC3AAE">
        <w:rPr>
          <w:rFonts w:ascii="Times New Roman" w:hAnsi="Times New Roman" w:cs="Times New Roman"/>
        </w:rPr>
        <w:instrText>ADDIN CSL_CITATION {"citationItems":[{"id":"ITEM-1","itemData":{"DOI":"10.1007/s10459-005-2339-8","ISBN":"1382-4996 (Print)\\r1382-4996 (Linking)","ISSN":"13824996","PMID":"15912285","abstract":"In this article, part of the Exemplar series in Advances in Health Sciences Education, we profile the career of Christine McGuire, and capture her perspectives on the status of medical education practice and research. Her career was prototypical of other exemplars in the series--a pathway characterized by serendipity. As an exemplar, her contributions of leadership, scholarship, and innovations have changed the face of medical education. We describe our methods of data collection--literature reviews and in-depth interviews. We provide a portrayal of her career and accomplishments. Finally, we characterize her perspectives on medical eduction, including her views of significant innovations, contributions of professional educators, lessons learned, and needed future efforts.","author":[{"dropping-particle":"","family":"Harris","given":"Ilene B.","non-dropping-particle":"","parse-names":false,"suffix":""},{"dropping-particle":"","family":"Simpson","given":"Deborah","non-dropping-particle":"","parse-names":false,"suffix":""}],"container-title":"Advances in Health Sciences Education","id":"ITEM-1","issue":"1","issued":{"date-parts":[["2005"]]},"page":"65-80","title":"Christine McGuire: At the heart of the maverick measurement maven","type":"article","volume":"10"},"uris":["http://www.mendeley.com/documents/?uuid=30ce8cf8-f71e-4abd-9079-6ddae28c902e"]}],"mendeley":{"formattedCitation":"(Harris and Simpson, 2005)","plainTextFormattedCitation":"(Harris and Simpson, 2005)","previouslyFormattedCitation":"(I. B. Harris and Simpson 2005)"},"properties":{"noteIndex":0},"schema":"https://github.com/citation-style-language/schema/raw/master/csl-citation.json"}</w:instrText>
      </w:r>
      <w:r w:rsidRPr="00EC3AAE">
        <w:rPr>
          <w:rFonts w:ascii="Times New Roman" w:hAnsi="Times New Roman" w:cs="Times New Roman"/>
        </w:rPr>
        <w:fldChar w:fldCharType="separate"/>
      </w:r>
      <w:r w:rsidR="00EC3AAE" w:rsidRPr="00EC3AAE">
        <w:rPr>
          <w:rFonts w:ascii="Times New Roman" w:hAnsi="Times New Roman" w:cs="Times New Roman"/>
          <w:noProof/>
        </w:rPr>
        <w:t>(Harris and Simpson</w:t>
      </w:r>
      <w:r w:rsidR="00BE3B6C" w:rsidRPr="00EC3AAE">
        <w:rPr>
          <w:rFonts w:ascii="Times New Roman" w:hAnsi="Times New Roman" w:cs="Times New Roman"/>
          <w:noProof/>
        </w:rPr>
        <w:t xml:space="preserve"> 2005)</w:t>
      </w:r>
      <w:r w:rsidRPr="00EC3AAE">
        <w:rPr>
          <w:rFonts w:ascii="Times New Roman" w:hAnsi="Times New Roman" w:cs="Times New Roman"/>
        </w:rPr>
        <w:fldChar w:fldCharType="end"/>
      </w:r>
      <w:r w:rsidRPr="00EC3AAE">
        <w:rPr>
          <w:rFonts w:ascii="Times New Roman" w:hAnsi="Times New Roman" w:cs="Times New Roman"/>
        </w:rPr>
        <w:t>.</w:t>
      </w:r>
      <w:r w:rsidRPr="006F3B00">
        <w:rPr>
          <w:rFonts w:ascii="Times New Roman" w:hAnsi="Times New Roman" w:cs="Times New Roman"/>
        </w:rPr>
        <w:t xml:space="preserve"> A </w:t>
      </w:r>
      <w:r w:rsidRPr="006F3B00">
        <w:rPr>
          <w:rFonts w:ascii="Times New Roman" w:hAnsi="Times New Roman" w:cs="Times New Roman"/>
        </w:rPr>
        <w:lastRenderedPageBreak/>
        <w:t>criticism of this approach is its time consuming nature, the need to provide adequate training for observers and completing multiple assessment over time in different circumstances</w:t>
      </w:r>
      <w:r w:rsidR="002807CD">
        <w:rPr>
          <w:rFonts w:ascii="Times New Roman" w:hAnsi="Times New Roman" w:cs="Times New Roman"/>
        </w:rPr>
        <w:t xml:space="preserve"> </w:t>
      </w:r>
      <w:r w:rsidRPr="00EC3AAE">
        <w:rPr>
          <w:rFonts w:ascii="Times New Roman" w:hAnsi="Times New Roman" w:cs="Times New Roman"/>
        </w:rPr>
        <w:fldChar w:fldCharType="begin" w:fldLock="1"/>
      </w:r>
      <w:r w:rsidR="00BE3B6C" w:rsidRPr="00EC3AAE">
        <w:rPr>
          <w:rFonts w:ascii="Times New Roman" w:hAnsi="Times New Roman" w:cs="Times New Roman"/>
        </w:rPr>
        <w:instrText>ADDIN CSL_CITATION {"citationItems":[{"id":"ITEM-1","itemData":{"DOI":"10.1080/01421590078607","ISBN":"0434443670","ISSN":"0142159X","abstract":"Due to changes in the position of healthcare workers, greater emphasis should be placed on the assessment of the humanistic qualities of professional behaviour. To achieve this, students must receive feedback on their professional behaviour in different situations relevant to future practice. In the Maastricht Medical School it means that from the first year till the clerkships professional behaviour of students is assessed experimentally for judgements and feedback in different educational settings. The criteria of those judgements are discussed in this paper. Unprofessional behaviour during clerkships is reported to the academic adviser or to the examination committee or both. The academic adviser offers support to find solutions for the student when needed. The examination committee judges the severity of the problem and will act accordingly. Good collaboration between the academic adviser and the examination committee is necessary to cope with the problem of inadequate professional behaviour. [ABSTRACT FROM AUTHOR]","author":[{"dropping-particle":"Van","family":"Luijk","given":"S J","non-dropping-particle":"","parse-names":false,"suffix":""},{"dropping-particle":"","family":"Smeets","given":"J G E","non-dropping-particle":"","parse-names":false,"suffix":""},{"dropping-particle":"","family":"Smits","given":"J","non-dropping-particle":"","parse-names":false,"suffix":""},{"dropping-particle":"","family":"Wolfhagen","given":"I","non-dropping-particle":"","parse-names":false,"suffix":""},{"dropping-particle":"","family":"Perquin","given":"M L F","non-dropping-particle":"","parse-names":false,"suffix":""}],"container-title":"Medical Teacher","id":"ITEM-1","issue":"2","issued":{"date-parts":[["2000"]]},"page":"168-172","title":"Assessing professional behaviour and the role of academic advice at the Maastricht Medical School.","type":"article-journal","volume":"22"},"uris":["http://www.mendeley.com/documents/?uuid=cb415013-e0ea-4005-8dd5-e147e5338c75"]}],"mendeley":{"formattedCitation":"(Luijk &lt;i&gt;et al.&lt;/i&gt;, 2000)","plainTextFormattedCitation":"(Luijk et al., 2000)","previouslyFormattedCitation":"(Luijk et al. 2000)"},"properties":{"noteIndex":0},"schema":"https://github.com/citation-style-language/schema/raw/master/csl-citation.json"}</w:instrText>
      </w:r>
      <w:r w:rsidRPr="00EC3AAE">
        <w:rPr>
          <w:rFonts w:ascii="Times New Roman" w:hAnsi="Times New Roman" w:cs="Times New Roman"/>
        </w:rPr>
        <w:fldChar w:fldCharType="separate"/>
      </w:r>
      <w:r w:rsidR="00BE3B6C" w:rsidRPr="00EC3AAE">
        <w:rPr>
          <w:rFonts w:ascii="Times New Roman" w:hAnsi="Times New Roman" w:cs="Times New Roman"/>
          <w:noProof/>
        </w:rPr>
        <w:t>(Luijk et al. 2000)</w:t>
      </w:r>
      <w:r w:rsidRPr="00EC3AAE">
        <w:rPr>
          <w:rFonts w:ascii="Times New Roman" w:hAnsi="Times New Roman" w:cs="Times New Roman"/>
        </w:rPr>
        <w:fldChar w:fldCharType="end"/>
      </w:r>
      <w:r w:rsidRPr="00EC3AAE">
        <w:rPr>
          <w:rFonts w:ascii="Times New Roman" w:hAnsi="Times New Roman" w:cs="Times New Roman"/>
        </w:rPr>
        <w:t>.</w:t>
      </w:r>
      <w:r w:rsidRPr="006F3B00">
        <w:rPr>
          <w:rFonts w:ascii="Times New Roman" w:hAnsi="Times New Roman" w:cs="Times New Roman"/>
        </w:rPr>
        <w:t xml:space="preserve"> </w:t>
      </w:r>
    </w:p>
    <w:p w14:paraId="6712A8D9" w14:textId="77777777" w:rsidR="00863DF5" w:rsidRPr="006F3B00" w:rsidRDefault="00863DF5" w:rsidP="00863DF5">
      <w:pPr>
        <w:pStyle w:val="Default"/>
        <w:spacing w:line="480" w:lineRule="auto"/>
        <w:rPr>
          <w:rFonts w:ascii="Times New Roman" w:hAnsi="Times New Roman" w:cs="Times New Roman"/>
        </w:rPr>
      </w:pPr>
    </w:p>
    <w:p w14:paraId="35BC6F56" w14:textId="30070831" w:rsidR="006121BA" w:rsidRDefault="00863DF5" w:rsidP="006121BA">
      <w:pPr>
        <w:pStyle w:val="Default"/>
        <w:spacing w:line="480" w:lineRule="auto"/>
        <w:rPr>
          <w:rFonts w:ascii="Times New Roman" w:hAnsi="Times New Roman" w:cs="Times New Roman"/>
        </w:rPr>
      </w:pPr>
      <w:r w:rsidRPr="006F3B00">
        <w:rPr>
          <w:rFonts w:ascii="Times New Roman" w:hAnsi="Times New Roman" w:cs="Times New Roman"/>
        </w:rPr>
        <w:t xml:space="preserve">Peer assessment is also utilised in many fields as peers often foster close relationships with their colleagues, offering unique insights into their values and attitudes </w:t>
      </w:r>
      <w:r w:rsidRPr="00EC3AAE">
        <w:rPr>
          <w:rFonts w:ascii="Times New Roman" w:hAnsi="Times New Roman" w:cs="Times New Roman"/>
        </w:rPr>
        <w:fldChar w:fldCharType="begin" w:fldLock="1"/>
      </w:r>
      <w:r w:rsidR="00BE3B6C" w:rsidRPr="00EC3AAE">
        <w:rPr>
          <w:rFonts w:ascii="Times New Roman" w:hAnsi="Times New Roman" w:cs="Times New Roman"/>
        </w:rPr>
        <w:instrText>ADDIN CSL_CITATION {"citationItems":[{"id":"ITEM-1","itemData":{"DOI":"10.1097/ACM.0b013e3180555d4e","ISBN":"1040-2446","ISSN":"1040-2446","PMID":"17525545","abstract":"Peer assessment is a valuable source of information about medical students' professionalism. How best to facilitate peer assessment of students' professional behavior remains to be answered, however. This report extends previous research through a multi-institutional study of students' perspectives about system characteristics for peer assessment of professionalism. It examines whether students from different schools and year levels prefer different characteristics of peer assessment to assess each other candidly, or whether a single system can be designed. It then identifies the characteristics of the resulting preferred system(s).","author":[{"dropping-particle":"","family":"Arnold","given":"Louise","non-dropping-particle":"","parse-names":false,"suffix":""},{"dropping-particle":"","family":"Shue","given":"Carolyn K","non-dropping-particle":"","parse-names":false,"suffix":""},{"dropping-particle":"","family":"Kalishman","given":"Summers","non-dropping-particle":"","parse-names":false,"suffix":""},{"dropping-particle":"","family":"Prislin","given":"Michael","non-dropping-particle":"","parse-names":false,"suffix":""},{"dropping-particle":"","family":"Pohl","given":"Charles","non-dropping-particle":"","parse-names":false,"suffix":""},{"dropping-particle":"","family":"Pohl","given":"Henry","non-dropping-particle":"","parse-names":false,"suffix":""},{"dropping-particle":"","family":"Stern","given":"David T","non-dropping-particle":"","parse-names":false,"suffix":""}],"container-title":"Academic medicine : journal of the Association of American Medical Colleges","id":"ITEM-1","issue":"6","issued":{"date-parts":[["2007"]]},"page":"578-86","title":"Can there be a single system for peer assessment of professionalism among medical students? A multi-institutional study.","type":"article-journal","volume":"82"},"uris":["http://www.mendeley.com/documents/?uuid=4d2e3f40-0e70-41c3-a6da-020ce6bd350f"]}],"mendeley":{"formattedCitation":"(Arnold &lt;i&gt;et al.&lt;/i&gt;, 2007)","plainTextFormattedCitation":"(Arnold et al., 2007)","previouslyFormattedCitation":"(Arnold et al. 2007)"},"properties":{"noteIndex":0},"schema":"https://github.com/citation-style-language/schema/raw/master/csl-citation.json"}</w:instrText>
      </w:r>
      <w:r w:rsidRPr="00EC3AAE">
        <w:rPr>
          <w:rFonts w:ascii="Times New Roman" w:hAnsi="Times New Roman" w:cs="Times New Roman"/>
        </w:rPr>
        <w:fldChar w:fldCharType="separate"/>
      </w:r>
      <w:r w:rsidR="00BE3B6C" w:rsidRPr="00EC3AAE">
        <w:rPr>
          <w:rFonts w:ascii="Times New Roman" w:hAnsi="Times New Roman" w:cs="Times New Roman"/>
          <w:noProof/>
        </w:rPr>
        <w:t>(Arnold et al. 2007)</w:t>
      </w:r>
      <w:r w:rsidRPr="00EC3AAE">
        <w:rPr>
          <w:rFonts w:ascii="Times New Roman" w:hAnsi="Times New Roman" w:cs="Times New Roman"/>
        </w:rPr>
        <w:fldChar w:fldCharType="end"/>
      </w:r>
      <w:r w:rsidRPr="00EC3AAE">
        <w:rPr>
          <w:rFonts w:ascii="Times New Roman" w:hAnsi="Times New Roman" w:cs="Times New Roman"/>
        </w:rPr>
        <w:t xml:space="preserve">. These moral and affective domains are also more accurately evaluated by </w:t>
      </w:r>
      <w:r w:rsidRPr="006F3B00">
        <w:rPr>
          <w:rFonts w:ascii="Times New Roman" w:hAnsi="Times New Roman" w:cs="Times New Roman"/>
        </w:rPr>
        <w:t>peers than examiners or regulatory bodies</w:t>
      </w:r>
      <w:r w:rsidR="00EC3AAE">
        <w:rPr>
          <w:rFonts w:ascii="Times New Roman" w:hAnsi="Times New Roman" w:cs="Times New Roman"/>
        </w:rPr>
        <w:t xml:space="preserve"> </w:t>
      </w:r>
      <w:r w:rsidRPr="006F3B00">
        <w:rPr>
          <w:rFonts w:ascii="Times New Roman" w:hAnsi="Times New Roman" w:cs="Times New Roman"/>
        </w:rPr>
        <w:fldChar w:fldCharType="begin" w:fldLock="1"/>
      </w:r>
      <w:r w:rsidR="00BE3B6C">
        <w:rPr>
          <w:rFonts w:ascii="Times New Roman" w:hAnsi="Times New Roman" w:cs="Times New Roman"/>
        </w:rPr>
        <w:instrText>ADDIN CSL_CITATION {"citationItems":[{"id":"ITEM-1","itemData":{"author":[{"dropping-particle":"","family":"Asch E, Saltzberg D","given":"Kaiser S","non-dropping-particle":"","parse-names":false,"suffix":""}],"container-title":"Acad Med","id":"ITEM-1","issued":{"date-parts":[["1998"]]},"page":"575","title":"Reinforcement of self-directed learning and the development of professional attitudes through peer- and self-assessment.","type":"article-journal","volume":"73"},"uris":["http://www.mendeley.com/documents/?uuid=5930233a-1db7-40eb-a43c-573205726732"]}],"mendeley":{"formattedCitation":"(Asch E, Saltzberg D, 1998)","plainTextFormattedCitation":"(Asch E, Saltzberg D, 1998)","previouslyFormattedCitation":"(Asch E, Saltzberg D 1998)"},"properties":{"noteIndex":0},"schema":"https://github.com/citation-style-language/schema/raw/master/csl-citation.json"}</w:instrText>
      </w:r>
      <w:r w:rsidRPr="006F3B00">
        <w:rPr>
          <w:rFonts w:ascii="Times New Roman" w:hAnsi="Times New Roman" w:cs="Times New Roman"/>
        </w:rPr>
        <w:fldChar w:fldCharType="separate"/>
      </w:r>
      <w:r w:rsidR="00EC3AAE">
        <w:rPr>
          <w:rFonts w:ascii="Times New Roman" w:hAnsi="Times New Roman" w:cs="Times New Roman"/>
          <w:noProof/>
        </w:rPr>
        <w:t>(Asch and Saltzberg</w:t>
      </w:r>
      <w:r w:rsidR="00BE3B6C" w:rsidRPr="00BE3B6C">
        <w:rPr>
          <w:rFonts w:ascii="Times New Roman" w:hAnsi="Times New Roman" w:cs="Times New Roman"/>
          <w:noProof/>
        </w:rPr>
        <w:t xml:space="preserve"> 1998)</w:t>
      </w:r>
      <w:r w:rsidRPr="006F3B00">
        <w:rPr>
          <w:rFonts w:ascii="Times New Roman" w:hAnsi="Times New Roman" w:cs="Times New Roman"/>
        </w:rPr>
        <w:fldChar w:fldCharType="end"/>
      </w:r>
      <w:r w:rsidRPr="006F3B00">
        <w:rPr>
          <w:rFonts w:ascii="Times New Roman" w:hAnsi="Times New Roman" w:cs="Times New Roman"/>
        </w:rPr>
        <w:t>. It is important that peer assessment insight does not interfere with relation</w:t>
      </w:r>
      <w:r w:rsidR="00FE410F">
        <w:rPr>
          <w:rFonts w:ascii="Times New Roman" w:hAnsi="Times New Roman" w:cs="Times New Roman"/>
        </w:rPr>
        <w:t>ships between trainees</w:t>
      </w:r>
      <w:r w:rsidRPr="006F3B00">
        <w:rPr>
          <w:rFonts w:ascii="Times New Roman" w:hAnsi="Times New Roman" w:cs="Times New Roman"/>
        </w:rPr>
        <w:t xml:space="preserve">, as these are important to their psychosocial development. </w:t>
      </w:r>
    </w:p>
    <w:p w14:paraId="4AB6D9D3" w14:textId="77777777" w:rsidR="006121BA" w:rsidRDefault="006121BA" w:rsidP="006121BA">
      <w:pPr>
        <w:pStyle w:val="Default"/>
        <w:spacing w:line="480" w:lineRule="auto"/>
        <w:rPr>
          <w:rFonts w:ascii="Times New Roman" w:hAnsi="Times New Roman" w:cs="Times New Roman"/>
        </w:rPr>
      </w:pPr>
    </w:p>
    <w:p w14:paraId="603EA6C0" w14:textId="4D19E085" w:rsidR="006121BA" w:rsidRPr="00FB35B8" w:rsidRDefault="00863DF5" w:rsidP="006121BA">
      <w:pPr>
        <w:pStyle w:val="Default"/>
        <w:spacing w:line="480" w:lineRule="auto"/>
        <w:rPr>
          <w:rFonts w:ascii="Times New Roman" w:hAnsi="Times New Roman" w:cs="Times New Roman"/>
        </w:rPr>
      </w:pPr>
      <w:r w:rsidRPr="006F3B00">
        <w:rPr>
          <w:rFonts w:ascii="Times New Roman" w:hAnsi="Times New Roman" w:cs="Times New Roman"/>
        </w:rPr>
        <w:t>The problem with self-assessment can be that it relies on the individual to report on their own limitations, a process which heavily relies on the ability to reflect and self-regulate. However, it is still an impo</w:t>
      </w:r>
      <w:r w:rsidR="00FE410F">
        <w:rPr>
          <w:rFonts w:ascii="Times New Roman" w:hAnsi="Times New Roman" w:cs="Times New Roman"/>
        </w:rPr>
        <w:t>rtant exercise to teach trainees</w:t>
      </w:r>
      <w:r w:rsidRPr="006F3B00">
        <w:rPr>
          <w:rFonts w:ascii="Times New Roman" w:hAnsi="Times New Roman" w:cs="Times New Roman"/>
        </w:rPr>
        <w:t xml:space="preserve"> because it is conducive to instilling life-long learning and professionalism. If organised pro</w:t>
      </w:r>
      <w:r w:rsidR="00FE410F">
        <w:rPr>
          <w:rFonts w:ascii="Times New Roman" w:hAnsi="Times New Roman" w:cs="Times New Roman"/>
        </w:rPr>
        <w:t>perly, such as when the trainees</w:t>
      </w:r>
      <w:r w:rsidRPr="006F3B00">
        <w:rPr>
          <w:rFonts w:ascii="Times New Roman" w:hAnsi="Times New Roman" w:cs="Times New Roman"/>
        </w:rPr>
        <w:t xml:space="preserve"> are given prior warning to collect evidence on their performance and to discuss it with </w:t>
      </w:r>
      <w:r w:rsidRPr="00FB35B8">
        <w:rPr>
          <w:rFonts w:ascii="Times New Roman" w:hAnsi="Times New Roman" w:cs="Times New Roman"/>
        </w:rPr>
        <w:t>their colleagues, it has been shown to be acceptabl</w:t>
      </w:r>
      <w:r w:rsidR="00FE410F" w:rsidRPr="00FB35B8">
        <w:rPr>
          <w:rFonts w:ascii="Times New Roman" w:hAnsi="Times New Roman" w:cs="Times New Roman"/>
        </w:rPr>
        <w:t>e form of assessment to trainees</w:t>
      </w:r>
      <w:r w:rsidRPr="00FB35B8">
        <w:rPr>
          <w:rFonts w:ascii="Times New Roman" w:hAnsi="Times New Roman" w:cs="Times New Roman"/>
        </w:rPr>
        <w:t xml:space="preserve"> and assessors </w:t>
      </w:r>
      <w:r w:rsidRPr="00FB35B8">
        <w:rPr>
          <w:rFonts w:ascii="Times New Roman" w:hAnsi="Times New Roman" w:cs="Times New Roman"/>
        </w:rPr>
        <w:fldChar w:fldCharType="begin" w:fldLock="1"/>
      </w:r>
      <w:r w:rsidR="00BE3B6C" w:rsidRPr="00FB35B8">
        <w:rPr>
          <w:rFonts w:ascii="Times New Roman" w:hAnsi="Times New Roman" w:cs="Times New Roman"/>
        </w:rPr>
        <w:instrText>ADDIN CSL_CITATION {"citationItems":[{"id":"ITEM-1","itemData":{"DOI":"10.1111/j.1365-2929.2004.02030.x","ISBN":"0308-0110","ISSN":"03080110","PMID":"15612898","abstract":"INTRODUCTION: Previous research has demonstrated self-assessment inaccuracy in medical students. This study aims to examine students' and assessors' attitudes towards students' self-assessment of personal and professional behaviours. METHODS: Twenty-eight [corrected] participants (16 [corrected] Year 1 medical students and 12 personal and professional development assessors) participated in 4 semistructured focus group discussions in April and May 2003. All discussions were audio-taped and transcribed verbatim and the transcripts were theme analysed independently by 2 analysts. RESULTS: Assessors and students perceived accurate self-assessment to be difficult for students and feedback was deemed to be crucial in helping students develop accurate self-assessment of their personal and professional behaviours. Assessors thought that some students had unrealistically high expectations of their own performance and this was thought to be due to various factors, such as previous academic success and gender. Assessors felt that students with high expectations of their own performance exhibited difficult behaviours if they failed to achieve their expectations. Students suggested that the school and the assessors had too high a level of expectation of their personal and professional behaviours, leading them to underestimate students' performance. DISCUSSION: These difficulties surrounding self-assessment accuracy support the findings reported in previous literature and suggest that medical educators should encourage students to self-assess their own performance wherever possible. These results need to be triangulated with other sources of data such as expert panels or quantitative data.","author":[{"dropping-particle":"","family":"Rees","given":"Charlotte","non-dropping-particle":"","parse-names":false,"suffix":""},{"dropping-particle":"","family":"Shepherd","given":"Maggie","non-dropping-particle":"","parse-names":false,"suffix":""}],"container-title":"Medical Education","id":"ITEM-1","issue":"1","issued":{"date-parts":[["2005"]]},"page":"30-39","title":"Students' and assessors' attitudes towards students' self-assessment of their personal and professional behaviours","type":"article-journal","volume":"39"},"uris":["http://www.mendeley.com/documents/?uuid=7e0af944-e22c-4379-92cf-3c771684ad6b"]}],"mendeley":{"formattedCitation":"(Rees and Shepherd, 2005)","plainTextFormattedCitation":"(Rees and Shepherd, 2005)","previouslyFormattedCitation":"(C. Rees and Shepherd 2005)"},"properties":{"noteIndex":0},"schema":"https://github.com/citation-style-language/schema/raw/master/csl-citation.json"}</w:instrText>
      </w:r>
      <w:r w:rsidRPr="00FB35B8">
        <w:rPr>
          <w:rFonts w:ascii="Times New Roman" w:hAnsi="Times New Roman" w:cs="Times New Roman"/>
        </w:rPr>
        <w:fldChar w:fldCharType="separate"/>
      </w:r>
      <w:r w:rsidR="00FB35B8">
        <w:rPr>
          <w:rFonts w:ascii="Times New Roman" w:hAnsi="Times New Roman" w:cs="Times New Roman"/>
          <w:noProof/>
        </w:rPr>
        <w:t>(Rees and Shepherd</w:t>
      </w:r>
      <w:r w:rsidR="00BE3B6C" w:rsidRPr="00FB35B8">
        <w:rPr>
          <w:rFonts w:ascii="Times New Roman" w:hAnsi="Times New Roman" w:cs="Times New Roman"/>
          <w:noProof/>
        </w:rPr>
        <w:t xml:space="preserve"> 2005)</w:t>
      </w:r>
      <w:r w:rsidRPr="00FB35B8">
        <w:rPr>
          <w:rFonts w:ascii="Times New Roman" w:hAnsi="Times New Roman" w:cs="Times New Roman"/>
        </w:rPr>
        <w:fldChar w:fldCharType="end"/>
      </w:r>
      <w:r w:rsidRPr="00FB35B8">
        <w:rPr>
          <w:rFonts w:ascii="Times New Roman" w:hAnsi="Times New Roman" w:cs="Times New Roman"/>
        </w:rPr>
        <w:t>.</w:t>
      </w:r>
    </w:p>
    <w:p w14:paraId="7414D7BC" w14:textId="77777777" w:rsidR="006121BA" w:rsidRPr="00FB35B8" w:rsidRDefault="006121BA" w:rsidP="006121BA">
      <w:pPr>
        <w:pStyle w:val="Default"/>
        <w:spacing w:line="480" w:lineRule="auto"/>
        <w:rPr>
          <w:rFonts w:ascii="Times New Roman" w:hAnsi="Times New Roman" w:cs="Times New Roman"/>
        </w:rPr>
      </w:pPr>
    </w:p>
    <w:p w14:paraId="0DCA94F7" w14:textId="42DFDB57" w:rsidR="00863DF5" w:rsidRPr="006F3B00" w:rsidRDefault="00863DF5" w:rsidP="006121BA">
      <w:pPr>
        <w:spacing w:line="480" w:lineRule="auto"/>
        <w:rPr>
          <w:rFonts w:ascii="Times New Roman" w:hAnsi="Times New Roman" w:cs="Times New Roman"/>
          <w:sz w:val="24"/>
          <w:szCs w:val="24"/>
        </w:rPr>
      </w:pPr>
      <w:r w:rsidRPr="00FB35B8">
        <w:rPr>
          <w:rFonts w:ascii="Times New Roman" w:hAnsi="Times New Roman" w:cs="Times New Roman"/>
          <w:color w:val="000000"/>
          <w:sz w:val="24"/>
          <w:szCs w:val="24"/>
        </w:rPr>
        <w:t xml:space="preserve">More recently, Entrustable Professional Activities (EPAs) have been introduced. </w:t>
      </w:r>
      <w:r w:rsidRPr="00FB35B8">
        <w:rPr>
          <w:rFonts w:ascii="Times New Roman" w:hAnsi="Times New Roman" w:cs="Times New Roman"/>
          <w:sz w:val="24"/>
          <w:szCs w:val="24"/>
        </w:rPr>
        <w:t xml:space="preserve">An EPA can be defined as a unit of professional practice that can be fully entrusted to a trainee, as soon as he or she has demonstrated the necessary competence to execute this activity unsupervised </w:t>
      </w:r>
      <w:r w:rsidRPr="00FB35B8">
        <w:rPr>
          <w:rFonts w:ascii="Times New Roman" w:hAnsi="Times New Roman" w:cs="Times New Roman"/>
          <w:sz w:val="24"/>
          <w:szCs w:val="24"/>
        </w:rPr>
        <w:fldChar w:fldCharType="begin" w:fldLock="1"/>
      </w:r>
      <w:r w:rsidR="00BE3B6C" w:rsidRPr="00FB35B8">
        <w:rPr>
          <w:rFonts w:ascii="Times New Roman" w:hAnsi="Times New Roman" w:cs="Times New Roman"/>
          <w:sz w:val="24"/>
          <w:szCs w:val="24"/>
        </w:rPr>
        <w:instrText>ADDIN CSL_CITATION {"citationItems":[{"id":"ITEM-1","itemData":{"author":[{"dropping-particle":"al","family":"Cate O, Chen HC, Hoff RG, Peters H","given":"Bok H et","non-dropping-particle":"Ten","parse-names":false,"suffix":""}],"container-title":"Med Teach","id":"ITEM-1","issue":"11","issued":{"date-parts":[["2015"]]},"page":"983-1002","title":"Curriculum development for the workplace using Entrustable Professional Activities (EPAs): AMEE Guide No. 99e","type":"article-journal","volume":"37"},"uris":["http://www.mendeley.com/documents/?uuid=6c5bc99f-b442-4f0a-bc26-134ea153a519"]}],"mendeley":{"formattedCitation":"(Ten Cate O, Chen HC, Hoff RG, Peters H, 2015)","plainTextFormattedCitation":"(Ten Cate O, Chen HC, Hoff RG, Peters H, 2015)","previouslyFormattedCitation":"(Ten Cate O, Chen HC, Hoff RG, Peters H 2015)"},"properties":{"noteIndex":0},"schema":"https://github.com/citation-style-language/schema/raw/master/csl-citation.json"}</w:instrText>
      </w:r>
      <w:r w:rsidRPr="00FB35B8">
        <w:rPr>
          <w:rFonts w:ascii="Times New Roman" w:hAnsi="Times New Roman" w:cs="Times New Roman"/>
          <w:sz w:val="24"/>
          <w:szCs w:val="24"/>
        </w:rPr>
        <w:fldChar w:fldCharType="separate"/>
      </w:r>
      <w:r w:rsidR="00FB35B8">
        <w:rPr>
          <w:rFonts w:ascii="Times New Roman" w:hAnsi="Times New Roman" w:cs="Times New Roman"/>
          <w:noProof/>
          <w:sz w:val="24"/>
          <w:szCs w:val="24"/>
        </w:rPr>
        <w:t xml:space="preserve">(ten Cate </w:t>
      </w:r>
      <w:r w:rsidR="00BE3B6C" w:rsidRPr="00FB35B8">
        <w:rPr>
          <w:rFonts w:ascii="Times New Roman" w:hAnsi="Times New Roman" w:cs="Times New Roman"/>
          <w:noProof/>
          <w:sz w:val="24"/>
          <w:szCs w:val="24"/>
        </w:rPr>
        <w:t>2015)</w:t>
      </w:r>
      <w:r w:rsidRPr="00FB35B8">
        <w:rPr>
          <w:rFonts w:ascii="Times New Roman" w:hAnsi="Times New Roman" w:cs="Times New Roman"/>
          <w:sz w:val="24"/>
          <w:szCs w:val="24"/>
        </w:rPr>
        <w:fldChar w:fldCharType="end"/>
      </w:r>
      <w:r w:rsidRPr="00FB35B8">
        <w:rPr>
          <w:rFonts w:ascii="Times New Roman" w:hAnsi="Times New Roman" w:cs="Times New Roman"/>
          <w:sz w:val="24"/>
          <w:szCs w:val="24"/>
        </w:rPr>
        <w:t>. The concept was developed by ten</w:t>
      </w:r>
      <w:r w:rsidR="00FB35B8">
        <w:rPr>
          <w:rFonts w:ascii="Times New Roman" w:hAnsi="Times New Roman" w:cs="Times New Roman"/>
          <w:sz w:val="24"/>
          <w:szCs w:val="24"/>
        </w:rPr>
        <w:t xml:space="preserve"> Cate (</w:t>
      </w:r>
      <w:r w:rsidRPr="00FB35B8">
        <w:rPr>
          <w:rFonts w:ascii="Times New Roman" w:hAnsi="Times New Roman" w:cs="Times New Roman"/>
          <w:sz w:val="24"/>
          <w:szCs w:val="24"/>
        </w:rPr>
        <w:t>2005</w:t>
      </w:r>
      <w:r w:rsidR="00FB35B8">
        <w:rPr>
          <w:rFonts w:ascii="Times New Roman" w:hAnsi="Times New Roman" w:cs="Times New Roman"/>
          <w:sz w:val="24"/>
          <w:szCs w:val="24"/>
        </w:rPr>
        <w:t>)</w:t>
      </w:r>
      <w:r w:rsidRPr="00FB35B8">
        <w:rPr>
          <w:rFonts w:ascii="Times New Roman" w:hAnsi="Times New Roman" w:cs="Times New Roman"/>
          <w:sz w:val="24"/>
          <w:szCs w:val="24"/>
        </w:rPr>
        <w:t xml:space="preserve"> as a means to facilitate competency based postgraduate medical education. While competencies are descriptors</w:t>
      </w:r>
      <w:r w:rsidRPr="006F3B00">
        <w:rPr>
          <w:rFonts w:ascii="Times New Roman" w:hAnsi="Times New Roman" w:cs="Times New Roman"/>
          <w:sz w:val="24"/>
          <w:szCs w:val="24"/>
        </w:rPr>
        <w:t xml:space="preserve"> of the qualities of individual persons, EPAs describe the </w:t>
      </w:r>
      <w:r w:rsidRPr="006F3B00">
        <w:rPr>
          <w:rFonts w:ascii="Times New Roman" w:hAnsi="Times New Roman" w:cs="Times New Roman"/>
          <w:sz w:val="24"/>
          <w:szCs w:val="24"/>
        </w:rPr>
        <w:lastRenderedPageBreak/>
        <w:t>work that is being done or must be done in the workplace</w:t>
      </w:r>
      <w:r w:rsidR="00FB35B8">
        <w:rPr>
          <w:rFonts w:ascii="Times New Roman" w:hAnsi="Times New Roman" w:cs="Times New Roman"/>
          <w:sz w:val="24"/>
          <w:szCs w:val="24"/>
        </w:rPr>
        <w:t xml:space="preserve"> </w:t>
      </w:r>
      <w:r w:rsidR="00281D8C" w:rsidRPr="00FB35B8">
        <w:rPr>
          <w:rFonts w:ascii="Times New Roman" w:hAnsi="Times New Roman" w:cs="Times New Roman"/>
          <w:sz w:val="24"/>
          <w:szCs w:val="24"/>
        </w:rPr>
        <w:fldChar w:fldCharType="begin" w:fldLock="1"/>
      </w:r>
      <w:r w:rsidR="00281D8C" w:rsidRPr="00FB35B8">
        <w:rPr>
          <w:rFonts w:ascii="Times New Roman" w:hAnsi="Times New Roman" w:cs="Times New Roman"/>
          <w:sz w:val="24"/>
          <w:szCs w:val="24"/>
        </w:rPr>
        <w:instrText>ADDIN CSL_CITATION {"citationItems":[{"id":"ITEM-1","itemData":{"author":[{"dropping-particle":"al","family":"Cate O, Chen HC, Hoff RG, Peters H","given":"Bok H et","non-dropping-particle":"Ten","parse-names":false,"suffix":""}],"container-title":"Med Teach","id":"ITEM-1","issue":"11","issued":{"date-parts":[["2015"]]},"page":"983-1002","title":"Curriculum development for the workplace using Entrustable Professional Activities (EPAs): AMEE Guide No. 99e","type":"article-journal","volume":"37"},"uris":["http://www.mendeley.com/documents/?uuid=6c5bc99f-b442-4f0a-bc26-134ea153a519"]}],"mendeley":{"formattedCitation":"(Ten Cate O, Chen HC, Hoff RG, Peters H, 2015)","plainTextFormattedCitation":"(Ten Cate O, Chen HC, Hoff RG, Peters H, 2015)","previouslyFormattedCitation":"(Ten Cate O, Chen HC, Hoff RG, Peters H 2015)"},"properties":{"noteIndex":0},"schema":"https://github.com/citation-style-language/schema/raw/master/csl-citation.json"}</w:instrText>
      </w:r>
      <w:r w:rsidR="00281D8C" w:rsidRPr="00FB35B8">
        <w:rPr>
          <w:rFonts w:ascii="Times New Roman" w:hAnsi="Times New Roman" w:cs="Times New Roman"/>
          <w:sz w:val="24"/>
          <w:szCs w:val="24"/>
        </w:rPr>
        <w:fldChar w:fldCharType="separate"/>
      </w:r>
      <w:r w:rsidR="00281D8C">
        <w:rPr>
          <w:rFonts w:ascii="Times New Roman" w:hAnsi="Times New Roman" w:cs="Times New Roman"/>
          <w:noProof/>
          <w:sz w:val="24"/>
          <w:szCs w:val="24"/>
        </w:rPr>
        <w:t xml:space="preserve">(ten Cate </w:t>
      </w:r>
      <w:r w:rsidR="00281D8C" w:rsidRPr="00FB35B8">
        <w:rPr>
          <w:rFonts w:ascii="Times New Roman" w:hAnsi="Times New Roman" w:cs="Times New Roman"/>
          <w:noProof/>
          <w:sz w:val="24"/>
          <w:szCs w:val="24"/>
        </w:rPr>
        <w:t>2015)</w:t>
      </w:r>
      <w:r w:rsidR="00281D8C" w:rsidRPr="00FB35B8">
        <w:rPr>
          <w:rFonts w:ascii="Times New Roman" w:hAnsi="Times New Roman" w:cs="Times New Roman"/>
          <w:sz w:val="24"/>
          <w:szCs w:val="24"/>
        </w:rPr>
        <w:fldChar w:fldCharType="end"/>
      </w:r>
      <w:r w:rsidR="00281D8C" w:rsidRPr="00FB35B8">
        <w:rPr>
          <w:rFonts w:ascii="Times New Roman" w:hAnsi="Times New Roman" w:cs="Times New Roman"/>
          <w:sz w:val="24"/>
          <w:szCs w:val="24"/>
        </w:rPr>
        <w:t xml:space="preserve">. </w:t>
      </w:r>
      <w:r w:rsidRPr="006F3B00">
        <w:rPr>
          <w:rFonts w:ascii="Times New Roman" w:hAnsi="Times New Roman" w:cs="Times New Roman"/>
          <w:color w:val="000000"/>
          <w:sz w:val="24"/>
          <w:szCs w:val="24"/>
        </w:rPr>
        <w:t>They essentially</w:t>
      </w:r>
      <w:r w:rsidRPr="006F3B00">
        <w:rPr>
          <w:rFonts w:ascii="Times New Roman" w:hAnsi="Times New Roman" w:cs="Times New Roman"/>
          <w:sz w:val="24"/>
          <w:szCs w:val="24"/>
        </w:rPr>
        <w:t xml:space="preserve"> ask the assessor or supervisor what really matters e.g. Can I trust this trainee to get on with the task? In histopathology, this might translate to a consultant trusting a trainee to report pathology cases independently.  Pressure on patient safety and stricter supervision over trainees is an increasing trend and a major challenge for medical </w:t>
      </w:r>
      <w:r w:rsidRPr="00281D8C">
        <w:rPr>
          <w:rFonts w:ascii="Times New Roman" w:hAnsi="Times New Roman" w:cs="Times New Roman"/>
          <w:sz w:val="24"/>
          <w:szCs w:val="24"/>
        </w:rPr>
        <w:t xml:space="preserve">educators is to let trainees assume responsibility for patient care </w:t>
      </w:r>
      <w:r w:rsidRPr="00281D8C">
        <w:rPr>
          <w:rFonts w:ascii="Times New Roman" w:hAnsi="Times New Roman" w:cs="Times New Roman"/>
          <w:sz w:val="24"/>
          <w:szCs w:val="24"/>
        </w:rPr>
        <w:fldChar w:fldCharType="begin" w:fldLock="1"/>
      </w:r>
      <w:r w:rsidR="00BE3B6C" w:rsidRPr="00281D8C">
        <w:rPr>
          <w:rFonts w:ascii="Times New Roman" w:hAnsi="Times New Roman" w:cs="Times New Roman"/>
          <w:sz w:val="24"/>
          <w:szCs w:val="24"/>
        </w:rPr>
        <w:instrText>ADDIN CSL_CITATION {"citationItems":[{"id":"ITEM-1","itemData":{"DOI":"10.1016/j.jamcollsurg.2014.04.019","ISBN":"1072-7515","ISSN":"10727515","PMID":"25158911","abstract":"Background: Several challenges threaten the traditional premise of graduated independence in general surgery training, leading to a lack of readiness in graduating surgeons. The objective of this study was to determine the factors contributing to faculty decisions to grant residents autonomy in the operating room, the barriers to granting this autonomy, and the factors that facilitate entrustment. Study Design: An anonymous online survey was distributed to 239 attending surgeons at 7 institutions. Questions consisted of open-ended and structured 5-point Likert scale questions. Descriptive statistics were calculated, and a qualitative analysis of free-text responses was performed to identify emergent themes. Results: There were 116 attending surgeons who responded to the survey (49%). Factors most important to increasing resident responsibility and autonomy in the operating room were the resident's observed clinical skill and the attending surgeon's confidence level with the operation. Factors believed to prevent awarding graduated responsibility and autonomy in the operating room included an increased focus on patient outcomes, a desire to increase efficiency and finish operations earlier, and expectations of attending surgeon involvement by the hospital and patients. Among themes discerned in faculty responses to an open-ended question about the greatest challenges in graduate surgical education, 47% of faculty identified work-hour regulations/time restrictions. Fourteen percent pointed to a change to a shift-work mentality and decreased ownership of responsibility for patients by residents; 13% described a lack of resident autonomy due to increased supervision requirements. Conclusions: This study identified several factors that attending surgeons report as significant limitations to transitioning autonomy to surgical residents in the operating room. These issues must be addressed in a direct manner if progressive graduated responsibility to independence is to occur in the next era of graduate surgical training. © 2014 American College of Surgeons.","author":[{"dropping-particle":"","family":"Teman","given":"Nicholas R.","non-dropping-particle":"","parse-names":false,"suffix":""},{"dropping-particle":"","family":"Gauger","given":"Paul G.","non-dropping-particle":"","parse-names":false,"suffix":""},{"dropping-particle":"","family":"Mullan","given":"Patricia B.","non-dropping-particle":"","parse-names":false,"suffix":""},{"dropping-particle":"","family":"Tarpley","given":"John L.","non-dropping-particle":"","parse-names":false,"suffix":""},{"dropping-particle":"","family":"Minter","given":"Rebecca M.","non-dropping-particle":"","parse-names":false,"suffix":""}],"container-title":"Journal of the American College of Surgeons","id":"ITEM-1","issue":"4","issued":{"date-parts":[["2014"]]},"page":"778-787","title":"Entrustment of General Surgery Residents in the Operating Room: Factors Contributing to Provision of Resident Autonomy","type":"article-journal","volume":"219"},"uris":["http://www.mendeley.com/documents/?uuid=62e29c59-c7c0-4fba-b053-e6a3d718e6cc"]},{"id":"ITEM-2","itemData":{"DOI":"10.1097/00001888-200510001-00028","ISBN":"1040-2446","ISSN":"1040-2446","PMID":"16199447","abstract":"BACKGROUND:Progressive independence is a traditional premise of clinical training. Recently, issues such as managed care, work hours limitation, and patient safety have begun to impact the degree of autonomy afforded to clinical trainees. This article reviews empirical evidence and theory pertaining to the role of progressive autonomy in clinical learning.\\n\\nMETHOD:A computerized literature search was performed using Medline, PsycINFO, Social Sciences Citation Index, and Educational Resources Information Center. This article presents a synthetic review of relevant empirical and theoretical concepts from the domains of medicine, psychology, education, kinesiology, and sociology.\\n\\nRESULTS:The clinical psychology and medical education literatures provide evidence that clinical trainees act more independently as their training progresses, but have not yet evaluated the educational efficacy of providing progressive independence, or the consequences of failing to do so. The expertise and motor learning literatures provide some theoretical evidence (as yet untested in complex clinical environments) that the provision of too much guidance or feedback to trainees could be educationally detrimental in the long term. The sociology literature provides insight into the cultural values underlying the behavior of clinical teachers and trainees relating to issues of supervision and independence.\\n\\nCONCLUSIONS:There is limited empirical support for the current model of progressive independence in clinical learning; however, diverse theoretical perspectives raise concern about the potential educational consequences of eroding progressive independence. These perspectives could inform future research programs that would create a creative and effective response to the social and economic forces impacting clinical education.","author":[{"dropping-particle":"","family":"Kennedy","given":"Tara J T","non-dropping-particle":"","parse-names":false,"suffix":""},{"dropping-particle":"","family":"Regehr","given":"Glenn","non-dropping-particle":"","parse-names":false,"suffix":""},{"dropping-particle":"","family":"Baker","given":"G Ross","non-dropping-particle":"","parse-names":false,"suffix":""},{"dropping-particle":"","family":"Lingard","given":"Lorelei A","non-dropping-particle":"","parse-names":false,"suffix":""}],"container-title":"Academic medicine : journal of the Association of American Medical Colleges","id":"ITEM-2","issue":"10 Suppl","issued":{"date-parts":[["2005"]]},"page":"S106-11","title":"Progressive independence in clinical training: a tradition worth defending?","type":"article-journal","volume":"80"},"uris":["http://www.mendeley.com/documents/?uuid=5666d69b-efa1-4bdb-b7cb-ccd56ba5f6dc"]}],"mendeley":{"formattedCitation":"(Kennedy &lt;i&gt;et al.&lt;/i&gt;, 2005; Teman &lt;i&gt;et al.&lt;/i&gt;, 2014)","plainTextFormattedCitation":"(Kennedy et al., 2005; Teman et al., 2014)","previouslyFormattedCitation":"(Teman et al. 2014; Kennedy et al. 2005)"},"properties":{"noteIndex":0},"schema":"https://github.com/citation-style-language/schema/raw/master/csl-citation.json"}</w:instrText>
      </w:r>
      <w:r w:rsidRPr="00281D8C">
        <w:rPr>
          <w:rFonts w:ascii="Times New Roman" w:hAnsi="Times New Roman" w:cs="Times New Roman"/>
          <w:sz w:val="24"/>
          <w:szCs w:val="24"/>
        </w:rPr>
        <w:fldChar w:fldCharType="separate"/>
      </w:r>
      <w:r w:rsidR="00BE3B6C" w:rsidRPr="00281D8C">
        <w:rPr>
          <w:rFonts w:ascii="Times New Roman" w:hAnsi="Times New Roman" w:cs="Times New Roman"/>
          <w:noProof/>
          <w:sz w:val="24"/>
          <w:szCs w:val="24"/>
        </w:rPr>
        <w:t>(Kennedy et al. 2005; Teman et al. 2014)</w:t>
      </w:r>
      <w:r w:rsidRPr="00281D8C">
        <w:rPr>
          <w:rFonts w:ascii="Times New Roman" w:hAnsi="Times New Roman" w:cs="Times New Roman"/>
          <w:sz w:val="24"/>
          <w:szCs w:val="24"/>
        </w:rPr>
        <w:fldChar w:fldCharType="end"/>
      </w:r>
      <w:r w:rsidRPr="00281D8C">
        <w:rPr>
          <w:rFonts w:ascii="Times New Roman" w:hAnsi="Times New Roman" w:cs="Times New Roman"/>
          <w:sz w:val="24"/>
          <w:szCs w:val="24"/>
        </w:rPr>
        <w:t>. An EPA-based competency curriculum aims to establish</w:t>
      </w:r>
      <w:r w:rsidRPr="006F3B00">
        <w:rPr>
          <w:rFonts w:ascii="Times New Roman" w:hAnsi="Times New Roman" w:cs="Times New Roman"/>
          <w:sz w:val="24"/>
          <w:szCs w:val="24"/>
        </w:rPr>
        <w:t xml:space="preserve"> this gradual increase of responsibility and autonomy in a safe and justifiable way</w:t>
      </w:r>
      <w:r w:rsidR="00281D8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{"citationItems":[{"id":"ITEM-1","itemData":{"DOI":"10.3109/0142159X.2010.500897","ISBN":"0142-159X\\r1466-187X","ISSN":"0142-159X","PMID":"20662579","abstract":"Competency-based education in the health care professions has become a prominent approach to postgraduate training in Canada, the Netherlands, the United Kingdom, the United States, and many other countries. Competency frameworks devised at national and international levels have been well received, and in many cases mandated, by governing bodies. However, the teaching and assessment of competencies pose questions of practicality, validity, and reliability. In this article we propose that competence and competencies be approached in the context of the particular clinical environment, such that the assessment of competence is tied to a trainee's performance of essential clinical activities that define the profession. Competence is implicit in the eventual entrustment of trainees to perform these professional activities. Competencies and \"entrustable professional activities\" (EPAs) relate to each other as two dimensions of a grid in which each EPA can be mapped back to a number of competencies. This backward visioning from EPAs to competencies is proposed as a guide to curriculum planning and assessment. The authors discuss experiences with this conceptual model in research, curriculum development and learner assessment.","author":[{"dropping-particle":"","family":"Cate","given":"Olle","non-dropping-particle":"ten","parse-names":false,"suffix":""},{"dropping-particle":"","family":"Snell","given":"Linda","non-dropping-particle":"","parse-names":false,"suffix":""},{"dropping-particle":"","family":"Carraccio","given":"Carol","non-dropping-particle":"","parse-names":false,"suffix":""}],"container-title":"Medical teacher","id":"ITEM-1","issue":"8","issued":{"date-parts":[["2010"]]},"page":"669-675","title":"Medical competence: the interplay between individual ability and the health care environment.","type":"article-journal","volume":"32"},"uris":["http://www.mendeley.com/documents/?uuid=669e11ec-bbf3-4ef5-a518-8e8de16ce5fe"]}],"mendeley":{"formattedCitation":"(ten Cate, Snell and Carraccio, 2010)","plainTextFormattedCitation":"(ten Cate, Snell and Carraccio, 2010)","previouslyFormattedCitation":"(Olle ten Cate, Snell, and Carraccio 2010)"},"properties":{"noteIndex":0},"schema":"https://github.com/citation-style-language/schema/raw/master/csl-citation.json"}</w:instrText>
      </w:r>
      <w:r w:rsidRPr="006F3B00">
        <w:rPr>
          <w:rFonts w:ascii="Times New Roman" w:hAnsi="Times New Roman" w:cs="Times New Roman"/>
          <w:sz w:val="24"/>
          <w:szCs w:val="24"/>
        </w:rPr>
        <w:fldChar w:fldCharType="separate"/>
      </w:r>
      <w:r w:rsidR="00281D8C">
        <w:rPr>
          <w:rFonts w:ascii="Times New Roman" w:hAnsi="Times New Roman" w:cs="Times New Roman"/>
          <w:noProof/>
          <w:sz w:val="24"/>
          <w:szCs w:val="24"/>
        </w:rPr>
        <w:t>(ten Cate, Snell and Carraccio</w:t>
      </w:r>
      <w:r w:rsidR="00BE3B6C" w:rsidRPr="00BE3B6C">
        <w:rPr>
          <w:rFonts w:ascii="Times New Roman" w:hAnsi="Times New Roman" w:cs="Times New Roman"/>
          <w:noProof/>
          <w:sz w:val="24"/>
          <w:szCs w:val="24"/>
        </w:rPr>
        <w:t xml:space="preserve"> 2010)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Even though EPAs are not </w:t>
      </w:r>
      <w:r w:rsidRPr="00281D8C">
        <w:rPr>
          <w:rFonts w:ascii="Times New Roman" w:hAnsi="Times New Roman" w:cs="Times New Roman"/>
          <w:sz w:val="24"/>
          <w:szCs w:val="24"/>
        </w:rPr>
        <w:t>widely in use within the UK evidence from other countries so far seems positive</w:t>
      </w:r>
      <w:r w:rsidR="00281D8C">
        <w:rPr>
          <w:rFonts w:ascii="Times New Roman" w:hAnsi="Times New Roman" w:cs="Times New Roman"/>
          <w:sz w:val="24"/>
          <w:szCs w:val="24"/>
        </w:rPr>
        <w:t xml:space="preserve"> </w:t>
      </w:r>
      <w:r w:rsidRPr="00281D8C">
        <w:rPr>
          <w:rFonts w:ascii="Times New Roman" w:hAnsi="Times New Roman" w:cs="Times New Roman"/>
          <w:sz w:val="24"/>
          <w:szCs w:val="24"/>
        </w:rPr>
        <w:fldChar w:fldCharType="begin" w:fldLock="1"/>
      </w:r>
      <w:r w:rsidR="00BE3B6C" w:rsidRPr="00281D8C">
        <w:rPr>
          <w:rFonts w:ascii="Times New Roman" w:hAnsi="Times New Roman" w:cs="Times New Roman"/>
          <w:sz w:val="24"/>
          <w:szCs w:val="24"/>
        </w:rPr>
        <w:instrText>ADDIN CSL_CITATION {"citationItems":[{"id":"ITEM-1","itemData":{"DOI":"10.4300/JGME-D-12-00060.1","ISBN":"1949-8349","ISSN":"1949-8349","PMID":"24404227","abstract":"BACKGROUND: Entrustable professional activities (EPAs) can form the foundation of competency-based assessment in medical training, focused on performance of discipline-specific core clinical activities.\\n\\nOBJECTIVE: To identify EPAs for the Internal Medicine (IM) Educational Milestones to operationalize competency-based assessment of residents using EPAs.\\n\\nMETHODS: We used a modified Delphi approach to conduct a 2-step cross-sectional survey of IM educators at a 3-hospital IM residency program; residents also completed a survey. Participants rated the importance and appropriate year of training to reach competence for 30 proposed IM EPAs. Content validity indices identified essential EPAs. We conducted independent sample t tests to determine IM educator-resident agreement and calculated effect sizes. Finally, we determined the effect of different physician roles on ratings.\\n\\nRESULTS: Thirty-six IM educators participated; 22 completed both surveys. Twelve residents participated. Seventeen EPAs had a content validity index of 100%; 10 additional EPAs exceeded 80%. Educators and residents rated the importance of 27 of 30 EPAs similarly. Residents felt that 10 EPAs could be met at least 1 year earlier than educators had specified.\\n\\nCONCLUSIONS: Internal medicine educators had a stable opinion of EPAs developed through this study, and residents generally agreed. Using this approach, programs could identify EPAs for resident evaluation, building on the initial list created via our study.","author":[{"dropping-particle":"","family":"Hauer","given":"Karen E","non-dropping-particle":"","parse-names":false,"suffix":""},{"dropping-particle":"","family":"Kohlwes","given":"Jeffrey","non-dropping-particle":"","parse-names":false,"suffix":""},{"dropping-particle":"","family":"Cornett","given":"Patricia","non-dropping-particle":"","parse-names":false,"suffix":""},{"dropping-particle":"","family":"Hollander","given":"Harry","non-dropping-particle":"","parse-names":false,"suffix":""},{"dropping-particle":"","family":"Cate","given":"Olle","non-dropping-particle":"Ten","parse-names":false,"suffix":""},{"dropping-particle":"","family":"Ranji","given":"Sumant R","non-dropping-particle":"","parse-names":false,"suffix":""},{"dropping-particle":"","family":"Soni","given":"Krishan","non-dropping-particle":"","parse-names":false,"suffix":""},{"dropping-particle":"","family":"Iobst","given":"William","non-dropping-particle":"","parse-names":false,"suffix":""},{"dropping-particle":"","family":"O'Sullivan","given":"Patricia","non-dropping-particle":"","parse-names":false,"suffix":""}],"container-title":"Journal of graduate medical education","id":"ITEM-1","issue":"1","issued":{"date-parts":[["2013"]]},"page":"54-9","title":"Identifying entrustable professional activities in internal medicine training.","type":"article-journal","volume":"5"},"uris":["http://www.mendeley.com/documents/?uuid=b478ee50-c40b-4a6f-870a-f2d364ce0806"]},{"id":"ITEM-2","itemData":{"DOI":"http://dx.doi.org/10.4300/JGME-D-12-00380.1","ISBN":"1525-1497 (Electronic)\\r0884-8734 (Linking)","ISSN":"1525-1497","PMID":"24404246","abstract":"The Challenge The entrustable professional activity (EPA) concept allows faculty to make competency-based decisions on the level of supervision required by trainees. Competency-based education targets standardized levels of proficiency to guarantee that all learners have a sufficient level of proficiency at the completion of training.1–6 Collectively, the competencies (ACGME or CanMEDS) constitute a framework that describes the qualities of professionals. Such a framework provides generalized descriptions to guide learners, their supervisors, and institutions in teaching and assessment. However, these frameworks must translate to the world of medical practice. EPAs were conceived to facilitate this translation, addressing the concern that competency frameworks would otherwise be too theoretical to be useful for training and assessment in daily practice.","author":[{"dropping-particle":"","family":"Cate","given":"Olle","non-dropping-particle":"ten","parse-names":false,"suffix":""}],"container-title":"Journal of Graduate Medical Education","id":"ITEM-2","issue":"March","issued":{"date-parts":[["2013"]]},"page":"157-8","title":"Nuts and Bolts of Entrustable Professional Activitites","type":"article-journal","volume":"5"},"uris":["http://www.mendeley.com/documents/?uuid=b8dde74b-c59b-4103-a278-afc267292c18"]},{"id":"ITEM-3","itemData":{"DOI":"10.1111/j.1365-2929.2005.02341.x","ISBN":"0308-0110","ISSN":"03080110","PMID":"16313574","abstract":"The idea of competency-based training (CBT) seems to have entered medical education with a speed and impact that has outperformed problem-based learning. The literature suggests that competencies should be (a) specific, (b) comprehensive, (c) durable, (d) trainable, (e) measurable, (f) related to professional activities and (g) connected to other competencies. The identification of 'entrustable' professional activities (EPAs) can help programme directors and supervisors in their determination of the competence of their trainees. Every day, supervisors consider whether or not to delegate professional activities to trainees. The information to guide these decisions is often implicit. In addition, colleagues or nursing staff may provide information on trainees. Performing a sternum puncture requires competence in such roles as medical expert, communicator, collaborator and manager. Conversely, being a skilled communicator can be inferred from observing different EPAs, showing communication with patients, family, colleagues, nursing staff, and so on. If programmes really move towards observing and qualifying the competence of individual candidates for critical professional activities, instead of assuming competence at the end of a predetermined training period, a paradigm shift will occur. Medical training could then change from fixed-length variableoutcome programmes to fixed-outcome variable-length programmes. (PsycINFO Database Record (c) 2012 APA, all rights reserved)","author":[{"dropping-particle":"","family":"Cate","given":"Olle","non-dropping-particle":"Ten","parse-names":false,"suffix":""}],"container-title":"Medical Education","id":"ITEM-3","issue":"12","issued":{"date-parts":[["2005"]]},"page":"1176-1177","title":"Entrustability of professional activities and competency-based training","type":"article-journal","volume":"39"},"uris":["http://www.mendeley.com/documents/?uuid=f2cfc331-ca3c-4bd1-8054-171c33e79c30"]},{"id":"ITEM-4","itemData":{"DOI":"10.1007/s11606-012-2193-3","ISBN":"1525-1497 (Electronic)\\r0884-8734 (Linking)","ISSN":"0884-8734","PMID":"22997002","abstract":"INTRODUCTION: The U.S. faces a critical gap between residency training and clinical practice that affects the recruitment and preparation of internal medicine residents for primary care careers. The patient-centered medical home (PCMH) represents a new clinical microsystem that is being widely promoted and implemented to improve access, quality, and sustainability in primary care practice.\\n\\nAIM: We address two key questions regarding the training of internal medicine residents for practice in PCMHs. First, what are the educational implications of practice transformations to primary care home models? Second, what must we do differently to prepare internal medicine residents for their futures in PCMHs?\\n\\nPROGRAM DESCRIPTION: The 2011 Society of General Internal Medicine (SGIM) PCMH Education Summit established seven work groups to address the following topics: resident workplace competencies, teamwork, continuity of care, assessment, faculty development, 'medical home builder' tools, and policy. The output from the competency work group was foundational for the work of other groups. The work group considered several educational frameworks, including developmental milestones, competencies, and entrustable professional activities (EPAs).\\n\\nRESULTS: The competency work group defined 25 internal medicine resident PCMH EPAs. The 2011 National Committee for Quality Assurance (NCQA) PCMH standards served as an organizing framework for EPAs.\\n\\nDISCUSSION: The list of PCMH EPAs has the potential to begin to transform the education of internal medicine residents for practice and leadership in the PCMH. It will guide curriculum development, learner assessment, and clinical practice redesign for academic health centers.","author":[{"dropping-particle":"","family":"Chang","given":"Anna","non-dropping-particle":"","parse-names":false,"suffix":""},{"dropping-particle":"","family":"Bowen","given":"Judith L.","non-dropping-particle":"","parse-names":false,"suffix":""},{"dropping-particle":"","family":"Buranosky","given":"Raquel a.","non-dropping-particle":"","parse-names":false,"suffix":""},{"dropping-particle":"","family":"Frankel","given":"Richard M.","non-dropping-particle":"","parse-names":false,"suffix":""},{"dropping-particle":"","family":"Ghosh","given":"Nivedita","non-dropping-particle":"","parse-names":false,"suffix":""},{"dropping-particle":"","family":"Rosenblum","given":"Michael J.","non-dropping-particle":"","parse-names":false,"suffix":""},{"dropping-particle":"","family":"Thompson","given":"Sara","non-dropping-particle":"","parse-names":false,"suffix":""},{"dropping-particle":"","family":"Green","given":"Michael L.","non-dropping-particle":"","parse-names":false,"suffix":""}],"container-title":"Journal of General Internal Medicine","id":"ITEM-4","issue":"March","issued":{"date-parts":[["2012"]]},"page":"157-158","title":"Transforming Primary Care Training—Patient-Centered Medical Home Entrustable Professional Activities for Internal Medicine Residents","type":"article-journal"},"uris":["http://www.mendeley.com/documents/?uuid=499f49cf-a2f7-4e9f-a47d-104c4bfdf285"]},{"id":"ITEM-5","itemData":{"DOI":"10.1177/2374289517714283","ISSN":"2374-2895","PMID":"28725792","abstract":"Competency-based medical education has evolved over the past decades to include the Accreditation Council for Graduate Medical Education Accreditation System of resident evaluation based on the Milestones project. Entrustable professional activities represent another means to determine learner proficiency and evaluate educational outcomes in the workplace and training environment. The objective of this project was to develop entrustable professional activities for pathology graduate medical education encompassing primary anatomic and clinical pathology residency training. The Graduate Medical Education Committee of the College of American Pathologists met over the course of 2 years to identify and define entrustable professional activities for pathology graduate medical education. Nineteen entrustable professional activities were developed, including 7 for anatomic pathology, 4 for clinical pathology, and 8 that apply to both disciplines with 5 of these concerning laboratory management. The content defined for each entrustable professional activity includes the entrustable professional activity title, a description of the knowledge and skills required for competent performance, mapping to relevant Accreditation Council for Graduate Medical Education Milestone subcompetencies, and general assessment methods. Many critical activities that define the practice of pathology fit well within the entrustable professional activity model. The entrustable professional activities outlined by the Graduate Medical Education Committee are meant to provide an initial framework for the development of entrustable professional activity-related assessment and curricular tools for pathology residency training.","author":[{"dropping-particle":"","family":"McCloskey","given":"Cindy B.","non-dropping-particle":"","parse-names":false,"suffix":""},{"dropping-particle":"","family":"Domen","given":"Ronald E.","non-dropping-particle":"","parse-names":false,"suffix":""},{"dropping-particle":"","family":"Conran","given":"Richard M.","non-dropping-particle":"","parse-names":false,"suffix":""},{"dropping-particle":"","family":"Hoffman","given":"Robert D.","non-dropping-particle":"","parse-names":false,"suffix":""},{"dropping-particle":"","family":"Post","given":"Miriam D.","non-dropping-particle":"","parse-names":false,"suffix":""},{"dropping-particle":"","family":"Brissette","given":"Mark D.","non-dropping-particle":"","parse-names":false,"suffix":""},{"dropping-particle":"","family":"Gratzinger","given":"Dita A.","non-dropping-particle":"","parse-names":false,"suffix":""},{"dropping-particle":"","family":"Raciti","given":"Patricia M.","non-dropping-particle":"","parse-names":false,"suffix":""},{"dropping-particle":"","family":"Cohen","given":"David A.","non-dropping-particle":"","parse-names":false,"suffix":""},{"dropping-particle":"","family":"Roberts","given":"Cory A.","non-dropping-particle":"","parse-names":false,"suffix":""},{"dropping-particle":"","family":"Rojiani","given":"Amyn M.","non-dropping-particle":"","parse-names":false,"suffix":""},{"dropping-particle":"","family":"Kong","given":"Christina S.","non-dropping-particle":"","parse-names":false,"suffix":""},{"dropping-particle":"","family":"Peterson","given":"Jo Elle G.","non-dropping-particle":"","parse-names":false,"suffix":""},{"dropping-particle":"","family":"Johnson","given":"Kristen","non-dropping-particle":"","parse-names":false,"suffix":""},{"dropping-particle":"","family":"Plath","given":"Sue","non-dropping-particle":"","parse-names":false,"suffix":""},{"dropping-particle":"","family":"Powell","given":"Suzanne Zein-Eldin","non-dropping-particle":"","parse-names":false,"suffix":""}],"container-title":"Academic Pathology","id":"ITEM-5","issued":{"date-parts":[["2017"]]},"page":"237428951771428","title":"Entrustable Professional Activities for Pathology","type":"article-journal","volume":"4"},"uris":["http://www.mendeley.com/documents/?uuid=688aa6ce-bf65-45e9-bd18-d29846a2ea97"]},{"id":"ITEM-6","itemData":{"DOI":"10.5688/ajpe80457","ISBN":"00029459 (ISSN)","ISSN":"15536467","PMID":"27293224","abstract":"The profession of pharmacy is facing a shifting health system context that holds both opportunity and risk. If the profession of pharmacy is to advance, pharmacists must be recognized as a consistent member of the health care team in all clinical settings, contributing at the fullest extent of licensure and education. One part of achieving this broad goal is to implement a new way of defining and assessing pharmacy practice skills, such as entrustable professional activities (EPA). Assessment of professional tasks and practice activities with EPAs has been successfully implemented in medical education for assessing trainee preparation for practice. This EPA model is being applied to pharmacy education to develop an assessment framework across the advanced pharmacy practice experience (APPE) curriculum. The APPE course directors, practice faculty members, and the Office of Experiential Education collaboratively defined a set of universal EPAs critical for pharmacists in any practice setting and would be assessed in all practice experience types.","author":[{"dropping-particle":"","family":"Pittenger","given":"Amy L.","non-dropping-particle":"","parse-names":false,"suffix":""},{"dropping-particle":"","family":"Chapman","given":"Scott A.","non-dropping-particle":"","parse-names":false,"suffix":""},{"dropping-particle":"","family":"Frail","given":"Caitlin K.","non-dropping-particle":"","parse-names":false,"suffix":""},{"dropping-particle":"","family":"Moon","given":"Jean Y.","non-dropping-particle":"","parse-names":false,"suffix":""},{"dropping-particle":"","family":"Undeberg","given":"Megan R.","non-dropping-particle":"","parse-names":false,"suffix":""},{"dropping-particle":"","family":"Orzoff","given":"Jordan H.","non-dropping-particle":"","parse-names":false,"suffix":""}],"container-title":"American Journal of Pharmaceutical Education","id":"ITEM-6","issue":"4","issued":{"date-parts":[["2016"]]},"title":"Entrustable professional activities for pharmacy practice","type":"article-journal","volume":"80"},"uris":["http://www.mendeley.com/documents/?uuid=8cae66e9-7ca3-4cd2-b602-2fabbf09ecf4"]},{"id":"ITEM-7","itemData":{"DOI":"10.1097/ACM.0b013e31820442e9","ISBN":"1938-808X (Electronic)\\r1040-2446 (Linking)","ISSN":"1040-2446","PMID":"21169788","abstract":"Regulatory organizations have recently emphasized the importance of structuring graduate medical education around mastery of core competencies. The difficulty is that core competencies attempt to distill a range of professional behaviors into arguable abstractions. As such, competencies can be difficult to grasp for trainees and faculty, who see them as unrelated to the intricacies of daily patient care. In this article, the authors describe how two initiatives are converging in a way that should make competencies tangible and relevant. One initiative is based on the idea that competencies will be more meaningful if trainees understand specifically how they relate to important professional activities in their own specialty. The authors suggest that there is a dyadic relationship between competencies and major professional activities in pediatric medicine. They also suggest that these relationships should be discussed as part of the process by which trainees are entrusted to perform clinical activities without direct supervision. The other initiative proposes to construct narrative milestones that provide a picture of what progression toward mastery of core competencies might look like. Together, the authors argue, these two initiatives should illuminate the core competencies by providing relevant clinical context and valuable educational substance.","author":[{"dropping-particle":"","family":"Jones","given":"M Douglas","non-dropping-particle":"","parse-names":false,"suffix":""},{"dropping-particle":"","family":"Rosenberg","given":"Adam a","non-dropping-particle":"","parse-names":false,"suffix":""},{"dropping-particle":"","family":"Gilhooly","given":"Joseph T","non-dropping-particle":"","parse-names":false,"suffix":""},{"dropping-particle":"","family":"Carraccio","given":"Carol L","non-dropping-particle":"","parse-names":false,"suffix":""}],"container-title":"Academic medicine : journal of the Association of American Medical Colleges","id":"ITEM-7","issue":"2","issued":{"date-parts":[["2011"]]},"page":"161-165","title":"Perspective: Competencies, outcomes, and controversy--linking professional activities to competencies to improve resident education and practice.","type":"article-journal","volume":"86"},"uris":["http://www.mendeley.com/documents/?uuid=5380ed04-22c7-46be-a4be-898ae38f5b94"]}],"mendeley":{"formattedCitation":"(Ten Cate, 2005; Jones &lt;i&gt;et al.&lt;/i&gt;, 2011; Chang &lt;i&gt;et al.&lt;/i&gt;, 2012; Hauer &lt;i&gt;et al.&lt;/i&gt;, 2013; ten Cate, 2013; Pittenger &lt;i&gt;et al.&lt;/i&gt;, 2016; McCloskey &lt;i&gt;et al.&lt;/i&gt;, 2017)","manualFormatting":"( Hauer et al. 2013; Olle ten Cate 2013; Olle Ten Cate 2005; Chang et al. 2012; McCloskey et al. 2017; Pittenger et al. 2016; M. D. Jones et al. 2011)","plainTextFormattedCitation":"(Ten Cate, 2005; Jones et al., 2011; Chang et al., 2012; Hauer et al., 2013; ten Cate, 2013; Pittenger et al., 2016; McCloskey et al., 2017)","previouslyFormattedCitation":"(Hauer et al. 2013; Olle ten Cate 2013; Olle Ten Cate 2005; Chang et al. 2012; McCloskey et al. 2017; Pittenger et al. 2016; M. D. Jones et al. 2011)"},"properties":{"noteIndex":0},"schema":"https://github.com/citation-style-language/schema/raw/master/csl-citation.json"}</w:instrText>
      </w:r>
      <w:r w:rsidRPr="00281D8C">
        <w:rPr>
          <w:rFonts w:ascii="Times New Roman" w:hAnsi="Times New Roman" w:cs="Times New Roman"/>
          <w:sz w:val="24"/>
          <w:szCs w:val="24"/>
        </w:rPr>
        <w:fldChar w:fldCharType="separate"/>
      </w:r>
      <w:r w:rsidR="00DB0BC8" w:rsidRPr="00281D8C">
        <w:rPr>
          <w:rFonts w:ascii="Times New Roman" w:hAnsi="Times New Roman" w:cs="Times New Roman"/>
          <w:noProof/>
          <w:sz w:val="24"/>
          <w:szCs w:val="24"/>
        </w:rPr>
        <w:t>(</w:t>
      </w:r>
      <w:r w:rsidR="00281D8C">
        <w:rPr>
          <w:rFonts w:ascii="Times New Roman" w:hAnsi="Times New Roman" w:cs="Times New Roman"/>
          <w:noProof/>
          <w:sz w:val="24"/>
          <w:szCs w:val="24"/>
        </w:rPr>
        <w:t>Hauer et al.</w:t>
      </w:r>
      <w:r w:rsidR="00DB0BC8" w:rsidRPr="00281D8C">
        <w:rPr>
          <w:rFonts w:ascii="Times New Roman" w:hAnsi="Times New Roman" w:cs="Times New Roman"/>
          <w:noProof/>
          <w:sz w:val="24"/>
          <w:szCs w:val="24"/>
        </w:rPr>
        <w:t xml:space="preserve"> 2013; </w:t>
      </w:r>
      <w:r w:rsidR="00281D8C">
        <w:rPr>
          <w:rFonts w:ascii="Times New Roman" w:hAnsi="Times New Roman" w:cs="Times New Roman"/>
          <w:noProof/>
          <w:sz w:val="24"/>
          <w:szCs w:val="24"/>
        </w:rPr>
        <w:t>ten Cate 2013; ten Cate 2005; Chang et al. 2013</w:t>
      </w:r>
      <w:r w:rsidR="00DB0BC8" w:rsidRPr="00281D8C">
        <w:rPr>
          <w:rFonts w:ascii="Times New Roman" w:hAnsi="Times New Roman" w:cs="Times New Roman"/>
          <w:noProof/>
          <w:sz w:val="24"/>
          <w:szCs w:val="24"/>
        </w:rPr>
        <w:t>; McClos</w:t>
      </w:r>
      <w:r w:rsidR="00281D8C">
        <w:rPr>
          <w:rFonts w:ascii="Times New Roman" w:hAnsi="Times New Roman" w:cs="Times New Roman"/>
          <w:noProof/>
          <w:sz w:val="24"/>
          <w:szCs w:val="24"/>
        </w:rPr>
        <w:t>key, Dormen and Conran</w:t>
      </w:r>
      <w:r w:rsidR="00DB0BC8" w:rsidRPr="00281D8C">
        <w:rPr>
          <w:rFonts w:ascii="Times New Roman" w:hAnsi="Times New Roman" w:cs="Times New Roman"/>
          <w:noProof/>
          <w:sz w:val="24"/>
          <w:szCs w:val="24"/>
        </w:rPr>
        <w:t xml:space="preserve"> 20</w:t>
      </w:r>
      <w:r w:rsidR="00281D8C">
        <w:rPr>
          <w:rFonts w:ascii="Times New Roman" w:hAnsi="Times New Roman" w:cs="Times New Roman"/>
          <w:noProof/>
          <w:sz w:val="24"/>
          <w:szCs w:val="24"/>
        </w:rPr>
        <w:t>17; Pittenger et al. 2016;</w:t>
      </w:r>
      <w:r w:rsidR="00DB0BC8" w:rsidRPr="00281D8C">
        <w:rPr>
          <w:rFonts w:ascii="Times New Roman" w:hAnsi="Times New Roman" w:cs="Times New Roman"/>
          <w:noProof/>
          <w:sz w:val="24"/>
          <w:szCs w:val="24"/>
        </w:rPr>
        <w:t xml:space="preserve"> Jones et al. 2011)</w:t>
      </w:r>
      <w:r w:rsidRPr="00281D8C">
        <w:rPr>
          <w:rFonts w:ascii="Times New Roman" w:hAnsi="Times New Roman" w:cs="Times New Roman"/>
          <w:sz w:val="24"/>
          <w:szCs w:val="24"/>
        </w:rPr>
        <w:fldChar w:fldCharType="end"/>
      </w:r>
      <w:r w:rsidRPr="00281D8C">
        <w:rPr>
          <w:rFonts w:ascii="Times New Roman" w:hAnsi="Times New Roman" w:cs="Times New Roman"/>
          <w:sz w:val="24"/>
          <w:szCs w:val="24"/>
        </w:rPr>
        <w:t>.  For example, some authors have argued that what physcians do in practice is far greater than the sum of competencies within a curriculum, making EPAs a highly desirable alternative</w:t>
      </w:r>
      <w:r w:rsidR="002807CD" w:rsidRPr="00281D8C">
        <w:rPr>
          <w:rFonts w:ascii="Times New Roman" w:hAnsi="Times New Roman" w:cs="Times New Roman"/>
          <w:sz w:val="24"/>
          <w:szCs w:val="24"/>
        </w:rPr>
        <w:t xml:space="preserve"> </w:t>
      </w:r>
      <w:r w:rsidRPr="00281D8C">
        <w:rPr>
          <w:rFonts w:ascii="Times New Roman" w:hAnsi="Times New Roman" w:cs="Times New Roman"/>
          <w:sz w:val="24"/>
          <w:szCs w:val="24"/>
        </w:rPr>
        <w:fldChar w:fldCharType="begin" w:fldLock="1"/>
      </w:r>
      <w:r w:rsidR="00BE3B6C" w:rsidRPr="00281D8C">
        <w:rPr>
          <w:rFonts w:ascii="Times New Roman" w:hAnsi="Times New Roman" w:cs="Times New Roman"/>
          <w:sz w:val="24"/>
          <w:szCs w:val="24"/>
        </w:rPr>
        <w:instrText>ADDIN CSL_CITATION {"citationItems":[{"id":"ITEM-1","itemData":{"DOI":"10.4300/JGME-D-12-00034.1","ISBN":"1949-8349; 1949-8357","ISSN":"1949-8349","PMID":"24404237","abstract":"BACKGROUND: The Accreditation Council for Graduate Medical Education Outcome Project intended to move residency education toward assessing and documenting resident competence in 6 dimensions of performance important to the practice of medicine. Although the project defined a set of general attributes of a good physician, it did not define the actual activities that a competent physician performs in practice in the given specialty. These descriptions have been called entrustable professional activities (EPAs).\\n\\nOBJECTIVE: We sought to develop a list of EPAs for ambulatory practice in family medicine to guide curriculum development and resident assessment.\\n\\nMETHODS: We developed an initial list of EPAs over the course of 3 years, and we refined it further by obtaining the opinion of experts using a Delphi Process. The experts participating in this study were recruited from 2 groups of family medicine leaders: organizers and participants in the Preparing the Personal Physician for Practice initiative, and members of the Society of Teachers of Family Medicine Task Force on Competency Assessment. The experts participated in 2 rounds of anonymous, Internet-based surveys.\\n\\nRESULTS: A total of 22 experts participated, and 21 experts participated in both rounds of the Delphi Process. The Delphi Process reduced the number of competency areas from 91 to 76 areas, with 3 additional competency areas added in round 1.\\n\\nCONCLUSIONS: This list of EPAs developed through our Delphi process can be used as a starting point for family medicine residency programs interested in moving toward a competency-based approach to resident education and assessment.","author":[{"dropping-particle":"","family":"Shaughnessy","given":"Allen F.","non-dropping-particle":"","parse-names":false,"suffix":""},{"dropping-particle":"","family":"Sparks","given":"Jennifer","non-dropping-particle":"","parse-names":false,"suffix":""},{"dropping-particle":"","family":"Cohen-Osher","given":"Molly","non-dropping-particle":"","parse-names":false,"suffix":""},{"dropping-particle":"","family":"Goodell","given":"Kristen H.","non-dropping-particle":"","parse-names":false,"suffix":""},{"dropping-particle":"","family":"Sawin","given":"Gregory L.","non-dropping-particle":"","parse-names":false,"suffix":""},{"dropping-particle":"","family":"Gravel","given":"Joseph","non-dropping-particle":"","parse-names":false,"suffix":""}],"container-title":"Journal of Graduate Medical Education","id":"ITEM-1","issue":"1","issued":{"date-parts":[["2013"]]},"page":"112-118","title":"Entrustable Professional Activities in Family Medicine","type":"article-journal","volume":"5"},"uris":["http://www.mendeley.com/documents/?uuid=df5f798e-667c-4098-8559-de37d0656adc"]}],"mendeley":{"formattedCitation":"(Shaughnessy &lt;i&gt;et al.&lt;/i&gt;, 2013)","plainTextFormattedCitation":"(Shaughnessy et al., 2013)","previouslyFormattedCitation":"(Shaughnessy et al. 2013)"},"properties":{"noteIndex":0},"schema":"https://github.com/citation-style-language/schema/raw/master/csl-citation.json"}</w:instrText>
      </w:r>
      <w:r w:rsidRPr="00281D8C">
        <w:rPr>
          <w:rFonts w:ascii="Times New Roman" w:hAnsi="Times New Roman" w:cs="Times New Roman"/>
          <w:sz w:val="24"/>
          <w:szCs w:val="24"/>
        </w:rPr>
        <w:fldChar w:fldCharType="separate"/>
      </w:r>
      <w:r w:rsidR="00BE3B6C" w:rsidRPr="00281D8C">
        <w:rPr>
          <w:rFonts w:ascii="Times New Roman" w:hAnsi="Times New Roman" w:cs="Times New Roman"/>
          <w:noProof/>
          <w:sz w:val="24"/>
          <w:szCs w:val="24"/>
        </w:rPr>
        <w:t>(Shaughnessy</w:t>
      </w:r>
      <w:r w:rsidR="00BE3B6C" w:rsidRPr="00D05DD3">
        <w:rPr>
          <w:rFonts w:ascii="Times New Roman" w:hAnsi="Times New Roman" w:cs="Times New Roman"/>
          <w:noProof/>
          <w:sz w:val="24"/>
          <w:szCs w:val="24"/>
        </w:rPr>
        <w:t xml:space="preserve"> et al.</w:t>
      </w:r>
      <w:r w:rsidR="00BE3B6C" w:rsidRPr="00281D8C">
        <w:rPr>
          <w:rFonts w:ascii="Times New Roman" w:hAnsi="Times New Roman" w:cs="Times New Roman"/>
          <w:noProof/>
          <w:sz w:val="24"/>
          <w:szCs w:val="24"/>
        </w:rPr>
        <w:t xml:space="preserve"> 2013)</w:t>
      </w:r>
      <w:r w:rsidRPr="00281D8C">
        <w:rPr>
          <w:rFonts w:ascii="Times New Roman" w:hAnsi="Times New Roman" w:cs="Times New Roman"/>
          <w:sz w:val="24"/>
          <w:szCs w:val="24"/>
        </w:rPr>
        <w:fldChar w:fldCharType="end"/>
      </w:r>
      <w:r w:rsidRPr="00281D8C">
        <w:rPr>
          <w:rFonts w:ascii="Times New Roman" w:hAnsi="Times New Roman" w:cs="Times New Roman"/>
          <w:sz w:val="24"/>
          <w:szCs w:val="24"/>
        </w:rPr>
        <w:t>. An article in the British Medical Journal said EPAs would help curriculum writers identify the most important tasks to be mastered d</w:t>
      </w:r>
      <w:r w:rsidR="001B7984" w:rsidRPr="00281D8C">
        <w:rPr>
          <w:rFonts w:ascii="Times New Roman" w:hAnsi="Times New Roman" w:cs="Times New Roman"/>
          <w:sz w:val="24"/>
          <w:szCs w:val="24"/>
        </w:rPr>
        <w:t>uring training rather than focu</w:t>
      </w:r>
      <w:r w:rsidRPr="00281D8C">
        <w:rPr>
          <w:rFonts w:ascii="Times New Roman" w:hAnsi="Times New Roman" w:cs="Times New Roman"/>
          <w:sz w:val="24"/>
          <w:szCs w:val="24"/>
        </w:rPr>
        <w:t>sing on trainees ticking multiple boxes</w:t>
      </w:r>
      <w:r w:rsidR="00D05DD3">
        <w:rPr>
          <w:rFonts w:ascii="Times New Roman" w:hAnsi="Times New Roman" w:cs="Times New Roman"/>
          <w:sz w:val="24"/>
          <w:szCs w:val="24"/>
        </w:rPr>
        <w:t xml:space="preserve"> </w:t>
      </w:r>
      <w:r w:rsidRPr="00281D8C">
        <w:rPr>
          <w:rFonts w:ascii="Times New Roman" w:hAnsi="Times New Roman" w:cs="Times New Roman"/>
          <w:sz w:val="24"/>
          <w:szCs w:val="24"/>
        </w:rPr>
        <w:fldChar w:fldCharType="begin" w:fldLock="1"/>
      </w:r>
      <w:r w:rsidR="00BE3B6C" w:rsidRPr="00281D8C">
        <w:rPr>
          <w:rFonts w:ascii="Times New Roman" w:hAnsi="Times New Roman" w:cs="Times New Roman"/>
          <w:sz w:val="24"/>
          <w:szCs w:val="24"/>
        </w:rPr>
        <w:instrText>ADDIN CSL_CITATION {"citationItems":[{"id":"ITEM-1","itemData":{"author":[{"dropping-particle":"","family":"Black","given":"David","non-dropping-particle":"","parse-names":false,"suffix":""}],"container-title":"BMJ","id":"ITEM-1","issue":"3020","issued":{"date-parts":[["2016"]]},"title":"An end to box ticking: an overhaul of competency based education","type":"article-journal","volume":"353"},"uris":["http://www.mendeley.com/documents/?uuid=7e7f7209-4533-4345-9e2b-07b110277d4e"]}],"mendeley":{"formattedCitation":"(Black, 2016)","plainTextFormattedCitation":"(Black, 2016)","previouslyFormattedCitation":"(David Black 2016)"},"properties":{"noteIndex":0},"schema":"https://github.com/citation-style-language/schema/raw/master/csl-citation.json"}</w:instrText>
      </w:r>
      <w:r w:rsidRPr="00281D8C">
        <w:rPr>
          <w:rFonts w:ascii="Times New Roman" w:hAnsi="Times New Roman" w:cs="Times New Roman"/>
          <w:sz w:val="24"/>
          <w:szCs w:val="24"/>
        </w:rPr>
        <w:fldChar w:fldCharType="separate"/>
      </w:r>
      <w:r w:rsidR="00BE3B6C" w:rsidRPr="00281D8C">
        <w:rPr>
          <w:rFonts w:ascii="Times New Roman" w:hAnsi="Times New Roman" w:cs="Times New Roman"/>
          <w:noProof/>
          <w:sz w:val="24"/>
          <w:szCs w:val="24"/>
        </w:rPr>
        <w:t>(Black, 2016)</w:t>
      </w:r>
      <w:r w:rsidRPr="00281D8C">
        <w:rPr>
          <w:rFonts w:ascii="Times New Roman" w:hAnsi="Times New Roman" w:cs="Times New Roman"/>
          <w:sz w:val="24"/>
          <w:szCs w:val="24"/>
        </w:rPr>
        <w:fldChar w:fldCharType="end"/>
      </w:r>
      <w:r w:rsidRPr="00281D8C">
        <w:rPr>
          <w:rFonts w:ascii="Times New Roman" w:hAnsi="Times New Roman" w:cs="Times New Roman"/>
          <w:sz w:val="24"/>
          <w:szCs w:val="24"/>
        </w:rPr>
        <w:t>. These tasks can then be linked to the most crucial competencies, such that trainees can see what competencies are preventing tasks from being entrusted to them</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{"citationItems":[{"id":"ITEM-1","itemData":{"author":[{"dropping-particle":"","family":"Black","given":"David","non-dropping-particle":"","parse-names":false,"suffix":""}],"container-title":"BMJ","id":"ITEM-1","issue":"3020","issued":{"date-parts":[["2016"]]},"title":"An end to box ticking: an overhaul of competency based education","type":"article-journal","volume":"353"},"uris":["http://www.mendeley.com/documents/?uuid=7e7f7209-4533-4345-9e2b-07b110277d4e"]}],"mendeley":{"formattedCitation":"(Black, 2016)","plainTextFormattedCitation":"(Black, 2016)","previouslyFormattedCitation":"(David Black 2016)"},"properties":{"noteIndex":0},"schema":"https://github.com/citation-style-language/schema/raw/master/csl-citation.json"}</w:instrText>
      </w:r>
      <w:r w:rsidRPr="006F3B00">
        <w:rPr>
          <w:rFonts w:ascii="Times New Roman" w:hAnsi="Times New Roman" w:cs="Times New Roman"/>
          <w:sz w:val="24"/>
          <w:szCs w:val="24"/>
        </w:rPr>
        <w:fldChar w:fldCharType="separate"/>
      </w:r>
      <w:r w:rsidR="00D05DD3">
        <w:rPr>
          <w:rFonts w:ascii="Times New Roman" w:hAnsi="Times New Roman" w:cs="Times New Roman"/>
          <w:noProof/>
          <w:sz w:val="24"/>
          <w:szCs w:val="24"/>
        </w:rPr>
        <w:t>(Black</w:t>
      </w:r>
      <w:r w:rsidR="00BE3B6C" w:rsidRPr="00BE3B6C">
        <w:rPr>
          <w:rFonts w:ascii="Times New Roman" w:hAnsi="Times New Roman" w:cs="Times New Roman"/>
          <w:noProof/>
          <w:sz w:val="24"/>
          <w:szCs w:val="24"/>
        </w:rPr>
        <w:t xml:space="preserve"> 2016)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It could be argued that there are situations when trainers must know that their trainee can be trusted to perform in a particular clinical situation and EPAs address this real need. In the past, the reductionist approach to assessment has risked measuring what is measurable but not important</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{"citationItems":[{"id":"ITEM-1","itemData":{"author":[{"dropping-particle":"","family":"Snadden","given":"D","non-dropping-particle":"","parse-names":false,"suffix":""}],"container-title":"Medical Education","id":"ITEM-1","issue":"7","issued":{"date-parts":[["1999"]]},"page":"478-479","title":"Portfolios–attempting to measure the unmeasurable.","type":"article-journal","volume":"33"},"uris":["http://www.mendeley.com/documents/?uuid=472ab0a3-e404-48bb-8340-9bdfceefb43e"]}],"mendeley":{"formattedCitation":"(Snadden, 1999)","plainTextFormattedCitation":"(Snadden, 1999)","previouslyFormattedCitation":"(Snadden 1999)"},"properties":{"noteIndex":0},"schema":"https://github.com/citation-style-language/schema/raw/master/csl-citation.json"}</w:instrText>
      </w:r>
      <w:r w:rsidRPr="006F3B00">
        <w:rPr>
          <w:rFonts w:ascii="Times New Roman" w:hAnsi="Times New Roman" w:cs="Times New Roman"/>
          <w:sz w:val="24"/>
          <w:szCs w:val="24"/>
        </w:rPr>
        <w:fldChar w:fldCharType="separate"/>
      </w:r>
      <w:r w:rsidR="00D05DD3">
        <w:rPr>
          <w:rFonts w:ascii="Times New Roman" w:hAnsi="Times New Roman" w:cs="Times New Roman"/>
          <w:noProof/>
          <w:sz w:val="24"/>
          <w:szCs w:val="24"/>
        </w:rPr>
        <w:t>(Snadden</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006121BA">
        <w:rPr>
          <w:rFonts w:ascii="Times New Roman" w:hAnsi="Times New Roman" w:cs="Times New Roman"/>
          <w:sz w:val="24"/>
          <w:szCs w:val="24"/>
        </w:rPr>
        <w:t>.</w:t>
      </w:r>
    </w:p>
    <w:p w14:paraId="2FC17656" w14:textId="249DEEB9" w:rsidR="00863DF5" w:rsidRPr="006F3B00" w:rsidRDefault="007A0757" w:rsidP="00863DF5">
      <w:pPr>
        <w:pStyle w:val="Heading2"/>
        <w:rPr>
          <w:rFonts w:ascii="Times New Roman" w:hAnsi="Times New Roman" w:cs="Times New Roman"/>
          <w:color w:val="auto"/>
          <w:sz w:val="24"/>
          <w:szCs w:val="24"/>
        </w:rPr>
      </w:pPr>
      <w:bookmarkStart w:id="29" w:name="_Toc23243758"/>
      <w:r>
        <w:rPr>
          <w:rFonts w:ascii="Times New Roman" w:hAnsi="Times New Roman" w:cs="Times New Roman"/>
          <w:color w:val="auto"/>
          <w:sz w:val="24"/>
          <w:szCs w:val="24"/>
        </w:rPr>
        <w:t>1.2</w:t>
      </w:r>
      <w:r w:rsidR="006A43B1">
        <w:rPr>
          <w:rFonts w:ascii="Times New Roman" w:hAnsi="Times New Roman" w:cs="Times New Roman"/>
          <w:color w:val="auto"/>
          <w:sz w:val="24"/>
          <w:szCs w:val="24"/>
        </w:rPr>
        <w:t>.8</w:t>
      </w:r>
      <w:r w:rsidR="00863DF5" w:rsidRPr="006F3B00">
        <w:rPr>
          <w:rFonts w:ascii="Times New Roman" w:hAnsi="Times New Roman" w:cs="Times New Roman"/>
          <w:color w:val="auto"/>
          <w:sz w:val="24"/>
          <w:szCs w:val="24"/>
        </w:rPr>
        <w:t xml:space="preserve"> Subjectivity in the assessment of performance</w:t>
      </w:r>
      <w:bookmarkEnd w:id="29"/>
    </w:p>
    <w:p w14:paraId="2BE59A55" w14:textId="77777777" w:rsidR="00863DF5" w:rsidRPr="006F3B00" w:rsidRDefault="00863DF5" w:rsidP="00863DF5">
      <w:pPr>
        <w:rPr>
          <w:rFonts w:ascii="Times New Roman" w:hAnsi="Times New Roman" w:cs="Times New Roman"/>
          <w:sz w:val="24"/>
          <w:szCs w:val="24"/>
        </w:rPr>
      </w:pPr>
    </w:p>
    <w:p w14:paraId="225E8799" w14:textId="0F230806" w:rsidR="00863DF5" w:rsidRPr="00D05DD3" w:rsidRDefault="001B7984" w:rsidP="00863DF5">
      <w:pPr>
        <w:spacing w:after="0" w:line="480" w:lineRule="auto"/>
        <w:jc w:val="both"/>
        <w:rPr>
          <w:rFonts w:ascii="Times New Roman" w:eastAsia="Times New Roman" w:hAnsi="Times New Roman" w:cs="Times New Roman"/>
          <w:sz w:val="24"/>
          <w:szCs w:val="24"/>
          <w:lang w:eastAsia="en-GB"/>
        </w:rPr>
      </w:pPr>
      <w:r w:rsidRPr="006F3B00">
        <w:rPr>
          <w:rFonts w:ascii="Times New Roman" w:hAnsi="Times New Roman" w:cs="Times New Roman"/>
          <w:sz w:val="24"/>
          <w:szCs w:val="24"/>
        </w:rPr>
        <w:t xml:space="preserve">The measurement of clinical competence is a difficult task as many of the assessment tools rely on </w:t>
      </w:r>
      <w:r w:rsidRPr="00D05DD3">
        <w:rPr>
          <w:rFonts w:ascii="Times New Roman" w:hAnsi="Times New Roman" w:cs="Times New Roman"/>
          <w:sz w:val="24"/>
          <w:szCs w:val="24"/>
        </w:rPr>
        <w:t xml:space="preserve">human judgement </w:t>
      </w:r>
      <w:r w:rsidRPr="00D05DD3">
        <w:rPr>
          <w:rFonts w:ascii="Times New Roman" w:hAnsi="Times New Roman" w:cs="Times New Roman"/>
          <w:sz w:val="24"/>
          <w:szCs w:val="24"/>
        </w:rPr>
        <w:fldChar w:fldCharType="begin" w:fldLock="1"/>
      </w:r>
      <w:r w:rsidR="00BE3B6C" w:rsidRPr="00D05DD3">
        <w:rPr>
          <w:rFonts w:ascii="Times New Roman" w:hAnsi="Times New Roman" w:cs="Times New Roman"/>
          <w:sz w:val="24"/>
          <w:szCs w:val="24"/>
        </w:rPr>
        <w:instrText>ADDIN CSL_CITATION {"citationItems":[{"id":"ITEM-1","itemData":{"DOI":"10.1046/j.1365-2753.2000.00253.x","ISBN":"1356-1294","ISSN":"13561294","PMID":"11083041","abstract":"Changes in the healthcare environment are putting increasing pressure on medical schools to make faculty accountable and to document the quality of the medical education they provide. Faculty's ratings of students' performances and students' ratings of faculty's teaching are important elements in these efforts to document educational quality. This article discusses selected research related to factors affecting raters' judgements, analyses how changes in the health care environment are influencing such judgements, offers some suggestions to moderate some of the effects and links these influences to the system that upholds professional standards. Ratings are known to have a positive bias (generosity error), provide limited discrimination and often fail to document serious deficits. The potential sources of these problems relate to the mechanics of the rating task, the system used to obtain ratings and factors affecting rater judgement. As managed care demands reduce the time faculty have for teaching, as system-wide disincentives to provide negative ratings proliferate and as social engineering challenges, such as the Americans with Disabilities Act, impose differential standards for students, the natural tendency to avoid giving negative ratings becomes even harder to resist. Ultimately, these forces compromise the capability of faculty to uphold the standards of the profession. The author calls for a national effort to stem the erosion of those standards.","author":[{"dropping-particle":"","family":"Albanese","given":"Mark A.","non-dropping-particle":"","parse-names":false,"suffix":""}],"container-title":"Journal of Evaluation in Clinical Practice","id":"ITEM-1","issue":"3","issued":{"date-parts":[["2000"]]},"page":"305-319","title":"Challenges in using rater judgements in medical education","type":"article","volume":"6"},"uris":["http://www.mendeley.com/documents/?uuid=0b7b6595-e664-4622-aeb6-ba942f5fa359"]},{"id":"ITEM-2","itemData":{"DOI":"10.1007/s10459-006-9043-1","ISBN":"1045900690431","ISSN":"13824996","PMID":"17096207","abstract":"In-training assessment (ITA), defined as multiple assessments of performance in the setting of day-to-day practice, is an invaluable tool in assessment programmes which aim to assess professional competence in a comprehensive and valid way. Research on clinical performance ratings, however, consistently shows weaknesses concerning accuracy, reliability and validity. Attempts to improve the psychometric characteristics of ITA focusing on standardisation and objectivity of measurement thus far result in limited improvement of ITA-practices.","author":[{"dropping-particle":"","family":"Govaerts","given":"Marjan J.B.","non-dropping-particle":"","parse-names":false,"suffix":""},{"dropping-particle":"","family":"Vleuten","given":"Cees P.M.","non-dropping-particle":"Van Der","parse-names":false,"suffix":""},{"dropping-particle":"","family":"Schuwirth","given":"Lambert W.T.","non-dropping-particle":"","parse-names":false,"suffix":""},{"dropping-particle":"","family":"Muijtjens","given":"Arno M.M.","non-dropping-particle":"","parse-names":false,"suffix":""}],"container-title":"Advances in Health Sciences Education","id":"ITEM-2","issue":"2","issued":{"date-parts":[["2007"]]},"page":"239-260","title":"Broadening perspectives on clinical performance assessment: Rethinking the nature of in-training assessment","type":"article-journal","volume":"12"},"uris":["http://www.mendeley.com/documents/?uuid=1ff999ea-2869-4734-9392-ea99105a2905"]},{"id":"ITEM-3","itemData":{"DOI":"10.3109/0142159X.2013.787140","ISBN":"0142-159X\\r1466-187X","ISSN":"0142159X","PMID":"23641916","abstract":"In this paper we are challenging six traditional notions about assessment that are unhelpful when designing 'assessment for learning'-programmes for competency-based education. We are arguing for the following: Reductionism is not the only way to assure rigour in high-stakes assessment; holistic judgements can be equally rigorous. Combining results of assessment parts only because they are of the same format (like different stations in an OSCE) is often not defensible; instead there must be a logically justifiable combination. Numbers describe the quality of the assessment. Therefore, manipulating the numbers is usually not the best way to improve its quality. Not every assessment moment needs to be a decision moment, disconnecting both makes combining summative and formative functions of assessment easier. Standardisation is not the only route to equity. Especially with diverse student groups tailoring is more equitable than standardisation. The most important element to standardise is the quality of the process and not the process itself. Finally, most assessment is too much focussed on detecting deficiencies and not on valuing individual student differences. In competency-based education--especially with a focus on learner orientation--this 'deficiency-model' is not as well aligned as a 'differences-model'.","author":[{"dropping-particle":"","family":"Schuwirth","given":"Lambert","non-dropping-particle":"","parse-names":false,"suffix":""},{"dropping-particle":"","family":"Ash","given":"Julie","non-dropping-particle":"","parse-names":false,"suffix":""}],"container-title":"Medical Teacher","id":"ITEM-3","issue":"7","issued":{"date-parts":[["2013"]]},"page":"555-559","title":"Assessing tomorrow's learners: In competency-based education only a radically different holistic method of assessment will work. Six things we could forget","type":"article-journal","volume":"35"},"uris":["http://www.mendeley.com/documents/?uuid=7520e1eb-7808-4b5d-a164-9d861c289c45"]},{"id":"ITEM-4","itemData":{"DOI":"10.1007/s10459-013-9453-9","ISBN":"1382-4996, 1382-4996","ISSN":"13824996","PMID":"23529821","abstract":"Medical education relies heavily on assessment formats that require raters to assess the competence and skills of learners. Unfortunately, there are often inconsistencies and variability in the scores raters assign. To ensure the scores from these assessment tools have validity, it is important to understand the underlying cognitive processes that raters use when judging the abilities of their learners. The goal of this paper, therefore, is to contribute to a better understanding of the cognitive processes used by raters. Representative findings from the social judgment and decision making, cognitive psychology, and educational measurement literature will be used to enlighten the underpinnings of these rater-based assessments. Of particular interest is the impact judgments referred to as first impressions (or thin slices) have on rater-based assessments. These are judgments about people made very quickly and based on very little information. A narrative review will provide a synthesis of research in these three literatures (social judgment and decision making, educational psychology, and cognitive psychology) and will focus on the underlying cognitive processes, the accuracy and the impact of first impressions on rater-based assessments. The application of these findings to the types of rater-based assessments used in medical education will then be reviewed. Gaps in understanding will be identified and suggested directions for future research studies will be discussed.","author":[{"dropping-particle":"","family":"Wood","given":"Timothy J.","non-dropping-particle":"","parse-names":false,"suffix":""}],"container-title":"Advances in Health Sciences Education","id":"ITEM-4","issue":"3","issued":{"date-parts":[["2014"]]},"page":"409-427","title":"Exploring the role of first impressions in rater-based assessments","type":"article","volume":"19"},"uris":["http://www.mendeley.com/documents/?uuid=4223f882-147e-4968-89ba-7c0c327ef27c"]}],"mendeley":{"formattedCitation":"(Albanese, 2000; Govaerts &lt;i&gt;et al.&lt;/i&gt;, 2007; Schuwirth and Ash, 2013; Wood, 2014)","plainTextFormattedCitation":"(Albanese, 2000; Govaerts et al., 2007; Schuwirth and Ash, 2013; Wood, 2014)","previouslyFormattedCitation":"(Albanese 2000; M. J. B. Govaerts et al. 2007; L. Schuwirth and Ash 2013; T. J. Wood 2014)"},"properties":{"noteIndex":0},"schema":"https://github.com/citation-style-language/schema/raw/master/csl-citation.json"}</w:instrText>
      </w:r>
      <w:r w:rsidRPr="00D05DD3">
        <w:rPr>
          <w:rFonts w:ascii="Times New Roman" w:hAnsi="Times New Roman" w:cs="Times New Roman"/>
          <w:sz w:val="24"/>
          <w:szCs w:val="24"/>
        </w:rPr>
        <w:fldChar w:fldCharType="separate"/>
      </w:r>
      <w:r w:rsidR="00D05DD3" w:rsidRPr="00D05DD3">
        <w:rPr>
          <w:rFonts w:ascii="Times New Roman" w:hAnsi="Times New Roman" w:cs="Times New Roman"/>
          <w:noProof/>
          <w:sz w:val="24"/>
          <w:szCs w:val="24"/>
        </w:rPr>
        <w:t xml:space="preserve">(Albanese </w:t>
      </w:r>
      <w:r w:rsidR="00BE3B6C" w:rsidRPr="00D05DD3">
        <w:rPr>
          <w:rFonts w:ascii="Times New Roman" w:hAnsi="Times New Roman" w:cs="Times New Roman"/>
          <w:noProof/>
          <w:sz w:val="24"/>
          <w:szCs w:val="24"/>
        </w:rPr>
        <w:t>2000; Govaerts et al.</w:t>
      </w:r>
      <w:r w:rsidR="00D05DD3">
        <w:rPr>
          <w:rFonts w:ascii="Times New Roman" w:hAnsi="Times New Roman" w:cs="Times New Roman"/>
          <w:noProof/>
          <w:sz w:val="24"/>
          <w:szCs w:val="24"/>
        </w:rPr>
        <w:t xml:space="preserve"> </w:t>
      </w:r>
      <w:r w:rsidR="00BE3B6C" w:rsidRPr="00D05DD3">
        <w:rPr>
          <w:rFonts w:ascii="Times New Roman" w:hAnsi="Times New Roman" w:cs="Times New Roman"/>
          <w:noProof/>
          <w:sz w:val="24"/>
          <w:szCs w:val="24"/>
        </w:rPr>
        <w:t>2007; Schuw</w:t>
      </w:r>
      <w:r w:rsidR="00D05DD3">
        <w:rPr>
          <w:rFonts w:ascii="Times New Roman" w:hAnsi="Times New Roman" w:cs="Times New Roman"/>
          <w:noProof/>
          <w:sz w:val="24"/>
          <w:szCs w:val="24"/>
        </w:rPr>
        <w:t xml:space="preserve">irth and Ash 2013; </w:t>
      </w:r>
      <w:r w:rsidR="00D05DD3">
        <w:rPr>
          <w:rFonts w:ascii="Times New Roman" w:hAnsi="Times New Roman" w:cs="Times New Roman"/>
          <w:noProof/>
          <w:sz w:val="24"/>
          <w:szCs w:val="24"/>
        </w:rPr>
        <w:lastRenderedPageBreak/>
        <w:t>Wood</w:t>
      </w:r>
      <w:r w:rsidR="00BE3B6C" w:rsidRPr="00D05DD3">
        <w:rPr>
          <w:rFonts w:ascii="Times New Roman" w:hAnsi="Times New Roman" w:cs="Times New Roman"/>
          <w:noProof/>
          <w:sz w:val="24"/>
          <w:szCs w:val="24"/>
        </w:rPr>
        <w:t xml:space="preserve"> 2014)</w:t>
      </w:r>
      <w:r w:rsidRPr="00D05DD3">
        <w:rPr>
          <w:rFonts w:ascii="Times New Roman" w:hAnsi="Times New Roman" w:cs="Times New Roman"/>
          <w:sz w:val="24"/>
          <w:szCs w:val="24"/>
        </w:rPr>
        <w:fldChar w:fldCharType="end"/>
      </w:r>
      <w:r w:rsidRPr="00D05DD3">
        <w:rPr>
          <w:rFonts w:ascii="Times New Roman" w:hAnsi="Times New Roman" w:cs="Times New Roman"/>
          <w:sz w:val="24"/>
          <w:szCs w:val="24"/>
        </w:rPr>
        <w:t xml:space="preserve">. </w:t>
      </w:r>
      <w:r w:rsidR="00863DF5" w:rsidRPr="00D05DD3">
        <w:rPr>
          <w:rFonts w:ascii="Times New Roman" w:hAnsi="Times New Roman" w:cs="Times New Roman"/>
          <w:sz w:val="24"/>
          <w:szCs w:val="24"/>
        </w:rPr>
        <w:t xml:space="preserve">The task </w:t>
      </w:r>
      <w:r w:rsidRPr="00D05DD3">
        <w:rPr>
          <w:rFonts w:ascii="Times New Roman" w:hAnsi="Times New Roman" w:cs="Times New Roman"/>
          <w:sz w:val="24"/>
          <w:szCs w:val="24"/>
        </w:rPr>
        <w:t xml:space="preserve">is </w:t>
      </w:r>
      <w:r w:rsidR="00863DF5" w:rsidRPr="00D05DD3">
        <w:rPr>
          <w:rFonts w:ascii="Times New Roman" w:hAnsi="Times New Roman" w:cs="Times New Roman"/>
          <w:sz w:val="24"/>
          <w:szCs w:val="24"/>
        </w:rPr>
        <w:t>complex as the perception</w:t>
      </w:r>
      <w:r w:rsidR="00863DF5" w:rsidRPr="006F3B00">
        <w:rPr>
          <w:rFonts w:ascii="Times New Roman" w:hAnsi="Times New Roman" w:cs="Times New Roman"/>
          <w:sz w:val="24"/>
          <w:szCs w:val="24"/>
        </w:rPr>
        <w:t xml:space="preserve"> of an individual’s knowledge, skills and behaviours is based on another individual’s observations of that person. These subjective judgements underpin assessment tools such </w:t>
      </w:r>
      <w:r w:rsidR="002B1984">
        <w:rPr>
          <w:rFonts w:ascii="Times New Roman" w:hAnsi="Times New Roman" w:cs="Times New Roman"/>
          <w:sz w:val="24"/>
          <w:szCs w:val="24"/>
        </w:rPr>
        <w:t>as WBAs</w:t>
      </w:r>
      <w:r w:rsidR="00863DF5" w:rsidRPr="006F3B00">
        <w:rPr>
          <w:rFonts w:ascii="Times New Roman" w:hAnsi="Times New Roman" w:cs="Times New Roman"/>
          <w:sz w:val="24"/>
          <w:szCs w:val="24"/>
        </w:rPr>
        <w:t>. Assessor subjectivity has been explored by Govaerts and van der Vleuten and in particular what constitutes a “good” performance and how this may depend on who is making that judgement</w:t>
      </w:r>
      <w:r w:rsidR="002807CD">
        <w:rPr>
          <w:rFonts w:ascii="Times New Roman" w:hAnsi="Times New Roman" w:cs="Times New Roman"/>
          <w:sz w:val="24"/>
          <w:szCs w:val="24"/>
        </w:rPr>
        <w:t xml:space="preserve"> </w:t>
      </w:r>
      <w:r w:rsidR="00863DF5"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{"citationItems":[{"id":"ITEM-1","itemData":{"DOI":"10.1111/medu.12289","ISBN":"03080110","ISSN":"03080110","PMID":"24206150","abstract":"CONTEXT: Although work-based assessments (WBA) may come closest to assessing habitual performance, their use for summative purposes is not undisputed. Most criticism of WBA stems from approaches to validity consistent with the quantitative psychometric framework. However, there is increasing research evidence that indicates that the assumptions underlying the predictive, deterministic framework of psychometrics may no longer hold. In this discussion paper we argue that meaningfulness and appropriateness of current validity evidence can be called into question and that we need alternative strategies to assessment and validity inquiry that build on current theories of learning and performance in complex and dynamic workplace settings. METHODS: Drawing from research in various professional fields we outline key issues within the mechanisms of learning, competence and performance in the context of complex social environments and illustrate their relevance to WBA. In reviewing recent socio-cultural learning theory and research on performance and performance interpretations in work settings, we demonstrate that learning, competence (as inferred from performance) as well as performance interpretations are to be seen as inherently contextualised, and can only be under-stood 'in situ'. Assessment in the context of work settings may, therefore, be more usefully viewed as a socially situated interpretive act. DISCUSSION: We propose constructivist-interpretivist approaches towards WBA in order to capture and understand contextualised learning and performance in work settings. Theoretical assumptions underlying interpretivist assessment approaches call for a validity theory that provides the theoretical framework and conceptual tools to guide the validation process in the qualitative assessment inquiry. Basic principles of rigour specific to qualitative research have been established, and they can and should be used to determine validity in interpretivist assessment approaches. If used properly, these strategies generate trustworthy evidence that is needed to develop the validity argument in WBA, allowing for in-depth and meaningful information about professional competence.","author":[{"dropping-particle":"","family":"Govaerts","given":"Marjan","non-dropping-particle":"","parse-names":false,"suffix":""},{"dropping-particle":"","family":"Vleuten","given":"Cees Pm","non-dropping-particle":"van der","parse-names":false,"suffix":""}],"container-title":"Medical Education","id":"ITEM-1","issue":"12","issued":{"date-parts":[["2013"]]},"page":"1164-1174","title":"Validity in work-based assessment: Expanding our horizons","type":"article-journal","volume":"47"},"uris":["http://www.mendeley.com/documents/?uuid=c8d8d3a3-1102-4594-bf72-9d7007b0d1bc"]}],"mendeley":{"formattedCitation":"(Govaerts and van der Vleuten, 2013)","plainTextFormattedCitation":"(Govaerts and van der Vleuten, 2013)","previouslyFormattedCitation":"(M. Govaerts and van der Vleuten 2013)"},"properties":{"noteIndex":0},"schema":"https://github.com/citation-style-language/schema/raw/master/csl-citation.json"}</w:instrText>
      </w:r>
      <w:r w:rsidR="00863DF5" w:rsidRPr="006F3B00">
        <w:rPr>
          <w:rFonts w:ascii="Times New Roman" w:eastAsia="Times New Roman" w:hAnsi="Times New Roman" w:cs="Times New Roman"/>
          <w:sz w:val="24"/>
          <w:szCs w:val="24"/>
          <w:lang w:eastAsia="en-GB"/>
        </w:rPr>
        <w:fldChar w:fldCharType="separate"/>
      </w:r>
      <w:r w:rsidR="00D05DD3">
        <w:rPr>
          <w:rFonts w:ascii="Times New Roman" w:eastAsia="Times New Roman" w:hAnsi="Times New Roman" w:cs="Times New Roman"/>
          <w:noProof/>
          <w:sz w:val="24"/>
          <w:szCs w:val="24"/>
          <w:lang w:eastAsia="en-GB"/>
        </w:rPr>
        <w:t>(Govaerts and van der Vleuten</w:t>
      </w:r>
      <w:r w:rsidR="00BE3B6C" w:rsidRPr="00BE3B6C">
        <w:rPr>
          <w:rFonts w:ascii="Times New Roman" w:eastAsia="Times New Roman" w:hAnsi="Times New Roman" w:cs="Times New Roman"/>
          <w:noProof/>
          <w:sz w:val="24"/>
          <w:szCs w:val="24"/>
          <w:lang w:eastAsia="en-GB"/>
        </w:rPr>
        <w:t xml:space="preserve"> 2013)</w:t>
      </w:r>
      <w:r w:rsidR="00863DF5" w:rsidRPr="006F3B00">
        <w:rPr>
          <w:rFonts w:ascii="Times New Roman" w:eastAsia="Times New Roman" w:hAnsi="Times New Roman" w:cs="Times New Roman"/>
          <w:sz w:val="24"/>
          <w:szCs w:val="24"/>
          <w:lang w:eastAsia="en-GB"/>
        </w:rPr>
        <w:fldChar w:fldCharType="end"/>
      </w:r>
      <w:r w:rsidR="00863DF5" w:rsidRPr="006F3B00">
        <w:rPr>
          <w:rFonts w:ascii="Times New Roman" w:eastAsia="Times New Roman" w:hAnsi="Times New Roman" w:cs="Times New Roman"/>
          <w:sz w:val="24"/>
          <w:szCs w:val="24"/>
          <w:lang w:eastAsia="en-GB"/>
        </w:rPr>
        <w:t xml:space="preserve">. </w:t>
      </w:r>
      <w:r w:rsidR="00863DF5" w:rsidRPr="006F3B00">
        <w:rPr>
          <w:rFonts w:ascii="Times New Roman" w:hAnsi="Times New Roman" w:cs="Times New Roman"/>
          <w:sz w:val="24"/>
          <w:szCs w:val="24"/>
        </w:rPr>
        <w:t>Within the fields of medicine and psychology, it has been shown that decision-makers often have poor insight and consistency into how they make and apply judgements to scenarios</w:t>
      </w:r>
      <w:r w:rsidR="002807CD">
        <w:rPr>
          <w:rFonts w:ascii="Times New Roman" w:hAnsi="Times New Roman" w:cs="Times New Roman"/>
          <w:sz w:val="24"/>
          <w:szCs w:val="24"/>
        </w:rPr>
        <w:t xml:space="preserve"> </w:t>
      </w:r>
      <w:r w:rsidR="00863DF5"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{"citationItems":[{"id":"ITEM-1","itemData":{"DOI":"10.1177/0308022614562396","ISBN":"0308-0226, 0308-0226","ISSN":"14776006","PMID":"26435572","abstract":"INTRODUCTION: As people with a range of disabilities strive to increase their community mobility, occupational therapy driver assessors are increasingly required to make complex recommendations regarding fitness-to-drive. However, very little is known about how therapists use information to make decisions. The aim of this study was to model how experienced occupational therapy driver assessors weight and combine information when making fitness-to-drive recommendations and establish their level of decision agreement.\\n\\nMETHOD: Using Social Judgment Theory method, this study examined how 45 experienced occupational therapy driver assessors from the UK, Australia and New Zealand made fitness-to-drive recommendations for a series of 64 case scenarios. Participants completed the task on a dedicated website, and data were analysed using discriminant function analysis and an intraclass correlation coefficient.\\n\\nRESULTS: Accounting for 87% of the variance, the cues central to the fitness-to-drive recommendations made by assessors are the client's physical skills, cognitive and perceptual skills, road law craft skills, vehicle handling skills and the number of driving instructor interventions. Agreement (consensus) between fitness-to-drive recommendations was very high: intraclass correlation coefficient = .97, 95% confidence interval .96-.98).\\n\\nCONCLUSION: Findings can be used by both experienced and novice driver assessors to reflect on and strengthen the fitness-to-drive recommendations made to clients.","author":[{"dropping-particle":"","family":"Unsworth","given":"Carolyn","non-dropping-particle":"","parse-names":false,"suffix":""},{"dropping-particle":"","family":"Harries","given":"Priscilla","non-dropping-particle":"","parse-names":false,"suffix":""},{"dropping-particle":"","family":"Davies","given":"Miranda","non-dropping-particle":"","parse-names":false,"suffix":""}],"container-title":"British Journal of Occupational Therapy","id":"ITEM-1","issue":"2","issued":{"date-parts":[["2015"]]},"page":"109-120","title":"Using social judgment theory method to examine how experienced occupational therapy driver assessors use information to make fitness-to-drive recommendations","type":"article-journal","volume":"78"},"uris":["http://www.mendeley.com/documents/?uuid=9b151646-93e1-4310-a77b-986d2a0f9a6c","http://www.mendeley.com/documents/?uuid=ed84a32d-a747-452c-abda-3660520fe40d","http://www.mendeley.com/documents/?uuid=18f914b7-efa9-4a1b-a5e1-2c4f95b4b5bd"]}],"mendeley":{"formattedCitation":"(Unsworth, Harries and Davies, 2015)","plainTextFormattedCitation":"(Unsworth, Harries and Davies, 2015)","previouslyFormattedCitation":"(Unsworth, Harries, and Davies 2015)"},"properties":{"noteIndex":0},"schema":"https://github.com/citation-style-language/schema/raw/master/csl-citation.json"}</w:instrText>
      </w:r>
      <w:r w:rsidR="00863DF5" w:rsidRPr="006F3B00">
        <w:rPr>
          <w:rFonts w:ascii="Times New Roman" w:hAnsi="Times New Roman" w:cs="Times New Roman"/>
          <w:sz w:val="24"/>
          <w:szCs w:val="24"/>
        </w:rPr>
        <w:fldChar w:fldCharType="separate"/>
      </w:r>
      <w:r w:rsidR="00D05DD3">
        <w:rPr>
          <w:rFonts w:ascii="Times New Roman" w:hAnsi="Times New Roman" w:cs="Times New Roman"/>
          <w:noProof/>
          <w:sz w:val="24"/>
          <w:szCs w:val="24"/>
        </w:rPr>
        <w:t>(Unsworth, Harries and Davies</w:t>
      </w:r>
      <w:r w:rsidR="00BE3B6C" w:rsidRPr="00BE3B6C">
        <w:rPr>
          <w:rFonts w:ascii="Times New Roman" w:hAnsi="Times New Roman" w:cs="Times New Roman"/>
          <w:noProof/>
          <w:sz w:val="24"/>
          <w:szCs w:val="24"/>
        </w:rPr>
        <w:t xml:space="preserve"> 2015)</w:t>
      </w:r>
      <w:r w:rsidR="00863DF5" w:rsidRPr="006F3B00">
        <w:rPr>
          <w:rFonts w:ascii="Times New Roman" w:hAnsi="Times New Roman" w:cs="Times New Roman"/>
          <w:sz w:val="24"/>
          <w:szCs w:val="24"/>
        </w:rPr>
        <w:fldChar w:fldCharType="end"/>
      </w:r>
      <w:r w:rsidR="00863DF5" w:rsidRPr="006F3B00">
        <w:rPr>
          <w:rFonts w:ascii="Times New Roman" w:hAnsi="Times New Roman" w:cs="Times New Roman"/>
          <w:sz w:val="24"/>
          <w:szCs w:val="24"/>
        </w:rPr>
        <w:t>. This has prompted numerous research studies which have tried to understand examiner bias d</w:t>
      </w:r>
      <w:r w:rsidR="00FE410F">
        <w:rPr>
          <w:rFonts w:ascii="Times New Roman" w:hAnsi="Times New Roman" w:cs="Times New Roman"/>
          <w:sz w:val="24"/>
          <w:szCs w:val="24"/>
        </w:rPr>
        <w:t>espite observing similar trainee</w:t>
      </w:r>
      <w:r w:rsidR="00863DF5" w:rsidRPr="006F3B00">
        <w:rPr>
          <w:rFonts w:ascii="Times New Roman" w:hAnsi="Times New Roman" w:cs="Times New Roman"/>
          <w:sz w:val="24"/>
          <w:szCs w:val="24"/>
        </w:rPr>
        <w:t xml:space="preserve"> </w:t>
      </w:r>
      <w:r w:rsidR="00863DF5" w:rsidRPr="00D05DD3">
        <w:rPr>
          <w:rFonts w:ascii="Times New Roman" w:hAnsi="Times New Roman" w:cs="Times New Roman"/>
          <w:sz w:val="24"/>
          <w:szCs w:val="24"/>
        </w:rPr>
        <w:t xml:space="preserve">performance </w:t>
      </w:r>
      <w:r w:rsidR="00863DF5" w:rsidRPr="00D05DD3">
        <w:rPr>
          <w:rFonts w:ascii="Times New Roman" w:hAnsi="Times New Roman" w:cs="Times New Roman"/>
          <w:sz w:val="24"/>
          <w:szCs w:val="24"/>
        </w:rPr>
        <w:fldChar w:fldCharType="begin" w:fldLock="1"/>
      </w:r>
      <w:r w:rsidR="00BE3B6C" w:rsidRPr="00D05DD3">
        <w:rPr>
          <w:rFonts w:ascii="Times New Roman" w:hAnsi="Times New Roman" w:cs="Times New Roman"/>
          <w:sz w:val="24"/>
          <w:szCs w:val="24"/>
        </w:rPr>
        <w:instrText>ADDIN CSL_CITATION {"citationItems":[{"id":"ITEM-1","itemData":{"DOI":"10.1007/s10459-006-9043-1","ISBN":"1045900690431","ISSN":"13824996","PMID":"17096207","abstract":"In-training assessment (ITA), defined as multiple assessments of performance in the setting of day-to-day practice, is an invaluable tool in assessment programmes which aim to assess professional competence in a comprehensive and valid way. Research on clinical performance ratings, however, consistently shows weaknesses concerning accuracy, reliability and validity. Attempts to improve the psychometric characteristics of ITA focusing on standardisation and objectivity of measurement thus far result in limited improvement of ITA-practices.","author":[{"dropping-particle":"","family":"Govaerts","given":"Marjan J.B.","non-dropping-particle":"","parse-names":false,"suffix":""},{"dropping-particle":"","family":"Vleuten","given":"Cees P.M.","non-dropping-particle":"Van Der","parse-names":false,"suffix":""},{"dropping-particle":"","family":"Schuwirth","given":"Lambert W.T.","non-dropping-particle":"","parse-names":false,"suffix":""},{"dropping-particle":"","family":"Muijtjens","given":"Arno M.M.","non-dropping-particle":"","parse-names":false,"suffix":""}],"container-title":"Advances in Health Sciences Education","id":"ITEM-1","issue":"2","issued":{"date-parts":[["2007"]]},"page":"239-260","title":"Broadening perspectives on clinical performance assessment: Rethinking the nature of in-training assessment","type":"article-journal","volume":"12"},"uris":["http://www.mendeley.com/documents/?uuid=1ff999ea-2869-4734-9392-ea99105a2905"]},{"id":"ITEM-2","itemData":{"DOI":"10.1146/annurev-psych-120709-145346","ISBN":"1545-2085 (Electronic)\\n0066-4308 (Linking)","ISSN":"0066-4308","PMID":"21126183","abstract":"As reflected in the amount of controversy, few areas in psychology have undergone such dramatic conceptual changes in the past decade as the emerging science of heuristics. Heuristics are efficient cognitive processes, conscious or unconscious, that ignore part of the information. Because using heuristics saves effort, the classical view has been that heuristic decisions imply greater errors than do \"rational\" decisions as defined by logic or statistical models. However, for many decisions, the assumptions of rational models are not met, and it is an empirical rather than an a priori issue how well cognitive heuristics function in an uncertain world. To answer both the descriptive question (\"Which heuristics do people use in which situations?\") and the prescriptive question (\"When should people rely on a given heuristic rather than a complex strategy to make better judgments?\"), formal models are indispensable. We review research that tests formal models of heuristic inference, including in business organizations, health care, and legal institutions. This research indicates that (a) individuals and organizations often rely on simple heuristics in an adaptive way, and (b) ignoring part of the information can lead to more accurate judgments than weighting and adding all information, for instance for low predictability and small samples. The big future challenge is to develop a systematic theory of the building blocks of heuristics as well as the core capacities and environmental structures these exploit.","author":[{"dropping-particle":"","family":"Gigerenzer","given":"Gerd","non-dropping-particle":"","parse-names":false,"suffix":""},{"dropping-particle":"","family":"Gaissmaier","given":"Wolfgang","non-dropping-particle":"","parse-names":false,"suffix":""}],"container-title":"Annual Review of Psychology","id":"ITEM-2","issue":"1","issued":{"date-parts":[["2011"]]},"page":"451-482","title":"Heuristic Decision Making","type":"article-journal","volume":"62"},"uris":["http://www.mendeley.com/documents/?uuid=a3b7b9a8-52f5-402a-8458-4872add0ea2a"]}],"mendeley":{"formattedCitation":"(Govaerts &lt;i&gt;et al.&lt;/i&gt;, 2007; Gigerenzer and Gaissmaier, 2011)","plainTextFormattedCitation":"(Govaerts et al., 2007; Gigerenzer and Gaissmaier, 2011)","previouslyFormattedCitation":"(M. J. B. Govaerts et al. 2007; Gigerenzer and Gaissmaier 2011)"},"properties":{"noteIndex":0},"schema":"https://github.com/citation-style-language/schema/raw/master/csl-citation.json"}</w:instrText>
      </w:r>
      <w:r w:rsidR="00863DF5" w:rsidRPr="00D05DD3">
        <w:rPr>
          <w:rFonts w:ascii="Times New Roman" w:hAnsi="Times New Roman" w:cs="Times New Roman"/>
          <w:sz w:val="24"/>
          <w:szCs w:val="24"/>
        </w:rPr>
        <w:fldChar w:fldCharType="separate"/>
      </w:r>
      <w:r w:rsidR="00BE3B6C" w:rsidRPr="00D05DD3">
        <w:rPr>
          <w:rFonts w:ascii="Times New Roman" w:hAnsi="Times New Roman" w:cs="Times New Roman"/>
          <w:noProof/>
          <w:sz w:val="24"/>
          <w:szCs w:val="24"/>
        </w:rPr>
        <w:t xml:space="preserve">(Govaerts et al. </w:t>
      </w:r>
      <w:r w:rsidR="00D05DD3">
        <w:rPr>
          <w:rFonts w:ascii="Times New Roman" w:hAnsi="Times New Roman" w:cs="Times New Roman"/>
          <w:noProof/>
          <w:sz w:val="24"/>
          <w:szCs w:val="24"/>
        </w:rPr>
        <w:t>2007; Gigerenzer and Gaissmaier</w:t>
      </w:r>
      <w:r w:rsidR="00BE3B6C" w:rsidRPr="00D05DD3">
        <w:rPr>
          <w:rFonts w:ascii="Times New Roman" w:hAnsi="Times New Roman" w:cs="Times New Roman"/>
          <w:noProof/>
          <w:sz w:val="24"/>
          <w:szCs w:val="24"/>
        </w:rPr>
        <w:t xml:space="preserve"> 2011)</w:t>
      </w:r>
      <w:r w:rsidR="00863DF5" w:rsidRPr="00D05DD3">
        <w:rPr>
          <w:rFonts w:ascii="Times New Roman" w:hAnsi="Times New Roman" w:cs="Times New Roman"/>
          <w:sz w:val="24"/>
          <w:szCs w:val="24"/>
        </w:rPr>
        <w:fldChar w:fldCharType="end"/>
      </w:r>
      <w:r w:rsidR="00863DF5" w:rsidRPr="00D05DD3">
        <w:rPr>
          <w:rFonts w:ascii="Times New Roman" w:hAnsi="Times New Roman" w:cs="Times New Roman"/>
          <w:sz w:val="24"/>
          <w:szCs w:val="24"/>
        </w:rPr>
        <w:t>. It appears that examiner judgement is influenced by their own experiences, biases and ideas about what constitutes a certain level of performance</w:t>
      </w:r>
      <w:r w:rsidR="00D05DD3">
        <w:rPr>
          <w:rFonts w:ascii="Times New Roman" w:hAnsi="Times New Roman" w:cs="Times New Roman"/>
          <w:sz w:val="24"/>
          <w:szCs w:val="24"/>
        </w:rPr>
        <w:t xml:space="preserve"> </w:t>
      </w:r>
      <w:r w:rsidR="00863DF5" w:rsidRPr="00D05DD3">
        <w:rPr>
          <w:rFonts w:ascii="Times New Roman" w:hAnsi="Times New Roman" w:cs="Times New Roman"/>
          <w:sz w:val="24"/>
          <w:szCs w:val="24"/>
        </w:rPr>
        <w:fldChar w:fldCharType="begin" w:fldLock="1"/>
      </w:r>
      <w:r w:rsidR="00BE3B6C" w:rsidRPr="00D05DD3">
        <w:rPr>
          <w:rFonts w:ascii="Times New Roman" w:hAnsi="Times New Roman" w:cs="Times New Roman"/>
          <w:sz w:val="24"/>
          <w:szCs w:val="24"/>
        </w:rPr>
        <w:instrText>ADDIN CSL_CITATION {"citationItems":[{"id":"ITEM-1","itemData":{"DOI":"10.1146/annurev-psych-120709-145346","ISBN":"1545-2085 (Electronic)\\n0066-4308 (Linking)","ISSN":"0066-4308","PMID":"21126183","abstract":"As reflected in the amount of controversy, few areas in psychology have undergone such dramatic conceptual changes in the past decade as the emerging science of heuristics. Heuristics are efficient cognitive processes, conscious or unconscious, that ignore part of the information. Because using heuristics saves effort, the classical view has been that heuristic decisions imply greater errors than do \"rational\" decisions as defined by logic or statistical models. However, for many decisions, the assumptions of rational models are not met, and it is an empirical rather than an a priori issue how well cognitive heuristics function in an uncertain world. To answer both the descriptive question (\"Which heuristics do people use in which situations?\") and the prescriptive question (\"When should people rely on a given heuristic rather than a complex strategy to make better judgments?\"), formal models are indispensable. We review research that tests formal models of heuristic inference, including in business organizations, health care, and legal institutions. This research indicates that (a) individuals and organizations often rely on simple heuristics in an adaptive way, and (b) ignoring part of the information can lead to more accurate judgments than weighting and adding all information, for instance for low predictability and small samples. The big future challenge is to develop a systematic theory of the building blocks of heuristics as well as the core capacities and environmental structures these exploit.","author":[{"dropping-particle":"","family":"Gigerenzer","given":"Gerd","non-dropping-particle":"","parse-names":false,"suffix":""},{"dropping-particle":"","family":"Gaissmaier","given":"Wolfgang","non-dropping-particle":"","parse-names":false,"suffix":""}],"container-title":"Annual Review of Psychology","id":"ITEM-1","issue":"1","issued":{"date-parts":[["2011"]]},"page":"451-482","title":"Heuristic Decision Making","type":"article-journal","volume":"62"},"uris":["http://www.mendeley.com/documents/?uuid=a3b7b9a8-52f5-402a-8458-4872add0ea2a"]}],"mendeley":{"formattedCitation":"(Gigerenzer and Gaissmaier, 2011)","plainTextFormattedCitation":"(Gigerenzer and Gaissmaier, 2011)","previouslyFormattedCitation":"(Gigerenzer and Gaissmaier 2011)"},"properties":{"noteIndex":0},"schema":"https://github.com/citation-style-language/schema/raw/master/csl-citation.json"}</w:instrText>
      </w:r>
      <w:r w:rsidR="00863DF5" w:rsidRPr="00D05DD3">
        <w:rPr>
          <w:rFonts w:ascii="Times New Roman" w:hAnsi="Times New Roman" w:cs="Times New Roman"/>
          <w:sz w:val="24"/>
          <w:szCs w:val="24"/>
        </w:rPr>
        <w:fldChar w:fldCharType="separate"/>
      </w:r>
      <w:r w:rsidR="00D05DD3">
        <w:rPr>
          <w:rFonts w:ascii="Times New Roman" w:hAnsi="Times New Roman" w:cs="Times New Roman"/>
          <w:noProof/>
          <w:sz w:val="24"/>
          <w:szCs w:val="24"/>
        </w:rPr>
        <w:t>(Gigerenzer and Gaissmaier</w:t>
      </w:r>
      <w:r w:rsidR="00BE3B6C" w:rsidRPr="00D05DD3">
        <w:rPr>
          <w:rFonts w:ascii="Times New Roman" w:hAnsi="Times New Roman" w:cs="Times New Roman"/>
          <w:noProof/>
          <w:sz w:val="24"/>
          <w:szCs w:val="24"/>
        </w:rPr>
        <w:t xml:space="preserve"> 2011)</w:t>
      </w:r>
      <w:r w:rsidR="00863DF5" w:rsidRPr="00D05DD3">
        <w:rPr>
          <w:rFonts w:ascii="Times New Roman" w:hAnsi="Times New Roman" w:cs="Times New Roman"/>
          <w:sz w:val="24"/>
          <w:szCs w:val="24"/>
        </w:rPr>
        <w:fldChar w:fldCharType="end"/>
      </w:r>
      <w:r w:rsidR="00863DF5" w:rsidRPr="00D05DD3">
        <w:rPr>
          <w:rFonts w:ascii="Times New Roman" w:hAnsi="Times New Roman" w:cs="Times New Roman"/>
          <w:sz w:val="24"/>
          <w:szCs w:val="24"/>
        </w:rPr>
        <w:t xml:space="preserve">. </w:t>
      </w:r>
    </w:p>
    <w:p w14:paraId="1F84AE75" w14:textId="6F77E71D" w:rsidR="00863DF5" w:rsidRPr="00D05DD3" w:rsidRDefault="00863DF5" w:rsidP="00863DF5">
      <w:pPr>
        <w:spacing w:after="0" w:line="480" w:lineRule="auto"/>
        <w:rPr>
          <w:rFonts w:ascii="Times New Roman" w:eastAsia="Times New Roman" w:hAnsi="Times New Roman" w:cs="Times New Roman"/>
          <w:sz w:val="24"/>
          <w:szCs w:val="24"/>
          <w:lang w:eastAsia="en-GB"/>
        </w:rPr>
      </w:pPr>
      <w:r w:rsidRPr="00D05DD3">
        <w:rPr>
          <w:rFonts w:ascii="Times New Roman" w:eastAsia="Times New Roman" w:hAnsi="Times New Roman" w:cs="Times New Roman"/>
          <w:sz w:val="24"/>
          <w:szCs w:val="24"/>
          <w:lang w:eastAsia="en-GB"/>
        </w:rPr>
        <w:t>Almost any judgement is influenced by a long list of fac</w:t>
      </w:r>
      <w:r w:rsidR="00D05DD3">
        <w:rPr>
          <w:rFonts w:ascii="Times New Roman" w:eastAsia="Times New Roman" w:hAnsi="Times New Roman" w:cs="Times New Roman"/>
          <w:sz w:val="24"/>
          <w:szCs w:val="24"/>
          <w:lang w:eastAsia="en-GB"/>
        </w:rPr>
        <w:t xml:space="preserve">ets that includes, at the least </w:t>
      </w:r>
      <w:r w:rsidRPr="00D05DD3">
        <w:rPr>
          <w:rFonts w:ascii="Times New Roman" w:eastAsia="Times New Roman" w:hAnsi="Times New Roman" w:cs="Times New Roman"/>
          <w:sz w:val="24"/>
          <w:szCs w:val="24"/>
          <w:lang w:eastAsia="en-GB"/>
        </w:rPr>
        <w:fldChar w:fldCharType="begin" w:fldLock="1"/>
      </w:r>
      <w:r w:rsidR="00BE3B6C" w:rsidRPr="00D05DD3">
        <w:rPr>
          <w:rFonts w:ascii="Times New Roman" w:eastAsia="Times New Roman" w:hAnsi="Times New Roman" w:cs="Times New Roman"/>
          <w:sz w:val="24"/>
          <w:szCs w:val="24"/>
          <w:lang w:eastAsia="en-GB"/>
        </w:rPr>
        <w:instrText>ADDIN CSL_CITATION {"citationItems":[{"id":"ITEM-1","itemData":{"DOI":"10.1111/medu.12317","ISBN":"1365-2923 (Electronic)\\r0308-0110 (Linking)","ISSN":"03080110","PMID":"24206145","abstract":"The author discusses issues relating to test validity in assessing medical students, particularly commenting on the complexity and subjectivity of assessments in the workplace. He addresses the use of psychometric evaluation measures in medical education, the philosophical nature of truth and its relationship to student assessments, and behavioral measurements.","author":[{"dropping-particle":"","family":"Crossley","given":"Jim","non-dropping-particle":"","parse-names":false,"suffix":""}],"container-title":"Medical Education","id":"ITEM-1","issue":"12","issued":{"date-parts":[["2013"]]},"page":"1152-1154","title":"Validity and truth in assessment","type":"article-journal","volume":"47"},"uris":["http://www.mendeley.com/documents/?uuid=352c2792-db97-4aea-94d4-5c3d25874c13"]}],"mendeley":{"formattedCitation":"(Crossley, 2013)","plainTextFormattedCitation":"(Crossley, 2013)","previouslyFormattedCitation":"(Crossley 2013)"},"properties":{"noteIndex":0},"schema":"https://github.com/citation-style-language/schema/raw/master/csl-citation.json"}</w:instrText>
      </w:r>
      <w:r w:rsidRPr="00D05DD3">
        <w:rPr>
          <w:rFonts w:ascii="Times New Roman" w:eastAsia="Times New Roman" w:hAnsi="Times New Roman" w:cs="Times New Roman"/>
          <w:sz w:val="24"/>
          <w:szCs w:val="24"/>
          <w:lang w:eastAsia="en-GB"/>
        </w:rPr>
        <w:fldChar w:fldCharType="separate"/>
      </w:r>
      <w:r w:rsidR="00D05DD3">
        <w:rPr>
          <w:rFonts w:ascii="Times New Roman" w:eastAsia="Times New Roman" w:hAnsi="Times New Roman" w:cs="Times New Roman"/>
          <w:noProof/>
          <w:sz w:val="24"/>
          <w:szCs w:val="24"/>
          <w:lang w:eastAsia="en-GB"/>
        </w:rPr>
        <w:t>(Crossley</w:t>
      </w:r>
      <w:r w:rsidR="00BE3B6C" w:rsidRPr="00D05DD3">
        <w:rPr>
          <w:rFonts w:ascii="Times New Roman" w:eastAsia="Times New Roman" w:hAnsi="Times New Roman" w:cs="Times New Roman"/>
          <w:noProof/>
          <w:sz w:val="24"/>
          <w:szCs w:val="24"/>
          <w:lang w:eastAsia="en-GB"/>
        </w:rPr>
        <w:t xml:space="preserve"> 2013)</w:t>
      </w:r>
      <w:r w:rsidRPr="00D05DD3">
        <w:rPr>
          <w:rFonts w:ascii="Times New Roman" w:eastAsia="Times New Roman" w:hAnsi="Times New Roman" w:cs="Times New Roman"/>
          <w:sz w:val="24"/>
          <w:szCs w:val="24"/>
          <w:lang w:eastAsia="en-GB"/>
        </w:rPr>
        <w:fldChar w:fldCharType="end"/>
      </w:r>
      <w:r w:rsidR="00D05DD3">
        <w:rPr>
          <w:rFonts w:ascii="Times New Roman" w:eastAsia="Times New Roman" w:hAnsi="Times New Roman" w:cs="Times New Roman"/>
          <w:sz w:val="24"/>
          <w:szCs w:val="24"/>
          <w:lang w:eastAsia="en-GB"/>
        </w:rPr>
        <w:t>:</w:t>
      </w:r>
    </w:p>
    <w:p w14:paraId="39E4E240" w14:textId="77777777" w:rsidR="006121BA" w:rsidRPr="006F3B00" w:rsidRDefault="006121BA" w:rsidP="00863DF5">
      <w:pPr>
        <w:spacing w:after="0" w:line="480" w:lineRule="auto"/>
        <w:rPr>
          <w:rFonts w:ascii="Times New Roman" w:eastAsia="Times New Roman" w:hAnsi="Times New Roman" w:cs="Times New Roman"/>
          <w:sz w:val="24"/>
          <w:szCs w:val="24"/>
          <w:lang w:eastAsia="en-GB"/>
        </w:rPr>
      </w:pPr>
    </w:p>
    <w:p w14:paraId="402588FC" w14:textId="77777777" w:rsidR="00863DF5" w:rsidRPr="006F3B00" w:rsidRDefault="00863DF5" w:rsidP="001A1FF3">
      <w:pPr>
        <w:pStyle w:val="ListParagraph"/>
        <w:numPr>
          <w:ilvl w:val="0"/>
          <w:numId w:val="5"/>
        </w:num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the baseline stringency or leniency of the judges (the hawk-dove effect)</w:t>
      </w:r>
    </w:p>
    <w:p w14:paraId="7B04F426" w14:textId="77777777" w:rsidR="00863DF5" w:rsidRPr="006F3B00" w:rsidRDefault="00863DF5" w:rsidP="001A1FF3">
      <w:pPr>
        <w:pStyle w:val="ListParagraph"/>
        <w:numPr>
          <w:ilvl w:val="0"/>
          <w:numId w:val="5"/>
        </w:num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the case-related biases of individual judges (the hobby horse effect)</w:t>
      </w:r>
    </w:p>
    <w:p w14:paraId="08175663" w14:textId="77777777" w:rsidR="00863DF5" w:rsidRPr="006F3B00" w:rsidRDefault="00863DF5" w:rsidP="001A1FF3">
      <w:pPr>
        <w:pStyle w:val="ListParagraph"/>
        <w:numPr>
          <w:ilvl w:val="0"/>
          <w:numId w:val="5"/>
        </w:num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the subject-related biases of individual judges (the halo effect)</w:t>
      </w:r>
    </w:p>
    <w:p w14:paraId="0259BBC2" w14:textId="77777777" w:rsidR="00863DF5" w:rsidRPr="006F3B00" w:rsidRDefault="00863DF5" w:rsidP="001A1FF3">
      <w:pPr>
        <w:pStyle w:val="ListParagraph"/>
        <w:numPr>
          <w:ilvl w:val="0"/>
          <w:numId w:val="5"/>
        </w:num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the ability of individual subjects across all cases of challenge</w:t>
      </w:r>
    </w:p>
    <w:p w14:paraId="47849FE6" w14:textId="5192E0EA" w:rsidR="00863DF5" w:rsidRDefault="00863DF5" w:rsidP="001A1FF3">
      <w:pPr>
        <w:pStyle w:val="ListParagraph"/>
        <w:numPr>
          <w:ilvl w:val="0"/>
          <w:numId w:val="5"/>
        </w:num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 xml:space="preserve">the case-related ability of </w:t>
      </w:r>
      <w:r w:rsidR="00996B7A">
        <w:rPr>
          <w:rFonts w:ascii="Times New Roman" w:eastAsia="Times New Roman" w:hAnsi="Times New Roman" w:cs="Times New Roman"/>
          <w:sz w:val="24"/>
          <w:szCs w:val="24"/>
          <w:lang w:eastAsia="en-GB"/>
        </w:rPr>
        <w:t>individual subjects (aptitude)</w:t>
      </w:r>
    </w:p>
    <w:p w14:paraId="0ACB4D06" w14:textId="77777777" w:rsidR="00951FB0" w:rsidRPr="006F3B00" w:rsidRDefault="00951FB0" w:rsidP="00951FB0">
      <w:pPr>
        <w:pStyle w:val="ListParagraph"/>
        <w:spacing w:after="0" w:line="480" w:lineRule="auto"/>
        <w:rPr>
          <w:rFonts w:ascii="Times New Roman" w:eastAsia="Times New Roman" w:hAnsi="Times New Roman" w:cs="Times New Roman"/>
          <w:sz w:val="24"/>
          <w:szCs w:val="24"/>
          <w:lang w:eastAsia="en-GB"/>
        </w:rPr>
      </w:pPr>
    </w:p>
    <w:p w14:paraId="45F70AA8" w14:textId="06532124" w:rsidR="00863DF5" w:rsidRPr="006F3B00" w:rsidRDefault="00863DF5" w:rsidP="00863DF5">
      <w:pPr>
        <w:spacing w:after="12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The way an assessor critiques their trainee provides rich data which may reflect the assessor’s own biases and values more much more than the assessment provides information on how the trainee coped with the particular problem being posed</w:t>
      </w:r>
      <w:r w:rsidR="002807CD">
        <w:rPr>
          <w:rFonts w:ascii="Times New Roman" w:eastAsia="Times New Roman" w:hAnsi="Times New Roman" w:cs="Times New Roman"/>
          <w:sz w:val="24"/>
          <w:szCs w:val="24"/>
          <w:lang w:eastAsia="en-GB"/>
        </w:rPr>
        <w:t xml:space="preserve"> </w:t>
      </w:r>
      <w:r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{"citationItems":[{"id":"ITEM-1","itemData":{"DOI":"10.1111/medu.12317","ISBN":"1365-2923 (Electronic)\\r0308-0110 (Linking)","ISSN":"03080110","PMID":"24206145","abstract":"The author discusses issues relating to test validity in assessing medical students, particularly commenting on the complexity and subjectivity of assessments in the workplace. He addresses the use of psychometric evaluation measures in medical education, the philosophical nature of truth and its relationship to student assessments, and behavioral measurements.","author":[{"dropping-particle":"","family":"Crossley","given":"Jim","non-dropping-particle":"","parse-names":false,"suffix":""}],"container-title":"Medical Education","id":"ITEM-1","issue":"12","issued":{"date-parts":[["2013"]]},"page":"1152-1154","title":"Validity and truth in assessment","type":"article-journal","volume":"47"},"uris":["http://www.mendeley.com/documents/?uuid=352c2792-db97-4aea-94d4-5c3d25874c13"]}],"mendeley":{"formattedCitation":"(Crossley, 2013)","plainTextFormattedCitation":"(Crossley, 2013)","previouslyFormattedCitation":"(Crossley 2013)"},"properties":{"noteIndex":0},"schema":"https://github.com/citation-style-language/schema/raw/master/csl-citation.json"}</w:instrText>
      </w:r>
      <w:r w:rsidRPr="006F3B00">
        <w:rPr>
          <w:rFonts w:ascii="Times New Roman" w:eastAsia="Times New Roman" w:hAnsi="Times New Roman" w:cs="Times New Roman"/>
          <w:sz w:val="24"/>
          <w:szCs w:val="24"/>
          <w:lang w:eastAsia="en-GB"/>
        </w:rPr>
        <w:fldChar w:fldCharType="separate"/>
      </w:r>
      <w:r w:rsidR="00BE3B6C" w:rsidRPr="00BE3B6C">
        <w:rPr>
          <w:rFonts w:ascii="Times New Roman" w:eastAsia="Times New Roman" w:hAnsi="Times New Roman" w:cs="Times New Roman"/>
          <w:noProof/>
          <w:sz w:val="24"/>
          <w:szCs w:val="24"/>
          <w:lang w:eastAsia="en-GB"/>
        </w:rPr>
        <w:t xml:space="preserve">(Crossley </w:t>
      </w:r>
      <w:r w:rsidR="00BE3B6C" w:rsidRPr="00BE3B6C">
        <w:rPr>
          <w:rFonts w:ascii="Times New Roman" w:eastAsia="Times New Roman" w:hAnsi="Times New Roman" w:cs="Times New Roman"/>
          <w:noProof/>
          <w:sz w:val="24"/>
          <w:szCs w:val="24"/>
          <w:lang w:eastAsia="en-GB"/>
        </w:rPr>
        <w:lastRenderedPageBreak/>
        <w:t>2013)</w:t>
      </w:r>
      <w:r w:rsidRPr="006F3B00">
        <w:rPr>
          <w:rFonts w:ascii="Times New Roman" w:eastAsia="Times New Roman" w:hAnsi="Times New Roman" w:cs="Times New Roman"/>
          <w:sz w:val="24"/>
          <w:szCs w:val="24"/>
          <w:lang w:eastAsia="en-GB"/>
        </w:rPr>
        <w:fldChar w:fldCharType="end"/>
      </w:r>
      <w:r w:rsidRPr="006F3B00">
        <w:rPr>
          <w:rFonts w:ascii="Times New Roman" w:eastAsia="Times New Roman" w:hAnsi="Times New Roman" w:cs="Times New Roman"/>
          <w:sz w:val="24"/>
          <w:szCs w:val="24"/>
          <w:lang w:eastAsia="en-GB"/>
        </w:rPr>
        <w:t>. Would this assessor’s judgement be consistent on a different day of the week and how would it compare in a year’s time</w:t>
      </w:r>
      <w:r w:rsidR="00A00786">
        <w:rPr>
          <w:rFonts w:ascii="Times New Roman" w:eastAsia="Times New Roman" w:hAnsi="Times New Roman" w:cs="Times New Roman"/>
          <w:sz w:val="24"/>
          <w:szCs w:val="24"/>
          <w:lang w:eastAsia="en-GB"/>
        </w:rPr>
        <w:t>?</w:t>
      </w:r>
      <w:r w:rsidR="002807CD">
        <w:rPr>
          <w:rFonts w:ascii="Times New Roman" w:eastAsia="Times New Roman" w:hAnsi="Times New Roman" w:cs="Times New Roman"/>
          <w:sz w:val="24"/>
          <w:szCs w:val="24"/>
          <w:lang w:eastAsia="en-GB"/>
        </w:rPr>
        <w:t xml:space="preserve"> </w:t>
      </w:r>
      <w:r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{"citationItems":[{"id":"ITEM-1","itemData":{"DOI":"10.1111/medu.12317","ISBN":"1365-2923 (Electronic)\\r0308-0110 (Linking)","ISSN":"03080110","PMID":"24206145","abstract":"The author discusses issues relating to test validity in assessing medical students, particularly commenting on the complexity and subjectivity of assessments in the workplace. He addresses the use of psychometric evaluation measures in medical education, the philosophical nature of truth and its relationship to student assessments, and behavioral measurements.","author":[{"dropping-particle":"","family":"Crossley","given":"Jim","non-dropping-particle":"","parse-names":false,"suffix":""}],"container-title":"Medical Education","id":"ITEM-1","issue":"12","issued":{"date-parts":[["2013"]]},"page":"1152-1154","title":"Validity and truth in assessment","type":"article-journal","volume":"47"},"uris":["http://www.mendeley.com/documents/?uuid=352c2792-db97-4aea-94d4-5c3d25874c13"]}],"mendeley":{"formattedCitation":"(Crossley, 2013)","plainTextFormattedCitation":"(Crossley, 2013)","previouslyFormattedCitation":"(Crossley 2013)"},"properties":{"noteIndex":0},"schema":"https://github.com/citation-style-language/schema/raw/master/csl-citation.json"}</w:instrText>
      </w:r>
      <w:r w:rsidRPr="006F3B00">
        <w:rPr>
          <w:rFonts w:ascii="Times New Roman" w:eastAsia="Times New Roman" w:hAnsi="Times New Roman" w:cs="Times New Roman"/>
          <w:sz w:val="24"/>
          <w:szCs w:val="24"/>
          <w:lang w:eastAsia="en-GB"/>
        </w:rPr>
        <w:fldChar w:fldCharType="separate"/>
      </w:r>
      <w:r w:rsidR="00BE3B6C" w:rsidRPr="00BE3B6C">
        <w:rPr>
          <w:rFonts w:ascii="Times New Roman" w:eastAsia="Times New Roman" w:hAnsi="Times New Roman" w:cs="Times New Roman"/>
          <w:noProof/>
          <w:sz w:val="24"/>
          <w:szCs w:val="24"/>
          <w:lang w:eastAsia="en-GB"/>
        </w:rPr>
        <w:t>(Crossley, 2013)</w:t>
      </w:r>
      <w:r w:rsidRPr="006F3B00">
        <w:rPr>
          <w:rFonts w:ascii="Times New Roman" w:eastAsia="Times New Roman" w:hAnsi="Times New Roman" w:cs="Times New Roman"/>
          <w:sz w:val="24"/>
          <w:szCs w:val="24"/>
          <w:lang w:eastAsia="en-GB"/>
        </w:rPr>
        <w:fldChar w:fldCharType="end"/>
      </w:r>
    </w:p>
    <w:p w14:paraId="3160A02E" w14:textId="77777777" w:rsidR="00863DF5" w:rsidRPr="006F3B00" w:rsidRDefault="00863DF5" w:rsidP="00863DF5">
      <w:pPr>
        <w:pStyle w:val="ListParagraph"/>
        <w:spacing w:after="0" w:line="480" w:lineRule="auto"/>
        <w:rPr>
          <w:rFonts w:ascii="Times New Roman" w:eastAsia="Times New Roman" w:hAnsi="Times New Roman" w:cs="Times New Roman"/>
          <w:sz w:val="24"/>
          <w:szCs w:val="24"/>
          <w:lang w:eastAsia="en-GB"/>
        </w:rPr>
      </w:pPr>
    </w:p>
    <w:p w14:paraId="62EDD3AF" w14:textId="0B8D5364" w:rsidR="00863DF5" w:rsidRPr="006F3B00" w:rsidRDefault="00863DF5" w:rsidP="00863DF5">
      <w:p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 xml:space="preserve">Tacit behaviours such as communication skills are harder to assess than </w:t>
      </w:r>
      <w:r w:rsidR="00996B7A">
        <w:rPr>
          <w:rFonts w:ascii="Times New Roman" w:eastAsia="Times New Roman" w:hAnsi="Times New Roman" w:cs="Times New Roman"/>
          <w:sz w:val="24"/>
          <w:szCs w:val="24"/>
          <w:lang w:eastAsia="en-GB"/>
        </w:rPr>
        <w:t>knowledge</w:t>
      </w:r>
      <w:r w:rsidRPr="006F3B00">
        <w:rPr>
          <w:rFonts w:ascii="Times New Roman" w:eastAsia="Times New Roman" w:hAnsi="Times New Roman" w:cs="Times New Roman"/>
          <w:sz w:val="24"/>
          <w:szCs w:val="24"/>
          <w:lang w:eastAsia="en-GB"/>
        </w:rPr>
        <w:t xml:space="preserve"> as they require a much more personal interpretation of the individual and may be more at risk from subjectivity.  Interestingly, when researchers have tried to break down tacit behaviours such as professionalism into distinct elements which constitute that behaviour, it doesn’t make the assessment of that behaviour any easier, suggesting that the overall judgement of someone’s professionalism, for example, may be more useful than the sum of the individual </w:t>
      </w:r>
      <w:r w:rsidRPr="00A00786">
        <w:rPr>
          <w:rFonts w:ascii="Times New Roman" w:eastAsia="Times New Roman" w:hAnsi="Times New Roman" w:cs="Times New Roman"/>
          <w:sz w:val="24"/>
          <w:szCs w:val="24"/>
          <w:lang w:eastAsia="en-GB"/>
        </w:rPr>
        <w:t>parts</w:t>
      </w:r>
      <w:r w:rsidR="002807CD" w:rsidRPr="00A00786">
        <w:rPr>
          <w:rFonts w:ascii="Times New Roman" w:eastAsia="Times New Roman" w:hAnsi="Times New Roman" w:cs="Times New Roman"/>
          <w:sz w:val="24"/>
          <w:szCs w:val="24"/>
          <w:lang w:eastAsia="en-GB"/>
        </w:rPr>
        <w:t xml:space="preserve"> </w:t>
      </w:r>
      <w:r w:rsidRPr="00A00786">
        <w:rPr>
          <w:rFonts w:ascii="Times New Roman" w:eastAsia="Times New Roman" w:hAnsi="Times New Roman" w:cs="Times New Roman"/>
          <w:sz w:val="24"/>
          <w:szCs w:val="24"/>
          <w:lang w:eastAsia="en-GB"/>
        </w:rPr>
        <w:fldChar w:fldCharType="begin" w:fldLock="1"/>
      </w:r>
      <w:r w:rsidR="00BE3B6C" w:rsidRPr="00A00786">
        <w:rPr>
          <w:rFonts w:ascii="Times New Roman" w:eastAsia="Times New Roman" w:hAnsi="Times New Roman" w:cs="Times New Roman"/>
          <w:sz w:val="24"/>
          <w:szCs w:val="24"/>
          <w:lang w:eastAsia="en-GB"/>
        </w:rPr>
        <w:instrText>ADDIN CSL_CITATION {"citationItems":[{"id":"ITEM-1","itemData":{"DOI":"10.1097/00001888-199809000-00020","ISBN":"1040-2446 (Print)\\n1040-2446 (Linking)","ISSN":"1040-2446","PMID":"9759104","abstract":"PURPOSE: To compare the psychometric properties of checklists, global rating scales preceded by a checklist, and global rating scales alone in assessing surgery residents' performances on an OSCE-like technical skills examination. METHOD: In 1996, 53 general surgery residents with one to six years of postgraduate training participated in a performance-based examination of technical skills consisting of eight 15-minute stations (bench-model simulations of operative procedures in general surgery). Two qualified surgeons marked at each station, one using a task-specific checklist (C) and a subsequent global rating scale (Gc), the other using a global rating scale only (G). RESULTS: Interstation reliabilities measured by Cronbach's alpha were .79 for C, .89 for Gc, and .85 for G. A series of multiple regressions predicting level of training from test scores revealed an R2 of .584 for C alone, which increased to .711 when Gc was entered after (p &lt; .001), and increased to .704 when G was entered after C (p &lt; .001). However, R2 for Gc alone was .711, and for G alone was .704, neither of which changed when C was entered into the prediction (p &gt; .10). The R2 for Gc and G predicting level of training (.725) was not significantly greater than that of either Gc or G alone. A very similar pattern of results was seen when C, Gc, and G were used to predict independent evaluations of the operative outcomes. CONCLUSIONS: Global rating scales scored by experts showed higher inter-station reliability, better construct validity, and better concurrent validity than did checklists. Further, the presence of the checklists did not improve the reliability or validity of the global rating scale over that of the global rating scale alone. These results suggest that global rating scales administered by experts are a more appropriate summative measure when assessing candidates on performance-based examinations.","author":[{"dropping-particle":"","family":"Regehr","given":"G","non-dropping-particle":"","parse-names":false,"suffix":""},{"dropping-particle":"","family":"MacRae","given":"H","non-dropping-particle":"","parse-names":false,"suffix":""},{"dropping-particle":"","family":"Reznick","given":"R K","non-dropping-particle":"","parse-names":false,"suffix":""},{"dropping-particle":"","family":"Szalay","given":"D","non-dropping-particle":"","parse-names":false,"suffix":""}],"container-title":"Academic medicine : journal of the Association of American Medical Colleges","id":"ITEM-1","issue":"9","issued":{"date-parts":[["1998"]]},"page":"993-997","title":"Comparing the psychometric properties of checklists and global rating scales for assessing performance on an OSCE-format examination.","type":"article","volume":"73"},"uris":["http://www.mendeley.com/documents/?uuid=531f5019-bf64-450d-b937-8b0f7df8d28c"]}],"mendeley":{"formattedCitation":"(Regehr &lt;i&gt;et al.&lt;/i&gt;, 1998)","plainTextFormattedCitation":"(Regehr et al., 1998)","previouslyFormattedCitation":"(Regehr et al. 1998)"},"properties":{"noteIndex":0},"schema":"https://github.com/citation-style-language/schema/raw/master/csl-citation.json"}</w:instrText>
      </w:r>
      <w:r w:rsidRPr="00A00786">
        <w:rPr>
          <w:rFonts w:ascii="Times New Roman" w:eastAsia="Times New Roman" w:hAnsi="Times New Roman" w:cs="Times New Roman"/>
          <w:sz w:val="24"/>
          <w:szCs w:val="24"/>
          <w:lang w:eastAsia="en-GB"/>
        </w:rPr>
        <w:fldChar w:fldCharType="separate"/>
      </w:r>
      <w:r w:rsidR="00BE3B6C" w:rsidRPr="00A00786">
        <w:rPr>
          <w:rFonts w:ascii="Times New Roman" w:eastAsia="Times New Roman" w:hAnsi="Times New Roman" w:cs="Times New Roman"/>
          <w:noProof/>
          <w:sz w:val="24"/>
          <w:szCs w:val="24"/>
          <w:lang w:eastAsia="en-GB"/>
        </w:rPr>
        <w:t>(Regehr et al. 1998)</w:t>
      </w:r>
      <w:r w:rsidRPr="00A00786">
        <w:rPr>
          <w:rFonts w:ascii="Times New Roman" w:eastAsia="Times New Roman" w:hAnsi="Times New Roman" w:cs="Times New Roman"/>
          <w:sz w:val="24"/>
          <w:szCs w:val="24"/>
          <w:lang w:eastAsia="en-GB"/>
        </w:rPr>
        <w:fldChar w:fldCharType="end"/>
      </w:r>
      <w:r w:rsidRPr="00A00786">
        <w:rPr>
          <w:rFonts w:ascii="Times New Roman" w:eastAsia="Times New Roman" w:hAnsi="Times New Roman" w:cs="Times New Roman"/>
          <w:sz w:val="24"/>
          <w:szCs w:val="24"/>
          <w:lang w:eastAsia="en-GB"/>
        </w:rPr>
        <w:t>.</w:t>
      </w:r>
    </w:p>
    <w:p w14:paraId="58DECBA5" w14:textId="77777777" w:rsidR="00863DF5" w:rsidRPr="006F3B00" w:rsidRDefault="00863DF5" w:rsidP="00863DF5">
      <w:pPr>
        <w:spacing w:after="0" w:line="480" w:lineRule="auto"/>
        <w:jc w:val="both"/>
        <w:rPr>
          <w:rFonts w:ascii="Times New Roman" w:hAnsi="Times New Roman" w:cs="Times New Roman"/>
          <w:sz w:val="24"/>
          <w:szCs w:val="24"/>
        </w:rPr>
      </w:pPr>
    </w:p>
    <w:p w14:paraId="7637686F" w14:textId="20895085" w:rsidR="00863DF5" w:rsidRPr="006F3B00" w:rsidRDefault="00863DF5" w:rsidP="00863DF5">
      <w:pPr>
        <w:spacing w:after="0" w:line="480" w:lineRule="auto"/>
        <w:jc w:val="both"/>
        <w:rPr>
          <w:rFonts w:ascii="Times New Roman" w:hAnsi="Times New Roman" w:cs="Times New Roman"/>
          <w:sz w:val="24"/>
          <w:szCs w:val="24"/>
        </w:rPr>
      </w:pPr>
      <w:r w:rsidRPr="006F3B00">
        <w:rPr>
          <w:rFonts w:ascii="Times New Roman" w:hAnsi="Times New Roman" w:cs="Times New Roman"/>
          <w:sz w:val="24"/>
          <w:szCs w:val="24"/>
        </w:rPr>
        <w:t xml:space="preserve">This makes the </w:t>
      </w:r>
      <w:r w:rsidRPr="00A00786">
        <w:rPr>
          <w:rFonts w:ascii="Times New Roman" w:hAnsi="Times New Roman" w:cs="Times New Roman"/>
          <w:sz w:val="24"/>
          <w:szCs w:val="24"/>
        </w:rPr>
        <w:t>planning of assessment difficult and unpredictable</w:t>
      </w:r>
      <w:r w:rsidR="00A00786" w:rsidRPr="00A00786">
        <w:rPr>
          <w:rFonts w:ascii="Times New Roman" w:hAnsi="Times New Roman" w:cs="Times New Roman"/>
          <w:sz w:val="24"/>
          <w:szCs w:val="24"/>
        </w:rPr>
        <w:t xml:space="preserve"> </w:t>
      </w:r>
      <w:r w:rsidRPr="00A00786">
        <w:rPr>
          <w:rFonts w:ascii="Times New Roman" w:hAnsi="Times New Roman" w:cs="Times New Roman"/>
          <w:sz w:val="24"/>
          <w:szCs w:val="24"/>
        </w:rPr>
        <w:fldChar w:fldCharType="begin" w:fldLock="1"/>
      </w:r>
      <w:r w:rsidR="00BE3B6C" w:rsidRPr="00A00786">
        <w:rPr>
          <w:rFonts w:ascii="Times New Roman" w:hAnsi="Times New Roman" w:cs="Times New Roman"/>
          <w:sz w:val="24"/>
          <w:szCs w:val="24"/>
        </w:rPr>
        <w:instrText>ADDIN CSL_CITATION {"citationItems":[{"id":"ITEM-1","itemData":{"DOI":"10.1111/j.1365-2923.2011.04025.x","ISBN":"0308-0110","ISSN":"03080110","PMID":"21916943","abstract":"Medical Education 2011: 45: 1048-1060 Objectives This study was intended to develop a conceptual framework of the factors impacting on faculty members' judgements and ratings of resident doctors (residents) after direct observation with patients. Methods In 2009, 44 general internal medicine faculty members responsible for out-patient resident teaching in 16 internal medicine residency programmes in a large urban area in the eastern USA watched four videotaped scenarios and two live scenarios of standardised residents engaged in clinical encounters with standardised patients. After each, faculty members rated the resident using a mini-clinical evaluation exercise and were individually interviewed using a semi-structured interview. Interviews were videotaped, transcribed and analysed using grounded theory methods. Results Four primary themes that provide insights into the variability of faculty assessments of residents' performance were identified: (i) the frames of reference used by faculty members when translating observations into judgements and ratings are variable; (ii) high levels of inference are used during the direct observation process; (iii) the methods by which judgements are synthesised into numerical ratings are variable, and (iv) factors external to resident performance influence ratings. From these themes, a conceptual model was developed to describe the process of observation, interpretation, synthesis and rating. Conclusions It is likely that multiple factors account for the variability in faculty ratings of residents. Understanding these factors informs potential new approaches to faculty development to improve the accuracy, reliability and utility of clinical skills assessment.","author":[{"dropping-particle":"","family":"Kogan","given":"Jennifer R.","non-dropping-particle":"","parse-names":false,"suffix":""},{"dropping-particle":"","family":"Conforti","given":"Lisa","non-dropping-particle":"","parse-names":false,"suffix":""},{"dropping-particle":"","family":"Bernabeo","given":"Elizabeth","non-dropping-particle":"","parse-names":false,"suffix":""},{"dropping-particle":"","family":"Iobst","given":"William","non-dropping-particle":"","parse-names":false,"suffix":""},{"dropping-particle":"","family":"Holmboe","given":"Eric","non-dropping-particle":"","parse-names":false,"suffix":""}],"container-title":"Medical Education","id":"ITEM-1","issue":"10","issued":{"date-parts":[["2011"]]},"page":"1048-1060","title":"Opening the black box of clinical skills assessment via observation: A conceptual model","type":"article-journal","volume":"45"},"uris":["http://www.mendeley.com/documents/?uuid=f95e3a8f-232b-42b1-a235-d7ef39043943"]}],"mendeley":{"formattedCitation":"(Kogan &lt;i&gt;et al.&lt;/i&gt;, 2011)","plainTextFormattedCitation":"(Kogan et al., 2011)","previouslyFormattedCitation":"(Kogan et al. 2011)"},"properties":{"noteIndex":0},"schema":"https://github.com/citation-style-language/schema/raw/master/csl-citation.json"}</w:instrText>
      </w:r>
      <w:r w:rsidRPr="00A00786">
        <w:rPr>
          <w:rFonts w:ascii="Times New Roman" w:hAnsi="Times New Roman" w:cs="Times New Roman"/>
          <w:sz w:val="24"/>
          <w:szCs w:val="24"/>
        </w:rPr>
        <w:fldChar w:fldCharType="separate"/>
      </w:r>
      <w:r w:rsidR="00BE3B6C" w:rsidRPr="00A00786">
        <w:rPr>
          <w:rFonts w:ascii="Times New Roman" w:hAnsi="Times New Roman" w:cs="Times New Roman"/>
          <w:noProof/>
          <w:sz w:val="24"/>
          <w:szCs w:val="24"/>
        </w:rPr>
        <w:t>(Kogan et al. 2011)</w:t>
      </w:r>
      <w:r w:rsidRPr="00A00786">
        <w:rPr>
          <w:rFonts w:ascii="Times New Roman" w:hAnsi="Times New Roman" w:cs="Times New Roman"/>
          <w:sz w:val="24"/>
          <w:szCs w:val="24"/>
        </w:rPr>
        <w:fldChar w:fldCharType="end"/>
      </w:r>
      <w:r w:rsidRPr="00A00786">
        <w:rPr>
          <w:rFonts w:ascii="Times New Roman" w:hAnsi="Times New Roman" w:cs="Times New Roman"/>
          <w:sz w:val="24"/>
          <w:szCs w:val="24"/>
        </w:rPr>
        <w:t xml:space="preserve"> which is a largely unresolved issue</w:t>
      </w:r>
      <w:r w:rsidR="002807CD" w:rsidRPr="00A00786">
        <w:rPr>
          <w:rFonts w:ascii="Times New Roman" w:hAnsi="Times New Roman" w:cs="Times New Roman"/>
          <w:sz w:val="24"/>
          <w:szCs w:val="24"/>
        </w:rPr>
        <w:t xml:space="preserve"> </w:t>
      </w:r>
      <w:r w:rsidRPr="00A00786">
        <w:rPr>
          <w:rFonts w:ascii="Times New Roman" w:hAnsi="Times New Roman" w:cs="Times New Roman"/>
          <w:sz w:val="24"/>
          <w:szCs w:val="24"/>
        </w:rPr>
        <w:fldChar w:fldCharType="begin" w:fldLock="1"/>
      </w:r>
      <w:r w:rsidR="00BE3B6C" w:rsidRPr="00A00786">
        <w:rPr>
          <w:rFonts w:ascii="Times New Roman" w:hAnsi="Times New Roman" w:cs="Times New Roman"/>
          <w:sz w:val="24"/>
          <w:szCs w:val="24"/>
        </w:rPr>
        <w:instrText>ADDIN CSL_CITATION {"citationItems":[{"id":"ITEM-1","itemData":{"DOI":"10.1007/s11606-008-0842-3","ISBN":"08848734","ISSN":"08848734","PMID":"19002533","abstract":"BACKGROUND: Mini-CEX scores assess resident competence. Rater training might improve mini-CEX score interrater reliability, but evidence is lacking.\\n\\nOBJECTIVE: Evaluate a rater training workshop using interrater reliability and accuracy.\\n\\nDESIGN: Randomized trial (immediate versus delayed workshop) and single-group pre/post study (randomized groups combined).\\n\\nSETTING: Academic medical center.\\n\\nPARTICIPANTS: Fifty-two internal medicine clinic preceptors (31 randomized and 21 additional workshop attendees).\\n\\nINTERVENTION: The workshop included rater error training, performance dimension training, behavioral observation training, and frame of reference training using lecture, video, and facilitated discussion. Delayed group received no intervention until after posttest.\\n\\nMEASUREMENTS: Mini-CEX ratings at baseline (just before workshop for workshop group), and four weeks later using videotaped resident-patient encounters; mini-CEX ratings of live resident-patient encounters one year preceding and one year following the workshop; rater confidence using mini-CEX.\\n\\nRESULTS: Among 31 randomized participants, interrater reliabilities in the delayed group (baseline intraclass correlation coefficient [ICC] 0.43, follow-up 0.53) and workshop group (baseline 0.40, follow-up 0.43) were not significantly different (p = 0.19). Mean ratings were similar at baseline (delayed 4.9 [95% confidence interval 4.6-5.2], workshop 4.8 [4.5-5.1]) and follow-up (delayed 5.4 [5.0-5.7], workshop 5.3 [5.0-5.6]; p = 0.88 for interaction). For the entire cohort, rater confidence (1 = not confident, 6 = very confident) improved from mean (SD) 3.8 (1.4) to 4.4 (1.0), p = 0.018. Interrater reliability for ratings of live encounters (entire cohort) was higher after the workshop (ICC 0.34) than before (ICC 0.18) but the standard error of measurement was similar for both periods.\\n\\nCONCLUSIONS: Rater training did not improve interrater reliability or accuracy of mini-CEX scores.\\n\\nCLINICAL TRIALS REGISTRATION: clinicaltrials.gov identifier NCT00667940","author":[{"dropping-particle":"","family":"Cook","given":"David A.","non-dropping-particle":"","parse-names":false,"suffix":""},{"dropping-particle":"","family":"Dupras","given":"Denise M.","non-dropping-particle":"","parse-names":false,"suffix":""},{"dropping-particle":"","family":"Beckman","given":"Thomas J.","non-dropping-particle":"","parse-names":false,"suffix":""},{"dropping-particle":"","family":"Thomas","given":"Kris G.","non-dropping-particle":"","parse-names":false,"suffix":""},{"dropping-particle":"","family":"Pankratz","given":"V. Shane","non-dropping-particle":"","parse-names":false,"suffix":""}],"container-title":"Journal of General Internal Medicine","id":"ITEM-1","issue":"1","issued":{"date-parts":[["2009"]]},"page":"74-79","title":"Effect of rater training on reliability and accuracy of mini-CEX scores: A randomized, controlled trial","type":"article-journal","volume":"24"},"uris":["http://www.mendeley.com/documents/?uuid=e275e1df-4c9d-4ead-843d-b0ad65cb7d3e"]}],"mendeley":{"formattedCitation":"(Cook &lt;i&gt;et al.&lt;/i&gt;, 2009)","plainTextFormattedCitation":"(Cook et al., 2009)","previouslyFormattedCitation":"(D. A. Cook et al. 2009)"},"properties":{"noteIndex":0},"schema":"https://github.com/citation-style-language/schema/raw/master/csl-citation.json"}</w:instrText>
      </w:r>
      <w:r w:rsidRPr="00A00786">
        <w:rPr>
          <w:rFonts w:ascii="Times New Roman" w:hAnsi="Times New Roman" w:cs="Times New Roman"/>
          <w:sz w:val="24"/>
          <w:szCs w:val="24"/>
        </w:rPr>
        <w:fldChar w:fldCharType="separate"/>
      </w:r>
      <w:r w:rsidR="00BE3B6C" w:rsidRPr="00A00786">
        <w:rPr>
          <w:rFonts w:ascii="Times New Roman" w:hAnsi="Times New Roman" w:cs="Times New Roman"/>
          <w:noProof/>
          <w:sz w:val="24"/>
          <w:szCs w:val="24"/>
        </w:rPr>
        <w:t>(Cook et al. 2009)</w:t>
      </w:r>
      <w:r w:rsidRPr="00A00786">
        <w:rPr>
          <w:rFonts w:ascii="Times New Roman" w:hAnsi="Times New Roman" w:cs="Times New Roman"/>
          <w:sz w:val="24"/>
          <w:szCs w:val="24"/>
        </w:rPr>
        <w:fldChar w:fldCharType="end"/>
      </w:r>
      <w:r w:rsidRPr="00A00786">
        <w:rPr>
          <w:rFonts w:ascii="Times New Roman" w:hAnsi="Times New Roman" w:cs="Times New Roman"/>
          <w:sz w:val="24"/>
          <w:szCs w:val="24"/>
        </w:rPr>
        <w:t>. For instance, studies that have tried to incorporate behavioural anchors found only small improvements</w:t>
      </w:r>
      <w:r w:rsidR="002807CD" w:rsidRPr="00A00786">
        <w:rPr>
          <w:rFonts w:ascii="Times New Roman" w:hAnsi="Times New Roman" w:cs="Times New Roman"/>
          <w:sz w:val="24"/>
          <w:szCs w:val="24"/>
        </w:rPr>
        <w:t xml:space="preserve"> </w:t>
      </w:r>
      <w:r w:rsidRPr="00A00786">
        <w:rPr>
          <w:rFonts w:ascii="Times New Roman" w:hAnsi="Times New Roman" w:cs="Times New Roman"/>
          <w:sz w:val="24"/>
          <w:szCs w:val="24"/>
        </w:rPr>
        <w:fldChar w:fldCharType="begin" w:fldLock="1"/>
      </w:r>
      <w:r w:rsidR="00BE3B6C" w:rsidRPr="00A00786">
        <w:rPr>
          <w:rFonts w:ascii="Times New Roman" w:hAnsi="Times New Roman" w:cs="Times New Roman"/>
          <w:sz w:val="24"/>
          <w:szCs w:val="24"/>
        </w:rPr>
        <w:instrText>ADDIN CSL_CITATION {"citationItems":[{"id":"ITEM-1","itemData":{"DOI":"10.1111/j.1365-2923.2008.03230.x","ISBN":"0308-0110","ISSN":"03080110","PMID":"19120955","abstract":"CONTEXT: Teaching faculty cannot reliably distinguish between satisfactory and unsatisfactory resident performances and give non-specific feedback. OBJECTIVES: This study aimed to test whether a novel rating form can improve faculty accuracy in detecting unsatisfactory performances, generate more rater observations and improve feedback quality. METHODS: Participants included two groups of 40 internal medicine residency faculty staff. Both groups received 1-hour training on how to rate trainees in the mini-clinical evaluation exercise (mini-CEX) format. The intervention group was given a new rating form structured with prompts, space for free-text comments, behavioural anchors and fewer scoring levels, whereas the control group used the current American Board of Internal Medicine Mini-CEX form. Participants watched and scored six scripted videotapes of resident performances 2-3 weeks after the training session. RESULTS: Intervention group participants were more accurate in discriminating satisfactory from unsatisfactory performances (85% versus 73% correct; odds ratio [OR] 2.13, 95% confidence interval [CI] 1.16-3.14, P = 0.02) and yielded more correctly identified unsatisfactory performances (96% versus 52% correct; OR 25.35, 95% CI 9.12-70.46), but were less accurate in identifying satisfactory performances (73% versus 95% correct; OR 0.15, 95% CI 0.05-0.39). Intervention group participants averaged one fewer declared intended feedback item (4.7 versus 5.7) and showed no difference in the amount of feedback that was above minimal in quality. Intervention group participants generated more written evaluative observations (10.8 versus 5.7). Inter-rater agreement improved with the new form (Fleiss' kappa, 0.52 versus 0.30). CONCLUSIONS: Modifying the currently used direct observations process may produce more recorded observations, increase inter-rater agreement and improve overall rater accuracy, but it may also increase severity error.","author":[{"dropping-particle":"","family":"Donato","given":"Anthony A.","non-dropping-particle":"","parse-names":false,"suffix":""},{"dropping-particle":"","family":"Pangaro","given":"Louis","non-dropping-particle":"","parse-names":false,"suffix":""},{"dropping-particle":"","family":"Smith","given":"Cynthia","non-dropping-particle":"","parse-names":false,"suffix":""},{"dropping-particle":"","family":"Rencic","given":"Joseph","non-dropping-particle":"","parse-names":false,"suffix":""},{"dropping-particle":"","family":"Diaz","given":"Yvonne","non-dropping-particle":"","parse-names":false,"suffix":""},{"dropping-particle":"","family":"Mensinger","given":"Janell","non-dropping-particle":"","parse-names":false,"suffix":""},{"dropping-particle":"","family":"Holmboe","given":"Eric","non-dropping-particle":"","parse-names":false,"suffix":""}],"container-title":"Medical Education","id":"ITEM-1","issue":"12","issued":{"date-parts":[["2008"]]},"page":"1234-1242","title":"Evaluation of a novel assessment form for observing medical residents: A randomised, controlled trial","type":"article-journal","volume":"42"},"uris":["http://www.mendeley.com/documents/?uuid=a1e386f1-1415-4b2f-925f-3a05c7e82c35"]}],"mendeley":{"formattedCitation":"(Donato &lt;i&gt;et al.&lt;/i&gt;, 2008)","plainTextFormattedCitation":"(Donato et al., 2008)","previouslyFormattedCitation":"(Donato et al. 2008)"},"properties":{"noteIndex":0},"schema":"https://github.com/citation-style-language/schema/raw/master/csl-citation.json"}</w:instrText>
      </w:r>
      <w:r w:rsidRPr="00A00786">
        <w:rPr>
          <w:rFonts w:ascii="Times New Roman" w:hAnsi="Times New Roman" w:cs="Times New Roman"/>
          <w:sz w:val="24"/>
          <w:szCs w:val="24"/>
        </w:rPr>
        <w:fldChar w:fldCharType="separate"/>
      </w:r>
      <w:r w:rsidR="00BE3B6C" w:rsidRPr="00A00786">
        <w:rPr>
          <w:rFonts w:ascii="Times New Roman" w:hAnsi="Times New Roman" w:cs="Times New Roman"/>
          <w:noProof/>
          <w:sz w:val="24"/>
          <w:szCs w:val="24"/>
        </w:rPr>
        <w:t>(Donato et al. 2008)</w:t>
      </w:r>
      <w:r w:rsidRPr="00A00786">
        <w:rPr>
          <w:rFonts w:ascii="Times New Roman" w:hAnsi="Times New Roman" w:cs="Times New Roman"/>
          <w:sz w:val="24"/>
          <w:szCs w:val="24"/>
        </w:rPr>
        <w:fldChar w:fldCharType="end"/>
      </w:r>
      <w:r w:rsidRPr="00A00786">
        <w:rPr>
          <w:rFonts w:ascii="Times New Roman" w:hAnsi="Times New Roman" w:cs="Times New Roman"/>
          <w:sz w:val="24"/>
          <w:szCs w:val="24"/>
        </w:rPr>
        <w:t>. Two randomised controlled trials examining if rater training could improve rater scoring showed either inconsistent or insignificant effects</w:t>
      </w:r>
      <w:r w:rsidR="002807CD" w:rsidRPr="00A00786">
        <w:rPr>
          <w:rFonts w:ascii="Times New Roman" w:hAnsi="Times New Roman" w:cs="Times New Roman"/>
          <w:sz w:val="24"/>
          <w:szCs w:val="24"/>
        </w:rPr>
        <w:t xml:space="preserve"> </w:t>
      </w:r>
      <w:r w:rsidRPr="00A00786">
        <w:rPr>
          <w:rFonts w:ascii="Times New Roman" w:hAnsi="Times New Roman" w:cs="Times New Roman"/>
          <w:sz w:val="24"/>
          <w:szCs w:val="24"/>
        </w:rPr>
        <w:fldChar w:fldCharType="begin" w:fldLock="1"/>
      </w:r>
      <w:r w:rsidR="00BE3B6C" w:rsidRPr="00A00786">
        <w:rPr>
          <w:rFonts w:ascii="Times New Roman" w:hAnsi="Times New Roman" w:cs="Times New Roman"/>
          <w:sz w:val="24"/>
          <w:szCs w:val="24"/>
        </w:rPr>
        <w:instrText>ADDIN CSL_CITATION {"citationItems":[{"id":"ITEM-1","itemData":{"DOI":"10.1007/s11606-008-0842-3","ISBN":"08848734","ISSN":"08848734","PMID":"19002533","abstract":"BACKGROUND: Mini-CEX scores assess resident competence. Rater training might improve mini-CEX score interrater reliability, but evidence is lacking.\\n\\nOBJECTIVE: Evaluate a rater training workshop using interrater reliability and accuracy.\\n\\nDESIGN: Randomized trial (immediate versus delayed workshop) and single-group pre/post study (randomized groups combined).\\n\\nSETTING: Academic medical center.\\n\\nPARTICIPANTS: Fifty-two internal medicine clinic preceptors (31 randomized and 21 additional workshop attendees).\\n\\nINTERVENTION: The workshop included rater error training, performance dimension training, behavioral observation training, and frame of reference training using lecture, video, and facilitated discussion. Delayed group received no intervention until after posttest.\\n\\nMEASUREMENTS: Mini-CEX ratings at baseline (just before workshop for workshop group), and four weeks later using videotaped resident-patient encounters; mini-CEX ratings of live resident-patient encounters one year preceding and one year following the workshop; rater confidence using mini-CEX.\\n\\nRESULTS: Among 31 randomized participants, interrater reliabilities in the delayed group (baseline intraclass correlation coefficient [ICC] 0.43, follow-up 0.53) and workshop group (baseline 0.40, follow-up 0.43) were not significantly different (p = 0.19). Mean ratings were similar at baseline (delayed 4.9 [95% confidence interval 4.6-5.2], workshop 4.8 [4.5-5.1]) and follow-up (delayed 5.4 [5.0-5.7], workshop 5.3 [5.0-5.6]; p = 0.88 for interaction). For the entire cohort, rater confidence (1 = not confident, 6 = very confident) improved from mean (SD) 3.8 (1.4) to 4.4 (1.0), p = 0.018. Interrater reliability for ratings of live encounters (entire cohort) was higher after the workshop (ICC 0.34) than before (ICC 0.18) but the standard error of measurement was similar for both periods.\\n\\nCONCLUSIONS: Rater training did not improve interrater reliability or accuracy of mini-CEX scores.\\n\\nCLINICAL TRIALS REGISTRATION: clinicaltrials.gov identifier NCT00667940","author":[{"dropping-particle":"","family":"Cook","given":"David A.","non-dropping-particle":"","parse-names":false,"suffix":""},{"dropping-particle":"","family":"Dupras","given":"Denise M.","non-dropping-particle":"","parse-names":false,"suffix":""},{"dropping-particle":"","family":"Beckman","given":"Thomas J.","non-dropping-particle":"","parse-names":false,"suffix":""},{"dropping-particle":"","family":"Thomas","given":"Kris G.","non-dropping-particle":"","parse-names":false,"suffix":""},{"dropping-particle":"","family":"Pankratz","given":"V. Shane","non-dropping-particle":"","parse-names":false,"suffix":""}],"container-title":"Journal of General Internal Medicine","id":"ITEM-1","issue":"1","issued":{"date-parts":[["2009"]]},"page":"74-79","title":"Effect of rater training on reliability and accuracy of mini-CEX scores: A randomized, controlled trial","type":"article-journal","volume":"24"},"uris":["http://www.mendeley.com/documents/?uuid=e275e1df-4c9d-4ead-843d-b0ad65cb7d3e"]},{"id":"ITEM-2","itemData":{"DOI":"140/11/874 [pii]","ISBN":"1539-3704 (Electronic)\\n0003-4819 (Linking)","ISSN":"1539-3704","PMID":"15172901","abstract":"BACKGROUND: Faculty observation of residents and students performing clinical skills is essential for reliable and valid evaluation of trainees. OBJECTIVE: To evaluate the efficacy of a new multifaceted method of faculty development called direct observation of competence training. DESIGN: Controlled trial of faculty from 16 internal medicine residency programs using a cluster randomization design. SETTING: Academic medical centers. PARTICIPANTS: 40 internal medicine teaching faculty members: 17 in the intervention group and 23 in the control group. MEASUREMENTS: Changes in faculty comfort performing direct observation, faculty satisfaction with workshop, and changes in faculty rating behaviors 8 months after completing the training. INTERVENTION: The direct observation of competence workshop combines didactic mini-lectures, interactive small group and videotape evaluation exercises, and evaluation skill practice with standardized residents and patients. RESULTS: 37 faculty members (16 in the intervention group and 21 in the control group) completed the study. Most of the faculty in the intervention group (14 [88%]) reported that they felt significantly more comfortable performing direct observation compared with control group faculty (4 [19%]) (P = 0.04), and all intervention faculty rated the training as outstanding. For 9 videotaped clinical encounters, intervention group faculty were more stringent than controls in their evaluations of medical interviewing, physical examination, and counseling; differences in ratings for medical interviewing and physical examination remained statistically significant even after adjustment for baseline rating behavior. LIMITATIONS: The study involved a limited number of residency programs, and faculty did not rate the performance of actual residents. CONCLUSION: Direct observation of competence training, a new multifaceted approach to faculty development, leads to meaningful changes in rating behaviors and in faculty comfort with evaluation of clinical skills.","author":[{"dropping-particle":"","family":"Holmboe","given":"E S","non-dropping-particle":"","parse-names":false,"suffix":""},{"dropping-particle":"","family":"Hawkins","given":"R E","non-dropping-particle":"","parse-names":false,"suffix":""},{"dropping-particle":"","family":"Huot","given":"S J","non-dropping-particle":"","parse-names":false,"suffix":""}],"container-title":"Ann Intern Med","id":"ITEM-2","issue":"11","issued":{"date-parts":[["2004"]]},"page":"874-881","title":"Effects of training in direct observation of medical residents' clinical competence: a randomized trial","type":"article-journal","volume":"140"},"uris":["http://www.mendeley.com/documents/?uuid=233e2c9f-944a-4e4d-9c27-9fea4e974774"]}],"mendeley":{"formattedCitation":"(Holmboe, Hawkins and Huot, 2004; Cook &lt;i&gt;et al.&lt;/i&gt;, 2009)","plainTextFormattedCitation":"(Holmboe, Hawkins and Huot, 2004; Cook et al., 2009)","previouslyFormattedCitation":"(D. A. Cook et al. 2009; E S Holmboe, Hawkins, and Huot 2004)"},"properties":{"noteIndex":0},"schema":"https://github.com/citation-style-language/schema/raw/master/csl-citation.json"}</w:instrText>
      </w:r>
      <w:r w:rsidRPr="00A00786">
        <w:rPr>
          <w:rFonts w:ascii="Times New Roman" w:hAnsi="Times New Roman" w:cs="Times New Roman"/>
          <w:sz w:val="24"/>
          <w:szCs w:val="24"/>
        </w:rPr>
        <w:fldChar w:fldCharType="separate"/>
      </w:r>
      <w:r w:rsidR="00A00786">
        <w:rPr>
          <w:rFonts w:ascii="Times New Roman" w:hAnsi="Times New Roman" w:cs="Times New Roman"/>
          <w:noProof/>
          <w:sz w:val="24"/>
          <w:szCs w:val="24"/>
        </w:rPr>
        <w:t>(Holmboe, Hawkins and Huot</w:t>
      </w:r>
      <w:r w:rsidR="00BE3B6C" w:rsidRPr="00A00786">
        <w:rPr>
          <w:rFonts w:ascii="Times New Roman" w:hAnsi="Times New Roman" w:cs="Times New Roman"/>
          <w:noProof/>
          <w:sz w:val="24"/>
          <w:szCs w:val="24"/>
        </w:rPr>
        <w:t xml:space="preserve"> 2004; Cook et al. 2009)</w:t>
      </w:r>
      <w:r w:rsidRPr="00A00786">
        <w:rPr>
          <w:rFonts w:ascii="Times New Roman" w:hAnsi="Times New Roman" w:cs="Times New Roman"/>
          <w:sz w:val="24"/>
          <w:szCs w:val="24"/>
        </w:rPr>
        <w:fldChar w:fldCharType="end"/>
      </w:r>
      <w:r w:rsidRPr="00A00786">
        <w:rPr>
          <w:rFonts w:ascii="Times New Roman" w:hAnsi="Times New Roman" w:cs="Times New Roman"/>
          <w:sz w:val="24"/>
          <w:szCs w:val="24"/>
        </w:rPr>
        <w:t xml:space="preserve">  Determining and understanding  what cues examiner’s use when making their judgements would therefore be a useful exercise</w:t>
      </w:r>
      <w:r w:rsidRPr="006F3B00">
        <w:rPr>
          <w:rFonts w:ascii="Times New Roman" w:hAnsi="Times New Roman" w:cs="Times New Roman"/>
          <w:sz w:val="24"/>
          <w:szCs w:val="24"/>
        </w:rPr>
        <w:t xml:space="preserve"> if their biases cannot be eliminated. </w:t>
      </w:r>
    </w:p>
    <w:p w14:paraId="46AE4EF4" w14:textId="77777777" w:rsidR="00863DF5" w:rsidRPr="006F3B00" w:rsidRDefault="00863DF5" w:rsidP="00863DF5">
      <w:pPr>
        <w:spacing w:after="0" w:line="480" w:lineRule="auto"/>
        <w:jc w:val="both"/>
        <w:rPr>
          <w:rFonts w:ascii="Times New Roman" w:hAnsi="Times New Roman" w:cs="Times New Roman"/>
          <w:sz w:val="24"/>
          <w:szCs w:val="24"/>
        </w:rPr>
      </w:pPr>
    </w:p>
    <w:p w14:paraId="2817BE62" w14:textId="27206594" w:rsidR="00863DF5" w:rsidRPr="006F3B00" w:rsidRDefault="00863DF5" w:rsidP="00863DF5">
      <w:pPr>
        <w:autoSpaceDE w:val="0"/>
        <w:autoSpaceDN w:val="0"/>
        <w:adjustRightInd w:val="0"/>
        <w:spacing w:after="0" w:line="480" w:lineRule="auto"/>
        <w:jc w:val="both"/>
        <w:rPr>
          <w:rFonts w:ascii="Times New Roman" w:hAnsi="Times New Roman" w:cs="Times New Roman"/>
          <w:sz w:val="24"/>
          <w:szCs w:val="24"/>
        </w:rPr>
      </w:pPr>
      <w:r w:rsidRPr="006F3B00">
        <w:rPr>
          <w:rFonts w:ascii="Times New Roman" w:hAnsi="Times New Roman" w:cs="Times New Roman"/>
          <w:sz w:val="24"/>
          <w:szCs w:val="24"/>
        </w:rPr>
        <w:t>In reality, most assessments, in any given field, have an element of subjectivity and designing assessment tools which are entirely objective may be impossible. For example, assessors have been found to nearly always value academic knowledge over tacit behaviours</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{"citationItems":[{"id":"ITEM-1","itemData":{"DOI":"10.1080/13636829900200073","ISSN":"1363-6820","abstract":"Several studies into the response of Australian teachers, in the vocational education and training (VET) sector, to the implementation of competency-based education (CBE) have identified the role of judgement in competency-based assessment as a source of confusion and distress for assessors. This article explores the role of judgement from a philosophical perspective drawing on the work of Ryle, Geach and Polanyi. It is seen that judgement plays a pivotal role in all learning and assessment. The large component of tacit knowledge and judgement associated with vocational education requires high levels of vocational and educational expertise on the part of assessors. The implications of this for professional development of VET teachers are discussed briefly. The model of CBE that emerges from this article emphasises the exchange of tacit knowledge and the exercise of tacit judgement in learning. This model throws new light on many of the old debates in CBE and training and these are discussed","author":[{"dropping-particle":"","family":"Jones","given":"Anne","non-dropping-particle":"","parse-names":false,"suffix":""}],"container-title":"Journal of Vocational Education &amp; Training","id":"ITEM-1","issue":"1","issued":{"date-parts":[["1999"]]},"page":"145-160","title":"The place of judgement in competency-based assessment","type":"article-journal","volume":"51"},"uris":["http://www.mendeley.com/documents/?uuid=fa708485-bdae-4eae-9805-ffb582f43ad1"]}],"mendeley":{"formattedCitation":"(Jones, 1999)","plainTextFormattedCitation":"(Jones, 1999)","previouslyFormattedCitation":"(A. Jones 1999)"},"properties":{"noteIndex":0},"schema":"https://github.com/citation-style-language/schema/raw/master/csl-citation.json"}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(Jones, 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As trainees are usually assessed by experienced individuals, it would seem reasonable to assume that these assessors could make an appropriate judgement when called to do so. For instance, when a </w:t>
      </w:r>
      <w:r w:rsidR="002B1984">
        <w:rPr>
          <w:rFonts w:ascii="Times New Roman" w:hAnsi="Times New Roman" w:cs="Times New Roman"/>
          <w:sz w:val="24"/>
          <w:szCs w:val="24"/>
        </w:rPr>
        <w:t>trainee</w:t>
      </w:r>
      <w:r w:rsidRPr="006F3B00">
        <w:rPr>
          <w:rFonts w:ascii="Times New Roman" w:hAnsi="Times New Roman" w:cs="Times New Roman"/>
          <w:sz w:val="24"/>
          <w:szCs w:val="24"/>
        </w:rPr>
        <w:t xml:space="preserve"> is awarded a</w:t>
      </w:r>
      <w:r w:rsidR="002B1984">
        <w:rPr>
          <w:rFonts w:ascii="Times New Roman" w:hAnsi="Times New Roman" w:cs="Times New Roman"/>
          <w:sz w:val="24"/>
          <w:szCs w:val="24"/>
        </w:rPr>
        <w:t xml:space="preserve"> Doctor in </w:t>
      </w:r>
      <w:r w:rsidR="002B1984">
        <w:rPr>
          <w:rFonts w:ascii="Times New Roman" w:hAnsi="Times New Roman" w:cs="Times New Roman"/>
          <w:sz w:val="24"/>
          <w:szCs w:val="24"/>
        </w:rPr>
        <w:lastRenderedPageBreak/>
        <w:t>Philosophy</w:t>
      </w:r>
      <w:r w:rsidRPr="006F3B00">
        <w:rPr>
          <w:rFonts w:ascii="Times New Roman" w:hAnsi="Times New Roman" w:cs="Times New Roman"/>
          <w:sz w:val="24"/>
          <w:szCs w:val="24"/>
        </w:rPr>
        <w:t xml:space="preserve"> </w:t>
      </w:r>
      <w:r w:rsidR="002B1984">
        <w:rPr>
          <w:rFonts w:ascii="Times New Roman" w:hAnsi="Times New Roman" w:cs="Times New Roman"/>
          <w:sz w:val="24"/>
          <w:szCs w:val="24"/>
        </w:rPr>
        <w:t>(</w:t>
      </w:r>
      <w:r w:rsidRPr="006F3B00">
        <w:rPr>
          <w:rFonts w:ascii="Times New Roman" w:hAnsi="Times New Roman" w:cs="Times New Roman"/>
          <w:sz w:val="24"/>
          <w:szCs w:val="24"/>
        </w:rPr>
        <w:t>PhD</w:t>
      </w:r>
      <w:r w:rsidR="002B1984">
        <w:rPr>
          <w:rFonts w:ascii="Times New Roman" w:hAnsi="Times New Roman" w:cs="Times New Roman"/>
          <w:sz w:val="24"/>
          <w:szCs w:val="24"/>
        </w:rPr>
        <w:t>)</w:t>
      </w:r>
      <w:r w:rsidRPr="006F3B00">
        <w:rPr>
          <w:rFonts w:ascii="Times New Roman" w:hAnsi="Times New Roman" w:cs="Times New Roman"/>
          <w:sz w:val="24"/>
          <w:szCs w:val="24"/>
        </w:rPr>
        <w:t>, this is usually at the discretion of the assessors present in their viva. Similarly, in the design of an assessment tool, the content to be examined by the assessment tool is often determined by a panel of experts</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{"citationItems":[{"id":"ITEM-1","itemData":{"ISBN":"0029224004","ISSN":"0265-5322","abstract":"Messick S. Validity. In: Educational Measurement, 3rd edn. Ed: Linn RL. New York: American Council on Education and Macmillan 1989:13–104.","author":[{"dropping-particle":"","family":"Messick","given":"Samuel","non-dropping-particle":"","parse-names":false,"suffix":""}],"container-title":"Educational Measurement (3rd edn.)","id":"ITEM-1","issued":{"date-parts":[["1989"]]},"page":"13–103","title":"Validity","type":"chapter"},"uris":["http://www.mendeley.com/documents/?uuid=0bf09bda-cd1a-4e52-a867-6062ff5c7c7b"]}],"mendeley":{"formattedCitation":"(Samuel Messick, 1989)","plainTextFormattedCitation":"(Samuel Messick, 1989)","previouslyFormattedCitation":"(Samuel Messick 1989)"},"properties":{"noteIndex":0},"schema":"https://github.com/citation-style-language/schema/raw/master/csl-citation.json"}</w:instrText>
      </w:r>
      <w:r w:rsidRPr="006F3B00">
        <w:rPr>
          <w:rFonts w:ascii="Times New Roman" w:hAnsi="Times New Roman" w:cs="Times New Roman"/>
          <w:sz w:val="24"/>
          <w:szCs w:val="24"/>
        </w:rPr>
        <w:fldChar w:fldCharType="separate"/>
      </w:r>
      <w:r w:rsidR="00A00786">
        <w:rPr>
          <w:rFonts w:ascii="Times New Roman" w:hAnsi="Times New Roman" w:cs="Times New Roman"/>
          <w:noProof/>
          <w:sz w:val="24"/>
          <w:szCs w:val="24"/>
        </w:rPr>
        <w:t>(Messick</w:t>
      </w:r>
      <w:r w:rsidR="00BE3B6C" w:rsidRPr="00BE3B6C">
        <w:rPr>
          <w:rFonts w:ascii="Times New Roman" w:hAnsi="Times New Roman" w:cs="Times New Roman"/>
          <w:noProof/>
          <w:sz w:val="24"/>
          <w:szCs w:val="24"/>
        </w:rPr>
        <w:t xml:space="preserve"> 1989)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It could be argued that subjectivity is sometimes useful as there are instances when there is more than one way of saying or doing something and being subjected to differing opinions on this can help develop a broader view in trainees.  It is therefore difficult to entirely remove subjectivity from assessments, but the key is to focus on those assessments which have the biggest inferences, such as high-takes exams which determine completion of training. These must be supported by good evidence, which would include how the assessment accounted for subjectivity. This is likely to consist of providing appropriate calibration of judges and clear marking rubrics to help guide marking. </w:t>
      </w:r>
    </w:p>
    <w:p w14:paraId="31EF83FA" w14:textId="588C582F" w:rsidR="00863DF5" w:rsidRPr="006F3B00" w:rsidRDefault="007A0757" w:rsidP="00863DF5">
      <w:pPr>
        <w:pStyle w:val="Heading2"/>
        <w:rPr>
          <w:rFonts w:ascii="Times New Roman" w:hAnsi="Times New Roman" w:cs="Times New Roman"/>
          <w:color w:val="auto"/>
          <w:sz w:val="24"/>
          <w:szCs w:val="24"/>
        </w:rPr>
      </w:pPr>
      <w:bookmarkStart w:id="30" w:name="_Toc23243759"/>
      <w:r>
        <w:rPr>
          <w:rFonts w:ascii="Times New Roman" w:hAnsi="Times New Roman" w:cs="Times New Roman"/>
          <w:color w:val="auto"/>
          <w:sz w:val="24"/>
          <w:szCs w:val="24"/>
        </w:rPr>
        <w:t>1.2</w:t>
      </w:r>
      <w:r w:rsidR="006A43B1">
        <w:rPr>
          <w:rFonts w:ascii="Times New Roman" w:hAnsi="Times New Roman" w:cs="Times New Roman"/>
          <w:color w:val="auto"/>
          <w:sz w:val="24"/>
          <w:szCs w:val="24"/>
        </w:rPr>
        <w:t>.9</w:t>
      </w:r>
      <w:r w:rsidR="00863DF5" w:rsidRPr="006F3B00">
        <w:rPr>
          <w:rFonts w:ascii="Times New Roman" w:hAnsi="Times New Roman" w:cs="Times New Roman"/>
          <w:color w:val="auto"/>
          <w:sz w:val="24"/>
          <w:szCs w:val="24"/>
        </w:rPr>
        <w:t xml:space="preserve"> How is competence determined in histopathology?</w:t>
      </w:r>
      <w:bookmarkEnd w:id="30"/>
    </w:p>
    <w:p w14:paraId="4CA6E782" w14:textId="77777777" w:rsidR="00863DF5" w:rsidRPr="006F3B00" w:rsidRDefault="00863DF5" w:rsidP="00863DF5">
      <w:pPr>
        <w:rPr>
          <w:rFonts w:ascii="Times New Roman" w:hAnsi="Times New Roman" w:cs="Times New Roman"/>
          <w:sz w:val="24"/>
          <w:szCs w:val="24"/>
        </w:rPr>
      </w:pPr>
    </w:p>
    <w:p w14:paraId="3A0C5053" w14:textId="0012AB7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w:t>
      </w:r>
      <w:r w:rsidR="00C57DBF">
        <w:rPr>
          <w:rFonts w:ascii="Times New Roman" w:hAnsi="Times New Roman" w:cs="Times New Roman"/>
          <w:sz w:val="24"/>
          <w:szCs w:val="24"/>
        </w:rPr>
        <w:t xml:space="preserve"> Royal College of Pathologists</w:t>
      </w:r>
      <w:r w:rsidRPr="006F3B00">
        <w:rPr>
          <w:rFonts w:ascii="Times New Roman" w:hAnsi="Times New Roman" w:cs="Times New Roman"/>
          <w:sz w:val="24"/>
          <w:szCs w:val="24"/>
        </w:rPr>
        <w:t xml:space="preserve"> </w:t>
      </w:r>
      <w:r w:rsidR="00C57DBF">
        <w:rPr>
          <w:rFonts w:ascii="Times New Roman" w:hAnsi="Times New Roman" w:cs="Times New Roman"/>
          <w:sz w:val="24"/>
          <w:szCs w:val="24"/>
        </w:rPr>
        <w:t>(</w:t>
      </w:r>
      <w:r w:rsidRPr="006F3B00">
        <w:rPr>
          <w:rFonts w:ascii="Times New Roman" w:hAnsi="Times New Roman" w:cs="Times New Roman"/>
          <w:sz w:val="24"/>
          <w:szCs w:val="24"/>
        </w:rPr>
        <w:t>RCPath</w:t>
      </w:r>
      <w:r w:rsidR="00C57DBF">
        <w:rPr>
          <w:rFonts w:ascii="Times New Roman" w:hAnsi="Times New Roman" w:cs="Times New Roman"/>
          <w:sz w:val="24"/>
          <w:szCs w:val="24"/>
        </w:rPr>
        <w:t>)</w:t>
      </w:r>
      <w:r w:rsidRPr="006F3B00">
        <w:rPr>
          <w:rFonts w:ascii="Times New Roman" w:hAnsi="Times New Roman" w:cs="Times New Roman"/>
          <w:sz w:val="24"/>
          <w:szCs w:val="24"/>
        </w:rPr>
        <w:t xml:space="preserve"> has adopted a competency-based framework to guide its curricula and assessments, such that competency is judged in stages (A-D) according to the trainee’s level of experience</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{"citationItems":[{"id":"ITEM-1","itemData":{"URL":"https://www.rcpath.org/uploads/assets/uploaded/f8695439-ce47-4046-b13c1f6202fd8468.pdf","accessed":{"date-parts":[["2011","8","20"]]},"author":[{"dropping-particle":"","family":"Pathologists","given":"The Royal College of","non-dropping-particle":"","parse-names":false,"suffix":""}],"id":"ITEM-1","issued":{"date-parts":[["2015"]]},"title":"CURRICULUM FOR SPECIALTY TRAINING IN HISTOPATHOLOGY","type":"webpage"},"uris":["http://www.mendeley.com/documents/?uuid=a01fada6-0b1d-4988-844f-820c81a74765"]}],"mendeley":{"formattedCitation":"(Pathologists, 2015)","plainTextFormattedCitation":"(Pathologists, 2015)","previouslyFormattedCitation":"(Pathologists 2015)"},"properties":{"noteIndex":0},"schema":"https://github.com/citation-style-language/schema/raw/master/csl-citation.json"}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1E57BC">
        <w:rPr>
          <w:rFonts w:ascii="Times New Roman" w:hAnsi="Times New Roman" w:cs="Times New Roman"/>
          <w:noProof/>
          <w:sz w:val="24"/>
          <w:szCs w:val="24"/>
        </w:rPr>
        <w:t xml:space="preserve">The Royal College of </w:t>
      </w:r>
      <w:r w:rsidR="00BE3B6C" w:rsidRPr="00BE3B6C">
        <w:rPr>
          <w:rFonts w:ascii="Times New Roman" w:hAnsi="Times New Roman" w:cs="Times New Roman"/>
          <w:noProof/>
          <w:sz w:val="24"/>
          <w:szCs w:val="24"/>
        </w:rPr>
        <w:t>Pathol</w:t>
      </w:r>
      <w:r w:rsidR="001E57BC">
        <w:rPr>
          <w:rFonts w:ascii="Times New Roman" w:hAnsi="Times New Roman" w:cs="Times New Roman"/>
          <w:noProof/>
          <w:sz w:val="24"/>
          <w:szCs w:val="24"/>
        </w:rPr>
        <w:t>ogists</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 curriculum was updated in 2015 and provides an extensive account of training, the entire content of which is beyond the scope of this chapter. However, to summarise, the curriculum includes:</w:t>
      </w:r>
    </w:p>
    <w:p w14:paraId="057261CA" w14:textId="77777777" w:rsidR="00863DF5" w:rsidRPr="006F3B00" w:rsidRDefault="00863DF5" w:rsidP="001A1FF3">
      <w:pPr>
        <w:pStyle w:val="ListParagraph"/>
        <w:numPr>
          <w:ilvl w:val="0"/>
          <w:numId w:val="19"/>
        </w:numPr>
        <w:spacing w:line="480" w:lineRule="auto"/>
        <w:rPr>
          <w:rFonts w:ascii="Times New Roman" w:hAnsi="Times New Roman" w:cs="Times New Roman"/>
          <w:sz w:val="24"/>
          <w:szCs w:val="24"/>
        </w:rPr>
      </w:pPr>
      <w:r w:rsidRPr="006F3B00">
        <w:rPr>
          <w:rFonts w:ascii="Times New Roman" w:hAnsi="Times New Roman" w:cs="Times New Roman"/>
          <w:sz w:val="24"/>
          <w:szCs w:val="24"/>
        </w:rPr>
        <w:t>the rationale, learning theories and content of the curriculum</w:t>
      </w:r>
    </w:p>
    <w:p w14:paraId="101E2980" w14:textId="77777777" w:rsidR="00863DF5" w:rsidRPr="006F3B00" w:rsidRDefault="00863DF5" w:rsidP="001A1FF3">
      <w:pPr>
        <w:pStyle w:val="ListParagraph"/>
        <w:numPr>
          <w:ilvl w:val="0"/>
          <w:numId w:val="19"/>
        </w:numPr>
        <w:spacing w:line="480" w:lineRule="auto"/>
        <w:rPr>
          <w:rFonts w:ascii="Times New Roman" w:hAnsi="Times New Roman" w:cs="Times New Roman"/>
          <w:sz w:val="24"/>
          <w:szCs w:val="24"/>
        </w:rPr>
      </w:pPr>
      <w:r w:rsidRPr="006F3B00">
        <w:rPr>
          <w:rFonts w:ascii="Times New Roman" w:hAnsi="Times New Roman" w:cs="Times New Roman"/>
          <w:sz w:val="24"/>
          <w:szCs w:val="24"/>
        </w:rPr>
        <w:t>what is expected of trainees at each stage of training</w:t>
      </w:r>
    </w:p>
    <w:p w14:paraId="702ABFEE" w14:textId="77777777" w:rsidR="00863DF5" w:rsidRPr="006F3B00" w:rsidRDefault="00863DF5" w:rsidP="001A1FF3">
      <w:pPr>
        <w:pStyle w:val="ListParagraph"/>
        <w:numPr>
          <w:ilvl w:val="0"/>
          <w:numId w:val="19"/>
        </w:numPr>
        <w:spacing w:line="480" w:lineRule="auto"/>
        <w:rPr>
          <w:rFonts w:ascii="Times New Roman" w:hAnsi="Times New Roman" w:cs="Times New Roman"/>
          <w:sz w:val="24"/>
          <w:szCs w:val="24"/>
        </w:rPr>
      </w:pPr>
      <w:r w:rsidRPr="006F3B00">
        <w:rPr>
          <w:rFonts w:ascii="Times New Roman" w:hAnsi="Times New Roman" w:cs="Times New Roman"/>
          <w:sz w:val="24"/>
          <w:szCs w:val="24"/>
        </w:rPr>
        <w:t>the knowledge, skills and attitudes relevant to histopathology</w:t>
      </w:r>
    </w:p>
    <w:p w14:paraId="331202A6" w14:textId="77777777" w:rsidR="00863DF5" w:rsidRPr="006F3B00" w:rsidRDefault="00863DF5" w:rsidP="001A1FF3">
      <w:pPr>
        <w:pStyle w:val="ListParagraph"/>
        <w:numPr>
          <w:ilvl w:val="0"/>
          <w:numId w:val="19"/>
        </w:numPr>
        <w:spacing w:line="480" w:lineRule="auto"/>
        <w:rPr>
          <w:rFonts w:ascii="Times New Roman" w:hAnsi="Times New Roman" w:cs="Times New Roman"/>
          <w:sz w:val="24"/>
          <w:szCs w:val="24"/>
        </w:rPr>
      </w:pPr>
      <w:r w:rsidRPr="006F3B00">
        <w:rPr>
          <w:rFonts w:ascii="Times New Roman" w:hAnsi="Times New Roman" w:cs="Times New Roman"/>
          <w:sz w:val="24"/>
          <w:szCs w:val="24"/>
        </w:rPr>
        <w:t>the assessment tools utilised during training</w:t>
      </w:r>
    </w:p>
    <w:p w14:paraId="54FC7771" w14:textId="12356F6B" w:rsidR="00863DF5" w:rsidRPr="006F3B00" w:rsidRDefault="00863DF5" w:rsidP="001A1FF3">
      <w:pPr>
        <w:pStyle w:val="ListParagraph"/>
        <w:numPr>
          <w:ilvl w:val="0"/>
          <w:numId w:val="19"/>
        </w:numPr>
        <w:spacing w:line="480" w:lineRule="auto"/>
        <w:rPr>
          <w:rFonts w:ascii="Times New Roman" w:hAnsi="Times New Roman" w:cs="Times New Roman"/>
          <w:sz w:val="24"/>
          <w:szCs w:val="24"/>
        </w:rPr>
      </w:pPr>
      <w:r w:rsidRPr="006F3B00">
        <w:rPr>
          <w:rFonts w:ascii="Times New Roman" w:hAnsi="Times New Roman" w:cs="Times New Roman"/>
          <w:sz w:val="24"/>
          <w:szCs w:val="24"/>
        </w:rPr>
        <w:t>generic ski</w:t>
      </w:r>
      <w:r w:rsidR="00951FB0">
        <w:rPr>
          <w:rFonts w:ascii="Times New Roman" w:hAnsi="Times New Roman" w:cs="Times New Roman"/>
          <w:sz w:val="24"/>
          <w:szCs w:val="24"/>
        </w:rPr>
        <w:t>lls required in histopathology, such as professionalism</w:t>
      </w:r>
    </w:p>
    <w:p w14:paraId="747EFB6C" w14:textId="1ADE7F93"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The training in histopathology is approximately 5 years with the two major examinations being the FRCPath Part1 (usually taken between years 2-3) and the FRCPath Part 2 (usually taken between years 3 and 5).</w:t>
      </w:r>
      <w:r w:rsidR="00996B7A">
        <w:rPr>
          <w:rFonts w:ascii="Times New Roman" w:hAnsi="Times New Roman" w:cs="Times New Roman"/>
          <w:sz w:val="24"/>
          <w:szCs w:val="24"/>
        </w:rPr>
        <w:t xml:space="preserve"> </w:t>
      </w:r>
      <w:r w:rsidRPr="006F3B00">
        <w:rPr>
          <w:rFonts w:ascii="Times New Roman" w:hAnsi="Times New Roman" w:cs="Times New Roman"/>
          <w:sz w:val="24"/>
          <w:szCs w:val="24"/>
        </w:rPr>
        <w:t>When trainees pass their FRCPath Part 2 exam, they enter Stage D of training which lasts a minimum of 12 months. The guidance provided by the RCPath states that it is “an opportunity for the trainee to start to develop areas of specialist interest and also attain confidence with independent reporting”. This stage of training is also present so the trainee can gain all the competencies required to be signed off and acquire their Certificate of Completion of</w:t>
      </w:r>
      <w:r w:rsidR="00C57DBF">
        <w:rPr>
          <w:rFonts w:ascii="Times New Roman" w:hAnsi="Times New Roman" w:cs="Times New Roman"/>
          <w:sz w:val="24"/>
          <w:szCs w:val="24"/>
        </w:rPr>
        <w:t xml:space="preserve"> Specialist</w:t>
      </w:r>
      <w:r w:rsidRPr="006F3B00">
        <w:rPr>
          <w:rFonts w:ascii="Times New Roman" w:hAnsi="Times New Roman" w:cs="Times New Roman"/>
          <w:sz w:val="24"/>
          <w:szCs w:val="24"/>
        </w:rPr>
        <w:t xml:space="preserve"> Training (CC</w:t>
      </w:r>
      <w:r w:rsidR="00C57DBF">
        <w:rPr>
          <w:rFonts w:ascii="Times New Roman" w:hAnsi="Times New Roman" w:cs="Times New Roman"/>
          <w:sz w:val="24"/>
          <w:szCs w:val="24"/>
        </w:rPr>
        <w:t>S</w:t>
      </w:r>
      <w:r w:rsidRPr="006F3B00">
        <w:rPr>
          <w:rFonts w:ascii="Times New Roman" w:hAnsi="Times New Roman" w:cs="Times New Roman"/>
          <w:sz w:val="24"/>
          <w:szCs w:val="24"/>
        </w:rPr>
        <w:t>T). To this end, the curriculum recommends minimum numbers of cases that a trainee must report and these cases should range from straightforward to complex. In addition, specific stage D competencies include:</w:t>
      </w:r>
    </w:p>
    <w:p w14:paraId="4680421D" w14:textId="4186839F" w:rsidR="00863DF5" w:rsidRPr="006F3B00" w:rsidRDefault="00863DF5" w:rsidP="001A1FF3">
      <w:pPr>
        <w:pStyle w:val="ListParagraph"/>
        <w:numPr>
          <w:ilvl w:val="0"/>
          <w:numId w:val="13"/>
        </w:numPr>
        <w:spacing w:after="0" w:line="480" w:lineRule="auto"/>
        <w:rPr>
          <w:rFonts w:ascii="Times New Roman" w:eastAsia="Times New Roman" w:hAnsi="Times New Roman" w:cs="Times New Roman"/>
          <w:sz w:val="24"/>
          <w:szCs w:val="24"/>
          <w:lang w:eastAsia="en-GB"/>
        </w:rPr>
      </w:pPr>
      <w:proofErr w:type="gramStart"/>
      <w:r w:rsidRPr="006F3B00">
        <w:rPr>
          <w:rFonts w:ascii="Times New Roman" w:eastAsia="Times New Roman" w:hAnsi="Times New Roman" w:cs="Times New Roman"/>
          <w:sz w:val="24"/>
          <w:szCs w:val="24"/>
          <w:lang w:eastAsia="en-GB"/>
        </w:rPr>
        <w:t>demonstrate</w:t>
      </w:r>
      <w:proofErr w:type="gramEnd"/>
      <w:r w:rsidRPr="006F3B00">
        <w:rPr>
          <w:rFonts w:ascii="Times New Roman" w:eastAsia="Times New Roman" w:hAnsi="Times New Roman" w:cs="Times New Roman"/>
          <w:sz w:val="24"/>
          <w:szCs w:val="24"/>
          <w:lang w:eastAsia="en-GB"/>
        </w:rPr>
        <w:t xml:space="preserve"> a level of knowledge and skill consistent with practise as a general or specialist consultant in histopathology in the National Health Service</w:t>
      </w:r>
      <w:r w:rsidR="00C57DBF">
        <w:rPr>
          <w:rFonts w:ascii="Times New Roman" w:eastAsia="Times New Roman" w:hAnsi="Times New Roman" w:cs="Times New Roman"/>
          <w:sz w:val="24"/>
          <w:szCs w:val="24"/>
          <w:lang w:eastAsia="en-GB"/>
        </w:rPr>
        <w:t xml:space="preserve"> (NHS)</w:t>
      </w:r>
      <w:r w:rsidRPr="006F3B00">
        <w:rPr>
          <w:rFonts w:ascii="Times New Roman" w:eastAsia="Times New Roman" w:hAnsi="Times New Roman" w:cs="Times New Roman"/>
          <w:sz w:val="24"/>
          <w:szCs w:val="24"/>
          <w:lang w:eastAsia="en-GB"/>
        </w:rPr>
        <w:t xml:space="preserve"> to include</w:t>
      </w:r>
      <w:r w:rsidR="00C57DBF">
        <w:rPr>
          <w:rFonts w:ascii="Times New Roman" w:eastAsia="Times New Roman" w:hAnsi="Times New Roman" w:cs="Times New Roman"/>
          <w:sz w:val="24"/>
          <w:szCs w:val="24"/>
          <w:lang w:eastAsia="en-GB"/>
        </w:rPr>
        <w:t xml:space="preserve"> Multi-disciplinary Team meeting</w:t>
      </w:r>
      <w:r w:rsidRPr="006F3B00">
        <w:rPr>
          <w:rFonts w:ascii="Times New Roman" w:eastAsia="Times New Roman" w:hAnsi="Times New Roman" w:cs="Times New Roman"/>
          <w:sz w:val="24"/>
          <w:szCs w:val="24"/>
          <w:lang w:eastAsia="en-GB"/>
        </w:rPr>
        <w:t xml:space="preserve"> </w:t>
      </w:r>
      <w:r w:rsidR="00C57DBF">
        <w:rPr>
          <w:rFonts w:ascii="Times New Roman" w:eastAsia="Times New Roman" w:hAnsi="Times New Roman" w:cs="Times New Roman"/>
          <w:sz w:val="24"/>
          <w:szCs w:val="24"/>
          <w:lang w:eastAsia="en-GB"/>
        </w:rPr>
        <w:t>(</w:t>
      </w:r>
      <w:r w:rsidRPr="006F3B00">
        <w:rPr>
          <w:rFonts w:ascii="Times New Roman" w:eastAsia="Times New Roman" w:hAnsi="Times New Roman" w:cs="Times New Roman"/>
          <w:sz w:val="24"/>
          <w:szCs w:val="24"/>
          <w:lang w:eastAsia="en-GB"/>
        </w:rPr>
        <w:t>MDT</w:t>
      </w:r>
      <w:r w:rsidR="00C57DBF">
        <w:rPr>
          <w:rFonts w:ascii="Times New Roman" w:eastAsia="Times New Roman" w:hAnsi="Times New Roman" w:cs="Times New Roman"/>
          <w:sz w:val="24"/>
          <w:szCs w:val="24"/>
          <w:lang w:eastAsia="en-GB"/>
        </w:rPr>
        <w:t>)</w:t>
      </w:r>
      <w:r w:rsidRPr="006F3B00">
        <w:rPr>
          <w:rFonts w:ascii="Times New Roman" w:eastAsia="Times New Roman" w:hAnsi="Times New Roman" w:cs="Times New Roman"/>
          <w:sz w:val="24"/>
          <w:szCs w:val="24"/>
          <w:lang w:eastAsia="en-GB"/>
        </w:rPr>
        <w:t xml:space="preserve"> presentation.</w:t>
      </w:r>
    </w:p>
    <w:p w14:paraId="41753152" w14:textId="77777777" w:rsidR="00863DF5" w:rsidRPr="006F3B00" w:rsidRDefault="00863DF5" w:rsidP="001A1FF3">
      <w:pPr>
        <w:pStyle w:val="ListParagraph"/>
        <w:numPr>
          <w:ilvl w:val="0"/>
          <w:numId w:val="13"/>
        </w:num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demonstrate the ability to report independently</w:t>
      </w:r>
    </w:p>
    <w:p w14:paraId="47F1E803" w14:textId="77777777" w:rsidR="00863DF5" w:rsidRPr="006F3B00" w:rsidRDefault="00863DF5" w:rsidP="001A1FF3">
      <w:pPr>
        <w:pStyle w:val="ListParagraph"/>
        <w:numPr>
          <w:ilvl w:val="0"/>
          <w:numId w:val="13"/>
        </w:num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explore specialist interest if applicable or maintain in depth general reporting</w:t>
      </w:r>
    </w:p>
    <w:p w14:paraId="265E9109" w14:textId="77777777" w:rsidR="00863DF5" w:rsidRPr="006F3B00" w:rsidRDefault="00863DF5" w:rsidP="001A1FF3">
      <w:pPr>
        <w:pStyle w:val="ListParagraph"/>
        <w:numPr>
          <w:ilvl w:val="0"/>
          <w:numId w:val="13"/>
        </w:num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develop experience of teaching histopathology trainees and other professional groups</w:t>
      </w:r>
    </w:p>
    <w:p w14:paraId="14EEC6DC" w14:textId="77777777" w:rsidR="00863DF5" w:rsidRPr="006F3B00" w:rsidRDefault="00863DF5" w:rsidP="00863DF5">
      <w:pPr>
        <w:spacing w:after="0" w:line="480" w:lineRule="auto"/>
        <w:rPr>
          <w:rFonts w:ascii="Times New Roman" w:eastAsia="Times New Roman" w:hAnsi="Times New Roman" w:cs="Times New Roman"/>
          <w:sz w:val="24"/>
          <w:szCs w:val="24"/>
          <w:lang w:eastAsia="en-GB"/>
        </w:rPr>
      </w:pPr>
    </w:p>
    <w:p w14:paraId="5D03ECFA" w14:textId="046AEF2B" w:rsidR="006121BA"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The RCPath has also utilised a competency-based framework for graded responsibility, such that trainees may be “signed off” for certain diagnoses during training</w:t>
      </w:r>
      <w:r w:rsidR="002807C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{"citationItems":[{"id":"ITEM-1","itemData":{"URL":"https://www.rcpath.org/uploads/assets/uploaded/59dec221-2f13-4a97-bd845fc4c6bf4183.pdf","accessed":{"date-parts":[["2019","1","31"]]},"author":[{"dropping-particle":"","family":"Pathologists","given":"The Royal College of","non-dropping-particle":"","parse-names":false,"suffix":""}],"id":"ITEM-1","issued":{"date-parts":[["2009"]]},"page":"1-18","title":"A Competency Based Framework for Graded Responsibility for Specialist Registrar and Specialty Registrars in Histopathology and Cytopathology","type":"webpage"},"uris":["http://www.mendeley.com/documents/?uuid=0212f74c-7587-4311-803a-5e7425c5b81a"]}],"mendeley":{"formattedCitation":"(Pathologists, 2009)","plainTextFormattedCitation":"(Pathologists, 2009)","previouslyFormattedCitation":"(Pathologists 2009)"},"properties":{"noteIndex":0},"schema":"https://github.com/citation-style-language/schema/raw/master/csl-citation.json"}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1E57BC">
        <w:rPr>
          <w:rFonts w:ascii="Times New Roman" w:hAnsi="Times New Roman" w:cs="Times New Roman"/>
          <w:noProof/>
          <w:sz w:val="24"/>
          <w:szCs w:val="24"/>
        </w:rPr>
        <w:t>The Royal College of Pathologists</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Here, the different body systems (e.g. head and neck pathology) have an associated list of lesions which a trainee should be able to report at each stage of training. Once a trainee is signed off for each lesion they would then, in theory, be able to report this lesion independently. At level 1 a trainee can be signed off </w:t>
      </w:r>
      <w:r w:rsidRPr="006F3B00">
        <w:rPr>
          <w:rFonts w:ascii="Times New Roman" w:hAnsi="Times New Roman" w:cs="Times New Roman"/>
          <w:sz w:val="24"/>
          <w:szCs w:val="24"/>
        </w:rPr>
        <w:lastRenderedPageBreak/>
        <w:t>for reporting fibro-epithelial polyps in the head and neck, yet it is only at level 4 (the highest level) that a trainee can be signed off for a granular cell tumour. While it is important that trainees are given responsibilities so that they can have experience of acting like a consultant, it is not clear how helpful it is to ascribe certain lesions to particular stages of training. For example, while a fibro-epithelial polyp is straight-forward to diagnose, not every lesion which is polyp-shaped will be a fibro-epithelial polyp. To explain further, a spindle cell carcinoma can also present as a polyp and the differences can sometimes be quite subtle. Could a trainee potentially miss the spindle cells and sign this case out as a fibro-epithelial polyp if they have never seen a spindle cell carcinoma before? There may be some truth in the phrase “ignorance is bliss”!</w:t>
      </w:r>
    </w:p>
    <w:p w14:paraId="0512C5DC" w14:textId="577E6113" w:rsidR="006121BA"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Currently, it is not clear what evidence is used to support graded competency decisions but the outcomes of WBAs could offer some insight.  However, independent reporting is not utilised in all training centres and often, trainers only allow independent reporting once trainees have passed their F</w:t>
      </w:r>
      <w:r w:rsidR="00996B7A">
        <w:rPr>
          <w:rFonts w:ascii="Times New Roman" w:hAnsi="Times New Roman" w:cs="Times New Roman"/>
          <w:sz w:val="24"/>
          <w:szCs w:val="24"/>
        </w:rPr>
        <w:t>RCPath Part 2 exam. In some centres</w:t>
      </w:r>
      <w:r w:rsidRPr="006F3B00">
        <w:rPr>
          <w:rFonts w:ascii="Times New Roman" w:hAnsi="Times New Roman" w:cs="Times New Roman"/>
          <w:sz w:val="24"/>
          <w:szCs w:val="24"/>
        </w:rPr>
        <w:t>, these reports would also be audited by the overseeing consultant to ensure correct diagnoses are being signed out by the trainee. Eventually, once the consultant can see that correct diagnoses are being consistently given, the trainee would no longer need auditing. This step-wise approach can help to protect patient safety as well as providing evidence that the trainee’s work has been quality assured.</w:t>
      </w:r>
    </w:p>
    <w:p w14:paraId="0D8BE7D1" w14:textId="4B103E90"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Within the histopathology curriculum document, it states the competencies required for each stage of training and the assessment tools used to assess these competencies</w:t>
      </w:r>
      <w:r w:rsidR="00FC522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{"citationItems":[{"id":"ITEM-1","itemData":{"URL":"https://www.rcpath.org/uploads/assets/uploaded/f8695439-ce47-4046-b13c1f6202fd8468.pdf","accessed":{"date-parts":[["2011","8","20"]]},"author":[{"dropping-particle":"","family":"Pathologists","given":"The Royal College of","non-dropping-particle":"","parse-names":false,"suffix":""}],"id":"ITEM-1","issued":{"date-parts":[["2015"]]},"title":"CURRICULUM FOR SPECIALTY TRAINING IN HISTOPATHOLOGY","type":"webpage"},"uris":["http://www.mendeley.com/documents/?uuid=a01fada6-0b1d-4988-844f-820c81a74765"]}],"mendeley":{"formattedCitation":"(Pathologists, 2015)","plainTextFormattedCitation":"(Pathologists, 2015)","previouslyFormattedCitation":"(Pathologists 2015)"},"properties":{"noteIndex":0},"schema":"https://github.com/citation-style-language/schema/raw/master/csl-citation.json"}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1E57BC">
        <w:rPr>
          <w:rFonts w:ascii="Times New Roman" w:hAnsi="Times New Roman" w:cs="Times New Roman"/>
          <w:noProof/>
          <w:sz w:val="24"/>
          <w:szCs w:val="24"/>
        </w:rPr>
        <w:t>Royal College of Pathologists</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More detail is given in the “Blueprints for the pathology assessment systems” document which maps assessment tools to each of the learning outcomes</w:t>
      </w:r>
      <w:r w:rsidR="00FC522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{"citationItems":[{"id":"ITEM-1","itemData":{"URL":"https://www.rcpath.org/uploads/assets/uploaded/901fb4ec-b076-4a72-af51c62a796b41c0.pdf","accessed":{"date-parts":[["2019","1","31"]]},"author":[{"dropping-particle":"","family":"Pathologists","given":"The Royal College of","non-dropping-particle":"","parse-names":false,"suffix":""}],"id":"ITEM-1","issued":{"date-parts":[["2010"]]},"page":"1-7","title":"Blueprints for the pathology assessment systems","type":"webpage"},"uris":["http://www.mendeley.com/documents/?uuid=25c56282-7b91-4af7-bc2b-ee6b342376a6"]}],"mendeley":{"formattedCitation":"(Pathologists, 2010)","plainTextFormattedCitation":"(Pathologists, 2010)","previouslyFormattedCitation":"(Pathologists 2010)"},"properties":{"noteIndex":0},"schema":"https://github.com/citation-style-language/schema/raw/master/csl-citation.json"}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1E57BC">
        <w:rPr>
          <w:rFonts w:ascii="Times New Roman" w:hAnsi="Times New Roman" w:cs="Times New Roman"/>
          <w:noProof/>
          <w:sz w:val="24"/>
          <w:szCs w:val="24"/>
        </w:rPr>
        <w:t>Royal College of Pathologists</w:t>
      </w:r>
      <w:r w:rsidR="00BE3B6C" w:rsidRPr="00BE3B6C">
        <w:rPr>
          <w:rFonts w:ascii="Times New Roman" w:hAnsi="Times New Roman" w:cs="Times New Roman"/>
          <w:noProof/>
          <w:sz w:val="24"/>
          <w:szCs w:val="24"/>
        </w:rPr>
        <w:t xml:space="preserve"> 2010)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Exams (FRCPath Part 1 and 2) are sometimes listed, but the educational supervisors report (ESR) and WBAs are utilised </w:t>
      </w:r>
      <w:r w:rsidRPr="006F3B00">
        <w:rPr>
          <w:rFonts w:ascii="Times New Roman" w:hAnsi="Times New Roman" w:cs="Times New Roman"/>
          <w:sz w:val="24"/>
          <w:szCs w:val="24"/>
        </w:rPr>
        <w:lastRenderedPageBreak/>
        <w:t>most widely. The ESR is an annual statement on the trainee’s progress, which to some extent, may use outcomes from WBAs to inform its content. Based on the curriculum and assessment blueprints, WBAs are probably the most frequently used assessment tool to assess competency in histopathology. Of note, the curriculum actually states that WBAs are meant to be formative in nature but one might argue that they are being used to assess competency which is more in line with summative assessment.  The confusion is compounded further by the curriculum stating that a minimum number of WBAs are required per year. Setting minimum numbers for a formative assessment risks making the assessment sound summative as formative assessments should be geared towards individual learners and not a set prescription.</w:t>
      </w:r>
    </w:p>
    <w:p w14:paraId="4B490635" w14:textId="6451925C" w:rsidR="00863DF5" w:rsidRPr="001E57BC" w:rsidRDefault="00863DF5" w:rsidP="00863DF5">
      <w:pPr>
        <w:spacing w:after="120" w:line="480" w:lineRule="auto"/>
        <w:rPr>
          <w:rFonts w:ascii="Times New Roman" w:eastAsia="Times New Roman" w:hAnsi="Times New Roman" w:cs="Times New Roman"/>
          <w:noProof/>
          <w:sz w:val="24"/>
          <w:szCs w:val="24"/>
          <w:lang w:eastAsia="en-GB"/>
        </w:rPr>
      </w:pPr>
      <w:r w:rsidRPr="001E57BC">
        <w:rPr>
          <w:rFonts w:ascii="Times New Roman" w:eastAsia="Times New Roman" w:hAnsi="Times New Roman" w:cs="Times New Roman"/>
          <w:sz w:val="24"/>
          <w:szCs w:val="24"/>
          <w:lang w:eastAsia="en-GB"/>
        </w:rPr>
        <w:t xml:space="preserve">Identifying relevant competencies and grouping or assigning them to overall outcomes can be challenging </w:t>
      </w:r>
      <w:r w:rsidRPr="001E57BC">
        <w:rPr>
          <w:rFonts w:ascii="Times New Roman" w:eastAsia="Times New Roman" w:hAnsi="Times New Roman" w:cs="Times New Roman"/>
          <w:sz w:val="24"/>
          <w:szCs w:val="24"/>
          <w:lang w:eastAsia="en-GB"/>
        </w:rPr>
        <w:fldChar w:fldCharType="begin" w:fldLock="1"/>
      </w:r>
      <w:r w:rsidR="00BE3B6C" w:rsidRPr="001E57BC">
        <w:rPr>
          <w:rFonts w:ascii="Times New Roman" w:eastAsia="Times New Roman" w:hAnsi="Times New Roman" w:cs="Times New Roman"/>
          <w:sz w:val="24"/>
          <w:szCs w:val="24"/>
          <w:lang w:eastAsia="en-GB"/>
        </w:rPr>
        <w:instrText>ADDIN CSL_CITATION {"citationItems":[{"id":"ITEM-1","itemData":{"DOI":"10.1097/ACM.0b013e31820442e9","ISBN":"1938-808X (Electronic)\\r1040-2446 (Linking)","ISSN":"1040-2446","PMID":"21169788","abstract":"Regulatory organizations have recently emphasized the importance of structuring graduate medical education around mastery of core competencies. The difficulty is that core competencies attempt to distill a range of professional behaviors into arguable abstractions. As such, competencies can be difficult to grasp for trainees and faculty, who see them as unrelated to the intricacies of daily patient care. In this article, the authors describe how two initiatives are converging in a way that should make competencies tangible and relevant. One initiative is based on the idea that competencies will be more meaningful if trainees understand specifically how they relate to important professional activities in their own specialty. The authors suggest that there is a dyadic relationship between competencies and major professional activities in pediatric medicine. They also suggest that these relationships should be discussed as part of the process by which trainees are entrusted to perform clinical activities without direct supervision. The other initiative proposes to construct narrative milestones that provide a picture of what progression toward mastery of core competencies might look like. Together, the authors argue, these two initiatives should illuminate the core competencies by providing relevant clinical context and valuable educational substance.","author":[{"dropping-particle":"","family":"Jones","given":"M Douglas","non-dropping-particle":"","parse-names":false,"suffix":""},{"dropping-particle":"","family":"Rosenberg","given":"Adam a","non-dropping-particle":"","parse-names":false,"suffix":""},{"dropping-particle":"","family":"Gilhooly","given":"Joseph T","non-dropping-particle":"","parse-names":false,"suffix":""},{"dropping-particle":"","family":"Carraccio","given":"Carol L","non-dropping-particle":"","parse-names":false,"suffix":""}],"container-title":"Academic medicine : journal of the Association of American Medical Colleges","id":"ITEM-1","issue":"2","issued":{"date-parts":[["2011"]]},"page":"161-165","title":"Perspective: Competencies, outcomes, and controversy--linking professional activities to competencies to improve resident education and practice.","type":"article-journal","volume":"86"},"uris":["http://www.mendeley.com/documents/?uuid=5380ed04-22c7-46be-a4be-898ae38f5b94","http://www.mendeley.com/documents/?uuid=a20ba359-3128-44da-aa2c-bb9ca0ee8866"]}],"mendeley":{"formattedCitation":"(Jones &lt;i&gt;et al.&lt;/i&gt;, 2011)","plainTextFormattedCitation":"(Jones et al., 2011)","previouslyFormattedCitation":"(M. D. Jones et al. 2011)"},"properties":{"noteIndex":0},"schema":"https://github.com/citation-style-language/schema/raw/master/csl-citation.json"}</w:instrText>
      </w:r>
      <w:r w:rsidRPr="001E57BC">
        <w:rPr>
          <w:rFonts w:ascii="Times New Roman" w:eastAsia="Times New Roman" w:hAnsi="Times New Roman" w:cs="Times New Roman"/>
          <w:sz w:val="24"/>
          <w:szCs w:val="24"/>
          <w:lang w:eastAsia="en-GB"/>
        </w:rPr>
        <w:fldChar w:fldCharType="separate"/>
      </w:r>
      <w:r w:rsidR="00BE3B6C" w:rsidRPr="001E57BC">
        <w:rPr>
          <w:rFonts w:ascii="Times New Roman" w:eastAsia="Times New Roman" w:hAnsi="Times New Roman" w:cs="Times New Roman"/>
          <w:noProof/>
          <w:sz w:val="24"/>
          <w:szCs w:val="24"/>
          <w:lang w:eastAsia="en-GB"/>
        </w:rPr>
        <w:t>(Jones et al. 2011)</w:t>
      </w:r>
      <w:r w:rsidRPr="001E57BC">
        <w:rPr>
          <w:rFonts w:ascii="Times New Roman" w:eastAsia="Times New Roman" w:hAnsi="Times New Roman" w:cs="Times New Roman"/>
          <w:sz w:val="24"/>
          <w:szCs w:val="24"/>
          <w:lang w:eastAsia="en-GB"/>
        </w:rPr>
        <w:fldChar w:fldCharType="end"/>
      </w:r>
      <w:r w:rsidRPr="001E57BC">
        <w:rPr>
          <w:rFonts w:ascii="Times New Roman" w:eastAsia="Times New Roman" w:hAnsi="Times New Roman" w:cs="Times New Roman"/>
          <w:sz w:val="24"/>
          <w:szCs w:val="24"/>
          <w:lang w:eastAsia="en-GB"/>
        </w:rPr>
        <w:t xml:space="preserve"> but in the United States, the Next Accreditation System (NAS) has utilised educational milestones within pathology education</w:t>
      </w:r>
      <w:r w:rsidR="002807CD" w:rsidRPr="001E57BC">
        <w:rPr>
          <w:rFonts w:ascii="Times New Roman" w:eastAsia="Times New Roman" w:hAnsi="Times New Roman" w:cs="Times New Roman"/>
          <w:sz w:val="24"/>
          <w:szCs w:val="24"/>
          <w:lang w:eastAsia="en-GB"/>
        </w:rPr>
        <w:t xml:space="preserve"> </w:t>
      </w:r>
      <w:r w:rsidRPr="001E57BC">
        <w:rPr>
          <w:rFonts w:ascii="Times New Roman" w:eastAsia="Times New Roman" w:hAnsi="Times New Roman" w:cs="Times New Roman"/>
          <w:sz w:val="24"/>
          <w:szCs w:val="24"/>
          <w:lang w:eastAsia="en-GB"/>
        </w:rPr>
        <w:fldChar w:fldCharType="begin" w:fldLock="1"/>
      </w:r>
      <w:r w:rsidR="00BE3B6C" w:rsidRPr="001E57BC">
        <w:rPr>
          <w:rFonts w:ascii="Times New Roman" w:eastAsia="Times New Roman" w:hAnsi="Times New Roman" w:cs="Times New Roman"/>
          <w:sz w:val="24"/>
          <w:szCs w:val="24"/>
          <w:lang w:eastAsia="en-GB"/>
        </w:rPr>
        <w:instrText>ADDIN CSL_CITATION {"citationItems":[{"id":"ITEM-1","itemData":{"DOI":"10.5858/arpa.2013-0046-OA","ISSN":"1543-2165","PMID":"24878020","abstract":"CONTEXT: Systems-based practice (SBP) is 1 of 6 core competencies required in all resident training programs accredited by the Accreditation Council for Graduate Medical Education. Reliable methods of assessing resident competency in SBP have not been described in the medical literature.\\n\\nOBJECTIVE: To develop and validate an analytic grading rubric to assess pathology residents' analyses of SBP problems in clinical chemistry.\\n\\nDESIGN: Residents were assigned an SBP project based upon unmet clinical needs in the clinical chemistry laboratories. Using an iterative method, we created an analytic grading rubric based on critical thinking principles. Four faculty raters used the SBP project evaluation rubric to independently grade 11 residents' projects during their clinical chemistry rotations. Interrater reliability and Cronbach α were calculated to determine the reliability and validity of the rubric. Project mean scores and range were also assessed to determine whether the rubric differentiated resident critical thinking skills related to the SBP projects.\\n\\nRESULTS: Overall project scores ranged from 6.56 to 16.50 out of a possible 20 points. Cronbach α ranged from 0.91 to 0.96, indicating that the 4 rubric categories were internally consistent without significant overlap. Intraclass correlation coefficients ranged from 0.63 to 0.81, indicating moderate to strong interrater reliability.\\n\\nCONCLUSIONS: We report development and statistical analysis of a novel SBP project evaluation rubric. The results indicate the rubric can be used to reliably assess pathology residents' critical thinking skills in SBP.","author":[{"dropping-particle":"","family":"Vitek","given":"Carolyn R","non-dropping-particle":"","parse-names":false,"suffix":""},{"dropping-particle":"","family":"Dale","given":"Jane C","non-dropping-particle":"","parse-names":false,"suffix":""},{"dropping-particle":"","family":"Homburger","given":"Henry A","non-dropping-particle":"","parse-names":false,"suffix":""},{"dropping-particle":"","family":"Bryant","given":"Sandra C","non-dropping-particle":"","parse-names":false,"suffix":""},{"dropping-particle":"","family":"Saenger","given":"Amy K","non-dropping-particle":"","parse-names":false,"suffix":""},{"dropping-particle":"","family":"Karon","given":"Brad S","non-dropping-particle":"","parse-names":false,"suffix":""}],"container-title":"Archives of pathology &amp; laboratory medicine","id":"ITEM-1","issue":"6","issued":{"date-parts":[["2014"]]},"page":"809-13","title":"Development and initial validation of a project-based rubric to assess the systems-based practice competency of residents in the clinical chemistry rotation of a pathology residency.","type":"article-journal","volume":"138"},"uris":["http://www.mendeley.com/documents/?uuid=8fe2f8dc-8046-4520-b30c-2c1685977e98","http://www.mendeley.com/documents/?uuid=d731560b-e65c-4f29-bdd2-3e036063d3a2"]}],"mendeley":{"formattedCitation":"(Vitek &lt;i&gt;et al.&lt;/i&gt;, 2014)","plainTextFormattedCitation":"(Vitek et al., 2014)","previouslyFormattedCitation":"(Vitek et al. 2014)"},"properties":{"noteIndex":0},"schema":"https://github.com/citation-style-language/schema/raw/master/csl-citation.json"}</w:instrText>
      </w:r>
      <w:r w:rsidRPr="001E57BC">
        <w:rPr>
          <w:rFonts w:ascii="Times New Roman" w:eastAsia="Times New Roman" w:hAnsi="Times New Roman" w:cs="Times New Roman"/>
          <w:sz w:val="24"/>
          <w:szCs w:val="24"/>
          <w:lang w:eastAsia="en-GB"/>
        </w:rPr>
        <w:fldChar w:fldCharType="separate"/>
      </w:r>
      <w:r w:rsidR="00BE3B6C" w:rsidRPr="001E57BC">
        <w:rPr>
          <w:rFonts w:ascii="Times New Roman" w:eastAsia="Times New Roman" w:hAnsi="Times New Roman" w:cs="Times New Roman"/>
          <w:noProof/>
          <w:sz w:val="24"/>
          <w:szCs w:val="24"/>
          <w:lang w:eastAsia="en-GB"/>
        </w:rPr>
        <w:t>(Vitek et al. 2014</w:t>
      </w:r>
      <w:r w:rsidRPr="001E57BC">
        <w:rPr>
          <w:rFonts w:ascii="Times New Roman" w:eastAsia="Times New Roman" w:hAnsi="Times New Roman" w:cs="Times New Roman"/>
          <w:sz w:val="24"/>
          <w:szCs w:val="24"/>
          <w:lang w:eastAsia="en-GB"/>
        </w:rPr>
        <w:fldChar w:fldCharType="end"/>
      </w:r>
      <w:r w:rsidR="001E57BC">
        <w:rPr>
          <w:rFonts w:ascii="Times New Roman" w:eastAsia="Times New Roman" w:hAnsi="Times New Roman" w:cs="Times New Roman"/>
          <w:sz w:val="24"/>
          <w:szCs w:val="24"/>
          <w:lang w:eastAsia="en-GB"/>
        </w:rPr>
        <w:t xml:space="preserve">; </w:t>
      </w:r>
      <w:r w:rsidRPr="001E57BC">
        <w:rPr>
          <w:rFonts w:ascii="Times New Roman" w:eastAsia="Times New Roman" w:hAnsi="Times New Roman" w:cs="Times New Roman"/>
          <w:sz w:val="24"/>
          <w:szCs w:val="24"/>
          <w:lang w:eastAsia="en-GB"/>
        </w:rPr>
        <w:fldChar w:fldCharType="begin" w:fldLock="1"/>
      </w:r>
      <w:r w:rsidR="00BE3B6C" w:rsidRPr="001E57BC">
        <w:rPr>
          <w:rFonts w:ascii="Times New Roman" w:eastAsia="Times New Roman" w:hAnsi="Times New Roman" w:cs="Times New Roman"/>
          <w:sz w:val="24"/>
          <w:szCs w:val="24"/>
          <w:lang w:eastAsia="en-GB"/>
        </w:rPr>
        <w:instrText>ADDIN CSL_CITATION {"citationItems":[{"id":"ITEM-1","itemData":{"DOI":"10.5858/arpa.2013-0260-SA","ISBN":"1543-2165 (Electronic)\\n0003-9985 (Linking)","ISSN":"15432165","PMID":"24576024","abstract":"Context.-In the late 1990s, the Accreditation Council for Graduate Medical Education developed the Outcomes Project and the 6 general competencies with the intent to improve the outcome of graduate medical education in the United States. The competencies were used as the basis for developing learning goals and objectives and tools to evaluate residents' performance. By the mid-2000s the stakeholders in resident education and the general public felt that the Outcomes Project had fallen short of expectations. Objective.-To develop a new evaluation method to track trainee progress throughout residency using benchmarks called milestones. A change in leadership at the Accreditation Council for Graduate Medical Education brought a new vision for the accreditation of training programs and a radically different approach to the evaluation of residents. Data Sources.-The Pathology Milestones Working Group reviewed examples of developing milestones in other specialties, the literature, and the Accreditation Council for Graduate Medical Education program requirements for pathology to develop pathology milestones. The pathology milestones are a set of objective descriptors for measuring progress in the development of competency in patient care, procedural skill sets, medical knowledge, practice-based learning and improvement, interpersonal and communication skills, professionalism, and systems-based practice. Conclusions.-The milestones provide a national standard for evaluation that will be used for the assessment of all residents in Accreditation Council for Graduate Medical Education-accredited pathology training programs.","author":[{"dropping-particle":"","family":"Naritoku","given":"Wesley Y.","non-dropping-particle":"","parse-names":false,"suffix":""},{"dropping-particle":"","family":"Alexander","given":"C. Bruce","non-dropping-particle":"","parse-names":false,"suffix":""},{"dropping-particle":"","family":"Bennett","given":"Betsy D.","non-dropping-particle":"","parse-names":false,"suffix":""},{"dropping-particle":"","family":"Black-Schaffer","given":"W. Stephen","non-dropping-particle":"","parse-names":false,"suffix":""},{"dropping-particle":"","family":"Brissette","given":"Mark D.","non-dropping-particle":"","parse-names":false,"suffix":""},{"dropping-particle":"","family":"Grimes","given":"Margaret M.","non-dropping-particle":"","parse-names":false,"suffix":""},{"dropping-particle":"","family":"Hoffman","given":"Robert D.","non-dropping-particle":"","parse-names":false,"suffix":""},{"dropping-particle":"","family":"Hunt","given":"Jennifer L.","non-dropping-particle":"","parse-names":false,"suffix":""},{"dropping-particle":"","family":"Iezzoni","given":"Julia C.","non-dropping-particle":"","parse-names":false,"suffix":""},{"dropping-particle":"","family":"Johnson","given":"Rebecca","non-dropping-particle":"","parse-names":false,"suffix":""},{"dropping-particle":"","family":"Kozel","given":"Jessica","non-dropping-particle":"","parse-names":false,"suffix":""},{"dropping-particle":"","family":"Mendoza","given":"Ricardo M.","non-dropping-particle":"","parse-names":false,"suffix":""},{"dropping-particle":"","family":"Post","given":"Miriam D.","non-dropping-particle":"","parse-names":false,"suffix":""},{"dropping-particle":"","family":"Powell","given":"Suzanne Z.","non-dropping-particle":"","parse-names":false,"suffix":""},{"dropping-particle":"","family":"Procop","given":"Gary W.","non-dropping-particle":"","parse-names":false,"suffix":""},{"dropping-particle":"","family":"Steinberg","given":"Jacob J.","non-dropping-particle":"","parse-names":false,"suffix":""},{"dropping-particle":"","family":"Thorsen","given":"Linda M.","non-dropping-particle":"","parse-names":false,"suffix":""},{"dropping-particle":"","family":"Nestler","given":"Steven P.","non-dropping-particle":"","parse-names":false,"suffix":""}],"container-title":"Archives of Pathology and Laboratory Medicine","id":"ITEM-1","issue":"3","issued":{"date-parts":[["2014"]]},"page":"307-315","title":"The pathology milestones and the next accreditation system","type":"article-journal","volume":"138"},"uris":["http://www.mendeley.com/documents/?uuid=0466fb75-b745-48ac-8a25-cf3fa66e36d7","http://www.mendeley.com/documents/?uuid=2b0531bc-1177-48f6-8019-5b81005494c9"]}],"mendeley":{"formattedCitation":"(Naritoku &lt;i&gt;et al.&lt;/i&gt;, 2014)","plainTextFormattedCitation":"(Naritoku et al., 2014)","previouslyFormattedCitation":"(Naritoku et al. 2014)"},"properties":{"noteIndex":0},"schema":"https://github.com/citation-style-language/schema/raw/master/csl-citation.json"}</w:instrText>
      </w:r>
      <w:r w:rsidRPr="001E57BC">
        <w:rPr>
          <w:rFonts w:ascii="Times New Roman" w:eastAsia="Times New Roman" w:hAnsi="Times New Roman" w:cs="Times New Roman"/>
          <w:sz w:val="24"/>
          <w:szCs w:val="24"/>
          <w:lang w:eastAsia="en-GB"/>
        </w:rPr>
        <w:fldChar w:fldCharType="separate"/>
      </w:r>
      <w:r w:rsidR="00BE3B6C" w:rsidRPr="001E57BC">
        <w:rPr>
          <w:rFonts w:ascii="Times New Roman" w:eastAsia="Times New Roman" w:hAnsi="Times New Roman" w:cs="Times New Roman"/>
          <w:noProof/>
          <w:sz w:val="24"/>
          <w:szCs w:val="24"/>
          <w:lang w:eastAsia="en-GB"/>
        </w:rPr>
        <w:t>Naritoku et al. 2014)</w:t>
      </w:r>
      <w:r w:rsidRPr="001E57BC">
        <w:rPr>
          <w:rFonts w:ascii="Times New Roman" w:eastAsia="Times New Roman" w:hAnsi="Times New Roman" w:cs="Times New Roman"/>
          <w:sz w:val="24"/>
          <w:szCs w:val="24"/>
          <w:lang w:eastAsia="en-GB"/>
        </w:rPr>
        <w:fldChar w:fldCharType="end"/>
      </w:r>
      <w:r w:rsidRPr="001E57BC">
        <w:rPr>
          <w:rFonts w:ascii="Times New Roman" w:eastAsia="Times New Roman" w:hAnsi="Times New Roman" w:cs="Times New Roman"/>
          <w:sz w:val="24"/>
          <w:szCs w:val="24"/>
          <w:lang w:eastAsia="en-GB"/>
        </w:rPr>
        <w:t>.  Educational milestones are created for a particular speciality and document</w:t>
      </w:r>
      <w:r w:rsidRPr="006F3B00">
        <w:rPr>
          <w:rFonts w:ascii="Times New Roman" w:eastAsia="Times New Roman" w:hAnsi="Times New Roman" w:cs="Times New Roman"/>
          <w:sz w:val="24"/>
          <w:szCs w:val="24"/>
          <w:lang w:eastAsia="en-GB"/>
        </w:rPr>
        <w:t>, in a sequential way, a trainees’ progression through a defined set of competencies. Trainee progression is assessed at regular, established intervals throughout training, using tools analogous to WBAs. Similar to milestones, rubrics are used widely in education to assess performance</w:t>
      </w:r>
      <w:r w:rsidR="002807CD">
        <w:rPr>
          <w:rFonts w:ascii="Times New Roman" w:eastAsia="Times New Roman" w:hAnsi="Times New Roman" w:cs="Times New Roman"/>
          <w:sz w:val="24"/>
          <w:szCs w:val="24"/>
          <w:lang w:eastAsia="en-GB"/>
        </w:rPr>
        <w:t xml:space="preserve"> </w:t>
      </w:r>
      <w:r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{"citationItems":[{"id":"ITEM-1","itemData":{"DOI":"10.1016/j.edurev.2007.05.002","ISBN":"1747-938X","ISSN":"1747938X","abstract":"Several benefits of using scoring rubrics in performance assessments have been proposed, such as increased consistency of scoring, the possibility to facilitate valid judgment of complex competencies, and promotion of learning. This paper investigates whether evidence for these claims can be found in the research literature. Several databases were searched for empirical research on rubrics, resulting in a total of 75 studies relevant for this review. Conclusions are that: (1) the reliable scoring of performance assessments can be enhanced by the use of rubrics, especially if they are analytic, topic-specific, and complemented with exemplars and/or rater training; (2) rubrics do not facilitate valid judgment of performance assessments per se. However, valid assessment could be facilitated by using a more comprehensive framework of validity when validating the rubric; (3) rubrics seem to have the potential of promoting learning and/or improve instruction. The main reason for this potential lies in the fact that rubrics make expectations and criteria explicit, which also facilitates feedback and self-assessment. ?? 2007 Elsevier Ltd. All rights reserved.","author":[{"dropping-particle":"","family":"Jonsson","given":"Anders","non-dropping-particle":"","parse-names":false,"suffix":""},{"dropping-particle":"","family":"Svingby","given":"Gunilla","non-dropping-particle":"","parse-names":false,"suffix":""}],"container-title":"Educational Research Review","id":"ITEM-1","issue":"2","issued":{"date-parts":[["2007"]]},"page":"130-144","title":"The use of scoring rubrics: Reliability, validity and educational consequences","type":"article-journal","volume":"2"},"uris":["http://www.mendeley.com/documents/?uuid=a3d4141a-239b-4e4a-9577-64b8e582be04","http://www.mendeley.com/documents/?uuid=202db928-21c7-44cd-b37e-9bc3804e3df8"]},{"id":"ITEM-2","itemData":{"ISSN":"ISSN-1531-7714","abstract":"Moskal, Barbara M. &amp; Jon A. Leydens (2000). Scoring rubric development: validity and reliability. Practical Assessment, Research &amp; Evaluation, 7(10). Retrieved March 31, 2015 from http://PAREonline.net/getvn.asp?v=7&amp;n=10 . This paper has been viewed 187,925 times since 11/6/2000.","author":[{"dropping-particle":"","family":"Moskal","given":"Barbara M","non-dropping-particle":"","parse-names":false,"suffix":""},{"dropping-particle":"","family":"Leydens","given":"Jon A","non-dropping-particle":"","parse-names":false,"suffix":""}],"container-title":"PARE: Practical Assessment, Research &amp; Evaluation","id":"ITEM-2","issue":"10","issued":{"date-parts":[["2000"]]},"page":"1-10","title":"Scoring rubric development: validity and reliability","type":"article-journal","volume":"7"},"uris":["http://www.mendeley.com/documents/?uuid=89e3f64c-288e-4d6b-b9fe-5be6a6ec1b35","http://www.mendeley.com/documents/?uuid=2a67d105-752e-4403-b9a1-6c4dd96d9479"]}],"mendeley":{"formattedCitation":"(Moskal and Leydens, 2000; Jonsson and Svingby, 2007)","plainTextFormattedCitation":"(Moskal and Leydens, 2000; Jonsson and Svingby, 2007)","previouslyFormattedCitation":"(Jonsson and Svingby 2007; Moskal and Leydens 2000)"},"properties":{"noteIndex":0},"schema":"https://github.com/citation-style-language/schema/raw/master/csl-citation.json"}</w:instrText>
      </w:r>
      <w:r w:rsidRPr="006F3B00">
        <w:rPr>
          <w:rFonts w:ascii="Times New Roman" w:eastAsia="Times New Roman" w:hAnsi="Times New Roman" w:cs="Times New Roman"/>
          <w:sz w:val="24"/>
          <w:szCs w:val="24"/>
          <w:lang w:eastAsia="en-GB"/>
        </w:rPr>
        <w:fldChar w:fldCharType="separate"/>
      </w:r>
      <w:r w:rsidR="00BE3B6C" w:rsidRPr="00BE3B6C">
        <w:rPr>
          <w:rFonts w:ascii="Times New Roman" w:eastAsia="Times New Roman" w:hAnsi="Times New Roman" w:cs="Times New Roman"/>
          <w:noProof/>
          <w:sz w:val="24"/>
          <w:szCs w:val="24"/>
          <w:lang w:eastAsia="en-GB"/>
        </w:rPr>
        <w:t xml:space="preserve">(Moskal </w:t>
      </w:r>
      <w:r w:rsidR="001E57BC">
        <w:rPr>
          <w:rFonts w:ascii="Times New Roman" w:eastAsia="Times New Roman" w:hAnsi="Times New Roman" w:cs="Times New Roman"/>
          <w:noProof/>
          <w:sz w:val="24"/>
          <w:szCs w:val="24"/>
          <w:lang w:eastAsia="en-GB"/>
        </w:rPr>
        <w:t>and Leydens 2000; Jonsson and Svingby</w:t>
      </w:r>
      <w:r w:rsidR="00BE3B6C" w:rsidRPr="00BE3B6C">
        <w:rPr>
          <w:rFonts w:ascii="Times New Roman" w:eastAsia="Times New Roman" w:hAnsi="Times New Roman" w:cs="Times New Roman"/>
          <w:noProof/>
          <w:sz w:val="24"/>
          <w:szCs w:val="24"/>
          <w:lang w:eastAsia="en-GB"/>
        </w:rPr>
        <w:t xml:space="preserve"> 2007)</w:t>
      </w:r>
      <w:r w:rsidRPr="006F3B00">
        <w:rPr>
          <w:rFonts w:ascii="Times New Roman" w:eastAsia="Times New Roman" w:hAnsi="Times New Roman" w:cs="Times New Roman"/>
          <w:sz w:val="24"/>
          <w:szCs w:val="24"/>
          <w:lang w:eastAsia="en-GB"/>
        </w:rPr>
        <w:fldChar w:fldCharType="end"/>
      </w:r>
      <w:r w:rsidRPr="006F3B00">
        <w:rPr>
          <w:rFonts w:ascii="Times New Roman" w:eastAsia="Times New Roman" w:hAnsi="Times New Roman" w:cs="Times New Roman"/>
          <w:sz w:val="24"/>
          <w:szCs w:val="24"/>
          <w:lang w:eastAsia="en-GB"/>
        </w:rPr>
        <w:t>. A rubric consists of a set of statements or criteria which explicitly define what is expected of a trainee at different stages of training. When designing rubrics, five areas are often examined: elements which are being assessed, levels of achievement possible, descriptions of performance and their consequences at each stage and a rating scheme. Advantages of using analytic rubrics include reduced subjectivity, clearer expectations of trainees and trainers and the ability to give more structured feedback</w:t>
      </w:r>
      <w:r w:rsidR="002807CD">
        <w:rPr>
          <w:rFonts w:ascii="Times New Roman" w:eastAsia="Times New Roman" w:hAnsi="Times New Roman" w:cs="Times New Roman"/>
          <w:sz w:val="24"/>
          <w:szCs w:val="24"/>
          <w:lang w:eastAsia="en-GB"/>
        </w:rPr>
        <w:t xml:space="preserve"> </w:t>
      </w:r>
      <w:r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{"citationItems":[{"id":"ITEM-1","itemData":{"DOI":"10.1016/j.edurev.2007.05.002","ISBN":"1747-938X","ISSN":"1747938X","abstract":"Several benefits of using scoring rubrics in performance assessments have been proposed, such as increased consistency of scoring, the possibility to facilitate valid judgment of complex competencies, and promotion of learning. This paper investigates whether evidence for these claims can be found in the research literature. Several databases were searched for empirical research on rubrics, resulting in a total of 75 studies relevant for this review. Conclusions are that: (1) the reliable scoring of performance assessments can be enhanced by the use of rubrics, especially if they are analytic, topic-specific, and complemented with exemplars and/or rater training; (2) rubrics do not facilitate valid judgment of performance assessments per se. However, valid assessment could be facilitated by using a more comprehensive framework of validity when validating the rubric; (3) rubrics seem to have the potential of promoting learning and/or improve instruction. The main reason for this potential lies in the fact that rubrics make expectations and criteria explicit, which also facilitates feedback and self-assessment. ?? 2007 Elsevier Ltd. All rights reserved.","author":[{"dropping-particle":"","family":"Jonsson","given":"Anders","non-dropping-particle":"","parse-names":false,"suffix":""},{"dropping-particle":"","family":"Svingby","given":"Gunilla","non-dropping-particle":"","parse-names":false,"suffix":""}],"container-title":"Educational Research Review","id":"ITEM-1","issue":"2","issued":{"date-parts":[["2007"]]},"page":"130-144","title":"The use of scoring rubrics: Reliability, validity and educational consequences","type":"article-journal","volume":"2"},"uris":["http://www.mendeley.com/documents/?uuid=a3d4141a-239b-4e4a-9577-64b8e582be04","http://www.mendeley.com/documents/?uuid=202db928-21c7-44cd-b37e-9bc3804e3df8"]},{"id":"ITEM-2","itemData":{"ISSN":"ISSN-1531-7714","abstract":"Moskal, Barbara M. &amp; Jon A. Leydens (2000). Scoring rubric development: validity and reliability. Practical Assessment, Research &amp; Evaluation, 7(10). Retrieved March 31, 2015 from http://PAREonline.net/getvn.asp?v=7&amp;n=10 . This paper has been viewed 187,925 times since 11/6/2000.","author":[{"dropping-particle":"","family":"Moskal","given":"Barbara M","non-dropping-particle":"","parse-names":false,"suffix":""},{"dropping-particle":"","family":"Leydens","given":"Jon A","non-dropping-particle":"","parse-names":false,"suffix":""}],"container-title":"PARE: Practical Assessment, Research &amp; Evaluation","id":"ITEM-2","issue":"10","issued":{"date-parts":[["2000"]]},"page":"1-10","title":"Scoring rubric development: validity and reliability","type":"article-journal","volume":"7"},"uris":["http://www.mendeley.com/documents/?uuid=89e3f64c-288e-4d6b-b9fe-5be6a6ec1b35","http://www.mendeley.com/documents/?uuid=2a67d105-752e-4403-b9a1-6c4dd96d9479"]}],"mendeley":{"formattedCitation":"(Moskal and Leydens, 2000; Jonsson and Svingby, 2007)","plainTextFormattedCitation":"(Moskal and Leydens, 2000; Jonsson and Svingby, 2007)","previouslyFormattedCitation":"(Jonsson and Svingby 2007; Moskal and Leydens 2000)"},"properties":{"noteIndex":0},"schema":"https://github.com/citation-style-language/schema/raw/master/csl-citation.json"}</w:instrText>
      </w:r>
      <w:r w:rsidRPr="006F3B00">
        <w:rPr>
          <w:rFonts w:ascii="Times New Roman" w:eastAsia="Times New Roman" w:hAnsi="Times New Roman" w:cs="Times New Roman"/>
          <w:sz w:val="24"/>
          <w:szCs w:val="24"/>
          <w:lang w:eastAsia="en-GB"/>
        </w:rPr>
        <w:fldChar w:fldCharType="separate"/>
      </w:r>
      <w:r w:rsidR="001E57BC">
        <w:rPr>
          <w:rFonts w:ascii="Times New Roman" w:eastAsia="Times New Roman" w:hAnsi="Times New Roman" w:cs="Times New Roman"/>
          <w:noProof/>
          <w:sz w:val="24"/>
          <w:szCs w:val="24"/>
          <w:lang w:eastAsia="en-GB"/>
        </w:rPr>
        <w:t>(Moskal and Leydens 2000; Jonsson and Svingby</w:t>
      </w:r>
      <w:r w:rsidR="00BE3B6C" w:rsidRPr="00BE3B6C">
        <w:rPr>
          <w:rFonts w:ascii="Times New Roman" w:eastAsia="Times New Roman" w:hAnsi="Times New Roman" w:cs="Times New Roman"/>
          <w:noProof/>
          <w:sz w:val="24"/>
          <w:szCs w:val="24"/>
          <w:lang w:eastAsia="en-GB"/>
        </w:rPr>
        <w:t xml:space="preserve"> 2007)</w:t>
      </w:r>
      <w:r w:rsidRPr="006F3B00">
        <w:rPr>
          <w:rFonts w:ascii="Times New Roman" w:eastAsia="Times New Roman" w:hAnsi="Times New Roman" w:cs="Times New Roman"/>
          <w:sz w:val="24"/>
          <w:szCs w:val="24"/>
          <w:lang w:eastAsia="en-GB"/>
        </w:rPr>
        <w:fldChar w:fldCharType="end"/>
      </w:r>
      <w:r w:rsidRPr="006F3B00">
        <w:rPr>
          <w:rFonts w:ascii="Times New Roman" w:eastAsia="Times New Roman" w:hAnsi="Times New Roman" w:cs="Times New Roman"/>
          <w:sz w:val="24"/>
          <w:szCs w:val="24"/>
          <w:lang w:eastAsia="en-GB"/>
        </w:rPr>
        <w:t>.</w:t>
      </w:r>
    </w:p>
    <w:p w14:paraId="4B7FEB75" w14:textId="305710E3" w:rsidR="00863DF5" w:rsidRPr="006F3B00" w:rsidRDefault="007A0757" w:rsidP="00863DF5">
      <w:pPr>
        <w:pStyle w:val="Heading2"/>
        <w:rPr>
          <w:rFonts w:ascii="Times New Roman" w:hAnsi="Times New Roman" w:cs="Times New Roman"/>
          <w:color w:val="auto"/>
          <w:sz w:val="24"/>
          <w:szCs w:val="24"/>
        </w:rPr>
      </w:pPr>
      <w:bookmarkStart w:id="31" w:name="_Toc23243760"/>
      <w:r>
        <w:rPr>
          <w:rFonts w:ascii="Times New Roman" w:hAnsi="Times New Roman" w:cs="Times New Roman"/>
          <w:color w:val="auto"/>
          <w:sz w:val="24"/>
          <w:szCs w:val="24"/>
        </w:rPr>
        <w:lastRenderedPageBreak/>
        <w:t>1.2</w:t>
      </w:r>
      <w:r w:rsidR="006A43B1">
        <w:rPr>
          <w:rFonts w:ascii="Times New Roman" w:hAnsi="Times New Roman" w:cs="Times New Roman"/>
          <w:color w:val="auto"/>
          <w:sz w:val="24"/>
          <w:szCs w:val="24"/>
        </w:rPr>
        <w:t>.10</w:t>
      </w:r>
      <w:r w:rsidR="00863DF5" w:rsidRPr="006F3B00">
        <w:rPr>
          <w:rFonts w:ascii="Times New Roman" w:hAnsi="Times New Roman" w:cs="Times New Roman"/>
          <w:color w:val="auto"/>
          <w:sz w:val="24"/>
          <w:szCs w:val="24"/>
        </w:rPr>
        <w:t xml:space="preserve"> Diagnostic competence in histopathology</w:t>
      </w:r>
      <w:bookmarkEnd w:id="31"/>
    </w:p>
    <w:p w14:paraId="0578B6EF" w14:textId="77777777" w:rsidR="00863DF5" w:rsidRPr="006F3B00" w:rsidRDefault="00863DF5" w:rsidP="00863DF5">
      <w:pPr>
        <w:spacing w:after="120" w:line="480" w:lineRule="auto"/>
        <w:rPr>
          <w:rFonts w:ascii="Times New Roman" w:hAnsi="Times New Roman" w:cs="Times New Roman"/>
          <w:sz w:val="24"/>
          <w:szCs w:val="24"/>
        </w:rPr>
      </w:pPr>
    </w:p>
    <w:p w14:paraId="030E909F" w14:textId="3672E3D2" w:rsidR="00863DF5" w:rsidRPr="006F3B00" w:rsidRDefault="009114C0" w:rsidP="00863DF5">
      <w:pPr>
        <w:pStyle w:val="Heading3"/>
        <w:rPr>
          <w:rFonts w:ascii="Times New Roman" w:hAnsi="Times New Roman" w:cs="Times New Roman"/>
          <w:color w:val="auto"/>
          <w:sz w:val="24"/>
          <w:szCs w:val="24"/>
        </w:rPr>
      </w:pPr>
      <w:bookmarkStart w:id="32" w:name="_Toc23243761"/>
      <w:r>
        <w:rPr>
          <w:rFonts w:ascii="Times New Roman" w:hAnsi="Times New Roman" w:cs="Times New Roman"/>
          <w:color w:val="auto"/>
          <w:sz w:val="24"/>
          <w:szCs w:val="24"/>
        </w:rPr>
        <w:t>1.</w:t>
      </w:r>
      <w:r w:rsidR="007A0757">
        <w:rPr>
          <w:rFonts w:ascii="Times New Roman" w:hAnsi="Times New Roman" w:cs="Times New Roman"/>
          <w:color w:val="auto"/>
          <w:sz w:val="24"/>
          <w:szCs w:val="24"/>
        </w:rPr>
        <w:t>2</w:t>
      </w:r>
      <w:r w:rsidR="00863DF5" w:rsidRPr="006F3B00">
        <w:rPr>
          <w:rFonts w:ascii="Times New Roman" w:hAnsi="Times New Roman" w:cs="Times New Roman"/>
          <w:color w:val="auto"/>
          <w:sz w:val="24"/>
          <w:szCs w:val="24"/>
        </w:rPr>
        <w:t>.1</w:t>
      </w:r>
      <w:r>
        <w:rPr>
          <w:rFonts w:ascii="Times New Roman" w:hAnsi="Times New Roman" w:cs="Times New Roman"/>
          <w:color w:val="auto"/>
          <w:sz w:val="24"/>
          <w:szCs w:val="24"/>
        </w:rPr>
        <w:t>0.1</w:t>
      </w:r>
      <w:r w:rsidR="00863DF5" w:rsidRPr="006F3B00">
        <w:rPr>
          <w:rFonts w:ascii="Times New Roman" w:hAnsi="Times New Roman" w:cs="Times New Roman"/>
          <w:color w:val="auto"/>
          <w:sz w:val="24"/>
          <w:szCs w:val="24"/>
        </w:rPr>
        <w:t xml:space="preserve"> Background</w:t>
      </w:r>
      <w:bookmarkEnd w:id="32"/>
    </w:p>
    <w:p w14:paraId="60CED42A" w14:textId="77777777" w:rsidR="00863DF5" w:rsidRPr="006F3B00" w:rsidRDefault="00863DF5" w:rsidP="00863DF5">
      <w:pPr>
        <w:rPr>
          <w:rFonts w:ascii="Times New Roman" w:hAnsi="Times New Roman" w:cs="Times New Roman"/>
          <w:sz w:val="24"/>
          <w:szCs w:val="24"/>
        </w:rPr>
      </w:pPr>
    </w:p>
    <w:p w14:paraId="79AE3622" w14:textId="63CCB56B"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Patients might suggest that the single most important skill of a pathologist is the interpretation and diagnosis of disease. The histological diagnosis is, after</w:t>
      </w:r>
      <w:r w:rsidR="00996B7A">
        <w:rPr>
          <w:rFonts w:ascii="Times New Roman" w:hAnsi="Times New Roman" w:cs="Times New Roman"/>
          <w:sz w:val="24"/>
          <w:szCs w:val="24"/>
        </w:rPr>
        <w:t xml:space="preserve"> </w:t>
      </w:r>
      <w:r w:rsidRPr="006F3B00">
        <w:rPr>
          <w:rFonts w:ascii="Times New Roman" w:hAnsi="Times New Roman" w:cs="Times New Roman"/>
          <w:sz w:val="24"/>
          <w:szCs w:val="24"/>
        </w:rPr>
        <w:t>all, the gold standard on which patient treatment is based.</w:t>
      </w:r>
      <w:r w:rsidR="009907E5">
        <w:rPr>
          <w:rFonts w:ascii="Times New Roman" w:hAnsi="Times New Roman" w:cs="Times New Roman"/>
          <w:sz w:val="24"/>
          <w:szCs w:val="24"/>
        </w:rPr>
        <w:t xml:space="preserve"> A</w:t>
      </w:r>
      <w:r w:rsidR="009907E5" w:rsidRPr="006F3B00">
        <w:rPr>
          <w:rFonts w:ascii="Times New Roman" w:hAnsi="Times New Roman" w:cs="Times New Roman"/>
          <w:sz w:val="24"/>
          <w:szCs w:val="24"/>
        </w:rPr>
        <w:t xml:space="preserve"> pathologist who cannot make an accurate </w:t>
      </w:r>
      <w:r w:rsidR="009907E5" w:rsidRPr="001E57BC">
        <w:rPr>
          <w:rFonts w:ascii="Times New Roman" w:hAnsi="Times New Roman" w:cs="Times New Roman"/>
          <w:sz w:val="24"/>
          <w:szCs w:val="24"/>
        </w:rPr>
        <w:t xml:space="preserve">diagnosis is unable to perform in his or her role. </w:t>
      </w:r>
      <w:r w:rsidRPr="001E57BC">
        <w:rPr>
          <w:rFonts w:ascii="Times New Roman" w:hAnsi="Times New Roman" w:cs="Times New Roman"/>
          <w:sz w:val="24"/>
          <w:szCs w:val="24"/>
        </w:rPr>
        <w:t>It is generally expected that there should be zero error rate or patients may potentially receive the wrong treatment if their diagnosis is incorrect. In reality, a zero error rate is rarely achieved</w:t>
      </w:r>
      <w:r w:rsidR="002807CD" w:rsidRPr="001E57BC">
        <w:rPr>
          <w:rFonts w:ascii="Times New Roman" w:hAnsi="Times New Roman" w:cs="Times New Roman"/>
          <w:sz w:val="24"/>
          <w:szCs w:val="24"/>
        </w:rPr>
        <w:t xml:space="preserve"> </w:t>
      </w:r>
      <w:r w:rsidRPr="001E57BC">
        <w:rPr>
          <w:rFonts w:ascii="Times New Roman" w:hAnsi="Times New Roman" w:cs="Times New Roman"/>
          <w:sz w:val="24"/>
          <w:szCs w:val="24"/>
        </w:rPr>
        <w:fldChar w:fldCharType="begin" w:fldLock="1"/>
      </w:r>
      <w:r w:rsidR="00BE3B6C" w:rsidRPr="001E57BC">
        <w:rPr>
          <w:rFonts w:ascii="Times New Roman" w:hAnsi="Times New Roman" w:cs="Times New Roman"/>
          <w:sz w:val="24"/>
          <w:szCs w:val="24"/>
        </w:rPr>
        <w:instrText>ADDIN CSL_CITATION {"citationItems":[{"id":"ITEM-1","itemData":{"ISBN":"0002-9173","ISSN":"0002-9173","abstract":"Quality assurance (QA) in surgical pathology has focused primarily on retrospective audits of randomly selected cases. The authors describe an effective method of prospective audit for a selected class of surgical specimens - diagnostic biopsies - and document the benefits, additional staff time required and impact on turnaround time. Additionally, these results were compared with a retrospective review. During a 6-month period, all diagnostic surgical pathology biopsies (n = 2,694, 55% of all cases) were reviewed by a second pathologist before release of the final report. Errors detected were subdivided into four categories: (1) major: errors in diagnosis that could directly affect patient care; (2) diagnostic discrepancies: errors in diagnosis that should not affect patient care; (3) minor: correct diagnosis rendered, but report correction required to add supportive information; (4) clerical: typographical and grammatical errors. Thirty-two major errors were found, involving 1.2% of cases reviewed. This manner of review caused an increase in overall turnaround time from 1.62 days to 1.79 days, and an increase in turnaround time for diagnostic biopsies from 1.44 days to 1.50 days. Time spent in performing prospective peer review averaged 4 hours per day. For comparison, results were included from a retrospective review performed on 480 of the 5,556 cases accessioned in a 6-month period before the institution of prospective quality assurance. This retrospective review revealed eight major errors (1.7%). In conclusion, the prospective peer review of diagnostic biopsies yields sufficient benefits in increased accuracy of diagnostic reports to justify the slight increase in additional work by pathologists.","author":[{"dropping-particle":"","family":"Lind","given":"A C","non-dropping-particle":"","parse-names":false,"suffix":""},{"dropping-particle":"","family":"Bewtra","given":"C","non-dropping-particle":"","parse-names":false,"suffix":""},{"dropping-particle":"","family":"Healy","given":"J C","non-dropping-particle":"","parse-names":false,"suffix":""},{"dropping-particle":"","family":"Sims","given":"K L","non-dropping-particle":"","parse-names":false,"suffix":""}],"container-title":"American Journal of Clinical Pathology","id":"ITEM-1","issue":"5","issued":{"date-parts":[["1995"]]},"page":"560-566","title":"Prospective Peer-Review in Surgical Pathology","type":"article-journal","volume":"104"},"uris":["http://www.mendeley.com/documents/?uuid=e49d92bb-af23-4119-bf30-1836b7c7d5aa","http://www.mendeley.com/documents/?uuid=bdf1ca9e-4262-4b4f-9a97-c1bca4c02884"]},{"id":"ITEM-2","itemData":{"DOI":"10.1046/j.1365-2559.1999.00719.x","ISBN":"0309-0167","ISSN":"03090167","PMID":"10383691","abstract":"The histopathological diagnosis is the bedrock of modern oncology, and plays a major role in the treatment of many other types of disease. Errors in these reports can critically affect patient care and may become the subject of media concern. This article considers how audit in histopathology can provide information about errors and inconsistencies in the diagnosis of surgical specimens. The use of audit to generate information about the background level of errors in pathology reports is reviewed, along with findings about the nature of these errors and the types of specimens more commonly affected. Generic audit strategies that can be used to minimize the risk of errors in reports are discussed, together with the use of audit to evaluate diagnostic criteria and pathological scoring or grading systems. The role of audit in determining the informational content of reports is included, and there is consideration of the relationship between sample size and error rates. The limited extent to which audit can be used to assess the performance of individual pathologists is also covered.","author":[{"dropping-particle":"","family":"Ramsay","given":"a. D.","non-dropping-particle":"","parse-names":false,"suffix":""}],"container-title":"Histopathology","id":"ITEM-2","issue":"6","issued":{"date-parts":[["1999"]]},"page":"481-490","title":"Errors in histopathology reporting: Detection and avoidance","type":"article-journal","volume":"34"},"uris":["http://www.mendeley.com/documents/?uuid=615877ff-3543-4bb0-8d45-0f513068839d","http://www.mendeley.com/documents/?uuid=94db64cf-5b18-4f91-a07a-ee45db2e2f02"]},{"id":"ITEM-3","itemData":{"DOI":"10.1097/00000478-199311000-00014","ISSN":"0147-5185","abstract":"This article describes a 1-year study undertaken to evaluate the cost and effectiveness of a surgical pathology quality assurance system in which a second pathologist routinely reviews (before release of the report) all surgical pathology cases requiring microscopic sections. The study included 5,397 cases. Fourteen discrepancies of potential clinical significance were detected by the second observer, for an error rate of 0.26%. Consultation with the clinical physicians involved in these cases indicated that in seven of these cases, the error would have resulted in a different clinical intervention than actually occurred. This ''checker'' signout system added an estimated $7 to the cost of each case, or $2,700 for each discrepancy of potential clinical significance. The value of the dual pathologist signout system as described here requires confirmation, because there is a paucity of information in the literature relating to routine surgical pathology signout accuracy.","author":[{"dropping-particle":"","family":"Safrin","given":"R E","non-dropping-particle":"","parse-names":false,"suffix":""},{"dropping-particle":"","family":"Bark","given":"C J","non-dropping-particle":"","parse-names":false,"suffix":""}],"container-title":"American Journal of Surgical Pathology","id":"ITEM-3","issue":"11","issued":{"date-parts":[["1993"]]},"page":"1190-1192","title":"Surgical Pathology Signout - Routine Review of Every Case by a 2nd Pathologist","type":"article-journal","volume":"17"},"uris":["http://www.mendeley.com/documents/?uuid=7e032e30-ece8-4e48-986c-7cd821e98a81","http://www.mendeley.com/documents/?uuid=c707e12a-34b4-48d4-9e7d-d0336ca374da"]}],"mendeley":{"formattedCitation":"(Safrin and Bark, 1993; Lind &lt;i&gt;et al.&lt;/i&gt;, 1995; Ramsay, 1999)","plainTextFormattedCitation":"(Safrin and Bark, 1993; Lind et al., 1995; Ramsay, 1999)","previouslyFormattedCitation":"(Lind et al. 1995; Ramsay 1999; Safrin and Bark 1993)"},"properties":{"noteIndex":0},"schema":"https://github.com/citation-style-language/schema/raw/master/csl-citation.json"}</w:instrText>
      </w:r>
      <w:r w:rsidRPr="001E57BC">
        <w:rPr>
          <w:rFonts w:ascii="Times New Roman" w:hAnsi="Times New Roman" w:cs="Times New Roman"/>
          <w:sz w:val="24"/>
          <w:szCs w:val="24"/>
        </w:rPr>
        <w:fldChar w:fldCharType="separate"/>
      </w:r>
      <w:r w:rsidR="001E57BC">
        <w:rPr>
          <w:rFonts w:ascii="Times New Roman" w:hAnsi="Times New Roman" w:cs="Times New Roman"/>
          <w:noProof/>
          <w:sz w:val="24"/>
          <w:szCs w:val="24"/>
        </w:rPr>
        <w:t>(Safrin and Bark</w:t>
      </w:r>
      <w:r w:rsidR="00BE3B6C" w:rsidRPr="001E57BC">
        <w:rPr>
          <w:rFonts w:ascii="Times New Roman" w:hAnsi="Times New Roman" w:cs="Times New Roman"/>
          <w:noProof/>
          <w:sz w:val="24"/>
          <w:szCs w:val="24"/>
        </w:rPr>
        <w:t xml:space="preserve"> 1993; Lind et al.</w:t>
      </w:r>
      <w:r w:rsidR="00E07F81">
        <w:rPr>
          <w:rFonts w:ascii="Times New Roman" w:hAnsi="Times New Roman" w:cs="Times New Roman"/>
          <w:noProof/>
          <w:sz w:val="24"/>
          <w:szCs w:val="24"/>
        </w:rPr>
        <w:t xml:space="preserve"> 1995; Ramsay</w:t>
      </w:r>
      <w:r w:rsidR="00BE3B6C" w:rsidRPr="001E57BC">
        <w:rPr>
          <w:rFonts w:ascii="Times New Roman" w:hAnsi="Times New Roman" w:cs="Times New Roman"/>
          <w:noProof/>
          <w:sz w:val="24"/>
          <w:szCs w:val="24"/>
        </w:rPr>
        <w:t xml:space="preserve"> 1999)</w:t>
      </w:r>
      <w:r w:rsidRPr="001E57BC">
        <w:rPr>
          <w:rFonts w:ascii="Times New Roman" w:hAnsi="Times New Roman" w:cs="Times New Roman"/>
          <w:sz w:val="24"/>
          <w:szCs w:val="24"/>
        </w:rPr>
        <w:fldChar w:fldCharType="end"/>
      </w:r>
      <w:r w:rsidRPr="001E57BC">
        <w:rPr>
          <w:rFonts w:ascii="Times New Roman" w:hAnsi="Times New Roman" w:cs="Times New Roman"/>
          <w:sz w:val="24"/>
          <w:szCs w:val="24"/>
        </w:rPr>
        <w:t>.  Despite the thoroughness of the curriculum provided by the RCP</w:t>
      </w:r>
      <w:r w:rsidR="007E3EBD" w:rsidRPr="001E57BC">
        <w:rPr>
          <w:rFonts w:ascii="Times New Roman" w:hAnsi="Times New Roman" w:cs="Times New Roman"/>
          <w:sz w:val="24"/>
          <w:szCs w:val="24"/>
        </w:rPr>
        <w:t>ath</w:t>
      </w:r>
      <w:r w:rsidR="00FC5222" w:rsidRPr="001E57BC">
        <w:rPr>
          <w:rFonts w:ascii="Times New Roman" w:hAnsi="Times New Roman" w:cs="Times New Roman"/>
          <w:sz w:val="24"/>
          <w:szCs w:val="24"/>
        </w:rPr>
        <w:t>,</w:t>
      </w:r>
      <w:r w:rsidRPr="001E57BC">
        <w:rPr>
          <w:rFonts w:ascii="Times New Roman" w:hAnsi="Times New Roman" w:cs="Times New Roman"/>
          <w:sz w:val="24"/>
          <w:szCs w:val="24"/>
        </w:rPr>
        <w:t xml:space="preserve"> summarised in the previous section</w:t>
      </w:r>
      <w:r w:rsidR="00494018" w:rsidRPr="001E57BC">
        <w:rPr>
          <w:rFonts w:ascii="Times New Roman" w:hAnsi="Times New Roman" w:cs="Times New Roman"/>
          <w:sz w:val="24"/>
          <w:szCs w:val="24"/>
        </w:rPr>
        <w:t xml:space="preserve"> (1.2.9)</w:t>
      </w:r>
      <w:r w:rsidRPr="001E57BC">
        <w:rPr>
          <w:rFonts w:ascii="Times New Roman" w:hAnsi="Times New Roman" w:cs="Times New Roman"/>
          <w:sz w:val="24"/>
          <w:szCs w:val="24"/>
        </w:rPr>
        <w:t>, it is not clear how consultants determine if their trainees are competent to make diagnoses.  For instance, when a consultant signs off a trainee to report certain cases, or completes</w:t>
      </w:r>
      <w:r w:rsidRPr="006F3B00">
        <w:rPr>
          <w:rFonts w:ascii="Times New Roman" w:hAnsi="Times New Roman" w:cs="Times New Roman"/>
          <w:sz w:val="24"/>
          <w:szCs w:val="24"/>
        </w:rPr>
        <w:t xml:space="preserve"> a WBA suggesting a trainee is “meeting expectations”, how did they reach that decision? How did that consultant know that the trainee was diagnostically competent for that case? Is a trainee diagnostically competent just because they get the diagnosis right or is the indictor for this much less tangible?  </w:t>
      </w:r>
    </w:p>
    <w:p w14:paraId="2B5FB641" w14:textId="0FEA8B69"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Although summative assessments like FRCPath Parts 1 and 2 appear to contribute to the assessment of trainee diagnostic competence, these tests cannot test every facet of a trainee’s knowledge or diagnostic capability. </w:t>
      </w:r>
      <w:r w:rsidR="00996B7A">
        <w:rPr>
          <w:rFonts w:ascii="Times New Roman" w:hAnsi="Times New Roman" w:cs="Times New Roman"/>
          <w:sz w:val="24"/>
          <w:szCs w:val="24"/>
        </w:rPr>
        <w:t xml:space="preserve">Regular, </w:t>
      </w:r>
      <w:r w:rsidRPr="006F3B00">
        <w:rPr>
          <w:rFonts w:ascii="Times New Roman" w:hAnsi="Times New Roman" w:cs="Times New Roman"/>
          <w:sz w:val="24"/>
          <w:szCs w:val="24"/>
        </w:rPr>
        <w:t>similar tests having little presence during training.  WBAs are utilised in histopathology to assess competence, but (as it will be seen), there are multiple issues related to WBAs and little evidence to support their use in histopathology.</w:t>
      </w:r>
    </w:p>
    <w:p w14:paraId="11DFB7DA" w14:textId="53A8998E" w:rsidR="00863DF5" w:rsidRPr="006F3B00" w:rsidRDefault="009907E5" w:rsidP="00863DF5">
      <w:pPr>
        <w:spacing w:after="120" w:line="480" w:lineRule="auto"/>
        <w:rPr>
          <w:rFonts w:ascii="Times New Roman" w:hAnsi="Times New Roman" w:cs="Times New Roman"/>
          <w:sz w:val="24"/>
          <w:szCs w:val="24"/>
        </w:rPr>
      </w:pPr>
      <w:r>
        <w:rPr>
          <w:rFonts w:ascii="Times New Roman" w:hAnsi="Times New Roman" w:cs="Times New Roman"/>
          <w:sz w:val="24"/>
          <w:szCs w:val="24"/>
        </w:rPr>
        <w:t>A</w:t>
      </w:r>
      <w:r w:rsidR="00863DF5" w:rsidRPr="006F3B00">
        <w:rPr>
          <w:rFonts w:ascii="Times New Roman" w:hAnsi="Times New Roman" w:cs="Times New Roman"/>
          <w:sz w:val="24"/>
          <w:szCs w:val="24"/>
        </w:rPr>
        <w:t>s the review of the literature on competence suggests one may rightly argue that competence is far more complex</w:t>
      </w:r>
      <w:r>
        <w:rPr>
          <w:rFonts w:ascii="Times New Roman" w:hAnsi="Times New Roman" w:cs="Times New Roman"/>
          <w:sz w:val="24"/>
          <w:szCs w:val="24"/>
        </w:rPr>
        <w:t xml:space="preserve"> than getting diagnosis correct</w:t>
      </w:r>
      <w:r w:rsidR="00863DF5" w:rsidRPr="006F3B00">
        <w:rPr>
          <w:rFonts w:ascii="Times New Roman" w:hAnsi="Times New Roman" w:cs="Times New Roman"/>
          <w:sz w:val="24"/>
          <w:szCs w:val="24"/>
        </w:rPr>
        <w:t xml:space="preserve">. For example, it has been </w:t>
      </w:r>
      <w:r w:rsidR="00863DF5" w:rsidRPr="006F3B00">
        <w:rPr>
          <w:rFonts w:ascii="Times New Roman" w:hAnsi="Times New Roman" w:cs="Times New Roman"/>
          <w:sz w:val="24"/>
          <w:szCs w:val="24"/>
        </w:rPr>
        <w:lastRenderedPageBreak/>
        <w:t>discussed that competence encompasses aspects of professionalism, communication, adaptability and consistency, to name but a few. Many of these qualities are also found in the RCP</w:t>
      </w:r>
      <w:r w:rsidR="007E3EBD">
        <w:rPr>
          <w:rFonts w:ascii="Times New Roman" w:hAnsi="Times New Roman" w:cs="Times New Roman"/>
          <w:sz w:val="24"/>
          <w:szCs w:val="24"/>
        </w:rPr>
        <w:t>ath</w:t>
      </w:r>
      <w:r w:rsidR="00863DF5" w:rsidRPr="006F3B00">
        <w:rPr>
          <w:rFonts w:ascii="Times New Roman" w:hAnsi="Times New Roman" w:cs="Times New Roman"/>
          <w:sz w:val="24"/>
          <w:szCs w:val="24"/>
        </w:rPr>
        <w:t xml:space="preserve"> training curricula, but how they relate to making a diagnosis is not explicit. The curriculum is more an overview of desirable pieces of knowledge, skill or attitude required of trainees. It is also not clear how complex these individual attributes are in histopathology or how they relate to one another. Indeed, competency-based frameworks have been criticised for over-simplifying competency</w:t>
      </w:r>
      <w:r w:rsidR="00FC5222">
        <w:rPr>
          <w:rFonts w:ascii="Times New Roman" w:hAnsi="Times New Roman" w:cs="Times New Roman"/>
          <w:sz w:val="24"/>
          <w:szCs w:val="24"/>
        </w:rPr>
        <w:t xml:space="preserve"> </w:t>
      </w:r>
      <w:r w:rsidR="00863DF5"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{"citationItems":[{"id":"ITEM-1","itemData":{"DOI":"10.1109/TSMC.1983.6313160","ISBN":"0018-9472","ISSN":"21682909","PMID":"11866201","abstract":"The introduction of information technology based on digital computers for the design of man-machine interface systems has led to a requirement for consistent models of human performance in routine task environments and during unfamiliar task conditions. A discussion is presented of the requirement for different types of models for representing performance at the skill-, rule-, and knowledge-based levels, together with a review of the different levels in terms of signals, signs, and symbols. Particular attention is paid to the different possible ways of representing system properties which underlie knowledge-based performance and which can be characterised at several levels of abstraction-from the representation of physical form, through functional representation, to representation in terms of intention or purpose. Furthermore, the role of qualitative and quantitative models in the design and evaluation of interface systems is mentioned, and the need to consider such distinctions carefully is discussed.","author":[{"dropping-particle":"","family":"Rasmussen","given":"Jens","non-dropping-particle":"","parse-names":false,"suffix":""}],"container-title":"IEEE Transactions on Systems, Man and Cybernetics","id":"ITEM-1","issue":"3","issued":{"date-parts":[["1983"]]},"page":"257-266","title":"Skills, Rules, and Knowledge; Signals, Signs, and Symbols, and Other Distinctions in Human Performance Models","type":"article-journal","volume":"SMC-13"},"uris":["http://www.mendeley.com/documents/?uuid=4dc6d959-658b-430a-9506-b213ff4ace4d"]}],"mendeley":{"formattedCitation":"(Rasmussen, 1983)","plainTextFormattedCitation":"(Rasmussen, 1983)","previouslyFormattedCitation":"(Rasmussen 1983)"},"properties":{"noteIndex":0},"schema":"https://github.com/citation-style-language/schema/raw/master/csl-citation.json"}</w:instrText>
      </w:r>
      <w:r w:rsidR="00863DF5" w:rsidRPr="006F3B00">
        <w:rPr>
          <w:rFonts w:ascii="Times New Roman" w:hAnsi="Times New Roman" w:cs="Times New Roman"/>
          <w:sz w:val="24"/>
          <w:szCs w:val="24"/>
        </w:rPr>
        <w:fldChar w:fldCharType="separate"/>
      </w:r>
      <w:r w:rsidR="00E07F81">
        <w:rPr>
          <w:rFonts w:ascii="Times New Roman" w:hAnsi="Times New Roman" w:cs="Times New Roman"/>
          <w:noProof/>
          <w:sz w:val="24"/>
          <w:szCs w:val="24"/>
        </w:rPr>
        <w:t>(Rasmussen</w:t>
      </w:r>
      <w:r w:rsidR="00BE3B6C" w:rsidRPr="00BE3B6C">
        <w:rPr>
          <w:rFonts w:ascii="Times New Roman" w:hAnsi="Times New Roman" w:cs="Times New Roman"/>
          <w:noProof/>
          <w:sz w:val="24"/>
          <w:szCs w:val="24"/>
        </w:rPr>
        <w:t xml:space="preserve"> 1983)</w:t>
      </w:r>
      <w:r w:rsidR="00863DF5" w:rsidRPr="006F3B00">
        <w:rPr>
          <w:rFonts w:ascii="Times New Roman" w:hAnsi="Times New Roman" w:cs="Times New Roman"/>
          <w:sz w:val="24"/>
          <w:szCs w:val="24"/>
        </w:rPr>
        <w:fldChar w:fldCharType="end"/>
      </w:r>
      <w:r w:rsidR="00863DF5" w:rsidRPr="006F3B00">
        <w:rPr>
          <w:rFonts w:ascii="Times New Roman" w:hAnsi="Times New Roman" w:cs="Times New Roman"/>
          <w:sz w:val="24"/>
          <w:szCs w:val="24"/>
        </w:rPr>
        <w:t xml:space="preserve">. Furthermore, curricula do not always translate </w:t>
      </w:r>
      <w:r w:rsidR="00863DF5" w:rsidRPr="00E07F81">
        <w:rPr>
          <w:rFonts w:ascii="Times New Roman" w:hAnsi="Times New Roman" w:cs="Times New Roman"/>
          <w:sz w:val="24"/>
          <w:szCs w:val="24"/>
        </w:rPr>
        <w:t>well into the real working environment where other factors may be more important</w:t>
      </w:r>
      <w:r w:rsidR="00E07F81" w:rsidRPr="00E07F81">
        <w:rPr>
          <w:rFonts w:ascii="Times New Roman" w:hAnsi="Times New Roman" w:cs="Times New Roman"/>
          <w:sz w:val="24"/>
          <w:szCs w:val="24"/>
        </w:rPr>
        <w:t xml:space="preserve"> </w:t>
      </w:r>
      <w:r w:rsidR="00863DF5" w:rsidRPr="00E07F81">
        <w:rPr>
          <w:rFonts w:ascii="Times New Roman" w:hAnsi="Times New Roman" w:cs="Times New Roman"/>
          <w:sz w:val="24"/>
          <w:szCs w:val="24"/>
        </w:rPr>
        <w:fldChar w:fldCharType="begin" w:fldLock="1"/>
      </w:r>
      <w:r w:rsidR="00BE3B6C" w:rsidRPr="00E07F81">
        <w:rPr>
          <w:rFonts w:ascii="Times New Roman" w:hAnsi="Times New Roman" w:cs="Times New Roman"/>
          <w:sz w:val="24"/>
          <w:szCs w:val="24"/>
        </w:rPr>
        <w:instrText>ADDIN CSL_CITATION {"citationItems":[{"id":"ITEM-1","itemData":{"DOI":"10.1212/WNL.0000000000000646","ISBN":"0000000000000","ISSN":"1526632X","PMID":"24975860","abstract":"Current medical educational theory encourages the development of competency-based curricula. The Accreditation Council for Graduate Medical Education's 6 core competencies for resident education (medical knowledge, patient care, professionalism, interpersonal and communication skills, practice-based learning, and systems-based practice) have been embraced by medical schools as the building blocks necessary for becoming a competent licensed physician. Many medical schools are therefore changing their educational approach to an integrated model in which students demonstrate incremental acquisition and mastery of all competencies as they progress through medical school. Challenges to medical schools include integration of preclinical and clinical studies as well as development of learning objectives and assessment measures for each competency. The Undergraduate Education Subcommittee (UES) of the American Academy of Neurology (AAN) assembled a group of neuroscience educators to outline a longitudinal competency-based curriculum in medical neuroscience encompassing both preclinical and clinical coursework. In development of this curriculum, the committee reviewed United States Medical Licensing Examination content outlines, Liaison Committee on Medical Education requirements, prior AAN-mandated core curricula for basic neuroscience and clinical neurology, and survey responses from educators in US medical schools. The newly recommended curriculum provides an outline of learning objectives for each of the 6 competencies, listing each learning objective in active terms. Documentation of experiences is emphasized, and assessment measures are suggested to demonstrate adequate achievement in each competency. These guidelines, widely vetted and approved by the UES membership, aspire to be both useful as a stand-alone curriculum and also provide a framework for neuroscience educators who wish to develop a more detailed focus in certain areas of study.","author":[{"dropping-particle":"","family":"Merlin","given":"Lisa R.","non-dropping-particle":"","parse-names":false,"suffix":""},{"dropping-particle":"","family":"Horak","given":"Holli A.","non-dropping-particle":"","parse-names":false,"suffix":""},{"dropping-particle":"","family":"Milligan","given":"Tracey A.","non-dropping-particle":"","parse-names":false,"suffix":""},{"dropping-particle":"","family":"Kraakevik","given":"Jeff A.","non-dropping-particle":"","parse-names":false,"suffix":""},{"dropping-particle":"","family":"Ali","given":"Imran I.","non-dropping-particle":"","parse-names":false,"suffix":""}],"container-title":"Neurology","id":"ITEM-1","issue":"5","issued":{"date-parts":[["2014"]]},"page":"456-462","title":"A competency-based longitudinal core curriculum in medical neuroscience","type":"article-journal","volume":"83"},"uris":["http://www.mendeley.com/documents/?uuid=2402a8a7-92ef-49e2-95b0-1cf288c368ed"]}],"mendeley":{"formattedCitation":"(Merlin &lt;i&gt;et al.&lt;/i&gt;, 2014)","plainTextFormattedCitation":"(Merlin et al., 2014)","previouslyFormattedCitation":"(Merlin et al. 2014)"},"properties":{"noteIndex":0},"schema":"https://github.com/citation-style-language/schema/raw/master/csl-citation.json"}</w:instrText>
      </w:r>
      <w:r w:rsidR="00863DF5" w:rsidRPr="00E07F81">
        <w:rPr>
          <w:rFonts w:ascii="Times New Roman" w:hAnsi="Times New Roman" w:cs="Times New Roman"/>
          <w:sz w:val="24"/>
          <w:szCs w:val="24"/>
        </w:rPr>
        <w:fldChar w:fldCharType="separate"/>
      </w:r>
      <w:r w:rsidR="00BE3B6C" w:rsidRPr="00E07F81">
        <w:rPr>
          <w:rFonts w:ascii="Times New Roman" w:hAnsi="Times New Roman" w:cs="Times New Roman"/>
          <w:noProof/>
          <w:sz w:val="24"/>
          <w:szCs w:val="24"/>
        </w:rPr>
        <w:t>(Merlin et al. 2014)</w:t>
      </w:r>
      <w:r w:rsidR="00863DF5" w:rsidRPr="00E07F81">
        <w:rPr>
          <w:rFonts w:ascii="Times New Roman" w:hAnsi="Times New Roman" w:cs="Times New Roman"/>
          <w:sz w:val="24"/>
          <w:szCs w:val="24"/>
        </w:rPr>
        <w:fldChar w:fldCharType="end"/>
      </w:r>
      <w:r w:rsidR="00863DF5" w:rsidRPr="00E07F81">
        <w:rPr>
          <w:rFonts w:ascii="Times New Roman" w:hAnsi="Times New Roman" w:cs="Times New Roman"/>
          <w:sz w:val="24"/>
          <w:szCs w:val="24"/>
        </w:rPr>
        <w:t>.</w:t>
      </w:r>
      <w:r w:rsidR="00863DF5" w:rsidRPr="006F3B00">
        <w:rPr>
          <w:rFonts w:ascii="Times New Roman" w:hAnsi="Times New Roman" w:cs="Times New Roman"/>
          <w:sz w:val="24"/>
          <w:szCs w:val="24"/>
        </w:rPr>
        <w:t xml:space="preserve"> </w:t>
      </w:r>
    </w:p>
    <w:p w14:paraId="4E9CF0AC" w14:textId="0800785B" w:rsidR="00863DF5" w:rsidRPr="006F3B00" w:rsidRDefault="007A0757" w:rsidP="00863DF5">
      <w:pPr>
        <w:pStyle w:val="Heading3"/>
        <w:rPr>
          <w:rFonts w:ascii="Times New Roman" w:hAnsi="Times New Roman" w:cs="Times New Roman"/>
          <w:color w:val="auto"/>
          <w:sz w:val="24"/>
          <w:szCs w:val="24"/>
        </w:rPr>
      </w:pPr>
      <w:bookmarkStart w:id="33" w:name="_Toc23243762"/>
      <w:r>
        <w:rPr>
          <w:rFonts w:ascii="Times New Roman" w:hAnsi="Times New Roman" w:cs="Times New Roman"/>
          <w:color w:val="auto"/>
          <w:sz w:val="24"/>
          <w:szCs w:val="24"/>
        </w:rPr>
        <w:t>1.2</w:t>
      </w:r>
      <w:r w:rsidR="009114C0">
        <w:rPr>
          <w:rFonts w:ascii="Times New Roman" w:hAnsi="Times New Roman" w:cs="Times New Roman"/>
          <w:color w:val="auto"/>
          <w:sz w:val="24"/>
          <w:szCs w:val="24"/>
        </w:rPr>
        <w:t>.10.2</w:t>
      </w:r>
      <w:r w:rsidR="00863DF5" w:rsidRPr="006F3B00">
        <w:rPr>
          <w:rFonts w:ascii="Times New Roman" w:hAnsi="Times New Roman" w:cs="Times New Roman"/>
          <w:color w:val="auto"/>
          <w:sz w:val="24"/>
          <w:szCs w:val="24"/>
        </w:rPr>
        <w:t xml:space="preserve"> Diagnostic competence and accuracy</w:t>
      </w:r>
      <w:bookmarkEnd w:id="33"/>
    </w:p>
    <w:p w14:paraId="75C9E573" w14:textId="77777777" w:rsidR="00863DF5" w:rsidRPr="006F3B00" w:rsidRDefault="00863DF5" w:rsidP="00863DF5">
      <w:pPr>
        <w:rPr>
          <w:rFonts w:ascii="Times New Roman" w:hAnsi="Times New Roman" w:cs="Times New Roman"/>
          <w:sz w:val="24"/>
          <w:szCs w:val="24"/>
        </w:rPr>
      </w:pPr>
    </w:p>
    <w:p w14:paraId="5D746D5A" w14:textId="034E4D4B"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Ther</w:t>
      </w:r>
      <w:r w:rsidR="007E3EBD">
        <w:rPr>
          <w:rFonts w:ascii="Times New Roman" w:hAnsi="Times New Roman" w:cs="Times New Roman"/>
          <w:sz w:val="24"/>
          <w:szCs w:val="24"/>
        </w:rPr>
        <w:t>e appears to be some truth in the</w:t>
      </w:r>
      <w:r w:rsidRPr="006F3B00">
        <w:rPr>
          <w:rFonts w:ascii="Times New Roman" w:hAnsi="Times New Roman" w:cs="Times New Roman"/>
          <w:sz w:val="24"/>
          <w:szCs w:val="24"/>
        </w:rPr>
        <w:t xml:space="preserve"> assumption that diagnostic competence is about making accurate diagnoses. For example, there are a number of studies in the literature which have examined diagnostic accuracy in histopathology, suggesting it is important to the profession</w:t>
      </w:r>
      <w:r w:rsidR="00FC522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{"citationItems":[{"id":"ITEM-1","itemData":{"DOI":"10.1016/S0377-2217(01)00113-8","ISBN":"0377-2217","ISSN":"03772217","PMID":"11940169","abstract":"The identification of an expert is vital to any study or application involving expertise. If external criterion (a \"gold standard\") exists, then identification is straightforward: Simply compare people against the standard and select whoever is closest. However, such criteria are seldom available for domains where experts work; that's why experts are needed in the first place. The purpose here is to explore various methods for identifying experts in the absence of a gold standard. One particularly promising approach (labeled CWS for Cochran-Weiss-Shanteau) is explored in detail. We illustrate CWS through reanalyses of three previous studies of experts. In each case, CWS provided new insights into identifying experts. When applied to auditors, CWS correctly detected group differences in expertise. For agricultural judges, CWS revealed subtle distinctions between subspecialties of experts. In personnel selection, CWS showed that irrelevant attributes were more informative than relevant attributes. We believe CWS provides a valuable tool for identification and evaluation of experts. ?? 2002 Elsevier Science B.V. All rights reserved.","author":[{"dropping-particle":"","family":"Shanteau","given":"James","non-dropping-particle":"","parse-names":false,"suffix":""},{"dropping-particle":"","family":"Weiss","given":"David J.","non-dropping-particle":"","parse-names":false,"suffix":""},{"dropping-particle":"","family":"Thomas","given":"Rickey P.","non-dropping-particle":"","parse-names":false,"suffix":""},{"dropping-particle":"","family":"Pounds","given":"Julia C.","non-dropping-particle":"","parse-names":false,"suffix":""}],"container-title":"European Journal of Operational Research","id":"ITEM-1","issue":"2","issued":{"date-parts":[["2002"]]},"page":"253-263","title":"Performance-based assessment of expertise: How to decide if someone is an expert or not","type":"article-journal","volume":"136"},"uris":["http://www.mendeley.com/documents/?uuid=20bc5609-8479-4111-96a1-84f5553ba185"]},{"id":"ITEM-2","itemData":{"DOI":"10.1016/j.prp.2010.06.007","ISBN":"1618-0631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practice","id":"ITEM-2","issue":"11","issued":{"date-parts":[["2010"]]},"page":"749-52","title":"Experts and performance in histopathology--a study in breast pathology.","type":"article-journal","volume":"206"},"uris":["http://www.mendeley.com/documents/?uuid=191972bd-c8f2-45a9-a04b-485514da6b9d"]},{"id":"ITEM-3","itemData":{"DOI":"10.1038/modpathol.3880171","ISSN":"0893-3952","PMID":"11007033","abstract":"AIMS: To assess the levels of agreement between histopathologists for a two-class nominal categorization process--the discrimination between hyperplastic and adenomatous colorectal polyps. METHODS: Fifty hyperplastic and 50 adenomatous polyps received consecutively in the laboratory were categorized by nine histopathologists, and the level of agreement between all observers and the original diagnosis was assessed using kappa statistics. RESULTS: For the eight observers with 11 months or more experience in histopathology, there was a high level of agreement with kappa statistics ranging from 0.84 to 0.98. This process was performed rapidly with an average of 13 to 22 seconds spent on each case. One observer with only 6-weeks' experience of histopathology had a lower overall level of agreement with kappa statistics ranging from 0.46 to 0.54, but the performance on the later cases was much higher. CONCLUSIONS: The level of agreement in the distinction between hyperplastic and adenomatous colorectal polyps is high among histopathologists with at least moderate amounts of experience in histopathology. The one virtually naïve observer showed a marked learning response during the study without feedback on case outcome. This suggests that histopathologists are very reliable in assigning cases to distinct nominal categories and that learning of these processes occurs early in a histopathologist's career.","author":[{"dropping-particle":"","family":"Cross","given":"S S","non-dropping-particle":"","parse-names":false,"suffix":""},{"dropping-particle":"","family":"Betmouni","given":"S","non-dropping-particle":"","parse-names":false,"suffix":""},{"dropping-particle":"","family":"Burton","given":"J L","non-dropping-particle":"","parse-names":false,"suffix":""},{"dropping-particle":"","family":"Dubé","given":"a K","non-dropping-particle":"","parse-names":false,"suffix":""},{"dropping-particle":"","family":"Feeley","given":"K M","non-dropping-particle":"","parse-names":false,"suffix":""},{"dropping-particle":"","family":"Holbrook","given":"M R","non-dropping-particle":"","parse-names":false,"suffix":""},{"dropping-particle":"","family":"Landers","given":"R J","non-dropping-particle":"","parse-names":false,"suffix":""},{"dropping-particle":"","family":"Lumb","given":"P B","non-dropping-particle":"","parse-names":false,"suffix":""},{"dropping-particle":"","family":"Stephenson","given":"T J","non-dropping-particle":"","parse-names":false,"suffix":""}],"container-title":"Modern pathology : an official journal of the United States and Canadian Academy of Pathology, Inc","id":"ITEM-3","issue":"9","issued":{"date-parts":[["2000"]]},"page":"941-944","title":"What levels of agreement can be expected between histopathologists assigning cases to discrete nominal categories? A study of the diagnosis of hyperplastic and adenomatous colorectal polyps.","type":"article-journal","volume":"13"},"uris":["http://www.mendeley.com/documents/?uuid=b77b37d0-26bf-4533-981e-a48f8f7a939e"]},{"id":"ITEM-4","itemData":{"author":[{"dropping-particle":"","family":"S.S. Cross, T. Dennis, R.D. Start","given":"et al.","non-dropping-particle":"","parse-names":false,"suffix":""}],"container-title":"Histopathology","id":"ITEM-4","issued":{"date-parts":[["2002"]]},"page":"206","title":"The area under the receiver operating characteristic (ROC) curve can be used as a sensitive measure of progress during the early stages of histopathology training.","type":"article-journal","volume":"41(Suppl 1"},"uris":["http://www.mendeley.com/documents/?uuid=f3a95888-145b-4d53-af04-3caba5211cf9"]}],"mendeley":{"formattedCitation":"(Cross &lt;i&gt;et al.&lt;/i&gt;, 2000; S.S. Cross, T. Dennis, R.D. Start, 2002; Shanteau &lt;i&gt;et al.&lt;/i&gt;, 2002; Parham &lt;i&gt;et al.&lt;/i&gt;, 2010a)","manualFormatting":"(Shanteau et al. 2002; Parham et al. 2010a)","plainTextFormattedCitation":"(Cross et al., 2000; S.S. Cross, T. Dennis, R.D. Start, 2002; Shanteau et al., 2002; Parham et al., 2010a)","previouslyFormattedCitation":"(Shanteau et al. 2002; Parham et al. 2010a; S S Cross et al. 2000; S.S. Cross, T. Dennis, R.D. Start 2002)"},"properties":{"noteIndex":0},"schema":"https://github.com/citation-style-language/schema/raw/master/csl-citation.json"}</w:instrText>
      </w:r>
      <w:r w:rsidRPr="006F3B00">
        <w:rPr>
          <w:rFonts w:ascii="Times New Roman" w:hAnsi="Times New Roman" w:cs="Times New Roman"/>
          <w:sz w:val="24"/>
          <w:szCs w:val="24"/>
        </w:rPr>
        <w:fldChar w:fldCharType="separate"/>
      </w:r>
      <w:r w:rsidRPr="006F3B00">
        <w:rPr>
          <w:rFonts w:ascii="Times New Roman" w:hAnsi="Times New Roman" w:cs="Times New Roman"/>
          <w:noProof/>
          <w:sz w:val="24"/>
          <w:szCs w:val="24"/>
        </w:rPr>
        <w:t>(Shanteau et al. 2002; Parha</w:t>
      </w:r>
      <w:r w:rsidR="00E07F81">
        <w:rPr>
          <w:rFonts w:ascii="Times New Roman" w:hAnsi="Times New Roman" w:cs="Times New Roman"/>
          <w:noProof/>
          <w:sz w:val="24"/>
          <w:szCs w:val="24"/>
        </w:rPr>
        <w:t>m et al. 2010</w:t>
      </w:r>
      <w:r w:rsidRPr="006F3B00">
        <w:rPr>
          <w:rFonts w:ascii="Times New Roman" w:hAnsi="Times New Roman" w:cs="Times New Roman"/>
          <w:noProof/>
          <w:sz w:val="24"/>
          <w:szCs w:val="24"/>
        </w:rPr>
        <w:t>)</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Often, these studies have compared “expert” diagnoses to trainee diagnoses, in order to assess competence.</w:t>
      </w:r>
    </w:p>
    <w:p w14:paraId="56940A35" w14:textId="2FC1AF1E" w:rsidR="00863DF5" w:rsidRPr="00E07F81"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There is no agreed method for identifying experts or an agreed standard against which experts can be assessed, but in reality, all trainees are trying to become experts in histopathology by the end of their training. Experts may have vast amounts of experience in a given field, numerous peer reviewed papers, excellent communication and self-confidence or be judged on their professional status, yet these characteristics do not necessarily equate to diagnostic </w:t>
      </w:r>
      <w:r w:rsidRPr="00E07F81">
        <w:rPr>
          <w:rFonts w:ascii="Times New Roman" w:hAnsi="Times New Roman" w:cs="Times New Roman"/>
          <w:sz w:val="24"/>
          <w:szCs w:val="24"/>
        </w:rPr>
        <w:t>expertise</w:t>
      </w:r>
      <w:r w:rsidR="00FC5222" w:rsidRPr="00E07F81">
        <w:rPr>
          <w:rFonts w:ascii="Times New Roman" w:hAnsi="Times New Roman" w:cs="Times New Roman"/>
          <w:sz w:val="24"/>
          <w:szCs w:val="24"/>
        </w:rPr>
        <w:t xml:space="preserve"> </w:t>
      </w:r>
      <w:r w:rsidRPr="00E07F81">
        <w:rPr>
          <w:rFonts w:ascii="Times New Roman" w:hAnsi="Times New Roman" w:cs="Times New Roman"/>
          <w:sz w:val="24"/>
          <w:szCs w:val="24"/>
        </w:rPr>
        <w:fldChar w:fldCharType="begin" w:fldLock="1"/>
      </w:r>
      <w:r w:rsidR="00BE3B6C" w:rsidRPr="00E07F81">
        <w:rPr>
          <w:rFonts w:ascii="Times New Roman" w:hAnsi="Times New Roman" w:cs="Times New Roman"/>
          <w:sz w:val="24"/>
          <w:szCs w:val="24"/>
        </w:rPr>
        <w:instrText>ADDIN CSL_CITATION {"citationItems":[{"id":"ITEM-1","itemData":{"DOI":"10.1016/j.prp.2010.06.007","ISBN":"1618-0631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practice","id":"ITEM-1","issue":"11","issued":{"date-parts":[["2010"]]},"page":"749-52","title":"Experts and performance in histopathology--a study in breast pathology.","type":"article-journal","volume":"206"},"uris":["http://www.mendeley.com/documents/?uuid=3ec49dbd-7ddc-4e34-914a-4bb34c761f0c","http://www.mendeley.com/documents/?uuid=191972bd-c8f2-45a9-a04b-485514da6b9d"]}],"mendeley":{"formattedCitation":"(Parham &lt;i&gt;et al.&lt;/i&gt;, 2010b)","plainTextFormattedCitation":"(Parham et al., 2010b)","previouslyFormattedCitation":"(Parham et al. 2010b)"},"properties":{"noteIndex":0},"schema":"https://github.com/citation-style-language/schema/raw/master/csl-citation.json"}</w:instrText>
      </w:r>
      <w:r w:rsidRPr="00E07F81">
        <w:rPr>
          <w:rFonts w:ascii="Times New Roman" w:hAnsi="Times New Roman" w:cs="Times New Roman"/>
          <w:sz w:val="24"/>
          <w:szCs w:val="24"/>
        </w:rPr>
        <w:fldChar w:fldCharType="separate"/>
      </w:r>
      <w:r w:rsidR="00BE3B6C" w:rsidRPr="00E07F81">
        <w:rPr>
          <w:rFonts w:ascii="Times New Roman" w:hAnsi="Times New Roman" w:cs="Times New Roman"/>
          <w:noProof/>
          <w:sz w:val="24"/>
          <w:szCs w:val="24"/>
        </w:rPr>
        <w:t>(Parham et al.</w:t>
      </w:r>
      <w:r w:rsidR="00E07F81">
        <w:rPr>
          <w:rFonts w:ascii="Times New Roman" w:hAnsi="Times New Roman" w:cs="Times New Roman"/>
          <w:noProof/>
          <w:sz w:val="24"/>
          <w:szCs w:val="24"/>
        </w:rPr>
        <w:t xml:space="preserve"> 2010</w:t>
      </w:r>
      <w:r w:rsidR="00BE3B6C" w:rsidRPr="00E07F81">
        <w:rPr>
          <w:rFonts w:ascii="Times New Roman" w:hAnsi="Times New Roman" w:cs="Times New Roman"/>
          <w:noProof/>
          <w:sz w:val="24"/>
          <w:szCs w:val="24"/>
        </w:rPr>
        <w:t>)</w:t>
      </w:r>
      <w:r w:rsidRPr="00E07F81">
        <w:rPr>
          <w:rFonts w:ascii="Times New Roman" w:hAnsi="Times New Roman" w:cs="Times New Roman"/>
          <w:sz w:val="24"/>
          <w:szCs w:val="24"/>
        </w:rPr>
        <w:fldChar w:fldCharType="end"/>
      </w:r>
      <w:r w:rsidRPr="00E07F81">
        <w:rPr>
          <w:rFonts w:ascii="Times New Roman" w:hAnsi="Times New Roman" w:cs="Times New Roman"/>
          <w:sz w:val="24"/>
          <w:szCs w:val="24"/>
        </w:rPr>
        <w:t xml:space="preserve">. </w:t>
      </w:r>
    </w:p>
    <w:p w14:paraId="08587E68" w14:textId="122B8005" w:rsidR="00863DF5" w:rsidRPr="006F3B00" w:rsidRDefault="00863DF5" w:rsidP="00863DF5">
      <w:pPr>
        <w:spacing w:after="120" w:line="480" w:lineRule="auto"/>
        <w:rPr>
          <w:rFonts w:ascii="Times New Roman" w:hAnsi="Times New Roman" w:cs="Times New Roman"/>
          <w:sz w:val="24"/>
          <w:szCs w:val="24"/>
        </w:rPr>
      </w:pPr>
      <w:r w:rsidRPr="00E07F81">
        <w:rPr>
          <w:rFonts w:ascii="Times New Roman" w:hAnsi="Times New Roman" w:cs="Times New Roman"/>
          <w:sz w:val="24"/>
          <w:szCs w:val="24"/>
        </w:rPr>
        <w:t>An objective measure of expert performance has been proposed by Shante</w:t>
      </w:r>
      <w:r w:rsidR="00421128">
        <w:rPr>
          <w:rFonts w:ascii="Times New Roman" w:hAnsi="Times New Roman" w:cs="Times New Roman"/>
          <w:sz w:val="24"/>
          <w:szCs w:val="24"/>
        </w:rPr>
        <w:t xml:space="preserve">au et al which is based on the </w:t>
      </w:r>
      <w:r w:rsidRPr="00E07F81">
        <w:rPr>
          <w:rFonts w:ascii="Times New Roman" w:hAnsi="Times New Roman" w:cs="Times New Roman"/>
          <w:sz w:val="24"/>
          <w:szCs w:val="24"/>
        </w:rPr>
        <w:t xml:space="preserve">ratio of an individual’s discriminatory ability </w:t>
      </w:r>
      <w:r w:rsidR="00421128">
        <w:rPr>
          <w:rFonts w:ascii="Times New Roman" w:hAnsi="Times New Roman" w:cs="Times New Roman"/>
          <w:sz w:val="24"/>
          <w:szCs w:val="24"/>
        </w:rPr>
        <w:t>to their level of inconsistency</w:t>
      </w:r>
      <w:r w:rsidRPr="00E07F81">
        <w:rPr>
          <w:rFonts w:ascii="Times New Roman" w:hAnsi="Times New Roman" w:cs="Times New Roman"/>
          <w:sz w:val="24"/>
          <w:szCs w:val="24"/>
        </w:rPr>
        <w:t xml:space="preserve"> </w:t>
      </w:r>
      <w:r w:rsidRPr="00E07F81">
        <w:rPr>
          <w:rFonts w:ascii="Times New Roman" w:hAnsi="Times New Roman" w:cs="Times New Roman"/>
          <w:sz w:val="24"/>
          <w:szCs w:val="24"/>
        </w:rPr>
        <w:fldChar w:fldCharType="begin" w:fldLock="1"/>
      </w:r>
      <w:r w:rsidR="00BE3B6C" w:rsidRPr="00E07F81">
        <w:rPr>
          <w:rFonts w:ascii="Times New Roman" w:hAnsi="Times New Roman" w:cs="Times New Roman"/>
          <w:sz w:val="24"/>
          <w:szCs w:val="24"/>
        </w:rPr>
        <w:instrText>ADDIN CSL_CITATION {"citationItems":[{"id":"ITEM-1","itemData":{"DOI":"10.1016/S0377-2217(01)00113-8","ISBN":"0377-2217","ISSN":"03772217","PMID":"11940169","abstract":"The identification of an expert is vital to any study or application involving expertise. If external criterion (a \"gold standard\") exists, then identification is straightforward: Simply compare people against the standard and select whoever is closest. However, such criteria are seldom available for domains where experts work; that's why experts are needed in the first place. The purpose here is to explore various methods for identifying experts in the absence of a gold standard. One particularly promising approach (labeled CWS for Cochran-Weiss-Shanteau) is explored in detail. We illustrate CWS through reanalyses of three previous studies of experts. In each case, CWS provided new insights into identifying experts. When applied to auditors, CWS correctly detected group differences in expertise. For agricultural judges, CWS revealed subtle distinctions between subspecialties of experts. In personnel selection, CWS showed that irrelevant attributes were more informative than relevant attributes. We believe CWS provides a valuable tool for identification and evaluation of experts. ?? 2002 Elsevier Science B.V. All rights reserved.","author":[{"dropping-particle":"","family":"Shanteau","given":"James","non-dropping-particle":"","parse-names":false,"suffix":""},{"dropping-particle":"","family":"Weiss","given":"David J.","non-dropping-particle":"","parse-names":false,"suffix":""},{"dropping-particle":"","family":"Thomas","given":"Rickey P.","non-dropping-particle":"","parse-names":false,"suffix":""},{"dropping-particle":"","family":"Pounds","given":"Julia C.","non-dropping-particle":"","parse-names":false,"suffix":""}],"container-title":"European Journal of Operational Research","id":"ITEM-1","issue":"2","issued":{"date-parts":[["2002"]]},"page":"253-263","title":"Performance-based assessment of expertise: How to decide if someone is an expert or not","type":"article-journal","volume":"136"},"uris":["http://www.mendeley.com/documents/?uuid=20bc5609-8479-4111-96a1-84f5553ba185","http://www.mendeley.com/documents/?uuid=61a9506b-e854-460f-897a-7287f5186ac9"]}],"mendeley":{"formattedCitation":"(Shanteau &lt;i&gt;et al.&lt;/i&gt;, 2002)","plainTextFormattedCitation":"(Shanteau et al., 2002)","previouslyFormattedCitation":"(Shanteau et al. 2002)"},"properties":{"noteIndex":0},"schema":"https://github.com/citation-style-language/schema/raw/master/csl-citation.json"}</w:instrText>
      </w:r>
      <w:r w:rsidRPr="00E07F81">
        <w:rPr>
          <w:rFonts w:ascii="Times New Roman" w:hAnsi="Times New Roman" w:cs="Times New Roman"/>
          <w:sz w:val="24"/>
          <w:szCs w:val="24"/>
        </w:rPr>
        <w:fldChar w:fldCharType="separate"/>
      </w:r>
      <w:r w:rsidR="00E07F81">
        <w:rPr>
          <w:rFonts w:ascii="Times New Roman" w:hAnsi="Times New Roman" w:cs="Times New Roman"/>
          <w:noProof/>
          <w:sz w:val="24"/>
          <w:szCs w:val="24"/>
        </w:rPr>
        <w:t>(</w:t>
      </w:r>
      <w:r w:rsidR="00BE3B6C" w:rsidRPr="00E07F81">
        <w:rPr>
          <w:rFonts w:ascii="Times New Roman" w:hAnsi="Times New Roman" w:cs="Times New Roman"/>
          <w:noProof/>
          <w:sz w:val="24"/>
          <w:szCs w:val="24"/>
        </w:rPr>
        <w:t>2002)</w:t>
      </w:r>
      <w:r w:rsidRPr="00E07F81">
        <w:rPr>
          <w:rFonts w:ascii="Times New Roman" w:hAnsi="Times New Roman" w:cs="Times New Roman"/>
          <w:sz w:val="24"/>
          <w:szCs w:val="24"/>
        </w:rPr>
        <w:fldChar w:fldCharType="end"/>
      </w:r>
      <w:r w:rsidRPr="00E07F81">
        <w:rPr>
          <w:rFonts w:ascii="Times New Roman" w:hAnsi="Times New Roman" w:cs="Times New Roman"/>
          <w:sz w:val="24"/>
          <w:szCs w:val="24"/>
        </w:rPr>
        <w:t xml:space="preserve">. This measures two parameters which are considered to reflect an </w:t>
      </w:r>
      <w:r w:rsidRPr="00E07F81">
        <w:rPr>
          <w:rFonts w:ascii="Times New Roman" w:hAnsi="Times New Roman" w:cs="Times New Roman"/>
          <w:sz w:val="24"/>
          <w:szCs w:val="24"/>
        </w:rPr>
        <w:lastRenderedPageBreak/>
        <w:t>expert’s ability: an ability to differentiate between similar but different entities along a continuum, and secondly, consistency of the individual at making those choices</w:t>
      </w:r>
      <w:r w:rsidR="00FC5222" w:rsidRPr="00E07F81">
        <w:rPr>
          <w:rFonts w:ascii="Times New Roman" w:hAnsi="Times New Roman" w:cs="Times New Roman"/>
          <w:sz w:val="24"/>
          <w:szCs w:val="24"/>
        </w:rPr>
        <w:t xml:space="preserve"> </w:t>
      </w:r>
      <w:r w:rsidRPr="00E07F81">
        <w:rPr>
          <w:rFonts w:ascii="Times New Roman" w:hAnsi="Times New Roman" w:cs="Times New Roman"/>
          <w:sz w:val="24"/>
          <w:szCs w:val="24"/>
        </w:rPr>
        <w:fldChar w:fldCharType="begin" w:fldLock="1"/>
      </w:r>
      <w:r w:rsidR="00BE3B6C" w:rsidRPr="00E07F81">
        <w:rPr>
          <w:rFonts w:ascii="Times New Roman" w:hAnsi="Times New Roman" w:cs="Times New Roman"/>
          <w:sz w:val="24"/>
          <w:szCs w:val="24"/>
        </w:rPr>
        <w:instrText>ADDIN CSL_CITATION {"citationItems":[{"id":"ITEM-1","itemData":{"DOI":"10.1037/h0037164","ISSN":"0021-9010","abstract":"Expertise is examined within situations where judges deal with multidimen- sional information. Psychometric criteria were advocated as being indicative of expert judgment: (a) Experts should tend to cluster variables in the same way when identifying and organizing cues. (6) Expert judgment should be highly reliable (intrajudge reliability), show both convergent and discriminant validity, and be relatively free of judgmental bias when measuring cues, (c) Experts should weight and combine information in similar ways. These cri- teria were applied to data obtained when three medical pathologists rated the amount of histological signs in biopsy slides. The results showed that these experts generally met the criteria, although they did not seem to weigh information similarly. Some limitations of denning expertise in terms of the above criteria are discussed.","author":[{"dropping-particle":"","family":"Einhorn","given":"Hillel J.","non-dropping-particle":"","parse-names":false,"suffix":""}],"container-title":"Journal of Applied Psychology","id":"ITEM-1","issue":"5","issued":{"date-parts":[["1974"]]},"page":"562-571","title":"Expert judgment: Some necessary conditions and an example.","type":"article-journal","volume":"59"},"uris":["http://www.mendeley.com/documents/?uuid=8717c6d6-cdc2-48c0-8ecd-74049dd1bf80","http://www.mendeley.com/documents/?uuid=1c7e8152-5cf4-4f15-84d5-755e7b5f032d"]}],"mendeley":{"formattedCitation":"(Einhorn, 1974)","plainTextFormattedCitation":"(Einhorn, 1974)","previouslyFormattedCitation":"(Einhorn 1974)"},"properties":{"noteIndex":0},"schema":"https://github.com/citation-style-language/schema/raw/master/csl-citation.json"}</w:instrText>
      </w:r>
      <w:r w:rsidRPr="00E07F81">
        <w:rPr>
          <w:rFonts w:ascii="Times New Roman" w:hAnsi="Times New Roman" w:cs="Times New Roman"/>
          <w:sz w:val="24"/>
          <w:szCs w:val="24"/>
        </w:rPr>
        <w:fldChar w:fldCharType="separate"/>
      </w:r>
      <w:r w:rsidR="00E07F81">
        <w:rPr>
          <w:rFonts w:ascii="Times New Roman" w:hAnsi="Times New Roman" w:cs="Times New Roman"/>
          <w:noProof/>
          <w:sz w:val="24"/>
          <w:szCs w:val="24"/>
        </w:rPr>
        <w:t>(Einhorn</w:t>
      </w:r>
      <w:r w:rsidR="00BE3B6C" w:rsidRPr="00E07F81">
        <w:rPr>
          <w:rFonts w:ascii="Times New Roman" w:hAnsi="Times New Roman" w:cs="Times New Roman"/>
          <w:noProof/>
          <w:sz w:val="24"/>
          <w:szCs w:val="24"/>
        </w:rPr>
        <w:t xml:space="preserve"> 1974)</w:t>
      </w:r>
      <w:r w:rsidRPr="00E07F81">
        <w:rPr>
          <w:rFonts w:ascii="Times New Roman" w:hAnsi="Times New Roman" w:cs="Times New Roman"/>
          <w:sz w:val="24"/>
          <w:szCs w:val="24"/>
        </w:rPr>
        <w:fldChar w:fldCharType="end"/>
      </w:r>
      <w:r w:rsidRPr="00E07F81">
        <w:rPr>
          <w:rFonts w:ascii="Times New Roman" w:hAnsi="Times New Roman" w:cs="Times New Roman"/>
          <w:sz w:val="24"/>
          <w:szCs w:val="24"/>
        </w:rPr>
        <w:t>. The measure of discrimination is divided by the degree of inconsistency, with this ratio giving a descriptive statistic as to the degree of expertise</w:t>
      </w:r>
      <w:r w:rsidR="00FC5222" w:rsidRPr="00E07F81">
        <w:rPr>
          <w:rFonts w:ascii="Times New Roman" w:hAnsi="Times New Roman" w:cs="Times New Roman"/>
          <w:sz w:val="24"/>
          <w:szCs w:val="24"/>
        </w:rPr>
        <w:t xml:space="preserve"> </w:t>
      </w:r>
      <w:r w:rsidRPr="00E07F81">
        <w:rPr>
          <w:rFonts w:ascii="Times New Roman" w:hAnsi="Times New Roman" w:cs="Times New Roman"/>
          <w:sz w:val="24"/>
          <w:szCs w:val="24"/>
        </w:rPr>
        <w:fldChar w:fldCharType="begin" w:fldLock="1"/>
      </w:r>
      <w:r w:rsidR="00BE3B6C" w:rsidRPr="00E07F81">
        <w:rPr>
          <w:rFonts w:ascii="Times New Roman" w:hAnsi="Times New Roman" w:cs="Times New Roman"/>
          <w:sz w:val="24"/>
          <w:szCs w:val="24"/>
        </w:rPr>
        <w:instrText>ADDIN CSL_CITATION {"citationItems":[{"id":"ITEM-1","itemData":{"DOI":"10.1016/j.prp.2010.06.007","ISBN":"1618-0631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practice","id":"ITEM-1","issue":"11","issued":{"date-parts":[["2010"]]},"page":"749-52","title":"Experts and performance in histopathology--a study in breast pathology.","type":"article-journal","volume":"206"},"uris":["http://www.mendeley.com/documents/?uuid=191972bd-c8f2-45a9-a04b-485514da6b9d","http://www.mendeley.com/documents/?uuid=3ec49dbd-7ddc-4e34-914a-4bb34c761f0c"]}],"mendeley":{"formattedCitation":"(Parham &lt;i&gt;et al.&lt;/i&gt;, 2010a)","plainTextFormattedCitation":"(Parham et al., 2010a)","previouslyFormattedCitation":"(Parham et al. 2010a)"},"properties":{"noteIndex":0},"schema":"https://github.com/citation-style-language/schema/raw/master/csl-citation.json"}</w:instrText>
      </w:r>
      <w:r w:rsidRPr="00E07F81">
        <w:rPr>
          <w:rFonts w:ascii="Times New Roman" w:hAnsi="Times New Roman" w:cs="Times New Roman"/>
          <w:sz w:val="24"/>
          <w:szCs w:val="24"/>
        </w:rPr>
        <w:fldChar w:fldCharType="separate"/>
      </w:r>
      <w:r w:rsidR="00BE3B6C" w:rsidRPr="00E07F81">
        <w:rPr>
          <w:rFonts w:ascii="Times New Roman" w:hAnsi="Times New Roman" w:cs="Times New Roman"/>
          <w:noProof/>
          <w:sz w:val="24"/>
          <w:szCs w:val="24"/>
        </w:rPr>
        <w:t>(Parham et al.</w:t>
      </w:r>
      <w:r w:rsidR="00E07F81">
        <w:rPr>
          <w:rFonts w:ascii="Times New Roman" w:hAnsi="Times New Roman" w:cs="Times New Roman"/>
          <w:noProof/>
          <w:sz w:val="24"/>
          <w:szCs w:val="24"/>
        </w:rPr>
        <w:t xml:space="preserve"> 2010</w:t>
      </w:r>
      <w:r w:rsidR="00BE3B6C" w:rsidRPr="00E07F81">
        <w:rPr>
          <w:rFonts w:ascii="Times New Roman" w:hAnsi="Times New Roman" w:cs="Times New Roman"/>
          <w:noProof/>
          <w:sz w:val="24"/>
          <w:szCs w:val="24"/>
        </w:rPr>
        <w:t>)</w:t>
      </w:r>
      <w:r w:rsidRPr="00E07F81">
        <w:rPr>
          <w:rFonts w:ascii="Times New Roman" w:hAnsi="Times New Roman" w:cs="Times New Roman"/>
          <w:sz w:val="24"/>
          <w:szCs w:val="24"/>
        </w:rPr>
        <w:fldChar w:fldCharType="end"/>
      </w:r>
      <w:r w:rsidRPr="00E07F81">
        <w:rPr>
          <w:rFonts w:ascii="Times New Roman" w:hAnsi="Times New Roman" w:cs="Times New Roman"/>
          <w:sz w:val="24"/>
          <w:szCs w:val="24"/>
        </w:rPr>
        <w:t>. A high degree of discrimination</w:t>
      </w:r>
      <w:r w:rsidRPr="006F3B00">
        <w:rPr>
          <w:rFonts w:ascii="Times New Roman" w:hAnsi="Times New Roman" w:cs="Times New Roman"/>
          <w:sz w:val="24"/>
          <w:szCs w:val="24"/>
        </w:rPr>
        <w:t xml:space="preserve"> and little inconsistency gives a large ratio that is associated with a greater degree of expertise. To this end, one would expect that trainee levels of expertise would increase as they progress through training; their scores gradually becoming closer to the “expert” or specifically, the consultant score. </w:t>
      </w:r>
    </w:p>
    <w:p w14:paraId="45F60584" w14:textId="6CF8DFC1" w:rsidR="00863DF5" w:rsidRPr="00421128"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small study examining whether it is possible to identify expertise in breast pathology using the CWS (Cochran-Weiss-Shanteau) ratio </w:t>
      </w:r>
      <w:r w:rsidRPr="00421128">
        <w:rPr>
          <w:rFonts w:ascii="Times New Roman" w:hAnsi="Times New Roman" w:cs="Times New Roman"/>
          <w:sz w:val="24"/>
          <w:szCs w:val="24"/>
        </w:rPr>
        <w:t>found that it was a useful tool in differentiating between trainees and consultants</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practice","id":"ITEM-1","issue":"11","issued":{"date-parts":[["2010"]]},"page":"749-52","title":"Experts and performance in histopathology--a study in breast pathology.","type":"article-journal","volume":"206"},"uris":["http://www.mendeley.com/documents/?uuid=191972bd-c8f2-45a9-a04b-485514da6b9d"]}],"mendeley":{"formattedCitation":"(Parham &lt;i&gt;et al.&lt;/i&gt;, 2010a)","plainTextFormattedCitation":"(Parham et al., 2010a)","previouslyFormattedCitation":"(Parham et al. 2010a)"},"properties":{"noteIndex":0},"schema":"https://github.com/citation-style-language/schema/raw/master/csl-citation.json"}</w:instrText>
      </w:r>
      <w:r w:rsidRPr="00421128">
        <w:rPr>
          <w:rFonts w:ascii="Times New Roman" w:hAnsi="Times New Roman" w:cs="Times New Roman"/>
          <w:sz w:val="24"/>
          <w:szCs w:val="24"/>
        </w:rPr>
        <w:fldChar w:fldCharType="separate"/>
      </w:r>
      <w:r w:rsidR="00BE3B6C" w:rsidRPr="00421128">
        <w:rPr>
          <w:rFonts w:ascii="Times New Roman" w:hAnsi="Times New Roman" w:cs="Times New Roman"/>
          <w:noProof/>
          <w:sz w:val="24"/>
          <w:szCs w:val="24"/>
        </w:rPr>
        <w:t>(Parham et al.</w:t>
      </w:r>
      <w:r w:rsidR="00421128">
        <w:rPr>
          <w:rFonts w:ascii="Times New Roman" w:hAnsi="Times New Roman" w:cs="Times New Roman"/>
          <w:noProof/>
          <w:sz w:val="24"/>
          <w:szCs w:val="24"/>
        </w:rPr>
        <w:t xml:space="preserve"> 2010</w:t>
      </w:r>
      <w:r w:rsidR="00BE3B6C" w:rsidRPr="00421128">
        <w:rPr>
          <w:rFonts w:ascii="Times New Roman" w:hAnsi="Times New Roman" w:cs="Times New Roman"/>
          <w:noProof/>
          <w:sz w:val="24"/>
          <w:szCs w:val="24"/>
        </w:rPr>
        <w:t>)</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In this study, 15 breast lesions were selected which reflected the spectrum of breast disease in routine practice. Each diagnosis was broadly categorised into one of four groups (benign, atypical, in-situ disease and invasive carcinoma). The CWS scores showed a statistical difference between average trainee score and consultant score. It also suggested that it is often difficult to rely on a “correct diagnosis” or “gold standard” when making comparisons. In some cases, experts may not agree on a diagnosis, or alternatively all the experts may agree but agree the wrong diagnosis. However, the CWS ratio does not require a correct diagnosis. The two parameters utilised examine the ability of a pathologist to discriminate between possible diagnostic entities and their consistency in undertaki</w:t>
      </w:r>
      <w:r w:rsidR="007E3EBD" w:rsidRPr="00421128">
        <w:rPr>
          <w:rFonts w:ascii="Times New Roman" w:hAnsi="Times New Roman" w:cs="Times New Roman"/>
          <w:sz w:val="24"/>
          <w:szCs w:val="24"/>
        </w:rPr>
        <w:t xml:space="preserve">ng this process. This CWS ratio </w:t>
      </w:r>
      <w:r w:rsidRPr="00421128">
        <w:rPr>
          <w:rFonts w:ascii="Times New Roman" w:hAnsi="Times New Roman" w:cs="Times New Roman"/>
          <w:sz w:val="24"/>
          <w:szCs w:val="24"/>
        </w:rPr>
        <w:t>(discrimination/consistency) obtained in this way is a measure of expertise</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practice","id":"ITEM-1","issue":"11","issued":{"date-parts":[["2010"]]},"page":"749-52","title":"Experts and performance in histopathology--a study in breast pathology.","type":"article-journal","volume":"206"},"uris":["http://www.mendeley.com/documents/?uuid=191972bd-c8f2-45a9-a04b-485514da6b9d","http://www.mendeley.com/documents/?uuid=3ec49dbd-7ddc-4e34-914a-4bb34c761f0c"]}],"mendeley":{"formattedCitation":"(Parham &lt;i&gt;et al.&lt;/i&gt;, 2010a)","plainTextFormattedCitation":"(Parham et al., 2010a)","previouslyFormattedCitation":"(Parham et al. 2010a)"},"properties":{"noteIndex":0},"schema":"https://github.com/citation-style-language/schema/raw/master/csl-citation.json"}</w:instrText>
      </w:r>
      <w:r w:rsidRPr="00421128">
        <w:rPr>
          <w:rFonts w:ascii="Times New Roman" w:hAnsi="Times New Roman" w:cs="Times New Roman"/>
          <w:sz w:val="24"/>
          <w:szCs w:val="24"/>
        </w:rPr>
        <w:fldChar w:fldCharType="separate"/>
      </w:r>
      <w:r w:rsidR="00BE3B6C" w:rsidRPr="00421128">
        <w:rPr>
          <w:rFonts w:ascii="Times New Roman" w:hAnsi="Times New Roman" w:cs="Times New Roman"/>
          <w:noProof/>
          <w:sz w:val="24"/>
          <w:szCs w:val="24"/>
        </w:rPr>
        <w:t>(Parham et al.</w:t>
      </w:r>
      <w:r w:rsidR="00421128">
        <w:rPr>
          <w:rFonts w:ascii="Times New Roman" w:hAnsi="Times New Roman" w:cs="Times New Roman"/>
          <w:noProof/>
          <w:sz w:val="24"/>
          <w:szCs w:val="24"/>
        </w:rPr>
        <w:t xml:space="preserve"> 2010</w:t>
      </w:r>
      <w:r w:rsidR="00BE3B6C" w:rsidRPr="00421128">
        <w:rPr>
          <w:rFonts w:ascii="Times New Roman" w:hAnsi="Times New Roman" w:cs="Times New Roman"/>
          <w:noProof/>
          <w:sz w:val="24"/>
          <w:szCs w:val="24"/>
        </w:rPr>
        <w:t>)</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Discrimination can be shown by generating a wide variety of responses to individual cases; one can exhibit consistency by repeating the same response to all stimuli</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{"citationItems":[{"id":"ITEM-1","itemData":{"DOI":"10.1016/S0377-2217(01)00113-8","ISBN":"0377-2217","ISSN":"03772217","PMID":"11940169","abstract":"The identification of an expert is vital to any study or application involving expertise. If external criterion (a \"gold standard\") exists, then identification is straightforward: Simply compare people against the standard and select whoever is closest. However, such criteria are seldom available for domains where experts work; that's why experts are needed in the first place. The purpose here is to explore various methods for identifying experts in the absence of a gold standard. One particularly promising approach (labeled CWS for Cochran-Weiss-Shanteau) is explored in detail. We illustrate CWS through reanalyses of three previous studies of experts. In each case, CWS provided new insights into identifying experts. When applied to auditors, CWS correctly detected group differences in expertise. For agricultural judges, CWS revealed subtle distinctions between subspecialties of experts. In personnel selection, CWS showed that irrelevant attributes were more informative than relevant attributes. We believe CWS provides a valuable tool for identification and evaluation of experts. ?? 2002 Elsevier Science B.V. All rights reserved.","author":[{"dropping-particle":"","family":"Shanteau","given":"James","non-dropping-particle":"","parse-names":false,"suffix":""},{"dropping-particle":"","family":"Weiss","given":"David J.","non-dropping-particle":"","parse-names":false,"suffix":""},{"dropping-particle":"","family":"Thomas","given":"Rickey P.","non-dropping-particle":"","parse-names":false,"suffix":""},{"dropping-particle":"","family":"Pounds","given":"Julia C.","non-dropping-particle":"","parse-names":false,"suffix":""}],"container-title":"European Journal of Operational Research","id":"ITEM-1","issue":"2","issued":{"date-parts":[["2002"]]},"page":"253-263","title":"Performance-based assessment of expertise: How to decide if someone is an expert or not","type":"article-journal","volume":"136"},"uris":["http://www.mendeley.com/documents/?uuid=61a9506b-e854-460f-897a-7287f5186ac9","http://www.mendeley.com/documents/?uuid=20bc5609-8479-4111-96a1-84f5553ba185"]}],"mendeley":{"formattedCitation":"(Shanteau &lt;i&gt;et al.&lt;/i&gt;, 2002)","plainTextFormattedCitation":"(Shanteau et al., 2002)","previouslyFormattedCitation":"(Shanteau et al. 2002)"},"properties":{"noteIndex":0},"schema":"https://github.com/citation-style-language/schema/raw/master/csl-citation.json"}</w:instrText>
      </w:r>
      <w:r w:rsidRPr="00421128">
        <w:rPr>
          <w:rFonts w:ascii="Times New Roman" w:hAnsi="Times New Roman" w:cs="Times New Roman"/>
          <w:sz w:val="24"/>
          <w:szCs w:val="24"/>
        </w:rPr>
        <w:fldChar w:fldCharType="separate"/>
      </w:r>
      <w:r w:rsidR="00BE3B6C" w:rsidRPr="00421128">
        <w:rPr>
          <w:rFonts w:ascii="Times New Roman" w:hAnsi="Times New Roman" w:cs="Times New Roman"/>
          <w:noProof/>
          <w:sz w:val="24"/>
          <w:szCs w:val="24"/>
        </w:rPr>
        <w:t>(Shanteau et al. 2002)</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w:t>
      </w:r>
    </w:p>
    <w:p w14:paraId="0A3E7977" w14:textId="50D593AB" w:rsidR="00863DF5" w:rsidRPr="006F3B00" w:rsidRDefault="00863DF5" w:rsidP="00863DF5">
      <w:pPr>
        <w:spacing w:after="120" w:line="480" w:lineRule="auto"/>
        <w:rPr>
          <w:rFonts w:ascii="Times New Roman" w:hAnsi="Times New Roman" w:cs="Times New Roman"/>
          <w:sz w:val="24"/>
          <w:szCs w:val="24"/>
        </w:rPr>
      </w:pPr>
      <w:r w:rsidRPr="00421128">
        <w:rPr>
          <w:rFonts w:ascii="Times New Roman" w:hAnsi="Times New Roman" w:cs="Times New Roman"/>
          <w:sz w:val="24"/>
          <w:szCs w:val="24"/>
        </w:rPr>
        <w:lastRenderedPageBreak/>
        <w:t>Aptitude testing has also been explored in histopathology although aptitude testing has yet to be adopted into specialist training as currently there in insufficient evidence to support its use</w:t>
      </w:r>
      <w:r w:rsid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{"citationItems":[{"id":"ITEM-1","itemData":{"DOI":"10.1016/j.cdip.2005.05.008","ISSN":"09686053","abstract":"Histopathology has a widely differing skill set from that produced by undergraduate medical education and from that of most other medical specialties. Visuospatial reasoning and visuospatial memory are core abilities for histopathology that will not have been assessed in any depth during medical undergraduate education. There is potential to develop aptitude tests for the histopathology skill set that would assist in selecting the most appropriate candidates for histopathology training, but there are insufficient data in this area to propose this at present. Assessment of progress during histopathology training has two important functions—to determine the suitability of candidates for histopathology early in their training (entry function), and to determine when trainees are ready for full independent practice as consultants (exit function). Assessment can be made by objective and subjective methods, which need to be tailored to the skills being assessed and the point in the training process.","author":[{"dropping-particle":"","family":"Cross","given":"Simon S.","non-dropping-particle":"","parse-names":false,"suffix":""}],"container-title":"Current Diagnostic Pathology","id":"ITEM-1","issue":"5","issued":{"date-parts":[["2005","10"]]},"page":"299-307","title":"Aptitude testing and assessment of training progress in histopathology","type":"article-journal","volume":"11"},"uris":["http://www.mendeley.com/documents/?uuid=61a7176e-7995-4716-87fe-2a455139cab7"]}],"mendeley":{"formattedCitation":"(Cross, 2005)","plainTextFormattedCitation":"(Cross, 2005)","previouslyFormattedCitation":"(Simon S. Cross 2005)"},"properties":{"noteIndex":0},"schema":"https://github.com/citation-style-language/schema/raw/master/csl-citation.json"}</w:instrText>
      </w:r>
      <w:r w:rsidRPr="00421128">
        <w:rPr>
          <w:rFonts w:ascii="Times New Roman" w:hAnsi="Times New Roman" w:cs="Times New Roman"/>
          <w:sz w:val="24"/>
          <w:szCs w:val="24"/>
        </w:rPr>
        <w:fldChar w:fldCharType="separate"/>
      </w:r>
      <w:r w:rsidR="00421128">
        <w:rPr>
          <w:rFonts w:ascii="Times New Roman" w:hAnsi="Times New Roman" w:cs="Times New Roman"/>
          <w:noProof/>
          <w:sz w:val="24"/>
          <w:szCs w:val="24"/>
        </w:rPr>
        <w:t>(Cross</w:t>
      </w:r>
      <w:r w:rsidR="00BE3B6C" w:rsidRPr="00421128">
        <w:rPr>
          <w:rFonts w:ascii="Times New Roman" w:hAnsi="Times New Roman" w:cs="Times New Roman"/>
          <w:noProof/>
          <w:sz w:val="24"/>
          <w:szCs w:val="24"/>
        </w:rPr>
        <w:t xml:space="preserve"> 2005)</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In general pathology, the</w:t>
      </w:r>
      <w:r w:rsidR="007E3EBD" w:rsidRPr="00421128">
        <w:rPr>
          <w:rFonts w:ascii="Times New Roman" w:hAnsi="Times New Roman" w:cs="Times New Roman"/>
          <w:sz w:val="24"/>
          <w:szCs w:val="24"/>
        </w:rPr>
        <w:t xml:space="preserve"> Objective Structured Practical Examination</w:t>
      </w:r>
      <w:r w:rsidRPr="00421128">
        <w:rPr>
          <w:rFonts w:ascii="Times New Roman" w:hAnsi="Times New Roman" w:cs="Times New Roman"/>
          <w:sz w:val="24"/>
          <w:szCs w:val="24"/>
        </w:rPr>
        <w:t xml:space="preserve"> </w:t>
      </w:r>
      <w:r w:rsidR="007E3EBD" w:rsidRPr="00421128">
        <w:rPr>
          <w:rFonts w:ascii="Times New Roman" w:hAnsi="Times New Roman" w:cs="Times New Roman"/>
          <w:sz w:val="24"/>
          <w:szCs w:val="24"/>
        </w:rPr>
        <w:t>(</w:t>
      </w:r>
      <w:r w:rsidRPr="00421128">
        <w:rPr>
          <w:rFonts w:ascii="Times New Roman" w:hAnsi="Times New Roman" w:cs="Times New Roman"/>
          <w:sz w:val="24"/>
          <w:szCs w:val="24"/>
        </w:rPr>
        <w:t>OSPE</w:t>
      </w:r>
      <w:r w:rsidR="007E3EBD" w:rsidRPr="00421128">
        <w:rPr>
          <w:rFonts w:ascii="Times New Roman" w:hAnsi="Times New Roman" w:cs="Times New Roman"/>
          <w:sz w:val="24"/>
          <w:szCs w:val="24"/>
        </w:rPr>
        <w:t>)</w:t>
      </w:r>
      <w:r w:rsidRPr="00421128">
        <w:rPr>
          <w:rFonts w:ascii="Times New Roman" w:hAnsi="Times New Roman" w:cs="Times New Roman"/>
          <w:sz w:val="24"/>
          <w:szCs w:val="24"/>
        </w:rPr>
        <w:t xml:space="preserve"> does help to assess aptitude for pathology as the medical and dental curricula contain little exposure to histology and most trainees enter histopathology training with no previous experience.  There are several qualities or skills which have been recognised as important attributes to possess two of which are: visuospatial analysis and visuospatial memory</w:t>
      </w:r>
      <w:r w:rsid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{"citationItems":[{"id":"ITEM-1","itemData":{"DOI":"10.1016/j.cdip.2005.05.008","ISSN":"09686053","abstract":"Histopathology has a widely differing skill set from that produced by undergraduate medical education and from that of most other medical specialties. Visuospatial reasoning and visuospatial memory are core abilities for histopathology that will not have been assessed in any depth during medical undergraduate education. There is potential to develop aptitude tests for the histopathology skill set that would assist in selecting the most appropriate candidates for histopathology training, but there are insufficient data in this area to propose this at present. Assessment of progress during histopathology training has two important functions—to determine the suitability of candidates for histopathology early in their training (entry function), and to determine when trainees are ready for full independent practice as consultants (exit function). Assessment can be made by objective and subjective methods, which need to be tailored to the skills being assessed and the point in the training process.","author":[{"dropping-particle":"","family":"Cross","given":"Simon S.","non-dropping-particle":"","parse-names":false,"suffix":""}],"container-title":"Current Diagnostic Pathology","id":"ITEM-1","issue":"5","issued":{"date-parts":[["2005","10"]]},"page":"299-307","title":"Aptitude testing and assessment of training progress in histopathology","type":"article-journal","volume":"11"},"uris":["http://www.mendeley.com/documents/?uuid=61a7176e-7995-4716-87fe-2a455139cab7"]}],"mendeley":{"formattedCitation":"(Cross, 2005)","plainTextFormattedCitation":"(Cross, 2005)","previouslyFormattedCitation":"(Simon S. Cross 2005)"},"properties":{"noteIndex":0},"schema":"https://github.com/citation-style-language/schema/raw/master/csl-citation.json"}</w:instrText>
      </w:r>
      <w:r w:rsidRPr="00421128">
        <w:rPr>
          <w:rFonts w:ascii="Times New Roman" w:hAnsi="Times New Roman" w:cs="Times New Roman"/>
          <w:sz w:val="24"/>
          <w:szCs w:val="24"/>
        </w:rPr>
        <w:fldChar w:fldCharType="separate"/>
      </w:r>
      <w:r w:rsidR="00421128">
        <w:rPr>
          <w:rFonts w:ascii="Times New Roman" w:hAnsi="Times New Roman" w:cs="Times New Roman"/>
          <w:noProof/>
          <w:sz w:val="24"/>
          <w:szCs w:val="24"/>
        </w:rPr>
        <w:t>(Cross</w:t>
      </w:r>
      <w:r w:rsidR="00BE3B6C" w:rsidRPr="00421128">
        <w:rPr>
          <w:rFonts w:ascii="Times New Roman" w:hAnsi="Times New Roman" w:cs="Times New Roman"/>
          <w:noProof/>
          <w:sz w:val="24"/>
          <w:szCs w:val="24"/>
        </w:rPr>
        <w:t xml:space="preserve"> 2005)</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Histopathology diagnoses are made by a mixture of pattern recognition and heuristic logic and this</w:t>
      </w:r>
      <w:r w:rsidRPr="006F3B00">
        <w:rPr>
          <w:rFonts w:ascii="Times New Roman" w:hAnsi="Times New Roman" w:cs="Times New Roman"/>
          <w:sz w:val="24"/>
          <w:szCs w:val="24"/>
        </w:rPr>
        <w:t xml:space="preserve"> ability to recognise and recall visual patterns varies between individuals. Vigilance is also an important skill, as there are several tasks that require a methodical and thorough approach with a low error rate. These include checking that laboratory numbers on slides match those on request forms; ensuring one has viewed the entirety of the histological section and double-checking histology reports before they are sent out to clinicians. The assessment of risk is also relevant to histopathology. For example, making a decision on how many blocks to take from a cancer excision specimen is a routine task. Too few blocks may result in an important feature being missed; yet over-zealous sampling may be wasteful and time-consuming.  A careful and sensitive programme of assessment of trainee progress is probably needed, so that trainees who lack these skills may be given extra support or advised to pursue an alternative career path. One of the most important end results of implementing these skills is making a diagnosis by light-microscopic examination. Several studies have tried to measure this in histopathology, which are outlined below</w:t>
      </w:r>
      <w:r w:rsidR="00421128">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{"citationItems":[{"id":"ITEM-1","itemData":{"DOI":"10.1038/modpathol.3880171","ISSN":"0893-3952","PMID":"11007033","abstract":"AIMS: To assess the levels of agreement between histopathologists for a two-class nominal categorization process--the discrimination between hyperplastic and adenomatous colorectal polyps. METHODS: Fifty hyperplastic and 50 adenomatous polyps received consecutively in the laboratory were categorized by nine histopathologists, and the level of agreement between all observers and the original diagnosis was assessed using kappa statistics. RESULTS: For the eight observers with 11 months or more experience in histopathology, there was a high level of agreement with kappa statistics ranging from 0.84 to 0.98. This process was performed rapidly with an average of 13 to 22 seconds spent on each case. One observer with only 6-weeks' experience of histopathology had a lower overall level of agreement with kappa statistics ranging from 0.46 to 0.54, but the performance on the later cases was much higher. CONCLUSIONS: The level of agreement in the distinction between hyperplastic and adenomatous colorectal polyps is high among histopathologists with at least moderate amounts of experience in histopathology. The one virtually naïve observer showed a marked learning response during the study without feedback on case outcome. This suggests that histopathologists are very reliable in assigning cases to distinct nominal categories and that learning of these processes occurs early in a histopathologist's career.","author":[{"dropping-particle":"","family":"Cross","given":"S S","non-dropping-particle":"","parse-names":false,"suffix":""},{"dropping-particle":"","family":"Betmouni","given":"S","non-dropping-particle":"","parse-names":false,"suffix":""},{"dropping-particle":"","family":"Burton","given":"J L","non-dropping-particle":"","parse-names":false,"suffix":""},{"dropping-particle":"","family":"Dubé","given":"a K","non-dropping-particle":"","parse-names":false,"suffix":""},{"dropping-particle":"","family":"Feeley","given":"K M","non-dropping-particle":"","parse-names":false,"suffix":""},{"dropping-particle":"","family":"Holbrook","given":"M R","non-dropping-particle":"","parse-names":false,"suffix":""},{"dropping-particle":"","family":"Landers","given":"R J","non-dropping-particle":"","parse-names":false,"suffix":""},{"dropping-particle":"","family":"Lumb","given":"P B","non-dropping-particle":"","parse-names":false,"suffix":""},{"dropping-particle":"","family":"Stephenson","given":"T J","non-dropping-particle":"","parse-names":false,"suffix":""}],"container-title":"Modern pathology : an official journal of the United States and Canadian Academy of Pathology, Inc","id":"ITEM-1","issue":"9","issued":{"date-parts":[["2000"]]},"page":"941-944","title":"What levels of agreement can be expected between histopathologists assigning cases to discrete nominal categories? A study of the diagnosis of hyperplastic and adenomatous colorectal polyps.","type":"article-journal","volume":"13"},"uris":["http://www.mendeley.com/documents/?uuid=b77b37d0-26bf-4533-981e-a48f8f7a939e"]},{"id":"ITEM-2","itemData":{"author":[{"dropping-particle":"","family":"S.S. Cross, T. Dennis, R.D. Start","given":"et al.","non-dropping-particle":"","parse-names":false,"suffix":""}],"container-title":"Histopathology","id":"ITEM-2","issued":{"date-parts":[["2002"]]},"page":"206","title":"The area under the receiver operating characteristic (ROC) curve can be used as a sensitive measure of progress during the early stages of histopathology training.","type":"article-journal","volume":"41(Suppl 1"},"uris":["http://www.mendeley.com/documents/?uuid=f3a95888-145b-4d53-af04-3caba5211cf9"]}],"mendeley":{"formattedCitation":"(Cross &lt;i&gt;et al.&lt;/i&gt;, 2000; S.S. Cross, T. Dennis, R.D. Start, 2002)","plainTextFormattedCitation":"(Cross et al., 2000; S.S. Cross, T. Dennis, R.D. Start, 2002)","previouslyFormattedCitation":"(S S Cross et al. 2000; S.S. Cross, T. Dennis, R.D. Start 2002)"},"properties":{"noteIndex":0},"schema":"https://github.com/citation-style-language/schema/raw/master/csl-citation.json"}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BE3B6C" w:rsidRPr="00421128">
        <w:rPr>
          <w:rFonts w:ascii="Times New Roman" w:hAnsi="Times New Roman" w:cs="Times New Roman"/>
          <w:noProof/>
          <w:sz w:val="24"/>
          <w:szCs w:val="24"/>
        </w:rPr>
        <w:t>Cross et al.</w:t>
      </w:r>
      <w:r w:rsidR="00421128">
        <w:rPr>
          <w:rFonts w:ascii="Times New Roman" w:hAnsi="Times New Roman" w:cs="Times New Roman"/>
          <w:noProof/>
          <w:sz w:val="24"/>
          <w:szCs w:val="24"/>
        </w:rPr>
        <w:t xml:space="preserve"> 2000; </w:t>
      </w:r>
      <w:r w:rsidR="00BE3B6C" w:rsidRPr="00421128">
        <w:rPr>
          <w:rFonts w:ascii="Times New Roman" w:hAnsi="Times New Roman" w:cs="Times New Roman"/>
          <w:noProof/>
          <w:sz w:val="24"/>
          <w:szCs w:val="24"/>
        </w:rPr>
        <w:t>Cros</w:t>
      </w:r>
      <w:r w:rsidR="00421128">
        <w:rPr>
          <w:rFonts w:ascii="Times New Roman" w:hAnsi="Times New Roman" w:cs="Times New Roman"/>
          <w:noProof/>
          <w:sz w:val="24"/>
          <w:szCs w:val="24"/>
        </w:rPr>
        <w:t>s, Dennis and Start</w:t>
      </w:r>
      <w:r w:rsidR="00BE3B6C" w:rsidRPr="00BE3B6C">
        <w:rPr>
          <w:rFonts w:ascii="Times New Roman" w:hAnsi="Times New Roman" w:cs="Times New Roman"/>
          <w:noProof/>
          <w:sz w:val="24"/>
          <w:szCs w:val="24"/>
        </w:rPr>
        <w:t xml:space="preserve"> 2002)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19C67BE9" w14:textId="4D4671A7"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one study, observers were asked to examine 100 slides of colorectal polyps, 50 of which were adenomatous </w:t>
      </w:r>
      <w:r w:rsidRPr="00421128">
        <w:rPr>
          <w:rFonts w:ascii="Times New Roman" w:hAnsi="Times New Roman" w:cs="Times New Roman"/>
          <w:sz w:val="24"/>
          <w:szCs w:val="24"/>
        </w:rPr>
        <w:t xml:space="preserve">and 50 hyperplastic and then asked to classify them into one of </w:t>
      </w:r>
      <w:r w:rsidRPr="00421128">
        <w:rPr>
          <w:rFonts w:ascii="Times New Roman" w:hAnsi="Times New Roman" w:cs="Times New Roman"/>
          <w:sz w:val="24"/>
          <w:szCs w:val="24"/>
        </w:rPr>
        <w:lastRenderedPageBreak/>
        <w:t>these two diagnostic categories</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{"citationItems":[{"id":"ITEM-1","itemData":{"DOI":"10.1038/modpathol.3880171","ISSN":"0893-3952","PMID":"11007033","abstract":"AIMS: To assess the levels of agreement between histopathologists for a two-class nominal categorization process--the discrimination between hyperplastic and adenomatous colorectal polyps. METHODS: Fifty hyperplastic and 50 adenomatous polyps received consecutively in the laboratory were categorized by nine histopathologists, and the level of agreement between all observers and the original diagnosis was assessed using kappa statistics. RESULTS: For the eight observers with 11 months or more experience in histopathology, there was a high level of agreement with kappa statistics ranging from 0.84 to 0.98. This process was performed rapidly with an average of 13 to 22 seconds spent on each case. One observer with only 6-weeks' experience of histopathology had a lower overall level of agreement with kappa statistics ranging from 0.46 to 0.54, but the performance on the later cases was much higher. CONCLUSIONS: The level of agreement in the distinction between hyperplastic and adenomatous colorectal polyps is high among histopathologists with at least moderate amounts of experience in histopathology. The one virtually naïve observer showed a marked learning response during the study without feedback on case outcome. This suggests that histopathologists are very reliable in assigning cases to distinct nominal categories and that learning of these processes occurs early in a histopathologist's career.","author":[{"dropping-particle":"","family":"Cross","given":"S S","non-dropping-particle":"","parse-names":false,"suffix":""},{"dropping-particle":"","family":"Betmouni","given":"S","non-dropping-particle":"","parse-names":false,"suffix":""},{"dropping-particle":"","family":"Burton","given":"J L","non-dropping-particle":"","parse-names":false,"suffix":""},{"dropping-particle":"","family":"Dubé","given":"a K","non-dropping-particle":"","parse-names":false,"suffix":""},{"dropping-particle":"","family":"Feeley","given":"K M","non-dropping-particle":"","parse-names":false,"suffix":""},{"dropping-particle":"","family":"Holbrook","given":"M R","non-dropping-particle":"","parse-names":false,"suffix":""},{"dropping-particle":"","family":"Landers","given":"R J","non-dropping-particle":"","parse-names":false,"suffix":""},{"dropping-particle":"","family":"Lumb","given":"P B","non-dropping-particle":"","parse-names":false,"suffix":""},{"dropping-particle":"","family":"Stephenson","given":"T J","non-dropping-particle":"","parse-names":false,"suffix":""}],"container-title":"Modern pathology : an official journal of the United States and Canadian Academy of Pathology, Inc","id":"ITEM-1","issue":"9","issued":{"date-parts":[["2000"]]},"page":"941-944","title":"What levels of agreement can be expected between histopathologists assigning cases to discrete nominal categories? A study of the diagnosis of hyperplastic and adenomatous colorectal polyps.","type":"article-journal","volume":"13"},"uris":["http://www.mendeley.com/documents/?uuid=b77b37d0-26bf-4533-981e-a48f8f7a939e"]}],"mendeley":{"formattedCitation":"(Cross &lt;i&gt;et al.&lt;/i&gt;, 2000)","plainTextFormattedCitation":"(Cross et al., 2000)","previouslyFormattedCitation":"(S S Cross et al. 2000)"},"properties":{"noteIndex":0},"schema":"https://github.com/citation-style-language/schema/raw/master/csl-citation.json"}</w:instrText>
      </w:r>
      <w:r w:rsidRPr="00421128">
        <w:rPr>
          <w:rFonts w:ascii="Times New Roman" w:hAnsi="Times New Roman" w:cs="Times New Roman"/>
          <w:sz w:val="24"/>
          <w:szCs w:val="24"/>
        </w:rPr>
        <w:fldChar w:fldCharType="separate"/>
      </w:r>
      <w:r w:rsidR="00BE3B6C" w:rsidRPr="00421128">
        <w:rPr>
          <w:rFonts w:ascii="Times New Roman" w:hAnsi="Times New Roman" w:cs="Times New Roman"/>
          <w:noProof/>
          <w:sz w:val="24"/>
          <w:szCs w:val="24"/>
        </w:rPr>
        <w:t>(Cross et al. 2000)</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Results from experienced histopathologists showed a very high level of inter-observer</w:t>
      </w:r>
      <w:r w:rsidRPr="006F3B00">
        <w:rPr>
          <w:rFonts w:ascii="Times New Roman" w:hAnsi="Times New Roman" w:cs="Times New Roman"/>
          <w:sz w:val="24"/>
          <w:szCs w:val="24"/>
        </w:rPr>
        <w:t xml:space="preserve"> agreement with kappa statistics very close to 1 (perfect agreement). A trainee early on in training also completed this test. Strong learning behaviour took place because initially her performance had a kappa statistic of -0.3 on the first 20 cases but rose to 0.8 on the last 20 cases even though no tuition or support was given. The authors suggested this improvement was through self-discovery and indicated a strong aptitude for histopathology.</w:t>
      </w:r>
    </w:p>
    <w:p w14:paraId="6E8C5D87" w14:textId="135D325E"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another study, participants were asked to diagnose breast needle biopsies on a continuous linear scale from 100% certainty of a benign diagnosis through to 100% certainty of a malignant </w:t>
      </w:r>
      <w:r w:rsidRPr="00421128">
        <w:rPr>
          <w:rFonts w:ascii="Times New Roman" w:hAnsi="Times New Roman" w:cs="Times New Roman"/>
          <w:sz w:val="24"/>
          <w:szCs w:val="24"/>
        </w:rPr>
        <w:t>diagnosis</w:t>
      </w:r>
      <w:r w:rsidR="00421128"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{"citationItems":[{"id":"ITEM-1","itemData":{"author":[{"dropping-particle":"","family":"S.S. Cross, T. Dennis, R.D. Start","given":"et al.","non-dropping-particle":"","parse-names":false,"suffix":""}],"container-title":"Histopathology","id":"ITEM-1","issued":{"date-parts":[["2002"]]},"page":"206","title":"The area under the receiver operating characteristic (ROC) curve can be used as a sensitive measure of progress during the early stages of histopathology training.","type":"article-journal","volume":"41(Suppl 1"},"uris":["http://www.mendeley.com/documents/?uuid=f3a95888-145b-4d53-af04-3caba5211cf9"]}],"mendeley":{"formattedCitation":"(S.S. Cross, T. Dennis, R.D. Start, 2002)","plainTextFormattedCitation":"(S.S. Cross, T. Dennis, R.D. Start, 2002)","previouslyFormattedCitation":"(S.S. Cross, T. Dennis, R.D. Start 2002)"},"properties":{"noteIndex":0},"schema":"https://github.com/citation-style-language/schema/raw/master/csl-citation.json"}</w:instrText>
      </w:r>
      <w:r w:rsidRPr="00421128">
        <w:rPr>
          <w:rFonts w:ascii="Times New Roman" w:hAnsi="Times New Roman" w:cs="Times New Roman"/>
          <w:sz w:val="24"/>
          <w:szCs w:val="24"/>
        </w:rPr>
        <w:fldChar w:fldCharType="separate"/>
      </w:r>
      <w:r w:rsidR="00421128" w:rsidRPr="00421128">
        <w:rPr>
          <w:rFonts w:ascii="Times New Roman" w:hAnsi="Times New Roman" w:cs="Times New Roman"/>
          <w:noProof/>
          <w:sz w:val="24"/>
          <w:szCs w:val="24"/>
        </w:rPr>
        <w:t>(Cross, Dennis and Start</w:t>
      </w:r>
      <w:r w:rsidR="00BE3B6C" w:rsidRPr="00421128">
        <w:rPr>
          <w:rFonts w:ascii="Times New Roman" w:hAnsi="Times New Roman" w:cs="Times New Roman"/>
          <w:noProof/>
          <w:sz w:val="24"/>
          <w:szCs w:val="24"/>
        </w:rPr>
        <w:t xml:space="preserve"> 2002)</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w:t>
      </w:r>
      <w:r w:rsidRPr="006F3B00">
        <w:rPr>
          <w:rFonts w:ascii="Times New Roman" w:hAnsi="Times New Roman" w:cs="Times New Roman"/>
          <w:sz w:val="24"/>
          <w:szCs w:val="24"/>
        </w:rPr>
        <w:t xml:space="preserve"> Values were then plotted as a receiver operating characteristic (ROC) curve, and the area underneath this curve was taken as measure of overall performance.  In this study, trainees at the start of their training were given the slides (in randomised order) at two points separated by a number of months, and two ROC curves were plotted. All the trainees in the study showed a sharp increase in performance which was most marked over the earliest part of their training</w:t>
      </w:r>
      <w:r w:rsidR="00FC5222">
        <w:rPr>
          <w:rFonts w:ascii="Times New Roman" w:hAnsi="Times New Roman" w:cs="Times New Roman"/>
          <w:sz w:val="24"/>
          <w:szCs w:val="24"/>
        </w:rPr>
        <w:t xml:space="preserve"> </w:t>
      </w:r>
      <w:r w:rsidR="00421128" w:rsidRPr="00421128">
        <w:rPr>
          <w:rFonts w:ascii="Times New Roman" w:hAnsi="Times New Roman" w:cs="Times New Roman"/>
          <w:sz w:val="24"/>
          <w:szCs w:val="24"/>
        </w:rPr>
        <w:fldChar w:fldCharType="begin" w:fldLock="1"/>
      </w:r>
      <w:r w:rsidR="00421128" w:rsidRPr="00421128">
        <w:rPr>
          <w:rFonts w:ascii="Times New Roman" w:hAnsi="Times New Roman" w:cs="Times New Roman"/>
          <w:sz w:val="24"/>
          <w:szCs w:val="24"/>
        </w:rPr>
        <w:instrText>ADDIN CSL_CITATION {"citationItems":[{"id":"ITEM-1","itemData":{"author":[{"dropping-particle":"","family":"S.S. Cross, T. Dennis, R.D. Start","given":"et al.","non-dropping-particle":"","parse-names":false,"suffix":""}],"container-title":"Histopathology","id":"ITEM-1","issued":{"date-parts":[["2002"]]},"page":"206","title":"The area under the receiver operating characteristic (ROC) curve can be used as a sensitive measure of progress during the early stages of histopathology training.","type":"article-journal","volume":"41(Suppl 1"},"uris":["http://www.mendeley.com/documents/?uuid=f3a95888-145b-4d53-af04-3caba5211cf9"]}],"mendeley":{"formattedCitation":"(S.S. Cross, T. Dennis, R.D. Start, 2002)","plainTextFormattedCitation":"(S.S. Cross, T. Dennis, R.D. Start, 2002)","previouslyFormattedCitation":"(S.S. Cross, T. Dennis, R.D. Start 2002)"},"properties":{"noteIndex":0},"schema":"https://github.com/citation-style-language/schema/raw/master/csl-citation.json"}</w:instrText>
      </w:r>
      <w:r w:rsidR="00421128" w:rsidRPr="00421128">
        <w:rPr>
          <w:rFonts w:ascii="Times New Roman" w:hAnsi="Times New Roman" w:cs="Times New Roman"/>
          <w:sz w:val="24"/>
          <w:szCs w:val="24"/>
        </w:rPr>
        <w:fldChar w:fldCharType="separate"/>
      </w:r>
      <w:r w:rsidR="00421128" w:rsidRPr="00421128">
        <w:rPr>
          <w:rFonts w:ascii="Times New Roman" w:hAnsi="Times New Roman" w:cs="Times New Roman"/>
          <w:noProof/>
          <w:sz w:val="24"/>
          <w:szCs w:val="24"/>
        </w:rPr>
        <w:t>(Cross, Dennis and Start 2002)</w:t>
      </w:r>
      <w:r w:rsidR="00421128" w:rsidRPr="00421128">
        <w:rPr>
          <w:rFonts w:ascii="Times New Roman" w:hAnsi="Times New Roman" w:cs="Times New Roman"/>
          <w:sz w:val="24"/>
          <w:szCs w:val="24"/>
        </w:rPr>
        <w:fldChar w:fldCharType="end"/>
      </w:r>
      <w:r w:rsidR="00421128" w:rsidRPr="00421128">
        <w:rPr>
          <w:rFonts w:ascii="Times New Roman" w:hAnsi="Times New Roman" w:cs="Times New Roman"/>
          <w:sz w:val="24"/>
          <w:szCs w:val="24"/>
        </w:rPr>
        <w:t>.</w:t>
      </w:r>
      <w:r w:rsidR="00421128" w:rsidRPr="006F3B00">
        <w:rPr>
          <w:rFonts w:ascii="Times New Roman" w:hAnsi="Times New Roman" w:cs="Times New Roman"/>
          <w:sz w:val="24"/>
          <w:szCs w:val="24"/>
        </w:rPr>
        <w:t xml:space="preserve"> </w:t>
      </w:r>
      <w:r w:rsidRPr="006F3B00">
        <w:rPr>
          <w:rFonts w:ascii="Times New Roman" w:hAnsi="Times New Roman" w:cs="Times New Roman"/>
          <w:sz w:val="24"/>
          <w:szCs w:val="24"/>
        </w:rPr>
        <w:t>These findings suggested that the trainees learnt in the intervening months and became more accurate at diagnosis as a result.</w:t>
      </w:r>
    </w:p>
    <w:p w14:paraId="19ECF39D" w14:textId="132B0626" w:rsidR="00863DF5" w:rsidRPr="00421128"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Gaining a better understanding of what cognitive processes are involved in diagnosis, how these vary from one individual to another, and which ones are the most effective in classification </w:t>
      </w:r>
      <w:r w:rsidRPr="00421128">
        <w:rPr>
          <w:rFonts w:ascii="Times New Roman" w:hAnsi="Times New Roman" w:cs="Times New Roman"/>
          <w:sz w:val="24"/>
          <w:szCs w:val="24"/>
        </w:rPr>
        <w:t>could provide the pathologist with more robust tools for improving routine diagnostic decision-making and clear benefits for patients who fall foul of variable diagnostic classification methods</w:t>
      </w:r>
      <w:r w:rsid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{"citationItems":[{"id":"ITEM-1","itemData":{"DOI":"10.1002/path.2527","ISBN":"1096-9896 (Electronic)\\n0022-3417 (Linking)","ISSN":"00223417","PMID":"19291709","abstract":"Reliable pathological interpretation is vital to so many aspects of tissue-based research as well as being central to patient care. Understanding the complex processes involved in decision-making is the starting point to improve both diagnostic reproducibility and the definition of diagnostic groups that underpin our experiments. Unfortunately, there is a paucity of research in this field and it is encouraging to see The Journal of Pathology publishing work in this area. This review attempts to highlight the opportunities that exist in this field and the technologies that are now available to support this type of research. Key amongst these are the use of decision analysis tools such as inference networks, and virtual microscopy that allows us to simulate diagnostic decision-making. These tools have roles, not only in studying the subtleties of diagnostic decision-making, but also in delivering new methods of training and proficiency testing. Research which helps us to better understand what we see, why we see it, and standardizing interpretative reasoning in pathological classification is essential for improving the wide range of activities that pathologists support, including clinical diagnosis, teaching, training, and experimental research.","author":[{"dropping-particle":"","family":"Hamilton","given":"Peter W.","non-dropping-particle":"","parse-names":false,"suffix":""},{"dropping-particle":"","family":"Diest","given":"Paul J.","non-dropping-particle":"Van","parse-names":false,"suffix":""},{"dropping-particle":"","family":"Williams","given":"Richard","non-dropping-particle":"","parse-names":false,"suffix":""},{"dropping-particle":"","family":"Gallagher","given":"Anthony G.","non-dropping-particle":"","parse-names":false,"suffix":""}],"container-title":"Journal of Pathology","id":"ITEM-1","issued":{"date-parts":[["2009"]]},"page":"285-291","title":"Do we see what we think we see? The complexities of morphological assessment","type":"article-journal","volume":"218"},"uris":["http://www.mendeley.com/documents/?uuid=8fc8312e-749b-4172-9386-b62d3e1243d2"]}],"mendeley":{"formattedCitation":"(Hamilton &lt;i&gt;et al.&lt;/i&gt;, 2009)","plainTextFormattedCitation":"(Hamilton et al., 2009)","previouslyFormattedCitation":"(Hamilton et al. 2009)"},"properties":{"noteIndex":0},"schema":"https://github.com/citation-style-language/schema/raw/master/csl-citation.json"}</w:instrText>
      </w:r>
      <w:r w:rsidRPr="00421128">
        <w:rPr>
          <w:rFonts w:ascii="Times New Roman" w:hAnsi="Times New Roman" w:cs="Times New Roman"/>
          <w:sz w:val="24"/>
          <w:szCs w:val="24"/>
        </w:rPr>
        <w:fldChar w:fldCharType="separate"/>
      </w:r>
      <w:r w:rsidR="00BE3B6C" w:rsidRPr="00421128">
        <w:rPr>
          <w:rFonts w:ascii="Times New Roman" w:hAnsi="Times New Roman" w:cs="Times New Roman"/>
          <w:noProof/>
          <w:sz w:val="24"/>
          <w:szCs w:val="24"/>
        </w:rPr>
        <w:t>(Hamilton et al. 2009)</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xml:space="preserve">. Poor reproducibility in diagnosis is well documented in the literature, for instance in breast and in prostate grading, which may be partly attributable to the fact that different experienced </w:t>
      </w:r>
      <w:r w:rsidRPr="00421128">
        <w:rPr>
          <w:rFonts w:ascii="Times New Roman" w:hAnsi="Times New Roman" w:cs="Times New Roman"/>
          <w:sz w:val="24"/>
          <w:szCs w:val="24"/>
        </w:rPr>
        <w:lastRenderedPageBreak/>
        <w:t>pathologists favour different features when arriving at a given diagnosis</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{"citationItems":[{"id":"ITEM-1","itemData":{"DOI":"10.1002/1097-0142(19940601)73:11&lt;2765::AID-CNCR2820731119&gt;3.0.CO;2-K","ISBN":"0008-543X (Print)\\n0008-543X (Linking)","ISSN":"0008-543X","PMID":"8194018","abstract":"BACKGROUND: A concern with the histologic grading of breast cancer is that tumor grading is a subjective evaluation that may have problems with reproducibility. METHODS: A single slide from 10 invasive breast cancers was submitted to 25 pathologists who practice in six separate groups. Pathologists graded the tumors using a modified Bloom-Richardson (B-R) scheme, and the results were compared. RESULTS: In 8 of the 10 cases, there was greater than 87% agreement by the pathologists as to the final combined B-R grade, with complete agreement in 2 cases. Only one case had any discrepant opinions that ranged from low to high grade, and this involved only 3 of the 25 pathologists. With respect to B-R score, the pathologists tended to score the tumors as either one of two adjacent scores. Due to this clustering, the B-R scheme appears reproducible into five groups: very low and very high grade tumors and B-R score \"5,6,\" \"6,7,\" and \"7,8\" tumors. This clustering was especially noticeable in two cases with split decisions, in which the discrepancy in final combined grade was largely due to the tumors being given B-R scores that straddled and were then condensed into two B-R grades. A consensus from each pathology group tended to merge with the majority opinion of all 25 pathologists and was correct for outliers. CONCLUSIONS: This study indicates that reproducibility of grading breast cancers can be achieved when a histologic grading scheme with specified guidelines is used. Pathologists must be aware of the limits of reproducibility, with appropriate guidelines being followed to help optimize agreement, and there should be an awareness of how pathologists group in their evaluations. Also, it may be advisable to better correlate or link reproducibility data with prognostic data in the design of grading schemes.","author":[{"dropping-particle":"","family":"Dalton","given":"L W","non-dropping-particle":"","parse-names":false,"suffix":""},{"dropping-particle":"","family":"Page","given":"D L","non-dropping-particle":"","parse-names":false,"suffix":""},{"dropping-particle":"","family":"Dupont","given":"W D","non-dropping-particle":"","parse-names":false,"suffix":""}],"container-title":"Cancer","id":"ITEM-1","issue":"11","issued":{"date-parts":[["1994"]]},"page":"2765-2770","title":"Histologic grading of breast carcinoma. A reproducibility study","type":"article-journal","volume":"73"},"uris":["http://www.mendeley.com/documents/?uuid=36f0298c-576d-44b3-b54c-2e7584284ba2"]},{"id":"ITEM-2","itemData":{"DOI":"10.1053/hupa.2001.21134","ISBN":"0046-8177 (Print)\\r0046-8177 (Linking)","ISSN":"00468177","PMID":"11172299","abstract":"Gleason grading is now the most widely used grading system for prostatic carcinoma in the United States. However, there are only a few studies of the interobserver reproducibility of this system, and no extensive study of interobserver reproducibility among a large number of experienced urologic pathologists exists. Forty-six needle biopsies containing prostatic carcinoma were assigned Gleason scores by 10 urologic pathologists. The overall weighted kappa coefficient κw for Gleason score for each of the urologic pathologists compared with each of the remaining urologic pathologists ranged from 0.56 to 0.70, all but one being at least 0.60 (substantial agreement). The overall kappa coefficient κ for each pathologist compared with the others for Gleason score groups 2-4, 5-6, 7, and 8-10 ranged from 0.47 to 0.64 (moderate-substantial agreement), only one less than 0.50. At least 70% of the urologic pathologists agreed on the Gleason grade group (2-4, 5-6, 7, 8-10) in 38 (\"consensus\" cases) of the 46 cases. The 8 \"nonconsensus\" cases included low-grade tumors, tumors with small cribriform proliferations, and tumors whose histology was on the border between Gleason patterns. Interobserver reproducibility of Gleason grading among urologic pathologists is in an acceptable range. Copyright © 2001 by W.B. Saunders Company.","author":[{"dropping-particle":"","family":"Allsbrook","given":"William C.","non-dropping-particle":"","parse-names":false,"suffix":""},{"dropping-particle":"","family":"Mangold","given":"Kathy a.","non-dropping-particle":"","parse-names":false,"suffix":""},{"dropping-particle":"","family":"Johnson","given":"Maribeth H.","non-dropping-particle":"","parse-names":false,"suffix":""},{"dropping-particle":"","family":"Lane","given":"Roger B.","non-dropping-particle":"","parse-names":false,"suffix":""},{"dropping-particle":"","family":"Lane","given":"Cynthia G.","non-dropping-particle":"","parse-names":false,"suffix":""},{"dropping-particle":"","family":"Amin","given":"Mahul B.","non-dropping-particle":"","parse-names":false,"suffix":""},{"dropping-particle":"","family":"Bostwick","given":"David G.","non-dropping-particle":"","parse-names":false,"suffix":""},{"dropping-particle":"","family":"Humphrey","given":"Peter a.","non-dropping-particle":"","parse-names":false,"suffix":""},{"dropping-particle":"","family":"Jones","given":"Edward C.","non-dropping-particle":"","parse-names":false,"suffix":""},{"dropping-particle":"","family":"Reuter","given":"Victor E.","non-dropping-particle":"","parse-names":false,"suffix":""},{"dropping-particle":"","family":"Sakr","given":"Wael","non-dropping-particle":"","parse-names":false,"suffix":""},{"dropping-particle":"","family":"Sesterhenn","given":"Isabell a.","non-dropping-particle":"","parse-names":false,"suffix":""},{"dropping-particle":"","family":"Troncoso","given":"Patricia","non-dropping-particle":"","parse-names":false,"suffix":""},{"dropping-particle":"","family":"Wheeler","given":"Thomas M.","non-dropping-particle":"","parse-names":false,"suffix":""},{"dropping-particle":"","family":"Epstein","given":"Jonathan I.","non-dropping-particle":"","parse-names":false,"suffix":""}],"container-title":"Human Pathology","id":"ITEM-2","issue":"1","issued":{"date-parts":[["2001"]]},"page":"74-80","title":"Interobserver reproducibility of Gleason grading of prostatic carcinoma: Urologic pathologists","type":"article-journal","volume":"32"},"uris":["http://www.mendeley.com/documents/?uuid=3d2ca416-a747-4978-8220-13a96f5b73ae"]}],"mendeley":{"formattedCitation":"(Dalton, Page and Dupont, 1994; Allsbrook &lt;i&gt;et al.&lt;/i&gt;, 2001)","plainTextFormattedCitation":"(Dalton, Page and Dupont, 1994; Allsbrook et al., 2001)","previouslyFormattedCitation":"(Dalton, Page, and Dupont 1994; Allsbrook et al. 2001)"},"properties":{"noteIndex":0},"schema":"https://github.com/citation-style-language/schema/raw/master/csl-citation.json"}</w:instrText>
      </w:r>
      <w:r w:rsidRPr="00421128">
        <w:rPr>
          <w:rFonts w:ascii="Times New Roman" w:hAnsi="Times New Roman" w:cs="Times New Roman"/>
          <w:sz w:val="24"/>
          <w:szCs w:val="24"/>
        </w:rPr>
        <w:fldChar w:fldCharType="separate"/>
      </w:r>
      <w:r w:rsidR="00421128">
        <w:rPr>
          <w:rFonts w:ascii="Times New Roman" w:hAnsi="Times New Roman" w:cs="Times New Roman"/>
          <w:noProof/>
          <w:sz w:val="24"/>
          <w:szCs w:val="24"/>
        </w:rPr>
        <w:t>(Dalton, Page and Dupont</w:t>
      </w:r>
      <w:r w:rsidR="00BE3B6C" w:rsidRPr="00421128">
        <w:rPr>
          <w:rFonts w:ascii="Times New Roman" w:hAnsi="Times New Roman" w:cs="Times New Roman"/>
          <w:noProof/>
          <w:sz w:val="24"/>
          <w:szCs w:val="24"/>
        </w:rPr>
        <w:t xml:space="preserve"> 1994; Allsbrook et al. 2001)</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xml:space="preserve">. For example, the study by Fandel </w:t>
      </w:r>
      <w:r w:rsidR="00421128">
        <w:rPr>
          <w:rFonts w:ascii="Times New Roman" w:hAnsi="Times New Roman" w:cs="Times New Roman"/>
          <w:sz w:val="24"/>
          <w:szCs w:val="24"/>
        </w:rPr>
        <w:t>and colleagues</w:t>
      </w:r>
      <w:r w:rsidRPr="00421128">
        <w:rPr>
          <w:rFonts w:ascii="Times New Roman" w:hAnsi="Times New Roman" w:cs="Times New Roman"/>
          <w:sz w:val="24"/>
          <w:szCs w:val="24"/>
        </w:rPr>
        <w:t xml:space="preserve"> found that interpretative bias played a significant role in diagnosis, where architectural features in prostate neoplasia impacted greatly on final diagnosis, regardless of the nuclear morphology</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{"citationItems":[{"id":"ITEM-1","itemData":{"DOI":"10.1002/path.2395","ISBN":"00223417 (ISSN)","ISSN":"1096-9896","PMID":"18683853","abstract":"In the histomorphological grading of prostate carcinoma, pathologists have regularly assigned comparable scores for the architectural Gleason and the now-obsolete nuclear World Health Organization (WHO) grading systems. Although both systems demonstrate good correspondence between grade and survival, they are based on fundamentally different biological criteria. We tested the hypothesis that this apparent concurrence between the two grading systems originates from an interpretation bias in the minds of diagnostic pathologists, rather than reflecting a biological reality. Three pathologists graded 178 prostatectomy specimens, assigning Gleason and WHO scores on glass slides and on digital images of nuclei isolated out of their architectural context. The results were analysed with respect to interdependencies among the grading systems, to tumour recurrence (PSA relapse &lt;0.1 ng/ml at 48 months) and robust nuclear morphometry, as assessed by computerassisted image analysis. WHO and Gleason grades were strongly correlated (r = 0.82) and demonstrated identical prognostic power. However, WHO grades correlated poorly with nuclear morphology (r = 0.19). Grading of nuclei isolated out of their architectural context significantly improved accuracy for nuclear morphology (r = 0.55), but the prognostic power was virtually lost. In conclusion, the architectural organization of a tumour, which the pathologist cannot avoid noticing during initial slide viewing at low magnification, unwittingly influences the subsequent nuclear grade assignment. In our study, the prognostic power of the WHO grading system was dependent on visual assessment of tumour growth pattern. We demonstrate for the first time the influence a cognitive bias can have in the generation of an error in diagnostic pathology and highlight a considerable problem in histopathological tumour grading. Copyright © 2008 Pathological Society of Great Britain and Ireland. Published by John Wiley &amp; Sons, Ltd.","author":[{"dropping-particle":"","family":"Fandel","given":"T M","non-dropping-particle":"","parse-names":false,"suffix":""},{"dropping-particle":"","family":"Pfnür","given":"M","non-dropping-particle":"","parse-names":false,"suffix":""},{"dropping-particle":"","family":"Schäfer","given":"S C","non-dropping-particle":"","parse-names":false,"suffix":""},{"dropping-particle":"","family":"Bacchetti","given":"P","non-dropping-particle":"","parse-names":false,"suffix":""},{"dropping-particle":"","family":"Mast","given":"F W","non-dropping-particle":"","parse-names":false,"suffix":""},{"dropping-particle":"","family":"Corinth","given":"C","non-dropping-particle":"","parse-names":false,"suffix":""},{"dropping-particle":"","family":"Ansorge","given":"M","non-dropping-particle":"","parse-names":false,"suffix":""},{"dropping-particle":"","family":"Melchior","given":"S W","non-dropping-particle":"","parse-names":false,"suffix":""},{"dropping-particle":"","family":"Thüroff","given":"J W","non-dropping-particle":"","parse-names":false,"suffix":""},{"dropping-particle":"","family":"Kirkpatrick","given":"C J","non-dropping-particle":"","parse-names":false,"suffix":""},{"dropping-particle":"","family":"Lehr","given":"H A","non-dropping-particle":"","parse-names":false,"suffix":""}],"container-title":"Journal of Pathology","id":"ITEM-1","issue":"2","issued":{"date-parts":[["2008"]]},"page":"193-200","title":"Do we truly see what we think we see? The role of cognitive bias in pathological interpretation","type":"article-journal","volume":"216"},"uris":["http://www.mendeley.com/documents/?uuid=0870812e-03a8-434c-a6cf-9ce2ad2f2879"]}],"mendeley":{"formattedCitation":"(Fandel &lt;i&gt;et al.&lt;/i&gt;, 2008)","plainTextFormattedCitation":"(Fandel et al., 2008)","previouslyFormattedCitation":"(Fandel et al. 2008)"},"properties":{"noteIndex":0},"schema":"https://github.com/citation-style-language/schema/raw/master/csl-citation.json"}</w:instrText>
      </w:r>
      <w:r w:rsidRPr="00421128">
        <w:rPr>
          <w:rFonts w:ascii="Times New Roman" w:hAnsi="Times New Roman" w:cs="Times New Roman"/>
          <w:sz w:val="24"/>
          <w:szCs w:val="24"/>
        </w:rPr>
        <w:fldChar w:fldCharType="separate"/>
      </w:r>
      <w:r w:rsidR="00421128">
        <w:rPr>
          <w:rFonts w:ascii="Times New Roman" w:hAnsi="Times New Roman" w:cs="Times New Roman"/>
          <w:noProof/>
          <w:sz w:val="24"/>
          <w:szCs w:val="24"/>
        </w:rPr>
        <w:t>(</w:t>
      </w:r>
      <w:r w:rsidR="00BE3B6C" w:rsidRPr="00421128">
        <w:rPr>
          <w:rFonts w:ascii="Times New Roman" w:hAnsi="Times New Roman" w:cs="Times New Roman"/>
          <w:noProof/>
          <w:sz w:val="24"/>
          <w:szCs w:val="24"/>
        </w:rPr>
        <w:t>2008)</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An approach to try and disentangle the understanding of diagnostic processing has been explored using Bayesian belief networks</w:t>
      </w:r>
      <w:r w:rsidRPr="006F3B00">
        <w:rPr>
          <w:rFonts w:ascii="Times New Roman" w:hAnsi="Times New Roman" w:cs="Times New Roman"/>
          <w:sz w:val="24"/>
          <w:szCs w:val="24"/>
        </w:rPr>
        <w:t xml:space="preserve">. Here, a </w:t>
      </w:r>
      <w:r w:rsidRPr="00421128">
        <w:rPr>
          <w:rFonts w:ascii="Times New Roman" w:hAnsi="Times New Roman" w:cs="Times New Roman"/>
          <w:sz w:val="24"/>
          <w:szCs w:val="24"/>
        </w:rPr>
        <w:t>pathologist has to break down the decision sequence into a set of definitive steps, each of which is defined by its contribution to the final decision, and where a final diagnostic probability is based on the accumulation of these diagnostic steps</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{"citationItems":[{"id":"ITEM-1","itemData":{"DOI":"10.1002/path.1135","ISBN":"0022-3417","ISSN":"0022-3417","PMID":"12115888","abstract":"Accurate morphological classification of endometrial hyperplasia is crucial as treatments vary widely between the different categories of hyperplasia and are dependent, in part, on the histological diagnosis. However, previous studies have shown considerable inter-observer variation in the classification of endometrial hyperplasias. The aim of this study was to develop a decision support system (DSS) for the classification of endometrial hyperplasias. The system used a Bayesian belief network to distinguish proliferative endometrium, simple hyperplasia, complex hyperplasia, atypical hyperplasia and grade 1 endometrioid adenocarcinoma. These diagnostic outcomes were held in the decision node. Four morphological features were selected as diagnostic clues used routinely in the discrimination of endometrial hyperplasias. These represented the evidence nodes and were linked to the decision node by conditional probability matrices. The system was designed with a computer user interface (CytoInform) where reference images for a given clue were displayed to assist the pathologist in entering evidence into the network. Reproducibility of diagnostic classification was tested on 50 cases chosen by a gynaecological pathologist. These comprised ten cases each of proliferative endometrium, simple hyperplasia, complex hyperplasia, atypical hyperplasia and grade 1 endometrioid adenocarcinoma. The DSS was tested by two consultant pathologists, two junior pathologists and two medical students. Intra- and inter-observer agreement was calculated following conventional histological examination of the slides on two occasions by the consultants and junior pathologists without the use of the DSS. All six participants then assessed the slides using the expert system on two occasions, enabling inter- and intra-observer agreement to be calculated. Using unaided conventional diagnosis, weighted kappa values for intra-observer agreement ranged from 0.645 to 0.901. Using the DSS, the results for the four pathologists ranged from 0.650 to 0.845. Both consultant pathologists had slightly worse weighted kappa values using the DSS, while both junior pathologists achieved slightly better values using the system. The grading of morphological features and the cumulative probability curve provided a quantitative record of the decision route for each case. This allowed a more precise comparison of individuals and identified why discordant diagnoses were made. Taking the original diagnoses of…","author":[{"dropping-particle":"","family":"Morrison","given":"M L","non-dropping-particle":"","parse-names":false,"suffix":""},{"dropping-particle":"","family":"McCluggage","given":"W G","non-dropping-particle":"","parse-names":false,"suffix":""},{"dropping-particle":"","family":"Price","given":"G J","non-dropping-particle":"","parse-names":false,"suffix":""},{"dropping-particle":"","family":"Diamond","given":"J","non-dropping-particle":"","parse-names":false,"suffix":""},{"dropping-particle":"","family":"Sheeran","given":"M R M","non-dropping-particle":"","parse-names":false,"suffix":""},{"dropping-particle":"","family":"Mulholland","given":"K M","non-dropping-particle":"","parse-names":false,"suffix":""},{"dropping-particle":"","family":"Walsh","given":"M Y","non-dropping-particle":"","parse-names":false,"suffix":""},{"dropping-particle":"","family":"Montironi","given":"R","non-dropping-particle":"","parse-names":false,"suffix":""},{"dropping-particle":"","family":"Bartels","given":"P H","non-dropping-particle":"","parse-names":false,"suffix":""},{"dropping-particle":"","family":"Thompson","given":"D","non-dropping-particle":"","parse-names":false,"suffix":""},{"dropping-particle":"","family":"Hamilton","given":"P W","non-dropping-particle":"","parse-names":false,"suffix":""}],"container-title":"The Journal of pathology","id":"ITEM-1","issue":"3","issued":{"date-parts":[["2002"]]},"page":"403-14","title":"Expert system support using a Bayesian belief network for the classification of endometrial hyperplasia.","type":"article-journal","volume":"197"},"uris":["http://www.mendeley.com/documents/?uuid=1cb088fe-2383-4962-b502-57706f92c18d"]},{"id":"ITEM-2","itemData":{"DOI":"10.1002/path.1012","ISBN":"0022-3417","ISSN":"0022-3417","PMID":"11748650","abstract":"Fine-needle aspiration (FNA) cytology is a rapid and inexpensive technique used extensively in the diagnosis of breast disease. To remove diagnostic subjectivity, a diagnostic decision support system (DDSS) called CytoInform has been developed, based on a Bayesian belief network (BBN) for the diagnosis of breast FNAs. In addition to acting as a DDSS, the system implements a computer-based training (CBT) system, providing a novel approach to breast cytology training. The system guides the trainee cytopathologist through the diagnostic process, allowing the user to grade each diagnostic feature using a set of on-screen reference images as visual clues. The trainee positions a slider on a spectrum relative to these images, reflecting the similarity between the reference image and the microscope image. From this, an evidence vector is generated, allowing the current diagnostic probability to be updated by the BBN. As the trainee assesses each clue, the evidence entered is compared with that of the expert through the use of a defined teaching file. This file records the relative severity of each clue and a tolerance band within which the trainee must position the slider. When all clues in the teaching case have been completed, the system informs the user of inaccuracies and offers the ability to reassess problematic features. In trials with two pathologists of different experience and a series of ten cases, the system provided an effective tool in conveying diagnostic evidence and protocols to trainees. This is evident from the fact that each pathologist only misinterpreted one case and a total of 86%/88% (experienced/inexperienced) of all clues assessed were interpreted correctly. Significantly, in all cases that produced the correct final diagnostic probability, the route taken to that solution was consistent with the expert's solution.","author":[{"dropping-particle":"","family":"Diamond","given":"James","non-dropping-particle":"","parse-names":false,"suffix":""},{"dropping-particle":"","family":"Anderson","given":"Neil H","non-dropping-particle":"","parse-names":false,"suffix":""},{"dropping-particle":"","family":"Thompson","given":"Deborah","non-dropping-particle":"","parse-names":false,"suffix":""},{"dropping-particle":"","family":"Bartels","given":"Peter H","non-dropping-particle":"","parse-names":false,"suffix":""},{"dropping-particle":"","family":"Hamilton","given":"Peter W","non-dropping-particle":"","parse-names":false,"suffix":""}],"container-title":"The Journal of pathology","id":"ITEM-2","issue":"1","issued":{"date-parts":[["2002"]]},"page":"113-121","title":"A computer-based training system for breast fine needle aspiration cytology.","type":"article-journal","volume":"196"},"uris":["http://www.mendeley.com/documents/?uuid=0030541a-0fd7-492d-b8b5-ece06d15ce12"]}],"mendeley":{"formattedCitation":"(Diamond &lt;i&gt;et al.&lt;/i&gt;, 2002; Morrison &lt;i&gt;et al.&lt;/i&gt;, 2002)","plainTextFormattedCitation":"(Diamond et al., 2002; Morrison et al., 2002)","previouslyFormattedCitation":"(Morrison et al. 2002; J. Diamond et al. 2002)"},"properties":{"noteIndex":0},"schema":"https://github.com/citation-style-language/schema/raw/master/csl-citation.json"}</w:instrText>
      </w:r>
      <w:r w:rsidRPr="00421128">
        <w:rPr>
          <w:rFonts w:ascii="Times New Roman" w:hAnsi="Times New Roman" w:cs="Times New Roman"/>
          <w:sz w:val="24"/>
          <w:szCs w:val="24"/>
        </w:rPr>
        <w:fldChar w:fldCharType="separate"/>
      </w:r>
      <w:r w:rsidR="00BE3B6C" w:rsidRPr="00421128">
        <w:rPr>
          <w:rFonts w:ascii="Times New Roman" w:hAnsi="Times New Roman" w:cs="Times New Roman"/>
          <w:noProof/>
          <w:sz w:val="24"/>
          <w:szCs w:val="24"/>
        </w:rPr>
        <w:t>(Diamond et al. 2002; Morrison et al. 2002)</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Some pathologists argue that this stepwise approach is limiting and pathologists should be taught to recognise patterns in a Gestaltian fashion and match these to diagnostic categories</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{"citationItems":[{"id":"ITEM-1","itemData":{"DOI":"10.1002/path.2527","ISBN":"1096-9896 (Electronic)\\n0022-3417 (Linking)","ISSN":"00223417","PMID":"19291709","abstract":"Reliable pathological interpretation is vital to so many aspects of tissue-based research as well as being central to patient care. Understanding the complex processes involved in decision-making is the starting point to improve both diagnostic reproducibility and the definition of diagnostic groups that underpin our experiments. Unfortunately, there is a paucity of research in this field and it is encouraging to see The Journal of Pathology publishing work in this area. This review attempts to highlight the opportunities that exist in this field and the technologies that are now available to support this type of research. Key amongst these are the use of decision analysis tools such as inference networks, and virtual microscopy that allows us to simulate diagnostic decision-making. These tools have roles, not only in studying the subtleties of diagnostic decision-making, but also in delivering new methods of training and proficiency testing. Research which helps us to better understand what we see, why we see it, and standardizing interpretative reasoning in pathological classification is essential for improving the wide range of activities that pathologists support, including clinical diagnosis, teaching, training, and experimental research.","author":[{"dropping-particle":"","family":"Hamilton","given":"Peter W.","non-dropping-particle":"","parse-names":false,"suffix":""},{"dropping-particle":"","family":"Diest","given":"Paul J.","non-dropping-particle":"Van","parse-names":false,"suffix":""},{"dropping-particle":"","family":"Williams","given":"Richard","non-dropping-particle":"","parse-names":false,"suffix":""},{"dropping-particle":"","family":"Gallagher","given":"Anthony G.","non-dropping-particle":"","parse-names":false,"suffix":""}],"container-title":"Journal of Pathology","id":"ITEM-1","issued":{"date-parts":[["2009"]]},"page":"285-291","title":"Do we see what we think we see? The complexities of morphological assessment","type":"article-journal","volume":"218"},"uris":["http://www.mendeley.com/documents/?uuid=8fc8312e-749b-4172-9386-b62d3e1243d2"]}],"mendeley":{"formattedCitation":"(Hamilton &lt;i&gt;et al.&lt;/i&gt;, 2009)","plainTextFormattedCitation":"(Hamilton et al., 2009)","previouslyFormattedCitation":"(Hamilton et al. 2009)"},"properties":{"noteIndex":0},"schema":"https://github.com/citation-style-language/schema/raw/master/csl-citation.json"}</w:instrText>
      </w:r>
      <w:r w:rsidRPr="00421128">
        <w:rPr>
          <w:rFonts w:ascii="Times New Roman" w:hAnsi="Times New Roman" w:cs="Times New Roman"/>
          <w:sz w:val="24"/>
          <w:szCs w:val="24"/>
        </w:rPr>
        <w:fldChar w:fldCharType="separate"/>
      </w:r>
      <w:r w:rsidR="00BE3B6C" w:rsidRPr="00421128">
        <w:rPr>
          <w:rFonts w:ascii="Times New Roman" w:hAnsi="Times New Roman" w:cs="Times New Roman"/>
          <w:noProof/>
          <w:sz w:val="24"/>
          <w:szCs w:val="24"/>
        </w:rPr>
        <w:t>(Hamilton et al. 2009)</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xml:space="preserve">. However, these steps can be very useful to trainees as it provides a sound, logical sequence to follow and learn from. </w:t>
      </w:r>
    </w:p>
    <w:p w14:paraId="324A9358" w14:textId="4AEF4DDC" w:rsidR="00863DF5" w:rsidRPr="006F3539" w:rsidRDefault="00863DF5" w:rsidP="00863DF5">
      <w:pPr>
        <w:spacing w:after="120" w:line="480" w:lineRule="auto"/>
        <w:rPr>
          <w:rFonts w:ascii="Times New Roman" w:hAnsi="Times New Roman" w:cs="Times New Roman"/>
          <w:sz w:val="24"/>
          <w:szCs w:val="24"/>
        </w:rPr>
      </w:pPr>
      <w:r w:rsidRPr="00421128">
        <w:rPr>
          <w:rFonts w:ascii="Times New Roman" w:hAnsi="Times New Roman" w:cs="Times New Roman"/>
          <w:sz w:val="24"/>
          <w:szCs w:val="24"/>
        </w:rPr>
        <w:t xml:space="preserve">The problem with measuring expertise, aptitude or accuracy is that none of them necessarily equate to a “diagnostic competence” as this construct likely encompasses many more elements, as previously discussed </w:t>
      </w:r>
      <w:r w:rsidR="00494018" w:rsidRPr="00421128">
        <w:rPr>
          <w:rFonts w:ascii="Times New Roman" w:hAnsi="Times New Roman" w:cs="Times New Roman"/>
          <w:sz w:val="24"/>
          <w:szCs w:val="24"/>
        </w:rPr>
        <w:t>(in sections 1.2.3 and 1.2.4</w:t>
      </w:r>
      <w:r w:rsidRPr="00421128">
        <w:rPr>
          <w:rFonts w:ascii="Times New Roman" w:hAnsi="Times New Roman" w:cs="Times New Roman"/>
          <w:sz w:val="24"/>
          <w:szCs w:val="24"/>
        </w:rPr>
        <w:t xml:space="preserve">). The </w:t>
      </w:r>
      <w:r w:rsidR="004967E1" w:rsidRPr="00421128">
        <w:rPr>
          <w:rFonts w:ascii="Times New Roman" w:hAnsi="Times New Roman" w:cs="Times New Roman"/>
          <w:sz w:val="24"/>
          <w:szCs w:val="24"/>
        </w:rPr>
        <w:t>work of Shanteau and colleagues</w:t>
      </w:r>
      <w:r w:rsidR="00FC5222" w:rsidRPr="00421128">
        <w:rPr>
          <w:rFonts w:ascii="Times New Roman" w:hAnsi="Times New Roman" w:cs="Times New Roman"/>
          <w:sz w:val="24"/>
          <w:szCs w:val="24"/>
        </w:rPr>
        <w:t xml:space="preserve"> </w:t>
      </w:r>
      <w:r w:rsidRPr="00421128">
        <w:rPr>
          <w:rFonts w:ascii="Times New Roman" w:hAnsi="Times New Roman" w:cs="Times New Roman"/>
          <w:sz w:val="24"/>
          <w:szCs w:val="24"/>
        </w:rPr>
        <w:fldChar w:fldCharType="begin" w:fldLock="1"/>
      </w:r>
      <w:r w:rsidR="00BE3B6C" w:rsidRPr="00421128">
        <w:rPr>
          <w:rFonts w:ascii="Times New Roman" w:hAnsi="Times New Roman" w:cs="Times New Roman"/>
          <w:sz w:val="24"/>
          <w:szCs w:val="24"/>
        </w:rPr>
        <w:instrText>ADDIN CSL_CITATION {"citationItems":[{"id":"ITEM-1","itemData":{"DOI":"10.1016/S0377-2217(01)00113-8","ISBN":"0377-2217","ISSN":"03772217","PMID":"11940169","abstract":"The identification of an expert is vital to any study or application involving expertise. If external criterion (a \"gold standard\") exists, then identification is straightforward: Simply compare people against the standard and select whoever is closest. However, such criteria are seldom available for domains where experts work; that's why experts are needed in the first place. The purpose here is to explore various methods for identifying experts in the absence of a gold standard. One particularly promising approach (labeled CWS for Cochran-Weiss-Shanteau) is explored in detail. We illustrate CWS through reanalyses of three previous studies of experts. In each case, CWS provided new insights into identifying experts. When applied to auditors, CWS correctly detected group differences in expertise. For agricultural judges, CWS revealed subtle distinctions between subspecialties of experts. In personnel selection, CWS showed that irrelevant attributes were more informative than relevant attributes. We believe CWS provides a valuable tool for identification and evaluation of experts. ?? 2002 Elsevier Science B.V. All rights reserved.","author":[{"dropping-particle":"","family":"Shanteau","given":"James","non-dropping-particle":"","parse-names":false,"suffix":""},{"dropping-particle":"","family":"Weiss","given":"David J.","non-dropping-particle":"","parse-names":false,"suffix":""},{"dropping-particle":"","family":"Thomas","given":"Rickey P.","non-dropping-particle":"","parse-names":false,"suffix":""},{"dropping-particle":"","family":"Pounds","given":"Julia C.","non-dropping-particle":"","parse-names":false,"suffix":""}],"container-title":"European Journal of Operational Research","id":"ITEM-1","issue":"2","issued":{"date-parts":[["2002"]]},"page":"253-263","title":"Performance-based assessment of expertise: How to decide if someone is an expert or not","type":"article-journal","volume":"136"},"uris":["http://www.mendeley.com/documents/?uuid=20bc5609-8479-4111-96a1-84f5553ba185"]}],"mendeley":{"formattedCitation":"(Shanteau &lt;i&gt;et al.&lt;/i&gt;, 2002)","plainTextFormattedCitation":"(Shanteau et al., 2002)","previouslyFormattedCitation":"(Shanteau et al. 2002)"},"properties":{"noteIndex":0},"schema":"https://github.com/citation-style-language/schema/raw/master/csl-citation.json"}</w:instrText>
      </w:r>
      <w:r w:rsidRPr="00421128">
        <w:rPr>
          <w:rFonts w:ascii="Times New Roman" w:hAnsi="Times New Roman" w:cs="Times New Roman"/>
          <w:sz w:val="24"/>
          <w:szCs w:val="24"/>
        </w:rPr>
        <w:fldChar w:fldCharType="separate"/>
      </w:r>
      <w:r w:rsidR="006F3539">
        <w:rPr>
          <w:rFonts w:ascii="Times New Roman" w:hAnsi="Times New Roman" w:cs="Times New Roman"/>
          <w:noProof/>
          <w:sz w:val="24"/>
          <w:szCs w:val="24"/>
        </w:rPr>
        <w:t>(</w:t>
      </w:r>
      <w:r w:rsidR="00BE3B6C" w:rsidRPr="00421128">
        <w:rPr>
          <w:rFonts w:ascii="Times New Roman" w:hAnsi="Times New Roman" w:cs="Times New Roman"/>
          <w:noProof/>
          <w:sz w:val="24"/>
          <w:szCs w:val="24"/>
        </w:rPr>
        <w:t>2002)</w:t>
      </w:r>
      <w:r w:rsidRPr="00421128">
        <w:rPr>
          <w:rFonts w:ascii="Times New Roman" w:hAnsi="Times New Roman" w:cs="Times New Roman"/>
          <w:sz w:val="24"/>
          <w:szCs w:val="24"/>
        </w:rPr>
        <w:fldChar w:fldCharType="end"/>
      </w:r>
      <w:r w:rsidRPr="00421128">
        <w:rPr>
          <w:rFonts w:ascii="Times New Roman" w:hAnsi="Times New Roman" w:cs="Times New Roman"/>
          <w:sz w:val="24"/>
          <w:szCs w:val="24"/>
        </w:rPr>
        <w:t xml:space="preserve"> in measuring expertise gives scores which are merely a comparison with the “expert” opinion and don’t offer an insight into a trainee’s overall competence. Even though these tests have utility as an objective measure of light-microscopic diagnostic skills, it is worth noting that other important skills such a communication, professionalism</w:t>
      </w:r>
      <w:r w:rsidRPr="006F3B00">
        <w:rPr>
          <w:rFonts w:ascii="Times New Roman" w:hAnsi="Times New Roman" w:cs="Times New Roman"/>
          <w:sz w:val="24"/>
          <w:szCs w:val="24"/>
        </w:rPr>
        <w:t xml:space="preserve"> and overall ability to manage a case are not assessed using these methods. </w:t>
      </w:r>
    </w:p>
    <w:p w14:paraId="7203717B" w14:textId="75471BBB" w:rsidR="00863DF5" w:rsidRPr="006F3B00" w:rsidRDefault="00863DF5" w:rsidP="00863DF5">
      <w:pPr>
        <w:spacing w:after="120" w:line="480" w:lineRule="auto"/>
        <w:rPr>
          <w:rFonts w:ascii="Times New Roman" w:hAnsi="Times New Roman" w:cs="Times New Roman"/>
          <w:sz w:val="24"/>
          <w:szCs w:val="24"/>
        </w:rPr>
      </w:pPr>
      <w:r w:rsidRPr="006F3539">
        <w:rPr>
          <w:rFonts w:ascii="Times New Roman" w:hAnsi="Times New Roman" w:cs="Times New Roman"/>
          <w:sz w:val="24"/>
          <w:szCs w:val="24"/>
        </w:rPr>
        <w:t>If we look at the study examining breast needle biopsies</w:t>
      </w:r>
      <w:r w:rsidR="00FC5222" w:rsidRPr="006F3539">
        <w:rPr>
          <w:rFonts w:ascii="Times New Roman" w:hAnsi="Times New Roman" w:cs="Times New Roman"/>
          <w:sz w:val="24"/>
          <w:szCs w:val="24"/>
        </w:rPr>
        <w:t xml:space="preserve"> </w:t>
      </w:r>
      <w:r w:rsidRPr="006F3539">
        <w:rPr>
          <w:rFonts w:ascii="Times New Roman" w:hAnsi="Times New Roman" w:cs="Times New Roman"/>
          <w:sz w:val="24"/>
          <w:szCs w:val="24"/>
        </w:rPr>
        <w:fldChar w:fldCharType="begin" w:fldLock="1"/>
      </w:r>
      <w:r w:rsidR="00BE3B6C" w:rsidRPr="006F3539">
        <w:rPr>
          <w:rFonts w:ascii="Times New Roman" w:hAnsi="Times New Roman" w:cs="Times New Roman"/>
          <w:sz w:val="24"/>
          <w:szCs w:val="24"/>
        </w:rPr>
        <w:instrText>ADDIN CSL_CITATION {"citationItems":[{"id":"ITEM-1","itemData":{"DOI":"10.1016/j.prp.2010.06.007","ISBN":"1618-0631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practice","id":"ITEM-1","issue":"11","issued":{"date-parts":[["2010"]]},"page":"749-52","title":"Experts and performance in histopathology--a study in breast pathology.","type":"article-journal","volume":"206"},"uris":["http://www.mendeley.com/documents/?uuid=191972bd-c8f2-45a9-a04b-485514da6b9d"]}],"mendeley":{"formattedCitation":"(Parham &lt;i&gt;et al.&lt;/i&gt;, 2010a)","plainTextFormattedCitation":"(Parham et al., 2010a)","previouslyFormattedCitation":"(Parham et al. 2010a)"},"properties":{"noteIndex":0},"schema":"https://github.com/citation-style-language/schema/raw/master/csl-citation.json"}</w:instrText>
      </w:r>
      <w:r w:rsidRPr="006F3539">
        <w:rPr>
          <w:rFonts w:ascii="Times New Roman" w:hAnsi="Times New Roman" w:cs="Times New Roman"/>
          <w:sz w:val="24"/>
          <w:szCs w:val="24"/>
        </w:rPr>
        <w:fldChar w:fldCharType="separate"/>
      </w:r>
      <w:r w:rsidR="00BE3B6C" w:rsidRPr="006F3539">
        <w:rPr>
          <w:rFonts w:ascii="Times New Roman" w:hAnsi="Times New Roman" w:cs="Times New Roman"/>
          <w:noProof/>
          <w:sz w:val="24"/>
          <w:szCs w:val="24"/>
        </w:rPr>
        <w:t>(Parham et al.</w:t>
      </w:r>
      <w:r w:rsidR="006F3539" w:rsidRPr="006F3539">
        <w:rPr>
          <w:rFonts w:ascii="Times New Roman" w:hAnsi="Times New Roman" w:cs="Times New Roman"/>
          <w:noProof/>
          <w:sz w:val="24"/>
          <w:szCs w:val="24"/>
        </w:rPr>
        <w:t xml:space="preserve"> 2010</w:t>
      </w:r>
      <w:r w:rsidR="00BE3B6C" w:rsidRPr="006F3539">
        <w:rPr>
          <w:rFonts w:ascii="Times New Roman" w:hAnsi="Times New Roman" w:cs="Times New Roman"/>
          <w:noProof/>
          <w:sz w:val="24"/>
          <w:szCs w:val="24"/>
        </w:rPr>
        <w:t>)</w:t>
      </w:r>
      <w:r w:rsidRPr="006F3539">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test is related to a fairly specific area in histopathology. For instance, breast needle biopsies involve looking only at cells, whereas interpretation of a breast tumour resection </w:t>
      </w:r>
      <w:r w:rsidRPr="006F3B00">
        <w:rPr>
          <w:rFonts w:ascii="Times New Roman" w:hAnsi="Times New Roman" w:cs="Times New Roman"/>
          <w:sz w:val="24"/>
          <w:szCs w:val="24"/>
        </w:rPr>
        <w:lastRenderedPageBreak/>
        <w:t xml:space="preserve">involves examining the cells, but also its overall morphology, its borders, whether it shows perineural or lymphovascular invasion, if it is mucous producing and so on. The ability to test diagnostic competence over a much more variable selection of cases is clearly far more challenging. Also, being able to determine if a lesion is benign or malignant, although extremely important, is not the only task for a histopathologist –a specific diagnosis if often required e.g. is it a ductal carcinoma, lobular carcinoma or adenoid cystic carcinoma? If this idea is extrapolated to the huge number of entities a trainee must eventually be able to diagnose, designing tests that are adaptable and robust enough to assess this, poses a significant obstacle. Although the final diagnosis is important, the steps taken (or interpretation) in reaching the diagnosis could be viewed as being just as important, which relates back to these tests missing the “bigger picture”. Further issues which may arise if these tools were used in training relates to their applicability and practicality as the financial and time costs of designing these tools, updating them and analysing the results would be an onerous task. </w:t>
      </w:r>
    </w:p>
    <w:p w14:paraId="092565B6" w14:textId="3A963153" w:rsidR="00863DF5" w:rsidRPr="006F3B00" w:rsidRDefault="007A0757" w:rsidP="00863DF5">
      <w:pPr>
        <w:pStyle w:val="Heading3"/>
        <w:rPr>
          <w:rFonts w:ascii="Times New Roman" w:hAnsi="Times New Roman" w:cs="Times New Roman"/>
          <w:color w:val="auto"/>
          <w:sz w:val="24"/>
          <w:szCs w:val="24"/>
        </w:rPr>
      </w:pPr>
      <w:bookmarkStart w:id="34" w:name="_Toc23243763"/>
      <w:r>
        <w:rPr>
          <w:rFonts w:ascii="Times New Roman" w:hAnsi="Times New Roman" w:cs="Times New Roman"/>
          <w:color w:val="auto"/>
          <w:sz w:val="24"/>
          <w:szCs w:val="24"/>
        </w:rPr>
        <w:t>1.2</w:t>
      </w:r>
      <w:r w:rsidR="009114C0">
        <w:rPr>
          <w:rFonts w:ascii="Times New Roman" w:hAnsi="Times New Roman" w:cs="Times New Roman"/>
          <w:color w:val="auto"/>
          <w:sz w:val="24"/>
          <w:szCs w:val="24"/>
        </w:rPr>
        <w:t>.10.3</w:t>
      </w:r>
      <w:r w:rsidR="00863DF5" w:rsidRPr="006F3B00">
        <w:rPr>
          <w:rFonts w:ascii="Times New Roman" w:hAnsi="Times New Roman" w:cs="Times New Roman"/>
          <w:color w:val="auto"/>
          <w:sz w:val="24"/>
          <w:szCs w:val="24"/>
        </w:rPr>
        <w:t xml:space="preserve"> Diagnostic competence and the process of making a diagnosis</w:t>
      </w:r>
      <w:bookmarkEnd w:id="34"/>
    </w:p>
    <w:p w14:paraId="7ABBAB7D" w14:textId="77777777" w:rsidR="00863DF5" w:rsidRPr="006F3B00" w:rsidRDefault="00863DF5" w:rsidP="00863DF5">
      <w:pPr>
        <w:spacing w:line="480" w:lineRule="auto"/>
        <w:rPr>
          <w:rFonts w:ascii="Times New Roman" w:hAnsi="Times New Roman" w:cs="Times New Roman"/>
          <w:sz w:val="24"/>
          <w:szCs w:val="24"/>
        </w:rPr>
      </w:pPr>
    </w:p>
    <w:p w14:paraId="2AD4AD0F" w14:textId="1F6C03C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few authors have tried to explain the steps involved when making diagnoses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{"citationItems":[{"id":"ITEM-1","itemData":{"DOI":"10.1007/s00428-006-0164-y","ISSN":"0945-6317","author":[{"dropping-particle":"","family":"Bussolati","given":"Gianni","non-dropping-particle":"","parse-names":false,"suffix":""}],"container-title":"Virchows Archiv","id":"ITEM-1","issue":"6","issued":{"date-parts":[["2006"]]},"page":"739-743","title":"Dissecting the pathologist’s brain: mental processes that lead to pathological diagnoses","type":"article-journal","volume":"448"},"uris":["http://www.mendeley.com/documents/?uuid=de191fa8-2ede-435a-8229-d6ec62177689"]},{"id":"ITEM-2","itemData":{"ISSN":"00039985","abstract":"A pathologic diagnosis is the result of a complex series of activities, mastered by the pathologist. The nature of these activities is, however, rarely talked about in depth. The medical literature occasionally discusses aspects of the pathologic diagnosis processes, generally departing from the pathologic practice. The lack of a model makes discussions about the subject a matter of preference or personal style. Educational programs are largely based on the apprenticeship model, and the development of specific abilities rests on the personal aspects of both apprentice and mentor. A model for the pathologic diagnostic process is proposed. The process of diagnosis can be viewed as an action plan, encompassing 4 domains: (1) cognitive, (2) communicative, (3) normative, and (4) medical conduct. The cognitive domain involves processes of perception, attention, memory, search, hypothesis creation, and verification, among others. Communicative skills consist of providing arguments in support of a diagnostic conclusion, with adequate clinical and relevant pathologic information. Pathologic diagnosis is also subject to technical rules (based on empirical experiences), rules of rational choice (strategies aiming at definite goals), and consensual rules among peers. Finally, the pathologic diagnosis has to be evaluated in the sphere of medical conduct, from the perspectives of both the pathologist and the referring clinician. An understanding of the diagnostic process from a theoretic perspective will benefit pathology as a science and a medical specialty because it provides the basis for understanding diagnostic variations and discrepancies. Pathologic difficulties or errors can be mapped, allowing the institution of specific remedies. This model may also enhance training and educational strategies because specific emphasis can be directed toward a particular difficulty.","author":[{"dropping-particle":"","family":"Pena","given":"Gil Patrus","non-dropping-particle":"","parse-names":false,"suffix":""},{"dropping-particle":"","family":"Andrade-Filho","given":"Jos?? Souza","non-dropping-particle":"De","parse-names":false,"suffix":""}],"container-title":"Archives of Pathology and Laboratory Medicine","id":"ITEM-2","issue":"1","issued":{"date-parts":[["2009"]]},"page":"124-132","title":"How does a pathologist make a diagnosis?","type":"article-journal","volume":"133"},"uris":["http://www.mendeley.com/documents/?uuid=f1270354-9a9c-46ce-8306-7b8151486053"]}],"mendeley":{"formattedCitation":"(Bussolati, 2006; Pena and De Andrade-Filho, 2009)","plainTextFormattedCitation":"(Bussolati, 2006; Pena and De Andrade-Filho, 2009)","previouslyFormattedCitation":"(Bussolati 2006; Pena and De Andrade-Filho 2009)"},"properties":{"noteIndex":0},"schema":"https://github.com/citation-style-language/schema/raw/master/csl-citation.json"}</w:instrText>
      </w:r>
      <w:r w:rsidRPr="006F3B00">
        <w:rPr>
          <w:rFonts w:ascii="Times New Roman" w:hAnsi="Times New Roman" w:cs="Times New Roman"/>
          <w:sz w:val="24"/>
          <w:szCs w:val="24"/>
        </w:rPr>
        <w:fldChar w:fldCharType="separate"/>
      </w:r>
      <w:r w:rsidR="006F3539">
        <w:rPr>
          <w:rFonts w:ascii="Times New Roman" w:hAnsi="Times New Roman" w:cs="Times New Roman"/>
          <w:noProof/>
          <w:sz w:val="24"/>
          <w:szCs w:val="24"/>
        </w:rPr>
        <w:t>(Bussolati 2006; Pena and de Andrade-Filho</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006F3539">
        <w:rPr>
          <w:rFonts w:ascii="Times New Roman" w:hAnsi="Times New Roman" w:cs="Times New Roman"/>
          <w:sz w:val="24"/>
          <w:szCs w:val="24"/>
        </w:rPr>
        <w:t>. For instance, Pena and d</w:t>
      </w:r>
      <w:r w:rsidRPr="006F3B00">
        <w:rPr>
          <w:rFonts w:ascii="Times New Roman" w:hAnsi="Times New Roman" w:cs="Times New Roman"/>
          <w:sz w:val="24"/>
          <w:szCs w:val="24"/>
        </w:rPr>
        <w:t>e Andrade Filho suggest the process of diagnosis can be split into four domains: cognitive, communicative, normative and medical conduct</w:t>
      </w:r>
      <w:r w:rsidR="006F3539">
        <w:rPr>
          <w:rFonts w:ascii="Times New Roman" w:hAnsi="Times New Roman" w:cs="Times New Roman"/>
          <w:sz w:val="24"/>
          <w:szCs w:val="24"/>
        </w:rPr>
        <w:t xml:space="preserve"> (2009)</w:t>
      </w:r>
      <w:r w:rsidRPr="006F3B00">
        <w:rPr>
          <w:rFonts w:ascii="Times New Roman" w:hAnsi="Times New Roman" w:cs="Times New Roman"/>
          <w:sz w:val="24"/>
          <w:szCs w:val="24"/>
        </w:rPr>
        <w:t xml:space="preserve">. Essentially, the cognitive domain relates to mentally processing what is on a slide;  the communicative domain involves conveying the diagnosis with due regard for clinical information; the normative domain involves being aware of what is expected when diagnosing lesions, such as having recognised ways to grade and stage tumours; and the medical conduct domain </w:t>
      </w:r>
      <w:r w:rsidRPr="006F3B00">
        <w:rPr>
          <w:rFonts w:ascii="Times New Roman" w:hAnsi="Times New Roman" w:cs="Times New Roman"/>
          <w:sz w:val="24"/>
          <w:szCs w:val="24"/>
        </w:rPr>
        <w:lastRenderedPageBreak/>
        <w:t>largely involves aspects of professionalism and considering the appropriateness of ordering further tests or</w:t>
      </w:r>
      <w:r w:rsidR="00494018">
        <w:rPr>
          <w:rFonts w:ascii="Times New Roman" w:hAnsi="Times New Roman" w:cs="Times New Roman"/>
          <w:sz w:val="24"/>
          <w:szCs w:val="24"/>
        </w:rPr>
        <w:t xml:space="preserve"> consulting other pathologists.</w:t>
      </w:r>
    </w:p>
    <w:p w14:paraId="3BFFD2BE" w14:textId="2F7E12B3"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 However, these studies are not based on any evidence but are merely suggestions and commentaries. Therefore, it is not possible to draw solid conclusion from them. Secondly, the steps involved in making a diagnosis do not necessarily equate to competence, as it is probably just one aspect of competency, similar to the previous studies which just examined accuracy of diagnoses.  Thirdly, even if the approach to diagnosis was known, it is not apparent which steps are most important to consultants when assessing competence in their trainees. Nonetheless, these studies do appear to describe quite a complex mental process and acknowledge that there are no current studies which clarify the matter any further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{"citationItems":[{"id":"ITEM-1","itemData":{"ISSN":"00039985","abstract":"A pathologic diagnosis is the result of a complex series of activities, mastered by the pathologist. The nature of these activities is, however, rarely talked about in depth. The medical literature occasionally discusses aspects of the pathologic diagnosis processes, generally departing from the pathologic practice. The lack of a model makes discussions about the subject a matter of preference or personal style. Educational programs are largely based on the apprenticeship model, and the development of specific abilities rests on the personal aspects of both apprentice and mentor. A model for the pathologic diagnostic process is proposed. The process of diagnosis can be viewed as an action plan, encompassing 4 domains: (1) cognitive, (2) communicative, (3) normative, and (4) medical conduct. The cognitive domain involves processes of perception, attention, memory, search, hypothesis creation, and verification, among others. Communicative skills consist of providing arguments in support of a diagnostic conclusion, with adequate clinical and relevant pathologic information. Pathologic diagnosis is also subject to technical rules (based on empirical experiences), rules of rational choice (strategies aiming at definite goals), and consensual rules among peers. Finally, the pathologic diagnosis has to be evaluated in the sphere of medical conduct, from the perspectives of both the pathologist and the referring clinician. An understanding of the diagnostic process from a theoretic perspective will benefit pathology as a science and a medical specialty because it provides the basis for understanding diagnostic variations and discrepancies. Pathologic difficulties or errors can be mapped, allowing the institution of specific remedies. This model may also enhance training and educational strategies because specific emphasis can be directed toward a particular difficulty.","author":[{"dropping-particle":"","family":"Pena","given":"Gil Patrus","non-dropping-particle":"","parse-names":false,"suffix":""},{"dropping-particle":"","family":"Andrade-Filho","given":"Jos?? Souza","non-dropping-particle":"De","parse-names":false,"suffix":""}],"container-title":"Archives of Pathology and Laboratory Medicine","id":"ITEM-1","issue":"1","issued":{"date-parts":[["2009"]]},"page":"124-132","title":"How does a pathologist make a diagnosis?","type":"article-journal","volume":"133"},"uris":["http://www.mendeley.com/documents/?uuid=f1270354-9a9c-46ce-8306-7b8151486053"]},{"id":"ITEM-2","itemData":{"DOI":"10.1007/s00428-006-0164-y","ISSN":"0945-6317","author":[{"dropping-particle":"","family":"Bussolati","given":"Gianni","non-dropping-particle":"","parse-names":false,"suffix":""}],"container-title":"Virchows Archiv","id":"ITEM-2","issue":"6","issued":{"date-parts":[["2006"]]},"page":"739-743","title":"Dissecting the pathologist’s brain: mental processes that lead to pathological diagnoses","type":"article-journal","volume":"448"},"uris":["http://www.mendeley.com/documents/?uuid=de191fa8-2ede-435a-8229-d6ec62177689"]}],"mendeley":{"formattedCitation":"(Bussolati, 2006; Pena and De Andrade-Filho, 2009)","plainTextFormattedCitation":"(Bussolati, 2006; Pena and De Andrade-Filho, 2009)","previouslyFormattedCitation":"(Pena and De Andrade-Filho 2009; Bussolati 2006)"},"properties":{"noteIndex":0},"schema":"https://github.com/citation-style-language/schema/raw/master/csl-citation.json"}</w:instrText>
      </w:r>
      <w:r w:rsidRPr="006F3B00">
        <w:rPr>
          <w:rFonts w:ascii="Times New Roman" w:hAnsi="Times New Roman" w:cs="Times New Roman"/>
          <w:sz w:val="24"/>
          <w:szCs w:val="24"/>
        </w:rPr>
        <w:fldChar w:fldCharType="separate"/>
      </w:r>
      <w:r w:rsidR="00E92A51">
        <w:rPr>
          <w:rFonts w:ascii="Times New Roman" w:hAnsi="Times New Roman" w:cs="Times New Roman"/>
          <w:noProof/>
          <w:sz w:val="24"/>
          <w:szCs w:val="24"/>
        </w:rPr>
        <w:t>(Bussolati 2006; Pena and de Andrade-Filho</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6044A900" w14:textId="4152B3E8" w:rsidR="00863DF5" w:rsidRPr="006F3B00" w:rsidRDefault="007A0757" w:rsidP="00863DF5">
      <w:pPr>
        <w:pStyle w:val="Heading3"/>
        <w:rPr>
          <w:rFonts w:ascii="Times New Roman" w:hAnsi="Times New Roman" w:cs="Times New Roman"/>
          <w:color w:val="auto"/>
          <w:sz w:val="24"/>
          <w:szCs w:val="24"/>
        </w:rPr>
      </w:pPr>
      <w:bookmarkStart w:id="35" w:name="_Toc23243764"/>
      <w:r>
        <w:rPr>
          <w:rFonts w:ascii="Times New Roman" w:hAnsi="Times New Roman" w:cs="Times New Roman"/>
          <w:color w:val="auto"/>
          <w:sz w:val="24"/>
          <w:szCs w:val="24"/>
        </w:rPr>
        <w:t>1.2</w:t>
      </w:r>
      <w:r w:rsidR="009114C0">
        <w:rPr>
          <w:rFonts w:ascii="Times New Roman" w:hAnsi="Times New Roman" w:cs="Times New Roman"/>
          <w:color w:val="auto"/>
          <w:sz w:val="24"/>
          <w:szCs w:val="24"/>
        </w:rPr>
        <w:t>.10.4</w:t>
      </w:r>
      <w:r w:rsidR="00863DF5" w:rsidRPr="006F3B00">
        <w:rPr>
          <w:rFonts w:ascii="Times New Roman" w:hAnsi="Times New Roman" w:cs="Times New Roman"/>
          <w:color w:val="auto"/>
          <w:sz w:val="24"/>
          <w:szCs w:val="24"/>
        </w:rPr>
        <w:t xml:space="preserve"> Diagnostic competence and independent reporting</w:t>
      </w:r>
      <w:bookmarkEnd w:id="35"/>
    </w:p>
    <w:p w14:paraId="45144702" w14:textId="77777777" w:rsidR="00863DF5" w:rsidRPr="006F3B00" w:rsidRDefault="00863DF5" w:rsidP="00863DF5">
      <w:pPr>
        <w:spacing w:line="480" w:lineRule="auto"/>
        <w:rPr>
          <w:rFonts w:ascii="Times New Roman" w:hAnsi="Times New Roman" w:cs="Times New Roman"/>
          <w:sz w:val="24"/>
          <w:szCs w:val="24"/>
        </w:rPr>
      </w:pPr>
    </w:p>
    <w:p w14:paraId="0E82B4C5" w14:textId="078985DB" w:rsidR="00863DF5" w:rsidRPr="006F3B00" w:rsidRDefault="00863DF5" w:rsidP="006121BA">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single study was identified which used a focus group with trainees and qualitative interviews with consultants to understand the perceived learning needs for graded responsibility in histopathology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{"citationItems":[{"id":"ITEM-1","itemData":{"DOI":"10.1136/jclinpath-2015-203090","ISSN":"14724146","abstract":"Aims This is a qualitative study of the perceived learning needs of trainees for graded responsibility in histopathological training in the UK. Methods A focus group with trainees and interviews with consultants was carried out. Participants were asked What do you perceive are the learning needs of histopathology trainees to develop skills for safe and confident independent reporting in surgical histopathology?' Data was analysed using open coding content analysis for items relating to training content and structure. Results Trainees and consultants perceived a need for a case load of around 100 specimens per week with a continuously variable case mix. It was thought necessary to be the principal presenter of cases at multidisciplinary team meetings. There was a perceived need for adequate amounts of supervision by consultants using double-headed microscopes and sufficient time to develop skills in microscopic visual perception through detailed feature discussion, not necessarily related to specific diagnoses. Being able to write clear histopathology reports, developing the ability to recognise normal histology and to be aware of diagnostic pitfalls were also thought to be important. Conclusions Our findings may inform efficacious implementation of graded responsibility in histopathology departments and be used as a sound basis for further research.","author":[{"dropping-particle":"","family":"Finall","given":"A.","non-dropping-particle":"","parse-names":false,"suffix":""},{"dropping-particle":"","family":"Allery","given":"L.","non-dropping-particle":"","parse-names":false,"suffix":""}],"container-title":"Journal of Clinical Pathology","id":"ITEM-1","issue":"1","issued":{"date-parts":[["2016"]]},"page":"42-46","title":"Ready, steady, go! What do histopathology trainees think they need from training to enable them to develop autonomy in surgical pathology reporting?","type":"article-journal","volume":"69"},"uris":["http://www.mendeley.com/documents/?uuid=3bcef457-bdfa-4648-a4f5-399a7ea7c4ac"]}],"mendeley":{"formattedCitation":"(Finall and Allery, 2016)","plainTextFormattedCitation":"(Finall and Allery, 2016)","previouslyFormattedCitation":"(A. Finall and Allery 2016)"},"properties":{"noteIndex":0},"schema":"https://github.com/citation-style-language/schema/raw/master/csl-citation.json"}</w:instrText>
      </w:r>
      <w:r w:rsidRPr="006F3B00">
        <w:rPr>
          <w:rFonts w:ascii="Times New Roman" w:hAnsi="Times New Roman" w:cs="Times New Roman"/>
          <w:sz w:val="24"/>
          <w:szCs w:val="24"/>
        </w:rPr>
        <w:fldChar w:fldCharType="separate"/>
      </w:r>
      <w:r w:rsidR="00E92A51">
        <w:rPr>
          <w:rFonts w:ascii="Times New Roman" w:hAnsi="Times New Roman" w:cs="Times New Roman"/>
          <w:noProof/>
          <w:sz w:val="24"/>
          <w:szCs w:val="24"/>
        </w:rPr>
        <w:t>(Finall and Allery</w:t>
      </w:r>
      <w:r w:rsidR="00BE3B6C" w:rsidRPr="00BE3B6C">
        <w:rPr>
          <w:rFonts w:ascii="Times New Roman" w:hAnsi="Times New Roman" w:cs="Times New Roman"/>
          <w:noProof/>
          <w:sz w:val="24"/>
          <w:szCs w:val="24"/>
        </w:rPr>
        <w:t xml:space="preserve"> 2016)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In order for independent reporting to occur, the data suggested six things were important: “accumulation of experience” through seeing around 100 cases per week; “attending multi-disciplinary team meetings” to review complex cases and develop communication skills; close “consultant supervision” to help trainees prepare for independent reporting; “diagnostic acumen” in terms of trainees knowing the implications of certain diagnoses on patient care; “recognising normal” which involved trainees needing to show they could distinguish normal from abnormal and also the range of appearances for certain tumours; “recognising pitfalls” in terms of trainees being worried about certain entities they had </w:t>
      </w:r>
      <w:r w:rsidRPr="006F3B00">
        <w:rPr>
          <w:rFonts w:ascii="Times New Roman" w:hAnsi="Times New Roman" w:cs="Times New Roman"/>
          <w:sz w:val="24"/>
          <w:szCs w:val="24"/>
        </w:rPr>
        <w:lastRenderedPageBreak/>
        <w:t>not yet encountered and might miss. A criticism of this paper would be that it was a small study without data saturation for the qualitative interviews. Furthermore, the data from the focus groups and interviews stemmed from a single pathology centre and may not reflect wider opinion on the topic. However, in terms of diagnostic competence, one might argue that a consultant agreeing to a trainee independently reporting is a valid indicator of that trainee’s diagnostic competence. There may be aspects detailed in this study which relate to competence, but the study sought to understand the learning needs for independent reporting to occur, not the qualities required for it to be handed to a trainee. Hence, the six areas described do not describe the knowledge, skills and attitudes relevant to being diagnostically competent but actually reflect the need for trainees to generate significant experience before it is appropriate for them to act independently. The study also suggests that it is not just the ability to formulate diagnoses which leads to independent reporting, but there are wider issues such as communicating diagnoses and understanding the impl</w:t>
      </w:r>
      <w:r w:rsidR="006121BA">
        <w:rPr>
          <w:rFonts w:ascii="Times New Roman" w:hAnsi="Times New Roman" w:cs="Times New Roman"/>
          <w:sz w:val="24"/>
          <w:szCs w:val="24"/>
        </w:rPr>
        <w:t xml:space="preserve">ications of certain diagnoses. </w:t>
      </w:r>
    </w:p>
    <w:p w14:paraId="475D93E7" w14:textId="558A5557" w:rsidR="00863DF5" w:rsidRPr="006F3B00" w:rsidRDefault="007A0757" w:rsidP="00863DF5">
      <w:pPr>
        <w:pStyle w:val="Heading3"/>
        <w:rPr>
          <w:rFonts w:ascii="Times New Roman" w:hAnsi="Times New Roman" w:cs="Times New Roman"/>
          <w:color w:val="auto"/>
          <w:sz w:val="24"/>
          <w:szCs w:val="24"/>
        </w:rPr>
      </w:pPr>
      <w:bookmarkStart w:id="36" w:name="_Toc23243765"/>
      <w:r>
        <w:rPr>
          <w:rFonts w:ascii="Times New Roman" w:hAnsi="Times New Roman" w:cs="Times New Roman"/>
          <w:color w:val="auto"/>
          <w:sz w:val="24"/>
          <w:szCs w:val="24"/>
        </w:rPr>
        <w:t>1.2</w:t>
      </w:r>
      <w:r w:rsidR="009114C0">
        <w:rPr>
          <w:rFonts w:ascii="Times New Roman" w:hAnsi="Times New Roman" w:cs="Times New Roman"/>
          <w:color w:val="auto"/>
          <w:sz w:val="24"/>
          <w:szCs w:val="24"/>
        </w:rPr>
        <w:t>.10</w:t>
      </w:r>
      <w:r w:rsidR="00863DF5" w:rsidRPr="006F3B00">
        <w:rPr>
          <w:rFonts w:ascii="Times New Roman" w:hAnsi="Times New Roman" w:cs="Times New Roman"/>
          <w:color w:val="auto"/>
          <w:sz w:val="24"/>
          <w:szCs w:val="24"/>
        </w:rPr>
        <w:t>.5 Conclusion</w:t>
      </w:r>
      <w:bookmarkEnd w:id="36"/>
    </w:p>
    <w:p w14:paraId="6BFFD071" w14:textId="77777777" w:rsidR="00863DF5" w:rsidRPr="006F3B00" w:rsidRDefault="00863DF5" w:rsidP="00863DF5">
      <w:pPr>
        <w:rPr>
          <w:rFonts w:ascii="Times New Roman" w:hAnsi="Times New Roman" w:cs="Times New Roman"/>
          <w:sz w:val="24"/>
          <w:szCs w:val="24"/>
        </w:rPr>
      </w:pPr>
    </w:p>
    <w:p w14:paraId="4FEC82D9" w14:textId="49F60DC8"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Currently, although it appears aspects of accuracy and sound process are part of being diagnostically competent, the literature does not provide a clear description of what diagnostic competence is, how it is judged in trainees and the contexts relevant to the judgement. Despite this, histopathology trainees are required to complete WBAs during training as a marker of th</w:t>
      </w:r>
      <w:r w:rsidR="001904EB">
        <w:rPr>
          <w:rFonts w:ascii="Times New Roman" w:hAnsi="Times New Roman" w:cs="Times New Roman"/>
          <w:sz w:val="24"/>
          <w:szCs w:val="24"/>
        </w:rPr>
        <w:t>eir competency. The next section</w:t>
      </w:r>
      <w:r w:rsidRPr="006F3B00">
        <w:rPr>
          <w:rFonts w:ascii="Times New Roman" w:hAnsi="Times New Roman" w:cs="Times New Roman"/>
          <w:sz w:val="24"/>
          <w:szCs w:val="24"/>
        </w:rPr>
        <w:t xml:space="preserve"> will discuss how WBAs came to be part of training curricula and the current issues with their use. However, what should already be apparent is that it unlikely they would be able to identify diagnostic competence if the literature is unable to define and describe the knowledge, skills and behaviours relevant to this construct.</w:t>
      </w:r>
    </w:p>
    <w:p w14:paraId="3F64AC27" w14:textId="31A5BB24" w:rsidR="00863DF5" w:rsidRPr="006F3B00" w:rsidRDefault="007A0757" w:rsidP="00863DF5">
      <w:pPr>
        <w:pStyle w:val="Heading1"/>
        <w:rPr>
          <w:rFonts w:ascii="Times New Roman" w:hAnsi="Times New Roman" w:cs="Times New Roman"/>
          <w:b/>
          <w:color w:val="auto"/>
          <w:sz w:val="24"/>
          <w:szCs w:val="24"/>
        </w:rPr>
      </w:pPr>
      <w:bookmarkStart w:id="37" w:name="_Toc23243766"/>
      <w:r>
        <w:rPr>
          <w:rFonts w:ascii="Times New Roman" w:hAnsi="Times New Roman" w:cs="Times New Roman"/>
          <w:b/>
          <w:color w:val="auto"/>
          <w:sz w:val="24"/>
          <w:szCs w:val="24"/>
        </w:rPr>
        <w:lastRenderedPageBreak/>
        <w:t>1.3</w:t>
      </w:r>
      <w:r w:rsidR="00863DF5" w:rsidRPr="006F3B00">
        <w:rPr>
          <w:rFonts w:ascii="Times New Roman" w:hAnsi="Times New Roman" w:cs="Times New Roman"/>
          <w:b/>
          <w:color w:val="auto"/>
          <w:sz w:val="24"/>
          <w:szCs w:val="24"/>
        </w:rPr>
        <w:t xml:space="preserve"> Workplace-based assessments</w:t>
      </w:r>
      <w:bookmarkEnd w:id="37"/>
    </w:p>
    <w:p w14:paraId="142D2E89" w14:textId="77777777" w:rsidR="00863DF5" w:rsidRPr="006F3B00" w:rsidRDefault="00863DF5" w:rsidP="00863DF5">
      <w:pPr>
        <w:rPr>
          <w:rFonts w:ascii="Times New Roman" w:hAnsi="Times New Roman" w:cs="Times New Roman"/>
          <w:sz w:val="24"/>
          <w:szCs w:val="24"/>
          <w:lang w:val="en-CA"/>
        </w:rPr>
      </w:pPr>
    </w:p>
    <w:p w14:paraId="245EF37F" w14:textId="278E2C15" w:rsidR="00863DF5" w:rsidRPr="006F3B00" w:rsidRDefault="007A0757" w:rsidP="00863DF5">
      <w:pPr>
        <w:pStyle w:val="Heading2"/>
        <w:rPr>
          <w:rFonts w:ascii="Times New Roman" w:hAnsi="Times New Roman" w:cs="Times New Roman"/>
          <w:color w:val="auto"/>
          <w:sz w:val="24"/>
          <w:szCs w:val="24"/>
        </w:rPr>
      </w:pPr>
      <w:bookmarkStart w:id="38" w:name="_Toc23243767"/>
      <w:r>
        <w:rPr>
          <w:rFonts w:ascii="Times New Roman" w:hAnsi="Times New Roman" w:cs="Times New Roman"/>
          <w:color w:val="auto"/>
          <w:sz w:val="24"/>
          <w:szCs w:val="24"/>
        </w:rPr>
        <w:t>1.3</w:t>
      </w:r>
      <w:r w:rsidR="009114C0">
        <w:rPr>
          <w:rFonts w:ascii="Times New Roman" w:hAnsi="Times New Roman" w:cs="Times New Roman"/>
          <w:color w:val="auto"/>
          <w:sz w:val="24"/>
          <w:szCs w:val="24"/>
        </w:rPr>
        <w:t>.1</w:t>
      </w:r>
      <w:r w:rsidR="00863DF5" w:rsidRPr="006F3B00">
        <w:rPr>
          <w:rFonts w:ascii="Times New Roman" w:hAnsi="Times New Roman" w:cs="Times New Roman"/>
          <w:color w:val="auto"/>
          <w:sz w:val="24"/>
          <w:szCs w:val="24"/>
        </w:rPr>
        <w:t xml:space="preserve"> Introduction</w:t>
      </w:r>
      <w:bookmarkEnd w:id="38"/>
    </w:p>
    <w:p w14:paraId="69B00BAD" w14:textId="77777777" w:rsidR="00863DF5" w:rsidRPr="006F3B00" w:rsidRDefault="00863DF5" w:rsidP="00863DF5">
      <w:pPr>
        <w:rPr>
          <w:rFonts w:ascii="Times New Roman" w:hAnsi="Times New Roman" w:cs="Times New Roman"/>
          <w:sz w:val="24"/>
          <w:szCs w:val="24"/>
        </w:rPr>
      </w:pPr>
    </w:p>
    <w:p w14:paraId="665F8FE9" w14:textId="32E90FCE"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WBA</w:t>
      </w:r>
      <w:r w:rsidR="003148DE">
        <w:rPr>
          <w:rFonts w:ascii="Times New Roman" w:hAnsi="Times New Roman" w:cs="Times New Roman"/>
          <w:sz w:val="24"/>
          <w:szCs w:val="24"/>
        </w:rPr>
        <w:t>s are used in a variety of workplaces, but</w:t>
      </w:r>
      <w:r w:rsidRPr="006F3B00">
        <w:rPr>
          <w:rFonts w:ascii="Times New Roman" w:hAnsi="Times New Roman" w:cs="Times New Roman"/>
          <w:sz w:val="24"/>
          <w:szCs w:val="24"/>
        </w:rPr>
        <w:t xml:space="preserve"> are used widely within medicine and dentistry as an assessment of trainee progress, as recommended by the </w:t>
      </w:r>
      <w:r w:rsidR="00863717">
        <w:rPr>
          <w:rFonts w:ascii="Times New Roman" w:hAnsi="Times New Roman" w:cs="Times New Roman"/>
          <w:sz w:val="24"/>
          <w:szCs w:val="24"/>
        </w:rPr>
        <w:t>GDC and GMC.</w:t>
      </w:r>
      <w:r w:rsidRPr="006F3B00">
        <w:rPr>
          <w:rFonts w:ascii="Times New Roman" w:hAnsi="Times New Roman" w:cs="Times New Roman"/>
          <w:sz w:val="24"/>
          <w:szCs w:val="24"/>
        </w:rPr>
        <w:t xml:space="preserve"> They have been defined as the “assessment of day-to-day practices undertaken in the working environment”</w:t>
      </w:r>
      <w:r w:rsidR="00E92A51">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review.","type":"article-journal","volume":"341"},"uris":["http://www.mendeley.com/documents/?uuid=5e467429-f82f-4917-86e6-acac1998e2e3"]}],"mendeley":{"formattedCitation":"(Miller and Archer, 2010)","plainTextFormattedCitation":"(Miller and Archer, 2010)","previouslyFormattedCitation":"(A. Miller and Archer 2010)"},"properties":{"noteIndex":0},"schema":"https://github.com/citation-style-language/schema/raw/master/csl-citation.json"}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(Miller and Archer, 2010)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r w:rsidR="009907E5">
        <w:rPr>
          <w:rFonts w:ascii="Times New Roman" w:hAnsi="Times New Roman" w:cs="Times New Roman"/>
          <w:sz w:val="24"/>
          <w:szCs w:val="24"/>
        </w:rPr>
        <w:t xml:space="preserve"> </w:t>
      </w:r>
      <w:r w:rsidR="009907E5" w:rsidRPr="006F3B00">
        <w:rPr>
          <w:rFonts w:ascii="Times New Roman" w:hAnsi="Times New Roman" w:cs="Times New Roman"/>
          <w:sz w:val="24"/>
          <w:szCs w:val="24"/>
        </w:rPr>
        <w:t xml:space="preserve">Before this, specialist trainees were assessed using local assessment tools, requiring review </w:t>
      </w:r>
      <w:r w:rsidR="009907E5" w:rsidRPr="00E92A51">
        <w:rPr>
          <w:rFonts w:ascii="Times New Roman" w:hAnsi="Times New Roman" w:cs="Times New Roman"/>
          <w:sz w:val="24"/>
          <w:szCs w:val="24"/>
        </w:rPr>
        <w:t>panels to be aware of regional differences in assessment of trainees and their possible subjectivity</w:t>
      </w:r>
      <w:r w:rsidR="00FC5222" w:rsidRPr="00E92A51">
        <w:rPr>
          <w:rFonts w:ascii="Times New Roman" w:hAnsi="Times New Roman" w:cs="Times New Roman"/>
          <w:sz w:val="24"/>
          <w:szCs w:val="24"/>
        </w:rPr>
        <w:t xml:space="preserve"> </w:t>
      </w:r>
      <w:r w:rsidR="009907E5" w:rsidRPr="00E92A51">
        <w:rPr>
          <w:rFonts w:ascii="Times New Roman" w:hAnsi="Times New Roman" w:cs="Times New Roman"/>
          <w:sz w:val="24"/>
          <w:szCs w:val="24"/>
        </w:rPr>
        <w:fldChar w:fldCharType="begin" w:fldLock="1"/>
      </w:r>
      <w:r w:rsidR="00BE3B6C" w:rsidRPr="00E92A51">
        <w:rPr>
          <w:rFonts w:ascii="Times New Roman" w:hAnsi="Times New Roman" w:cs="Times New Roman"/>
          <w:sz w:val="24"/>
          <w:szCs w:val="24"/>
        </w:rPr>
        <w:instrText>ADDIN CSL_CITATION {"citationItems":[{"id":"ITEM-1","itemData":{"DOI":"10.7861/clinmedicine.3-2-131","ISBN":"1470-2118 (Print)","ISSN":"1470-2118","PMID":"12737369","abstract":"Assessing the performance of doctors while they are engaged in clinical work is a challenging concept. The introduction of objective-based curricula provides the stimulus and opportunity for the Royal Colleges of Physicians to develop relevant and reliable methods of in-service assessment. We propose to pilot a study investigating the validity, reliability and feasibility of three assessment methods--direct observation of the clinical encounter using an adapted mini-CEX, direct observation of the performance of practical procedures (DOPS), and the doctor's ability to perform effectively as part of a team using 360 degree assessment. The methods will be studied in the setting of routine clinical care. Whilst demanding of time from both trainees and trainers, they will represent a significant advance on the current system which is characterised by a lack of evidence in the assessment process.","author":[{"dropping-particle":"","family":"Wragg","given":"A","non-dropping-particle":"","parse-names":false,"suffix":""},{"dropping-particle":"","family":"Wade","given":"W","non-dropping-particle":"","parse-names":false,"suffix":""},{"dropping-particle":"","family":"Fuller","given":"G","non-dropping-particle":"","parse-names":false,"suffix":""},{"dropping-particle":"","family":"Cowan","given":"G","non-dropping-particle":"","parse-names":false,"suffix":""},{"dropping-particle":"","family":"Mills","given":"P","non-dropping-particle":"","parse-names":false,"suffix":""}],"container-title":"Clinical Medicine (London, England)","id":"ITEM-1","issue":"2","issued":{"date-parts":[["2003"]]},"page":"131-134","title":"Assessing the performance of specialist registrars","type":"article-journal","volume":"3"},"uris":["http://www.mendeley.com/documents/?uuid=e1e789b2-8f7f-4563-97f7-982317181a2e"]}],"mendeley":{"formattedCitation":"(Wragg &lt;i&gt;et al.&lt;/i&gt;, 2003)","plainTextFormattedCitation":"(Wragg et al., 2003)","previouslyFormattedCitation":"(Wragg et al. 2003)"},"properties":{"noteIndex":0},"schema":"https://github.com/citation-style-language/schema/raw/master/csl-citation.json"}</w:instrText>
      </w:r>
      <w:r w:rsidR="009907E5" w:rsidRPr="00E92A51">
        <w:rPr>
          <w:rFonts w:ascii="Times New Roman" w:hAnsi="Times New Roman" w:cs="Times New Roman"/>
          <w:sz w:val="24"/>
          <w:szCs w:val="24"/>
        </w:rPr>
        <w:fldChar w:fldCharType="separate"/>
      </w:r>
      <w:r w:rsidR="00BE3B6C" w:rsidRPr="00E92A51">
        <w:rPr>
          <w:rFonts w:ascii="Times New Roman" w:hAnsi="Times New Roman" w:cs="Times New Roman"/>
          <w:noProof/>
          <w:sz w:val="24"/>
          <w:szCs w:val="24"/>
        </w:rPr>
        <w:t>(Wragg et al. 2003)</w:t>
      </w:r>
      <w:r w:rsidR="009907E5" w:rsidRPr="00E92A51">
        <w:rPr>
          <w:rFonts w:ascii="Times New Roman" w:hAnsi="Times New Roman" w:cs="Times New Roman"/>
          <w:sz w:val="24"/>
          <w:szCs w:val="24"/>
        </w:rPr>
        <w:fldChar w:fldCharType="end"/>
      </w:r>
      <w:r w:rsidR="009907E5" w:rsidRPr="006F3B00">
        <w:rPr>
          <w:rFonts w:ascii="Times New Roman" w:hAnsi="Times New Roman" w:cs="Times New Roman"/>
          <w:sz w:val="24"/>
          <w:szCs w:val="24"/>
        </w:rPr>
        <w:t xml:space="preserve">. </w:t>
      </w:r>
      <w:r w:rsidRPr="006F3B00">
        <w:rPr>
          <w:rFonts w:ascii="Times New Roman" w:hAnsi="Times New Roman" w:cs="Times New Roman"/>
          <w:sz w:val="24"/>
          <w:szCs w:val="24"/>
        </w:rPr>
        <w:t xml:space="preserve">  Alongside the outcomes from professional exams, input from Educational Supervisors (ES), Training Programme Directors (TPD) and representatives from the local deanery, this information is collated and reviewed to inform the outcome for each trainee at the Annual Review of Competency Progression (ARCP). This meeting determines whether a trainee has reached a prescribed standard to progress to the next year of training and the ARCP panel may issue objectives to those trainees who have failed to reach this standard. The ARCP panel is ultimately responsible for termination of the trainee contract if improvements are not made, but should also consider and resolve any issu</w:t>
      </w:r>
      <w:r w:rsidR="009907E5">
        <w:rPr>
          <w:rFonts w:ascii="Times New Roman" w:hAnsi="Times New Roman" w:cs="Times New Roman"/>
          <w:sz w:val="24"/>
          <w:szCs w:val="24"/>
        </w:rPr>
        <w:t xml:space="preserve">es which the trainee may raise. </w:t>
      </w:r>
    </w:p>
    <w:p w14:paraId="7B20D933" w14:textId="078B9AEE"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general histopathology and oral and maxillofacial pathology (OMFP), a minimum of 18 WBAs with satisfactory outcome are expected to have been completed by the trainee at the start of training. Thereafter, the number of WBAs required at each stage of training and the proportion which should be self-directed varies between histopathology specialities.  </w:t>
      </w:r>
    </w:p>
    <w:p w14:paraId="36396786" w14:textId="77777777" w:rsidR="00863DF5" w:rsidRPr="006F3B00" w:rsidRDefault="00863DF5" w:rsidP="00863DF5">
      <w:pPr>
        <w:pStyle w:val="Heading2"/>
        <w:rPr>
          <w:rFonts w:ascii="Times New Roman" w:hAnsi="Times New Roman" w:cs="Times New Roman"/>
          <w:sz w:val="24"/>
          <w:szCs w:val="24"/>
        </w:rPr>
      </w:pPr>
    </w:p>
    <w:p w14:paraId="53454C08" w14:textId="1E14BDE7" w:rsidR="00863DF5" w:rsidRPr="006F3B00" w:rsidRDefault="007A0757" w:rsidP="00863DF5">
      <w:pPr>
        <w:pStyle w:val="Heading2"/>
        <w:rPr>
          <w:rFonts w:ascii="Times New Roman" w:hAnsi="Times New Roman" w:cs="Times New Roman"/>
          <w:color w:val="auto"/>
          <w:sz w:val="24"/>
          <w:szCs w:val="24"/>
        </w:rPr>
      </w:pPr>
      <w:bookmarkStart w:id="39" w:name="_Toc23243768"/>
      <w:r>
        <w:rPr>
          <w:rFonts w:ascii="Times New Roman" w:hAnsi="Times New Roman" w:cs="Times New Roman"/>
          <w:color w:val="auto"/>
          <w:sz w:val="24"/>
          <w:szCs w:val="24"/>
        </w:rPr>
        <w:t>1.3</w:t>
      </w:r>
      <w:r w:rsidR="009114C0">
        <w:rPr>
          <w:rFonts w:ascii="Times New Roman" w:hAnsi="Times New Roman" w:cs="Times New Roman"/>
          <w:color w:val="auto"/>
          <w:sz w:val="24"/>
          <w:szCs w:val="24"/>
        </w:rPr>
        <w:t>.2</w:t>
      </w:r>
      <w:r w:rsidR="00863DF5" w:rsidRPr="006F3B00">
        <w:rPr>
          <w:rFonts w:ascii="Times New Roman" w:hAnsi="Times New Roman" w:cs="Times New Roman"/>
          <w:color w:val="auto"/>
          <w:sz w:val="24"/>
          <w:szCs w:val="24"/>
        </w:rPr>
        <w:t xml:space="preserve"> Types and format of workplace-based assessment in histopathology</w:t>
      </w:r>
      <w:bookmarkEnd w:id="39"/>
    </w:p>
    <w:p w14:paraId="2482AC45" w14:textId="77777777" w:rsidR="00863DF5" w:rsidRPr="006F3B00" w:rsidRDefault="00863DF5" w:rsidP="00863DF5">
      <w:pPr>
        <w:rPr>
          <w:rFonts w:ascii="Times New Roman" w:hAnsi="Times New Roman" w:cs="Times New Roman"/>
          <w:sz w:val="24"/>
          <w:szCs w:val="24"/>
        </w:rPr>
      </w:pPr>
    </w:p>
    <w:p w14:paraId="441792FB" w14:textId="2FC48DDF"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WBAs in histopathology include Direct Observation of Practical Skills (DOPS), Case-based Discussions (CbDs) and Evaluation of Clinical Events (ECEs). In addition, three Multi-Source Feedbacks (MSFs) are required of histopathology trainees over the course of their training. A description of these diff</w:t>
      </w:r>
      <w:r w:rsidR="007D3649">
        <w:rPr>
          <w:rFonts w:ascii="Times New Roman" w:hAnsi="Times New Roman" w:cs="Times New Roman"/>
          <w:sz w:val="24"/>
          <w:szCs w:val="24"/>
        </w:rPr>
        <w:t>erent WBAs is given in Table 1.</w:t>
      </w:r>
      <w:r w:rsidR="002A25F8">
        <w:rPr>
          <w:rFonts w:ascii="Times New Roman" w:hAnsi="Times New Roman" w:cs="Times New Roman"/>
          <w:sz w:val="24"/>
          <w:szCs w:val="24"/>
        </w:rPr>
        <w:t>1</w:t>
      </w:r>
    </w:p>
    <w:p w14:paraId="228367AD" w14:textId="77777777" w:rsidR="006D5A80" w:rsidRPr="006F3B00" w:rsidRDefault="006D5A80" w:rsidP="00863DF5">
      <w:pPr>
        <w:spacing w:line="480" w:lineRule="auto"/>
        <w:rPr>
          <w:rFonts w:ascii="Times New Roman" w:hAnsi="Times New Roman" w:cs="Times New Roman"/>
          <w:sz w:val="24"/>
          <w:szCs w:val="24"/>
        </w:rPr>
      </w:pP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191"/>
      </w:tblGrid>
      <w:tr w:rsidR="00863DF5" w:rsidRPr="006F3B00" w14:paraId="17CC75FA" w14:textId="77777777" w:rsidTr="006121BA">
        <w:tc>
          <w:tcPr>
            <w:tcW w:w="4264" w:type="dxa"/>
            <w:shd w:val="clear" w:color="auto" w:fill="D9D9D9" w:themeFill="background1" w:themeFillShade="D9"/>
          </w:tcPr>
          <w:p w14:paraId="576E7EB3" w14:textId="77777777" w:rsidR="00863DF5" w:rsidRPr="006F3B00" w:rsidRDefault="00863DF5" w:rsidP="00863DF5">
            <w:pPr>
              <w:spacing w:line="360" w:lineRule="auto"/>
              <w:rPr>
                <w:rFonts w:ascii="Times New Roman" w:hAnsi="Times New Roman" w:cs="Times New Roman"/>
                <w:b/>
                <w:sz w:val="24"/>
                <w:szCs w:val="24"/>
              </w:rPr>
            </w:pPr>
            <w:r w:rsidRPr="006F3B00">
              <w:rPr>
                <w:rFonts w:ascii="Times New Roman" w:hAnsi="Times New Roman" w:cs="Times New Roman"/>
                <w:b/>
                <w:sz w:val="24"/>
                <w:szCs w:val="24"/>
              </w:rPr>
              <w:t>Tool</w:t>
            </w:r>
          </w:p>
        </w:tc>
        <w:tc>
          <w:tcPr>
            <w:tcW w:w="4191" w:type="dxa"/>
            <w:shd w:val="clear" w:color="auto" w:fill="ACB9CA" w:themeFill="text2" w:themeFillTint="66"/>
          </w:tcPr>
          <w:p w14:paraId="44FF78DC" w14:textId="77777777" w:rsidR="00863DF5" w:rsidRPr="006F3B00" w:rsidRDefault="00863DF5" w:rsidP="00863DF5">
            <w:pPr>
              <w:spacing w:line="360" w:lineRule="auto"/>
              <w:rPr>
                <w:rFonts w:ascii="Times New Roman" w:hAnsi="Times New Roman" w:cs="Times New Roman"/>
                <w:b/>
                <w:sz w:val="24"/>
                <w:szCs w:val="24"/>
              </w:rPr>
            </w:pPr>
            <w:r w:rsidRPr="006F3B00">
              <w:rPr>
                <w:rFonts w:ascii="Times New Roman" w:hAnsi="Times New Roman" w:cs="Times New Roman"/>
                <w:b/>
                <w:sz w:val="24"/>
                <w:szCs w:val="24"/>
              </w:rPr>
              <w:t>Description</w:t>
            </w:r>
          </w:p>
        </w:tc>
      </w:tr>
      <w:tr w:rsidR="00863DF5" w:rsidRPr="006F3B00" w14:paraId="691BB575" w14:textId="77777777" w:rsidTr="006121BA">
        <w:tc>
          <w:tcPr>
            <w:tcW w:w="4264" w:type="dxa"/>
          </w:tcPr>
          <w:p w14:paraId="19D6BA6F" w14:textId="77777777" w:rsidR="00863DF5" w:rsidRPr="006F3B00" w:rsidRDefault="00863DF5" w:rsidP="00863DF5">
            <w:pPr>
              <w:spacing w:line="360" w:lineRule="auto"/>
              <w:rPr>
                <w:rFonts w:ascii="Times New Roman" w:hAnsi="Times New Roman" w:cs="Times New Roman"/>
                <w:sz w:val="24"/>
                <w:szCs w:val="24"/>
              </w:rPr>
            </w:pPr>
            <w:r w:rsidRPr="006F3B00">
              <w:rPr>
                <w:rFonts w:ascii="Times New Roman" w:hAnsi="Times New Roman" w:cs="Times New Roman"/>
                <w:sz w:val="24"/>
                <w:szCs w:val="24"/>
              </w:rPr>
              <w:t>Direct observation of practical skills (DOPS)</w:t>
            </w:r>
          </w:p>
        </w:tc>
        <w:tc>
          <w:tcPr>
            <w:tcW w:w="4191" w:type="dxa"/>
          </w:tcPr>
          <w:p w14:paraId="5DBAFA28" w14:textId="77777777" w:rsidR="00863DF5" w:rsidRPr="006F3B00" w:rsidRDefault="00863DF5" w:rsidP="00863DF5">
            <w:pPr>
              <w:spacing w:line="360" w:lineRule="auto"/>
              <w:rPr>
                <w:rFonts w:ascii="Times New Roman" w:hAnsi="Times New Roman" w:cs="Times New Roman"/>
                <w:sz w:val="24"/>
                <w:szCs w:val="24"/>
              </w:rPr>
            </w:pPr>
            <w:r w:rsidRPr="006F3B00">
              <w:rPr>
                <w:rFonts w:ascii="Times New Roman" w:hAnsi="Times New Roman" w:cs="Times New Roman"/>
                <w:sz w:val="24"/>
                <w:szCs w:val="24"/>
              </w:rPr>
              <w:t>A trainee is observed performing a practical task in their clinical environment e.g. macroscopic assessment of pathology specimen.</w:t>
            </w:r>
          </w:p>
        </w:tc>
      </w:tr>
      <w:tr w:rsidR="00863DF5" w:rsidRPr="006F3B00" w14:paraId="493D2577" w14:textId="77777777" w:rsidTr="006121BA">
        <w:tc>
          <w:tcPr>
            <w:tcW w:w="4264" w:type="dxa"/>
          </w:tcPr>
          <w:p w14:paraId="670D3D0B" w14:textId="77777777" w:rsidR="00863DF5" w:rsidRPr="006F3B00" w:rsidRDefault="00863DF5" w:rsidP="00863DF5">
            <w:pPr>
              <w:spacing w:line="360" w:lineRule="auto"/>
              <w:rPr>
                <w:rFonts w:ascii="Times New Roman" w:hAnsi="Times New Roman" w:cs="Times New Roman"/>
                <w:sz w:val="24"/>
                <w:szCs w:val="24"/>
              </w:rPr>
            </w:pPr>
            <w:r w:rsidRPr="006F3B00">
              <w:rPr>
                <w:rFonts w:ascii="Times New Roman" w:hAnsi="Times New Roman" w:cs="Times New Roman"/>
                <w:sz w:val="24"/>
                <w:szCs w:val="24"/>
              </w:rPr>
              <w:t>Case-based discussion (CbD)</w:t>
            </w:r>
          </w:p>
        </w:tc>
        <w:tc>
          <w:tcPr>
            <w:tcW w:w="4191" w:type="dxa"/>
          </w:tcPr>
          <w:p w14:paraId="01EBAC49" w14:textId="77777777" w:rsidR="00863DF5" w:rsidRPr="006F3B00" w:rsidRDefault="00863DF5" w:rsidP="00863DF5">
            <w:pPr>
              <w:spacing w:line="360" w:lineRule="auto"/>
              <w:rPr>
                <w:rFonts w:ascii="Times New Roman" w:hAnsi="Times New Roman" w:cs="Times New Roman"/>
                <w:sz w:val="24"/>
                <w:szCs w:val="24"/>
              </w:rPr>
            </w:pPr>
            <w:r w:rsidRPr="006F3B00">
              <w:rPr>
                <w:rFonts w:ascii="Times New Roman" w:hAnsi="Times New Roman" w:cs="Times New Roman"/>
                <w:sz w:val="24"/>
                <w:szCs w:val="24"/>
              </w:rPr>
              <w:t xml:space="preserve">A trainee presents and discusses a case they have worked to assess depth understanding, clinic-pathological correlation and ethical implications e.g. discussion around histopathology and prognostic factors of melanoma </w:t>
            </w:r>
          </w:p>
        </w:tc>
      </w:tr>
      <w:tr w:rsidR="00863DF5" w:rsidRPr="006F3B00" w14:paraId="4CC06AAE" w14:textId="77777777" w:rsidTr="006121BA">
        <w:tc>
          <w:tcPr>
            <w:tcW w:w="4264" w:type="dxa"/>
          </w:tcPr>
          <w:p w14:paraId="49D321DF" w14:textId="77777777" w:rsidR="00863DF5" w:rsidRPr="006F3B00" w:rsidRDefault="00863DF5" w:rsidP="00863DF5">
            <w:pPr>
              <w:spacing w:line="360" w:lineRule="auto"/>
              <w:rPr>
                <w:rFonts w:ascii="Times New Roman" w:hAnsi="Times New Roman" w:cs="Times New Roman"/>
                <w:sz w:val="24"/>
                <w:szCs w:val="24"/>
              </w:rPr>
            </w:pPr>
            <w:r w:rsidRPr="006F3B00">
              <w:rPr>
                <w:rFonts w:ascii="Times New Roman" w:hAnsi="Times New Roman" w:cs="Times New Roman"/>
                <w:sz w:val="24"/>
                <w:szCs w:val="24"/>
              </w:rPr>
              <w:t>Evaluation of Clinical Events (ECEs)</w:t>
            </w:r>
          </w:p>
        </w:tc>
        <w:tc>
          <w:tcPr>
            <w:tcW w:w="4191" w:type="dxa"/>
          </w:tcPr>
          <w:p w14:paraId="43C7381C" w14:textId="77777777" w:rsidR="00863DF5" w:rsidRPr="006F3B00" w:rsidRDefault="00863DF5" w:rsidP="00863DF5">
            <w:pPr>
              <w:spacing w:line="360" w:lineRule="auto"/>
              <w:rPr>
                <w:rFonts w:ascii="Times New Roman" w:hAnsi="Times New Roman" w:cs="Times New Roman"/>
                <w:sz w:val="24"/>
                <w:szCs w:val="24"/>
              </w:rPr>
            </w:pPr>
            <w:r w:rsidRPr="006F3B00">
              <w:rPr>
                <w:rFonts w:ascii="Times New Roman" w:hAnsi="Times New Roman" w:cs="Times New Roman"/>
                <w:sz w:val="24"/>
                <w:szCs w:val="24"/>
              </w:rPr>
              <w:t>A trainee is assessed on their performance dealing with a complex task or event, often including aspects of teamwork and communication e.g. presentation of a case at a multidisciplinary team meeting.</w:t>
            </w:r>
          </w:p>
        </w:tc>
      </w:tr>
      <w:tr w:rsidR="00863DF5" w:rsidRPr="006F3B00" w14:paraId="5C1269B4" w14:textId="77777777" w:rsidTr="006121BA">
        <w:tc>
          <w:tcPr>
            <w:tcW w:w="4264" w:type="dxa"/>
          </w:tcPr>
          <w:p w14:paraId="0CC96D41" w14:textId="77777777" w:rsidR="00863DF5" w:rsidRPr="006F3B00" w:rsidRDefault="00863DF5" w:rsidP="00863DF5">
            <w:pPr>
              <w:spacing w:line="360" w:lineRule="auto"/>
              <w:rPr>
                <w:rFonts w:ascii="Times New Roman" w:hAnsi="Times New Roman" w:cs="Times New Roman"/>
                <w:sz w:val="24"/>
                <w:szCs w:val="24"/>
              </w:rPr>
            </w:pPr>
            <w:r w:rsidRPr="006F3B00">
              <w:rPr>
                <w:rFonts w:ascii="Times New Roman" w:hAnsi="Times New Roman" w:cs="Times New Roman"/>
                <w:sz w:val="24"/>
                <w:szCs w:val="24"/>
              </w:rPr>
              <w:t>360</w:t>
            </w:r>
            <w:r w:rsidRPr="006F3B00">
              <w:rPr>
                <w:rFonts w:ascii="Times New Roman" w:hAnsi="Times New Roman" w:cs="Times New Roman"/>
                <w:sz w:val="24"/>
                <w:szCs w:val="24"/>
                <w:vertAlign w:val="superscript"/>
              </w:rPr>
              <w:t>o</w:t>
            </w:r>
            <w:r w:rsidRPr="006F3B00">
              <w:rPr>
                <w:rFonts w:ascii="Times New Roman" w:hAnsi="Times New Roman" w:cs="Times New Roman"/>
                <w:sz w:val="24"/>
                <w:szCs w:val="24"/>
              </w:rPr>
              <w:t xml:space="preserve"> multi-source feedback (MSF)</w:t>
            </w:r>
          </w:p>
        </w:tc>
        <w:tc>
          <w:tcPr>
            <w:tcW w:w="4191" w:type="dxa"/>
          </w:tcPr>
          <w:p w14:paraId="26711A80" w14:textId="77777777" w:rsidR="00863DF5" w:rsidRPr="006F3B00" w:rsidRDefault="00863DF5" w:rsidP="00863DF5">
            <w:pPr>
              <w:spacing w:line="360" w:lineRule="auto"/>
              <w:rPr>
                <w:rFonts w:ascii="Times New Roman" w:hAnsi="Times New Roman" w:cs="Times New Roman"/>
                <w:sz w:val="24"/>
                <w:szCs w:val="24"/>
              </w:rPr>
            </w:pPr>
            <w:r w:rsidRPr="006F3B00">
              <w:rPr>
                <w:rFonts w:ascii="Times New Roman" w:hAnsi="Times New Roman" w:cs="Times New Roman"/>
                <w:sz w:val="24"/>
                <w:szCs w:val="24"/>
              </w:rPr>
              <w:t>A trainee selects several co-workers who are tasked with offering a judgement on the trainee’s performance.</w:t>
            </w:r>
          </w:p>
        </w:tc>
      </w:tr>
    </w:tbl>
    <w:p w14:paraId="1D820275" w14:textId="557C6D1D" w:rsidR="00863DF5" w:rsidRPr="002349DF" w:rsidRDefault="00863DF5" w:rsidP="00863DF5">
      <w:pPr>
        <w:rPr>
          <w:rFonts w:ascii="Times New Roman" w:hAnsi="Times New Roman" w:cs="Times New Roman"/>
          <w:b/>
          <w:sz w:val="24"/>
          <w:szCs w:val="24"/>
        </w:rPr>
      </w:pPr>
      <w:r w:rsidRPr="002349DF">
        <w:rPr>
          <w:rFonts w:ascii="Times New Roman" w:hAnsi="Times New Roman" w:cs="Times New Roman"/>
          <w:b/>
          <w:sz w:val="24"/>
          <w:szCs w:val="24"/>
        </w:rPr>
        <w:t>Table 1</w:t>
      </w:r>
      <w:r w:rsidR="002A25F8" w:rsidRPr="002349DF">
        <w:rPr>
          <w:rFonts w:ascii="Times New Roman" w:hAnsi="Times New Roman" w:cs="Times New Roman"/>
          <w:b/>
          <w:sz w:val="24"/>
          <w:szCs w:val="24"/>
        </w:rPr>
        <w:t>.1</w:t>
      </w:r>
      <w:r w:rsidR="002349DF">
        <w:rPr>
          <w:rFonts w:ascii="Times New Roman" w:hAnsi="Times New Roman" w:cs="Times New Roman"/>
          <w:b/>
          <w:sz w:val="24"/>
          <w:szCs w:val="24"/>
        </w:rPr>
        <w:t>.</w:t>
      </w:r>
      <w:r w:rsidRPr="002349DF">
        <w:rPr>
          <w:rFonts w:ascii="Times New Roman" w:hAnsi="Times New Roman" w:cs="Times New Roman"/>
          <w:b/>
          <w:sz w:val="24"/>
          <w:szCs w:val="24"/>
        </w:rPr>
        <w:t xml:space="preserve"> The different types of WBA used in histopathology training</w:t>
      </w:r>
    </w:p>
    <w:p w14:paraId="1FA50A4A" w14:textId="77777777" w:rsidR="00863DF5" w:rsidRPr="006F3B00" w:rsidRDefault="00863DF5" w:rsidP="00863DF5">
      <w:pPr>
        <w:spacing w:line="480" w:lineRule="auto"/>
        <w:rPr>
          <w:rFonts w:ascii="Times New Roman" w:hAnsi="Times New Roman" w:cs="Times New Roman"/>
          <w:sz w:val="24"/>
          <w:szCs w:val="24"/>
        </w:rPr>
      </w:pPr>
    </w:p>
    <w:p w14:paraId="19886CD0"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For DOPS, CbDs and ECEs, trainees are graded on a scale of 1-6 against numerous parameters. A score of 1 or 2 indicates the trainee is “below expectations”, 3 “borderline”, 4 “meets expectations” and a score of 5 or 6 indicates a trainee is “above expectations” for the stage of training.  The assessor should then discuss the outcome with the trainee and give feedback on the event. The result of an MSF is fed back to the trainee, usually as a form of mean score for a particular characteristic and an overall group mean score (the mean score for all trainees in the sample group for that circulation of the MSF). </w:t>
      </w:r>
    </w:p>
    <w:p w14:paraId="21C31652" w14:textId="185A81F8"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WBAs are meant to document trainee progress by </w:t>
      </w:r>
      <w:r w:rsidRPr="00E92A51">
        <w:rPr>
          <w:rFonts w:ascii="Times New Roman" w:hAnsi="Times New Roman" w:cs="Times New Roman"/>
          <w:sz w:val="24"/>
          <w:szCs w:val="24"/>
        </w:rPr>
        <w:t xml:space="preserve">assessing a range of personal and professional qualities and suggest areas for improvement </w:t>
      </w:r>
      <w:r w:rsidRPr="00E92A51">
        <w:rPr>
          <w:rFonts w:ascii="Times New Roman" w:hAnsi="Times New Roman" w:cs="Times New Roman"/>
          <w:sz w:val="24"/>
          <w:szCs w:val="24"/>
        </w:rPr>
        <w:fldChar w:fldCharType="begin" w:fldLock="1"/>
      </w:r>
      <w:r w:rsidR="00BE3B6C" w:rsidRPr="00E92A51">
        <w:rPr>
          <w:rFonts w:ascii="Times New Roman" w:hAnsi="Times New Roman" w:cs="Times New Roman"/>
          <w:sz w:val="24"/>
          <w:szCs w:val="24"/>
        </w:rPr>
        <w:instrText>ADDIN CSL_CITATION {"citationItems":[{"id":"ITEM-1","itemData":{"DOI":"10.1111/j.1365-2923.2008.03010.x","ISBN":"1365-2923","ISSN":"1365-2923","PMID":"18338989","abstract":"OBJECTIVES: To evaluate the reliability and feasibility of assessing the performance of medical specialist registrars (SpRs) using three methods: the mini-clinical evaluation exercise (mini-CEX), directly observed procedural skills (DOPS) and multi-source feedback (MSF) to help inform annual decisions about the outcome of SpR training.\\n\\nMETHODS: We conducted a feasibility study and generalisability analysis based on the application of these assessment methods and the resulting data. A total of 230 SpRs (from 17 specialties) in 58 UK hospitals took part from 2003 to 2004. Main outcome measures included: time taken for each assessment, and variance component analysis of mean scores and derivation of 95% confidence intervals for individual doctors' scores based on the standard error of measurement. Responses to direct questions on questionnaires were analysed, as were the themes emerging from open-comment responses.\\n\\nRESULTS: The methods can provide reliable scores with appropriate sampling. In our sample, all trainees who completed the number of assessments recommended by the Royal Colleges of Physicians had scores that were 95% certain to be better than unsatisfactory. The mean time taken to complete the mini-CEX (including feedback) was 25 minutes. The DOPS required the duration of the procedure being assessed plus an additional third of this time for feedback. The mean time required for each rater to complete his or her MSF form was 6 minutes.\\n\\nCONCLUSIONS: This is the first attempt to evaluate the use of comprehensive workplace assessment across the medical specialties in the UK. The methods are feasible to conduct and can make reliable distinctions between doctors' performances. With adaptation, they may be appropriate for assessing the workplace performance of other grades and specialties of doctor. This may be helpful in informing foundation assessment.","author":[{"dropping-particle":"","family":"Wilkinson","given":"James R","non-dropping-particle":"","parse-names":false,"suffix":""},{"dropping-particle":"","family":"Crossley","given":"James G M","non-dropping-particle":"","parse-names":false,"suffix":""},{"dropping-particle":"","family":"Wragg","given":"Andrew","non-dropping-particle":"","parse-names":false,"suffix":""},{"dropping-particle":"","family":"Mills","given":"Peter","non-dropping-particle":"","parse-names":false,"suffix":""},{"dropping-particle":"","family":"Cowan","given":"George","non-dropping-particle":"","parse-names":false,"suffix":""},{"dropping-particle":"","family":"Wade","given":"Winnie","non-dropping-particle":"","parse-names":false,"suffix":""}],"container-title":"Medical education","id":"ITEM-1","issue":"4","issued":{"date-parts":[["2008"]]},"page":"364-73","title":"Implementing workplace-based assessment across the medical specialties in the United Kingdom.","type":"article-journal","volume":"42"},"uris":["http://www.mendeley.com/documents/?uuid=75e220b7-eb09-4dac-82c0-ba62d397d97b"]}],"mendeley":{"formattedCitation":"(Wilkinson &lt;i&gt;et al.&lt;/i&gt;, 2008)","plainTextFormattedCitation":"(Wilkinson et al., 2008)","previouslyFormattedCitation":"(Wilkinson et al. 2008)"},"properties":{"noteIndex":0},"schema":"https://github.com/citation-style-language/schema/raw/master/csl-citation.json"}</w:instrText>
      </w:r>
      <w:r w:rsidRPr="00E92A51">
        <w:rPr>
          <w:rFonts w:ascii="Times New Roman" w:hAnsi="Times New Roman" w:cs="Times New Roman"/>
          <w:sz w:val="24"/>
          <w:szCs w:val="24"/>
        </w:rPr>
        <w:fldChar w:fldCharType="separate"/>
      </w:r>
      <w:r w:rsidR="00BE3B6C" w:rsidRPr="00E92A51">
        <w:rPr>
          <w:rFonts w:ascii="Times New Roman" w:hAnsi="Times New Roman" w:cs="Times New Roman"/>
          <w:noProof/>
          <w:sz w:val="24"/>
          <w:szCs w:val="24"/>
        </w:rPr>
        <w:t>(Wilkinson et al. 2008)</w:t>
      </w:r>
      <w:r w:rsidRPr="00E92A51">
        <w:rPr>
          <w:rFonts w:ascii="Times New Roman" w:hAnsi="Times New Roman" w:cs="Times New Roman"/>
          <w:sz w:val="24"/>
          <w:szCs w:val="24"/>
        </w:rPr>
        <w:fldChar w:fldCharType="end"/>
      </w:r>
      <w:r w:rsidRPr="006F3B00">
        <w:rPr>
          <w:rFonts w:ascii="Times New Roman" w:hAnsi="Times New Roman" w:cs="Times New Roman"/>
          <w:sz w:val="24"/>
          <w:szCs w:val="24"/>
        </w:rPr>
        <w:t xml:space="preserve">. Each WBA should map to the domains of the curriculum, as approved by the relevant regulatory body, which appears to be the case in histopathology. WBAs are completed by the overseeing consultant histopathologist or an integral member of the pathology team, including laboratory technicians and biomedical scientists. The majority of cases to be assessed are selected prospectively by the trainee but some are chosen by the assessor with input from the educational supervisor. </w:t>
      </w:r>
    </w:p>
    <w:p w14:paraId="543C0874" w14:textId="77777777"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WBAs may be completed in paper format and stored in a personal development portfolio in readiness for the ARCP. In many specialties, however, WBAs can be completed online, accessed by the trainee and sent to the assessor to complete. In general histopathology, the Learning Environment for Pathology Trainees (LEPT) and the RCPath electronic training portfolio serve this purpose. For the majority of medical and dental specialties, the online environment for utilizing WBAs is called the Intercollegiate Surgical Curriculum Programme (ISCP). This website houses the curricula for these </w:t>
      </w:r>
      <w:r w:rsidRPr="006F3B00">
        <w:rPr>
          <w:rFonts w:ascii="Times New Roman" w:hAnsi="Times New Roman" w:cs="Times New Roman"/>
          <w:sz w:val="24"/>
          <w:szCs w:val="24"/>
        </w:rPr>
        <w:lastRenderedPageBreak/>
        <w:t>specialties and a secure area which contains trainees’ web-based portfolios, WBAs and guidance on completing WBAs.</w:t>
      </w:r>
    </w:p>
    <w:p w14:paraId="1E1D1A9E" w14:textId="51BDBEC1" w:rsidR="00863DF5" w:rsidRPr="006F3B00" w:rsidRDefault="007A0757" w:rsidP="00863DF5">
      <w:pPr>
        <w:pStyle w:val="Heading2"/>
        <w:rPr>
          <w:rFonts w:ascii="Times New Roman" w:hAnsi="Times New Roman" w:cs="Times New Roman"/>
          <w:color w:val="auto"/>
          <w:sz w:val="24"/>
          <w:szCs w:val="24"/>
        </w:rPr>
      </w:pPr>
      <w:bookmarkStart w:id="40" w:name="_Toc23243769"/>
      <w:r>
        <w:rPr>
          <w:rFonts w:ascii="Times New Roman" w:hAnsi="Times New Roman" w:cs="Times New Roman"/>
          <w:color w:val="auto"/>
          <w:sz w:val="24"/>
          <w:szCs w:val="24"/>
        </w:rPr>
        <w:t>1.3</w:t>
      </w:r>
      <w:r w:rsidR="009114C0">
        <w:rPr>
          <w:rFonts w:ascii="Times New Roman" w:hAnsi="Times New Roman" w:cs="Times New Roman"/>
          <w:color w:val="auto"/>
          <w:sz w:val="24"/>
          <w:szCs w:val="24"/>
        </w:rPr>
        <w:t>.3</w:t>
      </w:r>
      <w:r w:rsidR="00863DF5" w:rsidRPr="006F3B00">
        <w:rPr>
          <w:rFonts w:ascii="Times New Roman" w:hAnsi="Times New Roman" w:cs="Times New Roman"/>
          <w:color w:val="auto"/>
          <w:sz w:val="24"/>
          <w:szCs w:val="24"/>
        </w:rPr>
        <w:t xml:space="preserve"> Regulation of workplace-based assessments</w:t>
      </w:r>
      <w:bookmarkEnd w:id="40"/>
    </w:p>
    <w:p w14:paraId="5D92D605" w14:textId="77777777" w:rsidR="00863DF5" w:rsidRPr="006F3B00" w:rsidRDefault="00863DF5" w:rsidP="00863DF5">
      <w:pPr>
        <w:rPr>
          <w:rFonts w:ascii="Times New Roman" w:hAnsi="Times New Roman" w:cs="Times New Roman"/>
          <w:sz w:val="24"/>
          <w:szCs w:val="24"/>
        </w:rPr>
      </w:pPr>
    </w:p>
    <w:p w14:paraId="6529679D" w14:textId="256468F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On its website, the RCPath stipulate the required standards of WBAs, their uses and definitions within pathology</w:t>
      </w:r>
      <w:r w:rsidR="00E92A51">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{"citationItems":[{"id":"ITEM-1","itemData":{"URL":"https://www.rcpath.org/uploads/assets/uploaded/f8695439-ce47-4046-b13c1f6202fd8468.pdf","accessed":{"date-parts":[["2011","8","20"]]},"author":[{"dropping-particle":"","family":"Pathologists","given":"The Royal College of","non-dropping-particle":"","parse-names":false,"suffix":""}],"id":"ITEM-1","issued":{"date-parts":[["2015"]]},"title":"CURRICULUM FOR SPECIALTY TRAINING IN HISTOPATHOLOGY","type":"webpage"},"uris":["http://www.mendeley.com/documents/?uuid=a01fada6-0b1d-4988-844f-820c81a74765"]},{"id":"ITEM-2","itemData":{"URL":"https://www.rcpath.org/trainees/assessment/workplace-based-assessment-wpba.html","accessed":{"date-parts":[["2018","7","1"]]},"author":[{"dropping-particle":"","family":"Royal College of Pathologists","given":"","non-dropping-particle":"","parse-names":false,"suffix":""}],"id":"ITEM-2","issued":{"date-parts":[["2018"]]},"title":"Workplace-based Assessment","type":"webpage"},"uris":["http://www.mendeley.com/documents/?uuid=af5ae858-3c48-455b-aab2-9b2756494cfa"]}],"mendeley":{"formattedCitation":"(Pathologists, 2015; Royal College of Pathologists, 2018)","plainTextFormattedCitation":"(Pathologists, 2015; Royal College of Pathologists, 2018)","previouslyFormattedCitation":"(Pathologists 2015; Royal College of Pathologists 2018)"},"properties":{"noteIndex":0},"schema":"https://github.com/citation-style-language/schema/raw/master/csl-citation.json"}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E92A51">
        <w:rPr>
          <w:rFonts w:ascii="Times New Roman" w:hAnsi="Times New Roman" w:cs="Times New Roman"/>
          <w:noProof/>
          <w:sz w:val="24"/>
          <w:szCs w:val="24"/>
        </w:rPr>
        <w:t>The Royal College of Pathologists</w:t>
      </w:r>
      <w:r w:rsidR="00BE3B6C" w:rsidRPr="00BE3B6C">
        <w:rPr>
          <w:rFonts w:ascii="Times New Roman" w:hAnsi="Times New Roman" w:cs="Times New Roman"/>
          <w:noProof/>
          <w:sz w:val="24"/>
          <w:szCs w:val="24"/>
        </w:rPr>
        <w:t xml:space="preserve"> 2015; </w:t>
      </w:r>
      <w:r w:rsidR="00E92A51">
        <w:rPr>
          <w:rFonts w:ascii="Times New Roman" w:hAnsi="Times New Roman" w:cs="Times New Roman"/>
          <w:noProof/>
          <w:sz w:val="24"/>
          <w:szCs w:val="24"/>
        </w:rPr>
        <w:t>The Royal College of Pathologists</w:t>
      </w:r>
      <w:r w:rsidR="00BE3B6C" w:rsidRPr="00BE3B6C">
        <w:rPr>
          <w:rFonts w:ascii="Times New Roman" w:hAnsi="Times New Roman" w:cs="Times New Roman"/>
          <w:noProof/>
          <w:sz w:val="24"/>
          <w:szCs w:val="24"/>
        </w:rPr>
        <w:t xml:space="preserve"> 2018)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0078DE29" w14:textId="0DAAF53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WBAs have been mandatory for all </w:t>
      </w:r>
      <w:r w:rsidR="006B6DBE">
        <w:rPr>
          <w:rFonts w:ascii="Times New Roman" w:hAnsi="Times New Roman" w:cs="Times New Roman"/>
          <w:sz w:val="24"/>
          <w:szCs w:val="24"/>
        </w:rPr>
        <w:t>trainees in the UK</w:t>
      </w:r>
      <w:r w:rsidRPr="006F3B00">
        <w:rPr>
          <w:rFonts w:ascii="Times New Roman" w:hAnsi="Times New Roman" w:cs="Times New Roman"/>
          <w:sz w:val="24"/>
          <w:szCs w:val="24"/>
        </w:rPr>
        <w:t xml:space="preserve"> appointed since August 2007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{"citationItems":[{"id":"ITEM-1","itemData":{"author":[{"dropping-particle":"","family":"Department of Health","given":"","non-dropping-particle":"","parse-names":false,"suffix":""}],"id":"ITEM-1","issued":{"date-parts":[["2007"]]},"publisher-place":"London; Modernising Medical Careers","title":"A Guide to Postgraduate Specialty Training in the UK: The Gold Guide.","type":"report"},"uris":["http://www.mendeley.com/documents/?uuid=e114661a-ac9a-4234-a2fb-9ff3dd916d9f"]}],"mendeley":{"formattedCitation":"(Department of Health, 2007)","plainTextFormattedCitation":"(Department of Health, 2007)","previouslyFormattedCitation":"(Department of Health 2007)"},"properties":{"noteIndex":0},"schema":"https://github.com/citation-style-language/schema/raw/master/csl-citation.json"}</w:instrText>
      </w:r>
      <w:r w:rsidRPr="006F3B00">
        <w:rPr>
          <w:rFonts w:ascii="Times New Roman" w:hAnsi="Times New Roman" w:cs="Times New Roman"/>
          <w:sz w:val="24"/>
          <w:szCs w:val="24"/>
        </w:rPr>
        <w:fldChar w:fldCharType="separate"/>
      </w:r>
      <w:r w:rsidR="00E92A51">
        <w:rPr>
          <w:rFonts w:ascii="Times New Roman" w:hAnsi="Times New Roman" w:cs="Times New Roman"/>
          <w:noProof/>
          <w:sz w:val="24"/>
          <w:szCs w:val="24"/>
        </w:rPr>
        <w:t>(Department of Health</w:t>
      </w:r>
      <w:r w:rsidR="00BE3B6C" w:rsidRPr="00BE3B6C">
        <w:rPr>
          <w:rFonts w:ascii="Times New Roman" w:hAnsi="Times New Roman" w:cs="Times New Roman"/>
          <w:noProof/>
          <w:sz w:val="24"/>
          <w:szCs w:val="24"/>
        </w:rPr>
        <w:t xml:space="preserve"> 2007)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 The Postgraduate Medical Education and Training Board (PMETB) was originally responsible for setting the standards of post-graduate medical education and training which were developed in conjunction with the Academy of Medical Royal Colleges (AoMRC) in 2009. In 2010 PMETB merged with the </w:t>
      </w:r>
      <w:r w:rsidR="006B6DBE">
        <w:rPr>
          <w:rFonts w:ascii="Times New Roman" w:hAnsi="Times New Roman" w:cs="Times New Roman"/>
          <w:sz w:val="24"/>
          <w:szCs w:val="24"/>
        </w:rPr>
        <w:t xml:space="preserve">GMC </w:t>
      </w:r>
      <w:r w:rsidRPr="006F3B00">
        <w:rPr>
          <w:rFonts w:ascii="Times New Roman" w:hAnsi="Times New Roman" w:cs="Times New Roman"/>
          <w:sz w:val="24"/>
          <w:szCs w:val="24"/>
        </w:rPr>
        <w:t>and the standards were updated and are still in use today</w:t>
      </w:r>
      <w:r w:rsidR="00E92A51">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{"citationItems":[{"id":"ITEM-1","itemData":{"author":[{"dropping-particle":"","family":"General Medical Council","given":"","non-dropping-particle":"","parse-names":false,"suffix":""}],"id":"ITEM-1","issued":{"date-parts":[["2010"]]},"publisher-place":"London","title":"Workplace-Based Assessment: A guideline for implementation","type":"report"},"uris":["http://www.mendeley.com/documents/?uuid=597373c7-fd88-4094-8582-336e68804fea"]}],"mendeley":{"formattedCitation":"(General Medical Council, 2010)","plainTextFormattedCitation":"(General Medical Council, 2010)","previouslyFormattedCitation":"(General Medical Council 2010)"},"properties":{"noteIndex":0},"schema":"https://github.com/citation-style-language/schema/raw/master/csl-citation.json"}</w:instrText>
      </w:r>
      <w:r w:rsidRPr="006F3B00">
        <w:rPr>
          <w:rFonts w:ascii="Times New Roman" w:hAnsi="Times New Roman" w:cs="Times New Roman"/>
          <w:sz w:val="24"/>
          <w:szCs w:val="24"/>
        </w:rPr>
        <w:fldChar w:fldCharType="separate"/>
      </w:r>
      <w:r w:rsidR="00E92A51">
        <w:rPr>
          <w:rFonts w:ascii="Times New Roman" w:hAnsi="Times New Roman" w:cs="Times New Roman"/>
          <w:noProof/>
          <w:sz w:val="24"/>
          <w:szCs w:val="24"/>
        </w:rPr>
        <w:t>(General Medical Council</w:t>
      </w:r>
      <w:r w:rsidR="00BE3B6C" w:rsidRPr="00BE3B6C">
        <w:rPr>
          <w:rFonts w:ascii="Times New Roman" w:hAnsi="Times New Roman" w:cs="Times New Roman"/>
          <w:noProof/>
          <w:sz w:val="24"/>
          <w:szCs w:val="24"/>
        </w:rPr>
        <w:t xml:space="preserve"> 2010)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37EF827E" w14:textId="19019B39" w:rsidR="00863DF5" w:rsidRPr="006F3B00" w:rsidRDefault="00863DF5" w:rsidP="00863DF5">
      <w:pPr>
        <w:spacing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The RCP</w:t>
      </w:r>
      <w:r w:rsidR="006B6DBE">
        <w:rPr>
          <w:rFonts w:ascii="Times New Roman" w:eastAsia="Times New Roman" w:hAnsi="Times New Roman" w:cs="Times New Roman"/>
          <w:sz w:val="24"/>
          <w:szCs w:val="24"/>
          <w:lang w:eastAsia="en-GB"/>
        </w:rPr>
        <w:t>ath</w:t>
      </w:r>
      <w:r w:rsidRPr="006F3B00">
        <w:rPr>
          <w:rFonts w:ascii="Times New Roman" w:eastAsia="Times New Roman" w:hAnsi="Times New Roman" w:cs="Times New Roman"/>
          <w:sz w:val="24"/>
          <w:szCs w:val="24"/>
          <w:lang w:eastAsia="en-GB"/>
        </w:rPr>
        <w:t xml:space="preserve"> is responsible for organising the FRCPath Part 1 and Part 2 examinations-the two main summative assessments which every trainee has to pass to reach consultant level. However, a trainee must also complete a UK training programme with satisfactory ARCP outcomes, be awarded a </w:t>
      </w:r>
      <w:r w:rsidR="00F043C1">
        <w:rPr>
          <w:rFonts w:ascii="Times New Roman" w:eastAsia="Times New Roman" w:hAnsi="Times New Roman" w:cs="Times New Roman"/>
          <w:sz w:val="24"/>
          <w:szCs w:val="24"/>
          <w:lang w:eastAsia="en-GB"/>
        </w:rPr>
        <w:t>CCST</w:t>
      </w:r>
      <w:r w:rsidRPr="006F3B00">
        <w:rPr>
          <w:rFonts w:ascii="Times New Roman" w:eastAsia="Times New Roman" w:hAnsi="Times New Roman" w:cs="Times New Roman"/>
          <w:sz w:val="24"/>
          <w:szCs w:val="24"/>
          <w:lang w:eastAsia="en-GB"/>
        </w:rPr>
        <w:t xml:space="preserve"> and be entered on to the GMC/GDC Specialist Register. Alongside passing these exams, a trainee must be able to have documentary evidence to show they have done the minimum number of WBAs to the required standard each year. The Part 1 examination is a knowledge-based test either written or multiple choice format, depending on whether the candidate is a general or OMFP trainee. The Part 2 exam is a test of practical and diagnostic skills, examining the candidate’s ability to apply theoretical knowledge in a clinical context. Year 1 trainees in general pathology also sit the </w:t>
      </w:r>
      <w:r w:rsidR="00F043C1">
        <w:rPr>
          <w:rFonts w:ascii="Times New Roman" w:eastAsia="Times New Roman" w:hAnsi="Times New Roman" w:cs="Times New Roman"/>
          <w:sz w:val="24"/>
          <w:szCs w:val="24"/>
          <w:lang w:eastAsia="en-GB"/>
        </w:rPr>
        <w:t>OSPE</w:t>
      </w:r>
      <w:r w:rsidRPr="006F3B00">
        <w:rPr>
          <w:rFonts w:ascii="Times New Roman" w:eastAsia="Times New Roman" w:hAnsi="Times New Roman" w:cs="Times New Roman"/>
          <w:sz w:val="24"/>
          <w:szCs w:val="24"/>
          <w:lang w:eastAsia="en-GB"/>
        </w:rPr>
        <w:t xml:space="preserve">, which determines at an early stage if the trainee has sufficient aptitude for the specialty. The OSPE must be passed to progress with training. </w:t>
      </w:r>
    </w:p>
    <w:p w14:paraId="7A6DED12" w14:textId="45F85D2C" w:rsidR="00863DF5" w:rsidRPr="006F3B00" w:rsidRDefault="007A0757" w:rsidP="00863DF5">
      <w:pPr>
        <w:pStyle w:val="Heading2"/>
        <w:rPr>
          <w:rFonts w:ascii="Times New Roman" w:hAnsi="Times New Roman" w:cs="Times New Roman"/>
          <w:color w:val="auto"/>
          <w:sz w:val="24"/>
          <w:szCs w:val="24"/>
          <w:lang w:eastAsia="en-GB"/>
        </w:rPr>
      </w:pPr>
      <w:bookmarkStart w:id="41" w:name="_Toc23243770"/>
      <w:r>
        <w:rPr>
          <w:rFonts w:ascii="Times New Roman" w:hAnsi="Times New Roman" w:cs="Times New Roman"/>
          <w:color w:val="auto"/>
          <w:sz w:val="24"/>
          <w:szCs w:val="24"/>
          <w:lang w:eastAsia="en-GB"/>
        </w:rPr>
        <w:lastRenderedPageBreak/>
        <w:t>1.3</w:t>
      </w:r>
      <w:r w:rsidR="009114C0">
        <w:rPr>
          <w:rFonts w:ascii="Times New Roman" w:hAnsi="Times New Roman" w:cs="Times New Roman"/>
          <w:color w:val="auto"/>
          <w:sz w:val="24"/>
          <w:szCs w:val="24"/>
          <w:lang w:eastAsia="en-GB"/>
        </w:rPr>
        <w:t>.4</w:t>
      </w:r>
      <w:r w:rsidR="00863DF5" w:rsidRPr="006F3B00">
        <w:rPr>
          <w:rFonts w:ascii="Times New Roman" w:hAnsi="Times New Roman" w:cs="Times New Roman"/>
          <w:color w:val="auto"/>
          <w:sz w:val="24"/>
          <w:szCs w:val="24"/>
          <w:lang w:eastAsia="en-GB"/>
        </w:rPr>
        <w:t xml:space="preserve"> The need for workplace-based assessment in healthcare training</w:t>
      </w:r>
      <w:bookmarkEnd w:id="41"/>
    </w:p>
    <w:p w14:paraId="662CB3EA" w14:textId="77777777" w:rsidR="00863DF5" w:rsidRPr="006F3B00" w:rsidRDefault="00863DF5" w:rsidP="00863DF5">
      <w:pPr>
        <w:rPr>
          <w:rFonts w:ascii="Times New Roman" w:hAnsi="Times New Roman" w:cs="Times New Roman"/>
          <w:sz w:val="24"/>
          <w:szCs w:val="24"/>
          <w:lang w:eastAsia="en-GB"/>
        </w:rPr>
      </w:pPr>
    </w:p>
    <w:p w14:paraId="5BFEF2E5" w14:textId="0F851A07" w:rsidR="00863DF5" w:rsidRPr="006F3B00" w:rsidRDefault="00863DF5" w:rsidP="00863DF5">
      <w:pPr>
        <w:spacing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 xml:space="preserve">While summative assessments focus more on trainee aptitude and ability to become a sound clinician, there is also expectation that trainees are </w:t>
      </w:r>
      <w:r w:rsidRPr="006F3B00">
        <w:rPr>
          <w:rFonts w:ascii="Times New Roman" w:hAnsi="Times New Roman" w:cs="Times New Roman"/>
          <w:sz w:val="24"/>
          <w:szCs w:val="24"/>
        </w:rPr>
        <w:t>responsible, ethical and patient-</w:t>
      </w:r>
      <w:r w:rsidR="00FC5222" w:rsidRPr="006F3B00">
        <w:rPr>
          <w:rFonts w:ascii="Times New Roman" w:hAnsi="Times New Roman" w:cs="Times New Roman"/>
          <w:sz w:val="24"/>
          <w:szCs w:val="24"/>
        </w:rPr>
        <w:t>focused</w:t>
      </w:r>
      <w:r w:rsidRPr="006F3B00">
        <w:rPr>
          <w:rFonts w:ascii="Times New Roman" w:hAnsi="Times New Roman" w:cs="Times New Roman"/>
          <w:sz w:val="24"/>
          <w:szCs w:val="24"/>
        </w:rPr>
        <w:t xml:space="preserve"> individuals with excellent communication and interpersonal skills</w:t>
      </w:r>
      <w:r w:rsidR="00E92A51">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{"citationItems":[{"id":"ITEM-1","itemData":{"DOI":"http://www.gmc-uk.or","ISBN":"9780901458360","abstract":"The GMC sets the knowledge, skills and behaviours that medical students learn at UK medical schools: these are the outcomes that new UK graduates must be able to demonstrate. The GMC also sets standards for teaching, learning and assessment. These outcomes and standards are laid down in Tomorrow's Doctors (2009) (pdf)","author":[{"dropping-particle":"","family":"General Medical Council","given":"","non-dropping-particle":"","parse-names":false,"suffix":""}],"container-title":"2009","id":"ITEM-1","issued":{"date-parts":[["2009"]]},"number-of-pages":"1-108","title":"Tomorrow ’ s Doctors - Outcomes and standards for undergraduate medical education","type":"book"},"uris":["http://www.mendeley.com/documents/?uuid=dde188e9-6acd-4698-8c9f-19b6e39994f1"]}],"mendeley":{"formattedCitation":"(General Medical Council, 2009)","plainTextFormattedCitation":"(General Medical Council, 2009)","previouslyFormattedCitation":"(General Medical Council 2009)"},"properties":{"noteIndex":0},"schema":"https://github.com/citation-style-language/schema/raw/master/csl-citation.json"}</w:instrText>
      </w:r>
      <w:r w:rsidRPr="006F3B00">
        <w:rPr>
          <w:rFonts w:ascii="Times New Roman" w:hAnsi="Times New Roman" w:cs="Times New Roman"/>
          <w:sz w:val="24"/>
          <w:szCs w:val="24"/>
        </w:rPr>
        <w:fldChar w:fldCharType="separate"/>
      </w:r>
      <w:r w:rsidR="00E92A51">
        <w:rPr>
          <w:rFonts w:ascii="Times New Roman" w:hAnsi="Times New Roman" w:cs="Times New Roman"/>
          <w:noProof/>
          <w:sz w:val="24"/>
          <w:szCs w:val="24"/>
        </w:rPr>
        <w:t>(General Medical Council</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5EB921B1" w14:textId="0B282F7A" w:rsidR="00863DF5" w:rsidRPr="008E686A"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has stemmed from a number of high-profile cases of malpractice in the medical profession which have resulted in more pressure on medical and dental schools and the Royal Colleges to produce graduates and specialists who are well-rounded individuals</w:t>
      </w:r>
      <w:r w:rsidR="00E92A51">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{"citationItems":[{"id":"ITEM-1","itemData":{"DOI":"10.1080/02688690220148815","ISBN":"0268869022","ISSN":"0268-8697","PMID":"12201391","abstract":"The circumstances of Bristol, and the NHS, at the time, led to the system for providing paediatric cardiac surgery (PCS) being flawed. All of these flaws, taken together, led to around one-third of all the children who underwent open-heart surgery receiving less than adequate care. More children died than might have been expected in a typical PCS unit. In the period from 1991 to 1995 between 30 and 35 more children under 1 died after open-heart surgery in the Bristol Unit than might be expected had the Unit been typical of other PCS units in England at the time.","author":[{"dropping-particle":"","family":"Teasdale","given":"G M","non-dropping-particle":"","parse-names":false,"suffix":""}],"container-title":"British journal of neurosurgery","id":"ITEM-1","issued":{"date-parts":[["2002"]]},"page":"211-216","title":"Learning from Bristol: report of the public inquiry into children's heart surgery at Bristol Royal Infirmary 1984-1995.","type":"article-journal","volume":"16"},"uris":["http://www.mendeley.com/documents/?uuid=3ff95d00-97ee-4284-8930-2441ed80e2fb"]}],"mendeley":{"formattedCitation":"(Teasdale, 2002)","plainTextFormattedCitation":"(Teasdale, 2002)","previouslyFormattedCitation":"(Teasdale 2002)"},"properties":{"noteIndex":0},"schema":"https://github.com/citation-style-language/schema/raw/master/csl-citation.json"}</w:instrText>
      </w:r>
      <w:r w:rsidRPr="006F3B00">
        <w:rPr>
          <w:rFonts w:ascii="Times New Roman" w:hAnsi="Times New Roman" w:cs="Times New Roman"/>
          <w:sz w:val="24"/>
          <w:szCs w:val="24"/>
        </w:rPr>
        <w:fldChar w:fldCharType="separate"/>
      </w:r>
      <w:r w:rsidR="00E92A51">
        <w:rPr>
          <w:rFonts w:ascii="Times New Roman" w:hAnsi="Times New Roman" w:cs="Times New Roman"/>
          <w:noProof/>
          <w:sz w:val="24"/>
          <w:szCs w:val="24"/>
        </w:rPr>
        <w:t>(Teasdale</w:t>
      </w:r>
      <w:r w:rsidR="00BE3B6C" w:rsidRPr="00BE3B6C">
        <w:rPr>
          <w:rFonts w:ascii="Times New Roman" w:hAnsi="Times New Roman" w:cs="Times New Roman"/>
          <w:noProof/>
          <w:sz w:val="24"/>
          <w:szCs w:val="24"/>
        </w:rPr>
        <w:t xml:space="preserve"> 2002)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WBAs are one of the primary tools used to assess this, as researchers have </w:t>
      </w:r>
      <w:r w:rsidRPr="008E686A">
        <w:rPr>
          <w:rFonts w:ascii="Times New Roman" w:hAnsi="Times New Roman" w:cs="Times New Roman"/>
          <w:sz w:val="24"/>
          <w:szCs w:val="24"/>
        </w:rPr>
        <w:t>found that artificial exam situations do not always predict how a trainee may act in real-life situations</w:t>
      </w:r>
      <w:r w:rsidR="00FC5222"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{"citationItems":[{"id":"ITEM-1","itemData":{"DOI":"10.1046/j.1365-2923.2002.01316.x","ISBN":"0308-0110","ISSN":"03080110","PMID":"12390456","abstract":"OBJECTIVE: This paper aims to describe current views of the relationship between competence and performance and to delineate some of the implications of the distinctions between the two areas for the purpose of assessing doctors in practice. METHODS: During a 2-day closed session, the authors, using their wide experiences in this domain, defined the problem and the context, discussed the content and set up a new model. This was developed further by e-mail correspondence over a 6-month period. RESULTS: Competency-based assessments were defined as measures of what doctors do in testing situations, while performance-based assessments were defined as measures of what doctors do in practice. The distinction between competency-based and performance-based methods leads to a three-stage model for assessing doctors in practice. The first component of the model proposed is a screening test that would identify doctors at risk. Practitioners who 'pass' the screen would move on to a continuous quality improvement process aimed at raising the general level of performance. Practitioners deemed to be at risk would undergo a more detailed assessment process focused on rigorous testing, with poor performers targeted for remediation or removal from practice. CONCLUSION: We propose a new model, designated the Cambridge Model, which extends and refines Miller's pyramid. It inverts his pyramid, focuses exclusively on the top two tiers, and identifies performance as a product of competence, the influences of the individual (e.g. health, relationships), and the influences of the system (e.g. facilities, practice time). The model provides a basis for understanding and designing assessments of practice performance.","author":[{"dropping-particle":"","family":"Rethans","given":"J. J.","non-dropping-particle":"","parse-names":false,"suffix":""},{"dropping-particle":"","family":"Norcini","given":"J. J.","non-dropping-particle":"","parse-names":false,"suffix":""},{"dropping-particle":"","family":"Barón-Maldonado","given":"M.","non-dropping-particle":"","parse-names":false,"suffix":""},{"dropping-particle":"","family":"Blackmore","given":"D.","non-dropping-particle":"","parse-names":false,"suffix":""},{"dropping-particle":"","family":"Jolly","given":"B. C.","non-dropping-particle":"","parse-names":false,"suffix":""},{"dropping-particle":"","family":"LaDuca","given":"T.","non-dropping-particle":"","parse-names":false,"suffix":""},{"dropping-particle":"","family":"Lew","given":"S.","non-dropping-particle":"","parse-names":false,"suffix":""},{"dropping-particle":"","family":"Page","given":"G. G.","non-dropping-particle":"","parse-names":false,"suffix":""},{"dropping-particle":"","family":"Southgate","given":"L. H.","non-dropping-particle":"","parse-names":false,"suffix":""}],"container-title":"Medical Education","id":"ITEM-1","issue":"10","issued":{"date-parts":[["2002"]]},"page":"901-909","title":"The relationship between competence and performance: Implications for assessing practice performance","type":"article-journal","volume":"36"},"uris":["http://www.mendeley.com/documents/?uuid=3524d628-ff61-410d-b3e0-cfd7e5128430"]}],"mendeley":{"formattedCitation":"(Rethans &lt;i&gt;et al.&lt;/i&gt;, 2002a)","plainTextFormattedCitation":"(Rethans et al., 2002a)","previouslyFormattedCitation":"(Rethans et al. 2002a)"},"properties":{"noteIndex":0},"schema":"https://github.com/citation-style-language/schema/raw/master/csl-citation.json"}</w:instrText>
      </w:r>
      <w:r w:rsidRPr="008E686A">
        <w:rPr>
          <w:rFonts w:ascii="Times New Roman" w:hAnsi="Times New Roman" w:cs="Times New Roman"/>
          <w:sz w:val="24"/>
          <w:szCs w:val="24"/>
        </w:rPr>
        <w:fldChar w:fldCharType="separate"/>
      </w:r>
      <w:r w:rsidR="00BE3B6C" w:rsidRPr="008E686A">
        <w:rPr>
          <w:rFonts w:ascii="Times New Roman" w:hAnsi="Times New Roman" w:cs="Times New Roman"/>
          <w:noProof/>
          <w:sz w:val="24"/>
          <w:szCs w:val="24"/>
        </w:rPr>
        <w:t>(Rethans et al.</w:t>
      </w:r>
      <w:r w:rsidR="008E686A">
        <w:rPr>
          <w:rFonts w:ascii="Times New Roman" w:hAnsi="Times New Roman" w:cs="Times New Roman"/>
          <w:noProof/>
          <w:sz w:val="24"/>
          <w:szCs w:val="24"/>
        </w:rPr>
        <w:t xml:space="preserve"> 2002</w:t>
      </w:r>
      <w:r w:rsidR="00BE3B6C" w:rsidRPr="008E686A">
        <w:rPr>
          <w:rFonts w:ascii="Times New Roman" w:hAnsi="Times New Roman" w:cs="Times New Roman"/>
          <w:noProof/>
          <w:sz w:val="24"/>
          <w:szCs w:val="24"/>
        </w:rPr>
        <w:t>)</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The use of OSCEs has been proven to reflect poorly with how trainees perform in the workplace</w:t>
      </w:r>
      <w:r w:rsidR="00FC5222"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{"citationItems":[{"id":"ITEM-1","itemData":{"DOI":"10.1046/j.1365-2923.2002.01316.x","ISBN":"0308-0110","ISSN":"03080110","PMID":"12390456","abstract":"OBJECTIVE: This paper aims to describe current views of the relationship between competence and performance and to delineate some of the implications of the distinctions between the two areas for the purpose of assessing doctors in practice. METHODS: During a 2-day closed session, the authors, using their wide experiences in this domain, defined the problem and the context, discussed the content and set up a new model. This was developed further by e-mail correspondence over a 6-month period. RESULTS: Competency-based assessments were defined as measures of what doctors do in testing situations, while performance-based assessments were defined as measures of what doctors do in practice. The distinction between competency-based and performance-based methods leads to a three-stage model for assessing doctors in practice. The first component of the model proposed is a screening test that would identify doctors at risk. Practitioners who 'pass' the screen would move on to a continuous quality improvement process aimed at raising the general level of performance. Practitioners deemed to be at risk would undergo a more detailed assessment process focused on rigorous testing, with poor performers targeted for remediation or removal from practice. CONCLUSION: We propose a new model, designated the Cambridge Model, which extends and refines Miller's pyramid. It inverts his pyramid, focuses exclusively on the top two tiers, and identifies performance as a product of competence, the influences of the individual (e.g. health, relationships), and the influences of the system (e.g. facilities, practice time). The model provides a basis for understanding and designing assessments of practice performance.","author":[{"dropping-particle":"","family":"Rethans","given":"J. J.","non-dropping-particle":"","parse-names":false,"suffix":""},{"dropping-particle":"","family":"Norcini","given":"J. J.","non-dropping-particle":"","parse-names":false,"suffix":""},{"dropping-particle":"","family":"Barón-Maldonado","given":"M.","non-dropping-particle":"","parse-names":false,"suffix":""},{"dropping-particle":"","family":"Blackmore","given":"D.","non-dropping-particle":"","parse-names":false,"suffix":""},{"dropping-particle":"","family":"Jolly","given":"B. C.","non-dropping-particle":"","parse-names":false,"suffix":""},{"dropping-particle":"","family":"LaDuca","given":"T.","non-dropping-particle":"","parse-names":false,"suffix":""},{"dropping-particle":"","family":"Lew","given":"S.","non-dropping-particle":"","parse-names":false,"suffix":""},{"dropping-particle":"","family":"Page","given":"G. G.","non-dropping-particle":"","parse-names":false,"suffix":""},{"dropping-particle":"","family":"Southgate","given":"L. H.","non-dropping-particle":"","parse-names":false,"suffix":""}],"container-title":"Medical Education","id":"ITEM-1","issue":"10","issued":{"date-parts":[["2002"]]},"page":"901-909","title":"The relationship between competence and performance: Implications for assessing practice performance","type":"article-journal","volume":"36"},"uris":["http://www.mendeley.com/documents/?uuid=3524d628-ff61-410d-b3e0-cfd7e5128430"]}],"mendeley":{"formattedCitation":"(Rethans &lt;i&gt;et al.&lt;/i&gt;, 2002a)","plainTextFormattedCitation":"(Rethans et al., 2002a)","previouslyFormattedCitation":"(Rethans et al. 2002a)"},"properties":{"noteIndex":0},"schema":"https://github.com/citation-style-language/schema/raw/master/csl-citation.json"}</w:instrText>
      </w:r>
      <w:r w:rsidRPr="008E686A">
        <w:rPr>
          <w:rFonts w:ascii="Times New Roman" w:hAnsi="Times New Roman" w:cs="Times New Roman"/>
          <w:sz w:val="24"/>
          <w:szCs w:val="24"/>
        </w:rPr>
        <w:fldChar w:fldCharType="separate"/>
      </w:r>
      <w:r w:rsidR="00BE3B6C" w:rsidRPr="008E686A">
        <w:rPr>
          <w:rFonts w:ascii="Times New Roman" w:hAnsi="Times New Roman" w:cs="Times New Roman"/>
          <w:noProof/>
          <w:sz w:val="24"/>
          <w:szCs w:val="24"/>
        </w:rPr>
        <w:t>(Rethans et al.</w:t>
      </w:r>
      <w:r w:rsidR="008E686A">
        <w:rPr>
          <w:rFonts w:ascii="Times New Roman" w:hAnsi="Times New Roman" w:cs="Times New Roman"/>
          <w:noProof/>
          <w:sz w:val="24"/>
          <w:szCs w:val="24"/>
        </w:rPr>
        <w:t xml:space="preserve"> 2002</w:t>
      </w:r>
      <w:r w:rsidR="00BE3B6C" w:rsidRPr="008E686A">
        <w:rPr>
          <w:rFonts w:ascii="Times New Roman" w:hAnsi="Times New Roman" w:cs="Times New Roman"/>
          <w:noProof/>
          <w:sz w:val="24"/>
          <w:szCs w:val="24"/>
        </w:rPr>
        <w:t>)</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If WBAs can be used to ascertain if a trainee has reached the desired level of competence, one might argue that it should be proven that they can identify struggling trainees, address learning needs and foster future development. However, designing WBAs which are thorough, feasible and valued by the trainees and trainers is challenging</w:t>
      </w:r>
      <w:r w:rsidR="00FC5222"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{"citationItems":[{"id":"ITEM-1","itemData":{"DOI":"10.1046/j.1365-2923.2002.01099.x","ISBN":"1365-2923","ISSN":"0308-0110","PMID":"11849528","abstract":"CONTEXT: The evaluation of competence in the health professions is of great importance to the public and professionals alike. Recent efforts to design dependable and accurate systems of assessment for demanding clinical roles are increasingly attempting to focus on all-round competence of practitioners. Many challenges are faced in this field as a balance between robust assessment methodology and feasibility in practice is crucial to implementation and adoption.\\n\\nOBJECTIVES: The authors discuss some of the challenges faced by educators and clinicians involved in the development of systems of assessment for the health professions, and describe a method which aims to address these issues in the assessment of postgraduate dental training in Scotland.\\n\\nDISCUSSION: Three of the major challenges facing educators and clinicians involved in the design of competency-based systems of assessment are considered: the requirement for evaluation in different areas of competence; the importance of association of assessment with the training objectives, and the types and focus of the assessment introduced. Issues around the use of formative and summative assessment, and the perception that these must always remain completely separate, are discussed in detail.\\n\\nSOLUTIONS: A proposal is made for the introduction of a method of assessment which has been designed keeping these challenges in mind. The rationale behind this assessment method is described.","author":[{"dropping-particle":"","family":"Prescott","given":"L E","non-dropping-particle":"","parse-names":false,"suffix":""},{"dropping-particle":"","family":"Norcini","given":"J J","non-dropping-particle":"","parse-names":false,"suffix":""},{"dropping-particle":"","family":"McKinlay","given":"P","non-dropping-particle":"","parse-names":false,"suffix":""},{"dropping-particle":"","family":"Rennie","given":"J S","non-dropping-particle":"","parse-names":false,"suffix":""}],"container-title":"Medical education","id":"ITEM-1","issue":"1","issued":{"date-parts":[["2002"]]},"page":"92-7","title":"Facing the challenges of competency-based assessment of postgraduate dental training: Longitudinal Evaluation of Performance (LEP).","type":"article-journal","volume":"36"},"uris":["http://www.mendeley.com/documents/?uuid=7fe0c137-77f6-448f-8d8b-efea2aa29329"]}],"mendeley":{"formattedCitation":"(Prescott &lt;i&gt;et al.&lt;/i&gt;, 2002)","plainTextFormattedCitation":"(Prescott et al., 2002)","previouslyFormattedCitation":"(Prescott et al. 2002)"},"properties":{"noteIndex":0},"schema":"https://github.com/citation-style-language/schema/raw/master/csl-citation.json"}</w:instrText>
      </w:r>
      <w:r w:rsidRPr="008E686A">
        <w:rPr>
          <w:rFonts w:ascii="Times New Roman" w:hAnsi="Times New Roman" w:cs="Times New Roman"/>
          <w:sz w:val="24"/>
          <w:szCs w:val="24"/>
        </w:rPr>
        <w:fldChar w:fldCharType="separate"/>
      </w:r>
      <w:r w:rsidR="00BE3B6C" w:rsidRPr="008E686A">
        <w:rPr>
          <w:rFonts w:ascii="Times New Roman" w:hAnsi="Times New Roman" w:cs="Times New Roman"/>
          <w:noProof/>
          <w:sz w:val="24"/>
          <w:szCs w:val="24"/>
        </w:rPr>
        <w:t>(Prescott et al. 2002)</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w:t>
      </w:r>
    </w:p>
    <w:p w14:paraId="7F4E6FB8" w14:textId="19F85B11" w:rsidR="00863DF5" w:rsidRPr="006F3B00" w:rsidRDefault="00863DF5" w:rsidP="00863DF5">
      <w:pPr>
        <w:spacing w:line="480" w:lineRule="auto"/>
        <w:rPr>
          <w:rFonts w:ascii="Times New Roman" w:hAnsi="Times New Roman" w:cs="Times New Roman"/>
          <w:sz w:val="24"/>
          <w:szCs w:val="24"/>
        </w:rPr>
      </w:pPr>
      <w:r w:rsidRPr="008E686A">
        <w:rPr>
          <w:rFonts w:ascii="Times New Roman" w:hAnsi="Times New Roman" w:cs="Times New Roman"/>
          <w:sz w:val="24"/>
          <w:szCs w:val="24"/>
        </w:rPr>
        <w:t xml:space="preserve">Ideally, WBAs should encourage trainees to reflect on their skills and behaviours and create an ethos for life-long learning and development. During training, a balance of formative and summative assessments should be utilised, ensuring trainees are competent, safe and able to work independently. An expert advisory panel for the UK’s Independent Inquiry into </w:t>
      </w:r>
      <w:r w:rsidR="004967E1" w:rsidRPr="008E686A">
        <w:rPr>
          <w:rFonts w:ascii="Times New Roman" w:hAnsi="Times New Roman" w:cs="Times New Roman"/>
          <w:sz w:val="24"/>
          <w:szCs w:val="24"/>
        </w:rPr>
        <w:t>“</w:t>
      </w:r>
      <w:r w:rsidRPr="008E686A">
        <w:rPr>
          <w:rFonts w:ascii="Times New Roman" w:hAnsi="Times New Roman" w:cs="Times New Roman"/>
          <w:sz w:val="24"/>
          <w:szCs w:val="24"/>
        </w:rPr>
        <w:t>Modernising Medical Careers</w:t>
      </w:r>
      <w:r w:rsidR="004967E1" w:rsidRPr="008E686A">
        <w:rPr>
          <w:rFonts w:ascii="Times New Roman" w:hAnsi="Times New Roman" w:cs="Times New Roman"/>
          <w:sz w:val="24"/>
          <w:szCs w:val="24"/>
        </w:rPr>
        <w:t>”</w:t>
      </w:r>
      <w:r w:rsidRPr="008E686A">
        <w:rPr>
          <w:rFonts w:ascii="Times New Roman" w:hAnsi="Times New Roman" w:cs="Times New Roman"/>
          <w:sz w:val="24"/>
          <w:szCs w:val="24"/>
        </w:rPr>
        <w:t xml:space="preserve"> considered</w:t>
      </w:r>
      <w:r w:rsidRPr="006F3B00">
        <w:rPr>
          <w:rFonts w:ascii="Times New Roman" w:hAnsi="Times New Roman" w:cs="Times New Roman"/>
          <w:sz w:val="24"/>
          <w:szCs w:val="24"/>
        </w:rPr>
        <w:t xml:space="preserve"> assessment methods used during medical training, acknowledging that it is sometimes unclear when assessment is “aimed at supporting self-improvement and remediation and when it is regulatory and summative”, highlighting the fact that it can be ambiguous if WBAs </w:t>
      </w:r>
      <w:r w:rsidRPr="006F3B00">
        <w:rPr>
          <w:rFonts w:ascii="Times New Roman" w:hAnsi="Times New Roman" w:cs="Times New Roman"/>
          <w:sz w:val="24"/>
          <w:szCs w:val="24"/>
        </w:rPr>
        <w:lastRenderedPageBreak/>
        <w:t>should be used in a formative or summative manner</w:t>
      </w:r>
      <w:r w:rsidR="00FC522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{"citationItems":[{"id":"ITEM-1","itemData":{"abstract":"Tooke J. Aspiring to excellence: final report of the independent inquiry into Modernising Medical Careers. London: MMC Inquiry, 2008. www.mmcinquiry.org.uk.","author":[{"dropping-particle":"","family":"Tooke","given":"J","non-dropping-particle":"","parse-names":false,"suffix":""}],"container-title":"http://www.mmcinquiry.org.uk/Final_8_Jan_08_MMC_all.pdf","id":"ITEM-1","issued":{"date-parts":[["2008"]]},"title":"Aspiring to excellence: final report of the independent inquiry into Modernising Medical Careers","type":"article"},"uris":["http://www.mendeley.com/documents/?uuid=41f13f70-b8c4-4796-9313-9e0e073ef6d4"]}],"mendeley":{"formattedCitation":"(Tooke, 2008)","plainTextFormattedCitation":"(Tooke, 2008)","previouslyFormattedCitation":"(Tooke 2008)"},"properties":{"noteIndex":0},"schema":"https://github.com/citation-style-language/schema/raw/master/csl-citation.json"}</w:instrText>
      </w:r>
      <w:r w:rsidRPr="006F3B00">
        <w:rPr>
          <w:rFonts w:ascii="Times New Roman" w:hAnsi="Times New Roman" w:cs="Times New Roman"/>
          <w:sz w:val="24"/>
          <w:szCs w:val="24"/>
        </w:rPr>
        <w:fldChar w:fldCharType="separate"/>
      </w:r>
      <w:r w:rsidR="008E686A">
        <w:rPr>
          <w:rFonts w:ascii="Times New Roman" w:hAnsi="Times New Roman" w:cs="Times New Roman"/>
          <w:noProof/>
          <w:sz w:val="24"/>
          <w:szCs w:val="24"/>
        </w:rPr>
        <w:t>(Tooke</w:t>
      </w:r>
      <w:r w:rsidR="00BE3B6C" w:rsidRPr="00BE3B6C">
        <w:rPr>
          <w:rFonts w:ascii="Times New Roman" w:hAnsi="Times New Roman" w:cs="Times New Roman"/>
          <w:noProof/>
          <w:sz w:val="24"/>
          <w:szCs w:val="24"/>
        </w:rPr>
        <w:t xml:space="preserve"> 2008)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.The GMC has stated that WBAs are a summative tool used to assess “competency”, but the literature would suggest that their effectiveness, educational value and numbers required to demonstrate competency, requires further evaluation</w:t>
      </w:r>
      <w:r w:rsidR="00FC522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{"citationItems":[{"id":"ITEM-1","itemData":{"abstract":"issue and outcome Assessment is a key component of learning in the clinical environment. It is necessary in the first place to help trainees learn and develop, and secondly to provide evidence for their progression in the competencies required. Proposals for discussion in this paper include the introduction of new terminology to distinguish between two purposes of assessment. The first is assessment used for feeding back on progress (formative) through Supervised Learning Events (SLEs). The second is assessment used to determine progress (summative) which would be referred to as Assessments of Performance (AoPs). This discussion document presents themes for discussion and future development of assessment. It suggests a direction of travel and intends to prompt discussion. Meanwhile the GMC's regulatory standards remain those set out in Tomorrow's Doctors, The Trainee Doctor and Standards for Curricula and Assessment Systems. By 2013, the GMC will begin a fundamental review of our standards to ensure that they are fit for purpose.","author":[{"dropping-particle":"","family":"The General Medical Council","given":"","non-dropping-particle":"","parse-names":false,"suffix":""}],"container-title":"The General Medical Council","id":"ITEM-1","issue":"November","issued":{"date-parts":[["2011"]]},"title":"Learning and assessment in the clinical environment: the way forward – November 2011","type":"article-journal"},"uris":["http://www.mendeley.com/documents/?uuid=db053de8-ca89-4608-9a46-94ca8bdb0ac9"]},{"id":"ITEM-2","itemData":{"DOI":"10.3109/0142159X.2011.558140","ISBN":"1466-187X","ISSN":"0142-159X","PMID":"22022902","abstract":"BACKGROUND: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Teacher","id":"ITEM-2","issued":{"date-parts":[["2011"]]},"page":"919-927","title":"Trainee doctors’ views on workplace-based assessments: Are they just a tick box exercise?","type":"article-journal","volume":"33"},"uris":["http://www.mendeley.com/documents/?uuid=0cf9d153-6e01-4ac8-856e-d3f58aea7621"]}],"mendeley":{"formattedCitation":"(Bindal, Wall and Goodyear, 2011; The General Medical Council, 2011)","plainTextFormattedCitation":"(Bindal, Wall and Goodyear, 2011; The General Medical Council, 2011)","previouslyFormattedCitation":"(The General Medical Council 2011; Bindal, Wall, and Goodyear 2011)"},"properties":{"noteIndex":0},"schema":"https://github.com/citation-style-language/schema/raw/master/csl-citation.json"}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(Bindal, Wall a</w:t>
      </w:r>
      <w:r w:rsidR="008E686A">
        <w:rPr>
          <w:rFonts w:ascii="Times New Roman" w:hAnsi="Times New Roman" w:cs="Times New Roman"/>
          <w:noProof/>
          <w:sz w:val="24"/>
          <w:szCs w:val="24"/>
        </w:rPr>
        <w:t>nd Goodyear</w:t>
      </w:r>
      <w:r w:rsidR="00BE3B6C" w:rsidRPr="00BE3B6C">
        <w:rPr>
          <w:rFonts w:ascii="Times New Roman" w:hAnsi="Times New Roman" w:cs="Times New Roman"/>
          <w:noProof/>
          <w:sz w:val="24"/>
          <w:szCs w:val="24"/>
        </w:rPr>
        <w:t xml:space="preserve"> 20</w:t>
      </w:r>
      <w:r w:rsidR="008E686A">
        <w:rPr>
          <w:rFonts w:ascii="Times New Roman" w:hAnsi="Times New Roman" w:cs="Times New Roman"/>
          <w:noProof/>
          <w:sz w:val="24"/>
          <w:szCs w:val="24"/>
        </w:rPr>
        <w:t>11; General Medical Council</w:t>
      </w:r>
      <w:r w:rsidR="00BE3B6C" w:rsidRPr="00BE3B6C">
        <w:rPr>
          <w:rFonts w:ascii="Times New Roman" w:hAnsi="Times New Roman" w:cs="Times New Roman"/>
          <w:noProof/>
          <w:sz w:val="24"/>
          <w:szCs w:val="24"/>
        </w:rPr>
        <w:t xml:space="preserve"> 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7F20DFAC" w14:textId="311C60F4" w:rsidR="00863DF5" w:rsidRPr="008E686A"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Defining underperformance is a concept which trainers may feel they can judge but is difficult to define </w:t>
      </w:r>
      <w:r w:rsidRPr="008E686A">
        <w:rPr>
          <w:rFonts w:ascii="Times New Roman" w:hAnsi="Times New Roman" w:cs="Times New Roman"/>
          <w:sz w:val="24"/>
          <w:szCs w:val="24"/>
        </w:rPr>
        <w:t>in words. It has been described as a trainee “requiring intervention beyond the normal level of supervisor-trainee interaction” and may be at risk from subjectivity if current assessment tools are not working effectively</w:t>
      </w:r>
      <w:r w:rsidR="00FC5222"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{"citationItems":[{"id":"ITEM-1","itemData":{"DOI":"10.1111/medu.12113","ISBN":"1365-2923 (Electronic)\\r0308-0110 (Linking)","ISSN":"03080110","PMID":"23398015","abstract":"CONTEXT: Trainee-led workplace-based assessment (WPBA) is increasingly used in postgraduate medical training. Trainees in difficulty are known to behave differently from their peers; these differences may be reflected in their use of WPBAs and may give new insights into the behaviour and assessment of struggling trainees.\\n\\nMETHODS: Data were extracted for 76 115 assessments, completed by 1900 UK Foundation Programme (FP) trainees. Of these 1900 trainees, 95 (5%) were FP trainees in difficulty (FTiDs). We analysed aspects of the use of WPBAs, using multiple logistic regressions, to compare the behaviours of FTiDs with those of their peers.\\n\\nRESULTS: Of 48 possible comparisons, only two (i.e. the rate expected to occur by chance) showed statistically significant differences: relative to their peers, FTiDs were more likely to choose nurse assessors in direct observations of procedural skills (odds ratio [OR] 7.05, 95% confidence interval [CI] 1.23-40.43) and more likely to choose non-clinical assessors for assessments using the mini-peer assessment tool (OR 30.44, 95% CI 1.34-689.29).\\n\\nCONCLUSIONS: Key features of assessor choice for FTiDs are familiarity and likelihood of receiving a positive assessment. This analysis has not demonstrated that FTiDs use WPBAs any differently from their peers who are not in difficulty, although it does suggest associations and trends that require further exploration. These null results are interesting and raise hypotheses for prospective confirmation or disproof, and for further qualitative work investigating how struggling trainees use WPBAs in order to guide the future implementation of WPBAs in postgraduate training.","author":[{"dropping-particle":"","family":"Mitchell","given":"Colin","non-dropping-particle":"","parse-names":false,"suffix":""},{"dropping-particle":"","family":"Bhat","given":"Sarita","non-dropping-particle":"","parse-names":false,"suffix":""},{"dropping-particle":"","family":"Herbert","given":"Anne","non-dropping-particle":"","parse-names":false,"suffix":""},{"dropping-particle":"","family":"Baker","given":"Paul","non-dropping-particle":"","parse-names":false,"suffix":""}],"container-title":"Medical Education","id":"ITEM-1","issue":"3","issued":{"date-parts":[["2013"]]},"page":"292-300","title":"Workplace-based assessments in Foundation Programme training: Do trainees in difficulty use them differently?","type":"article-journal","volume":"47"},"uris":["http://www.mendeley.com/documents/?uuid=1c974e99-11b1-4baf-884f-460289d89c66"]}],"mendeley":{"formattedCitation":"(Mitchell &lt;i&gt;et al.&lt;/i&gt;, 2013)","plainTextFormattedCitation":"(Mitchell et al., 2013)","previouslyFormattedCitation":"(Mitchell et al. 2013)"},"properties":{"noteIndex":0},"schema":"https://github.com/citation-style-language/schema/raw/master/csl-citation.json"}</w:instrText>
      </w:r>
      <w:r w:rsidRPr="008E686A">
        <w:rPr>
          <w:rFonts w:ascii="Times New Roman" w:hAnsi="Times New Roman" w:cs="Times New Roman"/>
          <w:sz w:val="24"/>
          <w:szCs w:val="24"/>
        </w:rPr>
        <w:fldChar w:fldCharType="separate"/>
      </w:r>
      <w:r w:rsidR="00BE3B6C" w:rsidRPr="008E686A">
        <w:rPr>
          <w:rFonts w:ascii="Times New Roman" w:hAnsi="Times New Roman" w:cs="Times New Roman"/>
          <w:noProof/>
          <w:sz w:val="24"/>
          <w:szCs w:val="24"/>
        </w:rPr>
        <w:t>(Mitchell et al. 2013)</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One study found that 16.6% of struggling trainees were identified using  WBAs while the remainder were merely identified by trainer observations</w:t>
      </w:r>
      <w:r w:rsid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{"citationItems":[{"id":"ITEM-1","itemData":{"abstract":"A  key component of any  organised medical training  programme should be  systems and processes to identify  doctors in difﬁculty, and a clear  understanding of the issues and  resources for interventions to  mitigate later problems. Although  difﬁculties can occur at any stage  of a doctor’s career, they often  appear early: for example, unpro-  fessional behaviour in medical  school predicts disciplinary action  later in a doctor’s career.","author":[{"dropping-particle":"","family":"Black","given":"D","non-dropping-particle":"","parse-names":false,"suffix":""},{"dropping-particle":"","family":"Welch","given":"J","non-dropping-particle":"","parse-names":false,"suffix":""}],"container-title":"The clinical teacher","id":"ITEM-1","issue":"2","issued":{"date-parts":[["2009"]]},"page":"79-82","title":"The under-preforming trainee - concerns and challenges for medical educators","type":"article-journal","volume":"6"},"uris":["http://www.mendeley.com/documents/?uuid=9a22321e-34dd-4981-9252-da3e7fbaf2b6"]}],"mendeley":{"formattedCitation":"(Black and Welch, 2009)","plainTextFormattedCitation":"(Black and Welch, 2009)","previouslyFormattedCitation":"(D Black and Welch 2009)"},"properties":{"noteIndex":0},"schema":"https://github.com/citation-style-language/schema/raw/master/csl-citation.json"}</w:instrText>
      </w:r>
      <w:r w:rsidRPr="008E686A">
        <w:rPr>
          <w:rFonts w:ascii="Times New Roman" w:hAnsi="Times New Roman" w:cs="Times New Roman"/>
          <w:sz w:val="24"/>
          <w:szCs w:val="24"/>
        </w:rPr>
        <w:fldChar w:fldCharType="separate"/>
      </w:r>
      <w:r w:rsidR="008E686A">
        <w:rPr>
          <w:rFonts w:ascii="Times New Roman" w:hAnsi="Times New Roman" w:cs="Times New Roman"/>
          <w:noProof/>
          <w:sz w:val="24"/>
          <w:szCs w:val="24"/>
        </w:rPr>
        <w:t>(Black and Welch</w:t>
      </w:r>
      <w:r w:rsidR="00BE3B6C" w:rsidRPr="008E686A">
        <w:rPr>
          <w:rFonts w:ascii="Times New Roman" w:hAnsi="Times New Roman" w:cs="Times New Roman"/>
          <w:noProof/>
          <w:sz w:val="24"/>
          <w:szCs w:val="24"/>
        </w:rPr>
        <w:t xml:space="preserve"> 2009)</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Therefore, it may be that WBAs serve little function in identifying these individuals, but they may help to formalise the process of identification and address learning needs early on.  Another study revealed an association between training difficulties and lower mean scores on WBAs</w:t>
      </w:r>
      <w:r w:rsid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{"citationItems":[{"id":"ITEM-1","itemData":{"DOI":"10.1111/j.1365-2923.2011.04056.x","ISBN":"1365-2923 (Electronic) 0308-0110 (Linking)","ISSN":"03080110","PMID":"21995509","abstract":"OBJECTIVES: Workplace-based assessment (WPBA) is an increasingly important part of postgraduate medical training and its results may be used as evidence of professional competence. This study evaluates the ability of WPBA to distinguish UK Foundation Programme (FP) doctors with training difficulties and its effectiveness as a surrogate marker for deficiencies in professional competence.\\n\\nMETHODS: We conducted a retrospective observational study using anonymised records for 1646 trainees in a single UK postgraduate deanery. Data for WPBAs conducted from August 2005 to April 2009 were extracted from the e-portfolio database. These data included all scores submitted by trainees in FP years 1 and 2 on mini-clinical evaluation exercise (mini-CEX), case-based discussion (CbD), direct observation of procedural skills (DOPS) and mini-peer assessment tool (mini-PAT) assessments. Records of trainees in difficulty, as identified by their educational supervisors, were tagged as index cases. Main outcome measures were odds ratios (ORs) for associations between mean WPBA scores and training difficulties. Further analyses by the reported aetiology of the training difficulty (health-, conduct- or performance-related) were performed.\\n\\nRESULTS: Of the 1646 trainees, 92 had been identified as being in difficulty. Mean CbD and mini-CEX scores were lower for trainees in difficulty and an association was found between identified training difficulties and average scores on the mini-CEX (OR = 0.54; p = 0.034) and CbD (OR = 0.39; p = 0.002). A receiver operator characteristic curve analysis of mean WPBA scores for diagnosing 'in difficulty' status yielded an area under the curve of 0.64, indicating weak predictive value. There was no statistical evidence that mean scores on DOPS and mini-PAT assessments differed between the two groups.\\n\\nCONCLUSIONS: Analysis of a large dataset of WPBA scores revealed significant associations between training difficulties and lower mean scores on both the mini-CEX and CbD. Models show that using WPBA scores is, however, not a valid way of screening for trainees in difficulty. Workplace-based assessments have value as formative assessments that prompt supervision, feedback and reflection. They should not be relied upon to certify competence and their use for such ends may reduce their effectiveness in training. Their results should be interpreted in the context of multiple other methods of assessment, with the aim of achieving a genuinely h…","author":[{"dropping-particle":"","family":"Mitchell","given":"Colin","non-dropping-particle":"","parse-names":false,"suffix":""},{"dropping-particle":"","family":"Bhat","given":"Sarita","non-dropping-particle":"","parse-names":false,"suffix":""},{"dropping-particle":"","family":"Herbert","given":"Anne","non-dropping-particle":"","parse-names":false,"suffix":""},{"dropping-particle":"","family":"Baker","given":"Paul","non-dropping-particle":"","parse-names":false,"suffix":""}],"container-title":"Medical Education","id":"ITEM-1","issue":"12","issued":{"date-parts":[["2011"]]},"page":"1190-1198","title":"Workplace-based assessments of junior doctors: Do scores predict training difficulties?","type":"article-journal","volume":"45"},"uris":["http://www.mendeley.com/documents/?uuid=902e1dc3-fb86-4244-b9bb-b72fbb801ef0"]}],"mendeley":{"formattedCitation":"(Mitchell &lt;i&gt;et al.&lt;/i&gt;, 2011)","plainTextFormattedCitation":"(Mitchell et al., 2011)","previouslyFormattedCitation":"(Mitchell et al. 2011)"},"properties":{"noteIndex":0},"schema":"https://github.com/citation-style-language/schema/raw/master/csl-citation.json"}</w:instrText>
      </w:r>
      <w:r w:rsidRPr="008E686A">
        <w:rPr>
          <w:rFonts w:ascii="Times New Roman" w:hAnsi="Times New Roman" w:cs="Times New Roman"/>
          <w:sz w:val="24"/>
          <w:szCs w:val="24"/>
        </w:rPr>
        <w:fldChar w:fldCharType="separate"/>
      </w:r>
      <w:r w:rsidR="00BE3B6C" w:rsidRPr="008E686A">
        <w:rPr>
          <w:rFonts w:ascii="Times New Roman" w:hAnsi="Times New Roman" w:cs="Times New Roman"/>
          <w:noProof/>
          <w:sz w:val="24"/>
          <w:szCs w:val="24"/>
        </w:rPr>
        <w:t>(Mitchell et al. 2011)</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However, it was highlighted that WBAs shouldn’t be used to certify trainees and their real value is their ability to provide feedback. They should also be used in conjunction with other assessment methods to be representative of trainee competence</w:t>
      </w:r>
      <w:r w:rsidR="00FC5222"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{"citationItems":[{"id":"ITEM-1","itemData":{"DOI":"10.1111/j.1365-2923.2011.04056.x","ISBN":"1365-2923 (Electronic) 0308-0110 (Linking)","ISSN":"03080110","PMID":"21995509","abstract":"OBJECTIVES: Workplace-based assessment (WPBA) is an increasingly important part of postgraduate medical training and its results may be used as evidence of professional competence. This study evaluates the ability of WPBA to distinguish UK Foundation Programme (FP) doctors with training difficulties and its effectiveness as a surrogate marker for deficiencies in professional competence.\\n\\nMETHODS: We conducted a retrospective observational study using anonymised records for 1646 trainees in a single UK postgraduate deanery. Data for WPBAs conducted from August 2005 to April 2009 were extracted from the e-portfolio database. These data included all scores submitted by trainees in FP years 1 and 2 on mini-clinical evaluation exercise (mini-CEX), case-based discussion (CbD), direct observation of procedural skills (DOPS) and mini-peer assessment tool (mini-PAT) assessments. Records of trainees in difficulty, as identified by their educational supervisors, were tagged as index cases. Main outcome measures were odds ratios (ORs) for associations between mean WPBA scores and training difficulties. Further analyses by the reported aetiology of the training difficulty (health-, conduct- or performance-related) were performed.\\n\\nRESULTS: Of the 1646 trainees, 92 had been identified as being in difficulty. Mean CbD and mini-CEX scores were lower for trainees in difficulty and an association was found between identified training difficulties and average scores on the mini-CEX (OR = 0.54; p = 0.034) and CbD (OR = 0.39; p = 0.002). A receiver operator characteristic curve analysis of mean WPBA scores for diagnosing 'in difficulty' status yielded an area under the curve of 0.64, indicating weak predictive value. There was no statistical evidence that mean scores on DOPS and mini-PAT assessments differed between the two groups.\\n\\nCONCLUSIONS: Analysis of a large dataset of WPBA scores revealed significant associations between training difficulties and lower mean scores on both the mini-CEX and CbD. Models show that using WPBA scores is, however, not a valid way of screening for trainees in difficulty. Workplace-based assessments have value as formative assessments that prompt supervision, feedback and reflection. They should not be relied upon to certify competence and their use for such ends may reduce their effectiveness in training. Their results should be interpreted in the context of multiple other methods of assessment, with the aim of achieving a genuinely h…","author":[{"dropping-particle":"","family":"Mitchell","given":"Colin","non-dropping-particle":"","parse-names":false,"suffix":""},{"dropping-particle":"","family":"Bhat","given":"Sarita","non-dropping-particle":"","parse-names":false,"suffix":""},{"dropping-particle":"","family":"Herbert","given":"Anne","non-dropping-particle":"","parse-names":false,"suffix":""},{"dropping-particle":"","family":"Baker","given":"Paul","non-dropping-particle":"","parse-names":false,"suffix":""}],"container-title":"Medical Education","id":"ITEM-1","issue":"12","issued":{"date-parts":[["2011"]]},"page":"1190-1198","title":"Workplace-based assessments of junior doctors: Do scores predict training difficulties?","type":"article-journal","volume":"45"},"uris":["http://www.mendeley.com/documents/?uuid=902e1dc3-fb86-4244-b9bb-b72fbb801ef0"]}],"mendeley":{"formattedCitation":"(Mitchell &lt;i&gt;et al.&lt;/i&gt;, 2011)","plainTextFormattedCitation":"(Mitchell et al., 2011)","previouslyFormattedCitation":"(Mitchell et al. 2011)"},"properties":{"noteIndex":0},"schema":"https://github.com/citation-style-language/schema/raw/master/csl-citation.json"}</w:instrText>
      </w:r>
      <w:r w:rsidRPr="008E686A">
        <w:rPr>
          <w:rFonts w:ascii="Times New Roman" w:hAnsi="Times New Roman" w:cs="Times New Roman"/>
          <w:sz w:val="24"/>
          <w:szCs w:val="24"/>
        </w:rPr>
        <w:fldChar w:fldCharType="separate"/>
      </w:r>
      <w:r w:rsidR="00BE3B6C" w:rsidRPr="008E686A">
        <w:rPr>
          <w:rFonts w:ascii="Times New Roman" w:hAnsi="Times New Roman" w:cs="Times New Roman"/>
          <w:noProof/>
          <w:sz w:val="24"/>
          <w:szCs w:val="24"/>
        </w:rPr>
        <w:t>(Mitchell et al. 2011)</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w:t>
      </w:r>
    </w:p>
    <w:p w14:paraId="32189F68" w14:textId="2A58BEB9" w:rsidR="00863DF5" w:rsidRPr="006F3B00" w:rsidRDefault="007A0757" w:rsidP="006121BA">
      <w:pPr>
        <w:pStyle w:val="Heading2"/>
        <w:rPr>
          <w:rFonts w:ascii="Times New Roman" w:hAnsi="Times New Roman" w:cs="Times New Roman"/>
          <w:sz w:val="24"/>
          <w:szCs w:val="24"/>
        </w:rPr>
      </w:pPr>
      <w:bookmarkStart w:id="42" w:name="_Toc23243771"/>
      <w:r>
        <w:rPr>
          <w:rFonts w:ascii="Times New Roman" w:hAnsi="Times New Roman" w:cs="Times New Roman"/>
          <w:color w:val="auto"/>
          <w:sz w:val="24"/>
          <w:szCs w:val="24"/>
        </w:rPr>
        <w:t>1.3</w:t>
      </w:r>
      <w:r w:rsidR="009114C0">
        <w:rPr>
          <w:rFonts w:ascii="Times New Roman" w:hAnsi="Times New Roman" w:cs="Times New Roman"/>
          <w:color w:val="auto"/>
          <w:sz w:val="24"/>
          <w:szCs w:val="24"/>
        </w:rPr>
        <w:t>.5</w:t>
      </w:r>
      <w:r w:rsidR="00863DF5" w:rsidRPr="006F3B00">
        <w:rPr>
          <w:rFonts w:ascii="Times New Roman" w:hAnsi="Times New Roman" w:cs="Times New Roman"/>
          <w:color w:val="auto"/>
          <w:sz w:val="24"/>
          <w:szCs w:val="24"/>
        </w:rPr>
        <w:t xml:space="preserve"> Perception of workplace-based assessments in medical education in general</w:t>
      </w:r>
      <w:bookmarkEnd w:id="42"/>
    </w:p>
    <w:p w14:paraId="75A82C40" w14:textId="6705D2D3" w:rsidR="00863DF5" w:rsidRPr="006F3B00" w:rsidRDefault="00CC58FD" w:rsidP="00863DF5">
      <w:pPr>
        <w:pStyle w:val="Heading3"/>
        <w:rPr>
          <w:rFonts w:ascii="Times New Roman" w:hAnsi="Times New Roman" w:cs="Times New Roman"/>
          <w:color w:val="auto"/>
          <w:sz w:val="24"/>
          <w:szCs w:val="24"/>
        </w:rPr>
      </w:pPr>
      <w:bookmarkStart w:id="43" w:name="_Toc23243772"/>
      <w:r>
        <w:rPr>
          <w:rFonts w:ascii="Times New Roman" w:hAnsi="Times New Roman" w:cs="Times New Roman"/>
          <w:color w:val="auto"/>
          <w:sz w:val="24"/>
          <w:szCs w:val="24"/>
        </w:rPr>
        <w:t>1.3</w:t>
      </w:r>
      <w:r w:rsidR="009114C0">
        <w:rPr>
          <w:rFonts w:ascii="Times New Roman" w:hAnsi="Times New Roman" w:cs="Times New Roman"/>
          <w:color w:val="auto"/>
          <w:sz w:val="24"/>
          <w:szCs w:val="24"/>
        </w:rPr>
        <w:t>.5</w:t>
      </w:r>
      <w:r w:rsidR="00863DF5" w:rsidRPr="006F3B00">
        <w:rPr>
          <w:rFonts w:ascii="Times New Roman" w:hAnsi="Times New Roman" w:cs="Times New Roman"/>
          <w:color w:val="auto"/>
          <w:sz w:val="24"/>
          <w:szCs w:val="24"/>
        </w:rPr>
        <w:t>.1 Introduction</w:t>
      </w:r>
      <w:bookmarkEnd w:id="43"/>
    </w:p>
    <w:p w14:paraId="4FB67A6D" w14:textId="77777777" w:rsidR="00863DF5" w:rsidRPr="006F3B00" w:rsidRDefault="00863DF5" w:rsidP="00863DF5">
      <w:pPr>
        <w:rPr>
          <w:rFonts w:ascii="Times New Roman" w:hAnsi="Times New Roman" w:cs="Times New Roman"/>
          <w:sz w:val="24"/>
          <w:szCs w:val="24"/>
        </w:rPr>
      </w:pPr>
    </w:p>
    <w:p w14:paraId="26838616" w14:textId="68828A1D" w:rsidR="00863DF5" w:rsidRPr="008E686A"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There are mixed opinions in the literature regarding the perception of WBAs, which probably reflects that there are different assessors, WBA and clinical contexts to take into account within each individual speciality. This means that it is important for each speciality to ensure its own WBAs are fit for purpose. It is also important to note that </w:t>
      </w:r>
      <w:r w:rsidRPr="006F3B00">
        <w:rPr>
          <w:rFonts w:ascii="Times New Roman" w:hAnsi="Times New Roman" w:cs="Times New Roman"/>
          <w:sz w:val="24"/>
          <w:szCs w:val="24"/>
        </w:rPr>
        <w:lastRenderedPageBreak/>
        <w:t xml:space="preserve">some of the evidence regarding WBAs stems from qualitative research and certain research </w:t>
      </w:r>
      <w:r w:rsidRPr="008E686A">
        <w:rPr>
          <w:rFonts w:ascii="Times New Roman" w:hAnsi="Times New Roman" w:cs="Times New Roman"/>
          <w:sz w:val="24"/>
          <w:szCs w:val="24"/>
        </w:rPr>
        <w:t>outcomes may be limited by their lack of generalizability. Furthermore, some studies recruited participants by voluntary means, which may select a motivated and biased sample, affecting the internal and external validity  of the results</w:t>
      </w:r>
      <w:r w:rsidR="008E686A"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{"citationItems":[{"id":"ITEM-1","itemData":{"DOI":"10.1111/j.1365-2923.2012.04266.x","ISBN":"1365-2923 (Electronic)\\r0308-0110 (Linking)","ISSN":"03080110","PMID":"22626052","abstract":"OBJECTIVES: Feedback in workplace-based clinical settings often relies on expert trainers' judgements of directly observed trainee performance. There is ample literature on effective feedback, but in practice trainees in workplace-based training are not regularly observed. We aimed to examine external conditions that impact feedback in observational workplace-based assessment (WBA).\\n\\nMETHODS: Interviews were conducted and the resulting data analysed using a qualitative, phenomenological approach. Between October 2009 and January 2010, we interviewed 22 postgraduate general practice trainees at two institutions in the Netherlands. Three researchers analysed the transcripts of the interviews.\\n\\nRESULTS: A three-step scheme emerged from the data. Feedback as part of WBA is of greater benefit to trainees if: (i) observation and feedback are planned by the trainee and trainer; (ii) the content and delivery of the feedback are adequate, and (iii) the trainee uses the feedback to guide his or her learning by linking it to learning goals. Negative emotions reported by almost all trainees in relation to observation and feedback led to different responses. Some trainees avoided observation, whereas others overcame their apprehension and actively sought observation and feedback. Active trainers were able to help trainees overcome their fears. Four types of trainer-trainee pairs were distinguished according to their engagement in observation and feedback. External requirements set by training institutions may stimulate inactive trainers and trainees.\\n\\nCONCLUSIONS: In line with the literature, our results emphasise the importance of the content of feedback and the way it is provided, as well as the importance of its incorporation in trainees' learning. Moreover, we highlight the step before the actual feedback itself. The way arrangements for feedback are made appears to be important to feedback in formative WBA. Finally, we outline several factors that influence the success or failure of feedback but precede the process of observation and feedback.","author":[{"dropping-particle":"","family":"Pelgrim","given":"Elisabeth a M","non-dropping-particle":"","parse-names":false,"suffix":""},{"dropping-particle":"","family":"Kramer","given":"Anneke W M","non-dropping-particle":"","parse-names":false,"suffix":""},{"dropping-particle":"","family":"Mokkink","given":"Henk G a","non-dropping-particle":"","parse-names":false,"suffix":""},{"dropping-particle":"","family":"Vleuten","given":"Cees P M","non-dropping-particle":"van der","parse-names":false,"suffix":""}],"container-title":"Medical Education","id":"ITEM-1","issue":"6","issued":{"date-parts":[["2012"]]},"page":"604-612","title":"The process of feedback in workplace-based assessment: Organisation, delivery, continuity","type":"article-journal","volume":"46"},"uris":["http://www.mendeley.com/documents/?uuid=2b3c6b89-915b-4987-8a85-583dde617a54"]},{"id":"ITEM-2","itemData":{"ISBN":"1040-2446 (Print)\\r1040-2446 (Linking)","ISSN":"1040-2446","PMID":"14557092","abstract":"PURPOSE: To describe responses of family physicians, their medical colleagues, and coworker raters to a multisource feedback assessment process. METHOD: Data collection tools included multisource feedback self-assessment and medical colleague, coworker, and patient rating forms; and program evaluation physician and rater questionnaires. RESULTS: The pilot study included 142 physicians and their raters, with 113 (80%) physicians completing evaluations. Positive correlations were found between familiarity scores and medical colleague and coworker mean ratings. Peer medical colleagues were significantly more familiar with physicians than were consultants. Consultants were unable to rate items most frequently. Physicians disagreed with colleague feedback more frequently. Agreement was positively correlated with scores. CONCLUSIONS: Familiarity, ability to observe physicians appropriately to rate them, and physicians' responses to feedback are factors to consider when multisource feedback is used.","author":[{"dropping-particle":"","family":"Sargeant","given":"J M","non-dropping-particle":"","parse-names":false,"suffix":""},{"dropping-particle":"V","family":"Mann","given":"K","non-dropping-particle":"","parse-names":false,"suffix":""},{"dropping-particle":"","family":"Ferrier","given":"S N","non-dropping-particle":"","parse-names":false,"suffix":""},{"dropping-particle":"","family":"Langille","given":"D B","non-dropping-particle":"","parse-names":false,"suffix":""},{"dropping-particle":"","family":"Muirhead","given":"P D","non-dropping-particle":"","parse-names":false,"suffix":""},{"dropping-particle":"","family":"Hayes","given":"V M","non-dropping-particle":"","parse-names":false,"suffix":""},{"dropping-particle":"","family":"Sinclair","given":"D E","non-dropping-particle":"","parse-names":false,"suffix":""}],"container-title":"Academic Medicine","id":"ITEM-2","issue":"10 Suppl","issued":{"date-parts":[["2003"]]},"page":"S42-4","title":"Responses of rural family physicians and their colleague and coworker raters to a multi-source feedback process: a pilot study","type":"article-journal","volume":"78"},"uris":["http://www.mendeley.com/documents/?uuid=1b9a4815-d920-4262-8362-8110e008a4ef"]}],"mendeley":{"formattedCitation":"(Sargeant &lt;i&gt;et al.&lt;/i&gt;, 2003; Pelgrim &lt;i&gt;et al.&lt;/i&gt;, 2012)","plainTextFormattedCitation":"(Sargeant et al., 2003; Pelgrim et al., 2012)","previouslyFormattedCitation":"(E. a M. Pelgrim et al. 2012; Sargeant et al. 2003)"},"properties":{"noteIndex":0},"schema":"https://github.com/citation-style-language/schema/raw/master/csl-citation.json"}</w:instrText>
      </w:r>
      <w:r w:rsidRPr="008E686A">
        <w:rPr>
          <w:rFonts w:ascii="Times New Roman" w:hAnsi="Times New Roman" w:cs="Times New Roman"/>
          <w:sz w:val="24"/>
          <w:szCs w:val="24"/>
        </w:rPr>
        <w:fldChar w:fldCharType="separate"/>
      </w:r>
      <w:r w:rsidR="00BE3B6C" w:rsidRPr="008E686A">
        <w:rPr>
          <w:rFonts w:ascii="Times New Roman" w:hAnsi="Times New Roman" w:cs="Times New Roman"/>
          <w:noProof/>
          <w:sz w:val="24"/>
          <w:szCs w:val="24"/>
        </w:rPr>
        <w:t>(Sargeant et al. 2003; Pelgrim et al. 2012)</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However, selecting the correct methodology in medical and dental education is difficult sometimes, and there are</w:t>
      </w:r>
      <w:r w:rsidR="00BB5080" w:rsidRPr="008E686A">
        <w:rPr>
          <w:rFonts w:ascii="Times New Roman" w:hAnsi="Times New Roman" w:cs="Times New Roman"/>
          <w:sz w:val="24"/>
          <w:szCs w:val="24"/>
        </w:rPr>
        <w:t xml:space="preserve"> different</w:t>
      </w:r>
      <w:r w:rsidRPr="008E686A">
        <w:rPr>
          <w:rFonts w:ascii="Times New Roman" w:hAnsi="Times New Roman" w:cs="Times New Roman"/>
          <w:sz w:val="24"/>
          <w:szCs w:val="24"/>
        </w:rPr>
        <w:t xml:space="preserve"> benefits of using the positivist (deductive reasoning) and interpretivist (inductive reasoning) approaches</w:t>
      </w:r>
      <w:r w:rsidR="008E686A"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{"citationItems":[{"id":"ITEM-1","itemData":{"DOI":"10.1177/0017896910387035","ISSN":"13550306","author":[{"dropping-particle":"","family":"Bullock","given":"Alison D.","non-dropping-particle":"","parse-names":false,"suffix":""}],"container-title":"Eur J Dent Educ","id":"ITEM-1","issued":{"date-parts":[["2010"]]},"page":"65-68","title":"Guest Editorial","type":"article-journal","volume":"14"},"uris":["http://www.mendeley.com/documents/?uuid=eb77a9d5-0e00-4c69-ab6a-f2da20344d90"]}],"mendeley":{"formattedCitation":"(Bullock, 2010)","plainTextFormattedCitation":"(Bullock, 2010)","previouslyFormattedCitation":"(Bullock 2010)"},"properties":{"noteIndex":0},"schema":"https://github.com/citation-style-language/schema/raw/master/csl-citation.json"}</w:instrText>
      </w:r>
      <w:r w:rsidRPr="008E686A">
        <w:rPr>
          <w:rFonts w:ascii="Times New Roman" w:hAnsi="Times New Roman" w:cs="Times New Roman"/>
          <w:sz w:val="24"/>
          <w:szCs w:val="24"/>
        </w:rPr>
        <w:fldChar w:fldCharType="separate"/>
      </w:r>
      <w:r w:rsidR="008E686A">
        <w:rPr>
          <w:rFonts w:ascii="Times New Roman" w:hAnsi="Times New Roman" w:cs="Times New Roman"/>
          <w:noProof/>
          <w:sz w:val="24"/>
          <w:szCs w:val="24"/>
        </w:rPr>
        <w:t>(Bullock</w:t>
      </w:r>
      <w:r w:rsidR="00BE3B6C" w:rsidRPr="008E686A">
        <w:rPr>
          <w:rFonts w:ascii="Times New Roman" w:hAnsi="Times New Roman" w:cs="Times New Roman"/>
          <w:noProof/>
          <w:sz w:val="24"/>
          <w:szCs w:val="24"/>
        </w:rPr>
        <w:t xml:space="preserve"> 2010)</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w:t>
      </w:r>
    </w:p>
    <w:p w14:paraId="1EBBAF58" w14:textId="7C437DA5" w:rsidR="00863DF5" w:rsidRPr="006F3B00" w:rsidRDefault="00CC58FD" w:rsidP="00863DF5">
      <w:pPr>
        <w:pStyle w:val="Heading3"/>
        <w:rPr>
          <w:rFonts w:ascii="Times New Roman" w:hAnsi="Times New Roman" w:cs="Times New Roman"/>
          <w:color w:val="auto"/>
          <w:sz w:val="24"/>
          <w:szCs w:val="24"/>
        </w:rPr>
      </w:pPr>
      <w:bookmarkStart w:id="44" w:name="_Toc23243773"/>
      <w:r>
        <w:rPr>
          <w:rFonts w:ascii="Times New Roman" w:hAnsi="Times New Roman" w:cs="Times New Roman"/>
          <w:color w:val="auto"/>
          <w:sz w:val="24"/>
          <w:szCs w:val="24"/>
        </w:rPr>
        <w:t>1.3</w:t>
      </w:r>
      <w:r w:rsidR="009114C0">
        <w:rPr>
          <w:rFonts w:ascii="Times New Roman" w:hAnsi="Times New Roman" w:cs="Times New Roman"/>
          <w:color w:val="auto"/>
          <w:sz w:val="24"/>
          <w:szCs w:val="24"/>
        </w:rPr>
        <w:t>.1.2</w:t>
      </w:r>
      <w:r w:rsidR="00863DF5" w:rsidRPr="006F3B00">
        <w:rPr>
          <w:rFonts w:ascii="Times New Roman" w:hAnsi="Times New Roman" w:cs="Times New Roman"/>
          <w:color w:val="auto"/>
          <w:sz w:val="24"/>
          <w:szCs w:val="24"/>
        </w:rPr>
        <w:t xml:space="preserve"> Feedback</w:t>
      </w:r>
      <w:bookmarkEnd w:id="44"/>
    </w:p>
    <w:p w14:paraId="21428309" w14:textId="77777777" w:rsidR="00863DF5" w:rsidRPr="006F3B00" w:rsidRDefault="00863DF5" w:rsidP="00863DF5">
      <w:pPr>
        <w:spacing w:line="480" w:lineRule="auto"/>
        <w:rPr>
          <w:rFonts w:ascii="Times New Roman" w:hAnsi="Times New Roman" w:cs="Times New Roman"/>
          <w:sz w:val="24"/>
          <w:szCs w:val="24"/>
        </w:rPr>
      </w:pPr>
    </w:p>
    <w:p w14:paraId="0FA9AF5D" w14:textId="297C371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key component of WBAs is meant to be for the assessor to give feedback to the trainee about areas which they may do well in and other areas which may </w:t>
      </w:r>
      <w:r w:rsidRPr="008E686A">
        <w:rPr>
          <w:rFonts w:ascii="Times New Roman" w:hAnsi="Times New Roman" w:cs="Times New Roman"/>
          <w:sz w:val="24"/>
          <w:szCs w:val="24"/>
        </w:rPr>
        <w:t>need improvement. This information can be used to guide the trainee and nurture future development</w:t>
      </w:r>
      <w:r w:rsidR="00FC5222"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{"citationItems":[{"id":"ITEM-1","itemData":{"DOI":"10.1002/9781444320282.ch18","ISBN":"9781444320282","abstract":"This chapter contains sections titled: * Introduction * Characteristics of Formative Assessment * Teacher Perspectives * Student Perspectives * Feedback * Formative Assessment in the Curriculum * Conclusion * References","author":[{"dropping-particle":"","family":"Wood","given":"Diana F","non-dropping-particle":"","parse-names":false,"suffix":""}],"container-title":"Understanding Medical Education","id":"ITEM-1","issued":{"date-parts":[["2010"]]},"page":"259-270","title":"Formative Assessment","type":"chapter"},"uris":["http://www.mendeley.com/documents/?uuid=040dcf57-266c-41ac-9e97-993bab70c270"]}],"mendeley":{"formattedCitation":"(Wood, 2010)","plainTextFormattedCitation":"(Wood, 2010)","previouslyFormattedCitation":"(D. F. Wood 2010)"},"properties":{"noteIndex":0},"schema":"https://github.com/citation-style-language/schema/raw/master/csl-citation.json"}</w:instrText>
      </w:r>
      <w:r w:rsidRPr="008E686A">
        <w:rPr>
          <w:rFonts w:ascii="Times New Roman" w:hAnsi="Times New Roman" w:cs="Times New Roman"/>
          <w:sz w:val="24"/>
          <w:szCs w:val="24"/>
        </w:rPr>
        <w:fldChar w:fldCharType="separate"/>
      </w:r>
      <w:r w:rsidR="008E686A">
        <w:rPr>
          <w:rFonts w:ascii="Times New Roman" w:hAnsi="Times New Roman" w:cs="Times New Roman"/>
          <w:noProof/>
          <w:sz w:val="24"/>
          <w:szCs w:val="24"/>
        </w:rPr>
        <w:t>(Wood</w:t>
      </w:r>
      <w:r w:rsidR="00BE3B6C" w:rsidRPr="008E686A">
        <w:rPr>
          <w:rFonts w:ascii="Times New Roman" w:hAnsi="Times New Roman" w:cs="Times New Roman"/>
          <w:noProof/>
          <w:sz w:val="24"/>
          <w:szCs w:val="24"/>
        </w:rPr>
        <w:t xml:space="preserve"> 2010)</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xml:space="preserve">. Research on WBAs in dental </w:t>
      </w:r>
      <w:r w:rsidR="000660BE">
        <w:rPr>
          <w:rFonts w:ascii="Times New Roman" w:hAnsi="Times New Roman" w:cs="Times New Roman"/>
          <w:sz w:val="24"/>
          <w:szCs w:val="24"/>
        </w:rPr>
        <w:t xml:space="preserve">training have found WBAs to be </w:t>
      </w:r>
      <w:r w:rsidRPr="008E686A">
        <w:rPr>
          <w:rFonts w:ascii="Times New Roman" w:hAnsi="Times New Roman" w:cs="Times New Roman"/>
          <w:sz w:val="24"/>
          <w:szCs w:val="24"/>
        </w:rPr>
        <w:t>clear, comprehensive and able to identify trainee difficulties, increasing trainee confidence and</w:t>
      </w:r>
      <w:r w:rsidR="000660BE">
        <w:rPr>
          <w:rFonts w:ascii="Times New Roman" w:hAnsi="Times New Roman" w:cs="Times New Roman"/>
          <w:sz w:val="24"/>
          <w:szCs w:val="24"/>
        </w:rPr>
        <w:t xml:space="preserve"> highlighting areas of weakness.</w:t>
      </w:r>
      <w:r w:rsid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{"citationItems":[{"id":"ITEM-1","itemData":{"DOI":"10.1038/sj.bdj.2011.681","ISBN":"0007-0610","ISSN":"1476-5373","PMID":"21869769","abstract":"Objective The aims of this survey were to evaluate the effectiveness of workplace based assessments (WPAs) in dental foundation training (formerly vocational training [VT]).Methods Two online questionnaire surveys were sent to 53 foundation dental practitioners (FDPs) and their 51 trainers in the Mersey Deanery at month four and month nine of the one year of dental foundation training. The questionnaires investigated the effectiveness of and trainers' and trainees' satisfaction with the WPAs used in foundation training, namely dental evaluation of performance (D-EPs), case-based discussions (DcBD) and patients' assessment questionnaires (PAQs). The questionnaires also investigated the perceived impact of reflection and feedback associated with WPAs on clinical practise and improving patient care.Results A total of 41 (7.4%) FDPs and 44 (86.3%) trainers responded. Of the 41 FDPs, the majority found that feedback from WPAs had a positive effect on their training, giving them insight into their development needs. Overall 84.1% of the FDPs felt the WPAs helped them improve patient care and 82.5% of trainers agreed with that outcome.Conclusions The findings from this study demonstrate the value of WPAs in dental foundation training by the use of feedback and reflection in directing the learning of foundation dental practitioners and that this can lead to improved clinical practise and patient care.","author":[{"dropping-particle":"","family":"Grieveson","given":"B","non-dropping-particle":"","parse-names":false,"suffix":""},{"dropping-particle":"","family":"Kirton","given":"J a","non-dropping-particle":"","parse-names":false,"suffix":""},{"dropping-particle":"","family":"Palmer","given":"N O a","non-dropping-particle":"","parse-names":false,"suffix":""},{"dropping-particle":"","family":"Balmer","given":"M C","non-dropping-particle":"","parse-names":false,"suffix":""}],"container-title":"British dental journal","id":"ITEM-1","issue":"4","issued":{"date-parts":[["2011"]]},"page":"E8","title":"Evaluation of workplace based assessment tools in dental foundation training.","type":"article-journal","volume":"211"},"uris":["http://www.mendeley.com/documents/?uuid=8e346649-8069-4545-88d0-b67ecf21ff81"]}],"mendeley":{"formattedCitation":"(Grieveson &lt;i&gt;et al.&lt;/i&gt;, 2011)","plainTextFormattedCitation":"(Grieveson et al., 2011)","previouslyFormattedCitation":"(Grieveson et al. 2011)"},"properties":{"noteIndex":0},"schema":"https://github.com/citation-style-language/schema/raw/master/csl-citation.json"}</w:instrText>
      </w:r>
      <w:r w:rsidRPr="008E686A">
        <w:rPr>
          <w:rFonts w:ascii="Times New Roman" w:hAnsi="Times New Roman" w:cs="Times New Roman"/>
          <w:sz w:val="24"/>
          <w:szCs w:val="24"/>
        </w:rPr>
        <w:fldChar w:fldCharType="separate"/>
      </w:r>
      <w:r w:rsidR="00BE3B6C" w:rsidRPr="008E686A">
        <w:rPr>
          <w:rFonts w:ascii="Times New Roman" w:hAnsi="Times New Roman" w:cs="Times New Roman"/>
          <w:noProof/>
          <w:sz w:val="24"/>
          <w:szCs w:val="24"/>
        </w:rPr>
        <w:t>(Grieveson et al. 2011)</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However, a larger systematic review of WBAs in medicine has shown there is l</w:t>
      </w:r>
      <w:r w:rsidR="000660BE">
        <w:rPr>
          <w:rFonts w:ascii="Times New Roman" w:hAnsi="Times New Roman" w:cs="Times New Roman"/>
          <w:sz w:val="24"/>
          <w:szCs w:val="24"/>
        </w:rPr>
        <w:t xml:space="preserve">ittle evidence to suggest WBAs </w:t>
      </w:r>
      <w:r w:rsidRPr="008E686A">
        <w:rPr>
          <w:rFonts w:ascii="Times New Roman" w:hAnsi="Times New Roman" w:cs="Times New Roman"/>
          <w:sz w:val="24"/>
          <w:szCs w:val="24"/>
        </w:rPr>
        <w:t>promote feedback, encourage learning</w:t>
      </w:r>
      <w:r w:rsidR="000660BE">
        <w:rPr>
          <w:rFonts w:ascii="Times New Roman" w:hAnsi="Times New Roman" w:cs="Times New Roman"/>
          <w:sz w:val="24"/>
          <w:szCs w:val="24"/>
        </w:rPr>
        <w:t xml:space="preserve"> or improve trainee performance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review.","type":"article-journal","volume":"341"},"uris":["http://www.mendeley.com/documents/?uuid=5e467429-f82f-4917-86e6-acac1998e2e3"]}],"mendeley":{"formattedCitation":"(Miller and Archer, 2010)","plainTextFormattedCitation":"(Miller and Archer, 2010)","previouslyFormattedCitation":"(A. Miller and Archer 2010)"},"properties":{"noteIndex":0},"schema":"https://github.com/citation-style-language/schema/raw/master/csl-citation.json"}</w:instrText>
      </w:r>
      <w:r w:rsidRPr="008E686A">
        <w:rPr>
          <w:rFonts w:ascii="Times New Roman" w:hAnsi="Times New Roman" w:cs="Times New Roman"/>
          <w:sz w:val="24"/>
          <w:szCs w:val="24"/>
        </w:rPr>
        <w:fldChar w:fldCharType="separate"/>
      </w:r>
      <w:r w:rsidR="000660BE">
        <w:rPr>
          <w:rFonts w:ascii="Times New Roman" w:hAnsi="Times New Roman" w:cs="Times New Roman"/>
          <w:noProof/>
          <w:sz w:val="24"/>
          <w:szCs w:val="24"/>
        </w:rPr>
        <w:t>(Miller and Archer</w:t>
      </w:r>
      <w:r w:rsidR="00BE3B6C" w:rsidRPr="008E686A">
        <w:rPr>
          <w:rFonts w:ascii="Times New Roman" w:hAnsi="Times New Roman" w:cs="Times New Roman"/>
          <w:noProof/>
          <w:sz w:val="24"/>
          <w:szCs w:val="24"/>
        </w:rPr>
        <w:t xml:space="preserve"> 2010)</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xml:space="preserve">. </w:t>
      </w:r>
      <w:r w:rsidRPr="008E686A">
        <w:rPr>
          <w:rFonts w:ascii="Times New Roman" w:eastAsia="Times New Roman" w:hAnsi="Times New Roman" w:cs="Times New Roman"/>
          <w:sz w:val="24"/>
          <w:szCs w:val="24"/>
          <w:lang w:eastAsia="en-GB"/>
        </w:rPr>
        <w:t>A trainee who is unprofessional but has superior knowledge is not the same as another trainee who is professional but has an inferior knowledge base to his peers. This is why WBAs may be perceived as giving a superficial overall judgement of a trainee, when profile differences should actually be explored and interpreted</w:t>
      </w:r>
      <w:r w:rsidR="000660BE">
        <w:rPr>
          <w:rFonts w:ascii="Times New Roman" w:eastAsia="Times New Roman" w:hAnsi="Times New Roman" w:cs="Times New Roman"/>
          <w:sz w:val="24"/>
          <w:szCs w:val="24"/>
          <w:lang w:eastAsia="en-GB"/>
        </w:rPr>
        <w:t xml:space="preserve"> </w:t>
      </w:r>
      <w:r w:rsidRPr="008E686A">
        <w:rPr>
          <w:rFonts w:ascii="Times New Roman" w:eastAsia="Times New Roman" w:hAnsi="Times New Roman" w:cs="Times New Roman"/>
          <w:sz w:val="24"/>
          <w:szCs w:val="24"/>
          <w:lang w:eastAsia="en-GB"/>
        </w:rPr>
        <w:fldChar w:fldCharType="begin" w:fldLock="1"/>
      </w:r>
      <w:r w:rsidR="00BE3B6C" w:rsidRPr="008E686A">
        <w:rPr>
          <w:rFonts w:ascii="Times New Roman" w:eastAsia="Times New Roman" w:hAnsi="Times New Roman" w:cs="Times New Roman"/>
          <w:sz w:val="24"/>
          <w:szCs w:val="24"/>
          <w:lang w:eastAsia="en-GB"/>
        </w:rPr>
        <w:instrText>ADDIN CSL_CITATION {"citationItems":[{"id":"ITEM-1","itemData":{"DOI":"10.1111/medu.12317","ISBN":"1365-2923 (Electronic)\\r0308-0110 (Linking)","ISSN":"03080110","PMID":"24206145","abstract":"The author discusses issues relating to test validity in assessing medical students, particularly commenting on the complexity and subjectivity of assessments in the workplace. He addresses the use of psychometric evaluation measures in medical education, the philosophical nature of truth and its relationship to student assessments, and behavioral measurements.","author":[{"dropping-particle":"","family":"Crossley","given":"Jim","non-dropping-particle":"","parse-names":false,"suffix":""}],"container-title":"Medical Education","id":"ITEM-1","issue":"12","issued":{"date-parts":[["2013"]]},"page":"1152-1154","title":"Validity and truth in assessment","type":"article-journal","volume":"47"},"uris":["http://www.mendeley.com/documents/?uuid=352c2792-db97-4aea-94d4-5c3d25874c13"]}],"mendeley":{"formattedCitation":"(Crossley, 2013)","plainTextFormattedCitation":"(Crossley, 2013)","previouslyFormattedCitation":"(Crossley 2013)"},"properties":{"noteIndex":0},"schema":"https://github.com/citation-style-language/schema/raw/master/csl-citation.json"}</w:instrText>
      </w:r>
      <w:r w:rsidRPr="008E686A">
        <w:rPr>
          <w:rFonts w:ascii="Times New Roman" w:eastAsia="Times New Roman" w:hAnsi="Times New Roman" w:cs="Times New Roman"/>
          <w:sz w:val="24"/>
          <w:szCs w:val="24"/>
          <w:lang w:eastAsia="en-GB"/>
        </w:rPr>
        <w:fldChar w:fldCharType="separate"/>
      </w:r>
      <w:r w:rsidR="000660BE">
        <w:rPr>
          <w:rFonts w:ascii="Times New Roman" w:eastAsia="Times New Roman" w:hAnsi="Times New Roman" w:cs="Times New Roman"/>
          <w:noProof/>
          <w:sz w:val="24"/>
          <w:szCs w:val="24"/>
          <w:lang w:eastAsia="en-GB"/>
        </w:rPr>
        <w:t>(Crossley</w:t>
      </w:r>
      <w:r w:rsidR="00BE3B6C" w:rsidRPr="008E686A">
        <w:rPr>
          <w:rFonts w:ascii="Times New Roman" w:eastAsia="Times New Roman" w:hAnsi="Times New Roman" w:cs="Times New Roman"/>
          <w:noProof/>
          <w:sz w:val="24"/>
          <w:szCs w:val="24"/>
          <w:lang w:eastAsia="en-GB"/>
        </w:rPr>
        <w:t xml:space="preserve"> 2013)</w:t>
      </w:r>
      <w:r w:rsidRPr="008E686A">
        <w:rPr>
          <w:rFonts w:ascii="Times New Roman" w:eastAsia="Times New Roman" w:hAnsi="Times New Roman" w:cs="Times New Roman"/>
          <w:sz w:val="24"/>
          <w:szCs w:val="24"/>
          <w:lang w:eastAsia="en-GB"/>
        </w:rPr>
        <w:fldChar w:fldCharType="end"/>
      </w:r>
      <w:r w:rsidRPr="008E686A">
        <w:rPr>
          <w:rFonts w:ascii="Times New Roman" w:eastAsia="Times New Roman" w:hAnsi="Times New Roman" w:cs="Times New Roman"/>
          <w:sz w:val="24"/>
          <w:szCs w:val="24"/>
          <w:lang w:eastAsia="en-GB"/>
        </w:rPr>
        <w:t xml:space="preserve">.  </w:t>
      </w:r>
      <w:r w:rsidRPr="008E686A">
        <w:rPr>
          <w:rFonts w:ascii="Times New Roman" w:hAnsi="Times New Roman" w:cs="Times New Roman"/>
          <w:sz w:val="24"/>
          <w:szCs w:val="24"/>
        </w:rPr>
        <w:t>In orthodontics, a recent questionnaire-based study concluded that WBAs were acceptable to trainers and trainees</w:t>
      </w:r>
      <w:r w:rsidR="00ED7C9E"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{"citationItems":[{"id":"ITEM-1","itemData":{"author":[{"dropping-particle":"","family":"Sia, JY, Harrison","given":"JE.","non-dropping-particle":"","parse-names":false,"suffix":""}],"container-title":"J Orthod.","id":"ITEM-1","issue":"4","issued":{"date-parts":[["2015"]]},"page":"284-300","title":"Trainers' and trainees' perceptions of workplace-based assessment in orthodontics.","type":"article-journal","volume":"42"},"uris":["http://www.mendeley.com/documents/?uuid=3cbae09a-0af1-4bc1-b7e9-b0f853809d3d"]}],"mendeley":{"formattedCitation":"(Sia, JY, Harrison, 2015)","plainTextFormattedCitation":"(Sia, JY, Harrison, 2015)","previouslyFormattedCitation":"(Sia, JY, Harrison 2015)"},"properties":{"noteIndex":0},"schema":"https://github.com/citation-style-language/schema/raw/master/csl-citation.json"}</w:instrText>
      </w:r>
      <w:r w:rsidRPr="008E686A">
        <w:rPr>
          <w:rFonts w:ascii="Times New Roman" w:hAnsi="Times New Roman" w:cs="Times New Roman"/>
          <w:sz w:val="24"/>
          <w:szCs w:val="24"/>
        </w:rPr>
        <w:fldChar w:fldCharType="separate"/>
      </w:r>
      <w:r w:rsidR="000660BE">
        <w:rPr>
          <w:rFonts w:ascii="Times New Roman" w:hAnsi="Times New Roman" w:cs="Times New Roman"/>
          <w:noProof/>
          <w:sz w:val="24"/>
          <w:szCs w:val="24"/>
        </w:rPr>
        <w:t>(Sia and Harrison</w:t>
      </w:r>
      <w:r w:rsidR="00BE3B6C" w:rsidRPr="008E686A">
        <w:rPr>
          <w:rFonts w:ascii="Times New Roman" w:hAnsi="Times New Roman" w:cs="Times New Roman"/>
          <w:noProof/>
          <w:sz w:val="24"/>
          <w:szCs w:val="24"/>
        </w:rPr>
        <w:t xml:space="preserve"> 2015)</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xml:space="preserve">.  However, doubts were raised regarding whether they are used correctly and if they accurately reflect trainee </w:t>
      </w:r>
      <w:r w:rsidRPr="008E686A">
        <w:rPr>
          <w:rFonts w:ascii="Times New Roman" w:hAnsi="Times New Roman" w:cs="Times New Roman"/>
          <w:sz w:val="24"/>
          <w:szCs w:val="24"/>
        </w:rPr>
        <w:lastRenderedPageBreak/>
        <w:t>progress</w:t>
      </w:r>
      <w:r w:rsidR="00ED7C9E"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{"citationItems":[{"id":"ITEM-1","itemData":{"author":[{"dropping-particle":"","family":"Sia, JY, Harrison","given":"JE.","non-dropping-particle":"","parse-names":false,"suffix":""}],"container-title":"J Orthod.","id":"ITEM-1","issue":"4","issued":{"date-parts":[["2015"]]},"page":"284-300","title":"Trainers' and trainees' perceptions of workplace-based assessment in orthodontics.","type":"article-journal","volume":"42"},"uris":["http://www.mendeley.com/documents/?uuid=3cbae09a-0af1-4bc1-b7e9-b0f853809d3d"]}],"mendeley":{"formattedCitation":"(Sia, JY, Harrison, 2015)","plainTextFormattedCitation":"(Sia, JY, Harrison, 2015)","previouslyFormattedCitation":"(Sia, JY, Harrison 2015)"},"properties":{"noteIndex":0},"schema":"https://github.com/citation-style-language/schema/raw/master/csl-citation.json"}</w:instrText>
      </w:r>
      <w:r w:rsidRPr="008E686A">
        <w:rPr>
          <w:rFonts w:ascii="Times New Roman" w:hAnsi="Times New Roman" w:cs="Times New Roman"/>
          <w:sz w:val="24"/>
          <w:szCs w:val="24"/>
        </w:rPr>
        <w:fldChar w:fldCharType="separate"/>
      </w:r>
      <w:r w:rsidR="000660BE">
        <w:rPr>
          <w:rFonts w:ascii="Times New Roman" w:hAnsi="Times New Roman" w:cs="Times New Roman"/>
          <w:noProof/>
          <w:sz w:val="24"/>
          <w:szCs w:val="24"/>
        </w:rPr>
        <w:t>(Sia and Harrison</w:t>
      </w:r>
      <w:r w:rsidR="00BE3B6C" w:rsidRPr="008E686A">
        <w:rPr>
          <w:rFonts w:ascii="Times New Roman" w:hAnsi="Times New Roman" w:cs="Times New Roman"/>
          <w:noProof/>
          <w:sz w:val="24"/>
          <w:szCs w:val="24"/>
        </w:rPr>
        <w:t xml:space="preserve"> 2015)</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xml:space="preserve"> .  Again, the aforementioned studies reflect the ambiguity in the literature regarding the perceived usefulness of WBAs. The lack of a clear consensus may stem from the nature of these studies. For instance, Miller and Archer</w:t>
      </w:r>
      <w:r w:rsidR="00ED7C9E" w:rsidRPr="008E686A">
        <w:rPr>
          <w:rFonts w:ascii="Times New Roman" w:hAnsi="Times New Roman" w:cs="Times New Roman"/>
          <w:sz w:val="24"/>
          <w:szCs w:val="24"/>
        </w:rPr>
        <w:t xml:space="preserve"> </w:t>
      </w:r>
      <w:r w:rsidRPr="008E686A">
        <w:rPr>
          <w:rFonts w:ascii="Times New Roman" w:hAnsi="Times New Roman" w:cs="Times New Roman"/>
          <w:sz w:val="24"/>
          <w:szCs w:val="24"/>
        </w:rPr>
        <w:fldChar w:fldCharType="begin" w:fldLock="1"/>
      </w:r>
      <w:r w:rsidR="00BE3B6C" w:rsidRPr="008E686A">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review.","type":"article-journal","volume":"341"},"uris":["http://www.mendeley.com/documents/?uuid=5e467429-f82f-4917-86e6-acac1998e2e3"]}],"mendeley":{"formattedCitation":"(Miller and Archer, 2010)","plainTextFormattedCitation":"(Miller and Archer, 2010)","previouslyFormattedCitation":"(A. Miller and Archer 2010)"},"properties":{"noteIndex":0},"schema":"https://github.com/citation-style-language/schema/raw/master/csl-citation.json"}</w:instrText>
      </w:r>
      <w:r w:rsidRPr="008E686A">
        <w:rPr>
          <w:rFonts w:ascii="Times New Roman" w:hAnsi="Times New Roman" w:cs="Times New Roman"/>
          <w:sz w:val="24"/>
          <w:szCs w:val="24"/>
        </w:rPr>
        <w:fldChar w:fldCharType="separate"/>
      </w:r>
      <w:r w:rsidR="000660BE">
        <w:rPr>
          <w:rFonts w:ascii="Times New Roman" w:hAnsi="Times New Roman" w:cs="Times New Roman"/>
          <w:noProof/>
          <w:sz w:val="24"/>
          <w:szCs w:val="24"/>
        </w:rPr>
        <w:t>(</w:t>
      </w:r>
      <w:r w:rsidR="00BE3B6C" w:rsidRPr="008E686A">
        <w:rPr>
          <w:rFonts w:ascii="Times New Roman" w:hAnsi="Times New Roman" w:cs="Times New Roman"/>
          <w:noProof/>
          <w:sz w:val="24"/>
          <w:szCs w:val="24"/>
        </w:rPr>
        <w:t>2010)</w:t>
      </w:r>
      <w:r w:rsidRPr="008E686A">
        <w:rPr>
          <w:rFonts w:ascii="Times New Roman" w:hAnsi="Times New Roman" w:cs="Times New Roman"/>
          <w:sz w:val="24"/>
          <w:szCs w:val="24"/>
        </w:rPr>
        <w:fldChar w:fldCharType="end"/>
      </w:r>
      <w:r w:rsidRPr="008E686A">
        <w:rPr>
          <w:rFonts w:ascii="Times New Roman" w:hAnsi="Times New Roman" w:cs="Times New Roman"/>
          <w:sz w:val="24"/>
          <w:szCs w:val="24"/>
        </w:rPr>
        <w:t xml:space="preserve"> included 16 papers in their systematic review, but half of their papers related to MSFs while the remaind</w:t>
      </w:r>
      <w:r w:rsidR="00600E1A" w:rsidRPr="008E686A">
        <w:rPr>
          <w:rFonts w:ascii="Times New Roman" w:hAnsi="Times New Roman" w:cs="Times New Roman"/>
          <w:sz w:val="24"/>
          <w:szCs w:val="24"/>
        </w:rPr>
        <w:t>er were a mixture of DOPS, Clinical Evaluation Exercises (Mini-</w:t>
      </w:r>
      <w:r w:rsidRPr="008E686A">
        <w:rPr>
          <w:rFonts w:ascii="Times New Roman" w:hAnsi="Times New Roman" w:cs="Times New Roman"/>
          <w:sz w:val="24"/>
          <w:szCs w:val="24"/>
        </w:rPr>
        <w:t>CEX</w:t>
      </w:r>
      <w:r w:rsidR="00600E1A" w:rsidRPr="008E686A">
        <w:rPr>
          <w:rFonts w:ascii="Times New Roman" w:hAnsi="Times New Roman" w:cs="Times New Roman"/>
          <w:sz w:val="24"/>
          <w:szCs w:val="24"/>
        </w:rPr>
        <w:t>)</w:t>
      </w:r>
      <w:r w:rsidRPr="008E686A">
        <w:rPr>
          <w:rFonts w:ascii="Times New Roman" w:hAnsi="Times New Roman" w:cs="Times New Roman"/>
          <w:sz w:val="24"/>
          <w:szCs w:val="24"/>
        </w:rPr>
        <w:t xml:space="preserve"> and other combinations of tools. Furthermore, this</w:t>
      </w:r>
      <w:r w:rsidRPr="006F3B00">
        <w:rPr>
          <w:rFonts w:ascii="Times New Roman" w:hAnsi="Times New Roman" w:cs="Times New Roman"/>
          <w:sz w:val="24"/>
          <w:szCs w:val="24"/>
        </w:rPr>
        <w:t xml:space="preserve"> review examined WBAs across the whole of medicine in which there are numerous specialties to consider. In contrast, Grieveson’s conclusions stemmed from WBAs used in dental foundation training and not specialty training</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{"citationItems":[{"id":"ITEM-1","itemData":{"DOI":"10.1038/sj.bdj.2011.681","ISBN":"0007-0610","ISSN":"1476-5373","PMID":"21869769","abstract":"Objective The aims of this survey were to evaluate the effectiveness of workplace based assessments (WPAs) in dental foundation training (formerly vocational training [VT]).Methods Two online questionnaire surveys were sent to 53 foundation dental practitioners (FDPs) and their 51 trainers in the Mersey Deanery at month four and month nine of the one year of dental foundation training. The questionnaires investigated the effectiveness of and trainers' and trainees' satisfaction with the WPAs used in foundation training, namely dental evaluation of performance (D-EPs), case-based discussions (DcBD) and patients' assessment questionnaires (PAQs). The questionnaires also investigated the perceived impact of reflection and feedback associated with WPAs on clinical practise and improving patient care.Results A total of 41 (7.4%) FDPs and 44 (86.3%) trainers responded. Of the 41 FDPs, the majority found that feedback from WPAs had a positive effect on their training, giving them insight into their development needs. Overall 84.1% of the FDPs felt the WPAs helped them improve patient care and 82.5% of trainers agreed with that outcome.Conclusions The findings from this study demonstrate the value of WPAs in dental foundation training by the use of feedback and reflection in directing the learning of foundation dental practitioners and that this can lead to improved clinical practise and patient care.","author":[{"dropping-particle":"","family":"Grieveson","given":"B","non-dropping-particle":"","parse-names":false,"suffix":""},{"dropping-particle":"","family":"Kirton","given":"J a","non-dropping-particle":"","parse-names":false,"suffix":""},{"dropping-particle":"","family":"Palmer","given":"N O a","non-dropping-particle":"","parse-names":false,"suffix":""},{"dropping-particle":"","family":"Balmer","given":"M C","non-dropping-particle":"","parse-names":false,"suffix":""}],"container-title":"British dental journal","id":"ITEM-1","issue":"4","issued":{"date-parts":[["2011"]]},"page":"E8","title":"Evaluation of workplace based assessment tools in dental foundation training.","type":"article-journal","volume":"211"},"uris":["http://www.mendeley.com/documents/?uuid=8e346649-8069-4545-88d0-b67ecf21ff81"]}],"mendeley":{"formattedCitation":"(Grieveson &lt;i&gt;et al.&lt;/i&gt;, 2011)","plainTextFormattedCitation":"(Grieveson et al., 2011)","previouslyFormattedCitation":"(Grieveson et al. 2011)"},"properties":{"noteIndex":0},"schema":"https://github.com/citation-style-language/schema/raw/master/csl-citation.json"}</w:instrText>
      </w:r>
      <w:r w:rsidRPr="006F3B00">
        <w:rPr>
          <w:rFonts w:ascii="Times New Roman" w:hAnsi="Times New Roman" w:cs="Times New Roman"/>
          <w:sz w:val="24"/>
          <w:szCs w:val="24"/>
        </w:rPr>
        <w:fldChar w:fldCharType="separate"/>
      </w:r>
      <w:r w:rsidR="000660BE">
        <w:rPr>
          <w:rFonts w:ascii="Times New Roman" w:hAnsi="Times New Roman" w:cs="Times New Roman"/>
          <w:noProof/>
          <w:sz w:val="24"/>
          <w:szCs w:val="24"/>
        </w:rPr>
        <w:t>(</w:t>
      </w:r>
      <w:r w:rsidR="00BE3B6C" w:rsidRPr="00BE3B6C">
        <w:rPr>
          <w:rFonts w:ascii="Times New Roman" w:hAnsi="Times New Roman" w:cs="Times New Roman"/>
          <w:noProof/>
          <w:sz w:val="24"/>
          <w:szCs w:val="24"/>
        </w:rPr>
        <w:t>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Here, the WBAs were also co</w:t>
      </w:r>
      <w:r w:rsidR="00600E1A">
        <w:rPr>
          <w:rFonts w:ascii="Times New Roman" w:hAnsi="Times New Roman" w:cs="Times New Roman"/>
          <w:sz w:val="24"/>
          <w:szCs w:val="24"/>
        </w:rPr>
        <w:t>mpletely different, comprising Dental Evaluation of P</w:t>
      </w:r>
      <w:r w:rsidRPr="006F3B00">
        <w:rPr>
          <w:rFonts w:ascii="Times New Roman" w:hAnsi="Times New Roman" w:cs="Times New Roman"/>
          <w:sz w:val="24"/>
          <w:szCs w:val="24"/>
        </w:rPr>
        <w:t xml:space="preserve">erformance (D-EPs), </w:t>
      </w:r>
      <w:r w:rsidR="00600E1A">
        <w:rPr>
          <w:rFonts w:ascii="Times New Roman" w:hAnsi="Times New Roman" w:cs="Times New Roman"/>
          <w:sz w:val="24"/>
          <w:szCs w:val="24"/>
        </w:rPr>
        <w:t>CBDs and P</w:t>
      </w:r>
      <w:r w:rsidRPr="006F3B00">
        <w:rPr>
          <w:rFonts w:ascii="Times New Roman" w:hAnsi="Times New Roman" w:cs="Times New Roman"/>
          <w:sz w:val="24"/>
          <w:szCs w:val="24"/>
        </w:rPr>
        <w:t>at</w:t>
      </w:r>
      <w:r w:rsidR="00600E1A">
        <w:rPr>
          <w:rFonts w:ascii="Times New Roman" w:hAnsi="Times New Roman" w:cs="Times New Roman"/>
          <w:sz w:val="24"/>
          <w:szCs w:val="24"/>
        </w:rPr>
        <w:t>ients' Assessment Q</w:t>
      </w:r>
      <w:r w:rsidRPr="006F3B00">
        <w:rPr>
          <w:rFonts w:ascii="Times New Roman" w:hAnsi="Times New Roman" w:cs="Times New Roman"/>
          <w:sz w:val="24"/>
          <w:szCs w:val="24"/>
        </w:rPr>
        <w:t>uestionnaires (PAQs) rendering the results non-comparable. Finally, the study from Sia and Harrison looked at a specific group of individuals; orthodontic trainees and trainers</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{"citationItems":[{"id":"ITEM-1","itemData":{"author":[{"dropping-particle":"","family":"Sia, JY, Harrison","given":"JE.","non-dropping-particle":"","parse-names":false,"suffix":""}],"container-title":"J Orthod.","id":"ITEM-1","issue":"4","issued":{"date-parts":[["2015"]]},"page":"284-300","title":"Trainers' and trainees' perceptions of workplace-based assessment in orthodontics.","type":"article-journal","volume":"42"},"uris":["http://www.mendeley.com/documents/?uuid=3cbae09a-0af1-4bc1-b7e9-b0f853809d3d"]}],"mendeley":{"formattedCitation":"(Sia, JY, Harrison, 2015)","plainTextFormattedCitation":"(Sia, JY, Harrison, 2015)","previouslyFormattedCitation":"(Sia, JY, Harrison 2015)"},"properties":{"noteIndex":0},"schema":"https://github.com/citation-style-language/schema/raw/master/csl-citation.json"}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 authors determined agreement with statements using a 5-point Likert</w:t>
      </w:r>
      <w:r w:rsidR="00600E1A">
        <w:rPr>
          <w:rFonts w:ascii="Times New Roman" w:hAnsi="Times New Roman" w:cs="Times New Roman"/>
          <w:sz w:val="24"/>
          <w:szCs w:val="24"/>
        </w:rPr>
        <w:t xml:space="preserve"> type</w:t>
      </w:r>
      <w:r w:rsidRPr="006F3B00">
        <w:rPr>
          <w:rFonts w:ascii="Times New Roman" w:hAnsi="Times New Roman" w:cs="Times New Roman"/>
          <w:sz w:val="24"/>
          <w:szCs w:val="24"/>
        </w:rPr>
        <w:t xml:space="preserve"> scale, while Grieveson’s study used a dichotomous scale of “agree” or “disagree”. These differences in study design mean that other specialties must be careful when interpreting results or extrapolating findings to different medical contexts.</w:t>
      </w:r>
    </w:p>
    <w:p w14:paraId="26654B0D" w14:textId="0C2A4020" w:rsidR="000660BE"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Feedback should be tailored to the individual and given immediately after the encounter to be most valuable</w:t>
      </w:r>
      <w:r w:rsidR="000660B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{"citationItems":[{"id":"ITEM-1","itemData":{"DOI":"10.1080/03075070600572090","ISBN":"0307-5079","ISSN":"0307-5079","abstract":"The research on formative assessment and feedback is re-interpreted to show how these processes can help students take control of their own learning – i.e. become self-regulated learners. This reformulation is used to identify seven principles of good feedback practice that support self-regulation. A key argument is that students are already assessing their own work and generating their own feedback and that higher education should build on this ability. The research underpinning each feedback principle is presented and some examples of easy-to-implement feedback strategies are briefly described. This shift in focus, whereby students are seen as having a proactive rather than a reactive role in generating and using feedback, has profound implications for the way in which teachers organise assessments and support learning.","author":[{"dropping-particle":"","family":"Nicol","given":"Dj","non-dropping-particle":"","parse-names":false,"suffix":""},{"dropping-particle":"","family":"Macfarlane‐Dick","given":"D","non-dropping-particle":"","parse-names":false,"suffix":""}],"container-title":"Studies in higher education","id":"ITEM-1","issue":"2","issued":{"date-parts":[["2006"]]},"page":"199-218","title":"Formative assessment and self-regulated learning : A model and seven principles of good feedback practice.","type":"article-journal","volume":"31"},"uris":["http://www.mendeley.com/documents/?uuid=6ddbb491-38fa-462b-80df-12c95c83da67"]}],"mendeley":{"formattedCitation":"(Nicol and Macfarlane‐Dick, 2006)","plainTextFormattedCitation":"(Nicol and Macfarlane‐Dick, 2006)","previouslyFormattedCitation":"(Nicol and Macfarlane‐Dick 2006)"},"properties":{"noteIndex":0},"schema":"https://github.com/citation-style-language/schema/raw/master/csl-citation.json"}</w:instrText>
      </w:r>
      <w:r w:rsidRPr="006F3B00">
        <w:rPr>
          <w:rFonts w:ascii="Times New Roman" w:hAnsi="Times New Roman" w:cs="Times New Roman"/>
          <w:sz w:val="24"/>
          <w:szCs w:val="24"/>
        </w:rPr>
        <w:fldChar w:fldCharType="separate"/>
      </w:r>
      <w:r w:rsidR="000660BE">
        <w:rPr>
          <w:rFonts w:ascii="Times New Roman" w:hAnsi="Times New Roman" w:cs="Times New Roman"/>
          <w:noProof/>
          <w:sz w:val="24"/>
          <w:szCs w:val="24"/>
        </w:rPr>
        <w:t>(Nicol and Macfarlane‐Dick</w:t>
      </w:r>
      <w:r w:rsidR="00BE3B6C" w:rsidRPr="00BE3B6C">
        <w:rPr>
          <w:rFonts w:ascii="Times New Roman" w:hAnsi="Times New Roman" w:cs="Times New Roman"/>
          <w:noProof/>
          <w:sz w:val="24"/>
          <w:szCs w:val="24"/>
        </w:rPr>
        <w:t xml:space="preserve"> 2006)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However, trainees may be reluctant to change their behaviour and trainees have to feel that there are sufficient mechanisms in place to nurture their development</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review.","type":"article-journal","volume":"341"},"uris":["http://www.mendeley.com/documents/?uuid=5e467429-f82f-4917-86e6-acac1998e2e3"]}],"mendeley":{"formattedCitation":"(Miller and Archer, 2010)","plainTextFormattedCitation":"(Miller and Archer, 2010)","previouslyFormattedCitation":"(A. Miller and Archer 2010)"},"properties":{"noteIndex":0},"schema":"https://github.com/citation-style-language/schema/raw/master/csl-citation.json"}</w:instrText>
      </w:r>
      <w:r w:rsidRPr="006F3B00">
        <w:rPr>
          <w:rFonts w:ascii="Times New Roman" w:hAnsi="Times New Roman" w:cs="Times New Roman"/>
          <w:sz w:val="24"/>
          <w:szCs w:val="24"/>
        </w:rPr>
        <w:fldChar w:fldCharType="separate"/>
      </w:r>
      <w:r w:rsidR="000660BE">
        <w:rPr>
          <w:rFonts w:ascii="Times New Roman" w:hAnsi="Times New Roman" w:cs="Times New Roman"/>
          <w:noProof/>
          <w:sz w:val="24"/>
          <w:szCs w:val="24"/>
        </w:rPr>
        <w:t>(Miller and Archer</w:t>
      </w:r>
      <w:r w:rsidR="00BE3B6C" w:rsidRPr="00BE3B6C">
        <w:rPr>
          <w:rFonts w:ascii="Times New Roman" w:hAnsi="Times New Roman" w:cs="Times New Roman"/>
          <w:noProof/>
          <w:sz w:val="24"/>
          <w:szCs w:val="24"/>
        </w:rPr>
        <w:t xml:space="preserve"> 2010)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Studies exploring why feedback may have limited impact on a trainee and how the trainee </w:t>
      </w:r>
      <w:r w:rsidRPr="000660BE">
        <w:rPr>
          <w:rFonts w:ascii="Times New Roman" w:hAnsi="Times New Roman" w:cs="Times New Roman"/>
          <w:sz w:val="24"/>
          <w:szCs w:val="24"/>
        </w:rPr>
        <w:t>processes the feedback is a growing area of interest</w:t>
      </w:r>
      <w:r w:rsidR="00ED7C9E" w:rsidRPr="000660BE">
        <w:rPr>
          <w:rFonts w:ascii="Times New Roman" w:hAnsi="Times New Roman" w:cs="Times New Roman"/>
          <w:sz w:val="24"/>
          <w:szCs w:val="24"/>
        </w:rPr>
        <w:t xml:space="preserve"> </w:t>
      </w:r>
      <w:r w:rsidRPr="000660BE">
        <w:rPr>
          <w:rFonts w:ascii="Times New Roman" w:hAnsi="Times New Roman" w:cs="Times New Roman"/>
          <w:sz w:val="24"/>
          <w:szCs w:val="24"/>
        </w:rPr>
        <w:fldChar w:fldCharType="begin" w:fldLock="1"/>
      </w:r>
      <w:r w:rsidR="00BE3B6C" w:rsidRPr="000660BE">
        <w:rPr>
          <w:rFonts w:ascii="Times New Roman" w:hAnsi="Times New Roman" w:cs="Times New Roman"/>
          <w:sz w:val="24"/>
          <w:szCs w:val="24"/>
        </w:rPr>
        <w:instrText>ADDIN CSL_CITATION {"citationItems":[{"id":"ITEM-1","itemData":{"DOI":"10.1111/j.1365-2923.2011.04137.x","ISBN":"0308-0110","ISSN":"03080110","PMID":"22239334","abstract":"CONTEXT: Performance-based workplace assessments are increasingly important in clinical training. Given the inaccuracy of self-assessment, the provision of external feedback to residents about their clinical skills is necessary for the development of expertise. However, little is known about the processes used by faculty members in giving feedback to residents after observing them with patients. This study explores the factors that underpin faculty members' decisions regarding the feedback they give to residents after directly observing them with patients and the factors that influence how feedback is delivered.\\n\\nMETHODS: In 2009, 44 general internal medicine faculty staff responsible for out-patient resident teaching from 16 internal medicine residency programmes watched four videotaped scenarios and two live scenarios of standardised residents (SRs) with standardised patients and rated the SRs using the mini-clinical evaluation exercise (mini-CEX) format. Faculty staff also provided feedback to the SRs after the live encounters. After each encounter, faculty staff were individually interviewed using a semi-structured interview. Interviews were videotaped, transcribed and analysed using grounded theory methods.\\n\\nRESULTS: Two broad themes were identified in faculty members' descriptions of the feedback process: variability in feedback techniques, and the factors that influence how faculty staff think and feel about delivering feedback. Multiple approaches to feedback delivery were observed. Faculty members' tensions in balancing positive and negative feedback, their own perceived self-efficacy, their perceptions of the resident's insight, receptivity, skill and potential, the faculty member-resident relationship and contextual factors impacted the feedback process.\\n\\nCONCLUSIONS: The provision of feedback by faculty staff to residents after observing resident-patient interactions is a complex and dynamic process and is influenced by many factors. Understanding these cognitive and affective factors may provide insight into potential new approaches to faculty development to improve faculty staff's feedback skills and the effectiveness of their feedback.","author":[{"dropping-particle":"","family":"Kogan","given":"Jennifer R.","non-dropping-particle":"","parse-names":false,"suffix":""},{"dropping-particle":"","family":"Conforti","given":"Lisa N.","non-dropping-particle":"","parse-names":false,"suffix":""},{"dropping-particle":"","family":"Bernabeo","given":"Elizabeth C.","non-dropping-particle":"","parse-names":false,"suffix":""},{"dropping-particle":"","family":"Durning","given":"Steven J.","non-dropping-particle":"","parse-names":false,"suffix":""},{"dropping-particle":"","family":"Hauer","given":"Karen E.","non-dropping-particle":"","parse-names":false,"suffix":""},{"dropping-particle":"","family":"Holmboe","given":"Eric S.","non-dropping-particle":"","parse-names":false,"suffix":""}],"container-title":"Medical Education","id":"ITEM-1","issue":"2","issued":{"date-parts":[["2012"]]},"page":"201-215","title":"Faculty staff perceptions of feedback to residents after direct observation of clinical skills","type":"article-journal","volume":"46"},"uris":["http://www.mendeley.com/documents/?uuid=092f7b1c-1eb7-4f56-870a-135d08de7f2f"]},{"id":"ITEM-2","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Teacher","id":"ITEM-2","issued":{"date-parts":[["2011"]]},"page":"919-927","title":"Trainee doctors’ views on workplace-based assessments: Are they just a tick box exercise?","type":"article-journal","volume":"33"},"uris":["http://www.mendeley.com/documents/?uuid=0cf9d153-6e01-4ac8-856e-d3f58aea7621"]}],"mendeley":{"formattedCitation":"(Bindal, Wall and Goodyear, 2011; Kogan &lt;i&gt;et al.&lt;/i&gt;, 2012)","plainTextFormattedCitation":"(Bindal, Wall and Goodyear, 2011; Kogan et al., 2012)","previouslyFormattedCitation":"(Kogan et al. 2012; Bindal, Wall, and Goodyear 2011)"},"properties":{"noteIndex":0},"schema":"https://github.com/citation-style-language/schema/raw/master/csl-citation.json"}</w:instrText>
      </w:r>
      <w:r w:rsidRPr="000660BE">
        <w:rPr>
          <w:rFonts w:ascii="Times New Roman" w:hAnsi="Times New Roman" w:cs="Times New Roman"/>
          <w:sz w:val="24"/>
          <w:szCs w:val="24"/>
        </w:rPr>
        <w:fldChar w:fldCharType="separate"/>
      </w:r>
      <w:r w:rsidR="000660BE" w:rsidRPr="000660BE">
        <w:rPr>
          <w:rFonts w:ascii="Times New Roman" w:hAnsi="Times New Roman" w:cs="Times New Roman"/>
          <w:noProof/>
          <w:sz w:val="24"/>
          <w:szCs w:val="24"/>
        </w:rPr>
        <w:t>(Bindal, Wall and Goodyear</w:t>
      </w:r>
      <w:r w:rsidR="00BE3B6C" w:rsidRPr="000660BE">
        <w:rPr>
          <w:rFonts w:ascii="Times New Roman" w:hAnsi="Times New Roman" w:cs="Times New Roman"/>
          <w:noProof/>
          <w:sz w:val="24"/>
          <w:szCs w:val="24"/>
        </w:rPr>
        <w:t xml:space="preserve"> 2011; Kogan et al. 2012)</w:t>
      </w:r>
      <w:r w:rsidRPr="000660BE">
        <w:rPr>
          <w:rFonts w:ascii="Times New Roman" w:hAnsi="Times New Roman" w:cs="Times New Roman"/>
          <w:sz w:val="24"/>
          <w:szCs w:val="24"/>
        </w:rPr>
        <w:fldChar w:fldCharType="end"/>
      </w:r>
      <w:r w:rsidRPr="000660BE">
        <w:rPr>
          <w:rFonts w:ascii="Times New Roman" w:hAnsi="Times New Roman" w:cs="Times New Roman"/>
          <w:sz w:val="24"/>
          <w:szCs w:val="24"/>
        </w:rPr>
        <w:t xml:space="preserve">. To this end, trainers may feel they have insufficient time and expertise to foster development in their trainees and trainees sometimes view WBAs as a </w:t>
      </w:r>
      <w:r w:rsidRPr="000660BE">
        <w:rPr>
          <w:rFonts w:ascii="Times New Roman" w:hAnsi="Times New Roman" w:cs="Times New Roman"/>
          <w:sz w:val="24"/>
          <w:szCs w:val="24"/>
        </w:rPr>
        <w:lastRenderedPageBreak/>
        <w:t>chore with little respect for their importance</w:t>
      </w:r>
      <w:r w:rsidR="000660BE">
        <w:rPr>
          <w:rFonts w:ascii="Times New Roman" w:hAnsi="Times New Roman" w:cs="Times New Roman"/>
          <w:sz w:val="24"/>
          <w:szCs w:val="24"/>
        </w:rPr>
        <w:t xml:space="preserve"> </w:t>
      </w:r>
      <w:r w:rsidRPr="000660BE">
        <w:rPr>
          <w:rFonts w:ascii="Times New Roman" w:hAnsi="Times New Roman" w:cs="Times New Roman"/>
          <w:sz w:val="24"/>
          <w:szCs w:val="24"/>
        </w:rPr>
        <w:fldChar w:fldCharType="begin" w:fldLock="1"/>
      </w:r>
      <w:r w:rsidR="00BE3B6C" w:rsidRPr="000660BE">
        <w:rPr>
          <w:rFonts w:ascii="Times New Roman" w:hAnsi="Times New Roman" w:cs="Times New Roman"/>
          <w:sz w:val="24"/>
          <w:szCs w:val="24"/>
        </w:rPr>
        <w:instrText>ADDIN CSL_CITATION {"citationItems":[{"id":"ITEM-1","itemData":{"DOI":"10.1111/j.1365-2923.2011.04137.x","ISBN":"0308-0110","ISSN":"03080110","PMID":"22239334","abstract":"CONTEXT: Performance-based workplace assessments are increasingly important in clinical training. Given the inaccuracy of self-assessment, the provision of external feedback to residents about their clinical skills is necessary for the development of expertise. However, little is known about the processes used by faculty members in giving feedback to residents after observing them with patients. This study explores the factors that underpin faculty members' decisions regarding the feedback they give to residents after directly observing them with patients and the factors that influence how feedback is delivered.\\n\\nMETHODS: In 2009, 44 general internal medicine faculty staff responsible for out-patient resident teaching from 16 internal medicine residency programmes watched four videotaped scenarios and two live scenarios of standardised residents (SRs) with standardised patients and rated the SRs using the mini-clinical evaluation exercise (mini-CEX) format. Faculty staff also provided feedback to the SRs after the live encounters. After each encounter, faculty staff were individually interviewed using a semi-structured interview. Interviews were videotaped, transcribed and analysed using grounded theory methods.\\n\\nRESULTS: Two broad themes were identified in faculty members' descriptions of the feedback process: variability in feedback techniques, and the factors that influence how faculty staff think and feel about delivering feedback. Multiple approaches to feedback delivery were observed. Faculty members' tensions in balancing positive and negative feedback, their own perceived self-efficacy, their perceptions of the resident's insight, receptivity, skill and potential, the faculty member-resident relationship and contextual factors impacted the feedback process.\\n\\nCONCLUSIONS: The provision of feedback by faculty staff to residents after observing resident-patient interactions is a complex and dynamic process and is influenced by many factors. Understanding these cognitive and affective factors may provide insight into potential new approaches to faculty development to improve faculty staff's feedback skills and the effectiveness of their feedback.","author":[{"dropping-particle":"","family":"Kogan","given":"Jennifer R.","non-dropping-particle":"","parse-names":false,"suffix":""},{"dropping-particle":"","family":"Conforti","given":"Lisa N.","non-dropping-particle":"","parse-names":false,"suffix":""},{"dropping-particle":"","family":"Bernabeo","given":"Elizabeth C.","non-dropping-particle":"","parse-names":false,"suffix":""},{"dropping-particle":"","family":"Durning","given":"Steven J.","non-dropping-particle":"","parse-names":false,"suffix":""},{"dropping-particle":"","family":"Hauer","given":"Karen E.","non-dropping-particle":"","parse-names":false,"suffix":""},{"dropping-particle":"","family":"Holmboe","given":"Eric S.","non-dropping-particle":"","parse-names":false,"suffix":""}],"container-title":"Medical Education","id":"ITEM-1","issue":"2","issued":{"date-parts":[["2012"]]},"page":"201-215","title":"Faculty staff perceptions of feedback to residents after direct observation of clinical skills","type":"article-journal","volume":"46"},"uris":["http://www.mendeley.com/documents/?uuid=092f7b1c-1eb7-4f56-870a-135d08de7f2f"]},{"id":"ITEM-2","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Teacher","id":"ITEM-2","issued":{"date-parts":[["2011"]]},"page":"919-927","title":"Trainee doctors’ views on workplace-based assessments: Are they just a tick box exercise?","type":"article-journal","volume":"33"},"uris":["http://www.mendeley.com/documents/?uuid=0cf9d153-6e01-4ac8-856e-d3f58aea7621"]}],"mendeley":{"formattedCitation":"(Bindal, Wall and Goodyear, 2011; Kogan &lt;i&gt;et al.&lt;/i&gt;, 2012)","plainTextFormattedCitation":"(Bindal, Wall and Goodyear, 2011; Kogan et al., 2012)","previouslyFormattedCitation":"(Kogan et al. 2012; Bindal, Wall, and Goodyear 2011)"},"properties":{"noteIndex":0},"schema":"https://github.com/citation-style-language/schema/raw/master/csl-citation.json"}</w:instrText>
      </w:r>
      <w:r w:rsidRPr="000660BE">
        <w:rPr>
          <w:rFonts w:ascii="Times New Roman" w:hAnsi="Times New Roman" w:cs="Times New Roman"/>
          <w:sz w:val="24"/>
          <w:szCs w:val="24"/>
        </w:rPr>
        <w:fldChar w:fldCharType="separate"/>
      </w:r>
      <w:r w:rsidR="000660BE">
        <w:rPr>
          <w:rFonts w:ascii="Times New Roman" w:hAnsi="Times New Roman" w:cs="Times New Roman"/>
          <w:noProof/>
          <w:sz w:val="24"/>
          <w:szCs w:val="24"/>
        </w:rPr>
        <w:t>(Bindal, Wall and Goodyear</w:t>
      </w:r>
      <w:r w:rsidR="00BE3B6C" w:rsidRPr="000660BE">
        <w:rPr>
          <w:rFonts w:ascii="Times New Roman" w:hAnsi="Times New Roman" w:cs="Times New Roman"/>
          <w:noProof/>
          <w:sz w:val="24"/>
          <w:szCs w:val="24"/>
        </w:rPr>
        <w:t xml:space="preserve"> 2011; Kogan et al. 2012)</w:t>
      </w:r>
      <w:r w:rsidRPr="000660BE">
        <w:rPr>
          <w:rFonts w:ascii="Times New Roman" w:hAnsi="Times New Roman" w:cs="Times New Roman"/>
          <w:sz w:val="24"/>
          <w:szCs w:val="24"/>
        </w:rPr>
        <w:fldChar w:fldCharType="end"/>
      </w:r>
      <w:r w:rsidRPr="000660BE">
        <w:rPr>
          <w:rFonts w:ascii="Times New Roman" w:hAnsi="Times New Roman" w:cs="Times New Roman"/>
          <w:sz w:val="24"/>
          <w:szCs w:val="24"/>
        </w:rPr>
        <w:t>. One systematic review concluded that</w:t>
      </w:r>
      <w:r w:rsidR="000660BE">
        <w:rPr>
          <w:rFonts w:ascii="Times New Roman" w:hAnsi="Times New Roman" w:cs="Times New Roman"/>
          <w:sz w:val="24"/>
          <w:szCs w:val="24"/>
        </w:rPr>
        <w:t>:</w:t>
      </w:r>
    </w:p>
    <w:p w14:paraId="4BEAD3C8" w14:textId="77777777" w:rsidR="000660BE" w:rsidRDefault="000660BE" w:rsidP="00863DF5">
      <w:pPr>
        <w:spacing w:after="0" w:line="480" w:lineRule="auto"/>
        <w:rPr>
          <w:rFonts w:ascii="Times New Roman" w:hAnsi="Times New Roman" w:cs="Times New Roman"/>
          <w:sz w:val="24"/>
          <w:szCs w:val="24"/>
        </w:rPr>
      </w:pPr>
    </w:p>
    <w:p w14:paraId="7BB93402" w14:textId="567075FB" w:rsidR="00863DF5" w:rsidRDefault="000660BE" w:rsidP="000660BE">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C</w:t>
      </w:r>
      <w:r w:rsidR="00863DF5" w:rsidRPr="000660BE">
        <w:rPr>
          <w:rFonts w:ascii="Times New Roman" w:hAnsi="Times New Roman" w:cs="Times New Roman"/>
          <w:sz w:val="24"/>
          <w:szCs w:val="24"/>
        </w:rPr>
        <w:t>onsidering the emphasis placed on workplace-based assessment as a method of formative assessment, there are few published articles exploring its impact on doc</w:t>
      </w:r>
      <w:r>
        <w:rPr>
          <w:rFonts w:ascii="Times New Roman" w:hAnsi="Times New Roman" w:cs="Times New Roman"/>
          <w:sz w:val="24"/>
          <w:szCs w:val="24"/>
        </w:rPr>
        <w:t xml:space="preserve">tors’ education and performance </w:t>
      </w:r>
      <w:r w:rsidR="00863DF5" w:rsidRPr="000660BE">
        <w:rPr>
          <w:rFonts w:ascii="Times New Roman" w:hAnsi="Times New Roman" w:cs="Times New Roman"/>
          <w:sz w:val="24"/>
          <w:szCs w:val="24"/>
        </w:rPr>
        <w:fldChar w:fldCharType="begin" w:fldLock="1"/>
      </w:r>
      <w:r w:rsidR="00BE3B6C" w:rsidRPr="000660BE">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review.","type":"article-journal","volume":"341"},"uris":["http://www.mendeley.com/documents/?uuid=5e467429-f82f-4917-86e6-acac1998e2e3"]}],"mendeley":{"formattedCitation":"(Miller and Archer, 2010)","plainTextFormattedCitation":"(Miller and Archer, 2010)","previouslyFormattedCitation":"(A. Miller and Archer 2010)"},"properties":{"noteIndex":0},"schema":"https://github.com/citation-style-language/schema/raw/master/csl-citation.json"}</w:instrText>
      </w:r>
      <w:r w:rsidR="00863DF5" w:rsidRPr="000660BE">
        <w:rPr>
          <w:rFonts w:ascii="Times New Roman" w:hAnsi="Times New Roman" w:cs="Times New Roman"/>
          <w:sz w:val="24"/>
          <w:szCs w:val="24"/>
        </w:rPr>
        <w:fldChar w:fldCharType="separate"/>
      </w:r>
      <w:r>
        <w:rPr>
          <w:rFonts w:ascii="Times New Roman" w:hAnsi="Times New Roman" w:cs="Times New Roman"/>
          <w:noProof/>
          <w:sz w:val="24"/>
          <w:szCs w:val="24"/>
        </w:rPr>
        <w:t>(Miller and Archer</w:t>
      </w:r>
      <w:r w:rsidR="00BE3B6C" w:rsidRPr="000660BE">
        <w:rPr>
          <w:rFonts w:ascii="Times New Roman" w:hAnsi="Times New Roman" w:cs="Times New Roman"/>
          <w:noProof/>
          <w:sz w:val="24"/>
          <w:szCs w:val="24"/>
        </w:rPr>
        <w:t xml:space="preserve"> 2010</w:t>
      </w:r>
      <w:r>
        <w:rPr>
          <w:rFonts w:ascii="Times New Roman" w:hAnsi="Times New Roman" w:cs="Times New Roman"/>
          <w:noProof/>
          <w:sz w:val="24"/>
          <w:szCs w:val="24"/>
        </w:rPr>
        <w:t>, p.</w:t>
      </w:r>
      <w:r w:rsidR="006E0435">
        <w:rPr>
          <w:rFonts w:ascii="Times New Roman" w:hAnsi="Times New Roman" w:cs="Times New Roman"/>
          <w:noProof/>
          <w:sz w:val="24"/>
          <w:szCs w:val="24"/>
        </w:rPr>
        <w:t xml:space="preserve"> 1</w:t>
      </w:r>
      <w:r w:rsidR="00BE3B6C" w:rsidRPr="000660BE">
        <w:rPr>
          <w:rFonts w:ascii="Times New Roman" w:hAnsi="Times New Roman" w:cs="Times New Roman"/>
          <w:noProof/>
          <w:sz w:val="24"/>
          <w:szCs w:val="24"/>
        </w:rPr>
        <w:t>)</w:t>
      </w:r>
      <w:r w:rsidR="00863DF5" w:rsidRPr="000660BE">
        <w:rPr>
          <w:rFonts w:ascii="Times New Roman" w:hAnsi="Times New Roman" w:cs="Times New Roman"/>
          <w:sz w:val="24"/>
          <w:szCs w:val="24"/>
        </w:rPr>
        <w:fldChar w:fldCharType="end"/>
      </w:r>
      <w:r w:rsidR="00863DF5" w:rsidRPr="000660BE">
        <w:rPr>
          <w:rFonts w:ascii="Times New Roman" w:hAnsi="Times New Roman" w:cs="Times New Roman"/>
          <w:sz w:val="24"/>
          <w:szCs w:val="24"/>
        </w:rPr>
        <w:t xml:space="preserve">. </w:t>
      </w:r>
    </w:p>
    <w:p w14:paraId="30F9B37D" w14:textId="77777777" w:rsidR="000660BE" w:rsidRPr="000660BE" w:rsidRDefault="000660BE" w:rsidP="000660BE">
      <w:pPr>
        <w:spacing w:after="0" w:line="480" w:lineRule="auto"/>
        <w:ind w:left="720"/>
        <w:rPr>
          <w:rFonts w:ascii="Times New Roman" w:hAnsi="Times New Roman" w:cs="Times New Roman"/>
          <w:sz w:val="24"/>
          <w:szCs w:val="24"/>
        </w:rPr>
      </w:pPr>
    </w:p>
    <w:p w14:paraId="0B0D3DE5" w14:textId="6FFC00CB"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Clearly, user acceptability and engagement is also essential to the success of any education innovation and the lack of engagement has been suggested to stem from a perceived lack of purpose for WBAs, time constraints and addressing the quality of feedback</w:t>
      </w:r>
      <w:r w:rsidR="006E0435">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{"citationItems":[{"id":"ITEM-1","itemData":{"DOI":"10.1007/s10459-015-9614-0","ISSN":"1382-4996","PMID":"26003590","abstract":"Workplace based assessments (WBAs) are now commonplace in postgraduate medical training. User acceptability and engagement is essential to the success of any medical education innovation. To this end, possessing an insight into trainee and trainer perceptions towards WBAs will help identify the major problems, permitting strategies to be introduced to improve WBA implementation. A review of literature was performed to identify studies examining trainee and trainer perceptions towards WBAs. Studies were excluded if non-English or sampling a non-medical/dental population. The identified literature was synthesised for the purpose of this critical narrative review. It is clear that there is widespread negativity towards WBAs in the workplace. This has negatively impacted on the effectiveness of WBA tools as learning aids. This negativity exists in trainees but also to an extent in their trainers. Insight gained from the literature reveals three dominant problems with WBA implementation: poor understanding as to the purpose of WBAs; insufficient time available for undertaking these assessments; and inadequate training of trainers. Approaches to addressing these three problems with WBA implementation are discussed. It is likely that a variety of solutions will be required. The prevalence of negativity towards WBAs is substantial in both trainees and trainers, eroding the effectiveness of learning that is consequent upon them. The educational community must now listen to the concerns being raised by the users and consider the range of strategies being proposed to improve the experiences of trainees, and their trainers.","author":[{"dropping-particle":"","family":"Massie","given":"Jonathan","non-dropping-particle":"","parse-names":false,"suffix":""},{"dropping-particle":"","family":"Ali","given":"Jason M.","non-dropping-particle":"","parse-names":false,"suffix":""}],"container-title":"Advances in Health Sciences Education","id":"ITEM-1","issued":{"date-parts":[["2015"]]},"page":"EarlyOnline","title":"Workplace-based assessment: a review of user perceptions and strategies to address the identified shortcomings","type":"article-journal"},"uris":["http://www.mendeley.com/documents/?uuid=cbc01e63-6cf3-4edd-90ef-228459242c69"]}],"mendeley":{"formattedCitation":"(Massie and Ali, 2015)","plainTextFormattedCitation":"(Massie and Ali, 2015)","previouslyFormattedCitation":"(Massie and Ali 2015)"},"properties":{"noteIndex":0},"schema":"https://github.com/citation-style-language/schema/raw/master/csl-citation.json"}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(Massie and A</w:t>
      </w:r>
      <w:r w:rsidR="006E0435">
        <w:rPr>
          <w:rFonts w:ascii="Times New Roman" w:hAnsi="Times New Roman" w:cs="Times New Roman"/>
          <w:noProof/>
          <w:sz w:val="24"/>
          <w:szCs w:val="24"/>
        </w:rPr>
        <w:t>li</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160C35C3" w14:textId="496D737D" w:rsidR="00863DF5" w:rsidRPr="006F3B00" w:rsidRDefault="00CC58FD" w:rsidP="00863DF5">
      <w:pPr>
        <w:pStyle w:val="Heading3"/>
        <w:rPr>
          <w:rFonts w:ascii="Times New Roman" w:hAnsi="Times New Roman" w:cs="Times New Roman"/>
          <w:color w:val="auto"/>
          <w:sz w:val="24"/>
          <w:szCs w:val="24"/>
        </w:rPr>
      </w:pPr>
      <w:bookmarkStart w:id="45" w:name="_Toc23243774"/>
      <w:r>
        <w:rPr>
          <w:rFonts w:ascii="Times New Roman" w:hAnsi="Times New Roman" w:cs="Times New Roman"/>
          <w:color w:val="auto"/>
          <w:sz w:val="24"/>
          <w:szCs w:val="24"/>
        </w:rPr>
        <w:t>1.3</w:t>
      </w:r>
      <w:r w:rsidR="009114C0">
        <w:rPr>
          <w:rFonts w:ascii="Times New Roman" w:hAnsi="Times New Roman" w:cs="Times New Roman"/>
          <w:color w:val="auto"/>
          <w:sz w:val="24"/>
          <w:szCs w:val="24"/>
        </w:rPr>
        <w:t>.1.3</w:t>
      </w:r>
      <w:r w:rsidR="00863DF5" w:rsidRPr="006F3B00">
        <w:rPr>
          <w:rFonts w:ascii="Times New Roman" w:hAnsi="Times New Roman" w:cs="Times New Roman"/>
          <w:color w:val="auto"/>
          <w:sz w:val="24"/>
          <w:szCs w:val="24"/>
        </w:rPr>
        <w:t xml:space="preserve"> Acceptability</w:t>
      </w:r>
      <w:bookmarkEnd w:id="45"/>
    </w:p>
    <w:p w14:paraId="6D773CD3" w14:textId="77777777" w:rsidR="00863DF5" w:rsidRPr="006F3B00" w:rsidRDefault="00863DF5" w:rsidP="00863DF5">
      <w:pPr>
        <w:rPr>
          <w:rFonts w:ascii="Times New Roman" w:hAnsi="Times New Roman" w:cs="Times New Roman"/>
          <w:sz w:val="24"/>
          <w:szCs w:val="24"/>
        </w:rPr>
      </w:pPr>
    </w:p>
    <w:p w14:paraId="12655355" w14:textId="3EFE4665" w:rsidR="00863DF5" w:rsidRPr="00956F99"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One study suggested that WBAs can also become tiresome for trainees</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{"citationItems":[{"id":"ITEM-1","itemData":{"DOI":"10.1258/jrsm.2009.080398","ISBN":"1758-1095; 0141-0768","ISSN":"0141-0768","PMID":"19734525","abstract":"Summary: Objectives: An online workplace-based assessment tool, the Intercollegiate Surgical Curriculum Programme (ISCP), has become mandatory for all British surgical trainees appointed since August 2007. A compulsory £125 annual trainee fee has also been introduced to fund its running costs. The study sought to evaluate user satisfaction with the ISCP. Design and setting: A total of 539 users across all surgical specialties (including 122 surgeons acting as assessors) were surveyed in late 2008 by online questionnaire regarding their experiences with the ISCP. Results: Sixty-seven percent had used the tool for at least one year. It was rated above average by only 6% for its registration process and only 11% for recording meetings and objectives. Forty-nine percent described its online assessments as poor or very poor, only 9% considering them good or very good. Seventy-nine percent rated the website's user friendliness as average or worse, as did 72% its peer-assessment tool and 61% its logbook of procedures. Seventy-six percent of respondents had carried out paper assessments due to difficulties using the website. Six percent stated that the ISCP had impacted negatively on their training opportunities, 41% reporting a negative impact overall upon their training; only 6% reported a positive impact. Ninety-four percent did not consider the trainee fee good value, only 2% believing it should be paid by the trainee. Conclusions: The performance of the ISCP leaves large numbers of British surgeons unsatisfied. Its assessments lack appropriate evidence of validity and its introduction has been problematic. With reducing training hours, the increased online bureaucratic burden exacerbates low morale of trainees and trainers, adversely impacting potentially upon both competency and productivity.","author":[{"dropping-particle":"","family":"Pereira","given":"Erlick AC","non-dropping-particle":"","parse-names":false,"suffix":""},{"dropping-particle":"","family":"Dean","given":"Benjamin JF","non-dropping-particle":"","parse-names":false,"suffix":""}],"container-title":"Journal of the Royal Society of Medicine","id":"ITEM-1","issued":{"date-parts":[["2009"]]},"page":"357-358","title":"British surgeons' experiences of mandatory online workplace-based assessment--reply to authors.","type":"article-journal","volume":"102"},"uris":["http://www.mendeley.com/documents/?uuid=d8a3d5b6-e91c-45ce-9526-1a6e3f940eb6"]}],"mendeley":{"formattedCitation":"(Pereira and Dean, 2009)","plainTextFormattedCitation":"(Pereira and Dean, 2009)","previouslyFormattedCitation":"(Pereira and Dean 2009)"},"properties":{"noteIndex":0},"schema":"https://github.com/citation-style-language/schema/raw/master/csl-citation.json"}</w:instrText>
      </w:r>
      <w:r w:rsidRPr="006F3B00">
        <w:rPr>
          <w:rFonts w:ascii="Times New Roman" w:hAnsi="Times New Roman" w:cs="Times New Roman"/>
          <w:sz w:val="24"/>
          <w:szCs w:val="24"/>
        </w:rPr>
        <w:fldChar w:fldCharType="separate"/>
      </w:r>
      <w:r w:rsidR="00956F99">
        <w:rPr>
          <w:rFonts w:ascii="Times New Roman" w:hAnsi="Times New Roman" w:cs="Times New Roman"/>
          <w:noProof/>
          <w:sz w:val="24"/>
          <w:szCs w:val="24"/>
        </w:rPr>
        <w:t>(Pereira and Dean</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which may result in trainees selecting cases retrospectively when a suitable period of “free time” arises.  This study utilised surgical trainees and consultants to garner opinion, with 49% of respondents rating the assessments tools as “poor” or “very poor”. This negative response may have stemmed from reduced training hours and the bureaucratic burden of having to update an online portfolio</w:t>
      </w:r>
      <w:r w:rsidR="00956F9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{"citationItems":[{"id":"ITEM-1","itemData":{"DOI":"10.1258/jrsm.2009.080398","ISBN":"1758-1095; 0141-0768","ISSN":"0141-0768","PMID":"19734525","abstract":"Summary: Objectives: An online workplace-based assessment tool, the Intercollegiate Surgical Curriculum Programme (ISCP), has become mandatory for all British surgical trainees appointed since August 2007. A compulsory £125 annual trainee fee has also been introduced to fund its running costs. The study sought to evaluate user satisfaction with the ISCP. Design and setting: A total of 539 users across all surgical specialties (including 122 surgeons acting as assessors) were surveyed in late 2008 by online questionnaire regarding their experiences with the ISCP. Results: Sixty-seven percent had used the tool for at least one year. It was rated above average by only 6% for its registration process and only 11% for recording meetings and objectives. Forty-nine percent described its online assessments as poor or very poor, only 9% considering them good or very good. Seventy-nine percent rated the website's user friendliness as average or worse, as did 72% its peer-assessment tool and 61% its logbook of procedures. Seventy-six percent of respondents had carried out paper assessments due to difficulties using the website. Six percent stated that the ISCP had impacted negatively on their training opportunities, 41% reporting a negative impact overall upon their training; only 6% reported a positive impact. Ninety-four percent did not consider the trainee fee good value, only 2% believing it should be paid by the trainee. Conclusions: The performance of the ISCP leaves large numbers of British surgeons unsatisfied. Its assessments lack appropriate evidence of validity and its introduction has been problematic. With reducing training hours, the increased online bureaucratic burden exacerbates low morale of trainees and trainers, adversely impacting potentially upon both competency and productivity.","author":[{"dropping-particle":"","family":"Pereira","given":"Erlick AC","non-dropping-particle":"","parse-names":false,"suffix":""},{"dropping-particle":"","family":"Dean","given":"Benjamin JF","non-dropping-particle":"","parse-names":false,"suffix":""}],"container-title":"Journal of the Royal Society of Medicine","id":"ITEM-1","issued":{"date-parts":[["2009"]]},"page":"357-358","title":"British surgeons' experiences of mandatory online workplace-based assessment--reply to authors.","type":"article-journal","volume":"102"},"uris":["http://www.mendeley.com/documents/?uuid=d8a3d5b6-e91c-45ce-9526-1a6e3f940eb6"]}],"mendeley":{"formattedCitation":"(Pereira and Dean, 2009)","plainTextFormattedCitation":"(Pereira and Dean, 2009)","previouslyFormattedCitation":"(Pereira and Dean 2009)"},"properties":{"noteIndex":0},"schema":"https://github.com/citation-style-language/schema/raw/master/csl-citation.json"}</w:instrText>
      </w:r>
      <w:r w:rsidRPr="006F3B00">
        <w:rPr>
          <w:rFonts w:ascii="Times New Roman" w:hAnsi="Times New Roman" w:cs="Times New Roman"/>
          <w:sz w:val="24"/>
          <w:szCs w:val="24"/>
        </w:rPr>
        <w:fldChar w:fldCharType="separate"/>
      </w:r>
      <w:r w:rsidR="00956F99">
        <w:rPr>
          <w:rFonts w:ascii="Times New Roman" w:hAnsi="Times New Roman" w:cs="Times New Roman"/>
          <w:noProof/>
          <w:sz w:val="24"/>
          <w:szCs w:val="24"/>
        </w:rPr>
        <w:t>(Pereira and Dean</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However, a relatively recent study from 2017 examined the perception of procedure-based assessments with surgical trainees who did acknowledge that these tools can hold significant value when used correctly</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{"citationItems":[{"id":"ITEM-1","itemData":{"DOI":"10.1136/bmjopen-2016-013417","ISSN":"20446055","abstract":"OBJECTIVES: The introduction of competency-based training has necessitated development and implementation of accompanying mechanisms for assessment. Procedure-based assessments (PBAs) are an example of workplace-based assessments that are used to examine focal competencies in the workplace. The primary objective was to understand surgical trainees' perspective on the value of PBA. DESIGN: Semistructured interviews with 10 surgical trainees individually interviewed to explore their views. Interviews were audio-recorded and transcribed; following this, they were open and axial coded. Thematic analysis was then performed. RESULTS: Semistructured interviews yielded several topical and recurring themes. In trainees' experience, the use of PBAs as a summative tool limits their educational value. Trainees reported a lack of support from seniors and variation in the usefulness of the tool based on stage of training. Concerns related to the validity of PBAs for evaluating trainees' performance with reports of ‘gaming’ the system and trainees completing their own assessments. Trainees did identify the significant value of PBAs when used correctly. Benefits included the identification of additional learning opportunities, standardisation of assessment and their role in providing a measure of progress. CONCLUSIONS: The UK surgical trainees interviewed identified both limitations and benefits to PBAs; however, we would argue based on their responses and our experience that their use as a summative tool limits their formative use as an educational opportunity. PBAs should either be used exclusively to support learning or solely as a summative tool; if so, further work is needed to audit, validate and standardise them for this purpose.","author":[{"dropping-particle":"","family":"Shalhoub","given":"Joseph","non-dropping-particle":"","parse-names":false,"suffix":""},{"dropping-particle":"","family":"Marshall","given":"Dominic C.","non-dropping-particle":"","parse-names":false,"suffix":""},{"dropping-particle":"","family":"Ippolito","given":"Kate","non-dropping-particle":"","parse-names":false,"suffix":""}],"container-title":"BMJ Open","id":"ITEM-1","issue":"3","issued":{"date-parts":[["2017"]]},"title":"Perspectives on procedure-based assessments: A thematic analysis of semistructured interviews with 10 UK surgical trainees","type":"article-journal","volume":"7"},"uris":["http://www.mendeley.com/documents/?uuid=ae73b2c4-f911-43e6-92c1-90392b196f0f"]}],"mendeley":{"formattedCitation":"(Shalhoub, Marshall and Ippolito, 2017)","plainTextFormattedCitation":"(Shalhoub, Marshall and Ippolito, 2017)","previouslyFormattedCitation":"(Shalhoub, Marshall, and Ippolito 2017)"},"properties":{"noteIndex":0},"schema":"https://github.com/citation-style-language/schema/raw/master/csl-citation.json"}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956F99">
        <w:rPr>
          <w:rFonts w:ascii="Times New Roman" w:hAnsi="Times New Roman" w:cs="Times New Roman"/>
          <w:noProof/>
          <w:sz w:val="24"/>
          <w:szCs w:val="24"/>
        </w:rPr>
        <w:t>Shalhoub, Marshall and Ippolito</w:t>
      </w:r>
      <w:r w:rsidR="00BE3B6C" w:rsidRPr="00BE3B6C">
        <w:rPr>
          <w:rFonts w:ascii="Times New Roman" w:hAnsi="Times New Roman" w:cs="Times New Roman"/>
          <w:noProof/>
          <w:sz w:val="24"/>
          <w:szCs w:val="24"/>
        </w:rPr>
        <w:t xml:space="preserve"> 2017)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 study also identified current barriers to this including a lack of support from seniors and inappropriate selection of cases</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{"citationItems":[{"id":"ITEM-1","itemData":{"DOI":"10.1136/bmjopen-2016-013417","ISSN":"20446055","abstract":"OBJECTIVES: The introduction of competency-based training has necessitated development and implementation of accompanying mechanisms for assessment. Procedure-based assessments (PBAs) are an example of workplace-based assessments that are used to examine focal competencies in the workplace. The primary objective was to understand surgical trainees' perspective on the value of PBA. DESIGN: Semistructured interviews with 10 surgical trainees individually interviewed to explore their views. Interviews were audio-recorded and transcribed; following this, they were open and axial coded. Thematic analysis was then performed. RESULTS: Semistructured interviews yielded several topical and recurring themes. In trainees' experience, the use of PBAs as a summative tool limits their educational value. Trainees reported a lack of support from seniors and variation in the usefulness of the tool based on stage of training. Concerns related to the validity of PBAs for evaluating trainees' performance with reports of ‘gaming’ the system and trainees completing their own assessments. Trainees did identify the significant value of PBAs when used correctly. Benefits included the identification of additional learning opportunities, standardisation of assessment and their role in providing a measure of progress. CONCLUSIONS: The UK surgical trainees interviewed identified both limitations and benefits to PBAs; however, we would argue based on their responses and our experience that their use as a summative tool limits their formative use as an educational opportunity. PBAs should either be used exclusively to support learning or solely as a summative tool; if so, further work is needed to audit, validate and standardise them for this purpose.","author":[{"dropping-particle":"","family":"Shalhoub","given":"Joseph","non-dropping-particle":"","parse-names":false,"suffix":""},{"dropping-particle":"","family":"Marshall","given":"Dominic C.","non-dropping-particle":"","parse-names":false,"suffix":""},{"dropping-particle":"","family":"Ippolito","given":"Kate","non-dropping-particle":"","parse-names":false,"suffix":""}],"container-title":"BMJ Open","id":"ITEM-1","issue":"3","issued":{"date-parts":[["2017"]]},"title":"Perspectives on procedure-based assessments: A thematic analysis of semistructured interviews with 10 UK surgical trainees","type":"article-journal","volume":"7"},"uris":["http://www.mendeley.com/documents/?uuid=ae73b2c4-f911-43e6-92c1-90392b196f0f"]}],"mendeley":{"formattedCitation":"(Shalhoub, Marshall and Ippolito, 2017)","plainTextFormattedCitation":"(Shalhoub, Marshall and Ippolito, 2017)","previouslyFormattedCitation":"(Shalhoub, Marshall, and Ippolito 2017)"},"properties":{"noteIndex":0},"schema":"https://github.com/citation-style-language/schema/raw/master/csl-citation.json"}</w:instrText>
      </w:r>
      <w:r w:rsidRPr="006F3B00">
        <w:rPr>
          <w:rFonts w:ascii="Times New Roman" w:hAnsi="Times New Roman" w:cs="Times New Roman"/>
          <w:sz w:val="24"/>
          <w:szCs w:val="24"/>
        </w:rPr>
        <w:fldChar w:fldCharType="separate"/>
      </w:r>
      <w:r w:rsidR="00956F99">
        <w:rPr>
          <w:rFonts w:ascii="Times New Roman" w:hAnsi="Times New Roman" w:cs="Times New Roman"/>
          <w:noProof/>
          <w:sz w:val="24"/>
          <w:szCs w:val="24"/>
        </w:rPr>
        <w:t>(Shalhoub Marshall and Ippolito</w:t>
      </w:r>
      <w:r w:rsidR="00BE3B6C" w:rsidRPr="00BE3B6C">
        <w:rPr>
          <w:rFonts w:ascii="Times New Roman" w:hAnsi="Times New Roman" w:cs="Times New Roman"/>
          <w:noProof/>
          <w:sz w:val="24"/>
          <w:szCs w:val="24"/>
        </w:rPr>
        <w:t xml:space="preserve"> 2017)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sentiment is mirrored in a study conducted with foundation programme doctors, where 60% disagreed with the statement that generating an e-portfolio of WBAs “created a positive learning </w:t>
      </w:r>
      <w:r w:rsidRPr="006F3B00">
        <w:rPr>
          <w:rFonts w:ascii="Times New Roman" w:hAnsi="Times New Roman" w:cs="Times New Roman"/>
          <w:sz w:val="24"/>
          <w:szCs w:val="24"/>
        </w:rPr>
        <w:lastRenderedPageBreak/>
        <w:t>experience”</w:t>
      </w:r>
      <w:r w:rsidR="00956F9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{"citationItems":[{"id":"ITEM-1","itemData":{"DOI":"10.1136/postgradmedj-2011-130121","ISSN":"00325473","abstract":"AIM: To determine how foundation year 2 (F2) doctors view the input of hospital consultants into their workplace based assessments (WPBAs).\\n\\nSTUDY DESIGN: F2 doctors in Northern Ireland participated in an electronic survey to evaluate their experiences of foundation programme WPBAs. The opportunity to participate was available to all F2 doctors. The survey was performed using questions displayed electronically and the responses were collated using Turning Point technology. Two weeks later a focus group was convened to assess the issues raised by the electronic survey.\\n\\nRESULTS: Consultant input into foundation doctor's WPBAs was an infrequent occurrence. The F2 doctors expressed a clear view that they valued consultant input, when this occurred. The WPBAs gave the foundation doctors an opportunity to have a one to one learning opportunity with their supervising consultants. However, many of the WPBAs were completed by other doctors in training, in the grades immediately above the foundation doctors. It was suggested that friendship could influence these assessments.\\n\\nCONCLUSIONS: Completion of foundation doctors' assessments by hospital consultants is viewed as a low priority. These assessments are being completed to a large extent by fellow doctors in training. The learning opportunities are consequently less educationally productive. F2 doctors want more opportunities for valued consultant interaction with timely feedback. Suggestions are proposed to improve WPBA implementation. The present WPBA process lacks integrity and a change in approach is urgently required.","author":[{"dropping-particle":"","family":"Mckavanagh","given":"P.","non-dropping-particle":"","parse-names":false,"suffix":""},{"dropping-particle":"","family":"Smyth","given":"A.","non-dropping-particle":"","parse-names":false,"suffix":""},{"dropping-particle":"","family":"Carragher","given":"A.","non-dropping-particle":"","parse-names":false,"suffix":""}],"container-title":"Postgraduate Medical Journal","id":"ITEM-1","issue":"1037","issued":{"date-parts":[["2012"]]},"page":"119-124","title":"Hospital consultants and workplace based assessments: How foundation doctors view these educational interactions?","type":"article-journal","volume":"88"},"uris":["http://www.mendeley.com/documents/?uuid=aeb9b537-ce3b-4470-9cd0-d8540e3baee2"]}],"mendeley":{"formattedCitation":"(Mckavanagh, Smyth and Carragher, 2012)","plainTextFormattedCitation":"(Mckavanagh, Smyth and Carragher, 2012)","previouslyFormattedCitation":"(Mckavanagh, Smyth, and Carragher 2012)"},"properties":{"noteIndex":0},"schema":"https://github.com/citation-style-language/schema/raw/master/csl-citation.json"}</w:instrText>
      </w:r>
      <w:r w:rsidRPr="006F3B00">
        <w:rPr>
          <w:rFonts w:ascii="Times New Roman" w:hAnsi="Times New Roman" w:cs="Times New Roman"/>
          <w:sz w:val="24"/>
          <w:szCs w:val="24"/>
        </w:rPr>
        <w:fldChar w:fldCharType="separate"/>
      </w:r>
      <w:r w:rsidR="00956F99">
        <w:rPr>
          <w:rFonts w:ascii="Times New Roman" w:hAnsi="Times New Roman" w:cs="Times New Roman"/>
          <w:noProof/>
          <w:sz w:val="24"/>
          <w:szCs w:val="24"/>
        </w:rPr>
        <w:t>(McKavanagh, Smyth and Carragher</w:t>
      </w:r>
      <w:r w:rsidR="00BE3B6C" w:rsidRPr="00BE3B6C">
        <w:rPr>
          <w:rFonts w:ascii="Times New Roman" w:hAnsi="Times New Roman" w:cs="Times New Roman"/>
          <w:noProof/>
          <w:sz w:val="24"/>
          <w:szCs w:val="24"/>
        </w:rPr>
        <w:t xml:space="preserve"> 2012)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One of the largest studies examining the impact of foundation training on trainees surveyed 1065 foundation doctors in the UK</w:t>
      </w:r>
      <w:r w:rsidR="00956F9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{"citationItems":[{"id":"ITEM-1","itemData":{"DOI":"10.1258/shorts.2012.012095","ISSN":"2042-5333","abstract":"OBJECTIVES: We set out to evaluate the impact of Foundation Year (FY) training on the doctors who had been through this training system. DESIGN: Doctors in training were surveyed using a structured web-based questionnaire. SETTING: Postgraduate training in the UK has been the subject of much upheaval in recent years. PARTICIPANTS: A total of 1065 doctors in training were surveyed in late 2011 and early 2012, of which 638 were current FY doctors. MAIN OUTCOME MEASURES: The survey was both quantitative and qualitative, focusing on selection, working hours, training quality, training assessments and the regulation of training. RESULTS: A majority of current FY trainees worked extra weekly hours with the breakdown being: 5–10 hrs (54%), 10–15 hrs (17%), &gt;15 hrs (9%) and no extra weekly hours (20%). All current FY trainees wanted to work for more than 40 h a week with the following breakdown of desired hours: per week 40–48 (22%), 48–60 (50%) and 60–70 h (19%). The average hours per week spent clerking emergency admissions by current FY trainees were as follows: zero hours (11%), 0–5 h (37%), 5–10 h (30%), 10–15 h (11%) and greater (11%). A large majority (90%) felt that it was possible for incompetent trainees to obtain satisfactory results from assessments and that the FY training program was poor at identifying failing trainees. There were high levels of dissatisfaction with the selection process. CONCLUSIONS: FY training appears to be failing in several key areas with the lack of emergency exposure a particular area of concern. It is essential that any future reforms of training address these problem areas.","author":[{"dropping-particle":"","family":"Dean","given":"Benjamin J F","non-dropping-particle":"","parse-names":false,"suffix":""},{"dropping-particle":"","family":"Duggleby","given":"Philip Michael","non-dropping-particle":"","parse-names":false,"suffix":""}],"container-title":"JRSM Short Reports","id":"ITEM-1","issue":"1","issued":{"date-parts":[["2013"]]},"page":"1-7","title":"Foundation doctors’ experience of their training: a questionnaire study","type":"article-journal","volume":"4"},"uris":["http://www.mendeley.com/documents/?uuid=f1c89649-dc18-4cbb-99bc-c662239fa915"]}],"mendeley":{"formattedCitation":"(Dean and Duggleby, 2013)","plainTextFormattedCitation":"(Dean and Duggleby, 2013)","previouslyFormattedCitation":"(Dean and Duggleby 2013)"},"properties":{"noteIndex":0},"schema":"https://github.com/citation-style-language/schema/raw/master/csl-citation.json"}</w:instrText>
      </w:r>
      <w:r w:rsidRPr="006F3B00">
        <w:rPr>
          <w:rFonts w:ascii="Times New Roman" w:hAnsi="Times New Roman" w:cs="Times New Roman"/>
          <w:sz w:val="24"/>
          <w:szCs w:val="24"/>
        </w:rPr>
        <w:fldChar w:fldCharType="separate"/>
      </w:r>
      <w:r w:rsidR="00956F99">
        <w:rPr>
          <w:rFonts w:ascii="Times New Roman" w:hAnsi="Times New Roman" w:cs="Times New Roman"/>
          <w:noProof/>
          <w:sz w:val="24"/>
          <w:szCs w:val="24"/>
        </w:rPr>
        <w:t>(Dean and Duggleby</w:t>
      </w:r>
      <w:r w:rsidR="00BE3B6C" w:rsidRPr="00BE3B6C">
        <w:rPr>
          <w:rFonts w:ascii="Times New Roman" w:hAnsi="Times New Roman" w:cs="Times New Roman"/>
          <w:noProof/>
          <w:sz w:val="24"/>
          <w:szCs w:val="24"/>
        </w:rPr>
        <w:t xml:space="preserve"> 2013)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With respect to WBAs, the study identified that 76% of respondents felt the ability of these tools to reflect trainee ability was “poor” or “very poor”. Although the number of trainees surveyed was large, it is important to note that the response rate was only 5% and the results may therefore suffer from responder bias.  However, the negative perceptions noted in the aforementioned studies might stem from the pressures of working long hours, which is particularly relevant to foundation doctors and surgical trainees. For example, both doctors in training </w:t>
      </w:r>
      <w:r w:rsidRPr="00956F99">
        <w:rPr>
          <w:rFonts w:ascii="Times New Roman" w:hAnsi="Times New Roman" w:cs="Times New Roman"/>
          <w:sz w:val="24"/>
          <w:szCs w:val="24"/>
        </w:rPr>
        <w:t>and trainers feel the European Working Time Directive (EWTD) is continuing to have a significant negative impact upon training</w:t>
      </w:r>
      <w:r w:rsidR="00956F99" w:rsidRPr="00956F99">
        <w:rPr>
          <w:rFonts w:ascii="Times New Roman" w:hAnsi="Times New Roman" w:cs="Times New Roman"/>
          <w:sz w:val="24"/>
          <w:szCs w:val="24"/>
        </w:rPr>
        <w:t xml:space="preserve"> </w:t>
      </w:r>
      <w:r w:rsidRPr="00956F99">
        <w:rPr>
          <w:rFonts w:ascii="Times New Roman" w:hAnsi="Times New Roman" w:cs="Times New Roman"/>
          <w:sz w:val="24"/>
          <w:szCs w:val="24"/>
        </w:rPr>
        <w:fldChar w:fldCharType="begin" w:fldLock="1"/>
      </w:r>
      <w:r w:rsidR="00BE3B6C" w:rsidRPr="00956F99">
        <w:rPr>
          <w:rFonts w:ascii="Times New Roman" w:hAnsi="Times New Roman" w:cs="Times New Roman"/>
          <w:sz w:val="24"/>
          <w:szCs w:val="24"/>
        </w:rPr>
        <w:instrText>ADDIN CSL_CITATION {"citationItems":[{"id":"ITEM-1","itemData":{"DOI":"10.1258/smj.2011.011033","ISSN":"00369330","abstract":"The aim of this paper is to examine perceptions of Foundation Year trainees, consultants and senior nurses about the introduction of the Foundation Programme. Specifically, to examine whether Foundation trainees acquire appropriate skills, experience and responsibility. Semi-structured interviews were conducted with 23 F1 doctors, 22 F2 doctors, 23 consultants and 25 nurses from across Scotland in a broad range of specialties. In the summer of 2007 trainees, consultants and nurses broadly agreed that Foundation offers good experience but some issues were highlighted. Certain specialties were seen as offering insufficiently generic experience and consultants, in particular, were concerned that four-month rotations are too short. Frequent moving around for trainees was seen as detrimental for seeing cases through and continuity of care was now perceived to be provided by nurses and consultants rather than junior doctors. Levels of responsibility could vary widely from post to post and tended to be specialty-dependent. As a result, some F2s reported frustration that they were not given sufficient responsibility for their stage of training. Nights were recognized as a valuable learning opportunity and most trainees were supportive of night work being made available in F1 and F2. In conclusion, in order to maximize the possibilities of the Foundation years and ensure that trainees can meet the required Foundation competencies, specialties that offer narrow experience need to be matched with 'busy' specialties that can offer broader experience. Night work should be retained, but perhaps not introduced right at the start of F1. Trainees feeling that they are being given insufficient experience, particularly in the F2 year, need to be proactive in addressing this if possible. There is a perception among some consultants and nurses that a process of 'delayed skilling' is taking place, attributable more to reduced hours than Foundation per se. There is a need to follow trainees through to specialty training to ascertain if Foundation has adequately prepared them for run-through training.","author":[{"dropping-particle":"","family":"Wakeling","given":"Judy","non-dropping-particle":"","parse-names":false,"suffix":""},{"dropping-particle":"","family":"French","given":"Fiona","non-dropping-particle":"","parse-names":false,"suffix":""},{"dropping-particle":"","family":"Bagnall","given":"Gellisse","non-dropping-particle":"","parse-names":false,"suffix":""},{"dropping-particle":"","family":"Mchardy","given":"Ken","non-dropping-particle":"","parse-names":false,"suffix":""}],"container-title":"Scottish Medical Journal","id":"ITEM-1","issue":"2","issued":{"date-parts":[["2011"]]},"page":"87-93","title":"Is foundation training producing competent doctors? what do foundation trainees, educational supervisors and nurses in scotland have to say?","type":"article-journal","volume":"56"},"uris":["http://www.mendeley.com/documents/?uuid=7c9b0c2a-32f7-4e67-8df1-fb6e015086e9"]}],"mendeley":{"formattedCitation":"(Wakeling &lt;i&gt;et al.&lt;/i&gt;, 2011)","plainTextFormattedCitation":"(Wakeling et al., 2011)","previouslyFormattedCitation":"(Wakeling et al. 2011)"},"properties":{"noteIndex":0},"schema":"https://github.com/citation-style-language/schema/raw/master/csl-citation.json"}</w:instrText>
      </w:r>
      <w:r w:rsidRPr="00956F99">
        <w:rPr>
          <w:rFonts w:ascii="Times New Roman" w:hAnsi="Times New Roman" w:cs="Times New Roman"/>
          <w:sz w:val="24"/>
          <w:szCs w:val="24"/>
        </w:rPr>
        <w:fldChar w:fldCharType="separate"/>
      </w:r>
      <w:r w:rsidR="00BE3B6C" w:rsidRPr="00956F99">
        <w:rPr>
          <w:rFonts w:ascii="Times New Roman" w:hAnsi="Times New Roman" w:cs="Times New Roman"/>
          <w:noProof/>
          <w:sz w:val="24"/>
          <w:szCs w:val="24"/>
        </w:rPr>
        <w:t>(Wakeling et al. 2011)</w:t>
      </w:r>
      <w:r w:rsidRPr="00956F99">
        <w:rPr>
          <w:rFonts w:ascii="Times New Roman" w:hAnsi="Times New Roman" w:cs="Times New Roman"/>
          <w:sz w:val="24"/>
          <w:szCs w:val="24"/>
        </w:rPr>
        <w:fldChar w:fldCharType="end"/>
      </w:r>
      <w:r w:rsidRPr="00956F99">
        <w:rPr>
          <w:rFonts w:ascii="Times New Roman" w:hAnsi="Times New Roman" w:cs="Times New Roman"/>
          <w:sz w:val="24"/>
          <w:szCs w:val="24"/>
        </w:rPr>
        <w:t xml:space="preserve">. This might be another reason why WBAs tend to be more accepted in dentistry </w:t>
      </w:r>
      <w:r w:rsidRPr="00956F99">
        <w:rPr>
          <w:rFonts w:ascii="Times New Roman" w:hAnsi="Times New Roman" w:cs="Times New Roman"/>
          <w:sz w:val="24"/>
          <w:szCs w:val="24"/>
        </w:rPr>
        <w:fldChar w:fldCharType="begin" w:fldLock="1"/>
      </w:r>
      <w:r w:rsidR="00BE3B6C" w:rsidRPr="00956F99">
        <w:rPr>
          <w:rFonts w:ascii="Times New Roman" w:hAnsi="Times New Roman" w:cs="Times New Roman"/>
          <w:sz w:val="24"/>
          <w:szCs w:val="24"/>
        </w:rPr>
        <w:instrText>ADDIN CSL_CITATION {"citationItems":[{"id":"ITEM-1","itemData":{"DOI":"10.1038/sj.bdj.2011.681","ISBN":"0007-0610","ISSN":"1476-5373","PMID":"21869769","abstract":"Objective The aims of this survey were to evaluate the effectiveness of workplace based assessments (WPAs) in dental foundation training (formerly vocational training [VT]).Methods Two online questionnaire surveys were sent to 53 foundation dental practitioners (FDPs) and their 51 trainers in the Mersey Deanery at month four and month nine of the one year of dental foundation training. The questionnaires investigated the effectiveness of and trainers' and trainees' satisfaction with the WPAs used in foundation training, namely dental evaluation of performance (D-EPs), case-based discussions (DcBD) and patients' assessment questionnaires (PAQs). The questionnaires also investigated the perceived impact of reflection and feedback associated with WPAs on clinical practise and improving patient care.Results A total of 41 (7.4%) FDPs and 44 (86.3%) trainers responded. Of the 41 FDPs, the majority found that feedback from WPAs had a positive effect on their training, giving them insight into their development needs. Overall 84.1% of the FDPs felt the WPAs helped them improve patient care and 82.5% of trainers agreed with that outcome.Conclusions The findings from this study demonstrate the value of WPAs in dental foundation training by the use of feedback and reflection in directing the learning of foundation dental practitioners and that this can lead to improved clinical practise and patient care.","author":[{"dropping-particle":"","family":"Grieveson","given":"B","non-dropping-particle":"","parse-names":false,"suffix":""},{"dropping-particle":"","family":"Kirton","given":"J a","non-dropping-particle":"","parse-names":false,"suffix":""},{"dropping-particle":"","family":"Palmer","given":"N O a","non-dropping-particle":"","parse-names":false,"suffix":""},{"dropping-particle":"","family":"Balmer","given":"M C","non-dropping-particle":"","parse-names":false,"suffix":""}],"container-title":"British dental journal","id":"ITEM-1","issue":"4","issued":{"date-parts":[["2011"]]},"page":"E8","title":"Evaluation of workplace based assessment tools in dental foundation training.","type":"article-journal","volume":"211"},"uris":["http://www.mendeley.com/documents/?uuid=8e346649-8069-4545-88d0-b67ecf21ff81"]},{"id":"ITEM-2","itemData":{"author":[{"dropping-particle":"","family":"Sia, JY, Harrison","given":"JE.","non-dropping-particle":"","parse-names":false,"suffix":""}],"container-title":"J Orthod.","id":"ITEM-2","issue":"4","issued":{"date-parts":[["2015"]]},"page":"284-300","title":"Trainers' and trainees' perceptions of workplace-based assessment in orthodontics.","type":"article-journal","volume":"42"},"uris":["http://www.mendeley.com/documents/?uuid=3cbae09a-0af1-4bc1-b7e9-b0f853809d3d"]}],"mendeley":{"formattedCitation":"(Grieveson &lt;i&gt;et al.&lt;/i&gt;, 2011; Sia, JY, Harrison, 2015)","plainTextFormattedCitation":"(Grieveson et al., 2011; Sia, JY, Harrison, 2015)","previouslyFormattedCitation":"(Grieveson et al. 2011; Sia, JY, Harrison 2015)"},"properties":{"noteIndex":0},"schema":"https://github.com/citation-style-language/schema/raw/master/csl-citation.json"}</w:instrText>
      </w:r>
      <w:r w:rsidRPr="00956F99">
        <w:rPr>
          <w:rFonts w:ascii="Times New Roman" w:hAnsi="Times New Roman" w:cs="Times New Roman"/>
          <w:sz w:val="24"/>
          <w:szCs w:val="24"/>
        </w:rPr>
        <w:fldChar w:fldCharType="separate"/>
      </w:r>
      <w:r w:rsidR="00BE3B6C" w:rsidRPr="00956F99">
        <w:rPr>
          <w:rFonts w:ascii="Times New Roman" w:hAnsi="Times New Roman" w:cs="Times New Roman"/>
          <w:noProof/>
          <w:sz w:val="24"/>
          <w:szCs w:val="24"/>
        </w:rPr>
        <w:t>(Grieveson et al.</w:t>
      </w:r>
      <w:r w:rsidR="00956F99" w:rsidRPr="00956F99">
        <w:rPr>
          <w:rFonts w:ascii="Times New Roman" w:hAnsi="Times New Roman" w:cs="Times New Roman"/>
          <w:noProof/>
          <w:sz w:val="24"/>
          <w:szCs w:val="24"/>
        </w:rPr>
        <w:t xml:space="preserve"> 2011; Sia andHarrison</w:t>
      </w:r>
      <w:r w:rsidR="00BE3B6C" w:rsidRPr="00956F99">
        <w:rPr>
          <w:rFonts w:ascii="Times New Roman" w:hAnsi="Times New Roman" w:cs="Times New Roman"/>
          <w:noProof/>
          <w:sz w:val="24"/>
          <w:szCs w:val="24"/>
        </w:rPr>
        <w:t xml:space="preserve"> 2015)</w:t>
      </w:r>
      <w:r w:rsidRPr="00956F99">
        <w:rPr>
          <w:rFonts w:ascii="Times New Roman" w:hAnsi="Times New Roman" w:cs="Times New Roman"/>
          <w:sz w:val="24"/>
          <w:szCs w:val="24"/>
        </w:rPr>
        <w:fldChar w:fldCharType="end"/>
      </w:r>
      <w:r w:rsidRPr="00956F99">
        <w:rPr>
          <w:rFonts w:ascii="Times New Roman" w:hAnsi="Times New Roman" w:cs="Times New Roman"/>
          <w:sz w:val="24"/>
          <w:szCs w:val="24"/>
        </w:rPr>
        <w:t xml:space="preserve"> where the working hours are more sociable. </w:t>
      </w:r>
    </w:p>
    <w:p w14:paraId="543A8DEA" w14:textId="78FD75CE" w:rsidR="00863DF5" w:rsidRPr="006F3B00" w:rsidRDefault="00CC58FD" w:rsidP="00863DF5">
      <w:pPr>
        <w:pStyle w:val="Heading3"/>
        <w:rPr>
          <w:rFonts w:ascii="Times New Roman" w:hAnsi="Times New Roman" w:cs="Times New Roman"/>
          <w:color w:val="auto"/>
          <w:sz w:val="24"/>
          <w:szCs w:val="24"/>
        </w:rPr>
      </w:pPr>
      <w:bookmarkStart w:id="46" w:name="_Toc23243775"/>
      <w:r>
        <w:rPr>
          <w:rFonts w:ascii="Times New Roman" w:hAnsi="Times New Roman" w:cs="Times New Roman"/>
          <w:color w:val="auto"/>
          <w:sz w:val="24"/>
          <w:szCs w:val="24"/>
        </w:rPr>
        <w:t>1.3</w:t>
      </w:r>
      <w:r w:rsidR="009114C0">
        <w:rPr>
          <w:rFonts w:ascii="Times New Roman" w:hAnsi="Times New Roman" w:cs="Times New Roman"/>
          <w:color w:val="auto"/>
          <w:sz w:val="24"/>
          <w:szCs w:val="24"/>
        </w:rPr>
        <w:t>.1.4</w:t>
      </w:r>
      <w:r w:rsidR="00863DF5" w:rsidRPr="006F3B00">
        <w:rPr>
          <w:rFonts w:ascii="Times New Roman" w:hAnsi="Times New Roman" w:cs="Times New Roman"/>
          <w:color w:val="auto"/>
          <w:sz w:val="24"/>
          <w:szCs w:val="24"/>
        </w:rPr>
        <w:t xml:space="preserve"> Utilisation</w:t>
      </w:r>
      <w:bookmarkEnd w:id="46"/>
    </w:p>
    <w:p w14:paraId="65632006" w14:textId="77777777" w:rsidR="00863DF5" w:rsidRPr="006F3B00" w:rsidRDefault="00863DF5" w:rsidP="00863DF5">
      <w:pPr>
        <w:rPr>
          <w:rFonts w:ascii="Times New Roman" w:hAnsi="Times New Roman" w:cs="Times New Roman"/>
          <w:sz w:val="24"/>
          <w:szCs w:val="24"/>
        </w:rPr>
      </w:pPr>
    </w:p>
    <w:p w14:paraId="12E118A9" w14:textId="7EEBCCB4" w:rsidR="0066017E" w:rsidRDefault="00863DF5" w:rsidP="00CB0AFD">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perceived time-consuming nature of WBAs can reduce enthusiasm for completing them </w:t>
      </w:r>
      <w:r w:rsidRPr="00247752">
        <w:rPr>
          <w:rFonts w:ascii="Times New Roman" w:hAnsi="Times New Roman" w:cs="Times New Roman"/>
          <w:sz w:val="24"/>
          <w:szCs w:val="24"/>
        </w:rPr>
        <w:t>and a reduction in quality feedback. Trainees are meant to have WBAs completed regularly through the year, yet foundation trainees submit 40% of their WBAs in the last six weeks of their first year, perhaps because they feel they will attain higher scores towards the latter end of the year</w:t>
      </w:r>
      <w:r w:rsidR="00247752" w:rsidRPr="00247752">
        <w:rPr>
          <w:rFonts w:ascii="Times New Roman" w:hAnsi="Times New Roman" w:cs="Times New Roman"/>
          <w:sz w:val="24"/>
          <w:szCs w:val="24"/>
        </w:rPr>
        <w:t xml:space="preserve"> </w:t>
      </w:r>
      <w:r w:rsidRPr="00247752">
        <w:rPr>
          <w:rFonts w:ascii="Times New Roman" w:hAnsi="Times New Roman" w:cs="Times New Roman"/>
          <w:sz w:val="24"/>
          <w:szCs w:val="24"/>
        </w:rPr>
        <w:fldChar w:fldCharType="begin" w:fldLock="1"/>
      </w:r>
      <w:r w:rsidR="00BE3B6C" w:rsidRPr="00247752">
        <w:rPr>
          <w:rFonts w:ascii="Times New Roman" w:hAnsi="Times New Roman" w:cs="Times New Roman"/>
          <w:sz w:val="24"/>
          <w:szCs w:val="24"/>
        </w:rPr>
        <w:instrText>ADDIN CSL_CITATION {"citationItems":[{"id":"ITEM-1","itemData":{"DOI":"10.1111/j.1365-2923.2008.03249.x","ISBN":"1365-2923 (Electronic)\\n0308-0110 (Linking)","ISSN":"1365-2923","PMID":"19141000","abstract":"OBJECTIVES: This study represents an initial evaluation of the first year (F1) of the Foundation Assessment Programme (FAP), in line with Postgraduate Medical Education and Training Board (PMETB) assessment principles. METHODS: Descriptive analyses were undertaken for total number of encounters, assessors and trainees, mean number of assessments per trainee, mean number of assessments per assessor, time taken for the assessments, mean score and standard deviation for each method. Reliability was estimated using generalisability coefficients. Pearson correlations were used to explore relationships between instruments. The study sample included 3640 F1 trainees from 10 English deaneries. RESULTS: A total of 2929 trainees submitted at least one of all four methods. A mean of 16.6 case-focused assessments were submitted per F1 trainee. Based on a return per trainee of six of each of the case-focused assessments, and eight assessors for multi-source feedback, 95% confidence intervals (CIs) ranged between 0.4 and 0.48. The estimated time required for this is 9 hours per trainee per year. Scores increased over time for all instruments and correlations between methods were in keeping with their intended focus of assessment, providing evidence of validity. CONCLUSIONS: The FAP is feasible and achieves acceptable reliability. There is some evidence to support its validity. Collated assessment data should form part of the evidence considered for selection and career progression decisions although work is needed to further develop the FAP. It is in any case of critical importance for the profession's accountability to the public.","author":[{"dropping-particle":"","family":"Davies","given":"H","non-dropping-particle":"","parse-names":false,"suffix":""},{"dropping-particle":"","family":"Archer","given":"J","non-dropping-particle":"","parse-names":false,"suffix":""},{"dropping-particle":"","family":"Southgate","given":"L","non-dropping-particle":"","parse-names":false,"suffix":""},{"dropping-particle":"","family":"Norcini","given":"J","non-dropping-particle":"","parse-names":false,"suffix":""}],"container-title":"Medical Education","id":"ITEM-1","issue":"1","issued":{"date-parts":[["2009"]]},"page":"74-81","title":"Initial evaluation of the first year of the Foundation Assessment Programme","type":"article-journal","volume":"43"},"uris":["http://www.mendeley.com/documents/?uuid=0cb834b3-f325-4914-940c-fb3d0dd56f39"]}],"mendeley":{"formattedCitation":"(Davies &lt;i&gt;et al.&lt;/i&gt;, 2009)","plainTextFormattedCitation":"(Davies et al., 2009)","previouslyFormattedCitation":"(Davies et al. 2009)"},"properties":{"noteIndex":0},"schema":"https://github.com/citation-style-language/schema/raw/master/csl-citation.json"}</w:instrText>
      </w:r>
      <w:r w:rsidRPr="00247752">
        <w:rPr>
          <w:rFonts w:ascii="Times New Roman" w:hAnsi="Times New Roman" w:cs="Times New Roman"/>
          <w:sz w:val="24"/>
          <w:szCs w:val="24"/>
        </w:rPr>
        <w:fldChar w:fldCharType="separate"/>
      </w:r>
      <w:r w:rsidR="00BE3B6C" w:rsidRPr="00247752">
        <w:rPr>
          <w:rFonts w:ascii="Times New Roman" w:hAnsi="Times New Roman" w:cs="Times New Roman"/>
          <w:noProof/>
          <w:sz w:val="24"/>
          <w:szCs w:val="24"/>
        </w:rPr>
        <w:t>(Davies et al. 2009)</w:t>
      </w:r>
      <w:r w:rsidRPr="00247752">
        <w:rPr>
          <w:rFonts w:ascii="Times New Roman" w:hAnsi="Times New Roman" w:cs="Times New Roman"/>
          <w:sz w:val="24"/>
          <w:szCs w:val="24"/>
        </w:rPr>
        <w:fldChar w:fldCharType="end"/>
      </w:r>
      <w:r w:rsidRPr="00247752">
        <w:rPr>
          <w:rFonts w:ascii="Times New Roman" w:hAnsi="Times New Roman" w:cs="Times New Roman"/>
          <w:sz w:val="24"/>
          <w:szCs w:val="24"/>
        </w:rPr>
        <w:t>. DOPS can be particularly stressful for trainees as it can be intimidating to have your clinical skills closely observed</w:t>
      </w:r>
      <w:r w:rsidR="00ED7C9E" w:rsidRPr="00247752">
        <w:rPr>
          <w:rFonts w:ascii="Times New Roman" w:hAnsi="Times New Roman" w:cs="Times New Roman"/>
          <w:sz w:val="24"/>
          <w:szCs w:val="24"/>
        </w:rPr>
        <w:t xml:space="preserve"> </w:t>
      </w:r>
      <w:r w:rsidRPr="00247752">
        <w:rPr>
          <w:rFonts w:ascii="Times New Roman" w:hAnsi="Times New Roman" w:cs="Times New Roman"/>
          <w:sz w:val="24"/>
          <w:szCs w:val="24"/>
        </w:rPr>
        <w:fldChar w:fldCharType="begin" w:fldLock="1"/>
      </w:r>
      <w:r w:rsidR="00BE3B6C" w:rsidRPr="00247752">
        <w:rPr>
          <w:rFonts w:ascii="Times New Roman" w:hAnsi="Times New Roman" w:cs="Times New Roman"/>
          <w:sz w:val="24"/>
          <w:szCs w:val="24"/>
        </w:rPr>
        <w:instrText>ADDIN CSL_CITATION {"citationItems":[{"id":"ITEM-1","itemData":{"DOI":"10.1111/j.1365-2923.2011.04056.x","ISBN":"1365-2923 (Electronic) 0308-0110 (Linking)","ISSN":"03080110","PMID":"21995509","abstract":"OBJECTIVES: Workplace-based assessment (WPBA) is an increasingly important part of postgraduate medical training and its results may be used as evidence of professional competence. This study evaluates the ability of WPBA to distinguish UK Foundation Programme (FP) doctors with training difficulties and its effectiveness as a surrogate marker for deficiencies in professional competence.\\n\\nMETHODS: We conducted a retrospective observational study using anonymised records for 1646 trainees in a single UK postgraduate deanery. Data for WPBAs conducted from August 2005 to April 2009 were extracted from the e-portfolio database. These data included all scores submitted by trainees in FP years 1 and 2 on mini-clinical evaluation exercise (mini-CEX), case-based discussion (CbD), direct observation of procedural skills (DOPS) and mini-peer assessment tool (mini-PAT) assessments. Records of trainees in difficulty, as identified by their educational supervisors, were tagged as index cases. Main outcome measures were odds ratios (ORs) for associations between mean WPBA scores and training difficulties. Further analyses by the reported aetiology of the training difficulty (health-, conduct- or performance-related) were performed.\\n\\nRESULTS: Of the 1646 trainees, 92 had been identified as being in difficulty. Mean CbD and mini-CEX scores were lower for trainees in difficulty and an association was found between identified training difficulties and average scores on the mini-CEX (OR = 0.54; p = 0.034) and CbD (OR = 0.39; p = 0.002). A receiver operator characteristic curve analysis of mean WPBA scores for diagnosing 'in difficulty' status yielded an area under the curve of 0.64, indicating weak predictive value. There was no statistical evidence that mean scores on DOPS and mini-PAT assessments differed between the two groups.\\n\\nCONCLUSIONS: Analysis of a large dataset of WPBA scores revealed significant associations between training difficulties and lower mean scores on both the mini-CEX and CbD. Models show that using WPBA scores is, however, not a valid way of screening for trainees in difficulty. Workplace-based assessments have value as formative assessments that prompt supervision, feedback and reflection. They should not be relied upon to certify competence and their use for such ends may reduce their effectiveness in training. Their results should be interpreted in the context of multiple other methods of assessment, with the aim of achieving a genuinely h…","author":[{"dropping-particle":"","family":"Mitchell","given":"Colin","non-dropping-particle":"","parse-names":false,"suffix":""},{"dropping-particle":"","family":"Bhat","given":"Sarita","non-dropping-particle":"","parse-names":false,"suffix":""},{"dropping-particle":"","family":"Herbert","given":"Anne","non-dropping-particle":"","parse-names":false,"suffix":""},{"dropping-particle":"","family":"Baker","given":"Paul","non-dropping-particle":"","parse-names":false,"suffix":""}],"container-title":"Medical Education","id":"ITEM-1","issue":"12","issued":{"date-parts":[["2011"]]},"page":"1190-1198","title":"Workplace-based assessments of junior doctors: Do scores predict training difficulties?","type":"article-journal","volume":"45"},"uris":["http://www.mendeley.com/documents/?uuid=902e1dc3-fb86-4244-b9bb-b72fbb801ef0"]},{"id":"ITEM-2","itemData":{"DOI":"10.1111/j.1365-2923.2012.04266.x","ISBN":"1365-2923 (Electronic)\\r0308-0110 (Linking)","ISSN":"03080110","PMID":"22626052","abstract":"OBJECTIVES: Feedback in workplace-based clinical settings often relies on expert trainers' judgements of directly observed trainee performance. There is ample literature on effective feedback, but in practice trainees in workplace-based training are not regularly observed. We aimed to examine external conditions that impact feedback in observational workplace-based assessment (WBA).\\n\\nMETHODS: Interviews were conducted and the resulting data analysed using a qualitative, phenomenological approach. Between October 2009 and January 2010, we interviewed 22 postgraduate general practice trainees at two institutions in the Netherlands. Three researchers analysed the transcripts of the interviews.\\n\\nRESULTS: A three-step scheme emerged from the data. Feedback as part of WBA is of greater benefit to trainees if: (i) observation and feedback are planned by the trainee and trainer; (ii) the content and delivery of the feedback are adequate, and (iii) the trainee uses the feedback to guide his or her learning by linking it to learning goals. Negative emotions reported by almost all trainees in relation to observation and feedback led to different responses. Some trainees avoided observation, whereas others overcame their apprehension and actively sought observation and feedback. Active trainers were able to help trainees overcome their fears. Four types of trainer-trainee pairs were distinguished according to their engagement in observation and feedback. External requirements set by training institutions may stimulate inactive trainers and trainees.\\n\\nCONCLUSIONS: In line with the literature, our results emphasise the importance of the content of feedback and the way it is provided, as well as the importance of its incorporation in trainees' learning. Moreover, we highlight the step before the actual feedback itself. The way arrangements for feedback are made appears to be important to feedback in formative WBA. Finally, we outline several factors that influence the success or failure of feedback but precede the process of observation and feedback.","author":[{"dropping-particle":"","family":"Pelgrim","given":"Elisabeth a M","non-dropping-particle":"","parse-names":false,"suffix":""},{"dropping-particle":"","family":"Kramer","given":"Anneke W M","non-dropping-particle":"","parse-names":false,"suffix":""},{"dropping-particle":"","family":"Mokkink","given":"Henk G a","non-dropping-particle":"","parse-names":false,"suffix":""},{"dropping-particle":"","family":"Vleuten","given":"Cees P M","non-dropping-particle":"van der","parse-names":false,"suffix":""}],"container-title":"Medical Education","id":"ITEM-2","issue":"6","issued":{"date-parts":[["2012"]]},"page":"604-612","title":"The process of feedback in workplace-based assessment: Organisation, delivery, continuity","type":"article-journal","volume":"46"},"uris":["http://www.mendeley.com/documents/?uuid=2b3c6b89-915b-4987-8a85-583dde617a54"]}],"mendeley":{"formattedCitation":"(Mitchell &lt;i&gt;et al.&lt;/i&gt;, 2011; Pelgrim &lt;i&gt;et al.&lt;/i&gt;, 2012)","plainTextFormattedCitation":"(Mitchell et al., 2011; Pelgrim et al., 2012)","previouslyFormattedCitation":"(Mitchell et al. 2011; E. a M. Pelgrim et al. 2012)"},"properties":{"noteIndex":0},"schema":"https://github.com/citation-style-language/schema/raw/master/csl-citation.json"}</w:instrText>
      </w:r>
      <w:r w:rsidRPr="00247752">
        <w:rPr>
          <w:rFonts w:ascii="Times New Roman" w:hAnsi="Times New Roman" w:cs="Times New Roman"/>
          <w:sz w:val="24"/>
          <w:szCs w:val="24"/>
        </w:rPr>
        <w:fldChar w:fldCharType="separate"/>
      </w:r>
      <w:r w:rsidR="00BE3B6C" w:rsidRPr="00247752">
        <w:rPr>
          <w:rFonts w:ascii="Times New Roman" w:hAnsi="Times New Roman" w:cs="Times New Roman"/>
          <w:noProof/>
          <w:sz w:val="24"/>
          <w:szCs w:val="24"/>
        </w:rPr>
        <w:t>(Mitchell et al. 2011; Pelgrim et al. 2012)</w:t>
      </w:r>
      <w:r w:rsidRPr="00247752">
        <w:rPr>
          <w:rFonts w:ascii="Times New Roman" w:hAnsi="Times New Roman" w:cs="Times New Roman"/>
          <w:sz w:val="24"/>
          <w:szCs w:val="24"/>
        </w:rPr>
        <w:fldChar w:fldCharType="end"/>
      </w:r>
      <w:r w:rsidRPr="00247752">
        <w:rPr>
          <w:rFonts w:ascii="Times New Roman" w:hAnsi="Times New Roman" w:cs="Times New Roman"/>
          <w:sz w:val="24"/>
          <w:szCs w:val="24"/>
        </w:rPr>
        <w:t>. It is also possible for trainees to “select” cases for discussion that they prefer and avoid difficult cases</w:t>
      </w:r>
      <w:r w:rsidR="00247752">
        <w:rPr>
          <w:rFonts w:ascii="Times New Roman" w:hAnsi="Times New Roman" w:cs="Times New Roman"/>
          <w:sz w:val="24"/>
          <w:szCs w:val="24"/>
        </w:rPr>
        <w:t xml:space="preserve"> </w:t>
      </w:r>
      <w:r w:rsidRPr="00247752">
        <w:rPr>
          <w:rFonts w:ascii="Times New Roman" w:hAnsi="Times New Roman" w:cs="Times New Roman"/>
          <w:sz w:val="24"/>
          <w:szCs w:val="24"/>
        </w:rPr>
        <w:fldChar w:fldCharType="begin" w:fldLock="1"/>
      </w:r>
      <w:r w:rsidR="00BE3B6C" w:rsidRPr="00247752">
        <w:rPr>
          <w:rFonts w:ascii="Times New Roman" w:hAnsi="Times New Roman" w:cs="Times New Roman"/>
          <w:sz w:val="24"/>
          <w:szCs w:val="24"/>
        </w:rPr>
        <w:instrText>ADDIN CSL_CITATION {"citationItems":[{"id":"ITEM-1","itemData":{"DOI":"10.1111/j.1365-2923.2011.04056.x","ISBN":"1365-2923 (Electronic) 0308-0110 (Linking)","ISSN":"03080110","PMID":"21995509","abstract":"OBJECTIVES: Workplace-based assessment (WPBA) is an increasingly important part of postgraduate medical training and its results may be used as evidence of professional competence. This study evaluates the ability of WPBA to distinguish UK Foundation Programme (FP) doctors with training difficulties and its effectiveness as a surrogate marker for deficiencies in professional competence.\\n\\nMETHODS: We conducted a retrospective observational study using anonymised records for 1646 trainees in a single UK postgraduate deanery. Data for WPBAs conducted from August 2005 to April 2009 were extracted from the e-portfolio database. These data included all scores submitted by trainees in FP years 1 and 2 on mini-clinical evaluation exercise (mini-CEX), case-based discussion (CbD), direct observation of procedural skills (DOPS) and mini-peer assessment tool (mini-PAT) assessments. Records of trainees in difficulty, as identified by their educational supervisors, were tagged as index cases. Main outcome measures were odds ratios (ORs) for associations between mean WPBA scores and training difficulties. Further analyses by the reported aetiology of the training difficulty (health-, conduct- or performance-related) were performed.\\n\\nRESULTS: Of the 1646 trainees, 92 had been identified as being in difficulty. Mean CbD and mini-CEX scores were lower for trainees in difficulty and an association was found between identified training difficulties and average scores on the mini-CEX (OR = 0.54; p = 0.034) and CbD (OR = 0.39; p = 0.002). A receiver operator characteristic curve analysis of mean WPBA scores for diagnosing 'in difficulty' status yielded an area under the curve of 0.64, indicating weak predictive value. There was no statistical evidence that mean scores on DOPS and mini-PAT assessments differed between the two groups.\\n\\nCONCLUSIONS: Analysis of a large dataset of WPBA scores revealed significant associations between training difficulties and lower mean scores on both the mini-CEX and CbD. Models show that using WPBA scores is, however, not a valid way of screening for trainees in difficulty. Workplace-based assessments have value as formative assessments that prompt supervision, feedback and reflection. They should not be relied upon to certify competence and their use for such ends may reduce their effectiveness in training. Their results should be interpreted in the context of multiple other methods of assessment, with the aim of achieving a genuinely h…","author":[{"dropping-particle":"","family":"Mitchell","given":"Colin","non-dropping-particle":"","parse-names":false,"suffix":""},{"dropping-particle":"","family":"Bhat","given":"Sarita","non-dropping-particle":"","parse-names":false,"suffix":""},{"dropping-particle":"","family":"Herbert","given":"Anne","non-dropping-particle":"","parse-names":false,"suffix":""},{"dropping-particle":"","family":"Baker","given":"Paul","non-dropping-particle":"","parse-names":false,"suffix":""}],"container-title":"Medical Education","id":"ITEM-1","issue":"12","issued":{"date-parts":[["2011"]]},"page":"1190-1198","title":"Workplace-based assessments of junior doctors: Do scores predict training difficulties?","type":"article-journal","volume":"45"},"uris":["http://www.mendeley.com/documents/?uuid=902e1dc3-fb86-4244-b9bb-b72fbb801ef0"]}],"mendeley":{"formattedCitation":"(Mitchell &lt;i&gt;et al.&lt;/i&gt;, 2011)","plainTextFormattedCitation":"(Mitchell et al., 2011)","previouslyFormattedCitation":"(Mitchell et al. 2011)"},"properties":{"noteIndex":0},"schema":"https://github.com/citation-style-language/schema/raw/master/csl-citation.json"}</w:instrText>
      </w:r>
      <w:r w:rsidRPr="00247752">
        <w:rPr>
          <w:rFonts w:ascii="Times New Roman" w:hAnsi="Times New Roman" w:cs="Times New Roman"/>
          <w:sz w:val="24"/>
          <w:szCs w:val="24"/>
        </w:rPr>
        <w:fldChar w:fldCharType="separate"/>
      </w:r>
      <w:r w:rsidR="00BE3B6C" w:rsidRPr="00247752">
        <w:rPr>
          <w:rFonts w:ascii="Times New Roman" w:hAnsi="Times New Roman" w:cs="Times New Roman"/>
          <w:noProof/>
          <w:sz w:val="24"/>
          <w:szCs w:val="24"/>
        </w:rPr>
        <w:t>(Mitchell et al. 2011)</w:t>
      </w:r>
      <w:r w:rsidRPr="00247752">
        <w:rPr>
          <w:rFonts w:ascii="Times New Roman" w:hAnsi="Times New Roman" w:cs="Times New Roman"/>
          <w:sz w:val="24"/>
          <w:szCs w:val="24"/>
        </w:rPr>
        <w:fldChar w:fldCharType="end"/>
      </w:r>
      <w:r w:rsidRPr="00247752">
        <w:rPr>
          <w:rFonts w:ascii="Times New Roman" w:hAnsi="Times New Roman" w:cs="Times New Roman"/>
          <w:sz w:val="24"/>
          <w:szCs w:val="24"/>
        </w:rPr>
        <w:t>, so it important that educational supervisors ensure that each trainee has been thoroughly assessed, regularly, over a range of cases and by different assessors</w:t>
      </w:r>
      <w:r w:rsidR="00247752">
        <w:rPr>
          <w:rFonts w:ascii="Times New Roman" w:hAnsi="Times New Roman" w:cs="Times New Roman"/>
          <w:sz w:val="24"/>
          <w:szCs w:val="24"/>
        </w:rPr>
        <w:t xml:space="preserve"> </w:t>
      </w:r>
      <w:r w:rsidRPr="00247752">
        <w:rPr>
          <w:rFonts w:ascii="Times New Roman" w:hAnsi="Times New Roman" w:cs="Times New Roman"/>
          <w:sz w:val="24"/>
          <w:szCs w:val="24"/>
        </w:rPr>
        <w:fldChar w:fldCharType="begin" w:fldLock="1"/>
      </w:r>
      <w:r w:rsidR="00BE3B6C" w:rsidRPr="00247752">
        <w:rPr>
          <w:rFonts w:ascii="Times New Roman" w:hAnsi="Times New Roman" w:cs="Times New Roman"/>
          <w:sz w:val="24"/>
          <w:szCs w:val="24"/>
        </w:rPr>
        <w:instrText>ADDIN CSL_CITATION {"citationItems":[{"id":"ITEM-1","itemData":{"DOI":"10.7326/0003-4819-138-6-200303180-00012","ISBN":"0003-4819","ISSN":"00034819","PMID":"12639081","abstract":"Objective: To evaluate the mini–clinical evaluation exercise (mini-CEX), which assesses the clinical skills of residents.Design: Observational study and psychometric assessment of the mini-CEX.Setting: 21 internal medicine training programs.Participants: Data from 1228 mini-CEX encounters involving 421 residents and 316 evaluators.Intervention: The encounters were assessed for the type of visit, sex and complexity of the patient, when the encounter occurred, length of the encounter, ratings provided, and the satisfaction of the examiners. Using this information, we determined the overall average ratings for residents in all categories, the reliability of the mini-CEX scores, and the effects of the characteristics of the patients and encounters.Measurements: Interviewing skills, physical examination, professionalism, clinical judgment, counseling, organization and efficiency, and overall competence were evaluated.Results: Residents were assessed in various clinical settings with a diverse set of patient problems. Residents received the lowest ratings in the physical examination and the highest ratings in professionalism. Comparisons over the first year of training showed statistically significant improvement in all aspects of competence, and the method generated reliable ratings.Conclusions: The measurement characteristics of the mini-CEX are similar to those of other performance assessments, such as standardized patients. Unlike these assessments, the difficulty of the examination will vary with the patients that a resident encounters. This effect is mitigated to a degree by the examiners, who slightly overcompensate for patient difficulty, and by the fact that each resident interacts with several patients. Furthermore, the mini-CEX has higher fidelity than these formats, permits evaluation based on a much broader set of clinical settings and patient problems, and is administered on site.","author":[{"dropping-particle":"","family":"Norcini","given":"John J","non-dropping-particle":"","parse-names":false,"suffix":""},{"dropping-particle":"","family":"Blank","given":"Linda L","non-dropping-particle":"","parse-names":false,"suffix":""},{"dropping-particle":"","family":"Duffy","given":"F Daniel","non-dropping-particle":"","parse-names":false,"suffix":""},{"dropping-particle":"","family":"Fortna","given":"Gregory S","non-dropping-particle":"","parse-names":false,"suffix":""}],"container-title":"Annals of Internal Medicine","id":"ITEM-1","issue":"6","issued":{"date-parts":[["2003"]]},"page":"476-481","title":"The Mini-CEX: A Method for Assessing Clinical Skills","type":"article-journal","volume":"138"},"uris":["http://www.mendeley.com/documents/?uuid=1bcae26c-3600-4e83-8add-85167198cd45"]}],"mendeley":{"formattedCitation":"(Norcini &lt;i&gt;et al.&lt;/i&gt;, 2003)","plainTextFormattedCitation":"(Norcini et al., 2003)","previouslyFormattedCitation":"(John J Norcini et al. 2003)"},"properties":{"noteIndex":0},"schema":"https://github.com/citation-style-language/schema/raw/master/csl-citation.json"}</w:instrText>
      </w:r>
      <w:r w:rsidRPr="00247752">
        <w:rPr>
          <w:rFonts w:ascii="Times New Roman" w:hAnsi="Times New Roman" w:cs="Times New Roman"/>
          <w:sz w:val="24"/>
          <w:szCs w:val="24"/>
        </w:rPr>
        <w:fldChar w:fldCharType="separate"/>
      </w:r>
      <w:r w:rsidR="00BE3B6C" w:rsidRPr="00247752">
        <w:rPr>
          <w:rFonts w:ascii="Times New Roman" w:hAnsi="Times New Roman" w:cs="Times New Roman"/>
          <w:noProof/>
          <w:sz w:val="24"/>
          <w:szCs w:val="24"/>
        </w:rPr>
        <w:t>(Norcini et al. 2003)</w:t>
      </w:r>
      <w:r w:rsidRPr="00247752">
        <w:rPr>
          <w:rFonts w:ascii="Times New Roman" w:hAnsi="Times New Roman" w:cs="Times New Roman"/>
          <w:sz w:val="24"/>
          <w:szCs w:val="24"/>
        </w:rPr>
        <w:fldChar w:fldCharType="end"/>
      </w:r>
      <w:r w:rsidRPr="00247752">
        <w:rPr>
          <w:rFonts w:ascii="Times New Roman" w:hAnsi="Times New Roman" w:cs="Times New Roman"/>
          <w:sz w:val="24"/>
          <w:szCs w:val="24"/>
        </w:rPr>
        <w:t xml:space="preserve">. Trainees who know they might be underperforming are more likely to approach a </w:t>
      </w:r>
      <w:r w:rsidRPr="00247752">
        <w:rPr>
          <w:rFonts w:ascii="Times New Roman" w:hAnsi="Times New Roman" w:cs="Times New Roman"/>
          <w:sz w:val="24"/>
          <w:szCs w:val="24"/>
        </w:rPr>
        <w:lastRenderedPageBreak/>
        <w:t>nursing colleague or non-clinical assessor to complete a WBA, perhaps trying to seek a more favourable outcome for their assessment which more senior colleagues may not provide</w:t>
      </w:r>
      <w:r w:rsidR="00ED7C9E" w:rsidRPr="00247752">
        <w:rPr>
          <w:rFonts w:ascii="Times New Roman" w:hAnsi="Times New Roman" w:cs="Times New Roman"/>
          <w:sz w:val="24"/>
          <w:szCs w:val="24"/>
        </w:rPr>
        <w:t xml:space="preserve"> </w:t>
      </w:r>
      <w:r w:rsidRPr="00247752">
        <w:rPr>
          <w:rFonts w:ascii="Times New Roman" w:hAnsi="Times New Roman" w:cs="Times New Roman"/>
          <w:sz w:val="24"/>
          <w:szCs w:val="24"/>
        </w:rPr>
        <w:fldChar w:fldCharType="begin" w:fldLock="1"/>
      </w:r>
      <w:r w:rsidR="00BE3B6C" w:rsidRPr="00247752">
        <w:rPr>
          <w:rFonts w:ascii="Times New Roman" w:hAnsi="Times New Roman" w:cs="Times New Roman"/>
          <w:sz w:val="24"/>
          <w:szCs w:val="24"/>
        </w:rPr>
        <w:instrText>ADDIN CSL_CITATION {"citationItems":[{"id":"ITEM-1","itemData":{"DOI":"10.1111/medu.12113","ISBN":"1365-2923 (Electronic)\\r0308-0110 (Linking)","ISSN":"03080110","PMID":"23398015","abstract":"CONTEXT: Trainee-led workplace-based assessment (WPBA) is increasingly used in postgraduate medical training. Trainees in difficulty are known to behave differently from their peers; these differences may be reflected in their use of WPBAs and may give new insights into the behaviour and assessment of struggling trainees.\\n\\nMETHODS: Data were extracted for 76 115 assessments, completed by 1900 UK Foundation Programme (FP) trainees. Of these 1900 trainees, 95 (5%) were FP trainees in difficulty (FTiDs). We analysed aspects of the use of WPBAs, using multiple logistic regressions, to compare the behaviours of FTiDs with those of their peers.\\n\\nRESULTS: Of 48 possible comparisons, only two (i.e. the rate expected to occur by chance) showed statistically significant differences: relative to their peers, FTiDs were more likely to choose nurse assessors in direct observations of procedural skills (odds ratio [OR] 7.05, 95% confidence interval [CI] 1.23-40.43) and more likely to choose non-clinical assessors for assessments using the mini-peer assessment tool (OR 30.44, 95% CI 1.34-689.29).\\n\\nCONCLUSIONS: Key features of assessor choice for FTiDs are familiarity and likelihood of receiving a positive assessment. This analysis has not demonstrated that FTiDs use WPBAs any differently from their peers who are not in difficulty, although it does suggest associations and trends that require further exploration. These null results are interesting and raise hypotheses for prospective confirmation or disproof, and for further qualitative work investigating how struggling trainees use WPBAs in order to guide the future implementation of WPBAs in postgraduate training.","author":[{"dropping-particle":"","family":"Mitchell","given":"Colin","non-dropping-particle":"","parse-names":false,"suffix":""},{"dropping-particle":"","family":"Bhat","given":"Sarita","non-dropping-particle":"","parse-names":false,"suffix":""},{"dropping-particle":"","family":"Herbert","given":"Anne","non-dropping-particle":"","parse-names":false,"suffix":""},{"dropping-particle":"","family":"Baker","given":"Paul","non-dropping-particle":"","parse-names":false,"suffix":""}],"container-title":"Medical Education","id":"ITEM-1","issue":"3","issued":{"date-parts":[["2013"]]},"page":"292-300","title":"Workplace-based assessments in Foundation Programme training: Do trainees in difficulty use them differently?","type":"article-journal","volume":"47"},"uris":["http://www.mendeley.com/documents/?uuid=1c974e99-11b1-4baf-884f-460289d89c66"]},{"id":"ITEM-2","itemData":{"DOI":"10.1186/s13643-015-0056-9","ISSN":"2046-4053","PMID":"25951850","abstract":"BACKGROUND: Workplace-based assessments were designed to facilitate observation and structure feedback on the performance of trainees in real-time clinical settings and scenarios. Research in workplace-based assessments has primarily centred on understanding psychometric qualities and performance improvement impacts of trainees generally. An area that is far less understood is the use of workplace-based assessments for trainees who may not be performing at expected or desired standards, referred to within the literature as trainees 'in difficulty' or 'underperforming'. In healthcare systems that increasingly depend on service provided by junior doctors, early detection (and remediation) of poor performance is essential. However, barriers to successful implementation of workplace-based assessments (WBAs) in this context include a misunderstanding of the use and purpose of these formative assessment tools. This review aims to explore the impact - or effectiveness - of workplace-based assessment on the identification of poor performance and to determine those conditions that support and enable detection, i.e. whether by routine or targeted use where poor performance is suspected. The review also aims to explore what effect (if any) the use of WBA may have on remediation or on changing clinical practice. The personal impact of the detection of poor performance on trainees and/or trainers may also be explored. METHODS/DESIGN: Using BEME (Best Evidence in Medical Education) Collaboration review guidelines, nine databases will be searched for English-language records. Studies examining interventions for workplace-based assessment either routinely or in relation to poor performance will be included. Independent agreement (kappa .80) will be achieved using a randomly selected set of records prior to commencement of screening and data extraction using a BEME coding sheet modified as applicable (Buckley et al., Med Teach 31:282-98, 2009) as this has been used in previous WBA systematic reviews (Miller and Archer, BMJ doi:10.1136/bmj.c5064, 2010) allowing for more rigorous comparisons with the published literature. Educational outcomes will be evaluated using Kirkpatrick's framework of educational outcomes using Barr's adaptations (Barr et al., Evaluations of interprofessional education; a United Kingdom review of health and social care, 2000) for medical education research. DISCUSSION: Our study will contribute to an ongoing international debate regarding the appl…","author":[{"dropping-particle":"","family":"Barrett","given":"Aileen","non-dropping-particle":"","parse-names":false,"suffix":""},{"dropping-particle":"","family":"Galvin","given":"Rose","non-dropping-particle":"","parse-names":false,"suffix":""},{"dropping-particle":"","family":"Steinert","given":"Yvonne","non-dropping-particle":"","parse-names":false,"suffix":""},{"dropping-particle":"","family":"Scherpbier","given":"Albert","non-dropping-particle":"","parse-names":false,"suffix":""},{"dropping-particle":"","family":"O’Shaughnessy","given":"Ann","non-dropping-particle":"","parse-names":false,"suffix":""},{"dropping-particle":"","family":"Horgan","given":"Mary","non-dropping-particle":"","parse-names":false,"suffix":""},{"dropping-particle":"","family":"Horsley","given":"Tanya","non-dropping-particle":"","parse-names":false,"suffix":""},{"dropping-particle":"","family":"O'Shaughnessy","given":"Ann","non-dropping-particle":"","parse-names":false,"suffix":""},{"dropping-particle":"","family":"Horgan","given":"Mary","non-dropping-particle":"","parse-names":false,"suffix":""},{"dropping-particle":"","family":"Horsley","given":"Tanya","non-dropping-particle":"","parse-names":false,"suffix":""},{"dropping-particle":"","family":"O’Shaughnessy","given":"Ann","non-dropping-particle":"","parse-names":false,"suffix":""},{"dropping-particle":"","family":"Horgan","given":"Mary","non-dropping-particle":"","parse-names":false,"suffix":""},{"dropping-particle":"","family":"Horsley","given":"Tanya","non-dropping-particle":"","parse-names":false,"suffix":""}],"container-title":"Systematic Reviews","id":"ITEM-2","issue":"1","issued":{"date-parts":[["2015"]]},"page":"1-6","title":"A BEME (Best Evidence in Medical Education) systematic review of the use of workplace-based assessment in identifying and remediating poor performance among postgraduate medical trainees","type":"article-journal","volume":"4"},"uris":["http://www.mendeley.com/documents/?uuid=4ccc03c1-f47f-423a-88b0-585dd7559938"]}],"mendeley":{"formattedCitation":"(Mitchell &lt;i&gt;et al.&lt;/i&gt;, 2013; Barrett &lt;i&gt;et al.&lt;/i&gt;, 2015)","plainTextFormattedCitation":"(Mitchell et al., 2013; Barrett et al., 2015)","previouslyFormattedCitation":"(Mitchell et al. 2013; Barrett et al. 2015)"},"properties":{"noteIndex":0},"schema":"https://github.com/citation-style-language/schema/raw/master/csl-citation.json"}</w:instrText>
      </w:r>
      <w:r w:rsidRPr="00247752">
        <w:rPr>
          <w:rFonts w:ascii="Times New Roman" w:hAnsi="Times New Roman" w:cs="Times New Roman"/>
          <w:sz w:val="24"/>
          <w:szCs w:val="24"/>
        </w:rPr>
        <w:fldChar w:fldCharType="separate"/>
      </w:r>
      <w:r w:rsidR="00BE3B6C" w:rsidRPr="00247752">
        <w:rPr>
          <w:rFonts w:ascii="Times New Roman" w:hAnsi="Times New Roman" w:cs="Times New Roman"/>
          <w:noProof/>
          <w:sz w:val="24"/>
          <w:szCs w:val="24"/>
        </w:rPr>
        <w:t>(Mitchell et al. 2013; Barrett et al.</w:t>
      </w:r>
      <w:r w:rsidR="00247752">
        <w:rPr>
          <w:rFonts w:ascii="Times New Roman" w:hAnsi="Times New Roman" w:cs="Times New Roman"/>
          <w:noProof/>
          <w:sz w:val="24"/>
          <w:szCs w:val="24"/>
        </w:rPr>
        <w:t xml:space="preserve"> 2016</w:t>
      </w:r>
      <w:r w:rsidR="00BE3B6C" w:rsidRPr="00247752">
        <w:rPr>
          <w:rFonts w:ascii="Times New Roman" w:hAnsi="Times New Roman" w:cs="Times New Roman"/>
          <w:noProof/>
          <w:sz w:val="24"/>
          <w:szCs w:val="24"/>
        </w:rPr>
        <w:t>)</w:t>
      </w:r>
      <w:r w:rsidRPr="00247752">
        <w:rPr>
          <w:rFonts w:ascii="Times New Roman" w:hAnsi="Times New Roman" w:cs="Times New Roman"/>
          <w:sz w:val="24"/>
          <w:szCs w:val="24"/>
        </w:rPr>
        <w:fldChar w:fldCharType="end"/>
      </w:r>
      <w:r w:rsidRPr="00247752">
        <w:rPr>
          <w:rFonts w:ascii="Times New Roman" w:hAnsi="Times New Roman" w:cs="Times New Roman"/>
          <w:sz w:val="24"/>
          <w:szCs w:val="24"/>
        </w:rPr>
        <w:t>.  It is imperative to monitor WBAs and to ensure trainees do not manipulate who and on what they are assessed on</w:t>
      </w:r>
      <w:r w:rsidR="00ED7C9E" w:rsidRPr="00247752">
        <w:rPr>
          <w:rFonts w:ascii="Times New Roman" w:hAnsi="Times New Roman" w:cs="Times New Roman"/>
          <w:sz w:val="24"/>
          <w:szCs w:val="24"/>
        </w:rPr>
        <w:t xml:space="preserve"> </w:t>
      </w:r>
      <w:r w:rsidRPr="00247752">
        <w:rPr>
          <w:rFonts w:ascii="Times New Roman" w:hAnsi="Times New Roman" w:cs="Times New Roman"/>
          <w:sz w:val="24"/>
          <w:szCs w:val="24"/>
        </w:rPr>
        <w:fldChar w:fldCharType="begin" w:fldLock="1"/>
      </w:r>
      <w:r w:rsidR="00BE3B6C" w:rsidRPr="00247752">
        <w:rPr>
          <w:rFonts w:ascii="Times New Roman" w:hAnsi="Times New Roman" w:cs="Times New Roman"/>
          <w:sz w:val="24"/>
          <w:szCs w:val="24"/>
        </w:rPr>
        <w:instrText>ADDIN CSL_CITATION {"citationItems":[{"id":"ITEM-1","itemData":{"DOI":"10.1007/s10459-008-9104-8","ISBN":"1382-4996","ISSN":"13824996","PMID":"18306052","abstract":"To investigate the reliability and feasibility of six potential workplace-based assessment methods in general practice training: criterion audit, multi-source feedback from clinical and non-clinical colleagues, patient feedback (the CARE Measure), referral letters, significant event analysis, and video analysis of consultations. Performance of GP registrars (trainees) was evaluated with each tool to assess the reliabilities of the tools and feasibility, given raters and number of assessments needed. Participant experience of process determined by questionnaire. 171 GP registrars and their trainers, drawn from nine deaneries (representing all four countries in the UK), participated. The ability of each tool to differentiate between doctors (reliability) was assessed using generalisability theory. Decision studies were then conducted to determine the number of observations required to achieve an acceptably high reliability for \"high-stakes assessment\" using each instrument. Finally, descriptive statistics were used to summarise participants' ratings of their experience using these tools. Multi-source feedback from colleagues and patient feedback on consultations emerged as the two methods most likely to offer a reliable and feasible opinion of workplace performance. Reliability co-efficients of 0.8 were attainable with 41 CARE Measure patient questionnaires and six clinical and/or five non-clinical colleagues per doctor when assessed on two occasions. For the other four methods tested, 10 or more assessors were required per doctor in order to achieve a reliable assessment, making the feasibility of their use in high-stakes assessment extremely low. Participant feedback did not raise any major concerns regarding the acceptability, feasibility, or educational impact of the tools. The combination of patient and colleague views of doctors' performance, coupled with reliable competence measures, may offer a suitable evidence-base on which to monitor progress and completion of doctors' training in general practice.","author":[{"dropping-particle":"","family":"Murphy DJ","given":"","non-dropping-particle":"","parse-names":false,"suffix":""},{"dropping-particle":"","family":"Bruce DA","given":"","non-dropping-particle":"","parse-names":false,"suffix":""},{"dropping-particle":"","family":"Mercer SW","given":"","non-dropping-particle":"","parse-names":false,"suffix":""},{"dropping-particle":"","family":"Eva KW.","given":"","non-dropping-particle":"","parse-names":false,"suffix":""},{"dropping-particle":"","family":"Murphy","given":"Douglas J.","non-dropping-particle":"","parse-names":false,"suffix":""},{"dropping-particle":"","family":"Bruce","given":"David a.","non-dropping-particle":"","parse-names":false,"suffix":""},{"dropping-particle":"","family":"Mercer","given":"Stewart W.","non-dropping-particle":"","parse-names":false,"suffix":""},{"dropping-particle":"","family":"Eva","given":"Kevin W.","non-dropping-particle":"","parse-names":false,"suffix":""}],"container-title":"Advances in Health Sciences Education","id":"ITEM-1","issue":"2","issued":{"date-parts":[["2009"]]},"page":"219-232","title":"The reliability of workplace-based assessment in postgraduate medical education and training: A national evaluation in general practice in the United Kingdom","type":"article-journal","volume":"14"},"uris":["http://www.mendeley.com/documents/?uuid=9e7200b4-51d3-4f22-a4b2-89e6ec39126e"]}],"mendeley":{"formattedCitation":"(Murphy DJ &lt;i&gt;et al.&lt;/i&gt;, 2009)","plainTextFormattedCitation":"(Murphy DJ et al., 2009)","previouslyFormattedCitation":"(Murphy DJ et al. 2009)"},"properties":{"noteIndex":0},"schema":"https://github.com/citation-style-language/schema/raw/master/csl-citation.json"}</w:instrText>
      </w:r>
      <w:r w:rsidRPr="00247752">
        <w:rPr>
          <w:rFonts w:ascii="Times New Roman" w:hAnsi="Times New Roman" w:cs="Times New Roman"/>
          <w:sz w:val="24"/>
          <w:szCs w:val="24"/>
        </w:rPr>
        <w:fldChar w:fldCharType="separate"/>
      </w:r>
      <w:r w:rsidR="00247752">
        <w:rPr>
          <w:rFonts w:ascii="Times New Roman" w:hAnsi="Times New Roman" w:cs="Times New Roman"/>
          <w:noProof/>
          <w:sz w:val="24"/>
          <w:szCs w:val="24"/>
        </w:rPr>
        <w:t>(Murphy</w:t>
      </w:r>
      <w:r w:rsidR="00BE3B6C" w:rsidRPr="00247752">
        <w:rPr>
          <w:rFonts w:ascii="Times New Roman" w:hAnsi="Times New Roman" w:cs="Times New Roman"/>
          <w:noProof/>
          <w:sz w:val="24"/>
          <w:szCs w:val="24"/>
        </w:rPr>
        <w:t xml:space="preserve"> et al. 2009)</w:t>
      </w:r>
      <w:r w:rsidRPr="00247752">
        <w:rPr>
          <w:rFonts w:ascii="Times New Roman" w:hAnsi="Times New Roman" w:cs="Times New Roman"/>
          <w:sz w:val="24"/>
          <w:szCs w:val="24"/>
        </w:rPr>
        <w:fldChar w:fldCharType="end"/>
      </w:r>
      <w:r w:rsidRPr="00247752">
        <w:rPr>
          <w:rFonts w:ascii="Times New Roman" w:hAnsi="Times New Roman" w:cs="Times New Roman"/>
          <w:sz w:val="24"/>
          <w:szCs w:val="24"/>
        </w:rPr>
        <w:t>.  On the other extreme, trainees who always perform well on WBAs may feel that their feedback is of limited use-compounding the idea that WBAs can become</w:t>
      </w:r>
      <w:r w:rsidRPr="006F3B00">
        <w:rPr>
          <w:rFonts w:ascii="Times New Roman" w:hAnsi="Times New Roman" w:cs="Times New Roman"/>
          <w:sz w:val="24"/>
          <w:szCs w:val="24"/>
        </w:rPr>
        <w:t xml:space="preserve"> a “tick box” exercise for these trainees. </w:t>
      </w:r>
    </w:p>
    <w:p w14:paraId="26D0741A" w14:textId="06B499D8" w:rsidR="00863DF5" w:rsidRPr="006F3B00" w:rsidRDefault="00863DF5" w:rsidP="0066017E">
      <w:pPr>
        <w:spacing w:line="480" w:lineRule="auto"/>
        <w:rPr>
          <w:rFonts w:ascii="Times New Roman" w:hAnsi="Times New Roman" w:cs="Times New Roman"/>
          <w:sz w:val="24"/>
          <w:szCs w:val="24"/>
        </w:rPr>
      </w:pPr>
      <w:r w:rsidRPr="006F3B00">
        <w:rPr>
          <w:rFonts w:ascii="Times New Roman" w:hAnsi="Times New Roman" w:cs="Times New Roman"/>
          <w:sz w:val="24"/>
          <w:szCs w:val="24"/>
        </w:rPr>
        <w:t>Recent work has discussed the importance of self-regulation theory, which includes “goal-directed behaviour, use of specific strategies to attain goals, and the adaptation and modification to behaviours or strategies to optimise learning and performance”</w:t>
      </w:r>
      <w:r w:rsidR="00CB0AF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{"citationItems":[{"id":"ITEM-1","itemData":{"DOI":"10.3109/0142159X.2011.595434","ISBN":"0142-159X","ISSN":"0142-159X","PMID":"22022899","abstract":"Self-regulation theory, as applied to medical education, describes the cyclical control of academic and clinical performance through several key processes that include goal-directed behaviour, use of specific strategies to attain goals, and the adaptation and modification to behaviours or strategies to optimise learning and performance. Extensive research across a variety of non-medical disciplines has highlighted differences in key self-regulation processes between high- and low-achieving learners and performers. Structured identification of key self-regulation processes can be used to develop specific remediation approaches that can improve performance in academic and complex psycho-motor skills. General teaching approaches that are guided by a self-regulation perspective can also enhance academic performance. Self-regulation theory offers an exciting potential for improving academic and clinical performance in medical education.","author":[{"dropping-particle":"","family":"Sandars","given":"John","non-dropping-particle":"","parse-names":false,"suffix":""},{"dropping-particle":"","family":"Cleary","given":"Timothy J.","non-dropping-particle":"","parse-names":false,"suffix":""}],"container-title":"Medical Teacher","id":"ITEM-1","issue":"11","issued":{"date-parts":[["2011"]]},"page":"875-886","title":"Self-regulation theory: Applications to medical education: AMEE Guide No. 58","type":"article-journal","volume":"33"},"uris":["http://www.mendeley.com/documents/?uuid=8deaf11f-f533-4b34-8ba1-e6fcc61d5396"]}],"mendeley":{"formattedCitation":"(Sandars and Cleary, 2011)","plainTextFormattedCitation":"(Sandars and Cleary, 2011)","previouslyFormattedCitation":"(Sandars and Cleary 2011)"},"properties":{"noteIndex":0},"schema":"https://github.com/citation-style-language/schema/raw/master/csl-citation.json"}</w:instrText>
      </w:r>
      <w:r w:rsidRPr="006F3B00">
        <w:rPr>
          <w:rFonts w:ascii="Times New Roman" w:hAnsi="Times New Roman" w:cs="Times New Roman"/>
          <w:sz w:val="24"/>
          <w:szCs w:val="24"/>
        </w:rPr>
        <w:fldChar w:fldCharType="separate"/>
      </w:r>
      <w:r w:rsidR="00247752">
        <w:rPr>
          <w:rFonts w:ascii="Times New Roman" w:hAnsi="Times New Roman" w:cs="Times New Roman"/>
          <w:noProof/>
          <w:sz w:val="24"/>
          <w:szCs w:val="24"/>
        </w:rPr>
        <w:t>(Sandars and Cleary</w:t>
      </w:r>
      <w:r w:rsidR="00BE3B6C" w:rsidRPr="00BE3B6C">
        <w:rPr>
          <w:rFonts w:ascii="Times New Roman" w:hAnsi="Times New Roman" w:cs="Times New Roman"/>
          <w:noProof/>
          <w:sz w:val="24"/>
          <w:szCs w:val="24"/>
        </w:rPr>
        <w:t xml:space="preserve"> 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This research has shown that high- and low-achieving learners use self-regulation differently, and if it were possible to help struggling trainees to self-regulate more effectively, then their performance may improve</w:t>
      </w:r>
      <w:r w:rsidR="00247752">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{"citationItems":[{"id":"ITEM-1","itemData":{"DOI":"10.3109/0142159X.2011.595434","ISBN":"0142-159X","ISSN":"0142-159X","PMID":"22022899","abstract":"Self-regulation theory, as applied to medical education, describes the cyclical control of academic and clinical performance through several key processes that include goal-directed behaviour, use of specific strategies to attain goals, and the adaptation and modification to behaviours or strategies to optimise learning and performance. Extensive research across a variety of non-medical disciplines has highlighted differences in key self-regulation processes between high- and low-achieving learners and performers. Structured identification of key self-regulation processes can be used to develop specific remediation approaches that can improve performance in academic and complex psycho-motor skills. General teaching approaches that are guided by a self-regulation perspective can also enhance academic performance. Self-regulation theory offers an exciting potential for improving academic and clinical performance in medical education.","author":[{"dropping-particle":"","family":"Sandars","given":"John","non-dropping-particle":"","parse-names":false,"suffix":""},{"dropping-particle":"","family":"Cleary","given":"Timothy J.","non-dropping-particle":"","parse-names":false,"suffix":""}],"container-title":"Medical Teacher","id":"ITEM-1","issue":"11","issued":{"date-parts":[["2011"]]},"page":"875-886","title":"Self-regulation theory: Applications to medical education: AMEE Guide No. 58","type":"article-journal","volume":"33"},"uris":["http://www.mendeley.com/documents/?uuid=8deaf11f-f533-4b34-8ba1-e6fcc61d5396"]}],"mendeley":{"formattedCitation":"(Sandars and Cleary, 2011)","plainTextFormattedCitation":"(Sandars and Cleary, 2011)","previouslyFormattedCitation":"(Sandars and Cleary 2011)"},"properties":{"noteIndex":0},"schema":"https://github.com/citation-style-language/schema/raw/master/csl-citation.json"}</w:instrText>
      </w:r>
      <w:r w:rsidRPr="006F3B00">
        <w:rPr>
          <w:rFonts w:ascii="Times New Roman" w:hAnsi="Times New Roman" w:cs="Times New Roman"/>
          <w:sz w:val="24"/>
          <w:szCs w:val="24"/>
        </w:rPr>
        <w:fldChar w:fldCharType="separate"/>
      </w:r>
      <w:r w:rsidR="00247752">
        <w:rPr>
          <w:rFonts w:ascii="Times New Roman" w:hAnsi="Times New Roman" w:cs="Times New Roman"/>
          <w:noProof/>
          <w:sz w:val="24"/>
          <w:szCs w:val="24"/>
        </w:rPr>
        <w:t>(Sandars and Cleary</w:t>
      </w:r>
      <w:r w:rsidR="00BE3B6C" w:rsidRPr="00BE3B6C">
        <w:rPr>
          <w:rFonts w:ascii="Times New Roman" w:hAnsi="Times New Roman" w:cs="Times New Roman"/>
          <w:noProof/>
          <w:sz w:val="24"/>
          <w:szCs w:val="24"/>
        </w:rPr>
        <w:t xml:space="preserve"> 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2602CED5" w14:textId="1C0FEE86" w:rsidR="00863DF5" w:rsidRPr="006F3B00" w:rsidRDefault="00CC58FD" w:rsidP="00863DF5">
      <w:pPr>
        <w:pStyle w:val="Heading3"/>
        <w:rPr>
          <w:rFonts w:ascii="Times New Roman" w:hAnsi="Times New Roman" w:cs="Times New Roman"/>
          <w:color w:val="auto"/>
          <w:sz w:val="24"/>
          <w:szCs w:val="24"/>
        </w:rPr>
      </w:pPr>
      <w:bookmarkStart w:id="47" w:name="_Toc23243776"/>
      <w:r>
        <w:rPr>
          <w:rFonts w:ascii="Times New Roman" w:hAnsi="Times New Roman" w:cs="Times New Roman"/>
          <w:color w:val="auto"/>
          <w:sz w:val="24"/>
          <w:szCs w:val="24"/>
        </w:rPr>
        <w:t>1.3</w:t>
      </w:r>
      <w:r w:rsidR="009114C0">
        <w:rPr>
          <w:rFonts w:ascii="Times New Roman" w:hAnsi="Times New Roman" w:cs="Times New Roman"/>
          <w:color w:val="auto"/>
          <w:sz w:val="24"/>
          <w:szCs w:val="24"/>
        </w:rPr>
        <w:t>.1</w:t>
      </w:r>
      <w:r w:rsidR="00863DF5" w:rsidRPr="006F3B00">
        <w:rPr>
          <w:rFonts w:ascii="Times New Roman" w:hAnsi="Times New Roman" w:cs="Times New Roman"/>
          <w:color w:val="auto"/>
          <w:sz w:val="24"/>
          <w:szCs w:val="24"/>
        </w:rPr>
        <w:t>.5 Validity</w:t>
      </w:r>
      <w:bookmarkEnd w:id="47"/>
      <w:r w:rsidR="00863DF5" w:rsidRPr="006F3B00">
        <w:rPr>
          <w:rFonts w:ascii="Times New Roman" w:hAnsi="Times New Roman" w:cs="Times New Roman"/>
          <w:color w:val="auto"/>
          <w:sz w:val="24"/>
          <w:szCs w:val="24"/>
        </w:rPr>
        <w:t xml:space="preserve"> </w:t>
      </w:r>
    </w:p>
    <w:p w14:paraId="54C57C7F" w14:textId="77777777" w:rsidR="00863DF5" w:rsidRPr="006F3B00" w:rsidRDefault="00863DF5" w:rsidP="00863DF5">
      <w:pPr>
        <w:rPr>
          <w:rFonts w:ascii="Times New Roman" w:hAnsi="Times New Roman" w:cs="Times New Roman"/>
          <w:sz w:val="24"/>
          <w:szCs w:val="24"/>
        </w:rPr>
      </w:pPr>
    </w:p>
    <w:p w14:paraId="12962CAC" w14:textId="20270793" w:rsidR="00863DF5" w:rsidRPr="00CB0AFD" w:rsidRDefault="00863DF5" w:rsidP="00863DF5">
      <w:pPr>
        <w:spacing w:after="0" w:line="480" w:lineRule="auto"/>
        <w:rPr>
          <w:rFonts w:ascii="Times New Roman" w:hAnsi="Times New Roman" w:cs="Times New Roman"/>
          <w:sz w:val="24"/>
          <w:szCs w:val="24"/>
        </w:rPr>
      </w:pPr>
      <w:r w:rsidRPr="00CB0AFD">
        <w:rPr>
          <w:rFonts w:ascii="Times New Roman" w:hAnsi="Times New Roman" w:cs="Times New Roman"/>
          <w:sz w:val="24"/>
          <w:szCs w:val="24"/>
        </w:rPr>
        <w:t>Although there is some support for the utility of WBAs, problems surrounding their validity due to assessor scoring has been problematic</w:t>
      </w:r>
      <w:r w:rsidR="00ED7C9E" w:rsidRPr="00CB0AFD">
        <w:rPr>
          <w:rFonts w:ascii="Times New Roman" w:hAnsi="Times New Roman" w:cs="Times New Roman"/>
          <w:sz w:val="24"/>
          <w:szCs w:val="24"/>
        </w:rPr>
        <w:t xml:space="preserve">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{"citationItems":[{"id":"ITEM-1","itemData":{"DOI":"10.1097/ACM.0b013e3181eac3e6","ISBN":"1040-2446","ISSN":"10402446","PMID":"20736673","abstract":"PURPOSE: The mini-Clinical Evaluation Exercise (mCEX) is increasingly being used to assess the clinical skills of medical trainees. Existing mCEX research has typically focused on isolated aspects of the instrument's reliability and validity. A more thorough validity analysis is necessary to inform use of the mCEX, particularly in light of increased interest in high-stakes applications of the methodology. METHOD: Kane's (2006) validity framework, in which a structured argument is developed to support the intended interpretation(s) of assessment results, was used to evaluate mCEX research published from 1995 to 2009. In this framework, evidence to support the argument is divided into four components (scoring, generalization, extrapolation, and interpretation/decision), each of which relates to different features of the assessment or resulting scores. The strength and limitations of the reviewed research were identified in relation to these components, and the findings were synthesized to highlight overall strengths and weaknesses of existing mCEX research. RESULTS: The scoring component yielded the most concerns relating to the validity of mCEX score interpretations. More research is needed to determine whether scoring-related issues, such as leniency error and high interitem correlations, limit the utility of the mCEX for providing feedback to trainees. Evidence within the generalization and extrapolation components is generally supportive of the validity of mCEX score interpretations. CONCLUSIONS: Careful evaluation of the circumstances of mCEX assessment will help to improve the quality of the resulting information. Future research should address issues of rater selection, training, and monitoring which can impact rating accuracy.","author":[{"dropping-particle":"","family":"Hawkins","given":"Richard E.","non-dropping-particle":"","parse-names":false,"suffix":""},{"dropping-particle":"","family":"Margolis","given":"Melissa J.","non-dropping-particle":"","parse-names":false,"suffix":""},{"dropping-particle":"","family":"Durning","given":"Steven J.","non-dropping-particle":"","parse-names":false,"suffix":""},{"dropping-particle":"","family":"Norcini","given":"John J.","non-dropping-particle":"","parse-names":false,"suffix":""}],"container-title":"Academic Medicine","id":"ITEM-1","issue":"9","issued":{"date-parts":[["2010"]]},"page":"1453-1461","title":"Constructing a validity argument for the mini-clinical evaluation exercise: A review of the research","type":"article-journal","volume":"85"},"uris":["http://www.mendeley.com/documents/?uuid=93976c8b-6b0e-4ace-9454-740b5c5193bd"]},{"id":"ITEM-2","itemData":{"DOI":"10.1007/s10459-010-9235-6","ISBN":"1573-1677 (Electronic)\\r1382-4996 (Linking)","ISSN":"13824996","PMID":"20559868","abstract":"We reviewed the literature on instruments for work-based assessment in single clinical encounters, such as the mini-clinical evaluation exercise (mini-CEX), and examined differences between these instruments in characteristics and feasibility, reliability, validity and educational effect. A PubMed search of the literature published before 8 January 2009 yielded 39 articles dealing with 18 different assessment instruments. One researcher extracted data on the characteristics of the instruments and two researchers extracted data on feasibility, reliability, validity and educational effect. Instruments are predominantly formative. Feasibility is generally deemed good and assessor training occurs sparsely but is considered crucial for successful implementation. Acceptable reliability can be achieved with 10 encounters. The validity of many instruments is not investigated, but the validity of the mini-CEX and the 'clinical evaluation exercise' is supported by strong and significant correlations with other valid assessment instruments. The evidence from the few studies on educational effects is not very convincing. The reports on clinical assessment instruments for single work-based encounters are generally positive, but supporting evidence is sparse. Feasibility of instruments seems to be good and reliability requires a minimum of 10 encounters, but no clear conclusions emerge on other aspects. Studies on assessor and learner training and studies examining effects beyond 'happiness data' are badly needed.","author":[{"dropping-particle":"","family":"Pelgrim","given":"E. A M","non-dropping-particle":"","parse-names":false,"suffix":""},{"dropping-particle":"","family":"Kramer","given":"A. W M","non-dropping-particle":"","parse-names":false,"suffix":""},{"dropping-particle":"","family":"Mokkink","given":"H. G A","non-dropping-particle":"","parse-names":false,"suffix":""},{"dropping-particle":"","family":"Elsen","given":"L.","non-dropping-particle":"van den","parse-names":false,"suffix":""},{"dropping-particle":"","family":"Grol","given":"R. P T M","non-dropping-particle":"","parse-names":false,"suffix":""},{"dropping-particle":"","family":"Vleuten","given":"C. P M","non-dropping-particle":"van der","parse-names":false,"suffix":""}],"container-title":"Advances in Health Sciences Education","id":"ITEM-2","issue":"1","issued":{"date-parts":[["2011"]]},"page":"131-142","title":"In-training assessment using direct observation of single-patient encounters: A literature review","type":"article","volume":"16"},"uris":["http://www.mendeley.com/documents/?uuid=a1b877de-5e35-435f-9935-7c76e374e721"]}],"mendeley":{"formattedCitation":"(Hawkins &lt;i&gt;et al.&lt;/i&gt;, 2010; Pelgrim &lt;i&gt;et al.&lt;/i&gt;, 2011)","plainTextFormattedCitation":"(Hawkins et al., 2010; Pelgrim et al., 2011)","previouslyFormattedCitation":"(Hawkins et al. 2010; E. A. M. Pelgrim et al. 2011)"},"properties":{"noteIndex":0},"schema":"https://github.com/citation-style-language/schema/raw/master/csl-citation.json"}</w:instrText>
      </w:r>
      <w:r w:rsidRPr="00CB0AFD">
        <w:rPr>
          <w:rFonts w:ascii="Times New Roman" w:hAnsi="Times New Roman" w:cs="Times New Roman"/>
          <w:sz w:val="24"/>
          <w:szCs w:val="24"/>
        </w:rPr>
        <w:fldChar w:fldCharType="separate"/>
      </w:r>
      <w:r w:rsidR="00BE3B6C" w:rsidRPr="00CB0AFD">
        <w:rPr>
          <w:rFonts w:ascii="Times New Roman" w:hAnsi="Times New Roman" w:cs="Times New Roman"/>
          <w:noProof/>
          <w:sz w:val="24"/>
          <w:szCs w:val="24"/>
        </w:rPr>
        <w:t>(Hawkins et al.</w:t>
      </w:r>
      <w:r w:rsidR="00CB0AFD">
        <w:rPr>
          <w:rFonts w:ascii="Times New Roman" w:hAnsi="Times New Roman" w:cs="Times New Roman"/>
          <w:noProof/>
          <w:sz w:val="24"/>
          <w:szCs w:val="24"/>
        </w:rPr>
        <w:t xml:space="preserve"> </w:t>
      </w:r>
      <w:r w:rsidR="00BE3B6C" w:rsidRPr="00CB0AFD">
        <w:rPr>
          <w:rFonts w:ascii="Times New Roman" w:hAnsi="Times New Roman" w:cs="Times New Roman"/>
          <w:noProof/>
          <w:sz w:val="24"/>
          <w:szCs w:val="24"/>
        </w:rPr>
        <w:t>2010; Pelgrim et al. 2011)</w:t>
      </w:r>
      <w:r w:rsidRPr="00CB0AFD">
        <w:rPr>
          <w:rFonts w:ascii="Times New Roman" w:hAnsi="Times New Roman" w:cs="Times New Roman"/>
          <w:sz w:val="24"/>
          <w:szCs w:val="24"/>
        </w:rPr>
        <w:fldChar w:fldCharType="end"/>
      </w:r>
      <w:r w:rsidRPr="00CB0AFD">
        <w:rPr>
          <w:rFonts w:ascii="Times New Roman" w:hAnsi="Times New Roman" w:cs="Times New Roman"/>
          <w:sz w:val="24"/>
          <w:szCs w:val="24"/>
        </w:rPr>
        <w:t xml:space="preserve"> . Clearly, if only one trainer assesses the trainee for every task they do, the assessment could be vulnerable to bias and suffer from a lack of validity and generalisability</w:t>
      </w:r>
      <w:r w:rsidR="00ED7C9E" w:rsidRPr="00CB0AFD">
        <w:rPr>
          <w:rFonts w:ascii="Times New Roman" w:hAnsi="Times New Roman" w:cs="Times New Roman"/>
          <w:sz w:val="24"/>
          <w:szCs w:val="24"/>
        </w:rPr>
        <w:t xml:space="preserve">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{"citationItems":[{"id":"ITEM-1","itemData":{"DOI":"10.1001/jama.287.2.226","ISBN":"0098-7484 (Print)","ISSN":"0098-7484","PMID":"11779266","abstract":"Context Current assessment formats for physicians and trainees reliably test core knowl- edge and basic skills. However, they may underemphasize some important domains of professional medical practice, including interpersonal skills, lifelong learning, pro- fessionalism, and integration of core knowledge into clinical practice. Objectives To propose a definition of professional competence, to review current means for assessing it, and to suggest new approaches to assessment. Data Sources We searched the MEDLINE database from 1966 to 2001 and refer- ence lists of relevant articles for English-language studies of reliability or validity of measures of competence of physicians, medical students, and residents. Study Selection We excluded articles of a purely descriptive nature, duplicate re- ports, reviews, and opinions and position statements, which yielded 195 relevant ci- tations. Data Extraction Data were abstracted by 1 of us (R.M.E.). Quality criteria for in- clusion were broad, given the heterogeneity of interventions, complexity of outcome measures, and paucity of randomized or longitudinal study designs. Data Synthesis We generated an inclusive definition of competence: the habitual and judicious use of communication, knowledge, technical skills, clinical reasoning, emo- tions, values, and reflection in daily practice for the benefit of the individual and the community being served. Aside from protecting the public and limiting access to ad- vanced training, assessments should foster habits of learning and self-reflection and drive institutional change. Subjective, multiple-choice, and standardized patient as- sessments, although reliable, underemphasize important domains of professional com- petence: integration of knowledge and skills, context of care, information manage- ment, teamwork, health systems, and patient-physician relationships. Few assessments observe trainees in real-life situations, incorporate the perspectives of peers and pa- tients, or use measures that predict clinical outcomes. Conclusions In addition to assessments of basic skills, new formats that assess clini- cal reasoning, expert judgment, management of ambiguity, professionalism, time man- agement, learning strategies, and teamwork promise a multidimensional assessment while maintaining adequate reliability and validity. Institutional support, reflection, and mentoring must accompany the development of assessment programs.","author":[{"dropping-particle":"","family":"Epstein","given":"Ronald M","non-dropping-particle":"","parse-names":false,"suffix":""},{"dropping-particle":"","family":"Hundert","given":"Edward M","non-dropping-particle":"","parse-names":false,"suffix":""}],"container-title":"JAMA : the journal of the American Medical Association","id":"ITEM-1","issue":"2","issued":{"date-parts":[["2002"]]},"page":"226-235","title":"Defining and assessing professional competence","type":"article-journal","volume":"287"},"uris":["http://www.mendeley.com/documents/?uuid=693dadfb-d6e5-4adb-884e-ef0bad7dbf60"]},{"id":"ITEM-2","itemData":{"author":[{"dropping-particle":"","family":"Dauphinee","given":"W. D","non-dropping-particle":"","parse-names":false,"suffix":""}],"container-title":"The Journal of the American Medical Association","id":"ITEM-2","issue":"9","issued":{"date-parts":[["1995"]]},"page":"741-743","title":"Assessing clinical performance: Where do we stand and what might we expect?","type":"article-journal","volume":"274"},"uris":["http://www.mendeley.com/documents/?uuid=294de37a-84b1-4ff8-9045-6238af26ecf5"]}],"mendeley":{"formattedCitation":"(Dauphinee, 1995; Epstein and Hundert, 2002)","plainTextFormattedCitation":"(Dauphinee, 1995; Epstein and Hundert, 2002)","previouslyFormattedCitation":"(Epstein and Hundert 2002; Dauphinee 1995)"},"properties":{"noteIndex":0},"schema":"https://github.com/citation-style-language/schema/raw/master/csl-citation.json"}</w:instrText>
      </w:r>
      <w:r w:rsidRPr="00CB0AFD">
        <w:rPr>
          <w:rFonts w:ascii="Times New Roman" w:hAnsi="Times New Roman" w:cs="Times New Roman"/>
          <w:sz w:val="24"/>
          <w:szCs w:val="24"/>
        </w:rPr>
        <w:fldChar w:fldCharType="separate"/>
      </w:r>
      <w:r w:rsidR="00CB0AFD">
        <w:rPr>
          <w:rFonts w:ascii="Times New Roman" w:hAnsi="Times New Roman" w:cs="Times New Roman"/>
          <w:noProof/>
          <w:sz w:val="24"/>
          <w:szCs w:val="24"/>
        </w:rPr>
        <w:t>(Dauphinee 1995; Epstein and Hundert</w:t>
      </w:r>
      <w:r w:rsidR="00BE3B6C" w:rsidRPr="00CB0AFD">
        <w:rPr>
          <w:rFonts w:ascii="Times New Roman" w:hAnsi="Times New Roman" w:cs="Times New Roman"/>
          <w:noProof/>
          <w:sz w:val="24"/>
          <w:szCs w:val="24"/>
        </w:rPr>
        <w:t xml:space="preserve"> 2002)</w:t>
      </w:r>
      <w:r w:rsidRPr="00CB0AFD">
        <w:rPr>
          <w:rFonts w:ascii="Times New Roman" w:hAnsi="Times New Roman" w:cs="Times New Roman"/>
          <w:sz w:val="24"/>
          <w:szCs w:val="24"/>
        </w:rPr>
        <w:fldChar w:fldCharType="end"/>
      </w:r>
      <w:r w:rsidRPr="00CB0AFD">
        <w:rPr>
          <w:rFonts w:ascii="Times New Roman" w:hAnsi="Times New Roman" w:cs="Times New Roman"/>
          <w:sz w:val="24"/>
          <w:szCs w:val="24"/>
        </w:rPr>
        <w:t>.  WBAs may require the assessor to judge whether a trainee “meets expectations”, which is inevitably at risk from subjective influences</w:t>
      </w:r>
      <w:r w:rsidR="00ED7C9E" w:rsidRPr="00CB0AFD">
        <w:rPr>
          <w:rFonts w:ascii="Times New Roman" w:hAnsi="Times New Roman" w:cs="Times New Roman"/>
          <w:sz w:val="24"/>
          <w:szCs w:val="24"/>
        </w:rPr>
        <w:t xml:space="preserve">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{"citationItems":[{"id":"ITEM-1","itemData":{"author":[{"dropping-particle":"","family":"Alexander","given":"H","non-dropping-particle":"","parse-names":false,"suffix":""}],"container-title":"Assessment &amp; Evaluation in Higher Education","id":"ITEM-1","issue":"4","issued":{"date-parts":[["1996"]]},"page":"357-366","title":"Physiotherapy student clinical education: The influence of subjective judgements on observational assessment","type":"article-journal","volume":"21"},"uris":["http://www.mendeley.com/documents/?uuid=05e81c7b-f2ae-4004-8e4e-cc7317cecd18"]},{"id":"ITEM-2","itemData":{"author":[{"dropping-particle":"","family":"Chapman","given":"J.","non-dropping-particle":"","parse-names":false,"suffix":""}],"container-title":"Developing Professional Judgement in Health Care: Learning through the critical appreciation of practice","editor":[{"dropping-particle":"","family":"D. Fish &amp; C. Coles","given":"","non-dropping-particle":"","parse-names":false,"suffix":""}],"id":"ITEM-2","issued":{"date-parts":[["1998"]]},"page":"157-181","publisher":"Oxford: Butterworth-Heinemann.","title":"Agonising about assessment","type":"chapter"},"uris":["http://www.mendeley.com/documents/?uuid=dbf057f3-9b5a-4993-bbd5-494769906542"]}],"mendeley":{"formattedCitation":"(Alexander, 1996; Chapman, 1998)","plainTextFormattedCitation":"(Alexander, 1996; Chapman, 1998)","previouslyFormattedCitation":"(Alexander 1996; Chapman 1998)"},"properties":{"noteIndex":0},"schema":"https://github.com/citation-style-language/schema/raw/master/csl-citation.json"}</w:instrText>
      </w:r>
      <w:r w:rsidRPr="00CB0AFD">
        <w:rPr>
          <w:rFonts w:ascii="Times New Roman" w:hAnsi="Times New Roman" w:cs="Times New Roman"/>
          <w:sz w:val="24"/>
          <w:szCs w:val="24"/>
        </w:rPr>
        <w:fldChar w:fldCharType="separate"/>
      </w:r>
      <w:r w:rsidR="00CB0AFD">
        <w:rPr>
          <w:rFonts w:ascii="Times New Roman" w:hAnsi="Times New Roman" w:cs="Times New Roman"/>
          <w:noProof/>
          <w:sz w:val="24"/>
          <w:szCs w:val="24"/>
        </w:rPr>
        <w:t>(Alexander 1996; Chapman</w:t>
      </w:r>
      <w:r w:rsidR="00BE3B6C" w:rsidRPr="00CB0AFD">
        <w:rPr>
          <w:rFonts w:ascii="Times New Roman" w:hAnsi="Times New Roman" w:cs="Times New Roman"/>
          <w:noProof/>
          <w:sz w:val="24"/>
          <w:szCs w:val="24"/>
        </w:rPr>
        <w:t xml:space="preserve"> 1998)</w:t>
      </w:r>
      <w:r w:rsidRPr="00CB0AFD">
        <w:rPr>
          <w:rFonts w:ascii="Times New Roman" w:hAnsi="Times New Roman" w:cs="Times New Roman"/>
          <w:sz w:val="24"/>
          <w:szCs w:val="24"/>
        </w:rPr>
        <w:fldChar w:fldCharType="end"/>
      </w:r>
      <w:r w:rsidRPr="00CB0AFD">
        <w:rPr>
          <w:rFonts w:ascii="Times New Roman" w:hAnsi="Times New Roman" w:cs="Times New Roman"/>
          <w:sz w:val="24"/>
          <w:szCs w:val="24"/>
        </w:rPr>
        <w:t>. In the literature however, there is debate regarding whether this perceived subjectivity unduly affects assessments of trainee performance. While Alexander</w:t>
      </w:r>
      <w:r w:rsidR="00ED7C9E" w:rsidRPr="00CB0AFD">
        <w:rPr>
          <w:rFonts w:ascii="Times New Roman" w:hAnsi="Times New Roman" w:cs="Times New Roman"/>
          <w:sz w:val="24"/>
          <w:szCs w:val="24"/>
        </w:rPr>
        <w:t xml:space="preserve">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{"citationItems":[{"id":"ITEM-1","itemData":{"author":[{"dropping-particle":"","family":"Alexander","given":"H","non-dropping-particle":"","parse-names":false,"suffix":""}],"container-title":"Assessment &amp; Evaluation in Higher Education","id":"ITEM-1","issue":"4","issued":{"date-parts":[["1996"]]},"page":"357-366","title":"Physiotherapy student clinical education: The influence of subjective judgements on observational assessment","type":"article-journal","volume":"21"},"uris":["http://www.mendeley.com/documents/?uuid=05e81c7b-f2ae-4004-8e4e-cc7317cecd18"]}],"mendeley":{"formattedCitation":"(Alexander, 1996)","plainTextFormattedCitation":"(Alexander, 1996)","previouslyFormattedCitation":"(Alexander 1996)"},"properties":{"noteIndex":0},"schema":"https://github.com/citation-style-language/schema/raw/master/csl-citation.json"}</w:instrText>
      </w:r>
      <w:r w:rsidRPr="00CB0AFD">
        <w:rPr>
          <w:rFonts w:ascii="Times New Roman" w:hAnsi="Times New Roman" w:cs="Times New Roman"/>
          <w:sz w:val="24"/>
          <w:szCs w:val="24"/>
        </w:rPr>
        <w:fldChar w:fldCharType="separate"/>
      </w:r>
      <w:r w:rsidR="00CB0AFD" w:rsidRPr="00CB0AFD">
        <w:rPr>
          <w:rFonts w:ascii="Times New Roman" w:hAnsi="Times New Roman" w:cs="Times New Roman"/>
          <w:noProof/>
          <w:sz w:val="24"/>
          <w:szCs w:val="24"/>
        </w:rPr>
        <w:t>(</w:t>
      </w:r>
      <w:r w:rsidR="00BE3B6C" w:rsidRPr="00CB0AFD">
        <w:rPr>
          <w:rFonts w:ascii="Times New Roman" w:hAnsi="Times New Roman" w:cs="Times New Roman"/>
          <w:noProof/>
          <w:sz w:val="24"/>
          <w:szCs w:val="24"/>
        </w:rPr>
        <w:t>1996)</w:t>
      </w:r>
      <w:r w:rsidRPr="00CB0AFD">
        <w:rPr>
          <w:rFonts w:ascii="Times New Roman" w:hAnsi="Times New Roman" w:cs="Times New Roman"/>
          <w:sz w:val="24"/>
          <w:szCs w:val="24"/>
        </w:rPr>
        <w:fldChar w:fldCharType="end"/>
      </w:r>
      <w:r w:rsidR="00BB5080" w:rsidRPr="00CB0AFD">
        <w:rPr>
          <w:rFonts w:ascii="Times New Roman" w:hAnsi="Times New Roman" w:cs="Times New Roman"/>
          <w:sz w:val="24"/>
          <w:szCs w:val="24"/>
        </w:rPr>
        <w:t xml:space="preserve"> </w:t>
      </w:r>
      <w:r w:rsidRPr="00CB0AFD">
        <w:rPr>
          <w:rFonts w:ascii="Times New Roman" w:hAnsi="Times New Roman" w:cs="Times New Roman"/>
          <w:sz w:val="24"/>
          <w:szCs w:val="24"/>
        </w:rPr>
        <w:t xml:space="preserve">found that assessor judgements may </w:t>
      </w:r>
      <w:r w:rsidRPr="00CB0AFD">
        <w:rPr>
          <w:rFonts w:ascii="Times New Roman" w:hAnsi="Times New Roman" w:cs="Times New Roman"/>
          <w:sz w:val="24"/>
          <w:szCs w:val="24"/>
        </w:rPr>
        <w:lastRenderedPageBreak/>
        <w:t>subjectively influence assessment grades other researchers who employed generalisability theory found that trainee knowledge and tasks sampled had a much greater impact on assessment score</w:t>
      </w:r>
      <w:r w:rsidR="00ED7C9E" w:rsidRPr="00CB0AFD">
        <w:rPr>
          <w:rFonts w:ascii="Times New Roman" w:hAnsi="Times New Roman" w:cs="Times New Roman"/>
          <w:sz w:val="24"/>
          <w:szCs w:val="24"/>
        </w:rPr>
        <w:t xml:space="preserve">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{"citationItems":[{"id":"ITEM-1","itemData":{"DOI":"10.1023/A:1015720302925","ISBN":"1382-4996 (Print)\\r1382-4996 (Linking)","ISSN":"13824996","PMID":"12075145","abstract":"Despite problems concerning generalisability of test results - largely due to limited sampling of the task domain - and questions about test efficiency, the popularity of OSCEs in medical education has motivated the use of similar assessment methods in other health care domains. Purpose of this study was to investigate reproducibility of scores on an OSCE-based test in the relatively narrow domain of midwifery, as compared to the broad medical domain. The influence of global rating scales and adoption of a mastery-oriented test perspective on reproducibility of test scores was investigated in order to explore possibilities to increase test efficiency.A 3-hr, 6-station performance based test was administered to third and fourth year students at Kerkrade Midwifery School (the Netherlands). Students' performance was recorded using a station specific checklist and a global rating scale. For the 3-hr OSCE the generalisability coefficient based on checklist scores is 0.48. Based on global ratings alone, the generalisability coefficient is 0.61. Adjusted dependability indices are 0.85 based on checklist scores and 0.95 for global ratings respectively. Results suggest that even for small domains the problem of case-specificity remains a major impediment to high stakes performance testing. Findings furthermore suggest that use of global rating scales and professional expert judgements in professional competence evaluation is to be preferred to task specific checklists for reasons of reproducibility and efficiency in test development and administration. Adoption of a mastery oriented test perspective may reduce testing time requirements even further.","author":[{"dropping-particle":"","family":"Govaerts","given":"Marjan J B","non-dropping-particle":"","parse-names":false,"suffix":""},{"dropping-particle":"","family":"Vleuten","given":"Cees P M","non-dropping-particle":"Van Der","parse-names":false,"suffix":""},{"dropping-particle":"","family":"Schuwirth","given":"Lambert W T","non-dropping-particle":"","parse-names":false,"suffix":""}],"container-title":"Advances in Health Sciences Education","id":"ITEM-1","issue":"2","issued":{"date-parts":[["2002"]]},"page":"133-145","title":"Optimising the reproducibility of a performance-based assessment test in midwifery education","type":"article-journal","volume":"7"},"uris":["http://www.mendeley.com/documents/?uuid=86966094-c2d8-456d-ba41-0c2e37d089b0"]},{"id":"ITEM-2","itemData":{"DOI":"10.1023/A:1022609920310","ISBN":"1382-4996 (Print) 1382-4996 (Linking)","ISSN":"13824996","PMID":"12652165","abstract":"Medical examining bodies now commonly assess candidates' communication skills. However, there are a number of within-case sources of error that can mean examinations have poor reliability and validity. The aims of this study were to determine the main within-case sources of error and to identify the best methods of maximising reliability in highly structured communication skills assessments. Subjects were fifth year medical students at the University of Aberdeen. Subjects were videotaped giving clinical information to standardised patients and relatives toward the end of their fifth year and toward the end of their pre-registration year. Sources of variation, reliability coefficients and the most effective methods of reducing measurement error were calculated using generalisability theory. Systematic differences among subjects' communication skill was the main source of variation in two of the three assessment cases. The implications of the results are discussed.","author":[{"dropping-particle":"","family":"Keen","given":"A. J A","non-dropping-particle":"","parse-names":false,"suffix":""},{"dropping-particle":"","family":"Klein","given":"S.","non-dropping-particle":"","parse-names":false,"suffix":""},{"dropping-particle":"","family":"Alexander","given":"D. A.","non-dropping-particle":"","parse-names":false,"suffix":""}],"container-title":"Advances in Health Sciences Education","id":"ITEM-2","issue":"1","issued":{"date-parts":[["2003"]]},"page":"5-16","title":"Assessing the communication skills of doctors in training: Reliability and sources of error","type":"article-journal","volume":"8"},"uris":["http://www.mendeley.com/documents/?uuid=b7367a13-ae60-4faf-abf0-2479ccd3a661"]},{"id":"ITEM-3","itemData":{"DOI":"10.1097/00001888-199107000-00003","ISBN":"1040-2446","ISSN":"1040-2446","PMID":"2059264","abstract":"The recent interest of medical schools and licensure organizations in establishing performance assessment methods in medical education presents new challenges to medical educators. The problems encountered in establishing the reliability and validity properties of performance assessment necessitate rethinking the accepted definitions of reliability and validity. The authors examine the relationship between Classical Test Theory and job performance. They discuss several critical issues: the meanings of reliability and validity in performance assessment and the balance between them (including simple versus complex behaviors), stability of performance, specific versus generic abilities, and the role of experts in clinical performance assessment. The authors call for a critical appraisal of applying Classical Test Theory to the assessment of job-related behaviors.","author":[{"dropping-particle":"","family":"Friedman","given":"M","non-dropping-particle":"","parse-names":false,"suffix":""},{"dropping-particle":"","family":"Mennin","given":"S P","non-dropping-particle":"","parse-names":false,"suffix":""}],"container-title":"Academic medicine : journal of the Association of American Medical Colleges","id":"ITEM-3","issue":"7","issued":{"date-parts":[["1991"]]},"page":"390-395","title":"Rethinking critical issues in performance assessment.","type":"article","volume":"66"},"uris":["http://www.mendeley.com/documents/?uuid=960e163a-9795-49e1-9def-eb2a93d6878b"]}],"mendeley":{"formattedCitation":"(Friedman and Mennin, 1991; Govaerts, Van Der Vleuten and Schuwirth, 2002; Keen, Klein and Alexander, 2003)","plainTextFormattedCitation":"(Friedman and Mennin, 1991; Govaerts, Van Der Vleuten and Schuwirth, 2002; Keen, Klein and Alexander, 2003)","previouslyFormattedCitation":"(M. J. B. Govaerts, Van Der Vleuten, and Schuwirth 2002; Keen, Klein, and Alexander 2003; Friedman and Mennin 1991)"},"properties":{"noteIndex":0},"schema":"https://github.com/citation-style-language/schema/raw/master/csl-citation.json"}</w:instrText>
      </w:r>
      <w:r w:rsidRPr="00CB0AFD">
        <w:rPr>
          <w:rFonts w:ascii="Times New Roman" w:hAnsi="Times New Roman" w:cs="Times New Roman"/>
          <w:sz w:val="24"/>
          <w:szCs w:val="24"/>
        </w:rPr>
        <w:fldChar w:fldCharType="separate"/>
      </w:r>
      <w:r w:rsidR="00CB0AFD">
        <w:rPr>
          <w:rFonts w:ascii="Times New Roman" w:hAnsi="Times New Roman" w:cs="Times New Roman"/>
          <w:noProof/>
          <w:sz w:val="24"/>
          <w:szCs w:val="24"/>
        </w:rPr>
        <w:t>(Fried</w:t>
      </w:r>
      <w:r w:rsidR="007B031A">
        <w:rPr>
          <w:rFonts w:ascii="Times New Roman" w:hAnsi="Times New Roman" w:cs="Times New Roman"/>
          <w:noProof/>
          <w:sz w:val="24"/>
          <w:szCs w:val="24"/>
        </w:rPr>
        <w:t>man and Mennin 1991; Govaerts, v</w:t>
      </w:r>
      <w:r w:rsidR="00CB0AFD">
        <w:rPr>
          <w:rFonts w:ascii="Times New Roman" w:hAnsi="Times New Roman" w:cs="Times New Roman"/>
          <w:noProof/>
          <w:sz w:val="24"/>
          <w:szCs w:val="24"/>
        </w:rPr>
        <w:t>an der Vleuten and Schuwirth</w:t>
      </w:r>
      <w:r w:rsidR="00BE3B6C" w:rsidRPr="00CB0AFD">
        <w:rPr>
          <w:rFonts w:ascii="Times New Roman" w:hAnsi="Times New Roman" w:cs="Times New Roman"/>
          <w:noProof/>
          <w:sz w:val="24"/>
          <w:szCs w:val="24"/>
        </w:rPr>
        <w:t xml:space="preserve"> </w:t>
      </w:r>
      <w:r w:rsidR="00CB0AFD">
        <w:rPr>
          <w:rFonts w:ascii="Times New Roman" w:hAnsi="Times New Roman" w:cs="Times New Roman"/>
          <w:noProof/>
          <w:sz w:val="24"/>
          <w:szCs w:val="24"/>
        </w:rPr>
        <w:t>2002; Keen, Klein and Alexander</w:t>
      </w:r>
      <w:r w:rsidR="00BE3B6C" w:rsidRPr="00CB0AFD">
        <w:rPr>
          <w:rFonts w:ascii="Times New Roman" w:hAnsi="Times New Roman" w:cs="Times New Roman"/>
          <w:noProof/>
          <w:sz w:val="24"/>
          <w:szCs w:val="24"/>
        </w:rPr>
        <w:t xml:space="preserve"> 2003)</w:t>
      </w:r>
      <w:r w:rsidRPr="00CB0AFD">
        <w:rPr>
          <w:rFonts w:ascii="Times New Roman" w:hAnsi="Times New Roman" w:cs="Times New Roman"/>
          <w:sz w:val="24"/>
          <w:szCs w:val="24"/>
        </w:rPr>
        <w:fldChar w:fldCharType="end"/>
      </w:r>
      <w:r w:rsidRPr="00CB0AFD">
        <w:rPr>
          <w:rFonts w:ascii="Times New Roman" w:hAnsi="Times New Roman" w:cs="Times New Roman"/>
          <w:sz w:val="24"/>
          <w:szCs w:val="24"/>
        </w:rPr>
        <w:t>. MSF have been shown to lead to performance improvement and are particularly useful tools for assessing interpersonal skills, communication, professionalism and team work</w:t>
      </w:r>
      <w:r w:rsidR="00ED7C9E" w:rsidRPr="00CB0AFD">
        <w:rPr>
          <w:rFonts w:ascii="Times New Roman" w:hAnsi="Times New Roman" w:cs="Times New Roman"/>
          <w:sz w:val="24"/>
          <w:szCs w:val="24"/>
        </w:rPr>
        <w:t xml:space="preserve">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{"citationItems":[{"id":"ITEM-1","itemData":{"DOI":"10.1002/chp.1340230103","ISBN":"1554-558X","ISSN":"0894-1912","PMID":"12739254","abstract":"Multisource feedback (MSF), or 360-degree employee evaluation, is a questionnaire-based assessment method in which rates are evaluated by peers, patients, and coworkers on key performance behaviors. Although widely used in industrial settings to assess performance, the method is gaining acceptance as a quality improvement method in health systems. This article describes MSF, identifies the key aspects of MSF program design, summarizes some of the salient empirical research in medicine, and discusses possible limitations for MSF as an assessment tool in health care. In industry and in health care, experience suggests that MSF is most likely to succeed and result in changes in performance when attention is paid to structural and psychometric aspects of program design and implementation. A carefully selected steering committee ensures that the behaviors examined are appropriate, the communication package is clear, and the threats posed to individuals are minimized. The instruments that are developed must be tested to ensure that they are reliable, achieve a generalizability coefficient of Ep2 = .70, have face and content validity, and examine variance in performance ratings to understand whether ratings are attributable to how the physician performs and not to factors beyond the physician's control (e.g., gender, age, or setting). Research shows that reliable data can be generated with a reasonable number of respondents, and physicians will use the feedback to contemplate and initiate changes in practice. Performance may be affected by familiarity between rater and ratee and sociodemographic and continuing medical education characteristics; however, little of the variance in performance is explained by factors outside the physician's control. MSF is not a replacement for audit when clinical outcomes need to be assessed. However, when interpersonal, communication, professionalism, or teamwork behaviors need to be assessed and guidance given, it is one of the better tools that may be adopted and implemented to provide feedback and guide performance.","author":[{"dropping-particle":"","family":"Lockyer","given":"Jocelyn","non-dropping-particle":"","parse-names":false,"suffix":""}],"container-title":"The Journal of continuing education in the health professions","id":"ITEM-1","issue":"1","issued":{"date-parts":[["2003"]]},"page":"4-12","title":"Multisource feedback in the assessment of physician competencies.","type":"article-journal","volume":"23"},"uris":["http://www.mendeley.com/documents/?uuid=43822c3c-8513-4ee6-8ba8-4e687c87718e"]}],"mendeley":{"formattedCitation":"(Lockyer, 2003)","plainTextFormattedCitation":"(Lockyer, 2003)","previouslyFormattedCitation":"(Lockyer 2003)"},"properties":{"noteIndex":0},"schema":"https://github.com/citation-style-language/schema/raw/master/csl-citation.json"}</w:instrText>
      </w:r>
      <w:r w:rsidRPr="00CB0AFD">
        <w:rPr>
          <w:rFonts w:ascii="Times New Roman" w:hAnsi="Times New Roman" w:cs="Times New Roman"/>
          <w:sz w:val="24"/>
          <w:szCs w:val="24"/>
        </w:rPr>
        <w:fldChar w:fldCharType="separate"/>
      </w:r>
      <w:r w:rsidR="00CB0AFD">
        <w:rPr>
          <w:rFonts w:ascii="Times New Roman" w:hAnsi="Times New Roman" w:cs="Times New Roman"/>
          <w:noProof/>
          <w:sz w:val="24"/>
          <w:szCs w:val="24"/>
        </w:rPr>
        <w:t>(Lockyer</w:t>
      </w:r>
      <w:r w:rsidR="00BE3B6C" w:rsidRPr="00CB0AFD">
        <w:rPr>
          <w:rFonts w:ascii="Times New Roman" w:hAnsi="Times New Roman" w:cs="Times New Roman"/>
          <w:noProof/>
          <w:sz w:val="24"/>
          <w:szCs w:val="24"/>
        </w:rPr>
        <w:t xml:space="preserve"> 2003)</w:t>
      </w:r>
      <w:r w:rsidRPr="00CB0AFD">
        <w:rPr>
          <w:rFonts w:ascii="Times New Roman" w:hAnsi="Times New Roman" w:cs="Times New Roman"/>
          <w:sz w:val="24"/>
          <w:szCs w:val="24"/>
        </w:rPr>
        <w:fldChar w:fldCharType="end"/>
      </w:r>
      <w:r w:rsidRPr="00CB0AFD">
        <w:rPr>
          <w:rFonts w:ascii="Times New Roman" w:hAnsi="Times New Roman" w:cs="Times New Roman"/>
          <w:sz w:val="24"/>
          <w:szCs w:val="24"/>
        </w:rPr>
        <w:t>. However, there is little evidence that alternative WBAs, such as DOPS, lead to improvement, although subjective reports on their educational impact</w:t>
      </w:r>
      <w:r w:rsidRPr="006F3B00">
        <w:rPr>
          <w:rFonts w:ascii="Times New Roman" w:hAnsi="Times New Roman" w:cs="Times New Roman"/>
          <w:sz w:val="24"/>
          <w:szCs w:val="24"/>
        </w:rPr>
        <w:t xml:space="preserve"> are positive</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review.","type":"article-journal","volume":"341"},"uris":["http://www.mendeley.com/documents/?uuid=5e467429-f82f-4917-86e6-acac1998e2e3"]}],"mendeley":{"formattedCitation":"(Miller and Archer, 2010)","plainTextFormattedCitation":"(Miller and Archer, 2010)","previouslyFormattedCitation":"(A. Miller and Archer 2010)"},"properties":{"noteIndex":0},"schema":"https://github.com/citation-style-language/schema/raw/master/csl-citation.json"}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(Miller </w:t>
      </w:r>
      <w:r w:rsidR="00CB0AFD">
        <w:rPr>
          <w:rFonts w:ascii="Times New Roman" w:hAnsi="Times New Roman" w:cs="Times New Roman"/>
          <w:noProof/>
          <w:sz w:val="24"/>
          <w:szCs w:val="24"/>
        </w:rPr>
        <w:t>and Archer</w:t>
      </w:r>
      <w:r w:rsidR="00BE3B6C" w:rsidRPr="00BE3B6C">
        <w:rPr>
          <w:rFonts w:ascii="Times New Roman" w:hAnsi="Times New Roman" w:cs="Times New Roman"/>
          <w:noProof/>
          <w:sz w:val="24"/>
          <w:szCs w:val="24"/>
        </w:rPr>
        <w:t xml:space="preserve"> 2010)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Also, a large study in 2009 found that “consultants and sisters (senior nurses) were </w:t>
      </w:r>
      <w:r w:rsidRPr="00CB0AFD">
        <w:rPr>
          <w:rFonts w:ascii="Times New Roman" w:hAnsi="Times New Roman" w:cs="Times New Roman"/>
          <w:sz w:val="24"/>
          <w:szCs w:val="24"/>
        </w:rPr>
        <w:t>more likely to raise concern in MSFs about junior doctors compared to managers, fellow Senior House Officer</w:t>
      </w:r>
      <w:r w:rsidR="00CB0AFD" w:rsidRPr="00CB0AFD">
        <w:rPr>
          <w:rFonts w:ascii="Times New Roman" w:hAnsi="Times New Roman" w:cs="Times New Roman"/>
          <w:sz w:val="24"/>
          <w:szCs w:val="24"/>
        </w:rPr>
        <w:t xml:space="preserve">s (SHOs) and junior colleagues”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{"citationItems":[{"id":"ITEM-1","itemData":{"DOI":"10.1111/j.1365-2923.2009.03333.x","ISBN":"1365-2923 (Electronic)\\n0308-0110 (Linking)","ISSN":"03080110","PMID":"19493174","abstract":"CONTEXT: UK doctors-in-training undergo assessments of their professional behaviours. From an analysis of multi-source feedback (MSF) data, we report how ratings of junior doctors (Foundation Programme [FP] doctors and senior house officers [SHOs]) differed by staff group. METHODS: The MSF data were collected in 2003 and 2005 in hospitals in the West Midlands. Using a single-sided Team Assessment of Behaviour form, 1928 assessors evaluated 226 FP doctors and SHOs in four domains: professional relationship with patients; communication; team-working, and accessibility. The distribution of 'concerns' across the professional groups was explored using a random effects logistic regression model. RESULTS: On average, each trainee received nine assessment forms from a range of staff, most commonly nurses. Although concerns were identified for the minority, ratings varied by staff group. Peers (other FP doctors or SHOs) and administrators or managers were four and three times, respectively, less likely to indicate concern. By contrast, consultants and sisters (senior nurses) were more likely to give concern ratings. CONCLUSIONS: Guidance on the selection of assessors in any MSF process should take into account findings that rating behaviour varies by staff group.","author":[{"dropping-particle":"","family":"Bullock","given":"Alison D.","non-dropping-particle":"","parse-names":false,"suffix":""},{"dropping-particle":"","family":"Hassell","given":"Andrew","non-dropping-particle":"","parse-names":false,"suffix":""},{"dropping-particle":"","family":"Markham","given":"Wolfgang a.","non-dropping-particle":"","parse-names":false,"suffix":""},{"dropping-particle":"","family":"Wall","given":"David W.","non-dropping-particle":"","parse-names":false,"suffix":""},{"dropping-particle":"","family":"Whitehouse","given":"Andrew B.","non-dropping-particle":"","parse-names":false,"suffix":""}],"container-title":"Medical Education","id":"ITEM-1","issued":{"date-parts":[["2009"]]},"page":"516-520","title":"How ratings vary by staff group in multi-source feedback assessment of junior doctors","type":"article-journal","volume":"43"},"uris":["http://www.mendeley.com/documents/?uuid=49eff28d-6450-4d6d-987b-20c2873bef99"]}],"mendeley":{"formattedCitation":"(Bullock &lt;i&gt;et al.&lt;/i&gt;, 2009)","plainTextFormattedCitation":"(Bullock et al., 2009)","previouslyFormattedCitation":"(Bullock et al. 2009)"},"properties":{"noteIndex":0},"schema":"https://github.com/citation-style-language/schema/raw/master/csl-citation.json"}</w:instrText>
      </w:r>
      <w:r w:rsidRPr="00CB0AFD">
        <w:rPr>
          <w:rFonts w:ascii="Times New Roman" w:hAnsi="Times New Roman" w:cs="Times New Roman"/>
          <w:sz w:val="24"/>
          <w:szCs w:val="24"/>
        </w:rPr>
        <w:fldChar w:fldCharType="separate"/>
      </w:r>
      <w:r w:rsidR="00BE3B6C" w:rsidRPr="00CB0AFD">
        <w:rPr>
          <w:rFonts w:ascii="Times New Roman" w:hAnsi="Times New Roman" w:cs="Times New Roman"/>
          <w:noProof/>
          <w:sz w:val="24"/>
          <w:szCs w:val="24"/>
        </w:rPr>
        <w:t>(Bullock et al. 2009)</w:t>
      </w:r>
      <w:r w:rsidRPr="00CB0AFD">
        <w:rPr>
          <w:rFonts w:ascii="Times New Roman" w:hAnsi="Times New Roman" w:cs="Times New Roman"/>
          <w:sz w:val="24"/>
          <w:szCs w:val="24"/>
        </w:rPr>
        <w:fldChar w:fldCharType="end"/>
      </w:r>
      <w:r w:rsidRPr="00CB0AFD">
        <w:rPr>
          <w:rFonts w:ascii="Times New Roman" w:hAnsi="Times New Roman" w:cs="Times New Roman"/>
          <w:sz w:val="24"/>
          <w:szCs w:val="24"/>
        </w:rPr>
        <w:t xml:space="preserve"> indicating that MSFs also have their limitations, especially if the trainee can select the participants for their MSF. Other studies addressing subjectivity suggest some trainers feel guilty about giving trainees low scores, while others compensate with overly high scores for difficult cases</w:t>
      </w:r>
      <w:r w:rsidR="00ED7C9E" w:rsidRPr="00CB0AFD">
        <w:rPr>
          <w:rFonts w:ascii="Times New Roman" w:hAnsi="Times New Roman" w:cs="Times New Roman"/>
          <w:sz w:val="24"/>
          <w:szCs w:val="24"/>
        </w:rPr>
        <w:t xml:space="preserve">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{"citationItems":[{"id":"ITEM-1","itemData":{"DOI":"10.7326/0003-4819-138-6-200303180-00012","ISBN":"0003-4819","ISSN":"00034819","PMID":"12639081","abstract":"Objective: To evaluate the mini–clinical evaluation exercise (mini-CEX), which assesses the clinical skills of residents.Design: Observational study and psychometric assessment of the mini-CEX.Setting: 21 internal medicine training programs.Participants: Data from 1228 mini-CEX encounters involving 421 residents and 316 evaluators.Intervention: The encounters were assessed for the type of visit, sex and complexity of the patient, when the encounter occurred, length of the encounter, ratings provided, and the satisfaction of the examiners. Using this information, we determined the overall average ratings for residents in all categories, the reliability of the mini-CEX scores, and the effects of the characteristics of the patients and encounters.Measurements: Interviewing skills, physical examination, professionalism, clinical judgment, counseling, organization and efficiency, and overall competence were evaluated.Results: Residents were assessed in various clinical settings with a diverse set of patient problems. Residents received the lowest ratings in the physical examination and the highest ratings in professionalism. Comparisons over the first year of training showed statistically significant improvement in all aspects of competence, and the method generated reliable ratings.Conclusions: The measurement characteristics of the mini-CEX are similar to those of other performance assessments, such as standardized patients. Unlike these assessments, the difficulty of the examination will vary with the patients that a resident encounters. This effect is mitigated to a degree by the examiners, who slightly overcompensate for patient difficulty, and by the fact that each resident interacts with several patients. Furthermore, the mini-CEX has higher fidelity than these formats, permits evaluation based on a much broader set of clinical settings and patient problems, and is administered on site.","author":[{"dropping-particle":"","family":"Norcini","given":"John J","non-dropping-particle":"","parse-names":false,"suffix":""},{"dropping-particle":"","family":"Blank","given":"Linda L","non-dropping-particle":"","parse-names":false,"suffix":""},{"dropping-particle":"","family":"Duffy","given":"F Daniel","non-dropping-particle":"","parse-names":false,"suffix":""},{"dropping-particle":"","family":"Fortna","given":"Gregory S","non-dropping-particle":"","parse-names":false,"suffix":""}],"container-title":"Annals of Internal Medicine","id":"ITEM-1","issue":"6","issued":{"date-parts":[["2003"]]},"page":"476-481","title":"The Mini-CEX: A Method for Assessing Clinical Skills","type":"article-journal","volume":"138"},"uris":["http://www.mendeley.com/documents/?uuid=1bcae26c-3600-4e83-8add-85167198cd45"]},{"id":"ITEM-2","itemData":{"DOI":"10.1111/j.1365-2923.2010.03913.x","ISBN":"1365-2923","ISSN":"03080110","PMID":"21501218","abstract":"CONTEXT: Assessment in the workplace is important, but many evaluations have shown that assessor agreement and discrimination are poor. Training discussions suggest that assessors find conventional scales invalid. We evaluate scales constructed to reflect developing clinical sophistication and independence in parallel with conventional scales. METHODS: A valid scale should reduce assessor disagreement and increase assessor discrimination. We compare conventional and construct-aligned scales used in parallel to assess approximately 2000 medical trainees by each of three methods of workplace-based assessment (WBA): the mini-clinical evaluation exercise (mini-CEX); the acute care assessment tool (ACAT), and the case-based discussion (CBD). We evaluate how scores reflect assessor disagreement (V(j) and V(j*p) ) and assessor discrimination (V(p) ), and we model reliability using generalisability theory. RESULTS: In all three cases the conventional scale gave a performance similar to that in previous evaluations, but the construct-aligned scales substantially reduced assessor disagreement and substantially increased assessor discrimination. Reliability modelling shows that, using the new scales, the number of assessors required to achieve a generalisability coefficient &gt;=0.70 fell from six to three for the mini-CEX, from eight to three for the CBD, from 10 to nine for 'on-take' ACAT, and from 30 to 12 for 'post-take' ACAT. CONCLUSIONS: The results indicate that construct-aligned scales have greater utility, both because they are more reliable and because that reliability provides evidence of greater validity. There is also a wider implication: the disappointing reliability of existing WBA methods may reflect not assessors' differing assessments of performance, but, rather, different interpretations of poorly aligned scales. Scales aligned to the expertise of clinician-assessors and the developing independence of trainees may improve confidence in WBA.","author":[{"dropping-particle":"","family":"Crossley","given":"Jim","non-dropping-particle":"","parse-names":false,"suffix":""},{"dropping-particle":"","family":"Johnson","given":"Gavin","non-dropping-particle":"","parse-names":false,"suffix":""},{"dropping-particle":"","family":"Booth","given":"Joe","non-dropping-particle":"","parse-names":false,"suffix":""},{"dropping-particle":"","family":"Wade","given":"Winnie","non-dropping-particle":"","parse-names":false,"suffix":""}],"container-title":"Medical Education","id":"ITEM-2","issue":"6","issued":{"date-parts":[["2011"]]},"page":"560-9","title":"Good questions, good answers: construct alignment improves the performance of workplace-based assessment scales","type":"article-journal","volume":"45"},"uris":["http://www.mendeley.com/documents/?uuid=7019fdda-8ccc-447c-b2ad-c6d5a87972c5"]}],"mendeley":{"formattedCitation":"(Norcini &lt;i&gt;et al.&lt;/i&gt;, 2003; Crossley &lt;i&gt;et al.&lt;/i&gt;, 2011)","plainTextFormattedCitation":"(Norcini et al., 2003; Crossley et al., 2011)","previouslyFormattedCitation":"(John J Norcini et al. 2003; Crossley et al. 2011)"},"properties":{"noteIndex":0},"schema":"https://github.com/citation-style-language/schema/raw/master/csl-citation.json"}</w:instrText>
      </w:r>
      <w:r w:rsidRPr="00CB0AFD">
        <w:rPr>
          <w:rFonts w:ascii="Times New Roman" w:hAnsi="Times New Roman" w:cs="Times New Roman"/>
          <w:sz w:val="24"/>
          <w:szCs w:val="24"/>
        </w:rPr>
        <w:fldChar w:fldCharType="separate"/>
      </w:r>
      <w:r w:rsidR="00BE3B6C" w:rsidRPr="00CB0AFD">
        <w:rPr>
          <w:rFonts w:ascii="Times New Roman" w:hAnsi="Times New Roman" w:cs="Times New Roman"/>
          <w:noProof/>
          <w:sz w:val="24"/>
          <w:szCs w:val="24"/>
        </w:rPr>
        <w:t>(Norcini et al. 2003; Crossley et al. 2011)</w:t>
      </w:r>
      <w:r w:rsidRPr="00CB0AFD">
        <w:rPr>
          <w:rFonts w:ascii="Times New Roman" w:hAnsi="Times New Roman" w:cs="Times New Roman"/>
          <w:sz w:val="24"/>
          <w:szCs w:val="24"/>
        </w:rPr>
        <w:fldChar w:fldCharType="end"/>
      </w:r>
      <w:r w:rsidRPr="00CB0AFD">
        <w:rPr>
          <w:rFonts w:ascii="Times New Roman" w:hAnsi="Times New Roman" w:cs="Times New Roman"/>
          <w:sz w:val="24"/>
          <w:szCs w:val="24"/>
        </w:rPr>
        <w:t>.  Staff can be reluctant to document unprofessional behaviour for various reasons, sometimes because there is internal conflict between their mentor and assessor roles</w:t>
      </w:r>
      <w:r w:rsidR="00ED7C9E" w:rsidRPr="00CB0AFD">
        <w:rPr>
          <w:rFonts w:ascii="Times New Roman" w:hAnsi="Times New Roman" w:cs="Times New Roman"/>
          <w:sz w:val="24"/>
          <w:szCs w:val="24"/>
        </w:rPr>
        <w:t xml:space="preserve"> </w:t>
      </w:r>
      <w:r w:rsidRPr="00CB0AFD">
        <w:rPr>
          <w:rFonts w:ascii="Times New Roman" w:hAnsi="Times New Roman" w:cs="Times New Roman"/>
          <w:sz w:val="24"/>
          <w:szCs w:val="24"/>
        </w:rPr>
        <w:fldChar w:fldCharType="begin" w:fldLock="1"/>
      </w:r>
      <w:r w:rsidR="00BE3B6C" w:rsidRPr="00CB0AFD">
        <w:rPr>
          <w:rFonts w:ascii="Times New Roman" w:hAnsi="Times New Roman" w:cs="Times New Roman"/>
          <w:sz w:val="24"/>
          <w:szCs w:val="24"/>
        </w:rPr>
        <w:instrText>ADDIN CSL_CITATION {"citationItems":[{"id":"ITEM-1","itemData":{"DOI":"10.1080/01421590500069983","ISBN":"0142159050","ISSN":"0142-159X","PMID":"16147796","abstract":"The purpose of this study is (1) to evaluate whether an educational program for preclinical students has an effect on the knowledge of professional behaviour for clerks and (2) to study how preclinical students compare with advanced clinical students concerning this knowledge. The authors used an observer-rated test consisting of vignettes describing a dilemma concerning professional behaviour. Students' description of proposed behaviour was scored in one of three categories: unacceptable, acceptable or excellent. Preclinical students were compared with clinical students and the effect of an educational session on student scores on this test was assessed. The educational programme had a positive effect on student scores. However, the knowledge of professional behaviour did not generalize to situations that had not been the explicit topic of the session. A difference was found between preclinical and clinical students in two of the four vignettes: in one vignette clinical students had better scores, in another vignette they had worse scores. It is concluded that the educational programme had a positive effect on student knowledge of professional behaviour but there was no generalization. For more generic rules to sink in, probably many cases need to be discussed, with explicit attention paid to the rationales of these rules. Students who were advanced in their clerkships held different views on professional behaviour compared with preclinical students, possibly due to a socialization process.","author":[{"dropping-particle":"","family":"Boenink","given":"Annette D","non-dropping-particle":"","parse-names":false,"suffix":""},{"dropping-particle":"","family":"Jonge","given":"Peter","non-dropping-particle":"de","parse-names":false,"suffix":""},{"dropping-particle":"","family":"Smal","given":"Ko","non-dropping-particle":"","parse-names":false,"suffix":""},{"dropping-particle":"","family":"Oderwald","given":"Arko","non-dropping-particle":"","parse-names":false,"suffix":""},{"dropping-particle":"","family":"Tilburg","given":"Willem","non-dropping-particle":"van","parse-names":false,"suffix":""}],"container-title":"Medical teacher","id":"ITEM-1","issue":"5","issued":{"date-parts":[["2005"]]},"page":"429-432","title":"The effects of teaching medical professionalism by means of vignettes: an exploratory study.","type":"article-journal","volume":"27"},"uris":["http://www.mendeley.com/documents/?uuid=2d88b545-5693-43b5-9f14-433210e7608b"]},{"id":"ITEM-2","itemData":{"DOI":"10.1111/j.1365-2923.2007.02849.x","ISBN":"0308-0110 (Print)\\r0308-0110 (Linking)","ISSN":"03080110","PMID":"17727525","abstract":"CONTEXT: We addressed the assessment of professional behaviour in tutorial groups by investigating students' perceptions of the frequency and impact of critical incidents that impede this assessment and 5 factors underlying these critical incidents. METHODS: A questionnaire asking students to rate the frequency and impact of 40 critical incidents relating to effective assessment of professional behaviour on a 5-point Likert scale was developed and sent to all undergraduate medical students in Years 2-4 of a 6-year undergraduate curriculum. RESULTS: The response rate was 70% (n = 393). Important factors underlying critical incidents are: lack of effective interaction; lack of thoroughness; tutors' failure to confront students with unprofessional behaviour; lack of effort to find solutions, and lack of student motivation. Confirmatory factor analysis showed a good model fit. Because the relationship between frequency of occurrence and degree of impediment varies, the best information about the true impact of critical incidents and the underlying factors is provided by the product of frequency and degree of impediment. Frequency of occurrence remains stable and degree of impediment increases in Years 2-4. CONCLUSIONS: The results of this study can be used to design and improve faculty development programmes aimed at improving assessment of professional behaviour. Training programmes should motivate tutors by providing background information as to why and how sound assessment of professional behaviour is to be performed and encourage tutors to confront students with and discuss all aspects of professional behaviour, as well as provide appropriate feedback.","author":[{"dropping-particle":"","family":"Mook","given":"Walther N K A","non-dropping-particle":"Van","parse-names":false,"suffix":""},{"dropping-particle":"","family":"Grave","given":"Willem S.","non-dropping-particle":"De","parse-names":false,"suffix":""},{"dropping-particle":"","family":"Huijssen-Huisman","given":"Elise","non-dropping-particle":"","parse-names":false,"suffix":""},{"dropping-particle":"","family":"Witt-Luth","given":"Marianne","non-dropping-particle":"De","parse-names":false,"suffix":""},{"dropping-particle":"","family":"Dolmans","given":"Diana H J M","non-dropping-particle":"","parse-names":false,"suffix":""},{"dropping-particle":"","family":"Muijtjens","given":"Arno M M","non-dropping-particle":"","parse-names":false,"suffix":""},{"dropping-particle":"","family":"Schuwirth","given":"Lambert W.","non-dropping-particle":"","parse-names":false,"suffix":""},{"dropping-particle":"","family":"Vleuten","given":"Cees P M","non-dropping-particle":"Van Der","parse-names":false,"suffix":""}],"container-title":"Medical Education","id":"ITEM-2","issue":"9","issued":{"date-parts":[["2007"]]},"page":"849-856","title":"Factors inhibiting assessment of students' professional behaviour in the tutorial group during problem-based learning","type":"article-journal","volume":"41"},"uris":["http://www.mendeley.com/documents/?uuid=d2434e12-8953-4775-933b-5dd578ed9742"]}],"mendeley":{"formattedCitation":"(Boenink &lt;i&gt;et al.&lt;/i&gt;, 2005; Van Mook &lt;i&gt;et al.&lt;/i&gt;, 2007)","plainTextFormattedCitation":"(Boenink et al., 2005; Van Mook et al., 2007)","previouslyFormattedCitation":"(Boenink et al. 2005; Van Mook et al. 2007)"},"properties":{"noteIndex":0},"schema":"https://github.com/citation-style-language/schema/raw/master/csl-citation.json"}</w:instrText>
      </w:r>
      <w:r w:rsidRPr="00CB0AFD">
        <w:rPr>
          <w:rFonts w:ascii="Times New Roman" w:hAnsi="Times New Roman" w:cs="Times New Roman"/>
          <w:sz w:val="24"/>
          <w:szCs w:val="24"/>
        </w:rPr>
        <w:fldChar w:fldCharType="separate"/>
      </w:r>
      <w:r w:rsidR="00BE3B6C" w:rsidRPr="00CB0AFD">
        <w:rPr>
          <w:rFonts w:ascii="Times New Roman" w:hAnsi="Times New Roman" w:cs="Times New Roman"/>
          <w:noProof/>
          <w:sz w:val="24"/>
          <w:szCs w:val="24"/>
        </w:rPr>
        <w:t>(Boenink et al. 2005; Van Mook et al. 2007)</w:t>
      </w:r>
      <w:r w:rsidRPr="00CB0AFD">
        <w:rPr>
          <w:rFonts w:ascii="Times New Roman" w:hAnsi="Times New Roman" w:cs="Times New Roman"/>
          <w:sz w:val="24"/>
          <w:szCs w:val="24"/>
        </w:rPr>
        <w:fldChar w:fldCharType="end"/>
      </w:r>
      <w:r w:rsidRPr="00CB0AFD">
        <w:rPr>
          <w:rFonts w:ascii="Times New Roman" w:hAnsi="Times New Roman" w:cs="Times New Roman"/>
          <w:sz w:val="24"/>
          <w:szCs w:val="24"/>
        </w:rPr>
        <w:t xml:space="preserve">. </w:t>
      </w:r>
      <w:r w:rsidRPr="00CB0AFD">
        <w:rPr>
          <w:rFonts w:ascii="Times New Roman" w:eastAsia="Times New Roman" w:hAnsi="Times New Roman" w:cs="Times New Roman"/>
          <w:sz w:val="24"/>
          <w:szCs w:val="24"/>
          <w:lang w:eastAsia="en-GB"/>
        </w:rPr>
        <w:t>Certain interaction effects, such as gender, have been reported, where a particular assessor consistently gives better scores to either males or females</w:t>
      </w:r>
      <w:r w:rsidR="00ED7C9E" w:rsidRPr="00CB0AFD">
        <w:rPr>
          <w:rFonts w:ascii="Times New Roman" w:eastAsia="Times New Roman" w:hAnsi="Times New Roman" w:cs="Times New Roman"/>
          <w:sz w:val="24"/>
          <w:szCs w:val="24"/>
          <w:lang w:eastAsia="en-GB"/>
        </w:rPr>
        <w:t xml:space="preserve"> </w:t>
      </w:r>
      <w:r w:rsidRPr="00CB0AFD">
        <w:rPr>
          <w:rFonts w:ascii="Times New Roman" w:eastAsia="Times New Roman" w:hAnsi="Times New Roman" w:cs="Times New Roman"/>
          <w:sz w:val="24"/>
          <w:szCs w:val="24"/>
          <w:lang w:eastAsia="en-GB"/>
        </w:rPr>
        <w:fldChar w:fldCharType="begin" w:fldLock="1"/>
      </w:r>
      <w:r w:rsidR="00BE3B6C" w:rsidRPr="00CB0AFD">
        <w:rPr>
          <w:rFonts w:ascii="Times New Roman" w:eastAsia="Times New Roman" w:hAnsi="Times New Roman" w:cs="Times New Roman"/>
          <w:sz w:val="24"/>
          <w:szCs w:val="24"/>
          <w:lang w:eastAsia="en-GB"/>
        </w:rPr>
        <w:instrText>ADDIN CSL_CITATION {"citationItems":[{"id":"ITEM-1","itemData":{"DOI":"10.1046/j.1525-1497.2000.91156.x","ISBN":"0884-8734 (Print)","ISSN":"08848734","PMID":"11119167","abstract":"OBJECTIVE: To explore the role of the gender of the patient and the gender of the physician in explaining differences in patient satisfaction and patient-reported primary care practice. DESIGN: Crosssectional mailed survey [response rate of 71%]. SETTING: A large group-model Health Maintenance Organization (HMO) in northern California. PATIENTS/PARTICIPANTS: Random sample of HMO members aged 35 to 85 years with a primary care physician. The respondents (N = 10,205) were divided into four dyads: female patients of female doctors; male patients of female doctors; female patients of male doctors; and male patients of male doctors. Patients were also stratified on the basis of whether they had chosen their physician or had been assigned. MEASUREMENTS AND MAIN RESULTS: Among patients who chose their physician, females who chose female doctors were the least satisfied of the four groups of patients for four of five measures of satisfaction. Male patients of female physicians were the most satisfied. Preventive care and health promotion practices were comparable for male and female physicians. Female patients were more likely to have chosen their physician than males, and were much more likely to have chosen female physicians. These differences were not seen among patients who had been assigned to their physicians and were not due to differences in any of the measured aspects of health values or beliefs. CONCLUSIONS: Our study revealed differences in patient satisfaction related to the gender of the patient and of the physician. While our study cannot determine the reasons for these differences, the results suggest that patients who choose their physician may have different expectations, and the difficulty of fulfi11ing these expectations may present particular challenges for female physicians.","author":[{"dropping-particle":"","family":"Schmittdiel","given":"Julie","non-dropping-particle":"","parse-names":false,"suffix":""},{"dropping-particle":"","family":"Grumbach","given":"Kevin","non-dropping-particle":"","parse-names":false,"suffix":""},{"dropping-particle":"V.","family":"Selby","given":"Joe","non-dropping-particle":"","parse-names":false,"suffix":""},{"dropping-particle":"","family":"Quesenberry","given":"Charles P.","non-dropping-particle":"","parse-names":false,"suffix":""}],"container-title":"Journal of General Internal Medicine","id":"ITEM-1","issued":{"date-parts":[["2000"]]},"page":"761-769","title":"Effect of physician and patient gender concordance on patient satisfaction and preventive care practices","type":"article-journal","volume":"15"},"uris":["http://www.mendeley.com/documents/?uuid=50d4e320-33b9-450b-b3ca-b8213dd779b9"]}],"mendeley":{"formattedCitation":"(Schmittdiel &lt;i&gt;et al.&lt;/i&gt;, 2000)","plainTextFormattedCitation":"(Schmittdiel et al., 2000)","previouslyFormattedCitation":"(Schmittdiel et al. 2000)"},"properties":{"noteIndex":0},"schema":"https://github.com/citation-style-language/schema/raw/master/csl-citation.json"}</w:instrText>
      </w:r>
      <w:r w:rsidRPr="00CB0AFD">
        <w:rPr>
          <w:rFonts w:ascii="Times New Roman" w:eastAsia="Times New Roman" w:hAnsi="Times New Roman" w:cs="Times New Roman"/>
          <w:sz w:val="24"/>
          <w:szCs w:val="24"/>
          <w:lang w:eastAsia="en-GB"/>
        </w:rPr>
        <w:fldChar w:fldCharType="separate"/>
      </w:r>
      <w:r w:rsidR="00BE3B6C" w:rsidRPr="00CB0AFD">
        <w:rPr>
          <w:rFonts w:ascii="Times New Roman" w:eastAsia="Times New Roman" w:hAnsi="Times New Roman" w:cs="Times New Roman"/>
          <w:noProof/>
          <w:sz w:val="24"/>
          <w:szCs w:val="24"/>
          <w:lang w:eastAsia="en-GB"/>
        </w:rPr>
        <w:t>(Schmittdiel et al. 2000)</w:t>
      </w:r>
      <w:r w:rsidRPr="00CB0AFD">
        <w:rPr>
          <w:rFonts w:ascii="Times New Roman" w:eastAsia="Times New Roman" w:hAnsi="Times New Roman" w:cs="Times New Roman"/>
          <w:sz w:val="24"/>
          <w:szCs w:val="24"/>
          <w:lang w:eastAsia="en-GB"/>
        </w:rPr>
        <w:fldChar w:fldCharType="end"/>
      </w:r>
      <w:r w:rsidRPr="00CB0AFD">
        <w:rPr>
          <w:rFonts w:ascii="Times New Roman" w:eastAsia="Times New Roman" w:hAnsi="Times New Roman" w:cs="Times New Roman"/>
          <w:sz w:val="24"/>
          <w:szCs w:val="24"/>
          <w:lang w:eastAsia="en-GB"/>
        </w:rPr>
        <w:t>. All these aforementioned factors will undermine the asses</w:t>
      </w:r>
      <w:r w:rsidR="00B57B8A" w:rsidRPr="00CB0AFD">
        <w:rPr>
          <w:rFonts w:ascii="Times New Roman" w:eastAsia="Times New Roman" w:hAnsi="Times New Roman" w:cs="Times New Roman"/>
          <w:sz w:val="24"/>
          <w:szCs w:val="24"/>
          <w:lang w:eastAsia="en-GB"/>
        </w:rPr>
        <w:t xml:space="preserve">sment’s validity. Furthermore, </w:t>
      </w:r>
      <w:r w:rsidRPr="00CB0AFD">
        <w:rPr>
          <w:rFonts w:ascii="Times New Roman" w:eastAsia="Times New Roman" w:hAnsi="Times New Roman" w:cs="Times New Roman"/>
          <w:sz w:val="24"/>
          <w:szCs w:val="24"/>
          <w:lang w:eastAsia="en-GB"/>
        </w:rPr>
        <w:t xml:space="preserve">if trainees become aware that their assessments may be subjective and influenced by bias, resentment is likely to manifest and undermine their perception of using WBAs. </w:t>
      </w:r>
    </w:p>
    <w:p w14:paraId="263C9090" w14:textId="7C3ECF89" w:rsidR="00863DF5" w:rsidRPr="006F3B00" w:rsidRDefault="00CC58FD" w:rsidP="00863DF5">
      <w:pPr>
        <w:pStyle w:val="Heading3"/>
        <w:rPr>
          <w:rFonts w:ascii="Times New Roman" w:hAnsi="Times New Roman" w:cs="Times New Roman"/>
          <w:color w:val="auto"/>
          <w:sz w:val="24"/>
          <w:szCs w:val="24"/>
        </w:rPr>
      </w:pPr>
      <w:bookmarkStart w:id="48" w:name="_Toc23243777"/>
      <w:r>
        <w:rPr>
          <w:rFonts w:ascii="Times New Roman" w:hAnsi="Times New Roman" w:cs="Times New Roman"/>
          <w:color w:val="auto"/>
          <w:sz w:val="24"/>
          <w:szCs w:val="24"/>
        </w:rPr>
        <w:t>1.3</w:t>
      </w:r>
      <w:r w:rsidR="009114C0">
        <w:rPr>
          <w:rFonts w:ascii="Times New Roman" w:hAnsi="Times New Roman" w:cs="Times New Roman"/>
          <w:color w:val="auto"/>
          <w:sz w:val="24"/>
          <w:szCs w:val="24"/>
        </w:rPr>
        <w:t>.1.</w:t>
      </w:r>
      <w:r w:rsidR="00863DF5" w:rsidRPr="006F3B00">
        <w:rPr>
          <w:rFonts w:ascii="Times New Roman" w:hAnsi="Times New Roman" w:cs="Times New Roman"/>
          <w:color w:val="auto"/>
          <w:sz w:val="24"/>
          <w:szCs w:val="24"/>
        </w:rPr>
        <w:t>6 Reliability</w:t>
      </w:r>
      <w:bookmarkEnd w:id="48"/>
      <w:r w:rsidR="00863DF5" w:rsidRPr="006F3B00">
        <w:rPr>
          <w:rFonts w:ascii="Times New Roman" w:hAnsi="Times New Roman" w:cs="Times New Roman"/>
          <w:color w:val="auto"/>
          <w:sz w:val="24"/>
          <w:szCs w:val="24"/>
        </w:rPr>
        <w:t xml:space="preserve"> </w:t>
      </w:r>
    </w:p>
    <w:p w14:paraId="7C82A220" w14:textId="77777777" w:rsidR="00863DF5" w:rsidRPr="006F3B00" w:rsidRDefault="00863DF5" w:rsidP="00863DF5">
      <w:pPr>
        <w:rPr>
          <w:rFonts w:ascii="Times New Roman" w:hAnsi="Times New Roman" w:cs="Times New Roman"/>
          <w:sz w:val="24"/>
          <w:szCs w:val="24"/>
        </w:rPr>
      </w:pPr>
    </w:p>
    <w:p w14:paraId="2618F164" w14:textId="290C8538" w:rsidR="00863DF5" w:rsidRPr="00E02B53" w:rsidRDefault="00863DF5" w:rsidP="00863DF5">
      <w:pPr>
        <w:spacing w:after="0" w:line="480" w:lineRule="auto"/>
        <w:rPr>
          <w:rFonts w:ascii="Times New Roman" w:eastAsia="Times New Roman" w:hAnsi="Times New Roman" w:cs="Times New Roman"/>
          <w:sz w:val="24"/>
          <w:szCs w:val="24"/>
          <w:lang w:eastAsia="en-GB"/>
        </w:rPr>
      </w:pPr>
      <w:r w:rsidRPr="006F3B00">
        <w:rPr>
          <w:rFonts w:ascii="Times New Roman" w:hAnsi="Times New Roman" w:cs="Times New Roman"/>
          <w:sz w:val="24"/>
          <w:szCs w:val="24"/>
        </w:rPr>
        <w:lastRenderedPageBreak/>
        <w:t xml:space="preserve">Trainers often feel burdened by WBAs, compounded by the number of WBAs required of each trainee and the multiple trainees each trainer is meant to assess.  The quotas for WBAs are meant to increase reliability as outcomes can be triangulated, but given the increasing pressures on the </w:t>
      </w:r>
      <w:r w:rsidR="009907E5" w:rsidRPr="00E02B53">
        <w:rPr>
          <w:rFonts w:ascii="Times New Roman" w:hAnsi="Times New Roman" w:cs="Times New Roman"/>
          <w:sz w:val="24"/>
          <w:szCs w:val="24"/>
        </w:rPr>
        <w:t>NHS</w:t>
      </w:r>
      <w:r w:rsidRPr="00E02B53">
        <w:rPr>
          <w:rFonts w:ascii="Times New Roman" w:hAnsi="Times New Roman" w:cs="Times New Roman"/>
          <w:sz w:val="24"/>
          <w:szCs w:val="24"/>
        </w:rPr>
        <w:t>, it is understandable that certain trainers may feel that patient care should be prioritised before WBAs. Research in surgical specialties has already questioned the prescribed number of WBAs for each trainee, suggesting lower quotas may be just as reliable for determining trainee aptitude in a given area</w:t>
      </w:r>
      <w:r w:rsidR="00ED7C9E" w:rsidRPr="00E02B53">
        <w:rPr>
          <w:rFonts w:ascii="Times New Roman" w:hAnsi="Times New Roman" w:cs="Times New Roman"/>
          <w:sz w:val="24"/>
          <w:szCs w:val="24"/>
        </w:rPr>
        <w:t xml:space="preserve"> </w:t>
      </w:r>
      <w:r w:rsidRPr="00E02B53">
        <w:rPr>
          <w:rFonts w:ascii="Times New Roman" w:hAnsi="Times New Roman" w:cs="Times New Roman"/>
          <w:sz w:val="24"/>
          <w:szCs w:val="24"/>
        </w:rPr>
        <w:fldChar w:fldCharType="begin" w:fldLock="1"/>
      </w:r>
      <w:r w:rsidR="00BE3B6C" w:rsidRPr="00E02B53">
        <w:rPr>
          <w:rFonts w:ascii="Times New Roman" w:hAnsi="Times New Roman" w:cs="Times New Roman"/>
          <w:sz w:val="24"/>
          <w:szCs w:val="24"/>
        </w:rPr>
        <w:instrText>ADDIN CSL_CITATION {"citationItems":[{"id":"ITEM-1","itemData":{"DOI":"10.1002/bjs.7342","ISBN":"1365-2168 (Electronic)\\n0007-1323 (Linking)","ISSN":"00071323","PMID":"21254025","abstract":"Procedure-based assessment (PBA) is used within most UK surgical training programmes for assessing trainees' procedural skills in the operating theatre. All postgraduate assessment methods require evidence to support their implementation. The aims were to evaluate the validity, reliability and acceptability of PBA.","author":[{"dropping-particle":"","family":"Marriott","given":"J.","non-dropping-particle":"","parse-names":false,"suffix":""},{"dropping-particle":"","family":"Purdie","given":"H.","non-dropping-particle":"","parse-names":false,"suffix":""},{"dropping-particle":"","family":"Crossley","given":"J.","non-dropping-particle":"","parse-names":false,"suffix":""},{"dropping-particle":"","family":"Beard","given":"J. D.","non-dropping-particle":"","parse-names":false,"suffix":""}],"container-title":"British Journal of Surgery","id":"ITEM-1","issued":{"date-parts":[["2011"]]},"page":"450-457","title":"Evaluation of procedure-based assessment for assessing trainees skills in the operating theatre","type":"article-journal","volume":"98"},"uris":["http://www.mendeley.com/documents/?uuid=9d2dce1d-bf65-45c6-8f4f-9aa3f42e0e63"]},{"id":"ITEM-2","itemData":{"DOI":"10.1308/003588408X286017","ISBN":"1478-7083 (Electronic)","ISSN":"1478-7083","PMID":"18492389","abstract":"Surgical training and assessment in the UK has been criticised in the past for lacking transparency, reliability and validity. The new Intercollegiate Surgical Curriculum Programme (ISCP) has a well-defined, competence-based syllabus and a system of workplace-based assessments and examinations that map to the syllabus. The main aims of workplace-based assessment are to aid learning through objective feedback and to provide evidence that the competencies required to progress to the next level of training have been achieved. Reduction in surgical experience means that more training will need to be undertaken on simulations, although experience and assessment in the operating room must remains the 'gold-standard'. Simulation training will require the provision of properly resourced surgical skills facilities in every hospital. The key to reliable assessment and constructive feedback is well-trained trainers. Training is a skill that must be learned, and assessment and feedback techniques form part of this. In surgery, it has been assumed that all consultants are trainers but this is clearly not the case. Surgeons will need to follow the example of primary care, where trainers are selected from experienced general practitioners who demonstrate enthusiasm and ability. The reward for the trainer should be protected time for training. The reward for the National Health Service will be better trained surgeons.","author":[{"dropping-particle":"","family":"Beard","given":"Jonathan D","non-dropping-particle":"","parse-names":false,"suffix":""}],"container-title":"Annals of the Royal College of Surgeons of England","id":"ITEM-2","issue":"4","issued":{"date-parts":[["2008"]]},"page":"282-5","title":"Assessment of surgical skills of trainees in the UK.","type":"article-journal","volume":"90"},"uris":["http://www.mendeley.com/documents/?uuid=a2cf6845-8190-441b-97a9-272db4f30b4e"]}],"mendeley":{"formattedCitation":"(Beard, 2008; Marriott &lt;i&gt;et al.&lt;/i&gt;, 2011)","plainTextFormattedCitation":"(Beard, 2008; Marriott et al., 2011)","previouslyFormattedCitation":"(Marriott et al. 2011; Beard 2008)"},"properties":{"noteIndex":0},"schema":"https://github.com/citation-style-language/schema/raw/master/csl-citation.json"}</w:instrText>
      </w:r>
      <w:r w:rsidRPr="00E02B53">
        <w:rPr>
          <w:rFonts w:ascii="Times New Roman" w:hAnsi="Times New Roman" w:cs="Times New Roman"/>
          <w:sz w:val="24"/>
          <w:szCs w:val="24"/>
        </w:rPr>
        <w:fldChar w:fldCharType="separate"/>
      </w:r>
      <w:r w:rsidR="00E02B53">
        <w:rPr>
          <w:rFonts w:ascii="Times New Roman" w:hAnsi="Times New Roman" w:cs="Times New Roman"/>
          <w:noProof/>
          <w:sz w:val="24"/>
          <w:szCs w:val="24"/>
        </w:rPr>
        <w:t>(Beard</w:t>
      </w:r>
      <w:r w:rsidR="00BE3B6C" w:rsidRPr="00E02B53">
        <w:rPr>
          <w:rFonts w:ascii="Times New Roman" w:hAnsi="Times New Roman" w:cs="Times New Roman"/>
          <w:noProof/>
          <w:sz w:val="24"/>
          <w:szCs w:val="24"/>
        </w:rPr>
        <w:t xml:space="preserve"> 2008; Marriott et al. 2011)</w:t>
      </w:r>
      <w:r w:rsidRPr="00E02B53">
        <w:rPr>
          <w:rFonts w:ascii="Times New Roman" w:hAnsi="Times New Roman" w:cs="Times New Roman"/>
          <w:sz w:val="24"/>
          <w:szCs w:val="24"/>
        </w:rPr>
        <w:fldChar w:fldCharType="end"/>
      </w:r>
      <w:r w:rsidRPr="00E02B53">
        <w:rPr>
          <w:rFonts w:ascii="Times New Roman" w:hAnsi="Times New Roman" w:cs="Times New Roman"/>
          <w:sz w:val="24"/>
          <w:szCs w:val="24"/>
        </w:rPr>
        <w:t>. Recent work by Crossley has identified that conventional scales in WBAs are felt to be invalid and construct alignment reduces assessor disagreement and increases assessor discrimination</w:t>
      </w:r>
      <w:r w:rsidR="00ED7C9E" w:rsidRPr="00E02B53">
        <w:rPr>
          <w:rFonts w:ascii="Times New Roman" w:hAnsi="Times New Roman" w:cs="Times New Roman"/>
          <w:sz w:val="24"/>
          <w:szCs w:val="24"/>
        </w:rPr>
        <w:t xml:space="preserve"> </w:t>
      </w:r>
      <w:r w:rsidRPr="00E02B53">
        <w:rPr>
          <w:rFonts w:ascii="Times New Roman" w:hAnsi="Times New Roman" w:cs="Times New Roman"/>
          <w:sz w:val="24"/>
          <w:szCs w:val="24"/>
        </w:rPr>
        <w:fldChar w:fldCharType="begin" w:fldLock="1"/>
      </w:r>
      <w:r w:rsidR="00BE3B6C" w:rsidRPr="00E02B53">
        <w:rPr>
          <w:rFonts w:ascii="Times New Roman" w:hAnsi="Times New Roman" w:cs="Times New Roman"/>
          <w:sz w:val="24"/>
          <w:szCs w:val="24"/>
        </w:rPr>
        <w:instrText>ADDIN CSL_CITATION {"citationItems":[{"id":"ITEM-1","itemData":{"DOI":"10.1111/j.1365-2923.2010.03913.x","ISBN":"1365-2923","ISSN":"03080110","PMID":"21501218","abstract":"CONTEXT: Assessment in the workplace is important, but many evaluations have shown that assessor agreement and discrimination are poor. Training discussions suggest that assessors find conventional scales invalid. We evaluate scales constructed to reflect developing clinical sophistication and independence in parallel with conventional scales. METHODS: A valid scale should reduce assessor disagreement and increase assessor discrimination. We compare conventional and construct-aligned scales used in parallel to assess approximately 2000 medical trainees by each of three methods of workplace-based assessment (WBA): the mini-clinical evaluation exercise (mini-CEX); the acute care assessment tool (ACAT), and the case-based discussion (CBD). We evaluate how scores reflect assessor disagreement (V(j) and V(j*p) ) and assessor discrimination (V(p) ), and we model reliability using generalisability theory. RESULTS: In all three cases the conventional scale gave a performance similar to that in previous evaluations, but the construct-aligned scales substantially reduced assessor disagreement and substantially increased assessor discrimination. Reliability modelling shows that, using the new scales, the number of assessors required to achieve a generalisability coefficient &gt;=0.70 fell from six to three for the mini-CEX, from eight to three for the CBD, from 10 to nine for 'on-take' ACAT, and from 30 to 12 for 'post-take' ACAT. CONCLUSIONS: The results indicate that construct-aligned scales have greater utility, both because they are more reliable and because that reliability provides evidence of greater validity. There is also a wider implication: the disappointing reliability of existing WBA methods may reflect not assessors' differing assessments of performance, but, rather, different interpretations of poorly aligned scales. Scales aligned to the expertise of clinician-assessors and the developing independence of trainees may improve confidence in WBA.","author":[{"dropping-particle":"","family":"Crossley","given":"Jim","non-dropping-particle":"","parse-names":false,"suffix":""},{"dropping-particle":"","family":"Johnson","given":"Gavin","non-dropping-particle":"","parse-names":false,"suffix":""},{"dropping-particle":"","family":"Booth","given":"Joe","non-dropping-particle":"","parse-names":false,"suffix":""},{"dropping-particle":"","family":"Wade","given":"Winnie","non-dropping-particle":"","parse-names":false,"suffix":""}],"container-title":"Medical Education","id":"ITEM-1","issue":"6","issued":{"date-parts":[["2011"]]},"page":"560-9","title":"Good questions, good answers: construct alignment improves the performance of workplace-based assessment scales","type":"article-journal","volume":"45"},"uris":["http://www.mendeley.com/documents/?uuid=7019fdda-8ccc-447c-b2ad-c6d5a87972c5"]}],"mendeley":{"formattedCitation":"(Crossley &lt;i&gt;et al.&lt;/i&gt;, 2011)","plainTextFormattedCitation":"(Crossley et al., 2011)","previouslyFormattedCitation":"(Crossley et al. 2011)"},"properties":{"noteIndex":0},"schema":"https://github.com/citation-style-language/schema/raw/master/csl-citation.json"}</w:instrText>
      </w:r>
      <w:r w:rsidRPr="00E02B53">
        <w:rPr>
          <w:rFonts w:ascii="Times New Roman" w:hAnsi="Times New Roman" w:cs="Times New Roman"/>
          <w:sz w:val="24"/>
          <w:szCs w:val="24"/>
        </w:rPr>
        <w:fldChar w:fldCharType="separate"/>
      </w:r>
      <w:r w:rsidR="00BE3B6C" w:rsidRPr="00E02B53">
        <w:rPr>
          <w:rFonts w:ascii="Times New Roman" w:hAnsi="Times New Roman" w:cs="Times New Roman"/>
          <w:noProof/>
          <w:sz w:val="24"/>
          <w:szCs w:val="24"/>
        </w:rPr>
        <w:t>(Crossley et al. 2011)</w:t>
      </w:r>
      <w:r w:rsidRPr="00E02B53">
        <w:rPr>
          <w:rFonts w:ascii="Times New Roman" w:hAnsi="Times New Roman" w:cs="Times New Roman"/>
          <w:sz w:val="24"/>
          <w:szCs w:val="24"/>
        </w:rPr>
        <w:fldChar w:fldCharType="end"/>
      </w:r>
      <w:r w:rsidRPr="00E02B53">
        <w:rPr>
          <w:rFonts w:ascii="Times New Roman" w:hAnsi="Times New Roman" w:cs="Times New Roman"/>
          <w:sz w:val="24"/>
          <w:szCs w:val="24"/>
        </w:rPr>
        <w:t>. Reliability modelling showed that by using these new scales, the number of assessors required to achieve a generalisability coefficient ≥ 0.7 fell from eight to three for CBDs</w:t>
      </w:r>
      <w:r w:rsidR="00E02B53">
        <w:rPr>
          <w:rFonts w:ascii="Times New Roman" w:hAnsi="Times New Roman" w:cs="Times New Roman"/>
          <w:sz w:val="24"/>
          <w:szCs w:val="24"/>
        </w:rPr>
        <w:t xml:space="preserve"> </w:t>
      </w:r>
      <w:r w:rsidRPr="00E02B53">
        <w:rPr>
          <w:rFonts w:ascii="Times New Roman" w:hAnsi="Times New Roman" w:cs="Times New Roman"/>
          <w:sz w:val="24"/>
          <w:szCs w:val="24"/>
        </w:rPr>
        <w:fldChar w:fldCharType="begin" w:fldLock="1"/>
      </w:r>
      <w:r w:rsidR="00BE3B6C" w:rsidRPr="00E02B53">
        <w:rPr>
          <w:rFonts w:ascii="Times New Roman" w:hAnsi="Times New Roman" w:cs="Times New Roman"/>
          <w:sz w:val="24"/>
          <w:szCs w:val="24"/>
        </w:rPr>
        <w:instrText>ADDIN CSL_CITATION {"citationItems":[{"id":"ITEM-1","itemData":{"DOI":"10.1111/j.1365-2923.2010.03913.x","ISBN":"1365-2923","ISSN":"03080110","PMID":"21501218","abstract":"CONTEXT: Assessment in the workplace is important, but many evaluations have shown that assessor agreement and discrimination are poor. Training discussions suggest that assessors find conventional scales invalid. We evaluate scales constructed to reflect developing clinical sophistication and independence in parallel with conventional scales. METHODS: A valid scale should reduce assessor disagreement and increase assessor discrimination. We compare conventional and construct-aligned scales used in parallel to assess approximately 2000 medical trainees by each of three methods of workplace-based assessment (WBA): the mini-clinical evaluation exercise (mini-CEX); the acute care assessment tool (ACAT), and the case-based discussion (CBD). We evaluate how scores reflect assessor disagreement (V(j) and V(j*p) ) and assessor discrimination (V(p) ), and we model reliability using generalisability theory. RESULTS: In all three cases the conventional scale gave a performance similar to that in previous evaluations, but the construct-aligned scales substantially reduced assessor disagreement and substantially increased assessor discrimination. Reliability modelling shows that, using the new scales, the number of assessors required to achieve a generalisability coefficient &gt;=0.70 fell from six to three for the mini-CEX, from eight to three for the CBD, from 10 to nine for 'on-take' ACAT, and from 30 to 12 for 'post-take' ACAT. CONCLUSIONS: The results indicate that construct-aligned scales have greater utility, both because they are more reliable and because that reliability provides evidence of greater validity. There is also a wider implication: the disappointing reliability of existing WBA methods may reflect not assessors' differing assessments of performance, but, rather, different interpretations of poorly aligned scales. Scales aligned to the expertise of clinician-assessors and the developing independence of trainees may improve confidence in WBA.","author":[{"dropping-particle":"","family":"Crossley","given":"Jim","non-dropping-particle":"","parse-names":false,"suffix":""},{"dropping-particle":"","family":"Johnson","given":"Gavin","non-dropping-particle":"","parse-names":false,"suffix":""},{"dropping-particle":"","family":"Booth","given":"Joe","non-dropping-particle":"","parse-names":false,"suffix":""},{"dropping-particle":"","family":"Wade","given":"Winnie","non-dropping-particle":"","parse-names":false,"suffix":""}],"container-title":"Medical Education","id":"ITEM-1","issue":"6","issued":{"date-parts":[["2011"]]},"page":"560-9","title":"Good questions, good answers: construct alignment improves the performance of workplace-based assessment scales","type":"article-journal","volume":"45"},"uris":["http://www.mendeley.com/documents/?uuid=7019fdda-8ccc-447c-b2ad-c6d5a87972c5"]}],"mendeley":{"formattedCitation":"(Crossley &lt;i&gt;et al.&lt;/i&gt;, 2011)","plainTextFormattedCitation":"(Crossley et al., 2011)","previouslyFormattedCitation":"(Crossley et al. 2011)"},"properties":{"noteIndex":0},"schema":"https://github.com/citation-style-language/schema/raw/master/csl-citation.json"}</w:instrText>
      </w:r>
      <w:r w:rsidRPr="00E02B53">
        <w:rPr>
          <w:rFonts w:ascii="Times New Roman" w:hAnsi="Times New Roman" w:cs="Times New Roman"/>
          <w:sz w:val="24"/>
          <w:szCs w:val="24"/>
        </w:rPr>
        <w:fldChar w:fldCharType="separate"/>
      </w:r>
      <w:r w:rsidR="00BE3B6C" w:rsidRPr="00E02B53">
        <w:rPr>
          <w:rFonts w:ascii="Times New Roman" w:hAnsi="Times New Roman" w:cs="Times New Roman"/>
          <w:noProof/>
          <w:sz w:val="24"/>
          <w:szCs w:val="24"/>
        </w:rPr>
        <w:t>(Crossley et al. 2011)</w:t>
      </w:r>
      <w:r w:rsidRPr="00E02B53">
        <w:rPr>
          <w:rFonts w:ascii="Times New Roman" w:hAnsi="Times New Roman" w:cs="Times New Roman"/>
          <w:sz w:val="24"/>
          <w:szCs w:val="24"/>
        </w:rPr>
        <w:fldChar w:fldCharType="end"/>
      </w:r>
      <w:r w:rsidRPr="00E02B53">
        <w:rPr>
          <w:rFonts w:ascii="Times New Roman" w:hAnsi="Times New Roman" w:cs="Times New Roman"/>
          <w:sz w:val="24"/>
          <w:szCs w:val="24"/>
        </w:rPr>
        <w:t xml:space="preserve">. </w:t>
      </w:r>
      <w:r w:rsidRPr="00E02B53">
        <w:rPr>
          <w:rFonts w:ascii="Times New Roman" w:eastAsia="Times New Roman" w:hAnsi="Times New Roman" w:cs="Times New Roman"/>
          <w:sz w:val="24"/>
          <w:szCs w:val="24"/>
          <w:lang w:eastAsia="en-GB"/>
        </w:rPr>
        <w:t>Generalisability theory may be applied to measure the contributions that all relevant factors make to the result (observer, situation, case, assessor and their interactions)</w:t>
      </w:r>
      <w:r w:rsidR="00E02B53">
        <w:rPr>
          <w:rFonts w:ascii="Times New Roman" w:eastAsia="Times New Roman" w:hAnsi="Times New Roman" w:cs="Times New Roman"/>
          <w:sz w:val="24"/>
          <w:szCs w:val="24"/>
          <w:lang w:eastAsia="en-GB"/>
        </w:rPr>
        <w:t xml:space="preserve"> </w:t>
      </w:r>
      <w:r w:rsidRPr="00E02B53">
        <w:rPr>
          <w:rFonts w:ascii="Times New Roman" w:eastAsia="Times New Roman" w:hAnsi="Times New Roman" w:cs="Times New Roman"/>
          <w:sz w:val="24"/>
          <w:szCs w:val="24"/>
          <w:lang w:eastAsia="en-GB"/>
        </w:rPr>
        <w:fldChar w:fldCharType="begin" w:fldLock="1"/>
      </w:r>
      <w:r w:rsidR="00BE3B6C" w:rsidRPr="00E02B53">
        <w:rPr>
          <w:rFonts w:ascii="Times New Roman" w:eastAsia="Times New Roman" w:hAnsi="Times New Roman" w:cs="Times New Roman"/>
          <w:sz w:val="24"/>
          <w:szCs w:val="24"/>
          <w:lang w:eastAsia="en-GB"/>
        </w:rPr>
        <w:instrText>ADDIN CSL_CITATION {"citationItems":[{"id":"ITEM-1","itemData":{"DOI":"10.1046/j.1365-2923.2002.01320.x","ISBN":"0308-0110 (Print)","ISSN":"03080110","PMID":"12390466","abstract":"CONTEXT: Reliability is defined as the extent to which a result reflects all possible measurements of the same construct. It is an essential measurement characteristic. Unfortunately, there are few objective tests for the most important aspects of the professional role because they are complex and intangible. In addition, professional performance varies markedly from setting to setting and case to case. Both these factors threaten reliability. AIM: This paper describes the classical approach to evaluating reliability and points out the limitations of this approach. It goes on to describe how generalisability theory solves many of these limitations. CONDITIONS: A G-study uses variance component analysis to measure the contributions that all relevant factors make to the result (observer, situation, case, assessee and their interactions). This information can be combined to reflect the reliability of a single observation as a reflection of all possible measurements - a true reflection of reliability. It can also be used to estimate the reliability of a combined sample of several different observations, or to predict how many observations are required with different test formats to achieve a given level of reliability. Worked examples are used to illustrate the concepts.","author":[{"dropping-particle":"","family":"Crossley","given":"Jim","non-dropping-particle":"","parse-names":false,"suffix":""},{"dropping-particle":"","family":"Davies","given":"Helena","non-dropping-particle":"","parse-names":false,"suffix":""},{"dropping-particle":"","family":"Humphris","given":"Gerry","non-dropping-particle":"","parse-names":false,"suffix":""},{"dropping-particle":"","family":"Jolly","given":"Brian","non-dropping-particle":"","parse-names":false,"suffix":""}],"container-title":"Medical Education","id":"ITEM-1","issued":{"date-parts":[["2002"]]},"page":"972-978","title":"Generalisability: A key to unlock professional assessment","type":"article-journal","volume":"36"},"uris":["http://www.mendeley.com/documents/?uuid=5c704928-f0d6-4513-ac44-9501421e4268"]}],"mendeley":{"formattedCitation":"(Crossley &lt;i&gt;et al.&lt;/i&gt;, 2002)","plainTextFormattedCitation":"(Crossley et al., 2002)","previouslyFormattedCitation":"(Crossley et al. 2002)"},"properties":{"noteIndex":0},"schema":"https://github.com/citation-style-language/schema/raw/master/csl-citation.json"}</w:instrText>
      </w:r>
      <w:r w:rsidRPr="00E02B53">
        <w:rPr>
          <w:rFonts w:ascii="Times New Roman" w:eastAsia="Times New Roman" w:hAnsi="Times New Roman" w:cs="Times New Roman"/>
          <w:sz w:val="24"/>
          <w:szCs w:val="24"/>
          <w:lang w:eastAsia="en-GB"/>
        </w:rPr>
        <w:fldChar w:fldCharType="separate"/>
      </w:r>
      <w:r w:rsidR="00BE3B6C" w:rsidRPr="00E02B53">
        <w:rPr>
          <w:rFonts w:ascii="Times New Roman" w:eastAsia="Times New Roman" w:hAnsi="Times New Roman" w:cs="Times New Roman"/>
          <w:noProof/>
          <w:sz w:val="24"/>
          <w:szCs w:val="24"/>
          <w:lang w:eastAsia="en-GB"/>
        </w:rPr>
        <w:t>(Crossley et al. 2002)</w:t>
      </w:r>
      <w:r w:rsidRPr="00E02B53">
        <w:rPr>
          <w:rFonts w:ascii="Times New Roman" w:eastAsia="Times New Roman" w:hAnsi="Times New Roman" w:cs="Times New Roman"/>
          <w:sz w:val="24"/>
          <w:szCs w:val="24"/>
          <w:lang w:eastAsia="en-GB"/>
        </w:rPr>
        <w:fldChar w:fldCharType="end"/>
      </w:r>
      <w:r w:rsidR="006121BA" w:rsidRPr="00E02B53">
        <w:rPr>
          <w:rFonts w:ascii="Times New Roman" w:eastAsia="Times New Roman" w:hAnsi="Times New Roman" w:cs="Times New Roman"/>
          <w:sz w:val="24"/>
          <w:szCs w:val="24"/>
          <w:lang w:eastAsia="en-GB"/>
        </w:rPr>
        <w:t>.</w:t>
      </w:r>
    </w:p>
    <w:p w14:paraId="25F13E87" w14:textId="4935DF7A" w:rsidR="00863DF5" w:rsidRPr="006F3B00" w:rsidRDefault="00CC58FD" w:rsidP="00863DF5">
      <w:pPr>
        <w:pStyle w:val="Heading3"/>
        <w:rPr>
          <w:rFonts w:ascii="Times New Roman" w:hAnsi="Times New Roman" w:cs="Times New Roman"/>
          <w:color w:val="auto"/>
          <w:sz w:val="24"/>
          <w:szCs w:val="24"/>
        </w:rPr>
      </w:pPr>
      <w:bookmarkStart w:id="49" w:name="_Toc23243778"/>
      <w:r>
        <w:rPr>
          <w:rFonts w:ascii="Times New Roman" w:hAnsi="Times New Roman" w:cs="Times New Roman"/>
          <w:color w:val="auto"/>
          <w:sz w:val="24"/>
          <w:szCs w:val="24"/>
        </w:rPr>
        <w:t>1.3</w:t>
      </w:r>
      <w:r w:rsidR="00863DF5" w:rsidRPr="006F3B00">
        <w:rPr>
          <w:rFonts w:ascii="Times New Roman" w:hAnsi="Times New Roman" w:cs="Times New Roman"/>
          <w:color w:val="auto"/>
          <w:sz w:val="24"/>
          <w:szCs w:val="24"/>
        </w:rPr>
        <w:t>.</w:t>
      </w:r>
      <w:r w:rsidR="009114C0">
        <w:rPr>
          <w:rFonts w:ascii="Times New Roman" w:hAnsi="Times New Roman" w:cs="Times New Roman"/>
          <w:color w:val="auto"/>
          <w:sz w:val="24"/>
          <w:szCs w:val="24"/>
        </w:rPr>
        <w:t>1.</w:t>
      </w:r>
      <w:r w:rsidR="00863DF5" w:rsidRPr="006F3B00">
        <w:rPr>
          <w:rFonts w:ascii="Times New Roman" w:hAnsi="Times New Roman" w:cs="Times New Roman"/>
          <w:color w:val="auto"/>
          <w:sz w:val="24"/>
          <w:szCs w:val="24"/>
        </w:rPr>
        <w:t>7 Guidance and training</w:t>
      </w:r>
      <w:bookmarkEnd w:id="49"/>
    </w:p>
    <w:p w14:paraId="32F89989" w14:textId="77777777" w:rsidR="00863DF5" w:rsidRPr="006F3B00" w:rsidRDefault="00863DF5" w:rsidP="00863DF5">
      <w:pPr>
        <w:rPr>
          <w:rFonts w:ascii="Times New Roman" w:hAnsi="Times New Roman" w:cs="Times New Roman"/>
          <w:sz w:val="24"/>
          <w:szCs w:val="24"/>
        </w:rPr>
      </w:pPr>
    </w:p>
    <w:p w14:paraId="1D09904A" w14:textId="77EF1BCB" w:rsidR="00863DF5" w:rsidRPr="00E02B53" w:rsidRDefault="00863DF5" w:rsidP="00863DF5">
      <w:pPr>
        <w:spacing w:after="0" w:line="480" w:lineRule="auto"/>
        <w:rPr>
          <w:rFonts w:ascii="Times New Roman" w:eastAsia="Times New Roman" w:hAnsi="Times New Roman" w:cs="Times New Roman"/>
          <w:sz w:val="24"/>
          <w:szCs w:val="24"/>
          <w:lang w:eastAsia="en-GB"/>
        </w:rPr>
      </w:pPr>
      <w:r w:rsidRPr="006F3B00">
        <w:rPr>
          <w:rFonts w:ascii="Times New Roman" w:hAnsi="Times New Roman" w:cs="Times New Roman"/>
          <w:sz w:val="24"/>
          <w:szCs w:val="24"/>
        </w:rPr>
        <w:t xml:space="preserve">Studies have </w:t>
      </w:r>
      <w:r w:rsidRPr="00E02B53">
        <w:rPr>
          <w:rFonts w:ascii="Times New Roman" w:hAnsi="Times New Roman" w:cs="Times New Roman"/>
          <w:sz w:val="24"/>
          <w:szCs w:val="24"/>
        </w:rPr>
        <w:t>shown that appropriate guidance for assessors was essential for successful WBA implementation and comprehensive training is required for both trainees and trainers</w:t>
      </w:r>
      <w:r w:rsidR="00ED7C9E" w:rsidRPr="00E02B53">
        <w:rPr>
          <w:rFonts w:ascii="Times New Roman" w:hAnsi="Times New Roman" w:cs="Times New Roman"/>
          <w:sz w:val="24"/>
          <w:szCs w:val="24"/>
        </w:rPr>
        <w:t xml:space="preserve"> </w:t>
      </w:r>
      <w:r w:rsidRPr="00E02B53">
        <w:rPr>
          <w:rFonts w:ascii="Times New Roman" w:hAnsi="Times New Roman" w:cs="Times New Roman"/>
          <w:sz w:val="24"/>
          <w:szCs w:val="24"/>
        </w:rPr>
        <w:fldChar w:fldCharType="begin" w:fldLock="1"/>
      </w:r>
      <w:r w:rsidR="00BE3B6C" w:rsidRPr="00E02B53">
        <w:rPr>
          <w:rFonts w:ascii="Times New Roman" w:hAnsi="Times New Roman" w:cs="Times New Roman"/>
          <w:sz w:val="24"/>
          <w:szCs w:val="24"/>
        </w:rPr>
        <w:instrText>ADDIN CSL_CITATION {"citationItems":[{"id":"ITEM-1","itemData":{"DOI":"10.1038/sj.bdj.2013.302","ISBN":"1476-5373 (Electronic)\\n0007-0610 (Linking)","ISSN":"1476-5373","PMID":"23518981","abstract":"A questionnaire study was undertaken with trainers and trainees from 12 deaneries in England and Northern Ireland in June 2010 to evaluate workplace-based assessments (WPBAs) in foundation training. From the sample consisting of 741 trainers and 643 foundation trainees, experience of WPBAs was positive overall, playing an important role in trainees' learning during foundation training and building confidence. However, there is a need for comprehensive training in the WPBA tools used to ensure their efficacy.","author":[{"dropping-particle":"","family":"Kirton","given":"J. a","non-dropping-particle":"","parse-names":false,"suffix":""},{"dropping-particle":"","family":"Palmer","given":"N. O. a","non-dropping-particle":"","parse-names":false,"suffix":""},{"dropping-particle":"","family":"Grieveson","given":"B.","non-dropping-particle":"","parse-names":false,"suffix":""},{"dropping-particle":"","family":"Balmer","given":"M. C","non-dropping-particle":"","parse-names":false,"suffix":""}],"container-title":"British Dental Journal","id":"ITEM-1","issue":"6","issued":{"date-parts":[["2013"]]},"page":"305-309","title":"A national evaluation of workplace-based assessment tools (WPBAs) in foundation dental training: a UK study. Effective and useful but do they provide an equitable training experience?","type":"article-journal","volume":"214"},"uris":["http://www.mendeley.com/documents/?uuid=a84297a9-5970-47f6-9d0d-a802ff983e3c"]},{"id":"ITEM-2","itemData":{"ISBN":"1470-2118","ISSN":"1470-2118","PMID":"16956144","abstract":"A study was conducted between August 2004 and August 2005 to explore the experiences of Foundation year 2 (F2) trainees who used the learning portfolio on the Mersey Deanery pilot scheme. Seventy-three trainees (77%) reported receiving their portfolio during their induction. In their first four-month placement, 90 trainees (96%) completed the two case-based discussions, 80 (87%) the three mini clinical examinations and 92 (97%) the two direct observation of practical procedures. The number of trainees who felt there was an opportunity to make a record of and analyse clinical critical incidents and critical incidents related to professional behaviour was only 32 (35%) and 13 (15%) respectively. Free text responses suggested that trainees appreciate the portfolio but that an understanding of its content and purpose, particularly by educational supervisors, is paramount to its success.","author":[{"dropping-particle":"","family":"Ryland","given":"I","non-dropping-particle":"","parse-names":false,"suffix":""},{"dropping-particle":"","family":"Brown","given":"J","non-dropping-particle":"","parse-names":false,"suffix":""},{"dropping-particle":"","family":"O'Brien","given":"M","non-dropping-particle":"","parse-names":false,"suffix":""},{"dropping-particle":"","family":"Graham","given":"D","non-dropping-particle":"","parse-names":false,"suffix":""},{"dropping-particle":"","family":"Gillies","given":"R","non-dropping-particle":"","parse-names":false,"suffix":""},{"dropping-particle":"","family":"Chapman","given":"T","non-dropping-particle":"","parse-names":false,"suffix":""},{"dropping-particle":"","family":"Shaw","given":"N","non-dropping-particle":"","parse-names":false,"suffix":""}],"container-title":"Clinical medicine (London, England)","id":"ITEM-2","issue":"4","issued":{"date-parts":[["2006"]]},"page":"378-80","title":"The portfolio: how was it for you? Views of F2 doctors from the Mersey Deanery Foundation Pilot.","type":"article-journal","volume":"6"},"uris":["http://www.mendeley.com/documents/?uuid=a8a13295-633c-4933-9cc5-1188db007bab"]}],"mendeley":{"formattedCitation":"(Ryland &lt;i&gt;et al.&lt;/i&gt;, 2006; Kirton &lt;i&gt;et al.&lt;/i&gt;, 2013)","plainTextFormattedCitation":"(Ryland et al., 2006; Kirton et al., 2013)","previouslyFormattedCitation":"(Kirton et al. 2013; Ryland et al. 2006)"},"properties":{"noteIndex":0},"schema":"https://github.com/citation-style-language/schema/raw/master/csl-citation.json"}</w:instrText>
      </w:r>
      <w:r w:rsidRPr="00E02B53">
        <w:rPr>
          <w:rFonts w:ascii="Times New Roman" w:hAnsi="Times New Roman" w:cs="Times New Roman"/>
          <w:sz w:val="24"/>
          <w:szCs w:val="24"/>
        </w:rPr>
        <w:fldChar w:fldCharType="separate"/>
      </w:r>
      <w:r w:rsidR="00BE3B6C" w:rsidRPr="00E02B53">
        <w:rPr>
          <w:rFonts w:ascii="Times New Roman" w:hAnsi="Times New Roman" w:cs="Times New Roman"/>
          <w:noProof/>
          <w:sz w:val="24"/>
          <w:szCs w:val="24"/>
        </w:rPr>
        <w:t>(Ryland et al. 2006; Kirton et al. 2013)</w:t>
      </w:r>
      <w:r w:rsidRPr="00E02B53">
        <w:rPr>
          <w:rFonts w:ascii="Times New Roman" w:hAnsi="Times New Roman" w:cs="Times New Roman"/>
          <w:sz w:val="24"/>
          <w:szCs w:val="24"/>
        </w:rPr>
        <w:fldChar w:fldCharType="end"/>
      </w:r>
      <w:r w:rsidRPr="00E02B53">
        <w:rPr>
          <w:rFonts w:ascii="Times New Roman" w:hAnsi="Times New Roman" w:cs="Times New Roman"/>
          <w:sz w:val="24"/>
          <w:szCs w:val="24"/>
        </w:rPr>
        <w:t>. This may be particularly important when assessors have had limited training on completing WBAs and are unsure about how to provide useful feedback. Assessors could be calibrated to improve inter-rater reliability scoring to differentiate between various performance levels</w:t>
      </w:r>
      <w:r w:rsidR="00E02B53">
        <w:rPr>
          <w:rFonts w:ascii="Times New Roman" w:hAnsi="Times New Roman" w:cs="Times New Roman"/>
          <w:sz w:val="24"/>
          <w:szCs w:val="24"/>
        </w:rPr>
        <w:t xml:space="preserve"> </w:t>
      </w:r>
      <w:r w:rsidRPr="00E02B53">
        <w:rPr>
          <w:rFonts w:ascii="Times New Roman" w:hAnsi="Times New Roman" w:cs="Times New Roman"/>
          <w:sz w:val="24"/>
          <w:szCs w:val="24"/>
        </w:rPr>
        <w:fldChar w:fldCharType="begin" w:fldLock="1"/>
      </w:r>
      <w:r w:rsidR="00BE3B6C" w:rsidRPr="00E02B53">
        <w:rPr>
          <w:rFonts w:ascii="Times New Roman" w:hAnsi="Times New Roman" w:cs="Times New Roman"/>
          <w:sz w:val="24"/>
          <w:szCs w:val="24"/>
        </w:rPr>
        <w:instrText>ADDIN CSL_CITATION {"citationItems":[{"id":"ITEM-1","itemData":{"DOI":"10.1111/j.1365-2923.2008.03249.x","ISBN":"1365-2923 (Electronic)\\n0308-0110 (Linking)","ISSN":"1365-2923","PMID":"19141000","abstract":"OBJECTIVES: This study represents an initial evaluation of the first year (F1) of the Foundation Assessment Programme (FAP), in line with Postgraduate Medical Education and Training Board (PMETB) assessment principles. METHODS: Descriptive analyses were undertaken for total number of encounters, assessors and trainees, mean number of assessments per trainee, mean number of assessments per assessor, time taken for the assessments, mean score and standard deviation for each method. Reliability was estimated using generalisability coefficients. Pearson correlations were used to explore relationships between instruments. The study sample included 3640 F1 trainees from 10 English deaneries. RESULTS: A total of 2929 trainees submitted at least one of all four methods. A mean of 16.6 case-focused assessments were submitted per F1 trainee. Based on a return per trainee of six of each of the case-focused assessments, and eight assessors for multi-source feedback, 95% confidence intervals (CIs) ranged between 0.4 and 0.48. The estimated time required for this is 9 hours per trainee per year. Scores increased over time for all instruments and correlations between methods were in keeping with their intended focus of assessment, providing evidence of validity. CONCLUSIONS: The FAP is feasible and achieves acceptable reliability. There is some evidence to support its validity. Collated assessment data should form part of the evidence considered for selection and career progression decisions although work is needed to further develop the FAP. It is in any case of critical importance for the profession's accountability to the public.","author":[{"dropping-particle":"","family":"Davies","given":"H","non-dropping-particle":"","parse-names":false,"suffix":""},{"dropping-particle":"","family":"Archer","given":"J","non-dropping-particle":"","parse-names":false,"suffix":""},{"dropping-particle":"","family":"Southgate","given":"L","non-dropping-particle":"","parse-names":false,"suffix":""},{"dropping-particle":"","family":"Norcini","given":"J","non-dropping-particle":"","parse-names":false,"suffix":""}],"container-title":"Medical Education","id":"ITEM-1","issue":"1","issued":{"date-parts":[["2009"]]},"page":"74-81","title":"Initial evaluation of the first year of the Foundation Assessment Programme","type":"article-journal","volume":"43"},"uris":["http://www.mendeley.com/documents/?uuid=0cb834b3-f325-4914-940c-fb3d0dd56f39"]},{"id":"ITEM-2","itemData":{"DOI":"10.1111/j.1365-2923.2010.03913.x","ISBN":"1365-2923","ISSN":"03080110","PMID":"21501218","abstract":"CONTEXT: Assessment in the workplace is important, but many evaluations have shown that assessor agreement and discrimination are poor. Training discussions suggest that assessors find conventional scales invalid. We evaluate scales constructed to reflect developing clinical sophistication and independence in parallel with conventional scales. METHODS: A valid scale should reduce assessor disagreement and increase assessor discrimination. We compare conventional and construct-aligned scales used in parallel to assess approximately 2000 medical trainees by each of three methods of workplace-based assessment (WBA): the mini-clinical evaluation exercise (mini-CEX); the acute care assessment tool (ACAT), and the case-based discussion (CBD). We evaluate how scores reflect assessor disagreement (V(j) and V(j*p) ) and assessor discrimination (V(p) ), and we model reliability using generalisability theory. RESULTS: In all three cases the conventional scale gave a performance similar to that in previous evaluations, but the construct-aligned scales substantially reduced assessor disagreement and substantially increased assessor discrimination. Reliability modelling shows that, using the new scales, the number of assessors required to achieve a generalisability coefficient &gt;=0.70 fell from six to three for the mini-CEX, from eight to three for the CBD, from 10 to nine for 'on-take' ACAT, and from 30 to 12 for 'post-take' ACAT. CONCLUSIONS: The results indicate that construct-aligned scales have greater utility, both because they are more reliable and because that reliability provides evidence of greater validity. There is also a wider implication: the disappointing reliability of existing WBA methods may reflect not assessors' differing assessments of performance, but, rather, different interpretations of poorly aligned scales. Scales aligned to the expertise of clinician-assessors and the developing independence of trainees may improve confidence in WBA.","author":[{"dropping-particle":"","family":"Crossley","given":"Jim","non-dropping-particle":"","parse-names":false,"suffix":""},{"dropping-particle":"","family":"Johnson","given":"Gavin","non-dropping-particle":"","parse-names":false,"suffix":""},{"dropping-particle":"","family":"Booth","given":"Joe","non-dropping-particle":"","parse-names":false,"suffix":""},{"dropping-particle":"","family":"Wade","given":"Winnie","non-dropping-particle":"","parse-names":false,"suffix":""}],"container-title":"Medical Education","id":"ITEM-2","issue":"6","issued":{"date-parts":[["2011"]]},"page":"560-9","title":"Good questions, good answers: construct alignment improves the performance of workplace-based assessment scales","type":"article-journal","volume":"45"},"uris":["http://www.mendeley.com/documents/?uuid=7019fdda-8ccc-447c-b2ad-c6d5a87972c5"]},{"id":"ITEM-3","itemData":{"DOI":"10.1001/jama.2009.1365","ISBN":"302121316p","ISSN":"1538-3598","PMID":"19773567","abstract":"CONTEXT: Direct observation of medical trainees with actual patients is important for performance-based clinical skills assessment. Multiple tools for direct observation are available, but their characteristics and outcomes have not been compared systematically. OBJECTIVES: To identify observation tools used to assess medical trainees' clinical skills with actual patients and to summarize the evidence of their validity and outcomes. DATA SOURCES: Electronic literature search of PubMed, ERIC, CINAHL, and Web of Science for English-language articles published between 1965 and March 2009 and review of references from article bibliographies. STUDY SELECTION: Included studies described a tool designed for direct observation of medical trainees' clinical skills with actual patients by educational supervisors. Tools used only in simulated settings or assessing surgical/procedural skills were excluded. Of 10 672 citations, 199 articles were reviewed and 85 met inclusion criteria. DATA EXTRACTION: Two authors independently abstracted studies using a modified Best Evidence Medical Education coding form to inform judgment of key psychometric characteristics. Differences were reconciled by consensus. RESULTS: A total of 55 tools were identified. Twenty-one tools were studied with students and 32 with residents or fellows. Two were used across the educational continuum. Most (n = 32) were developed for formative assessment. Rater training was described for 26 tools. Only 11 tools had validity evidence based on internal structure and relationship to other variables. Trainee or observer attitudes about the tool were the most commonly measured outcomes. Self-assessed changes in trainee knowledge, skills, or attitudes (n = 9) or objectively measured change in knowledge or skills (n = 5) were infrequently reported. The strongest validity evidence has been established for the Mini Clinical Evaluation Exercise (Mini-CEX). CONCLUSION: Although many tools are available for the direct observation of clinical skills, validity evidence and description of educational outcomes are scarce.","author":[{"dropping-particle":"","family":"Kogan","given":"Jennifer R","non-dropping-particle":"","parse-names":false,"suffix":""},{"dropping-particle":"","family":"Holmboe","given":"Eric S","non-dropping-particle":"","parse-names":false,"suffix":""},{"dropping-particle":"","family":"Hauer","given":"Karen E","non-dropping-particle":"","parse-names":false,"suffix":""}],"container-title":"JAMA","id":"ITEM-3","issue":"12","issued":{"date-parts":[["2009"]]},"page":"1316-1326","title":"Tools for direct observation and assessment of clinical skills of medical trainees: a systematic review.","type":"article-journal","volume":"302"},"uris":["http://www.mendeley.com/documents/?uuid=ecda2cb0-9831-4a0d-b12a-7c917488c347"]}],"mendeley":{"formattedCitation":"(Davies &lt;i&gt;et al.&lt;/i&gt;, 2009; Kogan, Holmboe and Hauer, 2009; Crossley &lt;i&gt;et al.&lt;/i&gt;, 2011)","plainTextFormattedCitation":"(Davies et al., 2009; Kogan, Holmboe and Hauer, 2009; Crossley et al., 2011)","previouslyFormattedCitation":"(Davies et al. 2009; Crossley et al. 2011; Kogan, Holmboe, and Hauer 2009)"},"properties":{"noteIndex":0},"schema":"https://github.com/citation-style-language/schema/raw/master/csl-citation.json"}</w:instrText>
      </w:r>
      <w:r w:rsidRPr="00E02B53">
        <w:rPr>
          <w:rFonts w:ascii="Times New Roman" w:hAnsi="Times New Roman" w:cs="Times New Roman"/>
          <w:sz w:val="24"/>
          <w:szCs w:val="24"/>
        </w:rPr>
        <w:fldChar w:fldCharType="separate"/>
      </w:r>
      <w:r w:rsidR="00BE3B6C" w:rsidRPr="00E02B53">
        <w:rPr>
          <w:rFonts w:ascii="Times New Roman" w:hAnsi="Times New Roman" w:cs="Times New Roman"/>
          <w:noProof/>
          <w:sz w:val="24"/>
          <w:szCs w:val="24"/>
        </w:rPr>
        <w:t>(Davies et al.</w:t>
      </w:r>
      <w:r w:rsidR="00E02B53">
        <w:rPr>
          <w:rFonts w:ascii="Times New Roman" w:hAnsi="Times New Roman" w:cs="Times New Roman"/>
          <w:noProof/>
          <w:sz w:val="24"/>
          <w:szCs w:val="24"/>
        </w:rPr>
        <w:t xml:space="preserve"> 2009; Kogan, Holmboe and Hauer</w:t>
      </w:r>
      <w:r w:rsidR="00BE3B6C" w:rsidRPr="00E02B53">
        <w:rPr>
          <w:rFonts w:ascii="Times New Roman" w:hAnsi="Times New Roman" w:cs="Times New Roman"/>
          <w:noProof/>
          <w:sz w:val="24"/>
          <w:szCs w:val="24"/>
        </w:rPr>
        <w:t xml:space="preserve"> 2009; Crossley et al. 2011)</w:t>
      </w:r>
      <w:r w:rsidRPr="00E02B53">
        <w:rPr>
          <w:rFonts w:ascii="Times New Roman" w:hAnsi="Times New Roman" w:cs="Times New Roman"/>
          <w:sz w:val="24"/>
          <w:szCs w:val="24"/>
        </w:rPr>
        <w:fldChar w:fldCharType="end"/>
      </w:r>
      <w:r w:rsidRPr="00E02B53">
        <w:rPr>
          <w:rFonts w:ascii="Times New Roman" w:hAnsi="Times New Roman" w:cs="Times New Roman"/>
          <w:sz w:val="24"/>
          <w:szCs w:val="24"/>
        </w:rPr>
        <w:t>. For example,</w:t>
      </w:r>
      <w:r w:rsidR="00CD12E8" w:rsidRPr="00E02B53">
        <w:rPr>
          <w:rFonts w:ascii="Times New Roman" w:hAnsi="Times New Roman" w:cs="Times New Roman"/>
          <w:sz w:val="24"/>
          <w:szCs w:val="24"/>
        </w:rPr>
        <w:t xml:space="preserve"> the Mini-CEX</w:t>
      </w:r>
      <w:r w:rsidRPr="00E02B53">
        <w:rPr>
          <w:rFonts w:ascii="Times New Roman" w:hAnsi="Times New Roman" w:cs="Times New Roman"/>
          <w:sz w:val="24"/>
          <w:szCs w:val="24"/>
        </w:rPr>
        <w:t xml:space="preserve"> is often quoted as being subject to significant assessor error, in particular both “hawk/dove” error and error caused by assessors’ differing views of what constitutes an “average” </w:t>
      </w:r>
      <w:r w:rsidRPr="00E02B53">
        <w:rPr>
          <w:rFonts w:ascii="Times New Roman" w:hAnsi="Times New Roman" w:cs="Times New Roman"/>
          <w:sz w:val="24"/>
          <w:szCs w:val="24"/>
        </w:rPr>
        <w:lastRenderedPageBreak/>
        <w:t>performance</w:t>
      </w:r>
      <w:r w:rsidR="00E02B53">
        <w:rPr>
          <w:rFonts w:ascii="Times New Roman" w:hAnsi="Times New Roman" w:cs="Times New Roman"/>
          <w:sz w:val="24"/>
          <w:szCs w:val="24"/>
        </w:rPr>
        <w:t xml:space="preserve"> </w:t>
      </w:r>
      <w:r w:rsidRPr="00E02B53">
        <w:rPr>
          <w:rFonts w:ascii="Times New Roman" w:hAnsi="Times New Roman" w:cs="Times New Roman"/>
          <w:sz w:val="24"/>
          <w:szCs w:val="24"/>
        </w:rPr>
        <w:fldChar w:fldCharType="begin" w:fldLock="1"/>
      </w:r>
      <w:r w:rsidR="00BE3B6C" w:rsidRPr="00E02B53">
        <w:rPr>
          <w:rFonts w:ascii="Times New Roman" w:hAnsi="Times New Roman" w:cs="Times New Roman"/>
          <w:sz w:val="24"/>
          <w:szCs w:val="24"/>
        </w:rPr>
        <w:instrText>ADDIN CSL_CITATION {"citationItems":[{"id":"ITEM-1","itemData":{"DOI":"10.1111/j.1365-2923.2008.03010.x","ISBN":"1365-2923","ISSN":"1365-2923","PMID":"18338989","abstract":"OBJECTIVES: To evaluate the reliability and feasibility of assessing the performance of medical specialist registrars (SpRs) using three methods: the mini-clinical evaluation exercise (mini-CEX), directly observed procedural skills (DOPS) and multi-source feedback (MSF) to help inform annual decisions about the outcome of SpR training.\\n\\nMETHODS: We conducted a feasibility study and generalisability analysis based on the application of these assessment methods and the resulting data. A total of 230 SpRs (from 17 specialties) in 58 UK hospitals took part from 2003 to 2004. Main outcome measures included: time taken for each assessment, and variance component analysis of mean scores and derivation of 95% confidence intervals for individual doctors' scores based on the standard error of measurement. Responses to direct questions on questionnaires were analysed, as were the themes emerging from open-comment responses.\\n\\nRESULTS: The methods can provide reliable scores with appropriate sampling. In our sample, all trainees who completed the number of assessments recommended by the Royal Colleges of Physicians had scores that were 95% certain to be better than unsatisfactory. The mean time taken to complete the mini-CEX (including feedback) was 25 minutes. The DOPS required the duration of the procedure being assessed plus an additional third of this time for feedback. The mean time required for each rater to complete his or her MSF form was 6 minutes.\\n\\nCONCLUSIONS: This is the first attempt to evaluate the use of comprehensive workplace assessment across the medical specialties in the UK. The methods are feasible to conduct and can make reliable distinctions between doctors' performances. With adaptation, they may be appropriate for assessing the workplace performance of other grades and specialties of doctor. This may be helpful in informing foundation assessment.","author":[{"dropping-particle":"","family":"Wilkinson","given":"James R","non-dropping-particle":"","parse-names":false,"suffix":""},{"dropping-particle":"","family":"Crossley","given":"James G M","non-dropping-particle":"","parse-names":false,"suffix":""},{"dropping-particle":"","family":"Wragg","given":"Andrew","non-dropping-particle":"","parse-names":false,"suffix":""},{"dropping-particle":"","family":"Mills","given":"Peter","non-dropping-particle":"","parse-names":false,"suffix":""},{"dropping-particle":"","family":"Cowan","given":"George","non-dropping-particle":"","parse-names":false,"suffix":""},{"dropping-particle":"","family":"Wade","given":"Winnie","non-dropping-particle":"","parse-names":false,"suffix":""}],"container-title":"Medical education","id":"ITEM-1","issue":"4","issued":{"date-parts":[["2008"]]},"page":"364-73","title":"Implementing workplace-based assessment across the medical specialties in the United Kingdom.","type":"article-journal","volume":"42"},"uris":["http://www.mendeley.com/documents/?uuid=75e220b7-eb09-4dac-82c0-ba62d397d97b"]},{"id":"ITEM-2","itemData":{"DOI":"10.1023/A:1009734723651","ISBN":"1382-4996","ISSN":"1382-4996","PMID":"16180056","abstract":"OBJECTIVE: The objective of this study was to analyze whether faculty ratings of residents, using the mini-CEX oral exam format, differed in stringency or were influenced by the clinical setting. It also sought to learn whether the examiners were satisfied with the format. METHOD: A mini-CEX encounter consisted of a single faculty member observing a resident conduct a focused history and physical examination in an inpatient, outpatient, or emergency room setting. After asking the resident for a diagnosis and treatment plan, the faculty member rated the resident and provided educational feedback. The encounters were intended to be short and occur as a routine part of the training, so each resident would be evaluated on many occasions by different faculty. SAMPLE: Sixty-four attending physicians evaluated residents from five internal medicine training programs; data were analyzed for 355 mini-CEX encounters involving 88 residents. RESULTS: There were not large differences among the examiners in their ratings. Moreover, there were not great differences among the ratings in terms of the training program with which the examiner was associated, the setting of the mini-CEX, or the nature of the patient. The examiners were generally satisfied with the format and their level of satisfaction was correlated with the residents' perceptions of the format. CONCLUSION: The mini-CEX adapts itself to a broad range of clinical situations, and these results show that it should produce roughly comparable scores over examiners and settings. This makes it a worthwhile device for evaluation at the local level.","author":[{"dropping-particle":"","family":"Norcini","given":"J J","non-dropping-particle":"","parse-names":false,"suffix":""},{"dropping-particle":"","family":"Blank","given":"L L","non-dropping-particle":"","parse-names":false,"suffix":""},{"dropping-particle":"","family":"Arnold","given":"G K","non-dropping-particle":"","parse-names":false,"suffix":""},{"dropping-particle":"","family":"Kimball","given":"H R","non-dropping-particle":"","parse-names":false,"suffix":""}],"container-title":"Advances in health sciences education : theory and practice","id":"ITEM-2","issue":"1","issued":{"date-parts":[["1997"]]},"page":"27-33","title":"Examiner differences in the mini-CEX.","type":"article-journal","volume":"2"},"uris":["http://www.mendeley.com/documents/?uuid=0fd9fe4b-bcf7-4b10-bb2b-fececae1dfd1"]},{"id":"ITEM-3","itemData":{"DOI":"10.1097/00001888-200308000-00018","ISBN":"1040-2446","ISSN":"1040-2446","PMID":"12915378","abstract":"PURPOSE: To investigate the construct validity of the miniclinical evaluation exercise (miniCEX). METHOD: Forty faculty participants from 16 internal medicine residency programs enrolled in a randomized, controlled trial of faculty development. Using a standard nine-point miniCEX rating form, participants watched and rated performances of standardized residents on nine scripted clinical videotapes depicting three levels of performance (unsatisfactory, marginal/satisfactory, and high satisfactory/superior). The nine-point rating scale was 1-3 = unsatisfactory, 4-6 = marginal/satisfactory, and 7-9 = superior. The performances were rated for three clinical skills, history taking, physical examination, and counseling. RESULTS: For each of the three clinical skills, the faculty participants were able to successfully discriminate among the three levels of performance using the miniCEX scale. Differences among ratings of the three performance levels were statistically significant; however, the range in ratings among the participants for each videotape was wide. CONCLUSION: The authors believe this to be the first study to document the construct validity of the miniCEX. Although the miniCEX appears to have reliability and construct validity, further research is needed to improve individual faculty observation skills and reduce interrater variability.","author":[{"dropping-particle":"","family":"Holmboe","given":"Eric S","non-dropping-particle":"","parse-names":false,"suffix":""},{"dropping-particle":"","family":"Huot","given":"Stephen","non-dropping-particle":"","parse-names":false,"suffix":""},{"dropping-particle":"","family":"Chung","given":"Jeff","non-dropping-particle":"","parse-names":false,"suffix":""},{"dropping-particle":"","family":"Norcini","given":"John","non-dropping-particle":"","parse-names":false,"suffix":""},{"dropping-particle":"","family":"Hawkins","given":"Richard E","non-dropping-particle":"","parse-names":false,"suffix":""}],"container-title":"Academic medicine : journal of the Association of American Medical Colleges","id":"ITEM-3","issue":"8","issued":{"date-parts":[["2003"]]},"page":"826-830","title":"Construct validity of the miniclinical evaluation exercise (miniCEX).","type":"article-journal","volume":"78"},"uris":["http://www.mendeley.com/documents/?uuid=dff6c93b-1b4b-4766-89c3-7246e7a76bf9"]}],"mendeley":{"formattedCitation":"(Norcini &lt;i&gt;et al.&lt;/i&gt;, 1997; Holmboe &lt;i&gt;et al.&lt;/i&gt;, 2003; Wilkinson &lt;i&gt;et al.&lt;/i&gt;, 2008)","plainTextFormattedCitation":"(Norcini et al., 1997; Holmboe et al., 2003; Wilkinson et al., 2008)","previouslyFormattedCitation":"(Wilkinson et al. 2008; J J Norcini et al. 1997; Eric S Holmboe et al. 2003)"},"properties":{"noteIndex":0},"schema":"https://github.com/citation-style-language/schema/raw/master/csl-citation.json"}</w:instrText>
      </w:r>
      <w:r w:rsidRPr="00E02B53">
        <w:rPr>
          <w:rFonts w:ascii="Times New Roman" w:hAnsi="Times New Roman" w:cs="Times New Roman"/>
          <w:sz w:val="24"/>
          <w:szCs w:val="24"/>
        </w:rPr>
        <w:fldChar w:fldCharType="separate"/>
      </w:r>
      <w:r w:rsidR="00BE3B6C" w:rsidRPr="00E02B53">
        <w:rPr>
          <w:rFonts w:ascii="Times New Roman" w:hAnsi="Times New Roman" w:cs="Times New Roman"/>
          <w:noProof/>
          <w:sz w:val="24"/>
          <w:szCs w:val="24"/>
        </w:rPr>
        <w:t>(Norcini et al.1997; Holmboe et al. 2003; Wilkinson et al. 2008)</w:t>
      </w:r>
      <w:r w:rsidRPr="00E02B53">
        <w:rPr>
          <w:rFonts w:ascii="Times New Roman" w:hAnsi="Times New Roman" w:cs="Times New Roman"/>
          <w:sz w:val="24"/>
          <w:szCs w:val="24"/>
        </w:rPr>
        <w:fldChar w:fldCharType="end"/>
      </w:r>
      <w:r w:rsidRPr="00E02B53">
        <w:rPr>
          <w:rFonts w:ascii="Times New Roman" w:hAnsi="Times New Roman" w:cs="Times New Roman"/>
          <w:sz w:val="24"/>
          <w:szCs w:val="24"/>
        </w:rPr>
        <w:t xml:space="preserve">.  Nevertheless, a randomised controlled trial </w:t>
      </w:r>
      <w:r w:rsidRPr="00E02B53">
        <w:rPr>
          <w:rFonts w:ascii="Times New Roman" w:eastAsia="Times New Roman" w:hAnsi="Times New Roman" w:cs="Times New Roman"/>
          <w:sz w:val="24"/>
          <w:szCs w:val="24"/>
          <w:lang w:eastAsia="en-GB"/>
        </w:rPr>
        <w:t>concluded that there was insufficient evidence that ‘calibration training’ reduced the variability in judges’ interpretations of performance, but there is evidence that ‘social-cultural’ interventions such as discussion of the merits of certain examples of performance lead to more shared interpretations of performance</w:t>
      </w:r>
      <w:r w:rsidR="00ED7C9E" w:rsidRPr="00E02B53">
        <w:rPr>
          <w:rFonts w:ascii="Times New Roman" w:eastAsia="Times New Roman" w:hAnsi="Times New Roman" w:cs="Times New Roman"/>
          <w:sz w:val="24"/>
          <w:szCs w:val="24"/>
          <w:lang w:eastAsia="en-GB"/>
        </w:rPr>
        <w:t xml:space="preserve"> </w:t>
      </w:r>
      <w:r w:rsidRPr="00E02B53">
        <w:rPr>
          <w:rFonts w:ascii="Times New Roman" w:eastAsia="Times New Roman" w:hAnsi="Times New Roman" w:cs="Times New Roman"/>
          <w:sz w:val="24"/>
          <w:szCs w:val="24"/>
          <w:lang w:eastAsia="en-GB"/>
        </w:rPr>
        <w:fldChar w:fldCharType="begin" w:fldLock="1"/>
      </w:r>
      <w:r w:rsidR="00BE3B6C" w:rsidRPr="00E02B53">
        <w:rPr>
          <w:rFonts w:ascii="Times New Roman" w:eastAsia="Times New Roman" w:hAnsi="Times New Roman" w:cs="Times New Roman"/>
          <w:sz w:val="24"/>
          <w:szCs w:val="24"/>
          <w:lang w:eastAsia="en-GB"/>
        </w:rPr>
        <w:instrText>ADDIN CSL_CITATION {"citationItems":[{"id":"ITEM-1","itemData":{"DOI":"140/11/874 [pii]","ISBN":"1539-3704 (Electronic)\\n0003-4819 (Linking)","ISSN":"1539-3704","PMID":"15172901","abstract":"BACKGROUND: Faculty observation of residents and students performing clinical skills is essential for reliable and valid evaluation of trainees. OBJECTIVE: To evaluate the efficacy of a new multifaceted method of faculty development called direct observation of competence training. DESIGN: Controlled trial of faculty from 16 internal medicine residency programs using a cluster randomization design. SETTING: Academic medical centers. PARTICIPANTS: 40 internal medicine teaching faculty members: 17 in the intervention group and 23 in the control group. MEASUREMENTS: Changes in faculty comfort performing direct observation, faculty satisfaction with workshop, and changes in faculty rating behaviors 8 months after completing the training. INTERVENTION: The direct observation of competence workshop combines didactic mini-lectures, interactive small group and videotape evaluation exercises, and evaluation skill practice with standardized residents and patients. RESULTS: 37 faculty members (16 in the intervention group and 21 in the control group) completed the study. Most of the faculty in the intervention group (14 [88%]) reported that they felt significantly more comfortable performing direct observation compared with control group faculty (4 [19%]) (P = 0.04), and all intervention faculty rated the training as outstanding. For 9 videotaped clinical encounters, intervention group faculty were more stringent than controls in their evaluations of medical interviewing, physical examination, and counseling; differences in ratings for medical interviewing and physical examination remained statistically significant even after adjustment for baseline rating behavior. LIMITATIONS: The study involved a limited number of residency programs, and faculty did not rate the performance of actual residents. CONCLUSION: Direct observation of competence training, a new multifaceted approach to faculty development, leads to meaningful changes in rating behaviors and in faculty comfort with evaluation of clinical skills.","author":[{"dropping-particle":"","family":"Holmboe","given":"E S","non-dropping-particle":"","parse-names":false,"suffix":""},{"dropping-particle":"","family":"Hawkins","given":"R E","non-dropping-particle":"","parse-names":false,"suffix":""},{"dropping-particle":"","family":"Huot","given":"S J","non-dropping-particle":"","parse-names":false,"suffix":""}],"container-title":"Ann Intern Med","id":"ITEM-1","issue":"11","issued":{"date-parts":[["2004"]]},"page":"874-881","title":"Effects of training in direct observation of medical residents' clinical competence: a randomized trial","type":"article-journal","volume":"140"},"uris":["http://www.mendeley.com/documents/?uuid=da40c305-934e-4ab7-b46c-c1286f1a2470"]}],"mendeley":{"formattedCitation":"(Holmboe, Hawkins and Huot, 2004)","plainTextFormattedCitation":"(Holmboe, Hawkins and Huot, 2004)","previouslyFormattedCitation":"(E S Holmboe, Hawkins, and Huot 2004)"},"properties":{"noteIndex":0},"schema":"https://github.com/citation-style-language/schema/raw/master/csl-citation.json"}</w:instrText>
      </w:r>
      <w:r w:rsidRPr="00E02B53">
        <w:rPr>
          <w:rFonts w:ascii="Times New Roman" w:eastAsia="Times New Roman" w:hAnsi="Times New Roman" w:cs="Times New Roman"/>
          <w:sz w:val="24"/>
          <w:szCs w:val="24"/>
          <w:lang w:eastAsia="en-GB"/>
        </w:rPr>
        <w:fldChar w:fldCharType="separate"/>
      </w:r>
      <w:r w:rsidR="00E02B53">
        <w:rPr>
          <w:rFonts w:ascii="Times New Roman" w:eastAsia="Times New Roman" w:hAnsi="Times New Roman" w:cs="Times New Roman"/>
          <w:noProof/>
          <w:sz w:val="24"/>
          <w:szCs w:val="24"/>
          <w:lang w:eastAsia="en-GB"/>
        </w:rPr>
        <w:t>(Holmboe, Hawkins and Huot</w:t>
      </w:r>
      <w:r w:rsidR="00BE3B6C" w:rsidRPr="00E02B53">
        <w:rPr>
          <w:rFonts w:ascii="Times New Roman" w:eastAsia="Times New Roman" w:hAnsi="Times New Roman" w:cs="Times New Roman"/>
          <w:noProof/>
          <w:sz w:val="24"/>
          <w:szCs w:val="24"/>
          <w:lang w:eastAsia="en-GB"/>
        </w:rPr>
        <w:t xml:space="preserve"> 2004)</w:t>
      </w:r>
      <w:r w:rsidRPr="00E02B53">
        <w:rPr>
          <w:rFonts w:ascii="Times New Roman" w:eastAsia="Times New Roman" w:hAnsi="Times New Roman" w:cs="Times New Roman"/>
          <w:sz w:val="24"/>
          <w:szCs w:val="24"/>
          <w:lang w:eastAsia="en-GB"/>
        </w:rPr>
        <w:fldChar w:fldCharType="end"/>
      </w:r>
      <w:r w:rsidR="006121BA" w:rsidRPr="00E02B53">
        <w:rPr>
          <w:rFonts w:ascii="Times New Roman" w:eastAsia="Times New Roman" w:hAnsi="Times New Roman" w:cs="Times New Roman"/>
          <w:sz w:val="24"/>
          <w:szCs w:val="24"/>
          <w:lang w:eastAsia="en-GB"/>
        </w:rPr>
        <w:t>.</w:t>
      </w:r>
    </w:p>
    <w:p w14:paraId="12F12E5E" w14:textId="6BB0B771" w:rsidR="00863DF5" w:rsidRPr="006F3B00" w:rsidRDefault="00CC58FD" w:rsidP="00863DF5">
      <w:pPr>
        <w:pStyle w:val="Heading3"/>
        <w:rPr>
          <w:rFonts w:ascii="Times New Roman" w:eastAsia="Times New Roman" w:hAnsi="Times New Roman" w:cs="Times New Roman"/>
          <w:color w:val="auto"/>
          <w:sz w:val="24"/>
          <w:szCs w:val="24"/>
          <w:lang w:eastAsia="en-GB"/>
        </w:rPr>
      </w:pPr>
      <w:bookmarkStart w:id="50" w:name="_Toc23243779"/>
      <w:r>
        <w:rPr>
          <w:rFonts w:ascii="Times New Roman" w:eastAsia="Times New Roman" w:hAnsi="Times New Roman" w:cs="Times New Roman"/>
          <w:color w:val="auto"/>
          <w:sz w:val="24"/>
          <w:szCs w:val="24"/>
          <w:lang w:eastAsia="en-GB"/>
        </w:rPr>
        <w:t>1.3</w:t>
      </w:r>
      <w:r w:rsidR="009114C0">
        <w:rPr>
          <w:rFonts w:ascii="Times New Roman" w:eastAsia="Times New Roman" w:hAnsi="Times New Roman" w:cs="Times New Roman"/>
          <w:color w:val="auto"/>
          <w:sz w:val="24"/>
          <w:szCs w:val="24"/>
          <w:lang w:eastAsia="en-GB"/>
        </w:rPr>
        <w:t>.1</w:t>
      </w:r>
      <w:r w:rsidR="00863DF5" w:rsidRPr="006F3B00">
        <w:rPr>
          <w:rFonts w:ascii="Times New Roman" w:eastAsia="Times New Roman" w:hAnsi="Times New Roman" w:cs="Times New Roman"/>
          <w:color w:val="auto"/>
          <w:sz w:val="24"/>
          <w:szCs w:val="24"/>
          <w:lang w:eastAsia="en-GB"/>
        </w:rPr>
        <w:t>.8 Changes to WBAs</w:t>
      </w:r>
      <w:bookmarkEnd w:id="50"/>
    </w:p>
    <w:p w14:paraId="498C8A90" w14:textId="77777777" w:rsidR="00863DF5" w:rsidRPr="006F3B00" w:rsidRDefault="00863DF5" w:rsidP="00863DF5">
      <w:pPr>
        <w:rPr>
          <w:rFonts w:ascii="Times New Roman" w:hAnsi="Times New Roman" w:cs="Times New Roman"/>
          <w:sz w:val="24"/>
          <w:szCs w:val="24"/>
          <w:lang w:eastAsia="en-GB"/>
        </w:rPr>
      </w:pPr>
    </w:p>
    <w:p w14:paraId="2FAC9BEB" w14:textId="06D57A18"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possible solution to increase enthusiasm has included introducing WBAs into undergraduate education to </w:t>
      </w:r>
      <w:r w:rsidR="00ED7C9E" w:rsidRPr="006F3B00">
        <w:rPr>
          <w:rFonts w:ascii="Times New Roman" w:hAnsi="Times New Roman" w:cs="Times New Roman"/>
          <w:sz w:val="24"/>
          <w:szCs w:val="24"/>
        </w:rPr>
        <w:t>instill</w:t>
      </w:r>
      <w:r w:rsidRPr="006F3B00">
        <w:rPr>
          <w:rFonts w:ascii="Times New Roman" w:hAnsi="Times New Roman" w:cs="Times New Roman"/>
          <w:sz w:val="24"/>
          <w:szCs w:val="24"/>
        </w:rPr>
        <w:t xml:space="preserve"> their educational benefit and to foster a positive perception that may continue into post-graduate training. </w:t>
      </w:r>
      <w:r w:rsidRPr="006F3B00">
        <w:rPr>
          <w:rFonts w:ascii="Times New Roman" w:eastAsia="Times New Roman" w:hAnsi="Times New Roman" w:cs="Times New Roman"/>
          <w:sz w:val="24"/>
          <w:szCs w:val="24"/>
          <w:lang w:eastAsia="en-GB"/>
        </w:rPr>
        <w:t>However, the percep</w:t>
      </w:r>
      <w:r w:rsidR="00FE410F">
        <w:rPr>
          <w:rFonts w:ascii="Times New Roman" w:eastAsia="Times New Roman" w:hAnsi="Times New Roman" w:cs="Times New Roman"/>
          <w:sz w:val="24"/>
          <w:szCs w:val="24"/>
          <w:lang w:eastAsia="en-GB"/>
        </w:rPr>
        <w:t>tion of WBAs in medical trainees</w:t>
      </w:r>
      <w:r w:rsidRPr="006F3B00">
        <w:rPr>
          <w:rFonts w:ascii="Times New Roman" w:eastAsia="Times New Roman" w:hAnsi="Times New Roman" w:cs="Times New Roman"/>
          <w:sz w:val="24"/>
          <w:szCs w:val="24"/>
          <w:lang w:eastAsia="en-GB"/>
        </w:rPr>
        <w:t xml:space="preserve"> is also reported to be negative, suggesting that </w:t>
      </w:r>
      <w:r w:rsidR="00FE410F">
        <w:rPr>
          <w:rFonts w:ascii="Times New Roman" w:eastAsia="Times New Roman" w:hAnsi="Times New Roman" w:cs="Times New Roman"/>
          <w:sz w:val="24"/>
          <w:szCs w:val="24"/>
          <w:lang w:eastAsia="en-GB"/>
        </w:rPr>
        <w:t>even before graduation, trainees</w:t>
      </w:r>
      <w:r w:rsidRPr="006F3B00">
        <w:rPr>
          <w:rFonts w:ascii="Times New Roman" w:eastAsia="Times New Roman" w:hAnsi="Times New Roman" w:cs="Times New Roman"/>
          <w:sz w:val="24"/>
          <w:szCs w:val="24"/>
          <w:lang w:eastAsia="en-GB"/>
        </w:rPr>
        <w:t xml:space="preserve"> are sceptical about the value of WBAs</w:t>
      </w:r>
      <w:r w:rsidR="00ED7C9E">
        <w:rPr>
          <w:rFonts w:ascii="Times New Roman" w:eastAsia="Times New Roman" w:hAnsi="Times New Roman" w:cs="Times New Roman"/>
          <w:sz w:val="24"/>
          <w:szCs w:val="24"/>
          <w:lang w:eastAsia="en-GB"/>
        </w:rPr>
        <w:t xml:space="preserve"> </w:t>
      </w:r>
      <w:r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{"citationItems":[{"id":"ITEM-1","itemData":{"DOI":"10.1111/tct.12588","ISSN":"1743498X","PMID":"27981755","abstract":"© 2016 John Wiley  &amp;  Sons Ltd and The Association for the Study of Medical Education Background: Workplace-based assessments (WBAs) have become integrated into postgraduate medical training, although there is much negativity from trainees. The objective of this study was to examine medical student understanding and perceptions towards WBAs. Methods: A questionnaire was administered to final-year medical students at a single institution, examining experience, understanding and perceptions towards WBAs. Rating-scale responses were analysed by calculating positivity estimate values, and categorising data for subgroup comparison. Negativity was the most prevalent overall position of students towards participating in WBAs. Results: One hundred and fifteen of 162 (71%) students completed the questionnaire. Almost half the students had experience of WBAs and the majority (90%) reported benefiting from them; however, those with experience did not report more positive perceptions towards WBAs. In contrast, those students who seemed to demonstrate a good understanding of WBAs reported strongly positive perceptions. Interestingly, understanding and experience were not correlated. Negativity was the most prevalent overall position of students towards participating in WBAs as future trainees, with similar concerns reported by trainees, such as availability of time, trainer engagement and a feeling that they are simply ‘tick-box’ exercises. Discussion: Medical students appear to possess negative perceptions towards WBAs. Although having experience of undertaking WBAs had little impact on their position, possessing an understanding of WBAs seemed to influence perceptions. This suggests that the manner in which medical students are exposed to WBAs should be carefully considered to ensure that it fosters the development of enthusiasm and positivity that can be carried by the students into their professional careers.","author":[{"dropping-particle":"","family":"Ali","given":"Jason","non-dropping-particle":"","parse-names":false,"suffix":""},{"dropping-particle":"","family":"Goh","given":"Aaron","non-dropping-particle":"","parse-names":false,"suffix":""}],"container-title":"Clinical Teacher","id":"ITEM-1","issue":"5","issued":{"date-parts":[["2017"]]},"page":"319-324","title":"Student perceptions of workplace-based assessment","type":"article-journal","volume":"14"},"uris":["http://www.mendeley.com/documents/?uuid=4b62d512-be03-4e80-b2cc-74ca0e3b0a37"]}],"mendeley":{"formattedCitation":"(Ali and Goh, 2017)","plainTextFormattedCitation":"(Ali and Goh, 2017)","previouslyFormattedCitation":"(Ali and Goh 2017)"},"properties":{"noteIndex":0},"schema":"https://github.com/citation-style-language/schema/raw/master/csl-citation.json"}</w:instrText>
      </w:r>
      <w:r w:rsidRPr="006F3B00">
        <w:rPr>
          <w:rFonts w:ascii="Times New Roman" w:eastAsia="Times New Roman" w:hAnsi="Times New Roman" w:cs="Times New Roman"/>
          <w:sz w:val="24"/>
          <w:szCs w:val="24"/>
          <w:lang w:eastAsia="en-GB"/>
        </w:rPr>
        <w:fldChar w:fldCharType="separate"/>
      </w:r>
      <w:r w:rsidR="00E02B53">
        <w:rPr>
          <w:rFonts w:ascii="Times New Roman" w:eastAsia="Times New Roman" w:hAnsi="Times New Roman" w:cs="Times New Roman"/>
          <w:noProof/>
          <w:sz w:val="24"/>
          <w:szCs w:val="24"/>
          <w:lang w:eastAsia="en-GB"/>
        </w:rPr>
        <w:t>(Ali and Goh</w:t>
      </w:r>
      <w:r w:rsidR="00BE3B6C" w:rsidRPr="00BE3B6C">
        <w:rPr>
          <w:rFonts w:ascii="Times New Roman" w:eastAsia="Times New Roman" w:hAnsi="Times New Roman" w:cs="Times New Roman"/>
          <w:noProof/>
          <w:sz w:val="24"/>
          <w:szCs w:val="24"/>
          <w:lang w:eastAsia="en-GB"/>
        </w:rPr>
        <w:t xml:space="preserve"> 2017)</w:t>
      </w:r>
      <w:r w:rsidRPr="006F3B00">
        <w:rPr>
          <w:rFonts w:ascii="Times New Roman" w:eastAsia="Times New Roman" w:hAnsi="Times New Roman" w:cs="Times New Roman"/>
          <w:sz w:val="24"/>
          <w:szCs w:val="24"/>
          <w:lang w:eastAsia="en-GB"/>
        </w:rPr>
        <w:fldChar w:fldCharType="end"/>
      </w:r>
      <w:r w:rsidRPr="006F3B00">
        <w:rPr>
          <w:rFonts w:ascii="Times New Roman" w:eastAsia="Times New Roman" w:hAnsi="Times New Roman" w:cs="Times New Roman"/>
          <w:sz w:val="24"/>
          <w:szCs w:val="24"/>
          <w:lang w:eastAsia="en-GB"/>
        </w:rPr>
        <w:t>.</w:t>
      </w:r>
      <w:r w:rsidRPr="006F3B00">
        <w:rPr>
          <w:rFonts w:ascii="Times New Roman" w:hAnsi="Times New Roman" w:cs="Times New Roman"/>
          <w:sz w:val="24"/>
          <w:szCs w:val="24"/>
        </w:rPr>
        <w:t xml:space="preserve"> Furthermore, WBAs have been rebranded in some medical fields as “assessment of performance” (AOPs) and “supervised learning events” (SLEs) to try and overcome the conflict between their summative and formative functions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{"citationItems":[{"id":"ITEM-1","itemData":{"DOI":"10.1136/bmj.e4986","ISSN":"0959-8138","abstract":"Bill Burr and colleagues outline their 12 month pilot of a new system for workplace based assessments, starting this month","author":[{"dropping-particle":"","family":"Burr","given":"Bill","non-dropping-particle":"","parse-names":false,"suffix":""},{"dropping-particle":"","family":"Wade","given":"Winnie","non-dropping-particle":"","parse-names":false,"suffix":""},{"dropping-particle":"","family":"Watts","given":"Hannah","non-dropping-particle":"","parse-names":false,"suffix":""}],"container-title":"BMJ","id":"ITEM-1","issued":{"date-parts":[["2018"]]},"page":"e4986","title":"Improving workplace based assessments","type":"article-journal"},"uris":["http://www.mendeley.com/documents/?uuid=e1998a4b-51d1-4b40-9bba-55feff10291a"]}],"mendeley":{"formattedCitation":"(Burr, Wade and Watts, 2018)","plainTextFormattedCitation":"(Burr, Wade and Watts, 2018)","previouslyFormattedCitation":"(Burr, Wade, and Watts 2018)"},"properties":{"noteIndex":0},"schema":"https://github.com/citation-style-language/schema/raw/master/csl-citation.json"}</w:instrText>
      </w:r>
      <w:r w:rsidRPr="006F3B00">
        <w:rPr>
          <w:rFonts w:ascii="Times New Roman" w:hAnsi="Times New Roman" w:cs="Times New Roman"/>
          <w:sz w:val="24"/>
          <w:szCs w:val="24"/>
        </w:rPr>
        <w:fldChar w:fldCharType="separate"/>
      </w:r>
      <w:r w:rsidR="00E02B53">
        <w:rPr>
          <w:rFonts w:ascii="Times New Roman" w:hAnsi="Times New Roman" w:cs="Times New Roman"/>
          <w:noProof/>
          <w:sz w:val="24"/>
          <w:szCs w:val="24"/>
        </w:rPr>
        <w:t>(Burr, Wade and Watts</w:t>
      </w:r>
      <w:r w:rsidR="00BE3B6C" w:rsidRPr="00BE3B6C">
        <w:rPr>
          <w:rFonts w:ascii="Times New Roman" w:hAnsi="Times New Roman" w:cs="Times New Roman"/>
          <w:noProof/>
          <w:sz w:val="24"/>
          <w:szCs w:val="24"/>
        </w:rPr>
        <w:t xml:space="preserve"> 2018)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For SLEs, there are text boxes for written feedback and all the tick-boxing elements removed to encourage formative assessment and feedback. AOPs are intended to be summative and measure competence in trainees and as such may still be used as evidence at the ARCP unlike SLEs. The long-term impact of SLEs requires research but recent publications suggest there may be hesitation in embracing them as educational tools</w:t>
      </w:r>
      <w:r w:rsidR="00ED7C9E">
        <w:rPr>
          <w:rFonts w:ascii="Times New Roman" w:hAnsi="Times New Roman" w:cs="Times New Roman"/>
          <w:sz w:val="24"/>
          <w:szCs w:val="24"/>
        </w:rPr>
        <w:t xml:space="preserve"> </w:t>
      </w:r>
      <w:r w:rsidRPr="00E02B53">
        <w:rPr>
          <w:rFonts w:ascii="Times New Roman" w:hAnsi="Times New Roman" w:cs="Times New Roman"/>
          <w:sz w:val="24"/>
          <w:szCs w:val="24"/>
        </w:rPr>
        <w:fldChar w:fldCharType="begin" w:fldLock="1"/>
      </w:r>
      <w:r w:rsidR="00BE3B6C" w:rsidRPr="00E02B53">
        <w:rPr>
          <w:rFonts w:ascii="Times New Roman" w:hAnsi="Times New Roman" w:cs="Times New Roman"/>
          <w:sz w:val="24"/>
          <w:szCs w:val="24"/>
        </w:rPr>
        <w:instrText>ADDIN CSL_CITATION {"citationItems":[{"id":"ITEM-1","itemData":{"DOI":"10.1136/bmjopen-2014-005980","ISSN":"2044-6055","PMID":"25324323","abstract":"OBJECTIVES: To explore Foundation trainees' and trainers' understandings and experiences of supervised learning events (SLEs), compared with workplace-based assessments (WPBAs), and their suggestions for developing SLEs.\\n\\nDESIGN: A narrative interview study based on 55 individual and 19 group interviews.\\n\\nSETTING: UK-wide study across three sites in England, Scotland and Wales.\\n\\nPARTICIPANTS: Using maximum-variation sampling, 70 Foundation trainees and 40 trainers were recruited, shared their understandings and experiences of SLEs/WPBAs and made recommendations for future practice.\\n\\nMETHODS: Data were analysed using thematic and discourse analysis and narrative analysis of one exemplar personal incident narrative.\\n\\nRESULTS: While participants volunteered understandings of SLEs as learning and assessment, they typically volunteered understandings of WPBAs as assessment. Trainers seemed more likely to describe SLEs as assessment and a 'safety net' to protect patients than trainees. We identified 333 personal incident narratives in our data (221 SLEs; 72 WPBAs). There was perceived variability in the conduct of SLEs/WPBAs in terms of their initiation, tools used, feedback and finalisation. Numerous factors at individual, interpersonal, cultural and technological levels were thought to facilitate/hinder learning. SLE narratives were more likely to be evaluated positively than WPBA narratives overall and by trainees specifically. Participants made sense of their experiences, emotions, identities and relationships through their narratives. They provided numerous suggestions for improving SLEs at individual, interpersonal, cultural and technological levels.\\n\\nCONCLUSIONS: Our findings provide tentative support for the shift to formative learning with the introduction of SLEs, albeit raising concerns around trainees' and trainers' understandings about SLEs. We identify five key educational recommendations from our study. Additional research is now needed to explore further the complexities around SLEs within workplace learning.","author":[{"dropping-particle":"","family":"Rees","given":"Charlotte E","non-dropping-particle":"","parse-names":false,"suffix":""},{"dropping-particle":"","family":"Cleland","given":"Jennifer A","non-dropping-particle":"","parse-names":false,"suffix":""},{"dropping-particle":"","family":"Dennis","given":"Ashley","non-dropping-particle":"","parse-names":false,"suffix":""},{"dropping-particle":"","family":"Kelly","given":"Narcie","non-dropping-particle":"","parse-names":false,"suffix":""},{"dropping-particle":"","family":"Mattick","given":"Karen","non-dropping-particle":"","parse-names":false,"suffix":""},{"dropping-particle":"V","family":"Monrouxe","given":"Lynn","non-dropping-particle":"","parse-names":false,"suffix":""}],"container-title":"BMJ open","id":"ITEM-1","issue":"10","issued":{"date-parts":[["2014"]]},"page":"e005980","title":"Supervised learning events in the foundation programme: a UK-wide narrative interview study.","type":"article-journal","volume":"4"},"uris":["http://www.mendeley.com/documents/?uuid=90be2d53-de15-40b6-9df2-5c86d7d66a57"]}],"mendeley":{"formattedCitation":"(Rees &lt;i&gt;et al.&lt;/i&gt;, 2014)","plainTextFormattedCitation":"(Rees et al., 2014)","previouslyFormattedCitation":"(C. E. Rees et al. 2014)"},"properties":{"noteIndex":0},"schema":"https://github.com/citation-style-language/schema/raw/master/csl-citation.json"}</w:instrText>
      </w:r>
      <w:r w:rsidRPr="00E02B53">
        <w:rPr>
          <w:rFonts w:ascii="Times New Roman" w:hAnsi="Times New Roman" w:cs="Times New Roman"/>
          <w:sz w:val="24"/>
          <w:szCs w:val="24"/>
        </w:rPr>
        <w:fldChar w:fldCharType="separate"/>
      </w:r>
      <w:r w:rsidR="00BE3B6C" w:rsidRPr="00E02B53">
        <w:rPr>
          <w:rFonts w:ascii="Times New Roman" w:hAnsi="Times New Roman" w:cs="Times New Roman"/>
          <w:noProof/>
          <w:sz w:val="24"/>
          <w:szCs w:val="24"/>
        </w:rPr>
        <w:t>(Rees et al. 2014)</w:t>
      </w:r>
      <w:r w:rsidRPr="00E02B53">
        <w:rPr>
          <w:rFonts w:ascii="Times New Roman" w:hAnsi="Times New Roman" w:cs="Times New Roman"/>
          <w:sz w:val="24"/>
          <w:szCs w:val="24"/>
        </w:rPr>
        <w:fldChar w:fldCharType="end"/>
      </w:r>
      <w:r w:rsidRPr="00E02B53">
        <w:rPr>
          <w:rFonts w:ascii="Times New Roman" w:hAnsi="Times New Roman" w:cs="Times New Roman"/>
          <w:sz w:val="24"/>
          <w:szCs w:val="24"/>
        </w:rPr>
        <w:t>.</w:t>
      </w:r>
      <w:r w:rsidRPr="006F3B00">
        <w:rPr>
          <w:rFonts w:ascii="Times New Roman" w:hAnsi="Times New Roman" w:cs="Times New Roman"/>
          <w:sz w:val="24"/>
          <w:szCs w:val="24"/>
        </w:rPr>
        <w:t xml:space="preserve"> </w:t>
      </w:r>
    </w:p>
    <w:p w14:paraId="0BE6458A" w14:textId="203A887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Financial incentives and providing dedicated time for trainers to complete WBAs have also been suggested as possible ways to improve the feasibility of WBA</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{"citationItems":[{"id":"ITEM-1","itemData":{"DOI":"10.3109/0142159X.2010.507710","ISBN":"1466-187X (Electronic)\\r0142-159X (Linking)","ISSN":"0142-159X","PMID":"20874011","abstract":"Direct observation of medical trainees by their supervisors with actual patients is essential for trainees to develop clinical skills competence. Despite the many available tools for direct observation of trainees by supervisors, it is unclear how educators should identify an appropriate tool for a particular clinical setting and implement the tool to maximize educational benefits for trainees in a manner that is feasible for faculty.","author":[{"dropping-particle":"","family":"Hauer","given":"Karen E","non-dropping-particle":"","parse-names":false,"suffix":""},{"dropping-particle":"","family":"Holmboe","given":"Eric S","non-dropping-particle":"","parse-names":false,"suffix":""},{"dropping-particle":"","family":"Kogan","given":"Jennifer R","non-dropping-particle":"","parse-names":false,"suffix":""}],"container-title":"Medical teacher","id":"ITEM-1","issue":"1","issued":{"date-parts":[["2011"]]},"page":"27-33","title":"Twelve tips for implementing tools for direct observation of medical trainees' clinical skills during patient encounters.","type":"article-journal","volume":"33"},"uris":["http://www.mendeley.com/documents/?uuid=1e5d3a71-69ab-489e-9b02-432f350e226c"]},{"id":"ITEM-2","itemData":{"DOI":"10.1007/s10459-015-9614-0","ISSN":"1382-4996","PMID":"26003590","abstract":"Workplace based assessments (WBAs) are now commonplace in postgraduate medical training. User acceptability and engagement is essential to the success of any medical education innovation. To this end, possessing an insight into trainee and trainer perceptions towards WBAs will help identify the major problems, permitting strategies to be introduced to improve WBA implementation. A review of literature was performed to identify studies examining trainee and trainer perceptions towards WBAs. Studies were excluded if non-English or sampling a non-medical/dental population. The identified literature was synthesised for the purpose of this critical narrative review. It is clear that there is widespread negativity towards WBAs in the workplace. This has negatively impacted on the effectiveness of WBA tools as learning aids. This negativity exists in trainees but also to an extent in their trainers. Insight gained from the literature reveals three dominant problems with WBA implementation: poor understanding as to the purpose of WBAs; insufficient time available for undertaking these assessments; and inadequate training of trainers. Approaches to addressing these three problems with WBA implementation are discussed. It is likely that a variety of solutions will be required. The prevalence of negativity towards WBAs is substantial in both trainees and trainers, eroding the effectiveness of learning that is consequent upon them. The educational community must now listen to the concerns being raised by the users and consider the range of strategies being proposed to improve the experiences of trainees, and their trainers.","author":[{"dropping-particle":"","family":"Massie","given":"Jonathan","non-dropping-particle":"","parse-names":false,"suffix":""},{"dropping-particle":"","family":"Ali","given":"Jason M.","non-dropping-particle":"","parse-names":false,"suffix":""}],"container-title":"Advances in Health Sciences Education","id":"ITEM-2","issued":{"date-parts":[["2015"]]},"page":"EarlyOnline","title":"Workplace-based assessment: a review of user perceptions and strategies to address the identified shortcomings","type":"article-journal"},"uris":["http://www.mendeley.com/documents/?uuid=cbc01e63-6cf3-4edd-90ef-228459242c69"]}],"mendeley":{"formattedCitation":"(Hauer, Holmboe and Kogan, 2011; Massie and Ali, 2015)","plainTextFormattedCitation":"(Hauer, Holmboe and Kogan, 2011; Massie and Ali, 2015)","previouslyFormattedCitation":"(Hauer, Holmboe, and Kogan 2011; Massie and Ali 2015)"},"properties":{"noteIndex":0},"schema":"https://github.com/citation-style-language/schema/raw/master/csl-citation.json"}</w:instrText>
      </w:r>
      <w:r w:rsidRPr="006F3B00">
        <w:rPr>
          <w:rFonts w:ascii="Times New Roman" w:hAnsi="Times New Roman" w:cs="Times New Roman"/>
          <w:sz w:val="24"/>
          <w:szCs w:val="24"/>
        </w:rPr>
        <w:fldChar w:fldCharType="separate"/>
      </w:r>
      <w:r w:rsidR="00E02B53">
        <w:rPr>
          <w:rFonts w:ascii="Times New Roman" w:hAnsi="Times New Roman" w:cs="Times New Roman"/>
          <w:noProof/>
          <w:sz w:val="24"/>
          <w:szCs w:val="24"/>
        </w:rPr>
        <w:t>(Hauer, Holmboe and Kogan 2011; Massie and Ali</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However, if life-long learning, </w:t>
      </w:r>
      <w:r w:rsidRPr="006F3B00">
        <w:rPr>
          <w:rFonts w:ascii="Times New Roman" w:hAnsi="Times New Roman" w:cs="Times New Roman"/>
          <w:sz w:val="24"/>
          <w:szCs w:val="24"/>
        </w:rPr>
        <w:lastRenderedPageBreak/>
        <w:t>collaboration and self-regulation are going to flourish in medical and dental education, it may be argued that trainers must embrace a culture which supports trainees in achieving these objectives. Financial incentives may give short-lived gratification to trainers and not translate into improved educational benefits to trainees.</w:t>
      </w:r>
    </w:p>
    <w:p w14:paraId="1C067755" w14:textId="30E5665D" w:rsidR="00863DF5" w:rsidRPr="006F3B00" w:rsidRDefault="00B51DBC" w:rsidP="00863DF5">
      <w:pPr>
        <w:pStyle w:val="Heading3"/>
        <w:rPr>
          <w:rFonts w:ascii="Times New Roman" w:eastAsia="Times New Roman" w:hAnsi="Times New Roman" w:cs="Times New Roman"/>
          <w:color w:val="auto"/>
          <w:sz w:val="24"/>
          <w:szCs w:val="24"/>
          <w:lang w:eastAsia="en-GB"/>
        </w:rPr>
      </w:pPr>
      <w:bookmarkStart w:id="51" w:name="_Toc23243780"/>
      <w:r>
        <w:rPr>
          <w:rFonts w:ascii="Times New Roman" w:eastAsia="Times New Roman" w:hAnsi="Times New Roman" w:cs="Times New Roman"/>
          <w:color w:val="auto"/>
          <w:sz w:val="24"/>
          <w:szCs w:val="24"/>
          <w:lang w:eastAsia="en-GB"/>
        </w:rPr>
        <w:t>1.3</w:t>
      </w:r>
      <w:r w:rsidR="009114C0">
        <w:rPr>
          <w:rFonts w:ascii="Times New Roman" w:eastAsia="Times New Roman" w:hAnsi="Times New Roman" w:cs="Times New Roman"/>
          <w:color w:val="auto"/>
          <w:sz w:val="24"/>
          <w:szCs w:val="24"/>
          <w:lang w:eastAsia="en-GB"/>
        </w:rPr>
        <w:t>.1</w:t>
      </w:r>
      <w:r w:rsidR="00863DF5" w:rsidRPr="006F3B00">
        <w:rPr>
          <w:rFonts w:ascii="Times New Roman" w:eastAsia="Times New Roman" w:hAnsi="Times New Roman" w:cs="Times New Roman"/>
          <w:color w:val="auto"/>
          <w:sz w:val="24"/>
          <w:szCs w:val="24"/>
          <w:lang w:eastAsia="en-GB"/>
        </w:rPr>
        <w:t>.9 Conclusion</w:t>
      </w:r>
      <w:bookmarkEnd w:id="51"/>
    </w:p>
    <w:p w14:paraId="3F1CB432" w14:textId="77777777" w:rsidR="00863DF5" w:rsidRPr="006F3B00" w:rsidRDefault="00863DF5" w:rsidP="00863DF5">
      <w:pPr>
        <w:rPr>
          <w:rFonts w:ascii="Times New Roman" w:hAnsi="Times New Roman" w:cs="Times New Roman"/>
          <w:sz w:val="24"/>
          <w:szCs w:val="24"/>
          <w:lang w:eastAsia="en-GB"/>
        </w:rPr>
      </w:pPr>
    </w:p>
    <w:p w14:paraId="0233156D" w14:textId="51837DA1" w:rsidR="00863DF5" w:rsidRPr="00E02B53" w:rsidRDefault="00863DF5" w:rsidP="006121BA">
      <w:pPr>
        <w:autoSpaceDE w:val="0"/>
        <w:autoSpaceDN w:val="0"/>
        <w:adjustRightInd w:val="0"/>
        <w:spacing w:after="0" w:line="480" w:lineRule="auto"/>
        <w:rPr>
          <w:rFonts w:ascii="Times New Roman" w:hAnsi="Times New Roman" w:cs="Times New Roman"/>
          <w:color w:val="000000"/>
          <w:sz w:val="24"/>
          <w:szCs w:val="24"/>
        </w:rPr>
      </w:pPr>
      <w:r w:rsidRPr="006F3B00">
        <w:rPr>
          <w:rFonts w:ascii="Times New Roman" w:hAnsi="Times New Roman" w:cs="Times New Roman"/>
          <w:color w:val="000000"/>
          <w:sz w:val="24"/>
          <w:szCs w:val="24"/>
        </w:rPr>
        <w:t xml:space="preserve">The current drive for outcome-based medical educational can lean too heavily on the ability to produce reliable and measurable outcomes. There is a danger that the </w:t>
      </w:r>
      <w:r w:rsidRPr="00E02B53">
        <w:rPr>
          <w:rFonts w:ascii="Times New Roman" w:hAnsi="Times New Roman" w:cs="Times New Roman"/>
          <w:color w:val="000000"/>
          <w:sz w:val="24"/>
          <w:szCs w:val="24"/>
        </w:rPr>
        <w:t>complexities of clinical practice are not adequately captured by WBAs as the individual elements which form sound clinical performance are not best viewed in a piecemeal fashion</w:t>
      </w:r>
      <w:r w:rsidR="00E02B53">
        <w:rPr>
          <w:rFonts w:ascii="Times New Roman" w:hAnsi="Times New Roman" w:cs="Times New Roman"/>
          <w:color w:val="000000"/>
          <w:sz w:val="24"/>
          <w:szCs w:val="24"/>
        </w:rPr>
        <w:t xml:space="preserve"> </w:t>
      </w:r>
      <w:r w:rsidRPr="00E02B53">
        <w:rPr>
          <w:rFonts w:ascii="Times New Roman" w:hAnsi="Times New Roman" w:cs="Times New Roman"/>
          <w:color w:val="000000"/>
          <w:sz w:val="24"/>
          <w:szCs w:val="24"/>
        </w:rPr>
        <w:fldChar w:fldCharType="begin" w:fldLock="1"/>
      </w:r>
      <w:r w:rsidR="00BE3B6C" w:rsidRPr="00E02B53">
        <w:rPr>
          <w:rFonts w:ascii="Times New Roman" w:hAnsi="Times New Roman" w:cs="Times New Roman"/>
          <w:color w:val="000000"/>
          <w:sz w:val="24"/>
          <w:szCs w:val="24"/>
        </w:rPr>
        <w:instrText>ADDIN CSL_CITATION {"citationItems":[{"id":"ITEM-1","itemData":{"DOI":"10.3109/0142159X.2010.501190","ISBN":"1466-187X (Electronic)\\r0142-159X (Linking)","ISSN":"0142-159X","PMID":"20662574","abstract":"Although competency-based medical education (CBME) has attracted renewed interest in recent years among educators and policy-makers in the health care professions, there is little agreement on many aspects of this paradigm. We convened a unique partnership - the International CBME Collaborators - to examine conceptual issues and current debates in CBME. We engaged in a multi-stage group process and held a consensus conference with the aim of reviewing the scholarly literature of competency-based medical education, identifying controversies in need of clarification, proposing definitions and concepts that could be useful to educators across many jurisdictions, and exploring future directions for this approach to preparing health professionals. In this paper, we describe the evolution of CBME from the outcomes movement in the 20th century to a renewed approach that, focused on accountability and curricular outcomes and organized around competencies, promotes greater learner-centredness and de-emphasizes time-based curricular design. In this paradigm, competence and related terms are redefined to emphasize their multi-dimensional, dynamic, developmental, and contextual nature. CBME therefore has significant implications for the planning of medical curricula and will have an important impact in reshaping the enterprise of medical education. We elaborate on this emerging CBME approach and its related concepts, and invite medical educators everywhere to enter into further dialogue about the promise and the potential perils of competency-based medical curricula for the 21st century.","author":[{"dropping-particle":"","family":"Frank","given":"JR","non-dropping-particle":"","parse-names":false,"suffix":""},{"dropping-particle":"","family":"Snell","given":"LS","non-dropping-particle":"","parse-names":false,"suffix":""},{"dropping-particle":"","family":"Cate","given":"OT","non-dropping-particle":"","parse-names":false,"suffix":""},{"dropping-particle":"","family":"Holmboe","given":"ES","non-dropping-particle":"","parse-names":false,"suffix":""},{"dropping-particle":"","family":"Carraccio","given":"C","non-dropping-particle":"","parse-names":false,"suffix":""},{"dropping-particle":"","family":"Swing","given":"SR","non-dropping-particle":"","parse-names":false,"suffix":""},{"dropping-particle":"","family":"Harris","given":"P","non-dropping-particle":"","parse-names":false,"suffix":""},{"dropping-particle":"","family":"Glasgow","given":"NJ","non-dropping-particle":"","parse-names":false,"suffix":""},{"dropping-particle":"","family":"Campbell","given":"C","non-dropping-particle":"","parse-names":false,"suffix":""},{"dropping-particle":"","family":"Dath","given":"D","non-dropping-particle":"","parse-names":false,"suffix":""},{"dropping-particle":"","family":"Harden","given":"RM","non-dropping-particle":"","parse-names":false,"suffix":""},{"dropping-particle":"","family":"Iobst","given":"W","non-dropping-particle":"","parse-names":false,"suffix":""},{"dropping-particle":"","family":"Long","given":"DM","non-dropping-particle":"","parse-names":false,"suffix":""},{"dropping-particle":"","family":"Mungroo","given":"R","non-dropping-particle":"","parse-names":false,"suffix":""},{"dropping-particle":"","family":"Richardson","given":"DL","non-dropping-particle":"","parse-names":false,"suffix":""},{"dropping-particle":"","family":"Sherbino","given":"J","non-dropping-particle":"","parse-names":false,"suffix":""},{"dropping-particle":"","family":"Silver","given":"I","non-dropping-particle":"","parse-names":false,"suffix":""},{"dropping-particle":"","family":"Taber","given":"S","non-dropping-particle":"","parse-names":false,"suffix":""},{"dropping-particle":"","family":"Talbot","given":"M","non-dropping-particle":"","parse-names":false,"suffix":""},{"dropping-particle":"","family":"Harris","given":"KA","non-dropping-particle":"","parse-names":false,"suffix":""}],"container-title":"Medical teacher","id":"ITEM-1","issue":"8","issued":{"date-parts":[["2010"]]},"page":"638-45","title":"Competency-based medical education: theory to practice","type":"article-journal","volume":"32"},"uris":["http://www.mendeley.com/documents/?uuid=e038a1e5-7dc8-4ebc-9691-bee9535c79de"]},{"id":"ITEM-2","itemData":{"DOI":"10.1111/medu.12355","ISBN":"0308-0110","ISSN":"03080110","PMID":"24528467","abstract":"This article presents origins, perspectives and potentialities of the competency based medical education. The discussion addressed its roots, significance and limitations, and extended to considerations of canonical knowledge and skill versus context-dependent ability, and legitimate peripheral participation through the development of a growing portfolio of en trustable professional activities. (PsycINFO Database Record (c) 2014 APA, all rights reserved)","author":[{"dropping-particle":"","family":"Cate","given":"Olle","non-dropping-particle":"Ten","parse-names":false,"suffix":""},{"dropping-particle":"","family":"Billett","given":"Stephen","non-dropping-particle":"","parse-names":false,"suffix":""}],"container-title":"Medical Education","id":"ITEM-2","issue":"3","issued":{"date-parts":[["2014"]]},"page":"325-332","title":"Competency-based medical education: Origins, perspectives and potentialities","type":"article-journal","volume":"48"},"uris":["http://www.mendeley.com/documents/?uuid=e63e6d34-347d-4bcd-a8ac-164d4b1860d1"]}],"mendeley":{"formattedCitation":"(J. Frank &lt;i&gt;et al.&lt;/i&gt;, 2010; Ten Cate and Billett, 2014)","plainTextFormattedCitation":"(J. Frank et al., 2010; Ten Cate and Billett, 2014)","previouslyFormattedCitation":"(J. Frank et al. 2010; Olle Ten Cate and Billett 2014)"},"properties":{"noteIndex":0},"schema":"https://github.com/citation-style-language/schema/raw/master/csl-citation.json"}</w:instrText>
      </w:r>
      <w:r w:rsidRPr="00E02B53">
        <w:rPr>
          <w:rFonts w:ascii="Times New Roman" w:hAnsi="Times New Roman" w:cs="Times New Roman"/>
          <w:color w:val="000000"/>
          <w:sz w:val="24"/>
          <w:szCs w:val="24"/>
        </w:rPr>
        <w:fldChar w:fldCharType="separate"/>
      </w:r>
      <w:r w:rsidR="00E02B53">
        <w:rPr>
          <w:rFonts w:ascii="Times New Roman" w:hAnsi="Times New Roman" w:cs="Times New Roman"/>
          <w:noProof/>
          <w:color w:val="000000"/>
          <w:sz w:val="24"/>
          <w:szCs w:val="24"/>
        </w:rPr>
        <w:t>(</w:t>
      </w:r>
      <w:r w:rsidR="00BE3B6C" w:rsidRPr="00E02B53">
        <w:rPr>
          <w:rFonts w:ascii="Times New Roman" w:hAnsi="Times New Roman" w:cs="Times New Roman"/>
          <w:noProof/>
          <w:color w:val="000000"/>
          <w:sz w:val="24"/>
          <w:szCs w:val="24"/>
        </w:rPr>
        <w:t>Frank et al.</w:t>
      </w:r>
      <w:r w:rsidR="00E02B53">
        <w:rPr>
          <w:rFonts w:ascii="Times New Roman" w:hAnsi="Times New Roman" w:cs="Times New Roman"/>
          <w:noProof/>
          <w:color w:val="000000"/>
          <w:sz w:val="24"/>
          <w:szCs w:val="24"/>
        </w:rPr>
        <w:t xml:space="preserve"> 2010</w:t>
      </w:r>
      <w:r w:rsidR="007B08C5">
        <w:rPr>
          <w:rFonts w:ascii="Times New Roman" w:hAnsi="Times New Roman" w:cs="Times New Roman"/>
          <w:noProof/>
          <w:color w:val="000000"/>
          <w:sz w:val="24"/>
          <w:szCs w:val="24"/>
        </w:rPr>
        <w:t>a</w:t>
      </w:r>
      <w:r w:rsidR="00E02B53">
        <w:rPr>
          <w:rFonts w:ascii="Times New Roman" w:hAnsi="Times New Roman" w:cs="Times New Roman"/>
          <w:noProof/>
          <w:color w:val="000000"/>
          <w:sz w:val="24"/>
          <w:szCs w:val="24"/>
        </w:rPr>
        <w:t>; ten Cate and Billett</w:t>
      </w:r>
      <w:r w:rsidR="00BE3B6C" w:rsidRPr="00E02B53">
        <w:rPr>
          <w:rFonts w:ascii="Times New Roman" w:hAnsi="Times New Roman" w:cs="Times New Roman"/>
          <w:noProof/>
          <w:color w:val="000000"/>
          <w:sz w:val="24"/>
          <w:szCs w:val="24"/>
        </w:rPr>
        <w:t xml:space="preserve"> 2014)</w:t>
      </w:r>
      <w:r w:rsidRPr="00E02B53">
        <w:rPr>
          <w:rFonts w:ascii="Times New Roman" w:hAnsi="Times New Roman" w:cs="Times New Roman"/>
          <w:color w:val="000000"/>
          <w:sz w:val="24"/>
          <w:szCs w:val="24"/>
        </w:rPr>
        <w:fldChar w:fldCharType="end"/>
      </w:r>
      <w:r w:rsidRPr="00E02B53">
        <w:rPr>
          <w:rFonts w:ascii="Times New Roman" w:hAnsi="Times New Roman" w:cs="Times New Roman"/>
          <w:color w:val="000000"/>
          <w:sz w:val="24"/>
          <w:szCs w:val="24"/>
        </w:rPr>
        <w:t>. A recent study suggests that observing clinical performance over time is more valuable than assessments that focus on single encounters</w:t>
      </w:r>
      <w:r w:rsidR="00ED7C9E" w:rsidRPr="00E02B53">
        <w:rPr>
          <w:rFonts w:ascii="Times New Roman" w:hAnsi="Times New Roman" w:cs="Times New Roman"/>
          <w:color w:val="000000"/>
          <w:sz w:val="24"/>
          <w:szCs w:val="24"/>
        </w:rPr>
        <w:t xml:space="preserve"> </w:t>
      </w:r>
      <w:r w:rsidRPr="00E02B53">
        <w:rPr>
          <w:rFonts w:ascii="Times New Roman" w:hAnsi="Times New Roman" w:cs="Times New Roman"/>
          <w:color w:val="000000"/>
          <w:sz w:val="24"/>
          <w:szCs w:val="24"/>
        </w:rPr>
        <w:fldChar w:fldCharType="begin" w:fldLock="1"/>
      </w:r>
      <w:r w:rsidR="00BE3B6C" w:rsidRPr="00E02B53">
        <w:rPr>
          <w:rFonts w:ascii="Times New Roman" w:hAnsi="Times New Roman" w:cs="Times New Roman"/>
          <w:color w:val="000000"/>
          <w:sz w:val="24"/>
          <w:szCs w:val="24"/>
        </w:rPr>
        <w:instrText>ADDIN CSL_CITATION {"citationItems":[{"id":"ITEM-1","itemData":{"DOI":"10.1080/0142159X.2017.1270427","ISBN":"0142-159x","ISSN":"1466187X","PMID":"28049379","abstract":"Background: A variety of tools have been developed to assess performance which typically use a single clinical encounter as a source for making competency inferences. This strategy may miss consistent behaviors. We therefore explored experienced clinical supervisors’ perceptions of behavioral patterns that potentially exist in postgraduate general practice trainees expressed as narrative profiles to aid the grading of clinical performance. Methods: We conducted semistructured interviews with clinical supervisors who had frequently observed clinical performance in trainees. Supervisors were asked to describe which behavioral patterns they had discerned in excellent and underperforming trainees, during different stages of training, in their careers as clinical supervisor. We analyzed the interviews using a grounded theory approach. Results: The analysis resulted in a conceptual framework that distinguishes between desirable and undesirable narrative profiles. The framework consists of two dimensions: doctor–patient interaction and medical expertise. Personal values appear to be a moderating factor. Conclusions: According to experienced clinical supervisors, consistent behaviors do exist in GP trainees when observing clinical performance over time. The conceptual framework has to be validated by further observational studies to assess its potential for making robust and fair assessments of clinical performance and monitor the development of consultation performance over time.","author":[{"dropping-particle":"","family":"Oerlemans","given":"Marjolein","non-dropping-particle":"","parse-names":false,"suffix":""},{"dropping-particle":"","family":"Dielissen","given":"Patrick","non-dropping-particle":"","parse-names":false,"suffix":""},{"dropping-particle":"","family":"Timmerman","given":"Angelique","non-dropping-particle":"","parse-names":false,"suffix":""},{"dropping-particle":"","family":"Ram","given":"Paul","non-dropping-particle":"","parse-names":false,"suffix":""},{"dropping-particle":"","family":"Maiburg","given":"Bas","non-dropping-particle":"","parse-names":false,"suffix":""},{"dropping-particle":"","family":"Muris","given":"Jean","non-dropping-particle":"","parse-names":false,"suffix":""},{"dropping-particle":"","family":"Vleuten","given":"Cees","non-dropping-particle":"van der","parse-names":false,"suffix":""}],"container-title":"Medical Teacher","id":"ITEM-1","issue":"3","issued":{"date-parts":[["2017"]]},"page":"300-307","title":"Should we assess clinical performance in single patient encounters or consistent behaviors of clinical performance over a series of encounters? A qualitative exploration of narrative trainee profiles","type":"article-journal","volume":"39"},"uris":["http://www.mendeley.com/documents/?uuid=61630db2-f592-408f-a2c4-462a8dc9a3f7"]}],"mendeley":{"formattedCitation":"(Oerlemans &lt;i&gt;et al.&lt;/i&gt;, 2017)","plainTextFormattedCitation":"(Oerlemans et al., 2017)","previouslyFormattedCitation":"(Oerlemans et al. 2017)"},"properties":{"noteIndex":0},"schema":"https://github.com/citation-style-language/schema/raw/master/csl-citation.json"}</w:instrText>
      </w:r>
      <w:r w:rsidRPr="00E02B53">
        <w:rPr>
          <w:rFonts w:ascii="Times New Roman" w:hAnsi="Times New Roman" w:cs="Times New Roman"/>
          <w:color w:val="000000"/>
          <w:sz w:val="24"/>
          <w:szCs w:val="24"/>
        </w:rPr>
        <w:fldChar w:fldCharType="separate"/>
      </w:r>
      <w:r w:rsidR="00BE3B6C" w:rsidRPr="00E02B53">
        <w:rPr>
          <w:rFonts w:ascii="Times New Roman" w:hAnsi="Times New Roman" w:cs="Times New Roman"/>
          <w:noProof/>
          <w:color w:val="000000"/>
          <w:sz w:val="24"/>
          <w:szCs w:val="24"/>
        </w:rPr>
        <w:t>(Oerlemans et al. 2017)</w:t>
      </w:r>
      <w:r w:rsidRPr="00E02B53">
        <w:rPr>
          <w:rFonts w:ascii="Times New Roman" w:hAnsi="Times New Roman" w:cs="Times New Roman"/>
          <w:color w:val="000000"/>
          <w:sz w:val="24"/>
          <w:szCs w:val="24"/>
        </w:rPr>
        <w:fldChar w:fldCharType="end"/>
      </w:r>
      <w:r w:rsidR="006121BA" w:rsidRPr="00E02B53">
        <w:rPr>
          <w:rFonts w:ascii="Times New Roman" w:hAnsi="Times New Roman" w:cs="Times New Roman"/>
          <w:color w:val="000000"/>
          <w:sz w:val="24"/>
          <w:szCs w:val="24"/>
        </w:rPr>
        <w:t xml:space="preserve"> </w:t>
      </w:r>
    </w:p>
    <w:p w14:paraId="0108CC13" w14:textId="77777777" w:rsidR="006121BA" w:rsidRPr="00E02B53" w:rsidRDefault="006121BA" w:rsidP="006121BA">
      <w:pPr>
        <w:autoSpaceDE w:val="0"/>
        <w:autoSpaceDN w:val="0"/>
        <w:adjustRightInd w:val="0"/>
        <w:spacing w:after="0" w:line="480" w:lineRule="auto"/>
        <w:rPr>
          <w:rFonts w:ascii="Times New Roman" w:hAnsi="Times New Roman" w:cs="Times New Roman"/>
          <w:color w:val="000000"/>
          <w:sz w:val="24"/>
          <w:szCs w:val="24"/>
        </w:rPr>
      </w:pPr>
    </w:p>
    <w:p w14:paraId="7CC9A44D" w14:textId="5D5C2459" w:rsidR="00863DF5" w:rsidRPr="006F3B00" w:rsidRDefault="00863DF5" w:rsidP="00863DF5">
      <w:pPr>
        <w:spacing w:after="120" w:line="480" w:lineRule="auto"/>
        <w:rPr>
          <w:rFonts w:ascii="Times New Roman" w:hAnsi="Times New Roman" w:cs="Times New Roman"/>
          <w:sz w:val="24"/>
          <w:szCs w:val="24"/>
        </w:rPr>
      </w:pPr>
      <w:r w:rsidRPr="00E02B53">
        <w:rPr>
          <w:rFonts w:ascii="Times New Roman" w:hAnsi="Times New Roman" w:cs="Times New Roman"/>
          <w:sz w:val="24"/>
          <w:szCs w:val="24"/>
        </w:rPr>
        <w:t>As it stands, WBAs are the main tool used in healthcare to assess performance in the workplace. There is patchy evidence to support whether the current WBAs provide useful feedback, when are the best times to use them and how they could be used most effectively, emphasising a need for more research to explore WBAs in medical and dental training</w:t>
      </w:r>
      <w:r w:rsidR="00ED7C9E" w:rsidRPr="00E02B53">
        <w:rPr>
          <w:rFonts w:ascii="Times New Roman" w:hAnsi="Times New Roman" w:cs="Times New Roman"/>
          <w:sz w:val="24"/>
          <w:szCs w:val="24"/>
        </w:rPr>
        <w:t xml:space="preserve"> </w:t>
      </w:r>
      <w:r w:rsidRPr="00E02B53">
        <w:rPr>
          <w:rFonts w:ascii="Times New Roman" w:hAnsi="Times New Roman" w:cs="Times New Roman"/>
          <w:sz w:val="24"/>
          <w:szCs w:val="24"/>
        </w:rPr>
        <w:fldChar w:fldCharType="begin" w:fldLock="1"/>
      </w:r>
      <w:r w:rsidR="00BE3B6C" w:rsidRPr="00E02B53">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review.","type":"article-journal","volume":"341"},"uris":["http://www.mendeley.com/documents/?uuid=5e467429-f82f-4917-86e6-acac1998e2e3"]},{"id":"ITEM-2","itemData":{"DOI":"10.1001/jama.2009.1365","ISBN":"302121316p","ISSN":"1538-3598","PMID":"19773567","abstract":"CONTEXT: Direct observation of medical trainees with actual patients is important for performance-based clinical skills assessment. Multiple tools for direct observation are available, but their characteristics and outcomes have not been compared systematically. OBJECTIVES: To identify observation tools used to assess medical trainees' clinical skills with actual patients and to summarize the evidence of their validity and outcomes. DATA SOURCES: Electronic literature search of PubMed, ERIC, CINAHL, and Web of Science for English-language articles published between 1965 and March 2009 and review of references from article bibliographies. STUDY SELECTION: Included studies described a tool designed for direct observation of medical trainees' clinical skills with actual patients by educational supervisors. Tools used only in simulated settings or assessing surgical/procedural skills were excluded. Of 10 672 citations, 199 articles were reviewed and 85 met inclusion criteria. DATA EXTRACTION: Two authors independently abstracted studies using a modified Best Evidence Medical Education coding form to inform judgment of key psychometric characteristics. Differences were reconciled by consensus. RESULTS: A total of 55 tools were identified. Twenty-one tools were studied with students and 32 with residents or fellows. Two were used across the educational continuum. Most (n = 32) were developed for formative assessment. Rater training was described for 26 tools. Only 11 tools had validity evidence based on internal structure and relationship to other variables. Trainee or observer attitudes about the tool were the most commonly measured outcomes. Self-assessed changes in trainee knowledge, skills, or attitudes (n = 9) or objectively measured change in knowledge or skills (n = 5) were infrequently reported. The strongest validity evidence has been established for the Mini Clinical Evaluation Exercise (Mini-CEX). CONCLUSION: Although many tools are available for the direct observation of clinical skills, validity evidence and description of educational outcomes are scarce.","author":[{"dropping-particle":"","family":"Kogan","given":"Jennifer R","non-dropping-particle":"","parse-names":false,"suffix":""},{"dropping-particle":"","family":"Holmboe","given":"Eric S","non-dropping-particle":"","parse-names":false,"suffix":""},{"dropping-particle":"","family":"Hauer","given":"Karen E","non-dropping-particle":"","parse-names":false,"suffix":""}],"container-title":"JAMA","id":"ITEM-2","issue":"12","issued":{"date-parts":[["2009"]]},"page":"1316-1326","title":"Tools for direct observation and assessment of clinical skills of medical trainees: a systematic review.","type":"article-journal","volume":"302"},"uris":["http://www.mendeley.com/documents/?uuid=ecda2cb0-9831-4a0d-b12a-7c917488c347"]},{"id":"ITEM-3","itemData":{"DOI":"10.1111/j.1365-2929.2005.02094.x","ISBN":"0308-0110 (Print)","ISSN":"03080110","PMID":"15733167","abstract":"INTRODUCTION: We use a utility model to illustrate that, firstly, selecting an assessment method involves context-dependent compromises, and secondly, that assessment is not a measurement problem but an instructional design problem, comprising educational, implementation and resource aspects. In the model, assessment characteristics are differently weighted depending on the purpose and context of the assessment. EMPIRICAL AND THEORETICAL DEVELOPMENTS: Of the characteristics in the model, we focus on reliability, validity and educational impact and argue that they are not inherent qualities of any instrument. Reliability depends not on structuring or standardisation but on sampling. Key issues concerning validity are authenticity and integration of competencies. Assessment in medical education addresses complex competencies and thus requires quantitative and qualitative information from different sources as well as professional judgement. Adequate sampling across judges, instruments and contexts can ensure both validity and reliability. Despite recognition that assessment drives learning, this relationship has been little researched, possibly because of its strong context dependence. ASSESSMENT AS INSTRUCTIONAL DESIGN: When assessment should stimulate learning and requires adequate sampling, in authentic contexts, of the performance of complex competencies that cannot be broken down into simple parts, we need to make a shift from individual methods to an integral programme, intertwined with the education programme. Therefore, we need an instructional design perspective. IMPLICATIONS FOR DEVELOPMENT AND RESEARCH: Programmatic instructional design hinges on a careful description and motivation of choices, whose effectiveness should be measured against the intended outcomes. We should not evaluate individual methods, but provide evidence of the utility of the assessment programme as a whole.","author":[{"dropping-particle":"","family":"Vleuten","given":"C. P M","non-dropping-particle":"Van Der","parse-names":false,"suffix":""},{"dropping-particle":"","family":"Schuwirth","given":"L. W T","non-dropping-particle":"","parse-names":false,"suffix":""}],"container-title":"Medical Education","id":"ITEM-3","issue":"3","issued":{"date-parts":[["2005"]]},"page":"309-317","title":"Assessing professional competence: From methods to programmes","type":"article-journal","volume":"39"},"uris":["http://www.mendeley.com/documents/?uuid=57592151-3b74-439e-9b0a-d6b6b51a911a"]}],"mendeley":{"formattedCitation":"(Van Der Vleuten and Schuwirth, 2005; Kogan, Holmboe and Hauer, 2009; Miller and Archer, 2010)","plainTextFormattedCitation":"(Van Der Vleuten and Schuwirth, 2005; Kogan, Holmboe and Hauer, 2009; Miller and Archer, 2010)","previouslyFormattedCitation":"(A. Miller and Archer 2010; Kogan, Holmboe, and Hauer 2009; Van Der Vleuten and Schuwirth 2005)"},"properties":{"noteIndex":0},"schema":"https://github.com/citation-style-language/schema/raw/master/csl-citation.json"}</w:instrText>
      </w:r>
      <w:r w:rsidRPr="00E02B53">
        <w:rPr>
          <w:rFonts w:ascii="Times New Roman" w:hAnsi="Times New Roman" w:cs="Times New Roman"/>
          <w:sz w:val="24"/>
          <w:szCs w:val="24"/>
        </w:rPr>
        <w:fldChar w:fldCharType="separate"/>
      </w:r>
      <w:r w:rsidR="00E02B53">
        <w:rPr>
          <w:rFonts w:ascii="Times New Roman" w:hAnsi="Times New Roman" w:cs="Times New Roman"/>
          <w:noProof/>
          <w:sz w:val="24"/>
          <w:szCs w:val="24"/>
        </w:rPr>
        <w:t>(van der Vleuten and Schuwirth 2005; Kogan, Holmboe and Hauer 2009; Miller and Archer</w:t>
      </w:r>
      <w:r w:rsidR="00BE3B6C" w:rsidRPr="00E02B53">
        <w:rPr>
          <w:rFonts w:ascii="Times New Roman" w:hAnsi="Times New Roman" w:cs="Times New Roman"/>
          <w:noProof/>
          <w:sz w:val="24"/>
          <w:szCs w:val="24"/>
        </w:rPr>
        <w:t xml:space="preserve"> 2010)</w:t>
      </w:r>
      <w:r w:rsidRPr="00E02B53">
        <w:rPr>
          <w:rFonts w:ascii="Times New Roman" w:hAnsi="Times New Roman" w:cs="Times New Roman"/>
          <w:sz w:val="24"/>
          <w:szCs w:val="24"/>
        </w:rPr>
        <w:fldChar w:fldCharType="end"/>
      </w:r>
      <w:r w:rsidRPr="00E02B53">
        <w:rPr>
          <w:rFonts w:ascii="Times New Roman" w:hAnsi="Times New Roman" w:cs="Times New Roman"/>
          <w:sz w:val="24"/>
          <w:szCs w:val="24"/>
        </w:rPr>
        <w:t>.  In particular the evidence stems mostly from questionnaire data where response rates and responder bias may not accurately reflect the opinion of everyone involved and also from qualitative data which is not intended to be generalised. The variable contexts in which WBAs are used and the fact that different tools are used in different specialties confounds the ability to draw clear</w:t>
      </w:r>
      <w:r w:rsidRPr="006F3B00">
        <w:rPr>
          <w:rFonts w:ascii="Times New Roman" w:hAnsi="Times New Roman" w:cs="Times New Roman"/>
          <w:sz w:val="24"/>
          <w:szCs w:val="24"/>
        </w:rPr>
        <w:t xml:space="preserve"> conclusions from the literature. </w:t>
      </w:r>
    </w:p>
    <w:p w14:paraId="5EB11688" w14:textId="40A8FA23" w:rsidR="00863DF5" w:rsidRPr="006F3B00" w:rsidRDefault="00B51DBC" w:rsidP="00863DF5">
      <w:pPr>
        <w:pStyle w:val="Heading2"/>
        <w:rPr>
          <w:rFonts w:ascii="Times New Roman" w:hAnsi="Times New Roman" w:cs="Times New Roman"/>
          <w:color w:val="auto"/>
          <w:sz w:val="24"/>
          <w:szCs w:val="24"/>
        </w:rPr>
      </w:pPr>
      <w:bookmarkStart w:id="52" w:name="_Toc23243781"/>
      <w:r>
        <w:rPr>
          <w:rFonts w:ascii="Times New Roman" w:hAnsi="Times New Roman" w:cs="Times New Roman"/>
          <w:color w:val="auto"/>
          <w:sz w:val="24"/>
          <w:szCs w:val="24"/>
        </w:rPr>
        <w:t>1.3.6</w:t>
      </w:r>
      <w:r w:rsidR="00863DF5" w:rsidRPr="006F3B00">
        <w:rPr>
          <w:rFonts w:ascii="Times New Roman" w:hAnsi="Times New Roman" w:cs="Times New Roman"/>
          <w:color w:val="auto"/>
          <w:sz w:val="24"/>
          <w:szCs w:val="24"/>
        </w:rPr>
        <w:t xml:space="preserve"> Perception of workplace-based assessment in histopathology</w:t>
      </w:r>
      <w:bookmarkEnd w:id="52"/>
    </w:p>
    <w:p w14:paraId="4ABA5A37" w14:textId="77777777" w:rsidR="00863DF5" w:rsidRPr="006F3B00" w:rsidRDefault="00863DF5" w:rsidP="00863DF5">
      <w:pPr>
        <w:rPr>
          <w:rFonts w:ascii="Times New Roman" w:hAnsi="Times New Roman" w:cs="Times New Roman"/>
          <w:sz w:val="24"/>
          <w:szCs w:val="24"/>
        </w:rPr>
      </w:pPr>
    </w:p>
    <w:p w14:paraId="6A23BEA7" w14:textId="77777777"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The evidence base regarding the perception and use of WBAs in histopathology is even more limited than the literature on WBAs in medical education in general. However, the outcomes of WBAs are still held in the same high regard during training and may be used at the ARCP to identify struggling trainees. </w:t>
      </w:r>
    </w:p>
    <w:p w14:paraId="7856023A" w14:textId="53BD5E1F"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A single study was found which explored the experiences and perceptions of trainers in using the DOPS tool with histopathology trainees using a questionnaire-based approach</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{"citationItems":[{"id":"ITEM-1","itemData":{"DOI":"10.1136/jclinpath-2012-200682","ISSN":"0021-9746","PMID":"22447913","abstract":"AIMS: This pilot study of the direct observation of practical skills (DOPS) assessment of histopathology trainees is needed in the absence of existing information on histopathology in the UK. The aim of the study was to explore the experiences and perceptions of trainers in using the DOPS tool with histopathology trainees.\\n\\nMETHODS: A qualitative approach was taken using paper-based questionnaires to consultants in a single teaching hospital histopathology department.\\n\\nRESULTS: DOPS was perceived by all trainers as a valid form of assessment. There was a spread of opinion regarding its feasibility, with some respondents raising concern about its impact on time. 28% of respondents were doubtful about the formative nature of DOPS. All stated the assessment was fair.\\n\\nCONCLUSIONS: Themes that have emerged include concerns about impact on trainer time, whether DOPS is used in a formative manner and concerns about the amount of guidance provided to trainers. Further research is required to expand on these points.","author":[{"dropping-particle":"","family":"Finall","given":"a.","non-dropping-particle":"","parse-names":false,"suffix":""}],"container-title":"Journal of Clinical Pathology","id":"ITEM-1","issue":"6","issued":{"date-parts":[["2012"]]},"page":"538-540","title":"Trainers' perceptions of the direct observation of practical skills assessment in histopathology training: a qualitative pilot study","type":"article-journal","volume":"65"},"uris":["http://www.mendeley.com/documents/?uuid=7c0487ff-dfc1-4046-b55b-fa56b928ebe2"]}],"mendeley":{"formattedCitation":"(Finall, 2012)","plainTextFormattedCitation":"(Finall, 2012)","previouslyFormattedCitation":"( a. Finall 2012)"},"properties":{"noteIndex":0},"schema":"https://github.com/citation-style-language/schema/raw/master/csl-citation.json"}</w:instrText>
      </w:r>
      <w:r w:rsidRPr="006F3B00">
        <w:rPr>
          <w:rFonts w:ascii="Times New Roman" w:hAnsi="Times New Roman" w:cs="Times New Roman"/>
          <w:sz w:val="24"/>
          <w:szCs w:val="24"/>
        </w:rPr>
        <w:fldChar w:fldCharType="separate"/>
      </w:r>
      <w:r w:rsidR="007B08C5">
        <w:rPr>
          <w:rFonts w:ascii="Times New Roman" w:hAnsi="Times New Roman" w:cs="Times New Roman"/>
          <w:noProof/>
          <w:sz w:val="24"/>
          <w:szCs w:val="24"/>
        </w:rPr>
        <w:t>(Finall</w:t>
      </w:r>
      <w:r w:rsidR="00BE3B6C" w:rsidRPr="00BE3B6C">
        <w:rPr>
          <w:rFonts w:ascii="Times New Roman" w:hAnsi="Times New Roman" w:cs="Times New Roman"/>
          <w:noProof/>
          <w:sz w:val="24"/>
          <w:szCs w:val="24"/>
        </w:rPr>
        <w:t xml:space="preserve"> 2012)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 study supported the use of DOPS in histopathology but raised concerns about the impact on trainer time, whether DOPS is used in a formative manner and concerns about the amount of guidance provided to trainers</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{"citationItems":[{"id":"ITEM-1","itemData":{"DOI":"10.1136/jclinpath-2012-200682","ISSN":"0021-9746","PMID":"22447913","abstract":"AIMS: This pilot study of the direct observation of practical skills (DOPS) assessment of histopathology trainees is needed in the absence of existing information on histopathology in the UK. The aim of the study was to explore the experiences and perceptions of trainers in using the DOPS tool with histopathology trainees.\\n\\nMETHODS: A qualitative approach was taken using paper-based questionnaires to consultants in a single teaching hospital histopathology department.\\n\\nRESULTS: DOPS was perceived by all trainers as a valid form of assessment. There was a spread of opinion regarding its feasibility, with some respondents raising concern about its impact on time. 28% of respondents were doubtful about the formative nature of DOPS. All stated the assessment was fair.\\n\\nCONCLUSIONS: Themes that have emerged include concerns about impact on trainer time, whether DOPS is used in a formative manner and concerns about the amount of guidance provided to trainers. Further research is required to expand on these points.","author":[{"dropping-particle":"","family":"Finall","given":"a.","non-dropping-particle":"","parse-names":false,"suffix":""}],"container-title":"Journal of Clinical Pathology","id":"ITEM-1","issue":"6","issued":{"date-parts":[["2012"]]},"page":"538-540","title":"Trainers' perceptions of the direct observation of practical skills assessment in histopathology training: a qualitative pilot study","type":"article-journal","volume":"65"},"uris":["http://www.mendeley.com/documents/?uuid=7c0487ff-dfc1-4046-b55b-fa56b928ebe2"]}],"mendeley":{"formattedCitation":"(Finall, 2012)","plainTextFormattedCitation":"(Finall, 2012)","previouslyFormattedCitation":"( a. Finall 2012)"},"properties":{"noteIndex":0},"schema":"https://github.com/citation-style-language/schema/raw/master/csl-citation.json"}</w:instrText>
      </w:r>
      <w:r w:rsidRPr="006F3B00">
        <w:rPr>
          <w:rFonts w:ascii="Times New Roman" w:hAnsi="Times New Roman" w:cs="Times New Roman"/>
          <w:sz w:val="24"/>
          <w:szCs w:val="24"/>
        </w:rPr>
        <w:fldChar w:fldCharType="separate"/>
      </w:r>
      <w:r w:rsidR="007B08C5">
        <w:rPr>
          <w:rFonts w:ascii="Times New Roman" w:hAnsi="Times New Roman" w:cs="Times New Roman"/>
          <w:noProof/>
          <w:sz w:val="24"/>
          <w:szCs w:val="24"/>
        </w:rPr>
        <w:t>(Finall</w:t>
      </w:r>
      <w:r w:rsidR="00BE3B6C" w:rsidRPr="00BE3B6C">
        <w:rPr>
          <w:rFonts w:ascii="Times New Roman" w:hAnsi="Times New Roman" w:cs="Times New Roman"/>
          <w:noProof/>
          <w:sz w:val="24"/>
          <w:szCs w:val="24"/>
        </w:rPr>
        <w:t xml:space="preserve"> 2012)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This study suffered several limitations including a small sample of only seven histopathology consultants (a response rate of 46%), it did not explore trainee perceptions and it only used questionnaires to gather information. It missed an opportunity to use qualitative methods to explore the themes it raised. However, these initial studies are still valuable and  can help to inform future studies and research directions</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{"citationItems":[{"id":"ITEM-1","itemData":{"abstract":"To call yourself a 'qualitative' researcher settles surprisingly little. First, as we shall see at the end of this chapter, 'qualitative research' covers a wide range of different, even conflicting, activities.","author":[{"dropping-particle":"","family":"Silverman","given":"David","non-dropping-particle":"","parse-names":false,"suffix":""}],"container-title":"Interpreting Qualitative Data, 3rd Edition","id":"ITEM-1","issued":{"date-parts":[["2006"]]},"title":"What is Qualitative Research?","type":"chapter"},"uris":["http://www.mendeley.com/documents/?uuid=47d27f7e-eec6-48ab-bd5e-24b4a6a1157d"]}],"mendeley":{"formattedCitation":"(Silverman, 2006)","plainTextFormattedCitation":"(Silverman, 2006)","previouslyFormattedCitation":"(Silverman 2006)"},"properties":{"noteIndex":0},"schema":"https://github.com/citation-style-language/schema/raw/master/csl-citation.json"}</w:instrText>
      </w:r>
      <w:r w:rsidRPr="006F3B00">
        <w:rPr>
          <w:rFonts w:ascii="Times New Roman" w:hAnsi="Times New Roman" w:cs="Times New Roman"/>
          <w:sz w:val="24"/>
          <w:szCs w:val="24"/>
        </w:rPr>
        <w:fldChar w:fldCharType="separate"/>
      </w:r>
      <w:r w:rsidR="007B08C5">
        <w:rPr>
          <w:rFonts w:ascii="Times New Roman" w:hAnsi="Times New Roman" w:cs="Times New Roman"/>
          <w:noProof/>
          <w:sz w:val="24"/>
          <w:szCs w:val="24"/>
        </w:rPr>
        <w:t>(Silverman</w:t>
      </w:r>
      <w:r w:rsidR="00BE3B6C" w:rsidRPr="00BE3B6C">
        <w:rPr>
          <w:rFonts w:ascii="Times New Roman" w:hAnsi="Times New Roman" w:cs="Times New Roman"/>
          <w:noProof/>
          <w:sz w:val="24"/>
          <w:szCs w:val="24"/>
        </w:rPr>
        <w:t xml:space="preserve"> 2006)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16A06B0D" w14:textId="7DA3FC9B"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In most histopathology departments, cases must be checked by a consultant after a trainee has written a provisional report. It could be argued that histopathology trainees may be exposed to a lot of one-on-one teaching when these routine cases are examined on the multi-headed microscope. Often, trainees can learn and be guided by their consultant’s superior experience during these regular episodes of discussion, even if they are not formally recognised by a WBA.  This one-on-</w:t>
      </w:r>
      <w:r w:rsidRPr="007B08C5">
        <w:rPr>
          <w:rFonts w:ascii="Times New Roman" w:hAnsi="Times New Roman" w:cs="Times New Roman"/>
          <w:sz w:val="24"/>
          <w:szCs w:val="24"/>
        </w:rPr>
        <w:t>one time is an ideal environment for low-stakes assessment and constructive feedback</w:t>
      </w:r>
      <w:r w:rsidR="00ED7C9E" w:rsidRPr="007B08C5">
        <w:rPr>
          <w:rFonts w:ascii="Times New Roman" w:hAnsi="Times New Roman" w:cs="Times New Roman"/>
          <w:sz w:val="24"/>
          <w:szCs w:val="24"/>
        </w:rPr>
        <w:t xml:space="preserve"> </w:t>
      </w:r>
      <w:r w:rsidRPr="007B08C5">
        <w:rPr>
          <w:rFonts w:ascii="Times New Roman" w:hAnsi="Times New Roman" w:cs="Times New Roman"/>
          <w:sz w:val="24"/>
          <w:szCs w:val="24"/>
        </w:rPr>
        <w:fldChar w:fldCharType="begin" w:fldLock="1"/>
      </w:r>
      <w:r w:rsidR="00BE3B6C" w:rsidRPr="007B08C5">
        <w:rPr>
          <w:rFonts w:ascii="Times New Roman" w:hAnsi="Times New Roman" w:cs="Times New Roman"/>
          <w:sz w:val="24"/>
          <w:szCs w:val="24"/>
        </w:rPr>
        <w:instrText>ADDIN CSL_CITATION {"citationItems":[{"id":"ITEM-1","itemData":{"DOI":"10.1016/j.jsurg.2016.02.003","ISSN":"1878-7452","PMID":"27052202","abstract":"BACKGROUND: The shift toward competency-based medical education has created a demand for feasible workplace-based assessment tools. Perhaps, more important than competence to assess an individual patient is the ability to successfully manage a surgical clinic. Trainee performance in clinic is a critical component of learning to manage a surgical practice, yet no assessment tool currently exists to assess daily performance in outpatient clinics for surgery residents. The development of a competency-based assessment tool, the Ottawa Clinic Assessment Tool (OCAT), is described here to address this gap.\n\nSTUDY DESIGN: A consensus group of experts was gathered to generate dimensions of performance reflective of a competent \"generalist\" surgeon in clinic. A 6-month pilot study of the OCAT was conducted in orthopedics, general surgery, and obstetrics and gynecology with quantitative and qualitative evidence of validity collected. In all, 2 subsequent feedback sessions and a survey for staff and residents evaluated the OCAT for clarity and utility.\n\nRESULTS: The OCAT is a 9-item tool, with a global assessment item and 2 short-answer questions. Among the 2 divisions, 44 staff surgeons completed 132 OCAT assessments of 79 residents. Psychometric data was collected as evidence of validity. Analysis of feedback indicated that the entrustability rating scale was useful for surgeons and residents and that the items could be correlated with individual competencies.\n\nCONCLUSIONS: Multiple sources of validity evidence collected in this study demonstrate that the OCAT can measure resident clinic competency in a valid and feasible manner.","author":[{"dropping-particle":"","family":"Rekman","given":"Janelle","non-dropping-particle":"","parse-names":false,"suffix":""},{"dropping-particle":"","family":"Hamstra","given":"Stanley J","non-dropping-particle":"","parse-names":false,"suffix":""},{"dropping-particle":"","family":"Dudek","given":"Nancy","non-dropping-particle":"","parse-names":false,"suffix":""},{"dropping-particle":"","family":"Wood","given":"Timothy","non-dropping-particle":"","parse-names":false,"suffix":""},{"dropping-particle":"","family":"Seabrook","given":"Christine","non-dropping-particle":"","parse-names":false,"suffix":""},{"dropping-particle":"","family":"Gofton","given":"Wade","non-dropping-particle":"","parse-names":false,"suffix":""}],"container-title":"Journal of surgical education","id":"ITEM-1","issued":{"date-parts":[["2016","4","1"]]},"title":"A New Instrument for Assessing Resident Competence in Surgical Clinic: The Ottawa Clinic Assessment Tool.","type":"article-journal"},"uris":["http://www.mendeley.com/documents/?uuid=d79b15b8-1bca-46ad-a1e8-fae24f59aa6d"]}],"mendeley":{"formattedCitation":"(Rekman &lt;i&gt;et al.&lt;/i&gt;, 2016)","plainTextFormattedCitation":"(Rekman et al., 2016)","previouslyFormattedCitation":"(Rekman et al. 2016)"},"properties":{"noteIndex":0},"schema":"https://github.com/citation-style-language/schema/raw/master/csl-citation.json"}</w:instrText>
      </w:r>
      <w:r w:rsidRPr="007B08C5">
        <w:rPr>
          <w:rFonts w:ascii="Times New Roman" w:hAnsi="Times New Roman" w:cs="Times New Roman"/>
          <w:sz w:val="24"/>
          <w:szCs w:val="24"/>
        </w:rPr>
        <w:fldChar w:fldCharType="separate"/>
      </w:r>
      <w:r w:rsidR="00BE3B6C" w:rsidRPr="007B08C5">
        <w:rPr>
          <w:rFonts w:ascii="Times New Roman" w:hAnsi="Times New Roman" w:cs="Times New Roman"/>
          <w:noProof/>
          <w:sz w:val="24"/>
          <w:szCs w:val="24"/>
        </w:rPr>
        <w:t>(Rekman et al. 2016)</w:t>
      </w:r>
      <w:r w:rsidRPr="007B08C5">
        <w:rPr>
          <w:rFonts w:ascii="Times New Roman" w:hAnsi="Times New Roman" w:cs="Times New Roman"/>
          <w:sz w:val="24"/>
          <w:szCs w:val="24"/>
        </w:rPr>
        <w:fldChar w:fldCharType="end"/>
      </w:r>
      <w:r w:rsidRPr="007B08C5">
        <w:rPr>
          <w:rFonts w:ascii="Times New Roman" w:hAnsi="Times New Roman" w:cs="Times New Roman"/>
          <w:sz w:val="24"/>
          <w:szCs w:val="24"/>
        </w:rPr>
        <w:t>. These regular episodes of interaction also have the potential to identify struggling</w:t>
      </w:r>
      <w:r w:rsidRPr="006F3B00">
        <w:rPr>
          <w:rFonts w:ascii="Times New Roman" w:hAnsi="Times New Roman" w:cs="Times New Roman"/>
          <w:sz w:val="24"/>
          <w:szCs w:val="24"/>
        </w:rPr>
        <w:t xml:space="preserve"> trainees.</w:t>
      </w:r>
    </w:p>
    <w:p w14:paraId="23378E7E" w14:textId="77777777"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Those who feel disheartened by the number of WBAs they have to complete may feel this regular supervision renders a discussion regarding how many WBAs are required of </w:t>
      </w:r>
      <w:r w:rsidRPr="006F3B00">
        <w:rPr>
          <w:rFonts w:ascii="Times New Roman" w:hAnsi="Times New Roman" w:cs="Times New Roman"/>
          <w:sz w:val="24"/>
          <w:szCs w:val="24"/>
        </w:rPr>
        <w:lastRenderedPageBreak/>
        <w:t xml:space="preserve">histopathology trainees. If reduced numbers of WBAs are needed, this would reduce the administrative burden of WBAs and as a result, possibly increase levels of enthusiasm. </w:t>
      </w:r>
    </w:p>
    <w:p w14:paraId="2562372A" w14:textId="33694DD8"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With increasing pressures on academic and NHS consultants in histopathology, it is vital that WBAs are not viewed as a tick-box exercise, becoming tedious and undervalued. If trainers and trainees place too much emphasis on major exams, such as FRCPath parts 1 and 2, there may be fewer opportunities to address trainee learning needs and encourage life-long learning, perhaps resulting in individuals who become exam-focussed and show little regard for developing their skills following qualification. Due to the academic nature of histopathology and the ability to report cases alone in one’s office, this could lead to professional isolation. Histopathology is a complex specialty and helping trainees to identify their strengths and weaknesses is vital so that individuals recognise when they have reached the limit of their diagnostic capability and have the confidence to refer a case to another expert. Second opinion reporting in head and neck pathology, for instance, has been shown to be particularly important</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oooo.2014.12.020","ISSN":"22124403","author":[{"dropping-particle":"","family":"Mullin","given":"M.H.","non-dropping-particle":"","parse-names":false,"suffix":""},{"dropping-particle":"","family":"Brierley","given":"D.J.","non-dropping-particle":"","parse-names":false,"suffix":""},{"dropping-particle":"","family":"Speight","given":"P.M.","non-dropping-particle":"","parse-names":false,"suffix":""}],"container-title":"Oral Surgery, Oral Medicine, Oral Pathology and Oral Radiology","id":"ITEM-1","issue":"6","issued":{"date-parts":[["2015"]]},"page":"656-660","publisher":"Elsevier Inc.","title":"Second opinion reporting in head and neck pathology: the pattern of referrals and impact on final diagnosis","type":"article-journal","volume":"119"},"uris":["http://www.mendeley.com/documents/?uuid=16aa8cb0-cfcf-4be2-af64-66aa86736407"]}],"mendeley":{"formattedCitation":"(Mullin, Brierley and Speight, 2015)","plainTextFormattedCitation":"(Mullin, Brierley and Speight, 2015)","previouslyFormattedCitation":"(Mullin, Brierley, and Speight 2015)"},"properties":{"noteIndex":0},"schema":"https://github.com/citation-style-language/schema/raw/master/csl-citation.json"}</w:instrText>
      </w:r>
      <w:r w:rsidRPr="006F3B00">
        <w:rPr>
          <w:rFonts w:ascii="Times New Roman" w:hAnsi="Times New Roman" w:cs="Times New Roman"/>
          <w:sz w:val="24"/>
          <w:szCs w:val="24"/>
        </w:rPr>
        <w:fldChar w:fldCharType="separate"/>
      </w:r>
      <w:r w:rsidR="007B08C5">
        <w:rPr>
          <w:rFonts w:ascii="Times New Roman" w:hAnsi="Times New Roman" w:cs="Times New Roman"/>
          <w:noProof/>
          <w:sz w:val="24"/>
          <w:szCs w:val="24"/>
        </w:rPr>
        <w:t>(Mullin, Brierley and Speight</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43EB135C" w14:textId="77777777"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As such, significantly more research is needed to assess WBAs in histopathology. For example, CbDs, ECEs and MSF have yet to be examined in a histopathology setting and there is not a single study which explores in detail the uses, merits, limitations and attitudes towards any WBA in histopathology. This is particularly important when one considers that histopathology training is quite different to the majority of other specialities in medicine and dentistry, specialties which the majority of literature regarding WBAs relates to. Histopathology trainees do not generally see patients and their day-to-day activities include practical cut-up of surgical specimens and examining histology sections under a microscope, the latter, in particular, requiring high levels of concentration and a unique set of skills. A consultant histopathologist carries a large </w:t>
      </w:r>
      <w:r w:rsidRPr="006F3B00">
        <w:rPr>
          <w:rFonts w:ascii="Times New Roman" w:hAnsi="Times New Roman" w:cs="Times New Roman"/>
          <w:sz w:val="24"/>
          <w:szCs w:val="24"/>
        </w:rPr>
        <w:lastRenderedPageBreak/>
        <w:t xml:space="preserve">burden of accountability, being responsible for diagnosing if a lesion is benign or malignant and thus determining the type of treatment a patient may receive. Clearly, it is paramount that any assessment tools used in histopathology training are fit for purpose, tools which may ultimately minimise risk to patients by ensuring newly qualified consultants have progressed through a robust, thorough and holistic educational process. </w:t>
      </w:r>
    </w:p>
    <w:p w14:paraId="2C5286BE" w14:textId="64186928" w:rsidR="00863DF5" w:rsidRPr="006F3B00" w:rsidRDefault="00B51DBC" w:rsidP="002F1F09">
      <w:pPr>
        <w:pStyle w:val="Heading2"/>
        <w:rPr>
          <w:rFonts w:ascii="Times New Roman" w:hAnsi="Times New Roman" w:cs="Times New Roman"/>
          <w:color w:val="auto"/>
          <w:sz w:val="24"/>
          <w:szCs w:val="24"/>
        </w:rPr>
      </w:pPr>
      <w:bookmarkStart w:id="53" w:name="_Toc23243782"/>
      <w:r>
        <w:rPr>
          <w:rFonts w:ascii="Times New Roman" w:hAnsi="Times New Roman" w:cs="Times New Roman"/>
          <w:color w:val="auto"/>
          <w:sz w:val="24"/>
          <w:szCs w:val="24"/>
        </w:rPr>
        <w:t>1.3</w:t>
      </w:r>
      <w:r w:rsidR="00863DF5" w:rsidRPr="006F3B00">
        <w:rPr>
          <w:rFonts w:ascii="Times New Roman" w:hAnsi="Times New Roman" w:cs="Times New Roman"/>
          <w:color w:val="auto"/>
          <w:sz w:val="24"/>
          <w:szCs w:val="24"/>
        </w:rPr>
        <w:t>.</w:t>
      </w:r>
      <w:r>
        <w:rPr>
          <w:rFonts w:ascii="Times New Roman" w:hAnsi="Times New Roman" w:cs="Times New Roman"/>
          <w:color w:val="auto"/>
          <w:sz w:val="24"/>
          <w:szCs w:val="24"/>
        </w:rPr>
        <w:t>7</w:t>
      </w:r>
      <w:r w:rsidR="00863DF5" w:rsidRPr="006F3B00">
        <w:rPr>
          <w:rFonts w:ascii="Times New Roman" w:hAnsi="Times New Roman" w:cs="Times New Roman"/>
          <w:color w:val="auto"/>
          <w:sz w:val="24"/>
          <w:szCs w:val="24"/>
        </w:rPr>
        <w:t xml:space="preserve"> Summary</w:t>
      </w:r>
      <w:bookmarkEnd w:id="53"/>
      <w:r w:rsidR="00863DF5" w:rsidRPr="006F3B00">
        <w:rPr>
          <w:rFonts w:ascii="Times New Roman" w:hAnsi="Times New Roman" w:cs="Times New Roman"/>
          <w:color w:val="auto"/>
          <w:sz w:val="24"/>
          <w:szCs w:val="24"/>
        </w:rPr>
        <w:t xml:space="preserve"> </w:t>
      </w:r>
    </w:p>
    <w:p w14:paraId="7507E416" w14:textId="77777777" w:rsidR="00863DF5" w:rsidRPr="006F3B00" w:rsidRDefault="00863DF5" w:rsidP="00863DF5">
      <w:pPr>
        <w:rPr>
          <w:rFonts w:ascii="Times New Roman" w:hAnsi="Times New Roman" w:cs="Times New Roman"/>
          <w:sz w:val="24"/>
          <w:szCs w:val="24"/>
        </w:rPr>
      </w:pPr>
    </w:p>
    <w:p w14:paraId="4AC6219E" w14:textId="7642FE91"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Assessment is frequently used in the training of medical trainees to assess competence. Most importantly, an assessment must be valid otherwise it could potentially lead to erroneous decisions on the development of competency in that individual. Currently, WBAs are used widely in healthcare to assess competency. They are recommended throughout the histopathology curriculum </w:t>
      </w:r>
      <w:r w:rsidR="00ED7C9E">
        <w:rPr>
          <w:rFonts w:ascii="Times New Roman" w:hAnsi="Times New Roman" w:cs="Times New Roman"/>
          <w:sz w:val="24"/>
          <w:szCs w:val="24"/>
        </w:rPr>
        <w:t xml:space="preserve">and are </w:t>
      </w:r>
      <w:r w:rsidRPr="006F3B00">
        <w:rPr>
          <w:rFonts w:ascii="Times New Roman" w:hAnsi="Times New Roman" w:cs="Times New Roman"/>
          <w:sz w:val="24"/>
          <w:szCs w:val="24"/>
        </w:rPr>
        <w:t>the most readily utilised tool in training to assess competence. Given the tensions that exist between service delivery and training, high-quality learning opportunities and assessment are essential to ensure successful completion of training and to maintain high standard of care in the NHS</w:t>
      </w:r>
      <w:r w:rsidR="00ED7C9E">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{"citationItems":[{"id":"ITEM-1","itemData":{"author":[{"dropping-particle":"","family":"Physicians.","given":"Royal College of","non-dropping-particle":"","parse-names":false,"suffix":""}],"id":"ITEM-1","issued":{"date-parts":[["2018"]]},"number-of-pages":"66","publisher-place":"London, UK","title":"Never too busy to learn.","type":"report"},"uris":["http://www.mendeley.com/documents/?uuid=d3500c37-ee93-425d-9941-1bf66b0b266d"]}],"mendeley":{"formattedCitation":"(Physicians., 2018)","plainTextFormattedCitation":"(Physicians., 2018)","previouslyFormattedCitation":"(R. C. of Physicians. 2018)"},"properties":{"noteIndex":0},"schema":"https://github.com/citation-style-language/schema/raw/master/csl-citation.json"}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7B08C5">
        <w:rPr>
          <w:rFonts w:ascii="Times New Roman" w:hAnsi="Times New Roman" w:cs="Times New Roman"/>
          <w:noProof/>
          <w:sz w:val="24"/>
          <w:szCs w:val="24"/>
        </w:rPr>
        <w:t>The Royal College of Physicians</w:t>
      </w:r>
      <w:r w:rsidR="00BE3B6C" w:rsidRPr="00BE3B6C">
        <w:rPr>
          <w:rFonts w:ascii="Times New Roman" w:hAnsi="Times New Roman" w:cs="Times New Roman"/>
          <w:noProof/>
          <w:sz w:val="24"/>
          <w:szCs w:val="24"/>
        </w:rPr>
        <w:t xml:space="preserve"> 2018)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2E048D88" w14:textId="666A1481"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WBAs have faced a number of criticisms from many studies in the wider healthcare literature. In histopathology, there is little literature to support</w:t>
      </w:r>
      <w:r w:rsidR="00264E87">
        <w:rPr>
          <w:rFonts w:ascii="Times New Roman" w:hAnsi="Times New Roman" w:cs="Times New Roman"/>
          <w:sz w:val="24"/>
          <w:szCs w:val="24"/>
        </w:rPr>
        <w:t xml:space="preserve"> the</w:t>
      </w:r>
      <w:r w:rsidR="00ED7C9E">
        <w:rPr>
          <w:rFonts w:ascii="Times New Roman" w:hAnsi="Times New Roman" w:cs="Times New Roman"/>
          <w:sz w:val="24"/>
          <w:szCs w:val="24"/>
        </w:rPr>
        <w:t xml:space="preserve"> use of</w:t>
      </w:r>
      <w:r w:rsidRPr="006F3B00">
        <w:rPr>
          <w:rFonts w:ascii="Times New Roman" w:hAnsi="Times New Roman" w:cs="Times New Roman"/>
          <w:sz w:val="24"/>
          <w:szCs w:val="24"/>
        </w:rPr>
        <w:t xml:space="preserve"> these tools and it is not known if they are capable of measuring competence. This is compounded by the fact that there is not a clear description in the training curricula regarding what constitutes diagnostic competence and what factors should be taken into account. Despite these uncertainties, it is clear that WBAs are mandatory during histopathology training and ask consultants to make competency judgements of their trainees. This is especially important given that histopathology is a unique speciality within medicine. Trainees do not directly interact with patients and much of their work involves unobservable </w:t>
      </w:r>
      <w:r w:rsidRPr="006F3B00">
        <w:rPr>
          <w:rFonts w:ascii="Times New Roman" w:hAnsi="Times New Roman" w:cs="Times New Roman"/>
          <w:sz w:val="24"/>
          <w:szCs w:val="24"/>
        </w:rPr>
        <w:lastRenderedPageBreak/>
        <w:t>mentation when they make diagnoses. This is in contrast to the practical elements more readily observed in a surgeon’s work or through the interaction between a physician and his patient. It is therefore imperative to ensure the current WBAs in histopathology are fit for purpose, as the general literature on WBAs may be less relevant to histopathology.</w:t>
      </w:r>
    </w:p>
    <w:p w14:paraId="7FB659CB" w14:textId="17480F4B" w:rsidR="00863DF5" w:rsidRPr="00F9574D" w:rsidRDefault="00863DF5" w:rsidP="00863DF5">
      <w:pPr>
        <w:spacing w:line="480" w:lineRule="auto"/>
        <w:rPr>
          <w:rFonts w:ascii="Times New Roman" w:hAnsi="Times New Roman" w:cs="Times New Roman"/>
          <w:sz w:val="24"/>
          <w:szCs w:val="24"/>
        </w:rPr>
      </w:pPr>
      <w:r w:rsidRPr="00F9574D">
        <w:rPr>
          <w:rFonts w:ascii="Times New Roman" w:hAnsi="Times New Roman" w:cs="Times New Roman"/>
          <w:sz w:val="24"/>
          <w:szCs w:val="24"/>
        </w:rPr>
        <w:t>Previous studies have utilised aptitude tests and comparisons with experts to gauge competence in diagnostic histopathology</w:t>
      </w:r>
      <w:r w:rsidR="00ED7C9E" w:rsidRPr="00F9574D">
        <w:rPr>
          <w:rFonts w:ascii="Times New Roman" w:hAnsi="Times New Roman" w:cs="Times New Roman"/>
          <w:sz w:val="24"/>
          <w:szCs w:val="24"/>
        </w:rPr>
        <w:t xml:space="preserve"> </w:t>
      </w:r>
      <w:r w:rsidRPr="00F9574D">
        <w:rPr>
          <w:rFonts w:ascii="Times New Roman" w:hAnsi="Times New Roman" w:cs="Times New Roman"/>
          <w:sz w:val="24"/>
          <w:szCs w:val="24"/>
        </w:rPr>
        <w:fldChar w:fldCharType="begin" w:fldLock="1"/>
      </w:r>
      <w:r w:rsidR="00BE3B6C" w:rsidRPr="00F9574D">
        <w:rPr>
          <w:rFonts w:ascii="Times New Roman" w:hAnsi="Times New Roman" w:cs="Times New Roman"/>
          <w:sz w:val="24"/>
          <w:szCs w:val="24"/>
        </w:rPr>
        <w:instrText>ADDIN CSL_CITATION {"citationItems":[{"id":"ITEM-1","itemData":{"DOI":"10.1016/S0377-2217(01)00113-8","ISBN":"0377-2217","ISSN":"03772217","PMID":"11940169","abstract":"The identification of an expert is vital to any study or application involving expertise. If external criterion (a \"gold standard\") exists, then identification is straightforward: Simply compare people against the standard and select whoever is closest. However, such criteria are seldom available for domains where experts work; that's why experts are needed in the first place. The purpose here is to explore various methods for identifying experts in the absence of a gold standard. One particularly promising approach (labeled CWS for Cochran-Weiss-Shanteau) is explored in detail. We illustrate CWS through reanalyses of three previous studies of experts. In each case, CWS provided new insights into identifying experts. When applied to auditors, CWS correctly detected group differences in expertise. For agricultural judges, CWS revealed subtle distinctions between subspecialties of experts. In personnel selection, CWS showed that irrelevant attributes were more informative than relevant attributes. We believe CWS provides a valuable tool for identification and evaluation of experts. ?? 2002 Elsevier Science B.V. All rights reserved.","author":[{"dropping-particle":"","family":"Shanteau","given":"James","non-dropping-particle":"","parse-names":false,"suffix":""},{"dropping-particle":"","family":"Weiss","given":"David J.","non-dropping-particle":"","parse-names":false,"suffix":""},{"dropping-particle":"","family":"Thomas","given":"Rickey P.","non-dropping-particle":"","parse-names":false,"suffix":""},{"dropping-particle":"","family":"Pounds","given":"Julia C.","non-dropping-particle":"","parse-names":false,"suffix":""}],"container-title":"European Journal of Operational Research","id":"ITEM-1","issue":"2","issued":{"date-parts":[["2002"]]},"page":"253-263","title":"Performance-based assessment of expertise: How to decide if someone is an expert or not","type":"article-journal","volume":"136"},"uris":["http://www.mendeley.com/documents/?uuid=20bc5609-8479-4111-96a1-84f5553ba185"]},{"id":"ITEM-2","itemData":{"DOI":"10.1016/j.prp.2010.06.007","ISBN":"1618-0631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practice","id":"ITEM-2","issue":"11","issued":{"date-parts":[["2010"]]},"page":"749-52","title":"Experts and performance in histopathology--a study in breast pathology.","type":"article-journal","volume":"206"},"uris":["http://www.mendeley.com/documents/?uuid=191972bd-c8f2-45a9-a04b-485514da6b9d"]},{"id":"ITEM-3","itemData":{"DOI":"10.1038/modpathol.3880171","ISSN":"0893-3952","PMID":"11007033","abstract":"AIMS: To assess the levels of agreement between histopathologists for a two-class nominal categorization process--the discrimination between hyperplastic and adenomatous colorectal polyps. METHODS: Fifty hyperplastic and 50 adenomatous polyps received consecutively in the laboratory were categorized by nine histopathologists, and the level of agreement between all observers and the original diagnosis was assessed using kappa statistics. RESULTS: For the eight observers with 11 months or more experience in histopathology, there was a high level of agreement with kappa statistics ranging from 0.84 to 0.98. This process was performed rapidly with an average of 13 to 22 seconds spent on each case. One observer with only 6-weeks' experience of histopathology had a lower overall level of agreement with kappa statistics ranging from 0.46 to 0.54, but the performance on the later cases was much higher. CONCLUSIONS: The level of agreement in the distinction between hyperplastic and adenomatous colorectal polyps is high among histopathologists with at least moderate amounts of experience in histopathology. The one virtually naïve observer showed a marked learning response during the study without feedback on case outcome. This suggests that histopathologists are very reliable in assigning cases to distinct nominal categories and that learning of these processes occurs early in a histopathologist's career.","author":[{"dropping-particle":"","family":"Cross","given":"S S","non-dropping-particle":"","parse-names":false,"suffix":""},{"dropping-particle":"","family":"Betmouni","given":"S","non-dropping-particle":"","parse-names":false,"suffix":""},{"dropping-particle":"","family":"Burton","given":"J L","non-dropping-particle":"","parse-names":false,"suffix":""},{"dropping-particle":"","family":"Dubé","given":"a K","non-dropping-particle":"","parse-names":false,"suffix":""},{"dropping-particle":"","family":"Feeley","given":"K M","non-dropping-particle":"","parse-names":false,"suffix":""},{"dropping-particle":"","family":"Holbrook","given":"M R","non-dropping-particle":"","parse-names":false,"suffix":""},{"dropping-particle":"","family":"Landers","given":"R J","non-dropping-particle":"","parse-names":false,"suffix":""},{"dropping-particle":"","family":"Lumb","given":"P B","non-dropping-particle":"","parse-names":false,"suffix":""},{"dropping-particle":"","family":"Stephenson","given":"T J","non-dropping-particle":"","parse-names":false,"suffix":""}],"container-title":"Modern pathology : an official journal of the United States and Canadian Academy of Pathology, Inc","id":"ITEM-3","issue":"9","issued":{"date-parts":[["2000"]]},"page":"941-944","title":"What levels of agreement can be expected between histopathologists assigning cases to discrete nominal categories? A study of the diagnosis of hyperplastic and adenomatous colorectal polyps.","type":"article-journal","volume":"13"},"uris":["http://www.mendeley.com/documents/?uuid=b77b37d0-26bf-4533-981e-a48f8f7a939e"]},{"id":"ITEM-4","itemData":{"author":[{"dropping-particle":"","family":"S.S. Cross, T. Dennis, R.D. Start","given":"et al.","non-dropping-particle":"","parse-names":false,"suffix":""}],"container-title":"Histopathology","id":"ITEM-4","issued":{"date-parts":[["2002"]]},"page":"206","title":"The area under the receiver operating characteristic (ROC) curve can be used as a sensitive measure of progress during the early stages of histopathology training.","type":"article-journal","volume":"41(Suppl 1"},"uris":["http://www.mendeley.com/documents/?uuid=f3a95888-145b-4d53-af04-3caba5211cf9"]}],"mendeley":{"formattedCitation":"(Cross &lt;i&gt;et al.&lt;/i&gt;, 2000; S.S. Cross, T. Dennis, R.D. Start, 2002; Shanteau &lt;i&gt;et al.&lt;/i&gt;, 2002; Parham &lt;i&gt;et al.&lt;/i&gt;, 2010a)","plainTextFormattedCitation":"(Cross et al., 2000; S.S. Cross, T. Dennis, R.D. Start, 2002; Shanteau et al., 2002; Parham et al., 2010a)","previouslyFormattedCitation":"(Shanteau et al. 2002; Parham et al. 2010a; S S Cross et al. 2000; S.S. Cross, T. Dennis, R.D. Start 2002)"},"properties":{"noteIndex":0},"schema":"https://github.com/citation-style-language/schema/raw/master/csl-citation.json"}</w:instrText>
      </w:r>
      <w:r w:rsidRPr="00F9574D">
        <w:rPr>
          <w:rFonts w:ascii="Times New Roman" w:hAnsi="Times New Roman" w:cs="Times New Roman"/>
          <w:sz w:val="24"/>
          <w:szCs w:val="24"/>
        </w:rPr>
        <w:fldChar w:fldCharType="separate"/>
      </w:r>
      <w:r w:rsidR="00BE3B6C" w:rsidRPr="00F9574D">
        <w:rPr>
          <w:rFonts w:ascii="Times New Roman" w:hAnsi="Times New Roman" w:cs="Times New Roman"/>
          <w:noProof/>
          <w:sz w:val="24"/>
          <w:szCs w:val="24"/>
        </w:rPr>
        <w:t>(Cross et al.</w:t>
      </w:r>
      <w:r w:rsidR="00F9574D">
        <w:rPr>
          <w:rFonts w:ascii="Times New Roman" w:hAnsi="Times New Roman" w:cs="Times New Roman"/>
          <w:noProof/>
          <w:sz w:val="24"/>
          <w:szCs w:val="24"/>
        </w:rPr>
        <w:t xml:space="preserve"> 2000; Cross, Dennis and Start</w:t>
      </w:r>
      <w:r w:rsidR="00BE3B6C" w:rsidRPr="00F9574D">
        <w:rPr>
          <w:rFonts w:ascii="Times New Roman" w:hAnsi="Times New Roman" w:cs="Times New Roman"/>
          <w:noProof/>
          <w:sz w:val="24"/>
          <w:szCs w:val="24"/>
        </w:rPr>
        <w:t xml:space="preserve"> 2002; Shanteau et al. 2002; Parham et al.</w:t>
      </w:r>
      <w:r w:rsidR="00F9574D">
        <w:rPr>
          <w:rFonts w:ascii="Times New Roman" w:hAnsi="Times New Roman" w:cs="Times New Roman"/>
          <w:noProof/>
          <w:sz w:val="24"/>
          <w:szCs w:val="24"/>
        </w:rPr>
        <w:t xml:space="preserve"> 2010</w:t>
      </w:r>
      <w:r w:rsidR="00BE3B6C" w:rsidRPr="00F9574D">
        <w:rPr>
          <w:rFonts w:ascii="Times New Roman" w:hAnsi="Times New Roman" w:cs="Times New Roman"/>
          <w:noProof/>
          <w:sz w:val="24"/>
          <w:szCs w:val="24"/>
        </w:rPr>
        <w:t>)</w:t>
      </w:r>
      <w:r w:rsidRPr="00F9574D">
        <w:rPr>
          <w:rFonts w:ascii="Times New Roman" w:hAnsi="Times New Roman" w:cs="Times New Roman"/>
          <w:sz w:val="24"/>
          <w:szCs w:val="24"/>
        </w:rPr>
        <w:fldChar w:fldCharType="end"/>
      </w:r>
      <w:r w:rsidRPr="00F9574D">
        <w:rPr>
          <w:rFonts w:ascii="Times New Roman" w:hAnsi="Times New Roman" w:cs="Times New Roman"/>
          <w:sz w:val="24"/>
          <w:szCs w:val="24"/>
        </w:rPr>
        <w:t>. Although these studies offer some insight into diagnostic competence, the wider literature on competence suggest</w:t>
      </w:r>
      <w:r w:rsidR="00ED7C9E" w:rsidRPr="00F9574D">
        <w:rPr>
          <w:rFonts w:ascii="Times New Roman" w:hAnsi="Times New Roman" w:cs="Times New Roman"/>
          <w:sz w:val="24"/>
          <w:szCs w:val="24"/>
        </w:rPr>
        <w:t>s</w:t>
      </w:r>
      <w:r w:rsidRPr="00F9574D">
        <w:rPr>
          <w:rFonts w:ascii="Times New Roman" w:hAnsi="Times New Roman" w:cs="Times New Roman"/>
          <w:sz w:val="24"/>
          <w:szCs w:val="24"/>
        </w:rPr>
        <w:t xml:space="preserve"> that looking at diagnosis alone is unlikely to reflect the full judgement ecology. Furthermore, studies have examined diagnosis in isolation and not how consultants judge diagnostic competency in their trainees. This is impor</w:t>
      </w:r>
      <w:r w:rsidR="001E5DEF" w:rsidRPr="00F9574D">
        <w:rPr>
          <w:rFonts w:ascii="Times New Roman" w:hAnsi="Times New Roman" w:cs="Times New Roman"/>
          <w:sz w:val="24"/>
          <w:szCs w:val="24"/>
        </w:rPr>
        <w:t xml:space="preserve">tant to understand as it is </w:t>
      </w:r>
      <w:r w:rsidR="00ED7C9E" w:rsidRPr="00F9574D">
        <w:rPr>
          <w:rFonts w:ascii="Times New Roman" w:hAnsi="Times New Roman" w:cs="Times New Roman"/>
          <w:sz w:val="24"/>
          <w:szCs w:val="24"/>
        </w:rPr>
        <w:t>these judgements</w:t>
      </w:r>
      <w:r w:rsidRPr="00F9574D">
        <w:rPr>
          <w:rFonts w:ascii="Times New Roman" w:hAnsi="Times New Roman" w:cs="Times New Roman"/>
          <w:sz w:val="24"/>
          <w:szCs w:val="24"/>
        </w:rPr>
        <w:t xml:space="preserve"> that could determine whether a trainee is progressing appropriately through the training programme or if trainees are able to qualify without actually being diagnostically competent. Indeed, it has been suggested that the most important priority in dental </w:t>
      </w:r>
      <w:r w:rsidR="00F9574D">
        <w:rPr>
          <w:rFonts w:ascii="Times New Roman" w:hAnsi="Times New Roman" w:cs="Times New Roman"/>
          <w:sz w:val="24"/>
          <w:szCs w:val="24"/>
        </w:rPr>
        <w:t xml:space="preserve">education  is the </w:t>
      </w:r>
      <w:r w:rsidRPr="00F9574D">
        <w:rPr>
          <w:rFonts w:ascii="Times New Roman" w:hAnsi="Times New Roman" w:cs="Times New Roman"/>
          <w:sz w:val="24"/>
          <w:szCs w:val="24"/>
        </w:rPr>
        <w:t>role of asses</w:t>
      </w:r>
      <w:r w:rsidR="00F9574D">
        <w:rPr>
          <w:rFonts w:ascii="Times New Roman" w:hAnsi="Times New Roman" w:cs="Times New Roman"/>
          <w:sz w:val="24"/>
          <w:szCs w:val="24"/>
        </w:rPr>
        <w:t xml:space="preserve">sment in identifying competence </w:t>
      </w:r>
      <w:r w:rsidRPr="00F9574D">
        <w:rPr>
          <w:rFonts w:ascii="Times New Roman" w:hAnsi="Times New Roman" w:cs="Times New Roman"/>
          <w:sz w:val="24"/>
          <w:szCs w:val="24"/>
        </w:rPr>
        <w:fldChar w:fldCharType="begin" w:fldLock="1"/>
      </w:r>
      <w:r w:rsidR="00BE3B6C" w:rsidRPr="00F9574D">
        <w:rPr>
          <w:rFonts w:ascii="Times New Roman" w:hAnsi="Times New Roman" w:cs="Times New Roman"/>
          <w:sz w:val="24"/>
          <w:szCs w:val="24"/>
        </w:rPr>
        <w:instrText>ADDIN CSL_CITATION {"citationItems":[{"id":"ITEM-1","itemData":{"DOI":"10.1136/bmjopen-2016-013129","ISSN":"20446055","PMID":"28360237","abstract":"Objectives This study aimed to identify national dental education research (DER) priorities for the next 3-5 years and to identify barriers and enablers to DER. Setting Scotland. Participants In this two-stage online questionnaire study, we collected data with multiple dental professions (eg, dentistry, dental nursing and dental hygiene) and stakeholder groups (eg, learners, clinicians, educators, managers, researchers and academics). Eighty-five participants completed the Stage 1 qualitative questionnaire and 649 participants the Stage 2 quantitative questionnaire. Results Eight themes were identified at Stage 1. Of the 24 DER priorities identified, the top three were: Role of assessments in identifying competence; undergraduate curriculum prepares for practice and promoting teamwork. Following exploratory factor analysis, the 24 items loaded onto four factors: Teamwork and professionalism, measuring and enhancing performance, dental workforce issues and curriculum integration and innovation. Barriers and enablers existed at multiple levels: Individual, interpersonal, institutional structures and cultures and technology. Conclusions This priority setting exercise provides a necessary first step to developing a national DER strategy capturing multiple perspectives. Promoting DER requires improved resourcing alongside efforts to overcome peer stigma and lack of valuing and motivation.","author":[{"dropping-particle":"","family":"Ajjawi","given":"Rola","non-dropping-particle":"","parse-names":false,"suffix":""},{"dropping-particle":"","family":"Barton","given":"Karen L.","non-dropping-particle":"","parse-names":false,"suffix":""},{"dropping-particle":"","family":"Dennis","given":"Ashley A.","non-dropping-particle":"","parse-names":false,"suffix":""},{"dropping-particle":"","family":"Rees","given":"Charlotte E.","non-dropping-particle":"","parse-names":false,"suffix":""}],"container-title":"BMJ Open","id":"ITEM-1","issue":"3","issued":{"date-parts":[["2017"]]},"title":"Developing a national dental education research strategy: Priorities, barriers and enablers","type":"article-journal","volume":"7"},"uris":["http://www.mendeley.com/documents/?uuid=070df7af-1c6f-49d2-b104-1c74e1b9e851"]}],"mendeley":{"formattedCitation":"(Ajjawi &lt;i&gt;et al.&lt;/i&gt;, 2017)","plainTextFormattedCitation":"(Ajjawi et al., 2017)","previouslyFormattedCitation":"(Ajjawi et al. 2017)"},"properties":{"noteIndex":0},"schema":"https://github.com/citation-style-language/schema/raw/master/csl-citation.json"}</w:instrText>
      </w:r>
      <w:r w:rsidRPr="00F9574D">
        <w:rPr>
          <w:rFonts w:ascii="Times New Roman" w:hAnsi="Times New Roman" w:cs="Times New Roman"/>
          <w:sz w:val="24"/>
          <w:szCs w:val="24"/>
        </w:rPr>
        <w:fldChar w:fldCharType="separate"/>
      </w:r>
      <w:r w:rsidR="00BE3B6C" w:rsidRPr="00F9574D">
        <w:rPr>
          <w:rFonts w:ascii="Times New Roman" w:hAnsi="Times New Roman" w:cs="Times New Roman"/>
          <w:noProof/>
          <w:sz w:val="24"/>
          <w:szCs w:val="24"/>
        </w:rPr>
        <w:t>(Ajjawi et al. 2017)</w:t>
      </w:r>
      <w:r w:rsidRPr="00F9574D">
        <w:rPr>
          <w:rFonts w:ascii="Times New Roman" w:hAnsi="Times New Roman" w:cs="Times New Roman"/>
          <w:sz w:val="24"/>
          <w:szCs w:val="24"/>
        </w:rPr>
        <w:fldChar w:fldCharType="end"/>
      </w:r>
      <w:r w:rsidRPr="00F9574D">
        <w:rPr>
          <w:rFonts w:ascii="Times New Roman" w:hAnsi="Times New Roman" w:cs="Times New Roman"/>
          <w:sz w:val="24"/>
          <w:szCs w:val="24"/>
        </w:rPr>
        <w:t xml:space="preserve">. </w:t>
      </w:r>
    </w:p>
    <w:p w14:paraId="119FB437" w14:textId="1D19BE9F"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 is therefore imperative to ask histopathology trainees and consultant about their perception of the current WBAs and particularly if they are capable of measuring diagnostic competence. This may identify the possible strengths and weakness of WBAs in histopathology, while also addressing a large void in knowledge in the healthcare literature. Following this, it is important to understand how consultants determine diagnostic competence in trainees. This will help to understand the knowledge, skills and behaviours that are most relevant to histopathology as well as providing further insight into the possible issues with the current WBAs. To this end,  </w:t>
      </w:r>
      <w:r w:rsidRPr="006F3B00">
        <w:rPr>
          <w:rFonts w:ascii="Times New Roman" w:hAnsi="Times New Roman" w:cs="Times New Roman"/>
          <w:bCs/>
          <w:sz w:val="24"/>
          <w:szCs w:val="24"/>
        </w:rPr>
        <w:t xml:space="preserve">a systematic review from 2017 examining </w:t>
      </w:r>
      <w:r w:rsidR="00CD12E8">
        <w:rPr>
          <w:rFonts w:ascii="Times New Roman" w:hAnsi="Times New Roman" w:cs="Times New Roman"/>
          <w:bCs/>
          <w:sz w:val="24"/>
          <w:szCs w:val="24"/>
        </w:rPr>
        <w:t>the Mini-</w:t>
      </w:r>
      <w:r w:rsidRPr="006F3B00">
        <w:rPr>
          <w:rFonts w:ascii="Times New Roman" w:hAnsi="Times New Roman" w:cs="Times New Roman"/>
          <w:bCs/>
          <w:sz w:val="24"/>
          <w:szCs w:val="24"/>
        </w:rPr>
        <w:t>CEX</w:t>
      </w:r>
      <w:r w:rsidR="00CD12E8">
        <w:rPr>
          <w:rFonts w:ascii="Times New Roman" w:hAnsi="Times New Roman" w:cs="Times New Roman"/>
          <w:bCs/>
          <w:sz w:val="24"/>
          <w:szCs w:val="24"/>
        </w:rPr>
        <w:t xml:space="preserve"> tool</w:t>
      </w:r>
      <w:r w:rsidRPr="006F3B00">
        <w:rPr>
          <w:rFonts w:ascii="Times New Roman" w:hAnsi="Times New Roman" w:cs="Times New Roman"/>
          <w:bCs/>
          <w:sz w:val="24"/>
          <w:szCs w:val="24"/>
        </w:rPr>
        <w:t xml:space="preserve">, concluded that despite current theories and research exploring judgement in assessment, issues of bias and rater idiosyncrasy are not fully </w:t>
      </w:r>
      <w:r w:rsidRPr="006F3B00">
        <w:rPr>
          <w:rFonts w:ascii="Times New Roman" w:hAnsi="Times New Roman" w:cs="Times New Roman"/>
          <w:bCs/>
          <w:sz w:val="24"/>
          <w:szCs w:val="24"/>
        </w:rPr>
        <w:lastRenderedPageBreak/>
        <w:t>resolved</w:t>
      </w:r>
      <w:r w:rsidR="00ED7C9E">
        <w:rPr>
          <w:rFonts w:ascii="Times New Roman" w:hAnsi="Times New Roman" w:cs="Times New Roman"/>
          <w:bCs/>
          <w:sz w:val="24"/>
          <w:szCs w:val="24"/>
        </w:rPr>
        <w:t xml:space="preserve"> </w:t>
      </w:r>
      <w:r w:rsidRPr="006F3B00">
        <w:rPr>
          <w:rFonts w:ascii="Times New Roman" w:hAnsi="Times New Roman" w:cs="Times New Roman"/>
          <w:bCs/>
          <w:sz w:val="24"/>
          <w:szCs w:val="24"/>
        </w:rPr>
        <w:fldChar w:fldCharType="begin" w:fldLock="1"/>
      </w:r>
      <w:r w:rsidR="00BE3B6C">
        <w:rPr>
          <w:rFonts w:ascii="Times New Roman" w:hAnsi="Times New Roman" w:cs="Times New Roman"/>
          <w:bCs/>
          <w:sz w:val="24"/>
          <w:szCs w:val="24"/>
        </w:rPr>
        <w:instrText>ADDIN CSL_CITATION {"citationItems":[{"id":"ITEM-1","itemData":{"DOI":"10.1097/ACM.0000000000001537","ISBN":"0000000000","ISSN":"1938808X","PMID":"28030422","abstract":"Purpose: At present, little is known about how mini-clinical evaluation exercise (mini-CEX) raters translate their observations into judgments and ratings. The authors of this systematic literature review aim both to identify the factors influencing mini-CEX rater judgments in the medical education setting and to translate these findings into practical implications for clinician assessors., Method: The authors searched for internal and external factors influencing mini-CEX rater judgments in the medical education setting from 1980 to 2015 using the Ovid MEDLINE, PsycINFO, ERIC, PubMed, and Scopus databases. They extracted the following information from each study: country of origin, educational level, study design and setting, type of observation, occurrence of rater training, provision of feedback to the trainee, research question, and identified factors influencing rater judgments. The authors also conducted a quality assessment for each study., Results: Seventeen articles met the inclusion criteria. The authors identified both internal and external factors that influence mini-CEX rater judgments. They subcategorized the internal factors into intrinsic rater factors, judgment-making factors (conceptualization, interpretation, attention, and impressions), and scoring factors (scoring integration and domain differentiation)., Conclusions: The current theories of rater-based judgment have not helped clinicians resolve the issues of rater idiosyncrasy, bias, gestalt, and conflicting contextual factors; therefore, the authors believe the most important solution is to increase the justification of rater judgments through the use of specific narrative and contextual comments, which are more informative for trainees. Finally, more real-world research is required to bridge the gap between the theory and practice of rater cognition., (C) 2017 by the Association of American Medical Colleges","author":[{"dropping-particle":"","family":"Lee","given":"Victor","non-dropping-particle":"","parse-names":false,"suffix":""},{"dropping-particle":"","family":"Brain","given":"Keira","non-dropping-particle":"","parse-names":false,"suffix":""},{"dropping-particle":"","family":"Martin","given":"Jenepher","non-dropping-particle":"","parse-names":false,"suffix":""}],"container-title":"Academic Medicine","id":"ITEM-1","issue":"6","issued":{"date-parts":[["2017"]]},"page":"880-887","title":"Factors Influencing Mini-CEX Rater Judgments and Their Practical Implications: A Systematic Literature Review","type":"article","volume":"92"},"uris":["http://www.mendeley.com/documents/?uuid=9305e94f-c5ff-47f7-a399-db1a08d002d0"]}],"mendeley":{"formattedCitation":"(Lee, Brain and Martin, 2017)","plainTextFormattedCitation":"(Lee, Brain and Martin, 2017)","previouslyFormattedCitation":"(V. Lee, Brain, and Martin 2017)"},"properties":{"noteIndex":0},"schema":"https://github.com/citation-style-language/schema/raw/master/csl-citation.json"}</w:instrText>
      </w:r>
      <w:r w:rsidRPr="006F3B00">
        <w:rPr>
          <w:rFonts w:ascii="Times New Roman" w:hAnsi="Times New Roman" w:cs="Times New Roman"/>
          <w:bCs/>
          <w:sz w:val="24"/>
          <w:szCs w:val="24"/>
        </w:rPr>
        <w:fldChar w:fldCharType="separate"/>
      </w:r>
      <w:r w:rsidR="00F9574D">
        <w:rPr>
          <w:rFonts w:ascii="Times New Roman" w:hAnsi="Times New Roman" w:cs="Times New Roman"/>
          <w:bCs/>
          <w:noProof/>
          <w:sz w:val="24"/>
          <w:szCs w:val="24"/>
        </w:rPr>
        <w:t>(Lee, Brain and Martin</w:t>
      </w:r>
      <w:r w:rsidR="00BE3B6C" w:rsidRPr="00BE3B6C">
        <w:rPr>
          <w:rFonts w:ascii="Times New Roman" w:hAnsi="Times New Roman" w:cs="Times New Roman"/>
          <w:bCs/>
          <w:noProof/>
          <w:sz w:val="24"/>
          <w:szCs w:val="24"/>
        </w:rPr>
        <w:t xml:space="preserve"> 2017)</w:t>
      </w:r>
      <w:r w:rsidRPr="006F3B00">
        <w:rPr>
          <w:rFonts w:ascii="Times New Roman" w:hAnsi="Times New Roman" w:cs="Times New Roman"/>
          <w:bCs/>
          <w:sz w:val="24"/>
          <w:szCs w:val="24"/>
        </w:rPr>
        <w:fldChar w:fldCharType="end"/>
      </w:r>
      <w:r w:rsidRPr="006F3B00">
        <w:rPr>
          <w:rFonts w:ascii="Times New Roman" w:hAnsi="Times New Roman" w:cs="Times New Roman"/>
          <w:bCs/>
          <w:sz w:val="24"/>
          <w:szCs w:val="24"/>
        </w:rPr>
        <w:t xml:space="preserve"> and the solution lies in judges providing specific and in-depth narrative to justify their ratings to provide insight into what is valued by the profession.</w:t>
      </w:r>
      <w:r w:rsidRPr="006F3B00">
        <w:rPr>
          <w:rFonts w:ascii="Times New Roman" w:hAnsi="Times New Roman" w:cs="Times New Roman"/>
          <w:sz w:val="24"/>
          <w:szCs w:val="24"/>
        </w:rPr>
        <w:t xml:space="preserve"> The underlying qualities and the nature in which the information is used to inform judgements may help to guide the design of future assessment tools and ensure diagnostic competence is being properly assessed.  </w:t>
      </w:r>
    </w:p>
    <w:p w14:paraId="36D15203"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17440121"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26EBFFC5"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46BFE58F" w14:textId="77777777" w:rsidR="00B65B60" w:rsidRPr="006F3B00" w:rsidRDefault="00B65B60" w:rsidP="002F1F09">
      <w:pPr>
        <w:pStyle w:val="Heading1"/>
        <w:jc w:val="center"/>
        <w:rPr>
          <w:rFonts w:ascii="Times New Roman" w:hAnsi="Times New Roman" w:cs="Times New Roman"/>
          <w:b/>
          <w:color w:val="auto"/>
          <w:sz w:val="24"/>
          <w:szCs w:val="24"/>
        </w:rPr>
      </w:pPr>
    </w:p>
    <w:p w14:paraId="4AD6733E" w14:textId="77777777" w:rsidR="00B65B60" w:rsidRPr="006F3B00" w:rsidRDefault="00B65B60" w:rsidP="00B65B60">
      <w:pPr>
        <w:pStyle w:val="Heading1"/>
        <w:jc w:val="center"/>
        <w:rPr>
          <w:rFonts w:ascii="Times New Roman" w:hAnsi="Times New Roman" w:cs="Times New Roman"/>
          <w:b/>
          <w:color w:val="auto"/>
          <w:sz w:val="72"/>
          <w:szCs w:val="72"/>
        </w:rPr>
      </w:pPr>
      <w:bookmarkStart w:id="54" w:name="_Toc23243783"/>
      <w:r w:rsidRPr="006F3B00">
        <w:rPr>
          <w:rFonts w:ascii="Times New Roman" w:hAnsi="Times New Roman" w:cs="Times New Roman"/>
          <w:b/>
          <w:color w:val="auto"/>
          <w:sz w:val="72"/>
          <w:szCs w:val="72"/>
        </w:rPr>
        <w:t>Chapter 2</w:t>
      </w:r>
      <w:bookmarkEnd w:id="54"/>
    </w:p>
    <w:p w14:paraId="200FF8A1" w14:textId="181C12BC" w:rsidR="00B65B60" w:rsidRPr="006F3B00" w:rsidRDefault="00B65B60" w:rsidP="00B65B60">
      <w:pPr>
        <w:pStyle w:val="Heading1"/>
        <w:jc w:val="center"/>
        <w:rPr>
          <w:rFonts w:ascii="Times New Roman" w:hAnsi="Times New Roman" w:cs="Times New Roman"/>
          <w:b/>
          <w:color w:val="auto"/>
          <w:sz w:val="72"/>
          <w:szCs w:val="72"/>
        </w:rPr>
      </w:pPr>
      <w:r w:rsidRPr="006F3B00">
        <w:rPr>
          <w:rFonts w:ascii="Times New Roman" w:hAnsi="Times New Roman" w:cs="Times New Roman"/>
          <w:b/>
          <w:color w:val="auto"/>
          <w:sz w:val="72"/>
          <w:szCs w:val="72"/>
        </w:rPr>
        <w:t xml:space="preserve"> </w:t>
      </w:r>
      <w:bookmarkStart w:id="55" w:name="_Toc23243784"/>
      <w:r w:rsidRPr="006F3B00">
        <w:rPr>
          <w:rFonts w:ascii="Times New Roman" w:hAnsi="Times New Roman" w:cs="Times New Roman"/>
          <w:b/>
          <w:color w:val="auto"/>
          <w:sz w:val="72"/>
          <w:szCs w:val="72"/>
        </w:rPr>
        <w:t>Aims and Objectives</w:t>
      </w:r>
      <w:bookmarkEnd w:id="55"/>
    </w:p>
    <w:p w14:paraId="1FC1E992"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6D2A388A"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07C7F04F"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1C5AC903"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61DE4869"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278CD98F"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61830EA0"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7BD4FB7E"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34C11C24"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6F616538"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067514E0"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54AE8ED8"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47AADA85"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008E094C"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64074814"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06650C33"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74FD4843" w14:textId="77777777" w:rsidR="0043753D" w:rsidRDefault="0043753D" w:rsidP="0043753D">
      <w:pPr>
        <w:rPr>
          <w:rFonts w:ascii="Times New Roman" w:hAnsi="Times New Roman" w:cs="Times New Roman"/>
          <w:b/>
          <w:sz w:val="24"/>
          <w:szCs w:val="24"/>
          <w:u w:val="single"/>
        </w:rPr>
      </w:pPr>
    </w:p>
    <w:p w14:paraId="70F8B499" w14:textId="77777777" w:rsidR="00E9144C" w:rsidRDefault="00E9144C" w:rsidP="0043753D">
      <w:pPr>
        <w:jc w:val="center"/>
        <w:rPr>
          <w:rFonts w:ascii="Times New Roman" w:hAnsi="Times New Roman" w:cs="Times New Roman"/>
          <w:b/>
          <w:sz w:val="24"/>
          <w:szCs w:val="24"/>
          <w:u w:val="single"/>
        </w:rPr>
      </w:pPr>
    </w:p>
    <w:p w14:paraId="6D91B2CD" w14:textId="509EA3A4" w:rsidR="00863DF5" w:rsidRPr="006F3B00" w:rsidRDefault="00863DF5" w:rsidP="0043753D">
      <w:pPr>
        <w:jc w:val="center"/>
        <w:rPr>
          <w:rFonts w:ascii="Times New Roman" w:hAnsi="Times New Roman" w:cs="Times New Roman"/>
          <w:b/>
          <w:sz w:val="24"/>
          <w:szCs w:val="24"/>
          <w:u w:val="single"/>
        </w:rPr>
      </w:pPr>
      <w:r w:rsidRPr="006F3B00">
        <w:rPr>
          <w:rFonts w:ascii="Times New Roman" w:hAnsi="Times New Roman" w:cs="Times New Roman"/>
          <w:b/>
          <w:sz w:val="24"/>
          <w:szCs w:val="24"/>
          <w:u w:val="single"/>
        </w:rPr>
        <w:lastRenderedPageBreak/>
        <w:t>Chapter 2: Aims and Objectives</w:t>
      </w:r>
    </w:p>
    <w:p w14:paraId="09855E1C" w14:textId="77777777" w:rsidR="00863DF5" w:rsidRPr="006F3B00" w:rsidRDefault="00863DF5" w:rsidP="00863DF5">
      <w:pPr>
        <w:rPr>
          <w:rFonts w:ascii="Times New Roman" w:hAnsi="Times New Roman" w:cs="Times New Roman"/>
          <w:sz w:val="24"/>
          <w:szCs w:val="24"/>
        </w:rPr>
      </w:pPr>
    </w:p>
    <w:p w14:paraId="0E39A88C" w14:textId="2EA014F8" w:rsidR="0085219A" w:rsidRDefault="0085219A" w:rsidP="00863DF5">
      <w:pPr>
        <w:pStyle w:val="Heading2"/>
        <w:rPr>
          <w:rFonts w:ascii="Times New Roman" w:hAnsi="Times New Roman" w:cs="Times New Roman"/>
          <w:color w:val="auto"/>
          <w:sz w:val="24"/>
          <w:szCs w:val="24"/>
        </w:rPr>
      </w:pPr>
      <w:bookmarkStart w:id="56" w:name="_Toc23243785"/>
      <w:r>
        <w:rPr>
          <w:rFonts w:ascii="Times New Roman" w:hAnsi="Times New Roman" w:cs="Times New Roman"/>
          <w:color w:val="auto"/>
          <w:sz w:val="24"/>
          <w:szCs w:val="24"/>
        </w:rPr>
        <w:t>2.1 Introduction</w:t>
      </w:r>
      <w:bookmarkEnd w:id="56"/>
    </w:p>
    <w:p w14:paraId="1193554D" w14:textId="77777777" w:rsidR="0085219A" w:rsidRPr="0085219A" w:rsidRDefault="0085219A" w:rsidP="0085219A">
      <w:pPr>
        <w:spacing w:line="480" w:lineRule="auto"/>
        <w:rPr>
          <w:lang w:val="en-GB"/>
        </w:rPr>
      </w:pPr>
    </w:p>
    <w:p w14:paraId="4C048EEE" w14:textId="0403C80B" w:rsidR="0085219A" w:rsidRPr="0085219A" w:rsidRDefault="0085219A" w:rsidP="0085219A">
      <w:pPr>
        <w:spacing w:line="480" w:lineRule="auto"/>
        <w:rPr>
          <w:rFonts w:ascii="Times New Roman" w:hAnsi="Times New Roman" w:cs="Times New Roman"/>
          <w:sz w:val="24"/>
          <w:szCs w:val="24"/>
        </w:rPr>
      </w:pPr>
      <w:r w:rsidRPr="0085219A">
        <w:rPr>
          <w:rFonts w:ascii="Times New Roman" w:hAnsi="Times New Roman" w:cs="Times New Roman"/>
          <w:sz w:val="24"/>
          <w:szCs w:val="24"/>
        </w:rPr>
        <w:t>The literature review demonstrated that the current assessment system</w:t>
      </w:r>
      <w:r w:rsidR="00E9144C">
        <w:rPr>
          <w:rFonts w:ascii="Times New Roman" w:hAnsi="Times New Roman" w:cs="Times New Roman"/>
          <w:sz w:val="24"/>
          <w:szCs w:val="24"/>
        </w:rPr>
        <w:t>s</w:t>
      </w:r>
      <w:r w:rsidRPr="0085219A">
        <w:rPr>
          <w:rFonts w:ascii="Times New Roman" w:hAnsi="Times New Roman" w:cs="Times New Roman"/>
          <w:sz w:val="24"/>
          <w:szCs w:val="24"/>
        </w:rPr>
        <w:t xml:space="preserve"> in histopathology</w:t>
      </w:r>
      <w:r>
        <w:rPr>
          <w:rFonts w:ascii="Times New Roman" w:hAnsi="Times New Roman" w:cs="Times New Roman"/>
          <w:sz w:val="24"/>
          <w:szCs w:val="24"/>
        </w:rPr>
        <w:t xml:space="preserve"> may have</w:t>
      </w:r>
      <w:r w:rsidRPr="0085219A">
        <w:rPr>
          <w:rFonts w:ascii="Times New Roman" w:hAnsi="Times New Roman" w:cs="Times New Roman"/>
          <w:sz w:val="24"/>
          <w:szCs w:val="24"/>
        </w:rPr>
        <w:t xml:space="preserve"> limitations and there is </w:t>
      </w:r>
      <w:r>
        <w:rPr>
          <w:rFonts w:ascii="Times New Roman" w:hAnsi="Times New Roman" w:cs="Times New Roman"/>
          <w:sz w:val="24"/>
          <w:szCs w:val="24"/>
        </w:rPr>
        <w:t>little</w:t>
      </w:r>
      <w:r w:rsidRPr="0085219A">
        <w:rPr>
          <w:rFonts w:ascii="Times New Roman" w:hAnsi="Times New Roman" w:cs="Times New Roman"/>
          <w:sz w:val="24"/>
          <w:szCs w:val="24"/>
        </w:rPr>
        <w:t xml:space="preserve"> evidence </w:t>
      </w:r>
      <w:r w:rsidR="0043753D">
        <w:rPr>
          <w:rFonts w:ascii="Times New Roman" w:hAnsi="Times New Roman" w:cs="Times New Roman"/>
          <w:sz w:val="24"/>
          <w:szCs w:val="24"/>
        </w:rPr>
        <w:t xml:space="preserve">to support the use of WBAs. </w:t>
      </w:r>
      <w:r w:rsidRPr="0085219A">
        <w:rPr>
          <w:rFonts w:ascii="Times New Roman" w:hAnsi="Times New Roman" w:cs="Times New Roman"/>
          <w:sz w:val="24"/>
          <w:szCs w:val="24"/>
        </w:rPr>
        <w:t xml:space="preserve"> </w:t>
      </w:r>
      <w:r>
        <w:rPr>
          <w:rFonts w:ascii="Times New Roman" w:hAnsi="Times New Roman" w:cs="Times New Roman"/>
          <w:sz w:val="24"/>
          <w:szCs w:val="24"/>
        </w:rPr>
        <w:t xml:space="preserve">In particular, </w:t>
      </w:r>
      <w:r w:rsidR="00303276">
        <w:rPr>
          <w:rFonts w:ascii="Times New Roman" w:hAnsi="Times New Roman" w:cs="Times New Roman"/>
          <w:sz w:val="24"/>
          <w:szCs w:val="24"/>
        </w:rPr>
        <w:t xml:space="preserve">it is not clear </w:t>
      </w:r>
      <w:r w:rsidR="0043753D">
        <w:rPr>
          <w:rFonts w:ascii="Times New Roman" w:hAnsi="Times New Roman" w:cs="Times New Roman"/>
          <w:sz w:val="24"/>
          <w:szCs w:val="24"/>
        </w:rPr>
        <w:t>what diagnostic competence</w:t>
      </w:r>
      <w:r w:rsidR="000E66CF">
        <w:rPr>
          <w:rFonts w:ascii="Times New Roman" w:hAnsi="Times New Roman" w:cs="Times New Roman"/>
          <w:sz w:val="24"/>
          <w:szCs w:val="24"/>
        </w:rPr>
        <w:t xml:space="preserve"> is</w:t>
      </w:r>
      <w:r w:rsidR="00D451B0">
        <w:rPr>
          <w:rFonts w:ascii="Times New Roman" w:hAnsi="Times New Roman" w:cs="Times New Roman"/>
          <w:sz w:val="24"/>
          <w:szCs w:val="24"/>
        </w:rPr>
        <w:t xml:space="preserve">, </w:t>
      </w:r>
      <w:r w:rsidR="0043753D">
        <w:rPr>
          <w:rFonts w:ascii="Times New Roman" w:hAnsi="Times New Roman" w:cs="Times New Roman"/>
          <w:sz w:val="24"/>
          <w:szCs w:val="24"/>
        </w:rPr>
        <w:t>how consultants judge this quality in their trainees</w:t>
      </w:r>
      <w:r w:rsidR="00D451B0">
        <w:rPr>
          <w:rFonts w:ascii="Times New Roman" w:hAnsi="Times New Roman" w:cs="Times New Roman"/>
          <w:sz w:val="24"/>
          <w:szCs w:val="24"/>
        </w:rPr>
        <w:t xml:space="preserve"> and whether WBAs are a useful tool to measure it</w:t>
      </w:r>
      <w:r w:rsidR="0043753D">
        <w:rPr>
          <w:rFonts w:ascii="Times New Roman" w:hAnsi="Times New Roman" w:cs="Times New Roman"/>
          <w:sz w:val="24"/>
          <w:szCs w:val="24"/>
        </w:rPr>
        <w:t>.</w:t>
      </w:r>
      <w:r w:rsidR="002B2EF6">
        <w:rPr>
          <w:rFonts w:ascii="Times New Roman" w:hAnsi="Times New Roman" w:cs="Times New Roman"/>
          <w:sz w:val="24"/>
          <w:szCs w:val="24"/>
        </w:rPr>
        <w:t xml:space="preserve"> </w:t>
      </w:r>
      <w:r w:rsidR="00A75D52">
        <w:rPr>
          <w:rFonts w:ascii="Times New Roman" w:hAnsi="Times New Roman" w:cs="Times New Roman"/>
          <w:sz w:val="24"/>
          <w:szCs w:val="24"/>
        </w:rPr>
        <w:t xml:space="preserve">As described at the end of the previous chapter, </w:t>
      </w:r>
      <w:r w:rsidR="00ED7C9E">
        <w:rPr>
          <w:rFonts w:ascii="Times New Roman" w:hAnsi="Times New Roman" w:cs="Times New Roman"/>
          <w:sz w:val="24"/>
          <w:szCs w:val="24"/>
        </w:rPr>
        <w:t xml:space="preserve">it is important to </w:t>
      </w:r>
      <w:r w:rsidR="00D451B0">
        <w:rPr>
          <w:rFonts w:ascii="Times New Roman" w:hAnsi="Times New Roman" w:cs="Times New Roman"/>
          <w:sz w:val="24"/>
          <w:szCs w:val="24"/>
        </w:rPr>
        <w:t>first</w:t>
      </w:r>
      <w:r w:rsidR="00A75D52">
        <w:rPr>
          <w:rFonts w:ascii="Times New Roman" w:hAnsi="Times New Roman" w:cs="Times New Roman"/>
          <w:sz w:val="24"/>
          <w:szCs w:val="24"/>
        </w:rPr>
        <w:t xml:space="preserve"> understand the current perception of WBAs </w:t>
      </w:r>
      <w:r w:rsidR="00DC4289">
        <w:rPr>
          <w:rFonts w:ascii="Times New Roman" w:hAnsi="Times New Roman" w:cs="Times New Roman"/>
          <w:sz w:val="24"/>
          <w:szCs w:val="24"/>
        </w:rPr>
        <w:t xml:space="preserve">to see if problems with their use currently exist. </w:t>
      </w:r>
      <w:r w:rsidR="001E5DEF">
        <w:rPr>
          <w:rFonts w:ascii="Times New Roman" w:hAnsi="Times New Roman" w:cs="Times New Roman"/>
          <w:sz w:val="24"/>
          <w:szCs w:val="24"/>
        </w:rPr>
        <w:t xml:space="preserve">Next, </w:t>
      </w:r>
      <w:r w:rsidR="000E66CF">
        <w:rPr>
          <w:rFonts w:ascii="Times New Roman" w:hAnsi="Times New Roman" w:cs="Times New Roman"/>
          <w:sz w:val="24"/>
          <w:szCs w:val="24"/>
        </w:rPr>
        <w:t xml:space="preserve">the </w:t>
      </w:r>
      <w:r w:rsidR="001E5DEF">
        <w:rPr>
          <w:rFonts w:ascii="Times New Roman" w:hAnsi="Times New Roman" w:cs="Times New Roman"/>
          <w:sz w:val="24"/>
          <w:szCs w:val="24"/>
        </w:rPr>
        <w:t xml:space="preserve">cues </w:t>
      </w:r>
      <w:r w:rsidR="000E66CF">
        <w:rPr>
          <w:rFonts w:ascii="Times New Roman" w:hAnsi="Times New Roman" w:cs="Times New Roman"/>
          <w:sz w:val="24"/>
          <w:szCs w:val="24"/>
        </w:rPr>
        <w:t xml:space="preserve">(knowledge, skills, </w:t>
      </w:r>
      <w:proofErr w:type="gramStart"/>
      <w:r w:rsidR="000E66CF">
        <w:rPr>
          <w:rFonts w:ascii="Times New Roman" w:hAnsi="Times New Roman" w:cs="Times New Roman"/>
          <w:sz w:val="24"/>
          <w:szCs w:val="24"/>
        </w:rPr>
        <w:t>behaviours</w:t>
      </w:r>
      <w:proofErr w:type="gramEnd"/>
      <w:r w:rsidR="000E66CF">
        <w:rPr>
          <w:rFonts w:ascii="Times New Roman" w:hAnsi="Times New Roman" w:cs="Times New Roman"/>
          <w:sz w:val="24"/>
          <w:szCs w:val="24"/>
        </w:rPr>
        <w:t>) relevant to diagnostic compete</w:t>
      </w:r>
      <w:r w:rsidR="001E5DEF">
        <w:rPr>
          <w:rFonts w:ascii="Times New Roman" w:hAnsi="Times New Roman" w:cs="Times New Roman"/>
          <w:sz w:val="24"/>
          <w:szCs w:val="24"/>
        </w:rPr>
        <w:t>nce and how consultants judge this</w:t>
      </w:r>
      <w:r w:rsidR="000E66CF">
        <w:rPr>
          <w:rFonts w:ascii="Times New Roman" w:hAnsi="Times New Roman" w:cs="Times New Roman"/>
          <w:sz w:val="24"/>
          <w:szCs w:val="24"/>
        </w:rPr>
        <w:t xml:space="preserve"> in their trainees</w:t>
      </w:r>
      <w:r w:rsidR="00ED7C9E">
        <w:rPr>
          <w:rFonts w:ascii="Times New Roman" w:hAnsi="Times New Roman" w:cs="Times New Roman"/>
          <w:sz w:val="24"/>
          <w:szCs w:val="24"/>
        </w:rPr>
        <w:t xml:space="preserve"> should be understood</w:t>
      </w:r>
      <w:r w:rsidR="000E66CF">
        <w:rPr>
          <w:rFonts w:ascii="Times New Roman" w:hAnsi="Times New Roman" w:cs="Times New Roman"/>
          <w:sz w:val="24"/>
          <w:szCs w:val="24"/>
        </w:rPr>
        <w:t>. Finally, the qualities identified should be triangulated with the stakeholders in pathology training to ensure they are valid and acceptable indicators of diagnostic competence.</w:t>
      </w:r>
    </w:p>
    <w:p w14:paraId="5A140EE9" w14:textId="77777777" w:rsidR="0085219A" w:rsidRDefault="0085219A" w:rsidP="0085219A">
      <w:pPr>
        <w:pStyle w:val="Heading2"/>
        <w:rPr>
          <w:rFonts w:ascii="Times New Roman" w:hAnsi="Times New Roman" w:cs="Times New Roman"/>
          <w:color w:val="auto"/>
          <w:sz w:val="24"/>
          <w:szCs w:val="24"/>
        </w:rPr>
      </w:pPr>
    </w:p>
    <w:p w14:paraId="30E8DFAB" w14:textId="68C5EC78" w:rsidR="0085219A" w:rsidRPr="006F3B00" w:rsidRDefault="0085219A" w:rsidP="0085219A">
      <w:pPr>
        <w:pStyle w:val="Heading2"/>
        <w:rPr>
          <w:rFonts w:ascii="Times New Roman" w:hAnsi="Times New Roman" w:cs="Times New Roman"/>
          <w:color w:val="auto"/>
          <w:sz w:val="24"/>
          <w:szCs w:val="24"/>
        </w:rPr>
      </w:pPr>
      <w:bookmarkStart w:id="57" w:name="_Toc23243786"/>
      <w:r>
        <w:rPr>
          <w:rFonts w:ascii="Times New Roman" w:hAnsi="Times New Roman" w:cs="Times New Roman"/>
          <w:color w:val="auto"/>
          <w:sz w:val="24"/>
          <w:szCs w:val="24"/>
        </w:rPr>
        <w:t xml:space="preserve">2.2 </w:t>
      </w:r>
      <w:r w:rsidRPr="006F3B00">
        <w:rPr>
          <w:rFonts w:ascii="Times New Roman" w:hAnsi="Times New Roman" w:cs="Times New Roman"/>
          <w:color w:val="auto"/>
          <w:sz w:val="24"/>
          <w:szCs w:val="24"/>
        </w:rPr>
        <w:t>Aim</w:t>
      </w:r>
      <w:r>
        <w:rPr>
          <w:rFonts w:ascii="Times New Roman" w:hAnsi="Times New Roman" w:cs="Times New Roman"/>
          <w:color w:val="auto"/>
          <w:sz w:val="24"/>
          <w:szCs w:val="24"/>
        </w:rPr>
        <w:t>s and Objectives</w:t>
      </w:r>
      <w:bookmarkEnd w:id="57"/>
    </w:p>
    <w:p w14:paraId="70D97816" w14:textId="1A33EA67" w:rsidR="0085219A" w:rsidRDefault="0085219A" w:rsidP="0085219A">
      <w:pPr>
        <w:rPr>
          <w:rFonts w:ascii="Times New Roman" w:hAnsi="Times New Roman" w:cs="Times New Roman"/>
          <w:sz w:val="24"/>
          <w:szCs w:val="24"/>
        </w:rPr>
      </w:pPr>
    </w:p>
    <w:p w14:paraId="54B420EC" w14:textId="32BEA82F" w:rsidR="0043753D" w:rsidRPr="006F3B00" w:rsidRDefault="0043753D" w:rsidP="0085219A">
      <w:pPr>
        <w:rPr>
          <w:rFonts w:ascii="Times New Roman" w:hAnsi="Times New Roman" w:cs="Times New Roman"/>
          <w:sz w:val="24"/>
          <w:szCs w:val="24"/>
        </w:rPr>
      </w:pPr>
      <w:r>
        <w:rPr>
          <w:rFonts w:ascii="Times New Roman" w:hAnsi="Times New Roman" w:cs="Times New Roman"/>
          <w:sz w:val="24"/>
          <w:szCs w:val="24"/>
        </w:rPr>
        <w:t>To understand how diagnostic competence in histopathology trainees is determined</w:t>
      </w:r>
    </w:p>
    <w:p w14:paraId="75D8A841" w14:textId="45695527" w:rsidR="00303276" w:rsidRPr="006F3B00" w:rsidRDefault="00303276" w:rsidP="00303276">
      <w:pPr>
        <w:rPr>
          <w:rFonts w:ascii="Times New Roman" w:hAnsi="Times New Roman" w:cs="Times New Roman"/>
          <w:sz w:val="24"/>
          <w:szCs w:val="24"/>
          <w:lang w:val="en-GB"/>
        </w:rPr>
      </w:pPr>
    </w:p>
    <w:p w14:paraId="329313DF" w14:textId="77777777" w:rsidR="00303276" w:rsidRPr="00303276" w:rsidRDefault="00303276" w:rsidP="00303276">
      <w:pPr>
        <w:pStyle w:val="ListParagraph"/>
        <w:rPr>
          <w:rFonts w:ascii="Times New Roman" w:hAnsi="Times New Roman" w:cs="Times New Roman"/>
          <w:sz w:val="24"/>
          <w:szCs w:val="24"/>
        </w:rPr>
      </w:pPr>
    </w:p>
    <w:p w14:paraId="4F6E2B7A" w14:textId="1FE7BB57" w:rsidR="00303276" w:rsidRPr="00303276" w:rsidRDefault="00303276" w:rsidP="00303276">
      <w:pPr>
        <w:pStyle w:val="ListParagraph"/>
        <w:numPr>
          <w:ilvl w:val="0"/>
          <w:numId w:val="15"/>
        </w:numPr>
        <w:spacing w:after="120" w:line="480" w:lineRule="auto"/>
        <w:rPr>
          <w:rFonts w:ascii="Times New Roman" w:hAnsi="Times New Roman" w:cs="Times New Roman"/>
          <w:sz w:val="24"/>
          <w:szCs w:val="24"/>
        </w:rPr>
      </w:pPr>
      <w:r w:rsidRPr="00303276">
        <w:rPr>
          <w:rFonts w:ascii="Times New Roman" w:hAnsi="Times New Roman" w:cs="Times New Roman"/>
          <w:sz w:val="24"/>
          <w:szCs w:val="24"/>
        </w:rPr>
        <w:t>To explore the perceptions of WBAs in histopathology by assessors and trainees</w:t>
      </w:r>
      <w:r>
        <w:rPr>
          <w:rFonts w:ascii="Times New Roman" w:hAnsi="Times New Roman" w:cs="Times New Roman"/>
          <w:sz w:val="24"/>
          <w:szCs w:val="24"/>
        </w:rPr>
        <w:t xml:space="preserve"> using a questionnaire</w:t>
      </w:r>
      <w:r w:rsidRPr="00303276">
        <w:rPr>
          <w:rFonts w:ascii="Times New Roman" w:hAnsi="Times New Roman" w:cs="Times New Roman"/>
          <w:sz w:val="24"/>
          <w:szCs w:val="24"/>
        </w:rPr>
        <w:t xml:space="preserve"> </w:t>
      </w:r>
      <w:r>
        <w:rPr>
          <w:rFonts w:ascii="Times New Roman" w:hAnsi="Times New Roman" w:cs="Times New Roman"/>
          <w:sz w:val="24"/>
          <w:szCs w:val="24"/>
        </w:rPr>
        <w:t>to</w:t>
      </w:r>
      <w:r w:rsidR="004606B5">
        <w:rPr>
          <w:rFonts w:ascii="Times New Roman" w:hAnsi="Times New Roman" w:cs="Times New Roman"/>
          <w:sz w:val="24"/>
          <w:szCs w:val="24"/>
        </w:rPr>
        <w:t xml:space="preserve"> understand</w:t>
      </w:r>
      <w:r>
        <w:rPr>
          <w:rFonts w:ascii="Times New Roman" w:hAnsi="Times New Roman" w:cs="Times New Roman"/>
          <w:sz w:val="24"/>
          <w:szCs w:val="24"/>
        </w:rPr>
        <w:t>:</w:t>
      </w:r>
    </w:p>
    <w:p w14:paraId="13BBBC74" w14:textId="6E5E5F62" w:rsidR="00303276" w:rsidRPr="00303276" w:rsidRDefault="00303276" w:rsidP="00E1524D">
      <w:pPr>
        <w:pStyle w:val="ListParagraph"/>
        <w:numPr>
          <w:ilvl w:val="0"/>
          <w:numId w:val="49"/>
        </w:numPr>
        <w:spacing w:line="480" w:lineRule="auto"/>
        <w:jc w:val="both"/>
        <w:rPr>
          <w:rFonts w:ascii="Times New Roman" w:hAnsi="Times New Roman" w:cs="Times New Roman"/>
          <w:sz w:val="24"/>
          <w:szCs w:val="24"/>
        </w:rPr>
      </w:pPr>
      <w:r w:rsidRPr="00303276">
        <w:rPr>
          <w:rFonts w:ascii="Times New Roman" w:hAnsi="Times New Roman" w:cs="Times New Roman"/>
          <w:sz w:val="24"/>
          <w:szCs w:val="24"/>
        </w:rPr>
        <w:t xml:space="preserve"> </w:t>
      </w:r>
      <w:proofErr w:type="gramStart"/>
      <w:r w:rsidRPr="00303276">
        <w:rPr>
          <w:rFonts w:ascii="Times New Roman" w:hAnsi="Times New Roman" w:cs="Times New Roman"/>
          <w:sz w:val="24"/>
          <w:szCs w:val="24"/>
        </w:rPr>
        <w:t>how</w:t>
      </w:r>
      <w:proofErr w:type="gramEnd"/>
      <w:r w:rsidRPr="00303276">
        <w:rPr>
          <w:rFonts w:ascii="Times New Roman" w:hAnsi="Times New Roman" w:cs="Times New Roman"/>
          <w:sz w:val="24"/>
          <w:szCs w:val="24"/>
        </w:rPr>
        <w:t xml:space="preserve"> WBAs are perceived in histopathology including a comparison to the themes identified in the healthcare literature: their perceived usefulness, validity and acceptance. </w:t>
      </w:r>
    </w:p>
    <w:p w14:paraId="2357758E" w14:textId="180F14C0" w:rsidR="00303276" w:rsidRDefault="00303276" w:rsidP="00E1524D">
      <w:pPr>
        <w:pStyle w:val="ListParagraph"/>
        <w:numPr>
          <w:ilvl w:val="0"/>
          <w:numId w:val="49"/>
        </w:numPr>
        <w:spacing w:line="480" w:lineRule="auto"/>
        <w:rPr>
          <w:rFonts w:ascii="Times New Roman" w:hAnsi="Times New Roman" w:cs="Times New Roman"/>
          <w:sz w:val="24"/>
          <w:szCs w:val="24"/>
        </w:rPr>
      </w:pPr>
      <w:r w:rsidRPr="00303276">
        <w:rPr>
          <w:rFonts w:ascii="Times New Roman" w:hAnsi="Times New Roman" w:cs="Times New Roman"/>
          <w:sz w:val="24"/>
          <w:szCs w:val="24"/>
        </w:rPr>
        <w:t xml:space="preserve"> if WBAs in histopathology are perceived to measure diagnostic competence</w:t>
      </w:r>
    </w:p>
    <w:p w14:paraId="6EE73B95" w14:textId="77777777" w:rsidR="00303276" w:rsidRDefault="00303276" w:rsidP="00303276">
      <w:pPr>
        <w:pStyle w:val="ListParagraph"/>
        <w:spacing w:line="480" w:lineRule="auto"/>
        <w:rPr>
          <w:rFonts w:ascii="Times New Roman" w:hAnsi="Times New Roman" w:cs="Times New Roman"/>
          <w:sz w:val="24"/>
          <w:szCs w:val="24"/>
        </w:rPr>
      </w:pPr>
    </w:p>
    <w:p w14:paraId="1573C57E" w14:textId="25A36E6B" w:rsidR="00303276" w:rsidRPr="00303276" w:rsidRDefault="00303276" w:rsidP="00E1524D">
      <w:pPr>
        <w:pStyle w:val="ListParagraph"/>
        <w:numPr>
          <w:ilvl w:val="0"/>
          <w:numId w:val="50"/>
        </w:numPr>
        <w:spacing w:line="480" w:lineRule="auto"/>
        <w:rPr>
          <w:rFonts w:ascii="Times New Roman" w:hAnsi="Times New Roman" w:cs="Times New Roman"/>
          <w:sz w:val="24"/>
          <w:szCs w:val="24"/>
        </w:rPr>
      </w:pPr>
      <w:r w:rsidRPr="00303276">
        <w:rPr>
          <w:rFonts w:ascii="Times New Roman" w:hAnsi="Times New Roman" w:cs="Times New Roman"/>
          <w:bCs/>
          <w:sz w:val="24"/>
          <w:szCs w:val="24"/>
        </w:rPr>
        <w:lastRenderedPageBreak/>
        <w:t>To explore diagnostic competence in histopathology by means of a qualitative interview study using Framework Method</w:t>
      </w:r>
      <w:r w:rsidR="001E5DEF">
        <w:rPr>
          <w:rFonts w:ascii="Times New Roman" w:hAnsi="Times New Roman" w:cs="Times New Roman"/>
          <w:bCs/>
          <w:sz w:val="24"/>
          <w:szCs w:val="24"/>
        </w:rPr>
        <w:t xml:space="preserve"> to </w:t>
      </w:r>
      <w:r>
        <w:rPr>
          <w:rFonts w:ascii="Times New Roman" w:hAnsi="Times New Roman" w:cs="Times New Roman"/>
          <w:bCs/>
          <w:sz w:val="24"/>
          <w:szCs w:val="24"/>
        </w:rPr>
        <w:t>understand:</w:t>
      </w:r>
    </w:p>
    <w:p w14:paraId="043CB95F" w14:textId="62E8B3AC" w:rsidR="00303276" w:rsidRPr="008C32A1" w:rsidRDefault="00303276" w:rsidP="008C32A1">
      <w:pPr>
        <w:pStyle w:val="ListParagraph"/>
        <w:numPr>
          <w:ilvl w:val="0"/>
          <w:numId w:val="4"/>
        </w:numPr>
        <w:spacing w:line="480" w:lineRule="auto"/>
        <w:rPr>
          <w:rFonts w:ascii="Times New Roman" w:hAnsi="Times New Roman" w:cs="Times New Roman"/>
          <w:sz w:val="24"/>
          <w:szCs w:val="24"/>
        </w:rPr>
      </w:pPr>
      <w:r w:rsidRPr="008C32A1">
        <w:rPr>
          <w:rFonts w:ascii="Times New Roman" w:hAnsi="Times New Roman" w:cs="Times New Roman"/>
          <w:sz w:val="24"/>
          <w:szCs w:val="24"/>
        </w:rPr>
        <w:t>what diagnostic competence encompasses in histopathology</w:t>
      </w:r>
    </w:p>
    <w:p w14:paraId="28A0164E" w14:textId="56C9F021" w:rsidR="00303276" w:rsidRPr="006F3B00" w:rsidRDefault="00303276" w:rsidP="00303276">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 t</w:t>
      </w:r>
      <w:r w:rsidRPr="006F3B00">
        <w:rPr>
          <w:rFonts w:ascii="Times New Roman" w:hAnsi="Times New Roman" w:cs="Times New Roman"/>
          <w:sz w:val="24"/>
          <w:szCs w:val="24"/>
        </w:rPr>
        <w:t>he cues consultants look for in their trainees when determining diagnostic competence</w:t>
      </w:r>
    </w:p>
    <w:p w14:paraId="648F6ADE" w14:textId="70164E08" w:rsidR="004606B5" w:rsidRPr="008C32A1" w:rsidRDefault="00303276" w:rsidP="004606B5">
      <w:pPr>
        <w:pStyle w:val="ListParagraph"/>
        <w:numPr>
          <w:ilvl w:val="0"/>
          <w:numId w:val="4"/>
        </w:numPr>
        <w:spacing w:line="480" w:lineRule="auto"/>
      </w:pPr>
      <w:r>
        <w:rPr>
          <w:rFonts w:ascii="Times New Roman" w:hAnsi="Times New Roman" w:cs="Times New Roman"/>
          <w:sz w:val="24"/>
          <w:szCs w:val="24"/>
        </w:rPr>
        <w:t xml:space="preserve"> t</w:t>
      </w:r>
      <w:r w:rsidRPr="006F3B00">
        <w:rPr>
          <w:rFonts w:ascii="Times New Roman" w:hAnsi="Times New Roman" w:cs="Times New Roman"/>
          <w:sz w:val="24"/>
          <w:szCs w:val="24"/>
        </w:rPr>
        <w:t>he judgement ecology which pertains to determining diagnostic competency in trainees</w:t>
      </w:r>
    </w:p>
    <w:p w14:paraId="22BC8ECE" w14:textId="77777777" w:rsidR="008C32A1" w:rsidRPr="004606B5" w:rsidRDefault="008C32A1" w:rsidP="008C32A1">
      <w:pPr>
        <w:pStyle w:val="ListParagraph"/>
        <w:spacing w:line="480" w:lineRule="auto"/>
        <w:ind w:left="786"/>
      </w:pPr>
    </w:p>
    <w:p w14:paraId="256D8B1D" w14:textId="3AA40A96" w:rsidR="00303276" w:rsidRPr="00303276" w:rsidRDefault="00303276" w:rsidP="00E1524D">
      <w:pPr>
        <w:pStyle w:val="ListParagraph"/>
        <w:numPr>
          <w:ilvl w:val="0"/>
          <w:numId w:val="50"/>
        </w:numPr>
        <w:spacing w:line="480" w:lineRule="auto"/>
        <w:rPr>
          <w:rFonts w:ascii="Times New Roman" w:hAnsi="Times New Roman" w:cs="Times New Roman"/>
          <w:bCs/>
          <w:sz w:val="24"/>
          <w:szCs w:val="24"/>
        </w:rPr>
      </w:pPr>
      <w:r w:rsidRPr="00303276">
        <w:rPr>
          <w:rFonts w:ascii="Times New Roman" w:hAnsi="Times New Roman" w:cs="Times New Roman"/>
          <w:bCs/>
          <w:sz w:val="24"/>
          <w:szCs w:val="24"/>
        </w:rPr>
        <w:t xml:space="preserve">To use a Delphi study to triangulate the findings from the qualitative interviews in </w:t>
      </w:r>
      <w:r>
        <w:rPr>
          <w:rFonts w:ascii="Times New Roman" w:hAnsi="Times New Roman" w:cs="Times New Roman"/>
          <w:bCs/>
          <w:sz w:val="24"/>
          <w:szCs w:val="24"/>
        </w:rPr>
        <w:t>assessing diagnostic competence to:</w:t>
      </w:r>
    </w:p>
    <w:p w14:paraId="767EA4C9" w14:textId="68E8BD17" w:rsidR="00303276" w:rsidRPr="00DB0BC8" w:rsidRDefault="00303276" w:rsidP="00E1524D">
      <w:pPr>
        <w:pStyle w:val="ListParagraph"/>
        <w:numPr>
          <w:ilvl w:val="0"/>
          <w:numId w:val="51"/>
        </w:numPr>
        <w:spacing w:line="480" w:lineRule="auto"/>
        <w:rPr>
          <w:rFonts w:ascii="Times New Roman" w:hAnsi="Times New Roman" w:cs="Times New Roman"/>
          <w:sz w:val="24"/>
          <w:szCs w:val="24"/>
        </w:rPr>
      </w:pPr>
      <w:proofErr w:type="gramStart"/>
      <w:r w:rsidRPr="00DB0BC8">
        <w:rPr>
          <w:rFonts w:ascii="Times New Roman" w:hAnsi="Times New Roman" w:cs="Times New Roman"/>
          <w:sz w:val="24"/>
          <w:szCs w:val="24"/>
        </w:rPr>
        <w:t>determine</w:t>
      </w:r>
      <w:proofErr w:type="gramEnd"/>
      <w:r w:rsidRPr="00DB0BC8">
        <w:rPr>
          <w:rFonts w:ascii="Times New Roman" w:hAnsi="Times New Roman" w:cs="Times New Roman"/>
          <w:sz w:val="24"/>
          <w:szCs w:val="24"/>
        </w:rPr>
        <w:t xml:space="preserve"> if the cues identified from the qualitative interviews are valued by experts. </w:t>
      </w:r>
    </w:p>
    <w:p w14:paraId="73849745" w14:textId="19A54C23" w:rsidR="00303276" w:rsidRPr="00DB0BC8" w:rsidRDefault="00303276" w:rsidP="00E1524D">
      <w:pPr>
        <w:pStyle w:val="ListParagraph"/>
        <w:numPr>
          <w:ilvl w:val="0"/>
          <w:numId w:val="51"/>
        </w:numPr>
        <w:spacing w:line="480" w:lineRule="auto"/>
        <w:rPr>
          <w:rFonts w:ascii="Times New Roman" w:hAnsi="Times New Roman" w:cs="Times New Roman"/>
          <w:sz w:val="24"/>
          <w:szCs w:val="24"/>
        </w:rPr>
      </w:pPr>
      <w:r w:rsidRPr="00DB0BC8">
        <w:rPr>
          <w:rFonts w:ascii="Times New Roman" w:hAnsi="Times New Roman" w:cs="Times New Roman"/>
          <w:sz w:val="24"/>
          <w:szCs w:val="24"/>
        </w:rPr>
        <w:t>determine the relative importance of individual cues</w:t>
      </w:r>
    </w:p>
    <w:p w14:paraId="13008B79" w14:textId="0F71CAD0" w:rsidR="00303276" w:rsidRPr="006121BA" w:rsidRDefault="00303276" w:rsidP="006121BA">
      <w:pPr>
        <w:pStyle w:val="ListParagraph"/>
        <w:numPr>
          <w:ilvl w:val="0"/>
          <w:numId w:val="51"/>
        </w:numPr>
        <w:spacing w:line="480" w:lineRule="auto"/>
        <w:rPr>
          <w:rFonts w:ascii="Times New Roman" w:hAnsi="Times New Roman" w:cs="Times New Roman"/>
          <w:sz w:val="24"/>
          <w:szCs w:val="24"/>
        </w:rPr>
      </w:pPr>
      <w:r w:rsidRPr="00DB0BC8">
        <w:rPr>
          <w:rFonts w:ascii="Times New Roman" w:hAnsi="Times New Roman" w:cs="Times New Roman"/>
          <w:sz w:val="24"/>
          <w:szCs w:val="24"/>
        </w:rPr>
        <w:t>identify any additional cues</w:t>
      </w:r>
    </w:p>
    <w:p w14:paraId="5C78008F" w14:textId="3F3EAA82" w:rsidR="00863DF5" w:rsidRPr="006F3B00" w:rsidRDefault="0085219A" w:rsidP="00863DF5">
      <w:pPr>
        <w:pStyle w:val="Heading2"/>
        <w:rPr>
          <w:rFonts w:ascii="Times New Roman" w:hAnsi="Times New Roman" w:cs="Times New Roman"/>
          <w:color w:val="auto"/>
          <w:sz w:val="24"/>
          <w:szCs w:val="24"/>
        </w:rPr>
      </w:pPr>
      <w:bookmarkStart w:id="58" w:name="_Toc23243787"/>
      <w:r>
        <w:rPr>
          <w:rFonts w:ascii="Times New Roman" w:hAnsi="Times New Roman" w:cs="Times New Roman"/>
          <w:color w:val="auto"/>
          <w:sz w:val="24"/>
          <w:szCs w:val="24"/>
        </w:rPr>
        <w:t>2.3</w:t>
      </w:r>
      <w:r w:rsidR="00863DF5" w:rsidRPr="006F3B00">
        <w:rPr>
          <w:rFonts w:ascii="Times New Roman" w:hAnsi="Times New Roman" w:cs="Times New Roman"/>
          <w:color w:val="auto"/>
          <w:sz w:val="24"/>
          <w:szCs w:val="24"/>
        </w:rPr>
        <w:t xml:space="preserve"> Emergence of a framework</w:t>
      </w:r>
      <w:bookmarkEnd w:id="58"/>
    </w:p>
    <w:p w14:paraId="02BA441F" w14:textId="77777777" w:rsidR="00863DF5" w:rsidRPr="006F3B00" w:rsidRDefault="00863DF5" w:rsidP="00863DF5">
      <w:pPr>
        <w:spacing w:line="480" w:lineRule="auto"/>
        <w:rPr>
          <w:rFonts w:ascii="Times New Roman" w:hAnsi="Times New Roman" w:cs="Times New Roman"/>
          <w:sz w:val="24"/>
          <w:szCs w:val="24"/>
        </w:rPr>
      </w:pPr>
    </w:p>
    <w:p w14:paraId="099983C2" w14:textId="608E173E" w:rsidR="00264E87"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There are numerous theories which may be used to frame our research aims and objectives, such as experiential learning</w:t>
      </w:r>
      <w:r w:rsidR="004606B5">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{"citationItems":[{"id":"ITEM-1","itemData":{"author":[{"dropping-particle":"","family":"Kolb.D","given":"","non-dropping-particle":"","parse-names":false,"suffix":""}],"id":"ITEM-1","issued":{"date-parts":[["1984"]]},"publisher":"Prentice-Hall","publisher-place":"Englewood Cliffs, NJ","title":"Experiential learning","type":"book"},"uris":["http://www.mendeley.com/documents/?uuid=0d68797e-7274-4234-ab13-1ca3e8f14020"]}],"mendeley":{"formattedCitation":"(Kolb.D, 1984)","plainTextFormattedCitation":"(Kolb.D, 1984)","previouslyFormattedCitation":"(Kolb.D 1984)"},"properties":{"noteIndex":0},"schema":"https://github.com/citation-style-language/schema/raw/master/csl-citation.json"}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(Kolb</w:t>
      </w:r>
      <w:r w:rsidR="00BE3B6C" w:rsidRPr="00BE3B6C">
        <w:rPr>
          <w:rFonts w:ascii="Times New Roman" w:hAnsi="Times New Roman" w:cs="Times New Roman"/>
          <w:noProof/>
          <w:sz w:val="24"/>
          <w:szCs w:val="24"/>
        </w:rPr>
        <w:t xml:space="preserve"> 1984)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and self-regulation theory</w:t>
      </w:r>
      <w:r w:rsidR="004606B5">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{"citationItems":[{"id":"ITEM-1","itemData":{"DOI":"10.3109/0142159X.2011.595434","ISBN":"0142-159X","ISSN":"0142-159X","PMID":"22022899","abstract":"Self-regulation theory, as applied to medical education, describes the cyclical control of academic and clinical performance through several key processes that include goal-directed behaviour, use of specific strategies to attain goals, and the adaptation and modification to behaviours or strategies to optimise learning and performance. Extensive research across a variety of non-medical disciplines has highlighted differences in key self-regulation processes between high- and low-achieving learners and performers. Structured identification of key self-regulation processes can be used to develop specific remediation approaches that can improve performance in academic and complex psycho-motor skills. General teaching approaches that are guided by a self-regulation perspective can also enhance academic performance. Self-regulation theory offers an exciting potential for improving academic and clinical performance in medical education.","author":[{"dropping-particle":"","family":"Sandars","given":"John","non-dropping-particle":"","parse-names":false,"suffix":""},{"dropping-particle":"","family":"Cleary","given":"Timothy J.","non-dropping-particle":"","parse-names":false,"suffix":""}],"container-title":"Medical Teacher","id":"ITEM-1","issue":"11","issued":{"date-parts":[["2011"]]},"page":"875-886","title":"Self-regulation theory: Applications to medical education: AMEE Guide No. 58","type":"article-journal","volume":"33"},"uris":["http://www.mendeley.com/documents/?uuid=8deaf11f-f533-4b34-8ba1-e6fcc61d5396"]}],"mendeley":{"formattedCitation":"(Sandars and Cleary, 2011)","plainTextFormattedCitation":"(Sandars and Cleary, 2011)","previouslyFormattedCitation":"(Sandars and Cleary 2011)"},"properties":{"noteIndex":0},"schema":"https://github.com/citation-style-language/schema/raw/master/csl-citation.json"}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(Sandars and Cleary</w:t>
      </w:r>
      <w:r w:rsidR="00BE3B6C" w:rsidRPr="00BE3B6C">
        <w:rPr>
          <w:rFonts w:ascii="Times New Roman" w:hAnsi="Times New Roman" w:cs="Times New Roman"/>
          <w:noProof/>
          <w:sz w:val="24"/>
          <w:szCs w:val="24"/>
        </w:rPr>
        <w:t xml:space="preserve"> 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However, three appear particularly relevant to this project </w:t>
      </w:r>
      <w:r w:rsidR="00264E87">
        <w:rPr>
          <w:rFonts w:ascii="Times New Roman" w:hAnsi="Times New Roman" w:cs="Times New Roman"/>
          <w:sz w:val="24"/>
          <w:szCs w:val="24"/>
        </w:rPr>
        <w:t>which are Critical Theory, Situated Learning Theory and Social Judgement Theory. These are discussed further hereafter.</w:t>
      </w:r>
    </w:p>
    <w:p w14:paraId="6752C7D5" w14:textId="1833EF16"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Initially, Critical Theory was examined which is concerned with power distribution and how groups of individuals or subsets of society can affect, control or oppress other groups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approach.","author":[{"dropping-particle":"","family":"Tyson","given":"Lois","non-dropping-particle":"","parse-names":false,"suffix":""}],"container-title":"Routledge","id":"ITEM-1","issued":{"date-parts":[["2006"]]},"title":"Critical Theory Today: A User-Friendly Guide","type":"book"},"uris":["http://www.mendeley.com/documents/?uuid=13dd0885-e9f8-4f1f-9391-1808a08694c9","http://www.mendeley.com/documents/?uuid=28abccf6-f344-4a92-8ecc-0a31a4201e5b","http://www.mendeley.com/documents/?uuid=89f53128-2c47-4f85-b2ad-69fee6458c32"]}],"mendeley":{"formattedCitation":"(Tyson, 2006)","plainTextFormattedCitation":"(Tyson, 2006)","previouslyFormattedCitation":"(Tyson 2006)"},"properties":{"noteIndex":0},"schema":"https://github.com/citation-style-language/schema/raw/master/csl-citation.json"}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(Tyson</w:t>
      </w:r>
      <w:r w:rsidR="00BE3B6C" w:rsidRPr="00BE3B6C">
        <w:rPr>
          <w:rFonts w:ascii="Times New Roman" w:hAnsi="Times New Roman" w:cs="Times New Roman"/>
          <w:noProof/>
          <w:sz w:val="24"/>
          <w:szCs w:val="24"/>
        </w:rPr>
        <w:t xml:space="preserve"> 2006)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6DC92F9C" w14:textId="5FA7375D"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It could be argued that WBAs were born out of a necessity to satisfy governing bodies such as the GMC/GDC and Royal Colleges, without due regard for the implications and educational merit of their use. To this end, educators may question why WBAs are mandatory for trainees and why there has been a relentless push towards competency based assessment and increasing numbers of assessments. Is it for the educational benefit of the trainee or a result of a dominant force that has influenced the education of trainees out of a desire to control and regulate? Critical theory would ask   </w:t>
      </w:r>
      <w:r w:rsidR="004606B5">
        <w:rPr>
          <w:rFonts w:ascii="Times New Roman" w:hAnsi="Times New Roman" w:cs="Times New Roman"/>
          <w:sz w:val="24"/>
          <w:szCs w:val="24"/>
        </w:rPr>
        <w:t xml:space="preserve">that </w:t>
      </w:r>
      <w:r w:rsidRPr="006F3B00">
        <w:rPr>
          <w:rFonts w:ascii="Times New Roman" w:hAnsi="Times New Roman" w:cs="Times New Roman"/>
          <w:sz w:val="24"/>
          <w:szCs w:val="24"/>
        </w:rPr>
        <w:t xml:space="preserve">the source of power </w:t>
      </w:r>
      <w:r w:rsidR="00264E87">
        <w:rPr>
          <w:rFonts w:ascii="Times New Roman" w:hAnsi="Times New Roman" w:cs="Times New Roman"/>
          <w:sz w:val="24"/>
          <w:szCs w:val="24"/>
        </w:rPr>
        <w:t xml:space="preserve">is identified </w:t>
      </w:r>
      <w:r w:rsidR="004606B5">
        <w:rPr>
          <w:rFonts w:ascii="Times New Roman" w:hAnsi="Times New Roman" w:cs="Times New Roman"/>
          <w:sz w:val="24"/>
          <w:szCs w:val="24"/>
        </w:rPr>
        <w:t xml:space="preserve">to </w:t>
      </w:r>
      <w:r w:rsidRPr="006F3B00">
        <w:rPr>
          <w:rFonts w:ascii="Times New Roman" w:hAnsi="Times New Roman" w:cs="Times New Roman"/>
          <w:sz w:val="24"/>
          <w:szCs w:val="24"/>
        </w:rPr>
        <w:t xml:space="preserve">try to understand what has influenced the decisions that have been made. Healthcare is impacted greatly by political policy and socioeconomic reforms, and as a result, the training of trainees and the “end product” of their education is strongly affected by what the regulatory bodies deem important at that time. </w:t>
      </w:r>
    </w:p>
    <w:p w14:paraId="3F4EC89D" w14:textId="34F08BE2" w:rsidR="00264E87" w:rsidRPr="006F3B00" w:rsidRDefault="00264E87" w:rsidP="00264E87">
      <w:pPr>
        <w:spacing w:line="480" w:lineRule="auto"/>
        <w:rPr>
          <w:rFonts w:ascii="Times New Roman" w:hAnsi="Times New Roman" w:cs="Times New Roman"/>
          <w:sz w:val="24"/>
          <w:szCs w:val="24"/>
        </w:rPr>
      </w:pPr>
      <w:r w:rsidRPr="006F3B00">
        <w:rPr>
          <w:rFonts w:ascii="Times New Roman" w:hAnsi="Times New Roman" w:cs="Times New Roman"/>
          <w:sz w:val="24"/>
          <w:szCs w:val="24"/>
        </w:rPr>
        <w:t>While Critical theory may have helped to explore the issues governing assessment st</w:t>
      </w:r>
      <w:r>
        <w:rPr>
          <w:rFonts w:ascii="Times New Roman" w:hAnsi="Times New Roman" w:cs="Times New Roman"/>
          <w:sz w:val="24"/>
          <w:szCs w:val="24"/>
        </w:rPr>
        <w:t xml:space="preserve">rategies in histopathology, </w:t>
      </w:r>
      <w:r w:rsidRPr="006F3B00">
        <w:rPr>
          <w:rFonts w:ascii="Times New Roman" w:hAnsi="Times New Roman" w:cs="Times New Roman"/>
          <w:sz w:val="24"/>
          <w:szCs w:val="24"/>
        </w:rPr>
        <w:t>in reality, the outcomes of the research might have had little effect on the status quo as power would still ultimately lie with the regulatory bodies. The research may then have lacked impact.</w:t>
      </w:r>
    </w:p>
    <w:p w14:paraId="5A346FD4" w14:textId="40ED870A"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sz w:val="24"/>
          <w:szCs w:val="24"/>
        </w:rPr>
        <w:t>Another theory which was explored was Situated Learning Theory</w:t>
      </w:r>
      <w:r w:rsidR="004A1E4C">
        <w:rPr>
          <w:rFonts w:ascii="Times New Roman" w:hAnsi="Times New Roman" w:cs="Times New Roman"/>
          <w:sz w:val="24"/>
          <w:szCs w:val="24"/>
        </w:rPr>
        <w:t xml:space="preserve"> (SLT)</w:t>
      </w:r>
      <w:r w:rsidRPr="006F3B00">
        <w:rPr>
          <w:rFonts w:ascii="Times New Roman" w:hAnsi="Times New Roman" w:cs="Times New Roman"/>
          <w:sz w:val="24"/>
          <w:szCs w:val="24"/>
        </w:rPr>
        <w:t xml:space="preserve"> first proposed by Jean Lave and Etienne Wenger which describes how learning occurs in a “community of practice”</w:t>
      </w:r>
      <w:r w:rsidR="0042138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{"citationItems":[{"id":"ITEM-1","itemData":{"author":[{"dropping-particle":"","family":"Lave, Jean Wenger","given":"Etienne","non-dropping-particle":"","parse-names":false,"suffix":""}],"id":"ITEM-1","issued":{"date-parts":[["1991"]]},"publisher":"Cambridge: University of Cambridge Press","publisher-place":"Cambridge","title":"Situated Learning. Legitimate peripheral participation","type":"book"},"uris":["http://www.mendeley.com/documents/?uuid=eec789fb-6cb2-4ea7-b6a3-6924b63718cd","http://www.mendeley.com/documents/?uuid=46e1bd30-62c8-4320-9264-4f5efd95e6a4"]}],"mendeley":{"formattedCitation":"(Lave, Jean Wenger, 1991)","plainTextFormattedCitation":"(Lave, Jean Wenger, 1991)","previouslyFormattedCitation":"(Lave, Jean Wenger 1991)"},"properties":{"noteIndex":0},"schema":"https://github.com/citation-style-language/schema/raw/master/csl-citation.json"}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 xml:space="preserve">(Lave and </w:t>
      </w:r>
      <w:r w:rsidR="00BE3B6C" w:rsidRPr="00BE3B6C">
        <w:rPr>
          <w:rFonts w:ascii="Times New Roman" w:hAnsi="Times New Roman" w:cs="Times New Roman"/>
          <w:noProof/>
          <w:sz w:val="24"/>
          <w:szCs w:val="24"/>
        </w:rPr>
        <w:t>Wenge</w:t>
      </w:r>
      <w:r w:rsidR="00421389">
        <w:rPr>
          <w:rFonts w:ascii="Times New Roman" w:hAnsi="Times New Roman" w:cs="Times New Roman"/>
          <w:noProof/>
          <w:sz w:val="24"/>
          <w:szCs w:val="24"/>
        </w:rPr>
        <w:t>r</w:t>
      </w:r>
      <w:r w:rsidR="00BE3B6C" w:rsidRPr="00BE3B6C">
        <w:rPr>
          <w:rFonts w:ascii="Times New Roman" w:hAnsi="Times New Roman" w:cs="Times New Roman"/>
          <w:noProof/>
          <w:sz w:val="24"/>
          <w:szCs w:val="24"/>
        </w:rPr>
        <w:t xml:space="preserve"> 1991)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whereby learning is a social process. Clinical activity usually occurs in teams and these teams are referred to as “communities of practice”.  Within these groups, knowledge and skills are disseminated to the members through lectures, seminars or day-to-day contact between members. It is suggested that learners (or trainees in this context) are “legitimate peripheral participants” of the group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{"citationItems":[{"id":"ITEM-1","itemData":{"author":[{"dropping-particle":"","family":"Lave, Jean Wenger","given":"Etienne","non-dropping-particle":"","parse-names":false,"suffix":""}],"id":"ITEM-1","issued":{"date-parts":[["1991"]]},"publisher":"Cambridge: University of Cambridge Press","publisher-place":"Cambridge","title":"Situated Learning. Legitimate peripheral participation","type":"book"},"uris":["http://www.mendeley.com/documents/?uuid=46e1bd30-62c8-4320-9264-4f5efd95e6a4","http://www.mendeley.com/documents/?uuid=eec789fb-6cb2-4ea7-b6a3-6924b63718cd"]}],"mendeley":{"formattedCitation":"(Lave, Jean Wenger, 1991)","plainTextFormattedCitation":"(Lave, Jean Wenger, 1991)","previouslyFormattedCitation":"(Lave, Jean Wenger 1991)"},"properties":{"noteIndex":0},"schema":"https://github.com/citation-style-language/schema/raw/master/csl-citation.json"}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(Lave and Wenger</w:t>
      </w:r>
      <w:r w:rsidR="00BE3B6C" w:rsidRPr="00BE3B6C">
        <w:rPr>
          <w:rFonts w:ascii="Times New Roman" w:hAnsi="Times New Roman" w:cs="Times New Roman"/>
          <w:noProof/>
          <w:sz w:val="24"/>
          <w:szCs w:val="24"/>
        </w:rPr>
        <w:t xml:space="preserve"> 1991)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By taking part in the activities of the group, they are able to learn the necessary knowledge, skills and attitudes of full-members and gradually be accepted as full-members.</w:t>
      </w:r>
    </w:p>
    <w:p w14:paraId="28B2F11B" w14:textId="5CDF090F" w:rsidR="00863DF5" w:rsidRPr="006F3B00" w:rsidRDefault="004A1E4C" w:rsidP="00863DF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SLT</w:t>
      </w:r>
      <w:r w:rsidR="00863DF5" w:rsidRPr="006F3B00">
        <w:rPr>
          <w:rFonts w:ascii="Times New Roman" w:hAnsi="Times New Roman" w:cs="Times New Roman"/>
          <w:sz w:val="24"/>
          <w:szCs w:val="24"/>
        </w:rPr>
        <w:t xml:space="preserve"> has strong ties with specialist training in healthcare. In histopathology, trainees learn “on the job” and gradually acquire the necessary knowledge, skills and attitudes from their seniors. This can be an active or passive process, but in histopathology, this forms the majority of training as formal lectures or seminars either occur infrequently or can’t cover the depth or breadth of the curriculum. WBAs currently have elements of </w:t>
      </w:r>
      <w:r>
        <w:rPr>
          <w:rFonts w:ascii="Times New Roman" w:hAnsi="Times New Roman" w:cs="Times New Roman"/>
          <w:sz w:val="24"/>
          <w:szCs w:val="24"/>
        </w:rPr>
        <w:t>SLT</w:t>
      </w:r>
      <w:r w:rsidR="00863DF5" w:rsidRPr="006F3B00">
        <w:rPr>
          <w:rFonts w:ascii="Times New Roman" w:hAnsi="Times New Roman" w:cs="Times New Roman"/>
          <w:sz w:val="24"/>
          <w:szCs w:val="24"/>
        </w:rPr>
        <w:t xml:space="preserve"> because trainees are rated on a scale which asks the consultant to determine if the trainee falls below, meets or exceeds their expectation. This expectation is likely to stem from the consultant’s perception of what his peers would also expect, since each consultant has also had to pass through training and meet the expectations of the group before them. </w:t>
      </w:r>
      <w:r>
        <w:rPr>
          <w:rFonts w:ascii="Times New Roman" w:hAnsi="Times New Roman" w:cs="Times New Roman"/>
          <w:sz w:val="24"/>
          <w:szCs w:val="24"/>
        </w:rPr>
        <w:t>SLT</w:t>
      </w:r>
      <w:r w:rsidR="00863DF5" w:rsidRPr="006F3B00">
        <w:rPr>
          <w:rFonts w:ascii="Times New Roman" w:hAnsi="Times New Roman" w:cs="Times New Roman"/>
          <w:sz w:val="24"/>
          <w:szCs w:val="24"/>
        </w:rPr>
        <w:t xml:space="preserve"> could then be used to explore how trainees learn from their consultants and how competencies are developed. </w:t>
      </w:r>
    </w:p>
    <w:p w14:paraId="5187FDEA" w14:textId="01131A60" w:rsidR="00863DF5" w:rsidRPr="006F3B00" w:rsidRDefault="004A1E4C" w:rsidP="00863DF5">
      <w:pPr>
        <w:spacing w:line="480" w:lineRule="auto"/>
        <w:rPr>
          <w:rFonts w:ascii="Times New Roman" w:hAnsi="Times New Roman" w:cs="Times New Roman"/>
          <w:sz w:val="24"/>
          <w:szCs w:val="24"/>
        </w:rPr>
      </w:pPr>
      <w:r>
        <w:rPr>
          <w:rFonts w:ascii="Times New Roman" w:hAnsi="Times New Roman" w:cs="Times New Roman"/>
          <w:sz w:val="24"/>
          <w:szCs w:val="24"/>
        </w:rPr>
        <w:t>SLT</w:t>
      </w:r>
      <w:r w:rsidR="00863DF5" w:rsidRPr="006F3B00">
        <w:rPr>
          <w:rFonts w:ascii="Times New Roman" w:hAnsi="Times New Roman" w:cs="Times New Roman"/>
          <w:sz w:val="24"/>
          <w:szCs w:val="24"/>
        </w:rPr>
        <w:t xml:space="preserve"> may have helped explore some of the important mechanisms by which competencies are passed down from consultant to trainee, but without knowing what the underlying qualities were that underpin diagnostic competence, it seemed that the focus of the study would be misplaced. A theory which would help determine the knowledge, skills and behaviours relevant to how </w:t>
      </w:r>
      <w:r w:rsidR="004606B5" w:rsidRPr="006F3B00">
        <w:rPr>
          <w:rFonts w:ascii="Times New Roman" w:hAnsi="Times New Roman" w:cs="Times New Roman"/>
          <w:sz w:val="24"/>
          <w:szCs w:val="24"/>
        </w:rPr>
        <w:t>consultants</w:t>
      </w:r>
      <w:r w:rsidR="00863DF5" w:rsidRPr="006F3B00">
        <w:rPr>
          <w:rFonts w:ascii="Times New Roman" w:hAnsi="Times New Roman" w:cs="Times New Roman"/>
          <w:sz w:val="24"/>
          <w:szCs w:val="24"/>
        </w:rPr>
        <w:t xml:space="preserve"> determine diagnostic competence in trainees, and the associated context, seemed much more appropriate. This would also have the possibility of providing an evidence base to inform future assessment strategies in histopathology.</w:t>
      </w:r>
      <w:r w:rsidR="00264E87">
        <w:rPr>
          <w:rFonts w:ascii="Times New Roman" w:hAnsi="Times New Roman" w:cs="Times New Roman"/>
          <w:sz w:val="24"/>
          <w:szCs w:val="24"/>
        </w:rPr>
        <w:t xml:space="preserve"> Social Judgement Theory is therefore discussed in the following section (2.4).</w:t>
      </w:r>
    </w:p>
    <w:p w14:paraId="6924EAEC" w14:textId="307529E0" w:rsidR="00863DF5" w:rsidRPr="006F3B00" w:rsidRDefault="0085219A" w:rsidP="00863DF5">
      <w:pPr>
        <w:pStyle w:val="Heading2"/>
        <w:rPr>
          <w:rFonts w:ascii="Times New Roman" w:hAnsi="Times New Roman" w:cs="Times New Roman"/>
          <w:color w:val="auto"/>
          <w:sz w:val="24"/>
          <w:szCs w:val="24"/>
        </w:rPr>
      </w:pPr>
      <w:bookmarkStart w:id="59" w:name="_Toc23243788"/>
      <w:r>
        <w:rPr>
          <w:rFonts w:ascii="Times New Roman" w:hAnsi="Times New Roman" w:cs="Times New Roman"/>
          <w:color w:val="auto"/>
          <w:sz w:val="24"/>
          <w:szCs w:val="24"/>
        </w:rPr>
        <w:t>2.4</w:t>
      </w:r>
      <w:r w:rsidR="00863DF5" w:rsidRPr="006F3B00">
        <w:rPr>
          <w:rFonts w:ascii="Times New Roman" w:hAnsi="Times New Roman" w:cs="Times New Roman"/>
          <w:color w:val="auto"/>
          <w:sz w:val="24"/>
          <w:szCs w:val="24"/>
        </w:rPr>
        <w:t xml:space="preserve"> Theoretical framework</w:t>
      </w:r>
      <w:bookmarkEnd w:id="59"/>
    </w:p>
    <w:p w14:paraId="485555AC" w14:textId="77777777" w:rsidR="00863DF5" w:rsidRPr="006F3B00" w:rsidRDefault="00863DF5" w:rsidP="00863DF5">
      <w:pPr>
        <w:rPr>
          <w:rFonts w:ascii="Times New Roman" w:hAnsi="Times New Roman" w:cs="Times New Roman"/>
          <w:sz w:val="24"/>
          <w:szCs w:val="24"/>
        </w:rPr>
      </w:pPr>
    </w:p>
    <w:p w14:paraId="0CC47D95" w14:textId="120C39BB" w:rsidR="00863DF5" w:rsidRPr="006F3B00" w:rsidRDefault="00863DF5" w:rsidP="00863DF5">
      <w:pPr>
        <w:autoSpaceDE w:val="0"/>
        <w:autoSpaceDN w:val="0"/>
        <w:adjustRightInd w:val="0"/>
        <w:spacing w:after="0" w:line="480" w:lineRule="auto"/>
        <w:jc w:val="both"/>
        <w:rPr>
          <w:rFonts w:ascii="Times New Roman" w:hAnsi="Times New Roman" w:cs="Times New Roman"/>
          <w:sz w:val="24"/>
          <w:szCs w:val="24"/>
        </w:rPr>
      </w:pPr>
      <w:r w:rsidRPr="006F3B00">
        <w:rPr>
          <w:rFonts w:ascii="Times New Roman" w:hAnsi="Times New Roman" w:cs="Times New Roman"/>
          <w:sz w:val="24"/>
          <w:szCs w:val="24"/>
        </w:rPr>
        <w:t xml:space="preserve">Judgement is a process of taking all factors into account, deciding what is most relevant and then acting accordingly.  </w:t>
      </w:r>
      <w:r w:rsidRPr="006F3B00">
        <w:rPr>
          <w:rFonts w:ascii="Times New Roman" w:hAnsi="Times New Roman" w:cs="Times New Roman"/>
          <w:bCs/>
          <w:sz w:val="24"/>
          <w:szCs w:val="24"/>
        </w:rPr>
        <w:t xml:space="preserve">Clinical judgement can be difficult to grasp in the literature as numerous authors use the term interchangeably with terms such as critical thinking, </w:t>
      </w:r>
      <w:r w:rsidRPr="006F3B00">
        <w:rPr>
          <w:rFonts w:ascii="Times New Roman" w:hAnsi="Times New Roman" w:cs="Times New Roman"/>
          <w:bCs/>
          <w:sz w:val="24"/>
          <w:szCs w:val="24"/>
        </w:rPr>
        <w:lastRenderedPageBreak/>
        <w:t>clinical decision making and problem-solving</w:t>
      </w:r>
      <w:r w:rsidR="004606B5">
        <w:rPr>
          <w:rFonts w:ascii="Times New Roman" w:hAnsi="Times New Roman" w:cs="Times New Roman"/>
          <w:bCs/>
          <w:sz w:val="24"/>
          <w:szCs w:val="24"/>
        </w:rPr>
        <w:t xml:space="preserve"> </w:t>
      </w:r>
      <w:r w:rsidRPr="006F3B00">
        <w:rPr>
          <w:rFonts w:ascii="Times New Roman" w:hAnsi="Times New Roman" w:cs="Times New Roman"/>
          <w:bCs/>
          <w:sz w:val="24"/>
          <w:szCs w:val="24"/>
        </w:rPr>
        <w:fldChar w:fldCharType="begin" w:fldLock="1"/>
      </w:r>
      <w:r w:rsidR="00BE3B6C">
        <w:rPr>
          <w:rFonts w:ascii="Times New Roman" w:hAnsi="Times New Roman" w:cs="Times New Roman"/>
          <w:bCs/>
          <w:sz w:val="24"/>
          <w:szCs w:val="24"/>
        </w:rPr>
        <w:instrText>ADDIN CSL_CITATION {"citationItems":[{"id":"ITEM-1","itemData":{"author":[{"dropping-particle":"","family":"Benner, P., Tanner, C. A., &amp; Chesla","given":"C.","non-dropping-particle":"","parse-names":false,"suffix":""}],"id":"ITEM-1","issued":{"date-parts":[["1996"]]},"publisher":"Springer","publisher-place":"New York","title":"Expertise in nursing practice: Caring, clinical judgment, and ethics.","type":"book"},"uris":["http://www.mendeley.com/documents/?uuid=6a312ffb-2de2-4e7c-9839-14d58bdfe6c1"]},{"id":"ITEM-2","itemData":{"DOI":"10.1111/j.1442-2018.2006.00267.x","ISBN":"1441-0745","ISSN":"14410745","PMID":"16451430","abstract":"The purpose of this article is to critically review and synthesize the literature related to the general concepts and the process of diagnosing the client's condition, and the possible variables which influence diagnostic practise in nursing. It is suggested that statistical theories are capable of capturing the diagnostic process and offer an effective means to predict diagnostic decisions. Studies underpinned by information-processing theory argue that diagnosing a patient's condition follows a hypothetico-deductive model that consists of specific stages. Those who hold a phenomenological perspective remark that there is yet another form of diagnostic practise: intuitive reasoning, which plays an important role in diagnosing the patient's clinical condition. Other related studies suggest that diagnostic practise is contingent on some personal, psychosocial, and structural variables. Regrettably, these studies offer no conclusive explanation to delineate diagnostic practise in nursing. Based on the literature reviewed, a conceptual framework is suggested to help articulate the underlying structures and processes of diagnostic practise in nursing.","author":[{"dropping-particle":"","family":"Lee","given":"Joseph","non-dropping-particle":"","parse-names":false,"suffix":""},{"dropping-particle":"","family":"Chan","given":"Alfred C M","non-dropping-particle":"","parse-names":false,"suffix":""},{"dropping-particle":"","family":"Phillips","given":"David R.","non-dropping-particle":"","parse-names":false,"suffix":""}],"container-title":"Nursing and Health Sciences","id":"ITEM-2","issue":"1","issued":{"date-parts":[["2006"]]},"page":"57-65","title":"Diagnostic practise in nursing: A critical review of the literature","type":"article","volume":"8"},"uris":["http://www.mendeley.com/documents/?uuid=153053b6-6848-4679-9db9-fec8d984c5c7"]},{"id":"ITEM-3","itemData":{"DOI":"10.1046/j.1365-2648.2003.02770.x","ISBN":"0309-2402","ISSN":"03092402","PMID":"12956669","abstract":"AIM: This paper discusses measurement of the quality of judgement and decision-making in nursing research. It examines theoretical and research issues surrounding how to measure judgement accuracy as a component of evaluating decision-making in nursing practice. DISCUSSION: Judgement accuracy is discussed with reference to different methods of measurement, including comparing judgements with independent criteria and inter-judge approaches. Existing research on how judgement accuracy has been measured in nursing practice is examined. Evaluation of decisions is then discussed, including consideration of the process of decision-making and evaluating decision outcomes. Finally, existing research on decision-making in nursing is assessed and the strengths and limitations of different types of measurement discussed. CONCLUSION: We suggests that researchers examining the quality of judgement and decision-making in nursing need to be aware of both the strengths and limitations of existing methods of measurement. We also suggest that researchers need to use a number of different methods, including normative approaches such as Bayes' Theorem and Subjective Expected Utility Theory.","author":[{"dropping-particle":"","family":"Dowding","given":"Dawn","non-dropping-particle":"","parse-names":false,"suffix":""},{"dropping-particle":"","family":"Thompson","given":"Carl","non-dropping-particle":"","parse-names":false,"suffix":""}],"container-title":"Journal of Advanced Nursing","id":"ITEM-3","issue":"1","issued":{"date-parts":[["2003"]]},"page":"49-57","title":"Measuring the quality of judgement and decision-making in nursing","type":"article-journal","volume":"44"},"uris":["http://www.mendeley.com/documents/?uuid=9e75b926-379a-4141-b712-8bcb8a657105"]}],"mendeley":{"formattedCitation":"(Benner, P., Tanner, C. A., &amp; Chesla, 1996; Dowding and Thompson, 2003; Lee, Chan and Phillips, 2006)","plainTextFormattedCitation":"(Benner, P., Tanner, C. A., &amp; Chesla, 1996; Dowding and Thompson, 2003; Lee, Chan and Phillips, 2006)","previouslyFormattedCitation":"(Benner, P., Tanner, C. A., &amp; Chesla 1996; J. Lee, Chan, and Phillips 2006; Dowding and Thompson 2003)"},"properties":{"noteIndex":0},"schema":"https://github.com/citation-style-language/schema/raw/master/csl-citation.json"}</w:instrText>
      </w:r>
      <w:r w:rsidRPr="006F3B00">
        <w:rPr>
          <w:rFonts w:ascii="Times New Roman" w:hAnsi="Times New Roman" w:cs="Times New Roman"/>
          <w:bCs/>
          <w:sz w:val="24"/>
          <w:szCs w:val="24"/>
        </w:rPr>
        <w:fldChar w:fldCharType="separate"/>
      </w:r>
      <w:r w:rsidR="00421389">
        <w:rPr>
          <w:rFonts w:ascii="Times New Roman" w:hAnsi="Times New Roman" w:cs="Times New Roman"/>
          <w:bCs/>
          <w:noProof/>
          <w:sz w:val="24"/>
          <w:szCs w:val="24"/>
        </w:rPr>
        <w:t>(Benner, Tanner and Chesla 1996; Dowding and Thompson</w:t>
      </w:r>
      <w:r w:rsidR="00BE3B6C" w:rsidRPr="00BE3B6C">
        <w:rPr>
          <w:rFonts w:ascii="Times New Roman" w:hAnsi="Times New Roman" w:cs="Times New Roman"/>
          <w:bCs/>
          <w:noProof/>
          <w:sz w:val="24"/>
          <w:szCs w:val="24"/>
        </w:rPr>
        <w:t xml:space="preserve"> 2003; Lee, Chan </w:t>
      </w:r>
      <w:r w:rsidR="00421389">
        <w:rPr>
          <w:rFonts w:ascii="Times New Roman" w:hAnsi="Times New Roman" w:cs="Times New Roman"/>
          <w:bCs/>
          <w:noProof/>
          <w:sz w:val="24"/>
          <w:szCs w:val="24"/>
        </w:rPr>
        <w:t>and Phillips</w:t>
      </w:r>
      <w:r w:rsidR="00BE3B6C" w:rsidRPr="00BE3B6C">
        <w:rPr>
          <w:rFonts w:ascii="Times New Roman" w:hAnsi="Times New Roman" w:cs="Times New Roman"/>
          <w:bCs/>
          <w:noProof/>
          <w:sz w:val="24"/>
          <w:szCs w:val="24"/>
        </w:rPr>
        <w:t xml:space="preserve"> 2006)</w:t>
      </w:r>
      <w:r w:rsidRPr="006F3B00">
        <w:rPr>
          <w:rFonts w:ascii="Times New Roman" w:hAnsi="Times New Roman" w:cs="Times New Roman"/>
          <w:bCs/>
          <w:sz w:val="24"/>
          <w:szCs w:val="24"/>
        </w:rPr>
        <w:fldChar w:fldCharType="end"/>
      </w:r>
      <w:r w:rsidRPr="006F3B00">
        <w:rPr>
          <w:rFonts w:ascii="Times New Roman" w:hAnsi="Times New Roman" w:cs="Times New Roman"/>
          <w:bCs/>
          <w:sz w:val="24"/>
          <w:szCs w:val="24"/>
        </w:rPr>
        <w:t xml:space="preserve">. </w:t>
      </w:r>
      <w:r w:rsidRPr="006F3B00">
        <w:rPr>
          <w:rFonts w:ascii="Times New Roman" w:hAnsi="Times New Roman" w:cs="Times New Roman"/>
          <w:sz w:val="24"/>
          <w:szCs w:val="24"/>
        </w:rPr>
        <w:t xml:space="preserve">An individual’s perception is made up of many elements, such as their knowledge and personal experiences, which can affect how they interpret the cues from the environment which they are viewing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{"citationItems":[{"id":"ITEM-1","itemData":{"DOI":"10.3102/00346543067001088","ISBN":"0034-6543","ISSN":"0034-6543","PMID":"507572211","abstract":"There have been a number of research programs that have investigated students' thinking and beliefs about the nature of knowledge and knowing, including definitions of knowledge, how knowledge is constructed, and how knowledge is evaluated. However, these different research programs have pursued varying definitions and conceptual frameworks and used quite different methodologies to examine students' epistemological beliefs and thinking. In the first section of this article, we provide a critical and compre- hensive review of these different research programs. In the second part of this article, we identify nine crucial theoretical and methodological issues that need to be resolved in future research on epistemological theories. As these issues are addressed in future research, there will be more consensus regard- ing the nature of epistemological theories, and their relation to cognition, motivation, and learning will be made more explicit.","author":[{"dropping-particle":"","family":"Hofer","given":"B. K.","non-dropping-particle":"","parse-names":false,"suffix":""},{"dropping-particle":"","family":"Pintrich","given":"P. R.","non-dropping-particle":"","parse-names":false,"suffix":""}],"container-title":"Review of Educational Research","id":"ITEM-1","issue":"1","issued":{"date-parts":[["1997"]]},"page":"88-140","title":"The Development of Epistemological Theories: Beliefs About Knowledge and Knowing and Their Relation to Learning","type":"article-journal","volume":"67"},"uris":["http://www.mendeley.com/documents/?uuid=08681fd1-8f0e-4b6a-b56e-e587580533bf"]}],"mendeley":{"formattedCitation":"(Hofer and Pintrich, 1997)","plainTextFormattedCitation":"(Hofer and Pintrich, 1997)","previouslyFormattedCitation":"(Hofer and Pintrich 1997)"},"properties":{"noteIndex":0},"schema":"https://github.com/citation-style-language/schema/raw/master/csl-citation.json"}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(Hofer and Pintrich</w:t>
      </w:r>
      <w:r w:rsidR="00BE3B6C" w:rsidRPr="00BE3B6C">
        <w:rPr>
          <w:rFonts w:ascii="Times New Roman" w:hAnsi="Times New Roman" w:cs="Times New Roman"/>
          <w:noProof/>
          <w:sz w:val="24"/>
          <w:szCs w:val="24"/>
        </w:rPr>
        <w:t xml:space="preserve"> 1997)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6912654A" w14:textId="77777777" w:rsidR="00863DF5" w:rsidRPr="006F3B00" w:rsidRDefault="00863DF5" w:rsidP="00863DF5">
      <w:pPr>
        <w:autoSpaceDE w:val="0"/>
        <w:autoSpaceDN w:val="0"/>
        <w:adjustRightInd w:val="0"/>
        <w:spacing w:after="0" w:line="480" w:lineRule="auto"/>
        <w:jc w:val="both"/>
        <w:rPr>
          <w:rFonts w:ascii="Times New Roman" w:hAnsi="Times New Roman" w:cs="Times New Roman"/>
          <w:sz w:val="24"/>
          <w:szCs w:val="24"/>
        </w:rPr>
      </w:pPr>
    </w:p>
    <w:p w14:paraId="01C4AF83" w14:textId="77777777" w:rsidR="00863DF5" w:rsidRPr="006F3B00" w:rsidRDefault="00863DF5" w:rsidP="00863DF5">
      <w:pPr>
        <w:autoSpaceDE w:val="0"/>
        <w:autoSpaceDN w:val="0"/>
        <w:adjustRightInd w:val="0"/>
        <w:spacing w:after="0" w:line="480" w:lineRule="auto"/>
        <w:jc w:val="both"/>
        <w:rPr>
          <w:rFonts w:ascii="Times New Roman" w:hAnsi="Times New Roman" w:cs="Times New Roman"/>
          <w:sz w:val="24"/>
          <w:szCs w:val="24"/>
        </w:rPr>
      </w:pPr>
      <w:r w:rsidRPr="006F3B00">
        <w:rPr>
          <w:rFonts w:ascii="Times New Roman" w:hAnsi="Times New Roman" w:cs="Times New Roman"/>
          <w:sz w:val="24"/>
          <w:szCs w:val="24"/>
        </w:rPr>
        <w:t>Many assessments exercise judgement to make decisions about individual performance, which makes it very relevant to this study. Indeed, perceptions of WBAs in the healthcare literature will be linked to how assessors view competency and the factors they take into account.</w:t>
      </w:r>
    </w:p>
    <w:p w14:paraId="718DF015" w14:textId="77777777" w:rsidR="00863DF5" w:rsidRPr="006F3B00" w:rsidRDefault="00863DF5" w:rsidP="00863DF5">
      <w:pPr>
        <w:autoSpaceDE w:val="0"/>
        <w:autoSpaceDN w:val="0"/>
        <w:adjustRightInd w:val="0"/>
        <w:spacing w:after="0" w:line="480" w:lineRule="auto"/>
        <w:jc w:val="both"/>
        <w:rPr>
          <w:rFonts w:ascii="Times New Roman" w:hAnsi="Times New Roman" w:cs="Times New Roman"/>
          <w:sz w:val="24"/>
          <w:szCs w:val="24"/>
        </w:rPr>
      </w:pPr>
    </w:p>
    <w:p w14:paraId="6D403802" w14:textId="0B29286D" w:rsidR="00863DF5" w:rsidRPr="006F3B00" w:rsidRDefault="00863DF5" w:rsidP="00863DF5">
      <w:pPr>
        <w:autoSpaceDE w:val="0"/>
        <w:autoSpaceDN w:val="0"/>
        <w:adjustRightInd w:val="0"/>
        <w:spacing w:after="0" w:line="480" w:lineRule="auto"/>
        <w:jc w:val="both"/>
        <w:rPr>
          <w:rFonts w:ascii="Times New Roman" w:hAnsi="Times New Roman" w:cs="Times New Roman"/>
          <w:sz w:val="24"/>
          <w:szCs w:val="24"/>
        </w:rPr>
      </w:pPr>
      <w:r w:rsidRPr="006F3B00">
        <w:rPr>
          <w:rFonts w:ascii="Times New Roman" w:hAnsi="Times New Roman" w:cs="Times New Roman"/>
          <w:sz w:val="24"/>
          <w:szCs w:val="24"/>
        </w:rPr>
        <w:t>Social Judgement Theory (SJT) is a theoretical framework that has been developed from the original work of Brunswik</w:t>
      </w:r>
      <w:r w:rsidR="00DE62D9">
        <w:rPr>
          <w:rFonts w:ascii="Times New Roman" w:hAnsi="Times New Roman" w:cs="Times New Roman"/>
          <w:sz w:val="24"/>
          <w:szCs w:val="24"/>
        </w:rPr>
        <w:t xml:space="preserve"> </w:t>
      </w:r>
      <w:r w:rsidR="00DE62D9">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{"citationItems":[{"id":"ITEM-1","itemData":{"author":[{"dropping-particle":"","family":"Brunswik","given":"E.","non-dropping-particle":"","parse-names":false,"suffix":""}],"id":"ITEM-1","issued":{"date-parts":[["1952"]]},"publisher":"University of Chicago Press","publisher-place":"Chicago","title":"The conceptual framework of psychology.","type":"book"},"uris":["http://www.mendeley.com/documents/?uuid=d6b7c68c-876a-41b8-957a-94d0b433d396"]}],"mendeley":{"formattedCitation":"(Brunswik, 1952)","plainTextFormattedCitation":"(Brunswik, 1952)","previouslyFormattedCitation":"(Brunswik 1952)"},"properties":{"noteIndex":0},"schema":"https://github.com/citation-style-language/schema/raw/master/csl-citation.json"}</w:instrText>
      </w:r>
      <w:r w:rsidR="00DE62D9">
        <w:rPr>
          <w:rFonts w:ascii="Times New Roman" w:hAnsi="Times New Roman" w:cs="Times New Roman"/>
          <w:sz w:val="24"/>
          <w:szCs w:val="24"/>
        </w:rPr>
        <w:fldChar w:fldCharType="separate"/>
      </w:r>
      <w:r w:rsidR="00421389">
        <w:rPr>
          <w:rFonts w:ascii="Times New Roman" w:hAnsi="Times New Roman" w:cs="Times New Roman"/>
          <w:noProof/>
          <w:sz w:val="24"/>
          <w:szCs w:val="24"/>
        </w:rPr>
        <w:t>(</w:t>
      </w:r>
      <w:r w:rsidR="00BE3B6C" w:rsidRPr="00BE3B6C">
        <w:rPr>
          <w:rFonts w:ascii="Times New Roman" w:hAnsi="Times New Roman" w:cs="Times New Roman"/>
          <w:noProof/>
          <w:sz w:val="24"/>
          <w:szCs w:val="24"/>
        </w:rPr>
        <w:t>1952)</w:t>
      </w:r>
      <w:r w:rsidR="00DE62D9">
        <w:rPr>
          <w:rFonts w:ascii="Times New Roman" w:hAnsi="Times New Roman" w:cs="Times New Roman"/>
          <w:sz w:val="24"/>
          <w:szCs w:val="24"/>
        </w:rPr>
        <w:fldChar w:fldCharType="end"/>
      </w:r>
      <w:r w:rsidRPr="006F3B00">
        <w:rPr>
          <w:rFonts w:ascii="Times New Roman" w:hAnsi="Times New Roman" w:cs="Times New Roman"/>
          <w:sz w:val="24"/>
          <w:szCs w:val="24"/>
        </w:rPr>
        <w:t>, particularly the “lens model” that wa</w:t>
      </w:r>
      <w:r w:rsidR="00421389">
        <w:rPr>
          <w:rFonts w:ascii="Times New Roman" w:hAnsi="Times New Roman" w:cs="Times New Roman"/>
          <w:sz w:val="24"/>
          <w:szCs w:val="24"/>
        </w:rPr>
        <w:t>s later adopted by Hammond and colleagues</w:t>
      </w:r>
      <w:r w:rsidR="004606B5">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{"citationItems":[{"id":"ITEM-1","itemData":{"DOI":"10.1037/h0040736","ISBN":"0033-295X\\r1939-1471","ISSN":"0033-295X","PMID":"14216893","abstract":"The purpose of this paper is to analyze the components of clinical\\ninference within the framework of Brunswik's lens model by means\\nof multiple-regression analysis. 2 parallel studies of clinical psychologists,\\nthe performance of Ss in a quasi-clinical task, and the performance\\nof Ss learning a multiple-cue probability task involving neutral\\nstimuli provide the context for the analysis. Special reference is\\nmade to the problem of clinical vs. statistical prediction. Implications\\nfor the interrelation between experimental psychology, cognitive\\ntheory, and clinical tests are discussed.","author":[{"dropping-particle":"","family":"Hammond","given":"Kenneth R","non-dropping-particle":"","parse-names":false,"suffix":""},{"dropping-particle":"","family":"Hursch","given":"Carolyn J","non-dropping-particle":"","parse-names":false,"suffix":""},{"dropping-particle":"","family":"Todd","given":"Frederick J","non-dropping-particle":"","parse-names":false,"suffix":""}],"container-title":"Pw","id":"ITEM-1","issue":"6","issued":{"date-parts":[["1964"]]},"page":"438-456","title":"Analyzing The Components Of Clinical Inference","type":"article-journal","volume":"71"},"uris":["http://www.mendeley.com/documents/?uuid=cb181ae2-aa06-490f-a58b-68297e861d52","http://www.mendeley.com/documents/?uuid=d929fa3d-f079-4019-ae07-fe2ec7ba474f","http://www.mendeley.com/documents/?uuid=ade2e954-9f96-44d6-abf5-5fefb515ca70"]}],"mendeley":{"formattedCitation":"(Hammond, Hursch and Todd, 1964)","plainTextFormattedCitation":"(Hammond, Hursch and Todd, 1964)","previouslyFormattedCitation":"(Hammond, Hursch, and Todd 1964)"},"properties":{"noteIndex":0},"schema":"https://github.com/citation-style-language/schema/raw/master/csl-citation.json"}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w:t>
      </w:r>
      <w:r w:rsidR="00BE3B6C" w:rsidRPr="00BE3B6C">
        <w:rPr>
          <w:rFonts w:ascii="Times New Roman" w:hAnsi="Times New Roman" w:cs="Times New Roman"/>
          <w:noProof/>
          <w:sz w:val="24"/>
          <w:szCs w:val="24"/>
        </w:rPr>
        <w:t>1964)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SJT creates a way to understand clinical judgements, how individual cues (or facets of information) are used in making judgements and whether these judgements are consistent between individuals. Brunswik’s idea of probabilistic functionalism explores the interaction of the individual and his environment, how few things are certain, and outcomes are probabilistically related based on environmental variables</w:t>
      </w:r>
      <w:r w:rsidR="004606B5">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{"citationItems":[{"id":"ITEM-1","itemData":{"DOI":"10.1080/135467896394483","ISBN":"13546783","ISSN":"1354-6783","abstract":"Social Judgement Theory (SJT) evolved from Egon Brunswik's Probabilistic Functionalist psychology coupled with multiple correlation and regression-based statistical analysis. Through its representational device, the Lens Model, SJT has become a widely used, systems-oriented perspective for analysing human judgement in specific ecological circumstances. Judgements are assumed to result from the integration of different cues or sources of perceptual information from the environment. Special advantages accrue to the SJT approach when criterion values (or correct values) for judgement are also available, as this permits the comparison of judgement processes to environmental processes and leads naturally to the generation of cognitive feedback as an aid to facilitate learning. In contrast to more prescriptive approaches to decision analysis, the SJT approach analyses judgements by decomposing the judgement process after judgements have been rendered. This a posteriori decomposition is accomplished by first using multiple regression analysis to recover prediction equations for both the judgement and ecological systems and then using the Lens Model Equation to compare those systems. SJT methods maintain close contact with ecological circumstances by employing the principle of representative design (which focuses on how the researcher obtains the stimuli for judgement) and avoiding unwarranted over-generalisations from nomothetic aggregation (e.g. averaging across judges) through the use of idiographic–statistical analysis. SJT methods have proven valuable in the analysis of individual judgements as well as group-based judgements where conflict becomes likely.","author":[{"dropping-particle":"","family":"Cooksey","given":"Ray W","non-dropping-particle":"","parse-names":false,"suffix":""}],"container-title":"Thinking &amp; Reasoning","id":"ITEM-1","issue":"23","issued":{"date-parts":[["1996"]]},"page":"141-173","title":"The Methodology of Social Judgement Theory","type":"article-journal","volume":"2"},"uris":["http://www.mendeley.com/documents/?uuid=2d84791a-e7f4-47a9-9aae-6160463fe569","http://www.mendeley.com/documents/?uuid=67c9d23b-bf33-4994-b2c4-47f3465a3ec5","http://www.mendeley.com/documents/?uuid=b937e7dd-8fb0-4367-819d-0241e5601237"]}],"mendeley":{"formattedCitation":"(R. W. Cooksey, 1996)","plainTextFormattedCitation":"(R. W. Cooksey, 1996)","previouslyFormattedCitation":"(R. W. Cooksey 1996)"},"properties":{"noteIndex":0},"schema":"https://github.com/citation-style-language/schema/raw/master/csl-citation.json"}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 xml:space="preserve">(Cooksey </w:t>
      </w:r>
      <w:r w:rsidR="00BE3B6C" w:rsidRPr="00BE3B6C">
        <w:rPr>
          <w:rFonts w:ascii="Times New Roman" w:hAnsi="Times New Roman" w:cs="Times New Roman"/>
          <w:noProof/>
          <w:sz w:val="24"/>
          <w:szCs w:val="24"/>
        </w:rPr>
        <w:t>1996</w:t>
      </w:r>
      <w:r w:rsidR="00421389">
        <w:rPr>
          <w:rFonts w:ascii="Times New Roman" w:hAnsi="Times New Roman" w:cs="Times New Roman"/>
          <w:noProof/>
          <w:sz w:val="24"/>
          <w:szCs w:val="24"/>
        </w:rPr>
        <w:t>a</w:t>
      </w:r>
      <w:r w:rsidR="00BE3B6C" w:rsidRPr="00BE3B6C">
        <w:rPr>
          <w:rFonts w:ascii="Times New Roman" w:hAnsi="Times New Roman" w:cs="Times New Roman"/>
          <w:noProof/>
          <w:sz w:val="24"/>
          <w:szCs w:val="24"/>
        </w:rPr>
        <w:t>)</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It is important to understand how consultants</w:t>
      </w:r>
      <w:r w:rsidR="000E66CF">
        <w:rPr>
          <w:rFonts w:ascii="Times New Roman" w:hAnsi="Times New Roman" w:cs="Times New Roman"/>
          <w:sz w:val="24"/>
          <w:szCs w:val="24"/>
        </w:rPr>
        <w:t xml:space="preserve"> determine diagnostic competence</w:t>
      </w:r>
      <w:r w:rsidRPr="006F3B00">
        <w:rPr>
          <w:rFonts w:ascii="Times New Roman" w:hAnsi="Times New Roman" w:cs="Times New Roman"/>
          <w:sz w:val="24"/>
          <w:szCs w:val="24"/>
        </w:rPr>
        <w:t xml:space="preserve"> in trainees for several reasons</w:t>
      </w:r>
      <w:r w:rsidR="004F229C">
        <w:rPr>
          <w:rFonts w:ascii="Times New Roman" w:hAnsi="Times New Roman" w:cs="Times New Roman"/>
          <w:sz w:val="24"/>
          <w:szCs w:val="24"/>
        </w:rPr>
        <w:t>.</w:t>
      </w:r>
    </w:p>
    <w:p w14:paraId="53B1A886" w14:textId="77777777" w:rsidR="00863DF5" w:rsidRPr="006F3B00" w:rsidRDefault="00863DF5" w:rsidP="001A1FF3">
      <w:pPr>
        <w:pStyle w:val="ListParagraph"/>
        <w:numPr>
          <w:ilvl w:val="0"/>
          <w:numId w:val="14"/>
        </w:numPr>
        <w:spacing w:line="480" w:lineRule="auto"/>
        <w:rPr>
          <w:rFonts w:ascii="Times New Roman" w:hAnsi="Times New Roman" w:cs="Times New Roman"/>
          <w:sz w:val="24"/>
          <w:szCs w:val="24"/>
        </w:rPr>
      </w:pPr>
      <w:r w:rsidRPr="006F3B00">
        <w:rPr>
          <w:rFonts w:ascii="Times New Roman" w:hAnsi="Times New Roman" w:cs="Times New Roman"/>
          <w:sz w:val="24"/>
          <w:szCs w:val="24"/>
        </w:rPr>
        <w:t>It is imperative that the assessment tools in histopathology are aligned with the knowledge, skills and attitudes important to the profession. Those that relate to diagnosis are particularly important.</w:t>
      </w:r>
    </w:p>
    <w:p w14:paraId="619B0A00" w14:textId="77777777" w:rsidR="00863DF5" w:rsidRPr="006F3B00" w:rsidRDefault="00863DF5" w:rsidP="001A1FF3">
      <w:pPr>
        <w:pStyle w:val="ListParagraph"/>
        <w:numPr>
          <w:ilvl w:val="0"/>
          <w:numId w:val="12"/>
        </w:num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Aligning assessment tools to these qualities and rendering the qualities explicit to trainers and trainees delivers guidance on how to assess and achieve diagnostic competence</w:t>
      </w:r>
    </w:p>
    <w:p w14:paraId="13DB7C5E" w14:textId="77777777" w:rsidR="00863DF5" w:rsidRPr="006F3B00" w:rsidRDefault="00863DF5" w:rsidP="001A1FF3">
      <w:pPr>
        <w:pStyle w:val="ListParagraph"/>
        <w:numPr>
          <w:ilvl w:val="0"/>
          <w:numId w:val="12"/>
        </w:numPr>
        <w:spacing w:line="480" w:lineRule="auto"/>
        <w:rPr>
          <w:rFonts w:ascii="Times New Roman" w:hAnsi="Times New Roman" w:cs="Times New Roman"/>
          <w:sz w:val="24"/>
          <w:szCs w:val="24"/>
        </w:rPr>
      </w:pPr>
      <w:r w:rsidRPr="006F3B00">
        <w:rPr>
          <w:rFonts w:ascii="Times New Roman" w:hAnsi="Times New Roman" w:cs="Times New Roman"/>
          <w:sz w:val="24"/>
          <w:szCs w:val="24"/>
        </w:rPr>
        <w:t>As well as the qualities relevant to diagnostic competence, it is important to understand the full judgement ecology (such as context) so that assessments are administered in line with how the competency is viewed (e.g. timing and application)</w:t>
      </w:r>
    </w:p>
    <w:p w14:paraId="663ED7DF" w14:textId="77777777" w:rsidR="00863DF5" w:rsidRPr="006F3B00" w:rsidRDefault="00863DF5" w:rsidP="001A1FF3">
      <w:pPr>
        <w:pStyle w:val="ListParagraph"/>
        <w:numPr>
          <w:ilvl w:val="0"/>
          <w:numId w:val="12"/>
        </w:numPr>
        <w:spacing w:line="480" w:lineRule="auto"/>
        <w:rPr>
          <w:rFonts w:ascii="Times New Roman" w:hAnsi="Times New Roman" w:cs="Times New Roman"/>
          <w:sz w:val="24"/>
          <w:szCs w:val="24"/>
        </w:rPr>
      </w:pPr>
      <w:r w:rsidRPr="006F3B00">
        <w:rPr>
          <w:rFonts w:ascii="Times New Roman" w:hAnsi="Times New Roman" w:cs="Times New Roman"/>
          <w:sz w:val="24"/>
          <w:szCs w:val="24"/>
        </w:rPr>
        <w:t>If WBAs are replaced by other assessment tools in the coming years (such as EPAs), these assessments will still require consultants to make judgements regarding trainee competency.  Clearly, the underlying “judgement” is still a key issue worth exploring.</w:t>
      </w:r>
    </w:p>
    <w:p w14:paraId="13EC68EC" w14:textId="78E17A49"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SJT lends itself to understanding diagnostic competency in histopathology because there are no “gold standards” which can be used to determine if a correct decision regarding a trainee’s competency has been made.  SJT has been utilised in several clinical fields, including the use of clinical information by nurses and the diagnostic ability of clinicians</w:t>
      </w:r>
      <w:r w:rsidR="004F229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{"citationItems":[{"id":"ITEM-1","itemData":{"DOI":"10.1016/j.nedt.2004.10.003","ISBN":"0260-6917 (Print)\\r0260-6917 (Linking)","ISSN":"02606917","PMID":"15607249","abstract":"Understanding the learning needs of students is a vital step in planning the delivery of effective education. Evaluating the impact of such interventions is not always easy and many methods rely on self-reported behaviour or simple changes in knowledge - whose relationship to action is not always clear. Using conjoint analysis, within the theoretical framework of social judgement theory, this study illustrates a novel means of examining nurses' use of clinical information when diagnosing hypovolemic shock in a series of simulated cases presented via computer. The study examines changes in information usage before and after a traditional lecture. The results show that nurses' information use is not linear and the utility for decision judgement derived from clinical information is not distributed equally. The study also suggests that some clinical information (for example, the Glasgow Coma Score) is not well understood and incorporated into clinical judgement. The study has implications for those designing and evaluating educational interventions and those studying information use, clinical judgement and decision making. ?? 2004 Elsevier Ltd. All rights reserved.","author":[{"dropping-particle":"","family":"Thompson","given":"C. A.","non-dropping-particle":"","parse-names":false,"suffix":""},{"dropping-particle":"","family":"Foster","given":"A.","non-dropping-particle":"","parse-names":false,"suffix":""},{"dropping-particle":"","family":"Cole","given":"I.","non-dropping-particle":"","parse-names":false,"suffix":""},{"dropping-particle":"","family":"Dowding","given":"D. W.","non-dropping-particle":"","parse-names":false,"suffix":""}],"container-title":"Nurse Education Today","id":"ITEM-1","issue":"1","issued":{"date-parts":[["2005"]]},"page":"68-77","title":"Using social judgement theory to model nurses' use of clinical information in critical care education","type":"article-journal","volume":"25"},"uris":["http://www.mendeley.com/documents/?uuid=43209c61-bbd7-4005-93ea-9c610207ea1d","http://www.mendeley.com/documents/?uuid=f8c170f3-3953-4590-84b3-ccdc400a39ba","http://www.mendeley.com/documents/?uuid=5eedcaf5-d852-416f-a5d3-400c5ec80d27"]},{"id":"ITEM-2","itemData":{"DOI":"10.1177/0272989X8600600102","ISSN":"0272-989X","abstract":"Used as a reference in paper 2 (26/03/13). Look up actual paper.","author":[{"dropping-particle":"","family":"Wigton","given":"R. S.","non-dropping-particle":"","parse-names":false,"suffix":""},{"dropping-particle":"","family":"Hoellerich","given":"V. L.","non-dropping-particle":"","parse-names":false,"suffix":""},{"dropping-particle":"","family":"Patil","given":"K. D.","non-dropping-particle":"","parse-names":false,"suffix":""}],"container-title":"Medical Decision Making","id":"ITEM-2","issue":"1","issued":{"date-parts":[["1986"]]},"page":"2-11","title":"How Physicians Use Clinical Information in Diagnosing Pulmonary Embolism: An Application of Conjoint Analysis","type":"article-journal","volume":"6"},"uris":["http://www.mendeley.com/documents/?uuid=540e6dda-9124-4302-94c0-7744a74de42b","http://www.mendeley.com/documents/?uuid=ec656686-fce2-4584-8bbe-376e83d5ca95","http://www.mendeley.com/documents/?uuid=ae9b99a9-ab51-471c-a1ba-a2c6bcb67856"]}],"mendeley":{"formattedCitation":"(Wigton, Hoellerich and Patil, 1986; Thompson &lt;i&gt;et al.&lt;/i&gt;, 2005)","plainTextFormattedCitation":"(Wigton, Hoellerich and Patil, 1986; Thompson et al., 2005)","previouslyFormattedCitation":"(Thompson et al. 2005; Wigton, Hoellerich, and Patil 1986)"},"properties":{"noteIndex":0},"schema":"https://github.com/citation-style-language/schema/raw/master/csl-citation.json"}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(Wigton, Hoellerich and Patil</w:t>
      </w:r>
      <w:r w:rsidR="00BE3B6C" w:rsidRPr="00BE3B6C">
        <w:rPr>
          <w:rFonts w:ascii="Times New Roman" w:hAnsi="Times New Roman" w:cs="Times New Roman"/>
          <w:noProof/>
          <w:sz w:val="24"/>
          <w:szCs w:val="24"/>
        </w:rPr>
        <w:t xml:space="preserve"> 1986; Thompson</w:t>
      </w:r>
      <w:r w:rsidR="00BE3B6C" w:rsidRPr="00421389">
        <w:rPr>
          <w:rFonts w:ascii="Times New Roman" w:hAnsi="Times New Roman" w:cs="Times New Roman"/>
          <w:noProof/>
          <w:sz w:val="24"/>
          <w:szCs w:val="24"/>
        </w:rPr>
        <w:t xml:space="preserve"> et al. 20</w:t>
      </w:r>
      <w:r w:rsidR="00BE3B6C" w:rsidRPr="00BE3B6C">
        <w:rPr>
          <w:rFonts w:ascii="Times New Roman" w:hAnsi="Times New Roman" w:cs="Times New Roman"/>
          <w:noProof/>
          <w:sz w:val="24"/>
          <w:szCs w:val="24"/>
        </w:rPr>
        <w:t>05)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Here, participants are presented with real-life scenarios (usually presented as vignettes) and ask to make a judgement on the information presented e.g. to refer or not refer a patient.  </w:t>
      </w:r>
    </w:p>
    <w:p w14:paraId="6F81D037" w14:textId="77777777" w:rsidR="00863DF5" w:rsidRPr="006F3B00" w:rsidRDefault="00863DF5" w:rsidP="00863DF5">
      <w:pPr>
        <w:spacing w:after="0" w:line="480" w:lineRule="auto"/>
        <w:rPr>
          <w:rFonts w:ascii="Times New Roman" w:hAnsi="Times New Roman" w:cs="Times New Roman"/>
          <w:sz w:val="24"/>
          <w:szCs w:val="24"/>
        </w:rPr>
      </w:pPr>
    </w:p>
    <w:p w14:paraId="621DCDCE" w14:textId="73C26380"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Examining Brunswik’s lens (Figure 2</w:t>
      </w:r>
      <w:r w:rsidR="00BC04B0">
        <w:rPr>
          <w:rFonts w:ascii="Times New Roman" w:hAnsi="Times New Roman" w:cs="Times New Roman"/>
          <w:sz w:val="24"/>
          <w:szCs w:val="24"/>
        </w:rPr>
        <w:t>.1</w:t>
      </w:r>
      <w:r w:rsidRPr="006F3B00">
        <w:rPr>
          <w:rFonts w:ascii="Times New Roman" w:hAnsi="Times New Roman" w:cs="Times New Roman"/>
          <w:sz w:val="24"/>
          <w:szCs w:val="24"/>
        </w:rPr>
        <w:t>), the left side of the model is the “true state” or the particular situation an individual is exposed to (this is the judgement ecology). In this case, the “criterion” would be judging a trainee’s diagnostic competency. There are then various cues (e.g. X</w:t>
      </w:r>
      <w:r w:rsidRPr="006F3B00">
        <w:rPr>
          <w:rFonts w:ascii="Times New Roman" w:hAnsi="Times New Roman" w:cs="Times New Roman"/>
          <w:sz w:val="24"/>
          <w:szCs w:val="24"/>
          <w:vertAlign w:val="subscript"/>
        </w:rPr>
        <w:t xml:space="preserve">1 </w:t>
      </w:r>
      <w:r w:rsidRPr="006F3B00">
        <w:rPr>
          <w:rFonts w:ascii="Times New Roman" w:hAnsi="Times New Roman" w:cs="Times New Roman"/>
          <w:sz w:val="24"/>
          <w:szCs w:val="24"/>
        </w:rPr>
        <w:t xml:space="preserve">could be the trainee’s communication skills) which contribute to the ecology and have different weights. The right side of the model represents the “weighting” that the judge (or assessor in this case) gives to the cues when making a </w:t>
      </w:r>
      <w:r w:rsidRPr="006F3B00">
        <w:rPr>
          <w:rFonts w:ascii="Times New Roman" w:hAnsi="Times New Roman" w:cs="Times New Roman"/>
          <w:sz w:val="24"/>
          <w:szCs w:val="24"/>
        </w:rPr>
        <w:lastRenderedPageBreak/>
        <w:t xml:space="preserve">decision about their trainee (and these weightings may be different to the true state). These weights can be ascertained by presenting relevant individuals with a large number of scenarios and by altering the values of the individual cues. In </w:t>
      </w:r>
      <w:r w:rsidR="000E66CF">
        <w:rPr>
          <w:rFonts w:ascii="Times New Roman" w:hAnsi="Times New Roman" w:cs="Times New Roman"/>
          <w:sz w:val="24"/>
          <w:szCs w:val="24"/>
        </w:rPr>
        <w:t xml:space="preserve">the classical application of </w:t>
      </w:r>
      <w:r w:rsidRPr="006F3B00">
        <w:rPr>
          <w:rFonts w:ascii="Times New Roman" w:hAnsi="Times New Roman" w:cs="Times New Roman"/>
          <w:sz w:val="24"/>
          <w:szCs w:val="24"/>
        </w:rPr>
        <w:t>SJT, regression analysis is</w:t>
      </w:r>
      <w:r w:rsidR="000E66CF">
        <w:rPr>
          <w:rFonts w:ascii="Times New Roman" w:hAnsi="Times New Roman" w:cs="Times New Roman"/>
          <w:sz w:val="24"/>
          <w:szCs w:val="24"/>
        </w:rPr>
        <w:t xml:space="preserve"> often</w:t>
      </w:r>
      <w:r w:rsidRPr="006F3B00">
        <w:rPr>
          <w:rFonts w:ascii="Times New Roman" w:hAnsi="Times New Roman" w:cs="Times New Roman"/>
          <w:sz w:val="24"/>
          <w:szCs w:val="24"/>
        </w:rPr>
        <w:t xml:space="preserve"> used to determine what cues participants use or value in the decision making process</w:t>
      </w:r>
      <w:r w:rsidR="004F229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{"citationItems":[{"id":"ITEM-1","itemData":{"author":[{"dropping-particle":"","family":"Cooksey","given":"RW","non-dropping-particle":"","parse-names":false,"suffix":""}],"id":"ITEM-1","issued":{"date-parts":[["1996"]]},"publisher":"Academic Press","publisher-place":"London","title":"Judgement Analysis: Theory, Methods and Applications.","type":"book"},"uris":["http://www.mendeley.com/documents/?uuid=e915a014-f36e-4028-8ee5-630489d36ed9"]}],"mendeley":{"formattedCitation":"(R. Cooksey, 1996)","plainTextFormattedCitation":"(R. Cooksey, 1996)","previouslyFormattedCitation":"(R. Cooksey 1996)"},"properties":{"noteIndex":0},"schema":"https://github.com/citation-style-language/schema/raw/master/csl-citation.json"}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w:t>
      </w:r>
      <w:r w:rsidR="007C6E3B">
        <w:rPr>
          <w:rFonts w:ascii="Times New Roman" w:hAnsi="Times New Roman" w:cs="Times New Roman"/>
          <w:noProof/>
          <w:sz w:val="24"/>
          <w:szCs w:val="24"/>
        </w:rPr>
        <w:t>Cooksey</w:t>
      </w:r>
      <w:r w:rsidR="00BE3B6C" w:rsidRPr="00BE3B6C">
        <w:rPr>
          <w:rFonts w:ascii="Times New Roman" w:hAnsi="Times New Roman" w:cs="Times New Roman"/>
          <w:noProof/>
          <w:sz w:val="24"/>
          <w:szCs w:val="24"/>
        </w:rPr>
        <w:t xml:space="preserve"> 1996</w:t>
      </w:r>
      <w:r w:rsidR="00421389">
        <w:rPr>
          <w:rFonts w:ascii="Times New Roman" w:hAnsi="Times New Roman" w:cs="Times New Roman"/>
          <w:noProof/>
          <w:sz w:val="24"/>
          <w:szCs w:val="24"/>
        </w:rPr>
        <w:t>b</w:t>
      </w:r>
      <w:r w:rsidR="00BE3B6C" w:rsidRPr="00BE3B6C">
        <w:rPr>
          <w:rFonts w:ascii="Times New Roman" w:hAnsi="Times New Roman" w:cs="Times New Roman"/>
          <w:noProof/>
          <w:sz w:val="24"/>
          <w:szCs w:val="24"/>
        </w:rPr>
        <w:t>)</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r w:rsidR="000E66CF">
        <w:rPr>
          <w:rFonts w:ascii="Times New Roman" w:hAnsi="Times New Roman" w:cs="Times New Roman"/>
          <w:sz w:val="24"/>
          <w:szCs w:val="24"/>
        </w:rPr>
        <w:t xml:space="preserve"> </w:t>
      </w:r>
    </w:p>
    <w:p w14:paraId="2C6D538B" w14:textId="77777777" w:rsidR="00863DF5" w:rsidRPr="006F3B00" w:rsidRDefault="007D3649" w:rsidP="00863DF5">
      <w:pPr>
        <w:spacing w:after="0" w:line="480" w:lineRule="auto"/>
        <w:rPr>
          <w:rFonts w:ascii="Times New Roman" w:hAnsi="Times New Roman" w:cs="Times New Roman"/>
          <w:sz w:val="24"/>
          <w:szCs w:val="24"/>
        </w:rPr>
      </w:pPr>
      <w:r w:rsidRPr="006F3B00">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2B22D3A" wp14:editId="07524C93">
                <wp:simplePos x="0" y="0"/>
                <wp:positionH relativeFrom="margin">
                  <wp:posOffset>114299</wp:posOffset>
                </wp:positionH>
                <wp:positionV relativeFrom="paragraph">
                  <wp:posOffset>133350</wp:posOffset>
                </wp:positionV>
                <wp:extent cx="5343525" cy="4509321"/>
                <wp:effectExtent l="0" t="0" r="0" b="24765"/>
                <wp:wrapNone/>
                <wp:docPr id="4" name="Group 45"/>
                <wp:cNvGraphicFramePr/>
                <a:graphic xmlns:a="http://schemas.openxmlformats.org/drawingml/2006/main">
                  <a:graphicData uri="http://schemas.microsoft.com/office/word/2010/wordprocessingGroup">
                    <wpg:wgp>
                      <wpg:cNvGrpSpPr/>
                      <wpg:grpSpPr>
                        <a:xfrm>
                          <a:off x="0" y="0"/>
                          <a:ext cx="5343525" cy="4509321"/>
                          <a:chOff x="0" y="0"/>
                          <a:chExt cx="6477647" cy="4343400"/>
                        </a:xfrm>
                      </wpg:grpSpPr>
                      <wps:wsp>
                        <wps:cNvPr id="5" name="Oval 5"/>
                        <wps:cNvSpPr/>
                        <wps:spPr>
                          <a:xfrm>
                            <a:off x="2819400" y="1600200"/>
                            <a:ext cx="914400" cy="838200"/>
                          </a:xfrm>
                          <a:prstGeom prst="ellipse">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Oval 6"/>
                        <wps:cNvSpPr/>
                        <wps:spPr>
                          <a:xfrm>
                            <a:off x="2819400" y="685800"/>
                            <a:ext cx="914400" cy="838200"/>
                          </a:xfrm>
                          <a:prstGeom prst="ellipse">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Oval 7"/>
                        <wps:cNvSpPr/>
                        <wps:spPr>
                          <a:xfrm>
                            <a:off x="2819400" y="2590800"/>
                            <a:ext cx="914400" cy="838200"/>
                          </a:xfrm>
                          <a:prstGeom prst="ellipse">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Oval 8"/>
                        <wps:cNvSpPr/>
                        <wps:spPr>
                          <a:xfrm>
                            <a:off x="2819400" y="3505200"/>
                            <a:ext cx="914400" cy="838200"/>
                          </a:xfrm>
                          <a:prstGeom prst="ellipse">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TextBox 7"/>
                        <wps:cNvSpPr txBox="1"/>
                        <wps:spPr>
                          <a:xfrm>
                            <a:off x="2895600" y="0"/>
                            <a:ext cx="762000" cy="369332"/>
                          </a:xfrm>
                          <a:prstGeom prst="rect">
                            <a:avLst/>
                          </a:prstGeom>
                          <a:noFill/>
                        </wps:spPr>
                        <wps:txbx>
                          <w:txbxContent>
                            <w:p w14:paraId="19B71CAD"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Cues</w:t>
                              </w:r>
                            </w:p>
                          </w:txbxContent>
                        </wps:txbx>
                        <wps:bodyPr wrap="square" rtlCol="0">
                          <a:noAutofit/>
                        </wps:bodyPr>
                      </wps:wsp>
                      <wps:wsp>
                        <wps:cNvPr id="10" name="Oval 10"/>
                        <wps:cNvSpPr/>
                        <wps:spPr>
                          <a:xfrm>
                            <a:off x="0" y="1456374"/>
                            <a:ext cx="1066800" cy="1066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5257800" y="1485900"/>
                            <a:ext cx="1066800" cy="1066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TextBox 10"/>
                        <wps:cNvSpPr txBox="1"/>
                        <wps:spPr>
                          <a:xfrm>
                            <a:off x="27219" y="1839510"/>
                            <a:ext cx="1104811" cy="430559"/>
                          </a:xfrm>
                          <a:prstGeom prst="rect">
                            <a:avLst/>
                          </a:prstGeom>
                          <a:noFill/>
                        </wps:spPr>
                        <wps:txbx>
                          <w:txbxContent>
                            <w:p w14:paraId="77864701" w14:textId="77777777" w:rsidR="00D35C1E" w:rsidRDefault="00D35C1E" w:rsidP="00863DF5">
                              <w:pPr>
                                <w:pStyle w:val="NormalWeb"/>
                                <w:spacing w:before="0" w:beforeAutospacing="0" w:after="0" w:afterAutospacing="0"/>
                              </w:pPr>
                              <w:r>
                                <w:rPr>
                                  <w:rFonts w:asciiTheme="minorHAnsi" w:hAnsi="Calibri" w:cstheme="minorBidi"/>
                                  <w:color w:val="000000" w:themeColor="text1"/>
                                  <w:kern w:val="24"/>
                                  <w:sz w:val="28"/>
                                  <w:szCs w:val="28"/>
                                </w:rPr>
                                <w:t>Criterion</w:t>
                              </w:r>
                            </w:p>
                          </w:txbxContent>
                        </wps:txbx>
                        <wps:bodyPr wrap="square" rtlCol="0">
                          <a:noAutofit/>
                        </wps:bodyPr>
                      </wps:wsp>
                      <wps:wsp>
                        <wps:cNvPr id="13" name="TextBox 11"/>
                        <wps:cNvSpPr txBox="1"/>
                        <wps:spPr>
                          <a:xfrm>
                            <a:off x="5246305" y="1845735"/>
                            <a:ext cx="1231342" cy="430913"/>
                          </a:xfrm>
                          <a:prstGeom prst="rect">
                            <a:avLst/>
                          </a:prstGeom>
                          <a:noFill/>
                        </wps:spPr>
                        <wps:txbx>
                          <w:txbxContent>
                            <w:p w14:paraId="542FD2F9" w14:textId="77777777" w:rsidR="00D35C1E" w:rsidRDefault="00D35C1E" w:rsidP="00863DF5">
                              <w:pPr>
                                <w:pStyle w:val="NormalWeb"/>
                                <w:spacing w:before="0" w:beforeAutospacing="0" w:after="0" w:afterAutospacing="0"/>
                              </w:pPr>
                              <w:r>
                                <w:rPr>
                                  <w:rFonts w:asciiTheme="minorHAnsi" w:hAnsi="Calibri" w:cstheme="minorBidi"/>
                                  <w:color w:val="000000" w:themeColor="text1"/>
                                  <w:kern w:val="24"/>
                                  <w:sz w:val="28"/>
                                  <w:szCs w:val="28"/>
                                </w:rPr>
                                <w:t>Judgement</w:t>
                              </w:r>
                            </w:p>
                          </w:txbxContent>
                        </wps:txbx>
                        <wps:bodyPr wrap="square" rtlCol="0">
                          <a:noAutofit/>
                        </wps:bodyPr>
                      </wps:wsp>
                      <wps:wsp>
                        <wps:cNvPr id="14" name="Straight Arrow Connector 14"/>
                        <wps:cNvCnPr/>
                        <wps:spPr>
                          <a:xfrm>
                            <a:off x="3810000" y="990600"/>
                            <a:ext cx="1676400" cy="4953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3853132" y="1981200"/>
                            <a:ext cx="1328468"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V="1">
                            <a:off x="1066800" y="990600"/>
                            <a:ext cx="1714500" cy="609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3797060" y="2667000"/>
                            <a:ext cx="1765540" cy="106680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V="1">
                            <a:off x="3841630" y="2357836"/>
                            <a:ext cx="1404668" cy="46156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1219200" y="1989774"/>
                            <a:ext cx="14478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066800" y="2357836"/>
                            <a:ext cx="1600200" cy="46156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723900" y="2603021"/>
                            <a:ext cx="2057400" cy="113077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TextBox 37"/>
                        <wps:cNvSpPr txBox="1"/>
                        <wps:spPr>
                          <a:xfrm>
                            <a:off x="4617525" y="3428461"/>
                            <a:ext cx="1437286" cy="832643"/>
                          </a:xfrm>
                          <a:prstGeom prst="rect">
                            <a:avLst/>
                          </a:prstGeom>
                          <a:noFill/>
                        </wps:spPr>
                        <wps:txbx>
                          <w:txbxContent>
                            <w:p w14:paraId="071A3725"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Cue utilisation</w:t>
                              </w:r>
                            </w:p>
                          </w:txbxContent>
                        </wps:txbx>
                        <wps:bodyPr wrap="square" rtlCol="0">
                          <a:noAutofit/>
                        </wps:bodyPr>
                      </wps:wsp>
                      <wps:wsp>
                        <wps:cNvPr id="23" name="TextBox 38"/>
                        <wps:cNvSpPr txBox="1"/>
                        <wps:spPr>
                          <a:xfrm>
                            <a:off x="564449" y="3427926"/>
                            <a:ext cx="1568866" cy="832512"/>
                          </a:xfrm>
                          <a:prstGeom prst="rect">
                            <a:avLst/>
                          </a:prstGeom>
                          <a:noFill/>
                        </wps:spPr>
                        <wps:txbx>
                          <w:txbxContent>
                            <w:p w14:paraId="1B12969E"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Ecological validity</w:t>
                              </w:r>
                            </w:p>
                          </w:txbxContent>
                        </wps:txbx>
                        <wps:bodyPr wrap="square" rtlCol="0">
                          <a:noAutofit/>
                        </wps:bodyPr>
                      </wps:wsp>
                      <wps:wsp>
                        <wps:cNvPr id="24" name="TextBox 40"/>
                        <wps:cNvSpPr txBox="1"/>
                        <wps:spPr>
                          <a:xfrm>
                            <a:off x="3091132" y="926068"/>
                            <a:ext cx="762000" cy="427355"/>
                          </a:xfrm>
                          <a:prstGeom prst="rect">
                            <a:avLst/>
                          </a:prstGeom>
                          <a:noFill/>
                        </wps:spPr>
                        <wps:txbx>
                          <w:txbxContent>
                            <w:p w14:paraId="44456EAA"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X</w:t>
                              </w:r>
                              <w:r>
                                <w:rPr>
                                  <w:rFonts w:asciiTheme="minorHAnsi" w:hAnsi="Calibri" w:cstheme="minorBidi"/>
                                  <w:b/>
                                  <w:bCs/>
                                  <w:color w:val="000000" w:themeColor="text1"/>
                                  <w:kern w:val="24"/>
                                  <w:position w:val="-9"/>
                                  <w:sz w:val="36"/>
                                  <w:szCs w:val="36"/>
                                  <w:vertAlign w:val="subscript"/>
                                </w:rPr>
                                <w:t>1</w:t>
                              </w:r>
                            </w:p>
                          </w:txbxContent>
                        </wps:txbx>
                        <wps:bodyPr wrap="square" rtlCol="0">
                          <a:noAutofit/>
                        </wps:bodyPr>
                      </wps:wsp>
                      <wps:wsp>
                        <wps:cNvPr id="25" name="TextBox 42"/>
                        <wps:cNvSpPr txBox="1"/>
                        <wps:spPr>
                          <a:xfrm>
                            <a:off x="3131388" y="1839511"/>
                            <a:ext cx="762000" cy="427355"/>
                          </a:xfrm>
                          <a:prstGeom prst="rect">
                            <a:avLst/>
                          </a:prstGeom>
                          <a:noFill/>
                        </wps:spPr>
                        <wps:txbx>
                          <w:txbxContent>
                            <w:p w14:paraId="17887F58"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X</w:t>
                              </w:r>
                              <w:r>
                                <w:rPr>
                                  <w:rFonts w:asciiTheme="minorHAnsi" w:hAnsi="Calibri" w:cstheme="minorBidi"/>
                                  <w:b/>
                                  <w:bCs/>
                                  <w:color w:val="000000" w:themeColor="text1"/>
                                  <w:kern w:val="24"/>
                                  <w:position w:val="-9"/>
                                  <w:sz w:val="36"/>
                                  <w:szCs w:val="36"/>
                                  <w:vertAlign w:val="subscript"/>
                                </w:rPr>
                                <w:t>2</w:t>
                              </w:r>
                            </w:p>
                          </w:txbxContent>
                        </wps:txbx>
                        <wps:bodyPr wrap="square" rtlCol="0">
                          <a:noAutofit/>
                        </wps:bodyPr>
                      </wps:wsp>
                      <wps:wsp>
                        <wps:cNvPr id="26" name="TextBox 43"/>
                        <wps:cNvSpPr txBox="1"/>
                        <wps:spPr>
                          <a:xfrm>
                            <a:off x="3111260" y="2825234"/>
                            <a:ext cx="762000" cy="427355"/>
                          </a:xfrm>
                          <a:prstGeom prst="rect">
                            <a:avLst/>
                          </a:prstGeom>
                          <a:noFill/>
                        </wps:spPr>
                        <wps:txbx>
                          <w:txbxContent>
                            <w:p w14:paraId="4B9C1B4B"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X</w:t>
                              </w:r>
                              <w:r>
                                <w:rPr>
                                  <w:rFonts w:asciiTheme="minorHAnsi" w:hAnsi="Calibri" w:cstheme="minorBidi"/>
                                  <w:b/>
                                  <w:bCs/>
                                  <w:color w:val="000000" w:themeColor="text1"/>
                                  <w:kern w:val="24"/>
                                  <w:position w:val="-9"/>
                                  <w:sz w:val="36"/>
                                  <w:szCs w:val="36"/>
                                  <w:vertAlign w:val="subscript"/>
                                </w:rPr>
                                <w:t>3</w:t>
                              </w:r>
                            </w:p>
                          </w:txbxContent>
                        </wps:txbx>
                        <wps:bodyPr wrap="square" rtlCol="0">
                          <a:noAutofit/>
                        </wps:bodyPr>
                      </wps:wsp>
                      <wps:wsp>
                        <wps:cNvPr id="27" name="TextBox 44"/>
                        <wps:cNvSpPr txBox="1"/>
                        <wps:spPr>
                          <a:xfrm>
                            <a:off x="3111260" y="3743538"/>
                            <a:ext cx="762000" cy="427355"/>
                          </a:xfrm>
                          <a:prstGeom prst="rect">
                            <a:avLst/>
                          </a:prstGeom>
                          <a:noFill/>
                        </wps:spPr>
                        <wps:txbx>
                          <w:txbxContent>
                            <w:p w14:paraId="498F6218"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X</w:t>
                              </w:r>
                              <w:r>
                                <w:rPr>
                                  <w:rFonts w:asciiTheme="minorHAnsi" w:hAnsi="Calibri" w:cstheme="minorBidi"/>
                                  <w:b/>
                                  <w:bCs/>
                                  <w:color w:val="000000" w:themeColor="text1"/>
                                  <w:kern w:val="24"/>
                                  <w:position w:val="-9"/>
                                  <w:sz w:val="36"/>
                                  <w:szCs w:val="36"/>
                                  <w:vertAlign w:val="subscript"/>
                                </w:rPr>
                                <w:t>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2B22D3A" id="Group 45" o:spid="_x0000_s1028" style="position:absolute;margin-left:9pt;margin-top:10.5pt;width:420.75pt;height:355.05pt;z-index:251659264;mso-position-horizontal-relative:margin;mso-width-relative:margin;mso-height-relative:margin" coordsize="64776,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X4ZwcAAF48AAAOAAAAZHJzL2Uyb0RvYy54bWzsW1tv2zYUfh+w/yDofbUoiroYdYosXYoB&#10;RVss3fqsyJItQBY1iomd/fqdQ1KU4ktip0vQYBqw1BIvEs+N53wf9fbdZlU5t7loS17PXPLGc528&#10;zvi8rBcz98+vl7/ErtPKtJ6nFa/zmXuXt+67s59/ertuprnPl7ya58KBSep2um5m7lLKZjqZtNky&#10;X6XtG97kNTQWXKxSCZdiMZmLdA2zr6qJ73nhZM3FvBE8y9sW7r7Xje6Zmr8o8kx+Loo2l041c+Hd&#10;pPor1N9r/Ds5e5tOFyJtlmVmXiN9wlus0rKGh9qp3qcydW5EuTPVqswEb3kh32R8NeFFUWa5WgOs&#10;hnhbq/kg+E2j1rKYrheNFROIdktOT542+3T7RTjlfOYGrlOnK1CReqoTMJTNullMocsH0Vw1X4S5&#10;sdBXuNxNIVb4LyzE2Sip3lmp5hvpZHCT0YAyn7lOBm0B8xLqEy33bAnK2RmXLX8zI8MgiuB/MxKm&#10;CTylsUn34Am+n32ddQM21PZiar9PTFfLtMmV9FuUgRETrEOL6fNtWjlGSKqDlVA7bUFYe8TjxyTB&#10;JTggCBJ6HhiwFkQnqoQEqh0lFdPYtNvlptNGtPJDzlcO/pi5eVWVTYsvmU7T24+tBA1B764X3q75&#10;ZVlVeB/Fo19M/ZJ3VY4dqvqPvAALAE35aiLle/lFJRxY4cxNsyyvJdVNy3Se69vMg//w7eF5doS6&#10;UhPizAU82M5NHppbT2P649Bcua4d7D0+2I5QT+a1tINXZc3FvgkqqewQFlDo/p2QtGhQStd8fgeK&#10;F1wHjrbJLkuQ/Me0lV9SAZEClAnRD1qXXPzjOmuIJDO3/fsmFbnrVL/XYINKqRB61EXAIh/GiGHL&#10;9bClvlldcBA7gbjZZOon9pdV97MQfPUNgt45PhWa0jqDZ8/cTIru4kLqCAdhM8vPz1U3CDdNKj/W&#10;V02Gk6OU0Ey+br6lojHmJMEOP/HO7ndMSvfFkTU/v5G8KJW99XIy8gMfxMjxAs4Y3nPGEM0Rnwve&#10;epozhjGLR1/Ufj76Iu5SyktHX5zvS0u6AGFczWyMsE0PNsboyb7os8QbndFsuqMzjs74cI2w3xmh&#10;6ho4Y/xkZ6TMY2OWOjoj5Jljlvp4wb7fGZPOGb9Cfv0r3zjbm6MjN3Ab03KTwB6sHxMGZaOqH7cq&#10;xygEN4UWrBxpmFDq41yHK0cByIgqAk4sG+XmeqPgAjV/n/pvVT59vfIjlQsEBDQIi3Bp5H1UwaDl&#10;TgIW0ijAkVCmGqCCeGGIOYsSf3fxoPxfrnI3hfezVO62ftaVvhLJ0ZV7N3is3P+HlTsBfGPoijb0&#10;HeWKACdGyt8QSAtiqBi2wmHng8/jkAiaoa23vCrnCK+pC7G4tqDZ5eUQHuu7QUDGod+HxY0ejbjX&#10;iMUJgNl+HCyO+J1Hd2nOzv56dJ4T+QSSJnTumCZMzzPYbYkXxBhAFKFAPcaSZ052aJcoGDz4Psz7&#10;gyY7dEcf20H2WH0wPwhBzEYjAI5RxXsMNOJTQgMwAKORhCiJPWP6qRKw15Z+WortSoq0XCylcy4E&#10;XzsXvK4hH+fCIXZdsA9e1IZy63ibjvayfBuNidpn0FWSxMPa4H5eGgJ/1uWlQcKo7nBYL615MftG&#10;eq85UCRUtbMG1ihmEdP8Sr/RDUghzRfJTZfv3ds1ZVpWv9VzR941QD2mKA7jy0fuk2YzRL54m7Pq&#10;HrifkHqAU+oGPomQ6gY/Ia3tZfQIIYWlBRr/yzEtxPKeh213SIYeY7sMggbEDAzzSUx2YCZojIMQ&#10;kCwMKsqwR7tVHLvKNh8y+NFuLV1PLEV42G6HvOEBu3UKINr/QoQGhW9OO9gi41D0jQAs6KJv6CUm&#10;PI9WPFrxwSM/+xFEYsm1w1Y8BBVPsWIaJRFkDioO+2EYmWMdg+QuChkL7oFb3R7XHf/pDpyYcwRj&#10;FoFUeiekMRr30djyUofteEhWnWTHcUCgStF2TAEfoiquD+w48AKAaU2REhIWqmR7DMdjOD41HFtG&#10;57AZK0jCnJA4YMbDVAIAD0yATTKcRDsMQxBoxHNMhoenCsciTpxwRAdPHmrQ/aDdQhcoLo+32474&#10;ghTY3xt0IelVhq2QoTHojsb7VBbdt4zRYeNVKdfRxhv5FIkjjLl+6FEPnnAPPfM9Fln0jBDqRdEj&#10;QHM7wmdj4rvvqwF/hxyhw3oNTysfC8YHIYnU5xRgtoC5A0S2ZbYkoJEfA+6BITemfhg8Nxhvgb9X&#10;RI/4O/QIHVYep2gECokg0HwVKCRK/O3Cg4VxHPYKYUCVIYLbw/lb9fN3H86xiNZrUohlRzr+EDCH&#10;Phc5RSHUSyBca2gZtOFB0XcvsA8PS4HCKFMG/Iz6sL7+mvRhEX+rD3vmyxzSODZkAc5PaAyVNwQk&#10;zehuhawXV4h19dekEAtlW4VYXvpkhRACfqFTn9hnPt060PbiCrHl8mtSiEVlrUKG9O1JEYv0CoHT&#10;hZTpzagHr15cIf3hjf9GI+pTTfiIVe175oNb/Ep2eK1Yzf6z4LN/AQAA//8DAFBLAwQUAAYACAAA&#10;ACEAeRY4d+AAAAAJAQAADwAAAGRycy9kb3ducmV2LnhtbEyPQUvDQBCF74L/YRnBm91sSzRNsyml&#10;qKcitBXE2zaZJqHZ2ZDdJum/dzzpaXi8x5vvZevJtmLA3jeONKhZBAKpcGVDlYbP49tTAsIHQ6Vp&#10;HaGGG3pY5/d3mUlLN9Ieh0OoBJeQT42GOoQuldIXNVrjZ65DYu/semsCy76SZW9GLretnEfRs7Sm&#10;If5Qmw63NRaXw9VqeB/NuFmo12F3OW9v38f442unUOvHh2mzAhFwCn9h+MVndMiZ6eSuVHrRsk54&#10;StAwV3zZT+JlDOKk4WWhFMg8k/8X5D8AAAD//wMAUEsBAi0AFAAGAAgAAAAhALaDOJL+AAAA4QEA&#10;ABMAAAAAAAAAAAAAAAAAAAAAAFtDb250ZW50X1R5cGVzXS54bWxQSwECLQAUAAYACAAAACEAOP0h&#10;/9YAAACUAQAACwAAAAAAAAAAAAAAAAAvAQAAX3JlbHMvLnJlbHNQSwECLQAUAAYACAAAACEA3rvV&#10;+GcHAABePAAADgAAAAAAAAAAAAAAAAAuAgAAZHJzL2Uyb0RvYy54bWxQSwECLQAUAAYACAAAACEA&#10;eRY4d+AAAAAJAQAADwAAAAAAAAAAAAAAAADBCQAAZHJzL2Rvd25yZXYueG1sUEsFBgAAAAAEAAQA&#10;8wAAAM4KAAAAAA==&#10;">
                <v:oval id="Oval 5" o:spid="_x0000_s1029" style="position:absolute;left:28194;top:16002;width:914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ahwgAAANoAAAAPAAAAZHJzL2Rvd25yZXYueG1sRI9Pi8Iw&#10;FMTvC/sdwlvY25p2Yf1TjbIUhD14sXrw+GieabV5KU1su9/eCILHYWZ+w6w2o21ET52vHStIJwkI&#10;4tLpmo2C42H7NQfhA7LGxjEp+CcPm/X72woz7QbeU18EIyKEfYYKqhDaTEpfVmTRT1xLHL2z6yyG&#10;KDsjdYdDhNtGfifJVFqsOS5U2FJeUXktblZBMbP+kps9z9NhcRyS0y6nq1fq82P8XYIINIZX+Nn+&#10;0wp+4HEl3gC5vgMAAP//AwBQSwECLQAUAAYACAAAACEA2+H2y+4AAACFAQAAEwAAAAAAAAAAAAAA&#10;AAAAAAAAW0NvbnRlbnRfVHlwZXNdLnhtbFBLAQItABQABgAIAAAAIQBa9CxbvwAAABUBAAALAAAA&#10;AAAAAAAAAAAAAB8BAABfcmVscy8ucmVsc1BLAQItABQABgAIAAAAIQDsMVahwgAAANoAAAAPAAAA&#10;AAAAAAAAAAAAAAcCAABkcnMvZG93bnJldi54bWxQSwUGAAAAAAMAAwC3AAAA9gIAAAAA&#10;" filled="f" strokecolor="#525252 [1606]" strokeweight="1pt">
                  <v:stroke joinstyle="miter"/>
                </v:oval>
                <v:oval id="Oval 6" o:spid="_x0000_s1030" style="position:absolute;left:28194;top:6858;width:914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jWvgAAANoAAAAPAAAAZHJzL2Rvd25yZXYueG1sRI/NCsIw&#10;EITvgu8QVvCmqR78qUaRguDBi9WDx6VZ22qzKU209e2NIHgcZuYbZr3tTCVe1LjSsoLJOAJBnFld&#10;cq7gct6PFiCcR9ZYWSYFb3Kw3fR7a4y1bflEr9TnIkDYxaig8L6OpXRZQQbd2NbEwbvZxqAPssml&#10;brANcFPJaRTNpMGSw0KBNSUFZY/0aRSkc+PuSX7ixaRdXtroekzo4ZQaDrrdCoSnzv/Dv/ZBK5jB&#10;90q4AXLzAQAA//8DAFBLAQItABQABgAIAAAAIQDb4fbL7gAAAIUBAAATAAAAAAAAAAAAAAAAAAAA&#10;AABbQ29udGVudF9UeXBlc10ueG1sUEsBAi0AFAAGAAgAAAAhAFr0LFu/AAAAFQEAAAsAAAAAAAAA&#10;AAAAAAAAHwEAAF9yZWxzLy5yZWxzUEsBAi0AFAAGAAgAAAAhABzjyNa+AAAA2gAAAA8AAAAAAAAA&#10;AAAAAAAABwIAAGRycy9kb3ducmV2LnhtbFBLBQYAAAAAAwADALcAAADyAgAAAAA=&#10;" filled="f" strokecolor="#525252 [1606]" strokeweight="1pt">
                  <v:stroke joinstyle="miter"/>
                </v:oval>
                <v:oval id="Oval 7" o:spid="_x0000_s1031" style="position:absolute;left:28194;top:25908;width:914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1NvgAAANoAAAAPAAAAZHJzL2Rvd25yZXYueG1sRI/NCsIw&#10;EITvgu8QVvCmqR78qUaRguDBi9WDx6VZ22qzKU209e2NIHgcZuYbZr3tTCVe1LjSsoLJOAJBnFld&#10;cq7gct6PFiCcR9ZYWSYFb3Kw3fR7a4y1bflEr9TnIkDYxaig8L6OpXRZQQbd2NbEwbvZxqAPssml&#10;brANcFPJaRTNpMGSw0KBNSUFZY/0aRSkc+PuSX7ixaRdXtroekzo4ZQaDrrdCoSnzv/Dv/ZBK5jD&#10;90q4AXLzAQAA//8DAFBLAQItABQABgAIAAAAIQDb4fbL7gAAAIUBAAATAAAAAAAAAAAAAAAAAAAA&#10;AABbQ29udGVudF9UeXBlc10ueG1sUEsBAi0AFAAGAAgAAAAhAFr0LFu/AAAAFQEAAAsAAAAAAAAA&#10;AAAAAAAAHwEAAF9yZWxzLy5yZWxzUEsBAi0AFAAGAAgAAAAhAHOvbU2+AAAA2gAAAA8AAAAAAAAA&#10;AAAAAAAABwIAAGRycy9kb3ducmV2LnhtbFBLBQYAAAAAAwADALcAAADyAgAAAAA=&#10;" filled="f" strokecolor="#525252 [1606]" strokeweight="1pt">
                  <v:stroke joinstyle="miter"/>
                </v:oval>
                <v:oval id="Oval 8" o:spid="_x0000_s1032" style="position:absolute;left:28194;top:35052;width:914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k/uwAAANoAAAAPAAAAZHJzL2Rvd25yZXYueG1sRE+7CsIw&#10;FN0F/yFcwc2mOvioRpGC4OBidXC8NNe22tyUJtr692YQHA/nvdn1phZval1lWcE0ikEQ51ZXXCi4&#10;Xg6TJQjnkTXWlknBhxzstsPBBhNtOz7TO/OFCCHsElRQet8kUrq8JIMusg1x4O62NegDbAupW+xC&#10;uKnlLI7n0mDFoaHEhtKS8mf2MgqyhXGPtDjzctqtrl18O6X0dEqNR/1+DcJT7//in/uoFYSt4Uq4&#10;AXL7BQAA//8DAFBLAQItABQABgAIAAAAIQDb4fbL7gAAAIUBAAATAAAAAAAAAAAAAAAAAAAAAABb&#10;Q29udGVudF9UeXBlc10ueG1sUEsBAi0AFAAGAAgAAAAhAFr0LFu/AAAAFQEAAAsAAAAAAAAAAAAA&#10;AAAAHwEAAF9yZWxzLy5yZWxzUEsBAi0AFAAGAAgAAAAhAAIw+T+7AAAA2gAAAA8AAAAAAAAAAAAA&#10;AAAABwIAAGRycy9kb3ducmV2LnhtbFBLBQYAAAAAAwADALcAAADvAgAAAAA=&#10;" filled="f" strokecolor="#525252 [1606]" strokeweight="1pt">
                  <v:stroke joinstyle="miter"/>
                </v:oval>
                <v:shape id="TextBox 7" o:spid="_x0000_s1033" type="#_x0000_t202" style="position:absolute;left:28956;width:762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9B71CAD"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Cues</w:t>
                        </w:r>
                      </w:p>
                    </w:txbxContent>
                  </v:textbox>
                </v:shape>
                <v:oval id="Oval 10" o:spid="_x0000_s1034" style="position:absolute;top:14563;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iQxAAAANsAAAAPAAAAZHJzL2Rvd25yZXYueG1sRI+9bsMw&#10;DIT3AHkHgQG6xXI7FK0bJQgKBMjQDvkZMjISazuRKMNSHbdPHw4FupG4493HxWoMXg3Upzaygcei&#10;BEVso2u5NnA8bOYvoFJGdugjk4EfSrBaTicLrFy88Y6Gfa6VhHCq0ECTc1dpnWxDAVMRO2LRvmIf&#10;MMva19r1eJPw4PVTWT7rgC1LQ4MdvTdkr/vvYMC6Y335uP4O+Wz96eD8a+T205iH2bh+A5VpzP/m&#10;v+utE3yhl19kAL28AwAA//8DAFBLAQItABQABgAIAAAAIQDb4fbL7gAAAIUBAAATAAAAAAAAAAAA&#10;AAAAAAAAAABbQ29udGVudF9UeXBlc10ueG1sUEsBAi0AFAAGAAgAAAAhAFr0LFu/AAAAFQEAAAsA&#10;AAAAAAAAAAAAAAAAHwEAAF9yZWxzLy5yZWxzUEsBAi0AFAAGAAgAAAAhAK+YmJDEAAAA2wAAAA8A&#10;AAAAAAAAAAAAAAAABwIAAGRycy9kb3ducmV2LnhtbFBLBQYAAAAAAwADALcAAAD4AgAAAAA=&#10;" filled="f" strokecolor="#1f4d78 [1604]" strokeweight="1pt">
                  <v:stroke joinstyle="miter"/>
                </v:oval>
                <v:oval id="Oval 11" o:spid="_x0000_s1035" style="position:absolute;left:52578;top:14859;width:10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shape id="TextBox 10" o:spid="_x0000_s1036" type="#_x0000_t202" style="position:absolute;left:272;top:18395;width:11048;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7864701" w14:textId="77777777" w:rsidR="00D35C1E" w:rsidRDefault="00D35C1E" w:rsidP="00863DF5">
                        <w:pPr>
                          <w:pStyle w:val="NormalWeb"/>
                          <w:spacing w:before="0" w:beforeAutospacing="0" w:after="0" w:afterAutospacing="0"/>
                        </w:pPr>
                        <w:r>
                          <w:rPr>
                            <w:rFonts w:asciiTheme="minorHAnsi" w:hAnsi="Calibri" w:cstheme="minorBidi"/>
                            <w:color w:val="000000" w:themeColor="text1"/>
                            <w:kern w:val="24"/>
                            <w:sz w:val="28"/>
                            <w:szCs w:val="28"/>
                          </w:rPr>
                          <w:t>Criterion</w:t>
                        </w:r>
                      </w:p>
                    </w:txbxContent>
                  </v:textbox>
                </v:shape>
                <v:shape id="TextBox 11" o:spid="_x0000_s1037" type="#_x0000_t202" style="position:absolute;left:52463;top:18457;width:12313;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42FD2F9" w14:textId="77777777" w:rsidR="00D35C1E" w:rsidRDefault="00D35C1E" w:rsidP="00863DF5">
                        <w:pPr>
                          <w:pStyle w:val="NormalWeb"/>
                          <w:spacing w:before="0" w:beforeAutospacing="0" w:after="0" w:afterAutospacing="0"/>
                        </w:pPr>
                        <w:r>
                          <w:rPr>
                            <w:rFonts w:asciiTheme="minorHAnsi" w:hAnsi="Calibri" w:cstheme="minorBidi"/>
                            <w:color w:val="000000" w:themeColor="text1"/>
                            <w:kern w:val="24"/>
                            <w:sz w:val="28"/>
                            <w:szCs w:val="28"/>
                          </w:rPr>
                          <w:t>Judgement</w:t>
                        </w:r>
                      </w:p>
                    </w:txbxContent>
                  </v:textbox>
                </v:shape>
                <v:shapetype id="_x0000_t32" coordsize="21600,21600" o:spt="32" o:oned="t" path="m,l21600,21600e" filled="f">
                  <v:path arrowok="t" fillok="f" o:connecttype="none"/>
                  <o:lock v:ext="edit" shapetype="t"/>
                </v:shapetype>
                <v:shape id="Straight Arrow Connector 14" o:spid="_x0000_s1038" type="#_x0000_t32" style="position:absolute;left:38100;top:9906;width:16764;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0CwgAAANsAAAAPAAAAZHJzL2Rvd25yZXYueG1sRE9La8JA&#10;EL4L/odlBG+6UatodBXbUvBU8XXwNmTHJJqdDdk1pv76bkHobT6+5yxWjSlETZXLLSsY9CMQxInV&#10;OacKjoev3hSE88gaC8uk4IccrJbt1gJjbR+8o3rvUxFC2MWoIPO+jKV0SUYGXd+WxIG72MqgD7BK&#10;pa7wEcJNIYdRNJEGcw4NGZb0kVFy29+NAqq336PmPns/j3feDvXpc3udPpXqdpr1HISnxv+LX+6N&#10;DvPf4O+XcIBc/gIAAP//AwBQSwECLQAUAAYACAAAACEA2+H2y+4AAACFAQAAEwAAAAAAAAAAAAAA&#10;AAAAAAAAW0NvbnRlbnRfVHlwZXNdLnhtbFBLAQItABQABgAIAAAAIQBa9CxbvwAAABUBAAALAAAA&#10;AAAAAAAAAAAAAB8BAABfcmVscy8ucmVsc1BLAQItABQABgAIAAAAIQDI3x0CwgAAANsAAAAPAAAA&#10;AAAAAAAAAAAAAAcCAABkcnMvZG93bnJldi54bWxQSwUGAAAAAAMAAwC3AAAA9gIAAAAA&#10;" strokecolor="black [3213]" strokeweight="2.25pt">
                  <v:stroke endarrow="open" joinstyle="miter"/>
                </v:shape>
                <v:shape id="Straight Arrow Connector 15" o:spid="_x0000_s1039" type="#_x0000_t32" style="position:absolute;left:38531;top:19812;width:13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iZwwAAANsAAAAPAAAAZHJzL2Rvd25yZXYueG1sRE9La8JA&#10;EL4X/A/LCN7qRsWiqatoS6EnQ2w99DZkxySanQ3ZzaP99V2h0Nt8fM/Z7AZTiY4aV1pWMJtGIIgz&#10;q0vOFXx+vD2uQDiPrLGyTAq+ycFuO3rYYKxtzyl1J5+LEMIuRgWF93UspcsKMuimtiYO3MU2Bn2A&#10;TS51g30IN5WcR9GTNFhyaCiwppeCstupNQqoS46LoV0fvpapt3N9fk2uqx+lJuNh/wzC0+D/xX/u&#10;dx3mL+H+SzhAbn8BAAD//wMAUEsBAi0AFAAGAAgAAAAhANvh9svuAAAAhQEAABMAAAAAAAAAAAAA&#10;AAAAAAAAAFtDb250ZW50X1R5cGVzXS54bWxQSwECLQAUAAYACAAAACEAWvQsW78AAAAVAQAACwAA&#10;AAAAAAAAAAAAAAAfAQAAX3JlbHMvLnJlbHNQSwECLQAUAAYACAAAACEAp5O4mcMAAADbAAAADwAA&#10;AAAAAAAAAAAAAAAHAgAAZHJzL2Rvd25yZXYueG1sUEsFBgAAAAADAAMAtwAAAPcCAAAAAA==&#10;" strokecolor="black [3213]" strokeweight="2.25pt">
                  <v:stroke endarrow="open" joinstyle="miter"/>
                </v:shape>
                <v:shape id="Straight Arrow Connector 16" o:spid="_x0000_s1040" type="#_x0000_t32" style="position:absolute;left:10668;top:9906;width:17145;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IlwgAAANsAAAAPAAAAZHJzL2Rvd25yZXYueG1sRE9Li8Iw&#10;EL4v+B/CCHuRNVXwQTWKDxbW0+ID9jo0Y1NtJrXJ2vrvjbCwt/n4njNftrYUd6p94VjBoJ+AIM6c&#10;LjhXcDp+fkxB+ICssXRMCh7kYbnovM0x1a7hPd0PIRcxhH2KCkwIVSqlzwxZ9H1XEUfu7GqLIcI6&#10;l7rGJobbUg6TZCwtFhwbDFa0MZRdD79WwSUvJzv5bZqfpDe6rYfbQvbah1Lv3XY1AxGoDf/iP/eX&#10;jvPH8PolHiAXTwAAAP//AwBQSwECLQAUAAYACAAAACEA2+H2y+4AAACFAQAAEwAAAAAAAAAAAAAA&#10;AAAAAAAAW0NvbnRlbnRfVHlwZXNdLnhtbFBLAQItABQABgAIAAAAIQBa9CxbvwAAABUBAAALAAAA&#10;AAAAAAAAAAAAAB8BAABfcmVscy8ucmVsc1BLAQItABQABgAIAAAAIQD8PlIlwgAAANsAAAAPAAAA&#10;AAAAAAAAAAAAAAcCAABkcnMvZG93bnJldi54bWxQSwUGAAAAAAMAAwC3AAAA9gIAAAAA&#10;" strokecolor="black [3213]" strokeweight="2.25pt">
                  <v:stroke endarrow="open" joinstyle="miter"/>
                </v:shape>
                <v:shape id="Straight Arrow Connector 17" o:spid="_x0000_s1041" type="#_x0000_t32" style="position:absolute;left:37970;top:26670;width:17656;height:10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e+wgAAANsAAAAPAAAAZHJzL2Rvd25yZXYueG1sRE9Li8Iw&#10;EL4v+B/CCHuRNVVwlWoUHyysp8UH7HVoxqbaTGqTtfXfG2HB23x8z5ktWluKG9W+cKxg0E9AEGdO&#10;F5wrOB6+PiYgfEDWWDomBXfysJh33maYatfwjm77kIsYwj5FBSaEKpXSZ4Ys+r6riCN3crXFEGGd&#10;S11jE8NtKYdJ8iktFhwbDFa0NpRd9n9WwTkvx1v5Y5rfpDe6roabQvbau1Lv3XY5BRGoDS/xv/tb&#10;x/ljeP4SD5DzBwAAAP//AwBQSwECLQAUAAYACAAAACEA2+H2y+4AAACFAQAAEwAAAAAAAAAAAAAA&#10;AAAAAAAAW0NvbnRlbnRfVHlwZXNdLnhtbFBLAQItABQABgAIAAAAIQBa9CxbvwAAABUBAAALAAAA&#10;AAAAAAAAAAAAAB8BAABfcmVscy8ucmVsc1BLAQItABQABgAIAAAAIQCTcve+wgAAANsAAAAPAAAA&#10;AAAAAAAAAAAAAAcCAABkcnMvZG93bnJldi54bWxQSwUGAAAAAAMAAwC3AAAA9gIAAAAA&#10;" strokecolor="black [3213]" strokeweight="2.25pt">
                  <v:stroke endarrow="open" joinstyle="miter"/>
                </v:shape>
                <v:shape id="Straight Arrow Connector 18" o:spid="_x0000_s1042" type="#_x0000_t32" style="position:absolute;left:38416;top:23578;width:14046;height:4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PMxQAAANsAAAAPAAAAZHJzL2Rvd25yZXYueG1sRI9Ba8JA&#10;EIXvhf6HZQpeRDcK1pK6irYI9lTUgtchO82mzc7G7Griv3cOhd5meG/e+2ax6n2trtTGKrCByTgD&#10;RVwEW3Fp4Ou4Hb2AignZYh2YDNwowmr5+LDA3IaO93Q9pFJJCMccDbiUmlzrWDjyGMehIRbtO7Qe&#10;k6xtqW2LnYT7Wk+z7Fl7rFgaHDb05qj4PVy8gZ+ynn/oT9edsuHsvJm+V3rY34wZPPXrV1CJ+vRv&#10;/rveWcEXWPlFBtDLOwAAAP//AwBQSwECLQAUAAYACAAAACEA2+H2y+4AAACFAQAAEwAAAAAAAAAA&#10;AAAAAAAAAAAAW0NvbnRlbnRfVHlwZXNdLnhtbFBLAQItABQABgAIAAAAIQBa9CxbvwAAABUBAAAL&#10;AAAAAAAAAAAAAAAAAB8BAABfcmVscy8ucmVsc1BLAQItABQABgAIAAAAIQDi7WPMxQAAANsAAAAP&#10;AAAAAAAAAAAAAAAAAAcCAABkcnMvZG93bnJldi54bWxQSwUGAAAAAAMAAwC3AAAA+QIAAAAA&#10;" strokecolor="black [3213]" strokeweight="2.25pt">
                  <v:stroke endarrow="open" joinstyle="miter"/>
                </v:shape>
                <v:shape id="Straight Arrow Connector 19" o:spid="_x0000_s1043" type="#_x0000_t32" style="position:absolute;left:12192;top:19897;width:14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KcwQAAANsAAAAPAAAAZHJzL2Rvd25yZXYueG1sRE9Li8Iw&#10;EL4L/ocwwt40VVnRahR3ZWFPiq+Dt6EZ22ozKU2s3f31RhC8zcf3nNmiMYWoqXK5ZQX9XgSCOLE6&#10;51TBYf/THYNwHlljYZkU/JGDxbzdmmGs7Z23VO98KkIIuxgVZN6XsZQuycig69mSOHBnWxn0AVap&#10;1BXeQ7gp5CCKRtJgzqEhw5K+M0quu5tRQPVmPWxuk6/T59bbgT6uNpfxv1IfnWY5BeGp8W/xy/2r&#10;w/wJPH8JB8j5AwAA//8DAFBLAQItABQABgAIAAAAIQDb4fbL7gAAAIUBAAATAAAAAAAAAAAAAAAA&#10;AAAAAABbQ29udGVudF9UeXBlc10ueG1sUEsBAi0AFAAGAAgAAAAhAFr0LFu/AAAAFQEAAAsAAAAA&#10;AAAAAAAAAAAAHwEAAF9yZWxzLy5yZWxzUEsBAi0AFAAGAAgAAAAhACbespzBAAAA2wAAAA8AAAAA&#10;AAAAAAAAAAAABwIAAGRycy9kb3ducmV2LnhtbFBLBQYAAAAAAwADALcAAAD1AgAAAAA=&#10;" strokecolor="black [3213]" strokeweight="2.25pt">
                  <v:stroke endarrow="open" joinstyle="miter"/>
                </v:shape>
                <v:shape id="Straight Arrow Connector 20" o:spid="_x0000_s1044" type="#_x0000_t32" style="position:absolute;left:10668;top:23578;width:16002;height:4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G8wgAAANsAAAAPAAAAZHJzL2Rvd25yZXYueG1sRE/LasJA&#10;FN0X/IfhCu6aSSMtMTpKHxS6Mhh14e6SuSaxmTshM8bUr+8sCl0eznu1GU0rBupdY1nBUxSDIC6t&#10;brhScNh/PqYgnEfW2FomBT/kYLOePKww0/bGOxoKX4kQwi5DBbX3XSalK2sy6CLbEQfubHuDPsC+&#10;krrHWwg3rUzi+EUabDg01NjRe03ld3E1CmjIt/Pxung7Pe+8TfTxI7+kd6Vm0/F1CcLT6P/Ff+4v&#10;rSAJ68OX8APk+hcAAP//AwBQSwECLQAUAAYACAAAACEA2+H2y+4AAACFAQAAEwAAAAAAAAAAAAAA&#10;AAAAAAAAW0NvbnRlbnRfVHlwZXNdLnhtbFBLAQItABQABgAIAAAAIQBa9CxbvwAAABUBAAALAAAA&#10;AAAAAAAAAAAAAB8BAABfcmVscy8ucmVsc1BLAQItABQABgAIAAAAIQB5iNG8wgAAANsAAAAPAAAA&#10;AAAAAAAAAAAAAAcCAABkcnMvZG93bnJldi54bWxQSwUGAAAAAAMAAwC3AAAA9gIAAAAA&#10;" strokecolor="black [3213]" strokeweight="2.25pt">
                  <v:stroke endarrow="open" joinstyle="miter"/>
                </v:shape>
                <v:shape id="Straight Arrow Connector 21" o:spid="_x0000_s1045" type="#_x0000_t32" style="position:absolute;left:7239;top:26030;width:20574;height:11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QnxQAAANsAAAAPAAAAZHJzL2Rvd25yZXYueG1sRI9Ba8JA&#10;FITvBf/D8gre6iYRS5q6EVsRPCna9tDbI/uapM2+Ddk1Rn99VxA8DjPzDTNfDKYRPXWutqwgnkQg&#10;iAuray4VfH6sn1IQziNrbCyTgjM5WOSjhzlm2p54T/3BlyJA2GWooPK+zaR0RUUG3cS2xMH7sZ1B&#10;H2RXSt3hKcBNI5MoepYGaw4LFbb0XlHxdzgaBdTvttPh+PL2Pdt7m+iv1e43vSg1fhyWryA8Df4e&#10;vrU3WkESw/VL+AEy/wcAAP//AwBQSwECLQAUAAYACAAAACEA2+H2y+4AAACFAQAAEwAAAAAAAAAA&#10;AAAAAAAAAAAAW0NvbnRlbnRfVHlwZXNdLnhtbFBLAQItABQABgAIAAAAIQBa9CxbvwAAABUBAAAL&#10;AAAAAAAAAAAAAAAAAB8BAABfcmVscy8ucmVsc1BLAQItABQABgAIAAAAIQAWxHQnxQAAANsAAAAP&#10;AAAAAAAAAAAAAAAAAAcCAABkcnMvZG93bnJldi54bWxQSwUGAAAAAAMAAwC3AAAA+QIAAAAA&#10;" strokecolor="black [3213]" strokeweight="2.25pt">
                  <v:stroke endarrow="open" joinstyle="miter"/>
                </v:shape>
                <v:shape id="TextBox 37" o:spid="_x0000_s1046" type="#_x0000_t202" style="position:absolute;left:46175;top:34284;width:14373;height: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71A3725"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Cue utilisation</w:t>
                        </w:r>
                      </w:p>
                    </w:txbxContent>
                  </v:textbox>
                </v:shape>
                <v:shape id="TextBox 38" o:spid="_x0000_s1047" type="#_x0000_t202" style="position:absolute;left:5644;top:34279;width:15689;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B12969E"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Ecological validity</w:t>
                        </w:r>
                      </w:p>
                    </w:txbxContent>
                  </v:textbox>
                </v:shape>
                <v:shape id="TextBox 40" o:spid="_x0000_s1048" type="#_x0000_t202" style="position:absolute;left:30911;top:9260;width:762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4456EAA"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X</w:t>
                        </w:r>
                        <w:r>
                          <w:rPr>
                            <w:rFonts w:asciiTheme="minorHAnsi" w:hAnsi="Calibri" w:cstheme="minorBidi"/>
                            <w:b/>
                            <w:bCs/>
                            <w:color w:val="000000" w:themeColor="text1"/>
                            <w:kern w:val="24"/>
                            <w:position w:val="-9"/>
                            <w:sz w:val="36"/>
                            <w:szCs w:val="36"/>
                            <w:vertAlign w:val="subscript"/>
                          </w:rPr>
                          <w:t>1</w:t>
                        </w:r>
                      </w:p>
                    </w:txbxContent>
                  </v:textbox>
                </v:shape>
                <v:shape id="TextBox 42" o:spid="_x0000_s1049" type="#_x0000_t202" style="position:absolute;left:31313;top:18395;width:762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7887F58"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X</w:t>
                        </w:r>
                        <w:r>
                          <w:rPr>
                            <w:rFonts w:asciiTheme="minorHAnsi" w:hAnsi="Calibri" w:cstheme="minorBidi"/>
                            <w:b/>
                            <w:bCs/>
                            <w:color w:val="000000" w:themeColor="text1"/>
                            <w:kern w:val="24"/>
                            <w:position w:val="-9"/>
                            <w:sz w:val="36"/>
                            <w:szCs w:val="36"/>
                            <w:vertAlign w:val="subscript"/>
                          </w:rPr>
                          <w:t>2</w:t>
                        </w:r>
                      </w:p>
                    </w:txbxContent>
                  </v:textbox>
                </v:shape>
                <v:shape id="TextBox 43" o:spid="_x0000_s1050" type="#_x0000_t202" style="position:absolute;left:31112;top:28252;width:762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B9C1B4B"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X</w:t>
                        </w:r>
                        <w:r>
                          <w:rPr>
                            <w:rFonts w:asciiTheme="minorHAnsi" w:hAnsi="Calibri" w:cstheme="minorBidi"/>
                            <w:b/>
                            <w:bCs/>
                            <w:color w:val="000000" w:themeColor="text1"/>
                            <w:kern w:val="24"/>
                            <w:position w:val="-9"/>
                            <w:sz w:val="36"/>
                            <w:szCs w:val="36"/>
                            <w:vertAlign w:val="subscript"/>
                          </w:rPr>
                          <w:t>3</w:t>
                        </w:r>
                      </w:p>
                    </w:txbxContent>
                  </v:textbox>
                </v:shape>
                <v:shape id="TextBox 44" o:spid="_x0000_s1051" type="#_x0000_t202" style="position:absolute;left:31112;top:37435;width:762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98F6218" w14:textId="77777777" w:rsidR="00D35C1E" w:rsidRDefault="00D35C1E" w:rsidP="00863DF5">
                        <w:pPr>
                          <w:pStyle w:val="NormalWeb"/>
                          <w:spacing w:before="0" w:beforeAutospacing="0" w:after="0" w:afterAutospacing="0"/>
                        </w:pPr>
                        <w:r>
                          <w:rPr>
                            <w:rFonts w:asciiTheme="minorHAnsi" w:hAnsi="Calibri" w:cstheme="minorBidi"/>
                            <w:b/>
                            <w:bCs/>
                            <w:color w:val="000000" w:themeColor="text1"/>
                            <w:kern w:val="24"/>
                            <w:sz w:val="36"/>
                            <w:szCs w:val="36"/>
                          </w:rPr>
                          <w:t>X</w:t>
                        </w:r>
                        <w:r>
                          <w:rPr>
                            <w:rFonts w:asciiTheme="minorHAnsi" w:hAnsi="Calibri" w:cstheme="minorBidi"/>
                            <w:b/>
                            <w:bCs/>
                            <w:color w:val="000000" w:themeColor="text1"/>
                            <w:kern w:val="24"/>
                            <w:position w:val="-9"/>
                            <w:sz w:val="36"/>
                            <w:szCs w:val="36"/>
                            <w:vertAlign w:val="subscript"/>
                          </w:rPr>
                          <w:t>4</w:t>
                        </w:r>
                      </w:p>
                    </w:txbxContent>
                  </v:textbox>
                </v:shape>
                <w10:wrap anchorx="margin"/>
              </v:group>
            </w:pict>
          </mc:Fallback>
        </mc:AlternateContent>
      </w:r>
    </w:p>
    <w:p w14:paraId="792AD110" w14:textId="77777777" w:rsidR="00863DF5" w:rsidRPr="006F3B00" w:rsidRDefault="00863DF5" w:rsidP="00863DF5">
      <w:pPr>
        <w:spacing w:after="0" w:line="480" w:lineRule="auto"/>
        <w:rPr>
          <w:rFonts w:ascii="Times New Roman" w:hAnsi="Times New Roman" w:cs="Times New Roman"/>
          <w:sz w:val="24"/>
          <w:szCs w:val="24"/>
        </w:rPr>
      </w:pPr>
    </w:p>
    <w:p w14:paraId="7AA33D48" w14:textId="77777777" w:rsidR="00863DF5" w:rsidRPr="006F3B00" w:rsidRDefault="00863DF5" w:rsidP="00863DF5">
      <w:pPr>
        <w:spacing w:after="0" w:line="480" w:lineRule="auto"/>
        <w:rPr>
          <w:rFonts w:ascii="Times New Roman" w:hAnsi="Times New Roman" w:cs="Times New Roman"/>
          <w:sz w:val="24"/>
          <w:szCs w:val="24"/>
        </w:rPr>
      </w:pPr>
    </w:p>
    <w:p w14:paraId="6372F7B4" w14:textId="77777777" w:rsidR="00863DF5" w:rsidRPr="006F3B00" w:rsidRDefault="00863DF5" w:rsidP="00863DF5">
      <w:pPr>
        <w:spacing w:after="0" w:line="480" w:lineRule="auto"/>
        <w:rPr>
          <w:rFonts w:ascii="Times New Roman" w:hAnsi="Times New Roman" w:cs="Times New Roman"/>
          <w:sz w:val="24"/>
          <w:szCs w:val="24"/>
        </w:rPr>
      </w:pPr>
    </w:p>
    <w:p w14:paraId="4C959AAB" w14:textId="77777777"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  </w:t>
      </w:r>
    </w:p>
    <w:p w14:paraId="225B69A4" w14:textId="77777777" w:rsidR="00863DF5" w:rsidRPr="006F3B00" w:rsidRDefault="00863DF5" w:rsidP="00863DF5">
      <w:pPr>
        <w:spacing w:after="0" w:line="480" w:lineRule="auto"/>
        <w:rPr>
          <w:rFonts w:ascii="Times New Roman" w:hAnsi="Times New Roman" w:cs="Times New Roman"/>
          <w:sz w:val="24"/>
          <w:szCs w:val="24"/>
        </w:rPr>
      </w:pPr>
    </w:p>
    <w:p w14:paraId="27F0720D" w14:textId="77777777" w:rsidR="00863DF5" w:rsidRPr="006F3B00" w:rsidRDefault="00863DF5" w:rsidP="00863DF5">
      <w:pPr>
        <w:spacing w:after="0" w:line="480" w:lineRule="auto"/>
        <w:rPr>
          <w:rFonts w:ascii="Times New Roman" w:hAnsi="Times New Roman" w:cs="Times New Roman"/>
          <w:sz w:val="24"/>
          <w:szCs w:val="24"/>
        </w:rPr>
      </w:pPr>
    </w:p>
    <w:p w14:paraId="4E541C69" w14:textId="77777777" w:rsidR="00863DF5" w:rsidRPr="006F3B00" w:rsidRDefault="00863DF5" w:rsidP="00863DF5">
      <w:pPr>
        <w:spacing w:after="0" w:line="480" w:lineRule="auto"/>
        <w:rPr>
          <w:rFonts w:ascii="Times New Roman" w:hAnsi="Times New Roman" w:cs="Times New Roman"/>
          <w:sz w:val="24"/>
          <w:szCs w:val="24"/>
        </w:rPr>
      </w:pPr>
    </w:p>
    <w:p w14:paraId="0BD2D11F" w14:textId="77777777" w:rsidR="00863DF5" w:rsidRPr="006F3B00" w:rsidRDefault="00863DF5" w:rsidP="00863DF5">
      <w:pPr>
        <w:spacing w:after="0" w:line="480" w:lineRule="auto"/>
        <w:rPr>
          <w:rFonts w:ascii="Times New Roman" w:hAnsi="Times New Roman" w:cs="Times New Roman"/>
          <w:sz w:val="24"/>
          <w:szCs w:val="24"/>
        </w:rPr>
      </w:pPr>
    </w:p>
    <w:p w14:paraId="31AD5819" w14:textId="77777777" w:rsidR="00863DF5" w:rsidRPr="006F3B00" w:rsidRDefault="00863DF5" w:rsidP="00863DF5">
      <w:pPr>
        <w:spacing w:after="0" w:line="480" w:lineRule="auto"/>
        <w:rPr>
          <w:rFonts w:ascii="Times New Roman" w:hAnsi="Times New Roman" w:cs="Times New Roman"/>
          <w:sz w:val="24"/>
          <w:szCs w:val="24"/>
        </w:rPr>
      </w:pPr>
    </w:p>
    <w:p w14:paraId="621975A5" w14:textId="77777777" w:rsidR="00863DF5" w:rsidRPr="006F3B00" w:rsidRDefault="00863DF5" w:rsidP="00863DF5">
      <w:pPr>
        <w:spacing w:after="0" w:line="480" w:lineRule="auto"/>
        <w:rPr>
          <w:rFonts w:ascii="Times New Roman" w:hAnsi="Times New Roman" w:cs="Times New Roman"/>
          <w:b/>
          <w:sz w:val="24"/>
          <w:szCs w:val="24"/>
        </w:rPr>
      </w:pPr>
    </w:p>
    <w:p w14:paraId="05C32E7C" w14:textId="77777777" w:rsidR="00863DF5" w:rsidRPr="006F3B00" w:rsidRDefault="00863DF5" w:rsidP="00863DF5">
      <w:pPr>
        <w:spacing w:after="0" w:line="480" w:lineRule="auto"/>
        <w:rPr>
          <w:rFonts w:ascii="Times New Roman" w:hAnsi="Times New Roman" w:cs="Times New Roman"/>
          <w:b/>
          <w:sz w:val="24"/>
          <w:szCs w:val="24"/>
        </w:rPr>
      </w:pPr>
    </w:p>
    <w:p w14:paraId="2BDB01F9" w14:textId="77777777" w:rsidR="00863DF5" w:rsidRPr="006F3B00" w:rsidRDefault="00863DF5" w:rsidP="00863DF5">
      <w:pPr>
        <w:spacing w:after="0" w:line="480" w:lineRule="auto"/>
        <w:rPr>
          <w:rFonts w:ascii="Times New Roman" w:hAnsi="Times New Roman" w:cs="Times New Roman"/>
          <w:b/>
          <w:sz w:val="24"/>
          <w:szCs w:val="24"/>
        </w:rPr>
      </w:pPr>
    </w:p>
    <w:p w14:paraId="0BE76668" w14:textId="77777777" w:rsidR="007D3649" w:rsidRDefault="007D3649" w:rsidP="00863DF5">
      <w:pPr>
        <w:spacing w:after="0" w:line="480" w:lineRule="auto"/>
        <w:rPr>
          <w:rFonts w:ascii="Times New Roman" w:hAnsi="Times New Roman" w:cs="Times New Roman"/>
          <w:b/>
          <w:sz w:val="24"/>
          <w:szCs w:val="24"/>
        </w:rPr>
      </w:pPr>
    </w:p>
    <w:p w14:paraId="4750590E" w14:textId="77777777" w:rsidR="007D3649" w:rsidRDefault="007D3649" w:rsidP="00863DF5">
      <w:pPr>
        <w:spacing w:after="0" w:line="480" w:lineRule="auto"/>
        <w:rPr>
          <w:rFonts w:ascii="Times New Roman" w:hAnsi="Times New Roman" w:cs="Times New Roman"/>
          <w:b/>
          <w:sz w:val="24"/>
          <w:szCs w:val="24"/>
        </w:rPr>
      </w:pPr>
    </w:p>
    <w:p w14:paraId="70754D8B" w14:textId="33C0F4D8"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b/>
          <w:sz w:val="24"/>
          <w:szCs w:val="24"/>
        </w:rPr>
        <w:t>Figure 2</w:t>
      </w:r>
      <w:r w:rsidR="00BC04B0" w:rsidRPr="00BC04B0">
        <w:rPr>
          <w:rFonts w:ascii="Times New Roman" w:hAnsi="Times New Roman" w:cs="Times New Roman"/>
          <w:b/>
          <w:sz w:val="24"/>
          <w:szCs w:val="24"/>
        </w:rPr>
        <w:t>.1.</w:t>
      </w:r>
      <w:r w:rsidRPr="006F3B00">
        <w:rPr>
          <w:rFonts w:ascii="Times New Roman" w:hAnsi="Times New Roman" w:cs="Times New Roman"/>
          <w:sz w:val="24"/>
          <w:szCs w:val="24"/>
        </w:rPr>
        <w:t xml:space="preserve"> Brunswik’s lens model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{"citationItems":[{"id":"ITEM-1","itemData":{"author":[{"dropping-particle":"","family":"Brunswik","given":"E.","non-dropping-particle":"","parse-names":false,"suffix":""}],"id":"ITEM-1","issued":{"date-parts":[["1952"]]},"publisher":"University of Chicago Press","publisher-place":"Chicago","title":"The conceptual framework of psychology.","type":"book"},"uris":["http://www.mendeley.com/documents/?uuid=d6b7c68c-876a-41b8-957a-94d0b433d396"]}],"mendeley":{"formattedCitation":"(Brunswik, 1952)","plainTextFormattedCitation":"(Brunswik, 1952)","previouslyFormattedCitation":"(Brunswik 1952)"},"properties":{"noteIndex":0},"schema":"https://github.com/citation-style-language/schema/raw/master/csl-citation.json"}</w:instrText>
      </w:r>
      <w:r w:rsidRPr="006F3B00">
        <w:rPr>
          <w:rFonts w:ascii="Times New Roman" w:hAnsi="Times New Roman" w:cs="Times New Roman"/>
          <w:sz w:val="24"/>
          <w:szCs w:val="24"/>
        </w:rPr>
        <w:fldChar w:fldCharType="separate"/>
      </w:r>
      <w:r w:rsidR="007C6E3B">
        <w:rPr>
          <w:rFonts w:ascii="Times New Roman" w:hAnsi="Times New Roman" w:cs="Times New Roman"/>
          <w:noProof/>
          <w:sz w:val="24"/>
          <w:szCs w:val="24"/>
        </w:rPr>
        <w:t>(Brunswik</w:t>
      </w:r>
      <w:r w:rsidR="00BE3B6C" w:rsidRPr="00BE3B6C">
        <w:rPr>
          <w:rFonts w:ascii="Times New Roman" w:hAnsi="Times New Roman" w:cs="Times New Roman"/>
          <w:noProof/>
          <w:sz w:val="24"/>
          <w:szCs w:val="24"/>
        </w:rPr>
        <w:t xml:space="preserve"> 1952)</w:t>
      </w:r>
      <w:r w:rsidRPr="006F3B00">
        <w:rPr>
          <w:rFonts w:ascii="Times New Roman" w:hAnsi="Times New Roman" w:cs="Times New Roman"/>
          <w:sz w:val="24"/>
          <w:szCs w:val="24"/>
        </w:rPr>
        <w:fldChar w:fldCharType="end"/>
      </w:r>
      <w:r w:rsidR="00DE62D9">
        <w:rPr>
          <w:rFonts w:ascii="Times New Roman" w:hAnsi="Times New Roman" w:cs="Times New Roman"/>
          <w:sz w:val="24"/>
          <w:szCs w:val="24"/>
        </w:rPr>
        <w:t>. X</w:t>
      </w:r>
      <w:r w:rsidR="00DE62D9">
        <w:rPr>
          <w:rFonts w:ascii="Times New Roman" w:hAnsi="Times New Roman" w:cs="Times New Roman"/>
          <w:sz w:val="24"/>
          <w:szCs w:val="24"/>
          <w:vertAlign w:val="subscript"/>
        </w:rPr>
        <w:t>1</w:t>
      </w:r>
      <w:r w:rsidR="00DE62D9">
        <w:rPr>
          <w:rFonts w:ascii="Times New Roman" w:hAnsi="Times New Roman" w:cs="Times New Roman"/>
          <w:sz w:val="24"/>
          <w:szCs w:val="24"/>
        </w:rPr>
        <w:t>-X</w:t>
      </w:r>
      <w:r w:rsidR="00DE62D9">
        <w:rPr>
          <w:rFonts w:ascii="Times New Roman" w:hAnsi="Times New Roman" w:cs="Times New Roman"/>
          <w:sz w:val="24"/>
          <w:szCs w:val="24"/>
          <w:vertAlign w:val="subscript"/>
        </w:rPr>
        <w:t>4</w:t>
      </w:r>
      <w:r w:rsidR="00DE62D9">
        <w:rPr>
          <w:rFonts w:ascii="Times New Roman" w:hAnsi="Times New Roman" w:cs="Times New Roman"/>
          <w:sz w:val="24"/>
          <w:szCs w:val="24"/>
        </w:rPr>
        <w:t xml:space="preserve"> indicate different cues.</w:t>
      </w:r>
    </w:p>
    <w:p w14:paraId="5F2CB712" w14:textId="77777777" w:rsidR="00863DF5" w:rsidRPr="006F3B00" w:rsidRDefault="00863DF5" w:rsidP="00863DF5">
      <w:pPr>
        <w:spacing w:after="0" w:line="480" w:lineRule="auto"/>
        <w:rPr>
          <w:rFonts w:ascii="Times New Roman" w:hAnsi="Times New Roman" w:cs="Times New Roman"/>
          <w:sz w:val="24"/>
          <w:szCs w:val="24"/>
        </w:rPr>
      </w:pPr>
    </w:p>
    <w:p w14:paraId="517804D4" w14:textId="527F9634"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Judgement analysis (the methodology of SJT) does not rely on subjective interpretations but merely asks the individual to make judgements as they normally would.  Clearly, the validity of such studies requires the cases presented to be realistic descriptions of the </w:t>
      </w:r>
      <w:r w:rsidRPr="006F3B00">
        <w:rPr>
          <w:rFonts w:ascii="Times New Roman" w:hAnsi="Times New Roman" w:cs="Times New Roman"/>
          <w:sz w:val="24"/>
          <w:szCs w:val="24"/>
        </w:rPr>
        <w:lastRenderedPageBreak/>
        <w:t>chosen environment, so called “representative design”. A good SJT study would utilize highly experienced highly experienced individuals about tasks that accurately resemble their reality</w:t>
      </w:r>
      <w:r w:rsidR="004F229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{"citationItems":[{"id":"ITEM-1","itemData":{"DOI":"10.1016/S0166-4115(08)62171-8","ISBN":"0-444-70481-7","ISSN":"01664115","PMID":"467","abstract":"[the chapter examines] whether policy capturing serves the purposes of SJT [social judgment theory] which studies are really policy capturing studies who is an experienced judge representativeness of tasks validity problems with the two forms of study paper people vs. real people do the judgments follow a linear additive model insight into the judgment process inconsistency number of cues individual differences what do policy equations mean (PsycINFO Database Record (c) 2012 APA, all rights reserved). (chapter)","author":[{"dropping-particle":"","family":"Brehmer","given":"Annica","non-dropping-particle":"","parse-names":false,"suffix":""},{"dropping-particle":"","family":"Brehmer","given":"Berndt","non-dropping-particle":"","parse-names":false,"suffix":""}],"container-title":"Advances in Psychology","id":"ITEM-1","issue":"C","issued":{"date-parts":[["1988"]]},"page":"75-114","title":"Chapter 3 What Have we Learned about Human Judgment from Thirty Years of Policy Capturing?","type":"article-journal","volume":"54"},"uris":["http://www.mendeley.com/documents/?uuid=60fa1398-b1a0-4b04-8d8a-524baa92c4fd","http://www.mendeley.com/documents/?uuid=9fe19047-2ada-484f-87e5-75961206739b"]}],"mendeley":{"formattedCitation":"(Brehmer and Brehmer, 1988)","plainTextFormattedCitation":"(Brehmer and Brehmer, 1988)","previouslyFormattedCitation":"(Brehmer and Brehmer 1988)"},"properties":{"noteIndex":0},"schema":"https://github.com/citation-style-language/schema/raw/master/csl-citation.json"}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(Brehmer and Breh</w:t>
      </w:r>
      <w:r w:rsidR="00421389">
        <w:rPr>
          <w:rFonts w:ascii="Times New Roman" w:hAnsi="Times New Roman" w:cs="Times New Roman"/>
          <w:noProof/>
          <w:sz w:val="24"/>
          <w:szCs w:val="24"/>
        </w:rPr>
        <w:t>mer</w:t>
      </w:r>
      <w:r w:rsidR="00BE3B6C" w:rsidRPr="00BE3B6C">
        <w:rPr>
          <w:rFonts w:ascii="Times New Roman" w:hAnsi="Times New Roman" w:cs="Times New Roman"/>
          <w:noProof/>
          <w:sz w:val="24"/>
          <w:szCs w:val="24"/>
        </w:rPr>
        <w:t xml:space="preserve"> 1988)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045E2A50" w14:textId="77777777" w:rsidR="00863DF5" w:rsidRPr="006F3B00" w:rsidRDefault="00863DF5" w:rsidP="00863DF5">
      <w:pPr>
        <w:spacing w:after="0" w:line="480" w:lineRule="auto"/>
        <w:rPr>
          <w:rFonts w:ascii="Times New Roman" w:hAnsi="Times New Roman" w:cs="Times New Roman"/>
          <w:sz w:val="24"/>
          <w:szCs w:val="24"/>
        </w:rPr>
      </w:pPr>
    </w:p>
    <w:p w14:paraId="2B89E4C1" w14:textId="463C5DAA"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When trying to understand the judgement task, Cooksey recommends not only studying cue utilisation but the full judgement ecology, including the nature of the judgement and its </w:t>
      </w:r>
      <w:r w:rsidRPr="00421389">
        <w:rPr>
          <w:rFonts w:ascii="Times New Roman" w:hAnsi="Times New Roman" w:cs="Times New Roman"/>
          <w:sz w:val="24"/>
          <w:szCs w:val="24"/>
        </w:rPr>
        <w:t xml:space="preserve">context </w:t>
      </w:r>
      <w:r w:rsidRPr="00421389">
        <w:rPr>
          <w:rFonts w:ascii="Times New Roman" w:hAnsi="Times New Roman" w:cs="Times New Roman"/>
          <w:sz w:val="24"/>
          <w:szCs w:val="24"/>
        </w:rPr>
        <w:fldChar w:fldCharType="begin" w:fldLock="1"/>
      </w:r>
      <w:r w:rsidR="00BE3B6C" w:rsidRPr="00421389">
        <w:rPr>
          <w:rFonts w:ascii="Times New Roman" w:hAnsi="Times New Roman" w:cs="Times New Roman"/>
          <w:sz w:val="24"/>
          <w:szCs w:val="24"/>
        </w:rPr>
        <w:instrText>ADDIN CSL_CITATION {"citationItems":[{"id":"ITEM-1","itemData":{"author":[{"dropping-particle":"","family":"Cooksey","given":"RW","non-dropping-particle":"","parse-names":false,"suffix":""}],"id":"ITEM-1","issued":{"date-parts":[["1996"]]},"publisher":"Academic Press","publisher-place":"London","title":"Judgement Analysis: Theory, Methods and Applications.","type":"book"},"uris":["http://www.mendeley.com/documents/?uuid=e915a014-f36e-4028-8ee5-630489d36ed9"]}],"mendeley":{"formattedCitation":"(R. Cooksey, 1996)","plainTextFormattedCitation":"(R. Cooksey, 1996)","previouslyFormattedCitation":"(R. Cooksey 1996)"},"properties":{"noteIndex":0},"schema":"https://github.com/citation-style-language/schema/raw/master/csl-citation.json"}</w:instrText>
      </w:r>
      <w:r w:rsidRPr="00421389">
        <w:rPr>
          <w:rFonts w:ascii="Times New Roman" w:hAnsi="Times New Roman" w:cs="Times New Roman"/>
          <w:sz w:val="24"/>
          <w:szCs w:val="24"/>
        </w:rPr>
        <w:fldChar w:fldCharType="separate"/>
      </w:r>
      <w:r w:rsidR="00421389">
        <w:rPr>
          <w:rFonts w:ascii="Times New Roman" w:hAnsi="Times New Roman" w:cs="Times New Roman"/>
          <w:noProof/>
          <w:sz w:val="24"/>
          <w:szCs w:val="24"/>
        </w:rPr>
        <w:t>(</w:t>
      </w:r>
      <w:r w:rsidR="007C6E3B">
        <w:rPr>
          <w:rFonts w:ascii="Times New Roman" w:hAnsi="Times New Roman" w:cs="Times New Roman"/>
          <w:noProof/>
          <w:sz w:val="24"/>
          <w:szCs w:val="24"/>
        </w:rPr>
        <w:t>Cooksey</w:t>
      </w:r>
      <w:r w:rsidR="00BE3B6C" w:rsidRPr="00421389">
        <w:rPr>
          <w:rFonts w:ascii="Times New Roman" w:hAnsi="Times New Roman" w:cs="Times New Roman"/>
          <w:noProof/>
          <w:sz w:val="24"/>
          <w:szCs w:val="24"/>
        </w:rPr>
        <w:t xml:space="preserve"> 1996</w:t>
      </w:r>
      <w:r w:rsidR="00421389">
        <w:rPr>
          <w:rFonts w:ascii="Times New Roman" w:hAnsi="Times New Roman" w:cs="Times New Roman"/>
          <w:noProof/>
          <w:sz w:val="24"/>
          <w:szCs w:val="24"/>
        </w:rPr>
        <w:t>b</w:t>
      </w:r>
      <w:r w:rsidR="00BE3B6C" w:rsidRPr="00421389">
        <w:rPr>
          <w:rFonts w:ascii="Times New Roman" w:hAnsi="Times New Roman" w:cs="Times New Roman"/>
          <w:noProof/>
          <w:sz w:val="24"/>
          <w:szCs w:val="24"/>
        </w:rPr>
        <w:t>)</w:t>
      </w:r>
      <w:r w:rsidRPr="00421389">
        <w:rPr>
          <w:rFonts w:ascii="Times New Roman" w:hAnsi="Times New Roman" w:cs="Times New Roman"/>
          <w:sz w:val="24"/>
          <w:szCs w:val="24"/>
        </w:rPr>
        <w:fldChar w:fldCharType="end"/>
      </w:r>
      <w:r w:rsidR="00421389">
        <w:rPr>
          <w:rFonts w:ascii="Times New Roman" w:hAnsi="Times New Roman" w:cs="Times New Roman"/>
          <w:sz w:val="24"/>
          <w:szCs w:val="24"/>
        </w:rPr>
        <w:t>.</w:t>
      </w:r>
      <w:r w:rsidRPr="00421389">
        <w:rPr>
          <w:rFonts w:ascii="Times New Roman" w:hAnsi="Times New Roman" w:cs="Times New Roman"/>
          <w:sz w:val="24"/>
          <w:szCs w:val="24"/>
        </w:rPr>
        <w:t xml:space="preserve">  According</w:t>
      </w:r>
      <w:r w:rsidRPr="006F3B00">
        <w:rPr>
          <w:rFonts w:ascii="Times New Roman" w:hAnsi="Times New Roman" w:cs="Times New Roman"/>
          <w:sz w:val="24"/>
          <w:szCs w:val="24"/>
        </w:rPr>
        <w:t xml:space="preserve"> to Cooksey, the SJT framework requires the investigation of judgement to follow the following steps</w:t>
      </w:r>
      <w:r w:rsidR="004F229C">
        <w:rPr>
          <w:rFonts w:ascii="Times New Roman" w:hAnsi="Times New Roman" w:cs="Times New Roman"/>
          <w:sz w:val="24"/>
          <w:szCs w:val="24"/>
        </w:rPr>
        <w:t>.</w:t>
      </w:r>
    </w:p>
    <w:p w14:paraId="64198199" w14:textId="77777777" w:rsidR="00863DF5" w:rsidRPr="006F3B00" w:rsidRDefault="00863DF5" w:rsidP="00863DF5">
      <w:pPr>
        <w:spacing w:after="0" w:line="480" w:lineRule="auto"/>
        <w:rPr>
          <w:rFonts w:ascii="Times New Roman" w:hAnsi="Times New Roman" w:cs="Times New Roman"/>
          <w:sz w:val="24"/>
          <w:szCs w:val="24"/>
        </w:rPr>
      </w:pPr>
    </w:p>
    <w:p w14:paraId="418DC158"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Conceptualise the judgemental problem</w:t>
      </w:r>
    </w:p>
    <w:p w14:paraId="763F22FC"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Understand the judgement ecology</w:t>
      </w:r>
    </w:p>
    <w:p w14:paraId="6F2E0B77"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Identify relevant cues</w:t>
      </w:r>
    </w:p>
    <w:p w14:paraId="547AC00D"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Sample cue profiles</w:t>
      </w:r>
    </w:p>
    <w:p w14:paraId="04269B40"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Sample participating judges</w:t>
      </w:r>
    </w:p>
    <w:p w14:paraId="581EA8A3"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Obtain judgements</w:t>
      </w:r>
    </w:p>
    <w:p w14:paraId="2B384C82" w14:textId="03E93432" w:rsidR="00863DF5"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Capture individual judgement policy</w:t>
      </w:r>
    </w:p>
    <w:p w14:paraId="24841BA3" w14:textId="79078017" w:rsidR="00005BAD" w:rsidRPr="006F3B00" w:rsidRDefault="00005BAD" w:rsidP="001A1FF3">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Compare policies </w:t>
      </w:r>
    </w:p>
    <w:p w14:paraId="29DBE228" w14:textId="77777777" w:rsidR="00863DF5" w:rsidRPr="006F3B00" w:rsidRDefault="00863DF5" w:rsidP="00863DF5">
      <w:pPr>
        <w:pStyle w:val="ListParagraph"/>
        <w:spacing w:after="0" w:line="480" w:lineRule="auto"/>
        <w:rPr>
          <w:rFonts w:ascii="Times New Roman" w:hAnsi="Times New Roman" w:cs="Times New Roman"/>
          <w:sz w:val="24"/>
          <w:szCs w:val="24"/>
        </w:rPr>
      </w:pPr>
    </w:p>
    <w:p w14:paraId="737FE495" w14:textId="7E503AB8"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To this end, the current perception of WBAs in histopathology will help to form a basis to conceptualise the </w:t>
      </w:r>
      <w:r w:rsidR="004F229C" w:rsidRPr="006F3B00">
        <w:rPr>
          <w:rFonts w:ascii="Times New Roman" w:hAnsi="Times New Roman" w:cs="Times New Roman"/>
          <w:sz w:val="24"/>
          <w:szCs w:val="24"/>
        </w:rPr>
        <w:t>judgmental</w:t>
      </w:r>
      <w:r w:rsidRPr="006F3B00">
        <w:rPr>
          <w:rFonts w:ascii="Times New Roman" w:hAnsi="Times New Roman" w:cs="Times New Roman"/>
          <w:sz w:val="24"/>
          <w:szCs w:val="24"/>
        </w:rPr>
        <w:t xml:space="preserve"> problem given that they are frequently used to assess competency during training.  The judgement of diagnostic competency can then be explored to elicit the cues relevant to the judgement task and how these are utilised and valued by individuals.</w:t>
      </w:r>
      <w:r w:rsidR="00005BAD">
        <w:rPr>
          <w:rFonts w:ascii="Times New Roman" w:hAnsi="Times New Roman" w:cs="Times New Roman"/>
          <w:sz w:val="24"/>
          <w:szCs w:val="24"/>
        </w:rPr>
        <w:t xml:space="preserve"> The last step “compare policies” is only possible when there is a recognised “optimal” w</w:t>
      </w:r>
      <w:r w:rsidR="001D3151">
        <w:rPr>
          <w:rFonts w:ascii="Times New Roman" w:hAnsi="Times New Roman" w:cs="Times New Roman"/>
          <w:sz w:val="24"/>
          <w:szCs w:val="24"/>
        </w:rPr>
        <w:t xml:space="preserve">ay of doing something, such that one can compare optimal </w:t>
      </w:r>
      <w:r w:rsidR="001D3151">
        <w:rPr>
          <w:rFonts w:ascii="Times New Roman" w:hAnsi="Times New Roman" w:cs="Times New Roman"/>
          <w:sz w:val="24"/>
          <w:szCs w:val="24"/>
        </w:rPr>
        <w:lastRenderedPageBreak/>
        <w:t>judgements with participant judgements.</w:t>
      </w:r>
      <w:r w:rsidR="00005BAD">
        <w:rPr>
          <w:rFonts w:ascii="Times New Roman" w:hAnsi="Times New Roman" w:cs="Times New Roman"/>
          <w:sz w:val="24"/>
          <w:szCs w:val="24"/>
        </w:rPr>
        <w:t xml:space="preserve"> As little is known about the concept of diagnostic competence, this step is not possible.</w:t>
      </w:r>
    </w:p>
    <w:p w14:paraId="19551EA8" w14:textId="77777777" w:rsidR="00863DF5" w:rsidRPr="006F3B00" w:rsidRDefault="00863DF5" w:rsidP="00863DF5">
      <w:pPr>
        <w:spacing w:after="0" w:line="480" w:lineRule="auto"/>
        <w:rPr>
          <w:rFonts w:ascii="Times New Roman" w:hAnsi="Times New Roman" w:cs="Times New Roman"/>
          <w:sz w:val="24"/>
          <w:szCs w:val="24"/>
        </w:rPr>
      </w:pPr>
    </w:p>
    <w:p w14:paraId="7185DC89" w14:textId="771E231A" w:rsidR="00863DF5" w:rsidRPr="007C6E3B" w:rsidRDefault="00863DF5" w:rsidP="00863DF5">
      <w:pPr>
        <w:spacing w:line="480" w:lineRule="auto"/>
        <w:jc w:val="both"/>
        <w:rPr>
          <w:rFonts w:ascii="Times New Roman" w:hAnsi="Times New Roman" w:cs="Times New Roman"/>
          <w:sz w:val="24"/>
          <w:szCs w:val="24"/>
        </w:rPr>
      </w:pPr>
      <w:r w:rsidRPr="006F3B00">
        <w:rPr>
          <w:rFonts w:ascii="Times New Roman" w:hAnsi="Times New Roman" w:cs="Times New Roman"/>
          <w:sz w:val="24"/>
          <w:szCs w:val="24"/>
        </w:rPr>
        <w:t xml:space="preserve">This study will use a mixed-methods approach to achieve these objectives with an explanation for the method chosen found at the start of each relevant chapter.  Qualitative research is being used increasingly in healthcare to elicit people’s understanding and the unique meaning they attach to their experiences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{"citationItems":[{"id":"ITEM-1","itemData":{"DOI":"10.1136/bmj.315.7110.740","ISBN":"0959813814685833","ISSN":"0959-8138, 1468-5833","PMID":"9314762","abstract":"Qualitative methods aim to make sense of, or interpret, phenomena in terms of the meanings people bring to them. Qualitative research may define preliminary questions which can then be addressed in quantitative studies. A good qualitative study will address a clinical problem through a clearly formulated question and using more than one research method (triangulation). Analysis of qualitative data can and should be done using explicit, systematic, and reproducible methods","author":[{"dropping-particle":"","family":"Greenhalgh","given":"Trisha","non-dropping-particle":"","parse-names":false,"suffix":""},{"dropping-particle":"","family":"Taylor","given":"Rod","non-dropping-particle":"","parse-names":false,"suffix":""}],"container-title":"British Medical Journal","id":"ITEM-1","issued":{"date-parts":[["1997"]]},"page":"740-743","title":"How to read a paper: Papers that go beyond numbers (qualitative research)","type":"article-journal","volume":"315"},"uris":["http://www.mendeley.com/documents/?uuid=9942017a-0a01-4be7-8241-7f316e8b891b","http://www.mendeley.com/documents/?uuid=436f1c39-d678-45a3-9e7b-d77174a1cb30","http://www.mendeley.com/documents/?uuid=cf8e8124-8c2e-499f-b9da-d0d965e83dfe"]}],"mendeley":{"formattedCitation":"(Greenhalgh and Taylor, 1997)","plainTextFormattedCitation":"(Greenhalgh and Taylor, 1997)","previouslyFormattedCitation":"(Greenhalgh and Taylor 1997)"},"properties":{"noteIndex":0},"schema":"https://github.com/citation-style-language/schema/raw/master/csl-citation.json"}</w:instrText>
      </w:r>
      <w:r w:rsidRPr="006F3B00">
        <w:rPr>
          <w:rFonts w:ascii="Times New Roman" w:hAnsi="Times New Roman" w:cs="Times New Roman"/>
          <w:sz w:val="24"/>
          <w:szCs w:val="24"/>
        </w:rPr>
        <w:fldChar w:fldCharType="separate"/>
      </w:r>
      <w:r w:rsidR="00421389">
        <w:rPr>
          <w:rFonts w:ascii="Times New Roman" w:hAnsi="Times New Roman" w:cs="Times New Roman"/>
          <w:noProof/>
          <w:sz w:val="24"/>
          <w:szCs w:val="24"/>
        </w:rPr>
        <w:t>(Greenhalgh and Taylor</w:t>
      </w:r>
      <w:r w:rsidR="00BE3B6C" w:rsidRPr="00BE3B6C">
        <w:rPr>
          <w:rFonts w:ascii="Times New Roman" w:hAnsi="Times New Roman" w:cs="Times New Roman"/>
          <w:noProof/>
          <w:sz w:val="24"/>
          <w:szCs w:val="24"/>
        </w:rPr>
        <w:t xml:space="preserve"> 1997)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Qualitative research is exploratory in nature and may elicit questions which can be answered </w:t>
      </w:r>
      <w:r w:rsidRPr="007C6E3B">
        <w:rPr>
          <w:rFonts w:ascii="Times New Roman" w:hAnsi="Times New Roman" w:cs="Times New Roman"/>
          <w:sz w:val="24"/>
          <w:szCs w:val="24"/>
        </w:rPr>
        <w:t xml:space="preserve">using quantitative studies. Mixed methods research utilises both research paradigms and combines the richness of qualitative methods with the rigour of quantitative techniques </w:t>
      </w:r>
      <w:r w:rsidRPr="007C6E3B">
        <w:rPr>
          <w:rFonts w:ascii="Times New Roman" w:hAnsi="Times New Roman" w:cs="Times New Roman"/>
          <w:sz w:val="24"/>
          <w:szCs w:val="24"/>
        </w:rPr>
        <w:fldChar w:fldCharType="begin" w:fldLock="1"/>
      </w:r>
      <w:r w:rsidR="00BE3B6C" w:rsidRPr="007C6E3B">
        <w:rPr>
          <w:rFonts w:ascii="Times New Roman" w:hAnsi="Times New Roman" w:cs="Times New Roman"/>
          <w:sz w:val="24"/>
          <w:szCs w:val="24"/>
        </w:rPr>
        <w:instrText>ADDIN CSL_CITATION {"citationItems":[{"id":"ITEM-1","itemData":{"ISBN":"0761920730","ISSN":"0030-2228","PMID":"11657111","abstract":"Cresswell, J.W., Plano Clark, V.L., Gutmann, M.L. &amp; Hanson, W.E. 2003. Advanced Mixed Methods Research Designs. In Tashakkori, A. &amp; Teddlie, C. (Eds.). Handbook of Mixed Methods in Social and Behavioural Research, pp. 209-240. Thousand Oaks, CA: Sage.","author":[{"dropping-particle":"","family":"Cresswell","given":"J.W.","non-dropping-particle":"","parse-names":false,"suffix":""},{"dropping-particle":"","family":"Plano-Clark","given":"V.L.","non-dropping-particle":"","parse-names":false,"suffix":""},{"dropping-particle":"","family":"Gutmann","given":"M.L.","non-dropping-particle":"","parse-names":false,"suffix":""},{"dropping-particle":"","family":"Hanson","given":"W.E.","non-dropping-particle":"","parse-names":false,"suffix":""}],"container-title":"Handbook of Mixed Methods in Social and Behavioral Research","id":"ITEM-1","issued":{"date-parts":[["2003"]]},"page":"209-240","title":"Advanced mixed methods research designs","type":"article-journal"},"uris":["http://www.mendeley.com/documents/?uuid=fab1b939-a727-4100-b158-748a7e789a4e","http://www.mendeley.com/documents/?uuid=db7f9944-9491-47bb-a7f2-b5c2d99a373d","http://www.mendeley.com/documents/?uuid=fed8f94e-c1bb-4e64-8c1e-86ddd361feb8"]},{"id":"ITEM-2","itemData":{"DOI":"10.1023/A:1014301607592","ISBN":"0033-5177","ISSN":"00335177","PMID":"18213510","abstract":"Health care research includes many studies that combine quantitative and qualitative methods. In this paper, we revisit the quantitative-qualitative debate and review the arguments for and against using mixed-methods. In addition, we discuss the implications stemming from our view, that the paradigms upon which the methods are based have a different view of reality and therefore adifferent view of thephenomenon under study. Because thetwo paradigms do not study thesame phenomena, quantitative and qualitative methods cannot be combined for cross-validation or trian- gulation purposes. However, they can be combined for complementary purposes. Future standards for mixed-methods research should clearly reflect this recommendation.","author":[{"dropping-particle":"","family":"Sale","given":"Joanna E M","non-dropping-particle":"","parse-names":false,"suffix":""},{"dropping-particle":"","family":"Lohfeld","given":"Lynne H.","non-dropping-particle":"","parse-names":false,"suffix":""},{"dropping-particle":"","family":"Brazil","given":"Kevin","non-dropping-particle":"","parse-names":false,"suffix":""}],"container-title":"Quality and Quantity","id":"ITEM-2","issue":"1","issued":{"date-parts":[["2002"]]},"page":"43-53","title":"Revisiting the quantitative-qualitative debate: Implications for mixed-methods research","type":"article-journal","volume":"36"},"uris":["http://www.mendeley.com/documents/?uuid=a32481c2-63a8-4d20-9dc5-9979d339a366","http://www.mendeley.com/documents/?uuid=4a0b6e0e-ade8-4c80-82a8-06b22e2aa28c","http://www.mendeley.com/documents/?uuid=19fc2876-2877-45c7-ac50-baff688de8a8"]}],"mendeley":{"formattedCitation":"(Sale, Lohfeld and Brazil, 2002; Cresswell &lt;i&gt;et al.&lt;/i&gt;, 2003)","plainTextFormattedCitation":"(Sale, Lohfeld and Brazil, 2002; Cresswell et al., 2003)","previouslyFormattedCitation":"(Cresswell et al. 2003; Sale, Lohfeld, and Brazil 2002)"},"properties":{"noteIndex":0},"schema":"https://github.com/citation-style-language/schema/raw/master/csl-citation.json"}</w:instrText>
      </w:r>
      <w:r w:rsidRPr="007C6E3B">
        <w:rPr>
          <w:rFonts w:ascii="Times New Roman" w:hAnsi="Times New Roman" w:cs="Times New Roman"/>
          <w:sz w:val="24"/>
          <w:szCs w:val="24"/>
        </w:rPr>
        <w:fldChar w:fldCharType="separate"/>
      </w:r>
      <w:r w:rsidR="007C6E3B">
        <w:rPr>
          <w:rFonts w:ascii="Times New Roman" w:hAnsi="Times New Roman" w:cs="Times New Roman"/>
          <w:noProof/>
          <w:sz w:val="24"/>
          <w:szCs w:val="24"/>
        </w:rPr>
        <w:t>(Sale, Lohfeld and Brazil</w:t>
      </w:r>
      <w:r w:rsidR="00BE3B6C" w:rsidRPr="007C6E3B">
        <w:rPr>
          <w:rFonts w:ascii="Times New Roman" w:hAnsi="Times New Roman" w:cs="Times New Roman"/>
          <w:noProof/>
          <w:sz w:val="24"/>
          <w:szCs w:val="24"/>
        </w:rPr>
        <w:t xml:space="preserve"> 2002; Cresswell et al. 2003)</w:t>
      </w:r>
      <w:r w:rsidRPr="007C6E3B">
        <w:rPr>
          <w:rFonts w:ascii="Times New Roman" w:hAnsi="Times New Roman" w:cs="Times New Roman"/>
          <w:sz w:val="24"/>
          <w:szCs w:val="24"/>
        </w:rPr>
        <w:fldChar w:fldCharType="end"/>
      </w:r>
      <w:r w:rsidRPr="007C6E3B">
        <w:rPr>
          <w:rFonts w:ascii="Times New Roman" w:hAnsi="Times New Roman" w:cs="Times New Roman"/>
          <w:sz w:val="24"/>
          <w:szCs w:val="24"/>
        </w:rPr>
        <w:t>. Triangulating data sources like this helps to give validity to research conclusions</w:t>
      </w:r>
      <w:r w:rsidR="004F229C" w:rsidRPr="007C6E3B">
        <w:rPr>
          <w:rFonts w:ascii="Times New Roman" w:hAnsi="Times New Roman" w:cs="Times New Roman"/>
          <w:sz w:val="24"/>
          <w:szCs w:val="24"/>
        </w:rPr>
        <w:t xml:space="preserve"> </w:t>
      </w:r>
      <w:r w:rsidRPr="007C6E3B">
        <w:rPr>
          <w:rFonts w:ascii="Times New Roman" w:hAnsi="Times New Roman" w:cs="Times New Roman"/>
          <w:sz w:val="24"/>
          <w:szCs w:val="24"/>
        </w:rPr>
        <w:fldChar w:fldCharType="begin" w:fldLock="1"/>
      </w:r>
      <w:r w:rsidR="00BE3B6C" w:rsidRPr="007C6E3B">
        <w:rPr>
          <w:rFonts w:ascii="Times New Roman" w:hAnsi="Times New Roman" w:cs="Times New Roman"/>
          <w:sz w:val="24"/>
          <w:szCs w:val="24"/>
        </w:rPr>
        <w:instrText>ADDIN CSL_CITATION {"citationItems":[{"id":"ITEM-1","itemData":{"DOI":"10.1007/s13398-014-0173-7.2","ISBN":"9781452274614","ISSN":"13514180","PMID":"15991970","abstract":"Creswell, J.W. (2003). Chapter One, A Framework for Design. Research design: Qualitative, quantitative, and mixed methods approaches. Thousand Oaks, CA: Sage Publications.","author":[{"dropping-particle":"","family":"Creswell","given":"J W","non-dropping-particle":"","parse-names":false,"suffix":""}],"container-title":"Research design Qualitative quantitative and mixed methods approaches","id":"ITEM-1","issued":{"date-parts":[["2014"]]},"number-of-pages":"398","title":"Research Design: Qualitative, Quantitative, and Mixed Methods Approaches","type":"book"},"uris":["http://www.mendeley.com/documents/?uuid=8a5ee300-b56c-41c0-bc1f-495f72f9a9a0","http://www.mendeley.com/documents/?uuid=9a029fa2-f80d-4625-ab1a-5de21b41b7eb","http://www.mendeley.com/documents/?uuid=cb7fe600-4272-444e-a98d-f97315d6769a"]}],"mendeley":{"formattedCitation":"(Creswell, 2014)","plainTextFormattedCitation":"(Creswell, 2014)","previouslyFormattedCitation":"(Creswell 2014)"},"properties":{"noteIndex":0},"schema":"https://github.com/citation-style-language/schema/raw/master/csl-citation.json"}</w:instrText>
      </w:r>
      <w:r w:rsidRPr="007C6E3B">
        <w:rPr>
          <w:rFonts w:ascii="Times New Roman" w:hAnsi="Times New Roman" w:cs="Times New Roman"/>
          <w:sz w:val="24"/>
          <w:szCs w:val="24"/>
        </w:rPr>
        <w:fldChar w:fldCharType="separate"/>
      </w:r>
      <w:r w:rsidR="007C6E3B">
        <w:rPr>
          <w:rFonts w:ascii="Times New Roman" w:hAnsi="Times New Roman" w:cs="Times New Roman"/>
          <w:noProof/>
          <w:sz w:val="24"/>
          <w:szCs w:val="24"/>
        </w:rPr>
        <w:t>(Creswell</w:t>
      </w:r>
      <w:r w:rsidR="00BE3B6C" w:rsidRPr="007C6E3B">
        <w:rPr>
          <w:rFonts w:ascii="Times New Roman" w:hAnsi="Times New Roman" w:cs="Times New Roman"/>
          <w:noProof/>
          <w:sz w:val="24"/>
          <w:szCs w:val="24"/>
        </w:rPr>
        <w:t xml:space="preserve"> 2014)</w:t>
      </w:r>
      <w:r w:rsidRPr="007C6E3B">
        <w:rPr>
          <w:rFonts w:ascii="Times New Roman" w:hAnsi="Times New Roman" w:cs="Times New Roman"/>
          <w:sz w:val="24"/>
          <w:szCs w:val="24"/>
        </w:rPr>
        <w:fldChar w:fldCharType="end"/>
      </w:r>
      <w:r w:rsidRPr="007C6E3B">
        <w:rPr>
          <w:rFonts w:ascii="Times New Roman" w:hAnsi="Times New Roman" w:cs="Times New Roman"/>
          <w:sz w:val="24"/>
          <w:szCs w:val="24"/>
        </w:rPr>
        <w:t>.</w:t>
      </w:r>
    </w:p>
    <w:p w14:paraId="376A54E1" w14:textId="77777777" w:rsidR="00863DF5" w:rsidRPr="007C6E3B" w:rsidRDefault="00863DF5" w:rsidP="00863DF5">
      <w:pPr>
        <w:spacing w:line="480" w:lineRule="auto"/>
        <w:jc w:val="both"/>
        <w:rPr>
          <w:rFonts w:ascii="Times New Roman" w:hAnsi="Times New Roman" w:cs="Times New Roman"/>
          <w:sz w:val="24"/>
          <w:szCs w:val="24"/>
        </w:rPr>
      </w:pPr>
    </w:p>
    <w:p w14:paraId="0546FECE" w14:textId="77777777" w:rsidR="00863DF5" w:rsidRPr="006F3B00" w:rsidRDefault="00863DF5" w:rsidP="00863DF5">
      <w:pPr>
        <w:spacing w:line="480" w:lineRule="auto"/>
        <w:jc w:val="both"/>
        <w:rPr>
          <w:rFonts w:ascii="Times New Roman" w:hAnsi="Times New Roman" w:cs="Times New Roman"/>
          <w:sz w:val="24"/>
          <w:szCs w:val="24"/>
        </w:rPr>
      </w:pPr>
    </w:p>
    <w:p w14:paraId="0FA9C7C1" w14:textId="77777777" w:rsidR="00863DF5" w:rsidRPr="006F3B00" w:rsidRDefault="00863DF5" w:rsidP="00863DF5">
      <w:pPr>
        <w:spacing w:line="480" w:lineRule="auto"/>
        <w:jc w:val="both"/>
        <w:rPr>
          <w:rFonts w:ascii="Times New Roman" w:hAnsi="Times New Roman" w:cs="Times New Roman"/>
          <w:sz w:val="24"/>
          <w:szCs w:val="24"/>
        </w:rPr>
      </w:pPr>
    </w:p>
    <w:p w14:paraId="7F610350" w14:textId="77777777" w:rsidR="00863DF5" w:rsidRPr="006F3B00" w:rsidRDefault="00863DF5" w:rsidP="00863DF5">
      <w:pPr>
        <w:spacing w:line="480" w:lineRule="auto"/>
        <w:jc w:val="both"/>
        <w:rPr>
          <w:rFonts w:ascii="Times New Roman" w:hAnsi="Times New Roman" w:cs="Times New Roman"/>
          <w:sz w:val="24"/>
          <w:szCs w:val="24"/>
        </w:rPr>
      </w:pPr>
    </w:p>
    <w:p w14:paraId="47C909DA" w14:textId="77777777" w:rsidR="00863DF5" w:rsidRPr="006F3B00" w:rsidRDefault="00863DF5" w:rsidP="00863DF5">
      <w:pPr>
        <w:spacing w:line="480" w:lineRule="auto"/>
        <w:jc w:val="both"/>
        <w:rPr>
          <w:rFonts w:ascii="Times New Roman" w:hAnsi="Times New Roman" w:cs="Times New Roman"/>
          <w:sz w:val="24"/>
          <w:szCs w:val="24"/>
        </w:rPr>
      </w:pPr>
    </w:p>
    <w:p w14:paraId="068BB85B" w14:textId="77777777" w:rsidR="00863DF5" w:rsidRPr="006F3B00" w:rsidRDefault="00863DF5" w:rsidP="00863DF5">
      <w:pPr>
        <w:spacing w:line="480" w:lineRule="auto"/>
        <w:jc w:val="both"/>
        <w:rPr>
          <w:rFonts w:ascii="Times New Roman" w:hAnsi="Times New Roman" w:cs="Times New Roman"/>
          <w:sz w:val="24"/>
          <w:szCs w:val="24"/>
        </w:rPr>
      </w:pPr>
    </w:p>
    <w:p w14:paraId="392C2B77" w14:textId="77777777" w:rsidR="00863DF5" w:rsidRPr="006F3B00" w:rsidRDefault="00863DF5" w:rsidP="00863DF5">
      <w:pPr>
        <w:spacing w:line="480" w:lineRule="auto"/>
        <w:jc w:val="both"/>
        <w:rPr>
          <w:rFonts w:ascii="Times New Roman" w:hAnsi="Times New Roman" w:cs="Times New Roman"/>
          <w:sz w:val="24"/>
          <w:szCs w:val="24"/>
        </w:rPr>
      </w:pPr>
    </w:p>
    <w:p w14:paraId="6E8C34BE" w14:textId="77777777" w:rsidR="00863DF5" w:rsidRPr="006F3B00" w:rsidRDefault="00863DF5" w:rsidP="00863DF5">
      <w:pPr>
        <w:spacing w:line="480" w:lineRule="auto"/>
        <w:jc w:val="both"/>
        <w:rPr>
          <w:rFonts w:ascii="Times New Roman" w:hAnsi="Times New Roman" w:cs="Times New Roman"/>
          <w:sz w:val="24"/>
          <w:szCs w:val="24"/>
        </w:rPr>
      </w:pPr>
    </w:p>
    <w:p w14:paraId="13D045ED" w14:textId="77777777" w:rsidR="00863DF5" w:rsidRPr="006F3B00" w:rsidRDefault="00863DF5" w:rsidP="00863DF5">
      <w:pPr>
        <w:spacing w:line="480" w:lineRule="auto"/>
        <w:jc w:val="both"/>
        <w:rPr>
          <w:rFonts w:ascii="Times New Roman" w:hAnsi="Times New Roman" w:cs="Times New Roman"/>
          <w:sz w:val="24"/>
          <w:szCs w:val="24"/>
        </w:rPr>
      </w:pPr>
    </w:p>
    <w:p w14:paraId="381753F7" w14:textId="77777777" w:rsidR="00863DF5" w:rsidRPr="006F3B00" w:rsidRDefault="00863DF5" w:rsidP="00863DF5">
      <w:pPr>
        <w:spacing w:line="480" w:lineRule="auto"/>
        <w:jc w:val="both"/>
        <w:rPr>
          <w:rFonts w:ascii="Times New Roman" w:hAnsi="Times New Roman" w:cs="Times New Roman"/>
          <w:sz w:val="24"/>
          <w:szCs w:val="24"/>
        </w:rPr>
      </w:pPr>
    </w:p>
    <w:p w14:paraId="71FCED6A" w14:textId="77777777" w:rsidR="00863DF5" w:rsidRPr="006F3B00" w:rsidRDefault="00863DF5" w:rsidP="00863DF5">
      <w:pPr>
        <w:spacing w:line="480" w:lineRule="auto"/>
        <w:jc w:val="both"/>
        <w:rPr>
          <w:rFonts w:ascii="Times New Roman" w:hAnsi="Times New Roman" w:cs="Times New Roman"/>
          <w:sz w:val="24"/>
          <w:szCs w:val="24"/>
        </w:rPr>
      </w:pPr>
    </w:p>
    <w:p w14:paraId="49CD1D5E" w14:textId="6AFC6248" w:rsidR="00B65B60" w:rsidRPr="006F3B00" w:rsidRDefault="00B65B60" w:rsidP="00DC4289">
      <w:pPr>
        <w:pStyle w:val="Heading1"/>
        <w:jc w:val="center"/>
        <w:rPr>
          <w:rFonts w:ascii="Times New Roman" w:hAnsi="Times New Roman" w:cs="Times New Roman"/>
          <w:b/>
          <w:color w:val="auto"/>
          <w:sz w:val="72"/>
          <w:szCs w:val="72"/>
        </w:rPr>
      </w:pPr>
      <w:bookmarkStart w:id="60" w:name="_Toc23243789"/>
      <w:r w:rsidRPr="006F3B00">
        <w:rPr>
          <w:rFonts w:ascii="Times New Roman" w:hAnsi="Times New Roman" w:cs="Times New Roman"/>
          <w:b/>
          <w:color w:val="auto"/>
          <w:sz w:val="72"/>
          <w:szCs w:val="72"/>
        </w:rPr>
        <w:t>Chapter 3</w:t>
      </w:r>
      <w:bookmarkEnd w:id="60"/>
    </w:p>
    <w:p w14:paraId="5CEC73AB" w14:textId="77777777" w:rsidR="00B65B60" w:rsidRPr="006F3B00" w:rsidRDefault="00B65B60" w:rsidP="002F1F09">
      <w:pPr>
        <w:pStyle w:val="Heading1"/>
        <w:jc w:val="center"/>
        <w:rPr>
          <w:rFonts w:ascii="Times New Roman" w:hAnsi="Times New Roman" w:cs="Times New Roman"/>
          <w:b/>
          <w:color w:val="auto"/>
          <w:sz w:val="72"/>
          <w:szCs w:val="72"/>
        </w:rPr>
      </w:pPr>
      <w:bookmarkStart w:id="61" w:name="_Toc23243790"/>
      <w:r w:rsidRPr="006F3B00">
        <w:rPr>
          <w:rFonts w:ascii="Times New Roman" w:hAnsi="Times New Roman" w:cs="Times New Roman"/>
          <w:b/>
          <w:color w:val="auto"/>
          <w:sz w:val="72"/>
          <w:szCs w:val="72"/>
        </w:rPr>
        <w:t>A questionnaire exploring the perception of WBAs in histopathology</w:t>
      </w:r>
      <w:bookmarkEnd w:id="61"/>
    </w:p>
    <w:p w14:paraId="761E3CC3"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010DF649"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0FAE024C"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219AE4CB"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4E481427"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3E39FA8A"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514D6489"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2116C4E5"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018C58F7"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003DB20F"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59E49103"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309C01D5"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6BFF1F5E"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356354EE" w14:textId="77777777" w:rsidR="00B65B60" w:rsidRPr="006F3B00" w:rsidRDefault="00B65B60" w:rsidP="002F1F09">
      <w:pPr>
        <w:pStyle w:val="Heading1"/>
        <w:jc w:val="center"/>
        <w:rPr>
          <w:rFonts w:ascii="Times New Roman" w:hAnsi="Times New Roman" w:cs="Times New Roman"/>
          <w:b/>
          <w:color w:val="auto"/>
          <w:sz w:val="24"/>
          <w:szCs w:val="24"/>
          <w:u w:val="single"/>
        </w:rPr>
      </w:pPr>
    </w:p>
    <w:p w14:paraId="3EBE0AFF" w14:textId="5C19246A" w:rsidR="00B65B60" w:rsidRDefault="00B65B60" w:rsidP="00B65B60">
      <w:pPr>
        <w:pStyle w:val="Heading1"/>
        <w:rPr>
          <w:rFonts w:ascii="Times New Roman" w:hAnsi="Times New Roman" w:cs="Times New Roman"/>
          <w:b/>
          <w:color w:val="auto"/>
          <w:sz w:val="24"/>
          <w:szCs w:val="24"/>
          <w:u w:val="single"/>
        </w:rPr>
      </w:pPr>
    </w:p>
    <w:p w14:paraId="4B96DE6F" w14:textId="775873BC" w:rsidR="00832913" w:rsidRDefault="00832913" w:rsidP="00832913"/>
    <w:p w14:paraId="175CF6F3" w14:textId="77777777" w:rsidR="00832913" w:rsidRPr="00832913" w:rsidRDefault="00832913" w:rsidP="00832913"/>
    <w:p w14:paraId="0735A702" w14:textId="4D5C5C11" w:rsidR="003228AA" w:rsidRDefault="003228AA" w:rsidP="00DC4289">
      <w:pPr>
        <w:rPr>
          <w:rFonts w:ascii="Times New Roman" w:hAnsi="Times New Roman" w:cs="Times New Roman"/>
          <w:b/>
          <w:sz w:val="24"/>
          <w:szCs w:val="24"/>
          <w:u w:val="single"/>
        </w:rPr>
      </w:pPr>
    </w:p>
    <w:p w14:paraId="02E8BC07" w14:textId="77777777" w:rsidR="003228AA" w:rsidRDefault="003228AA" w:rsidP="00BA15D3">
      <w:pPr>
        <w:jc w:val="center"/>
        <w:rPr>
          <w:rFonts w:ascii="Times New Roman" w:hAnsi="Times New Roman" w:cs="Times New Roman"/>
          <w:b/>
          <w:sz w:val="24"/>
          <w:szCs w:val="24"/>
          <w:u w:val="single"/>
        </w:rPr>
      </w:pPr>
    </w:p>
    <w:p w14:paraId="1983CE66" w14:textId="30E5774B" w:rsidR="00863DF5" w:rsidRPr="006F3B00" w:rsidRDefault="002F1F09" w:rsidP="00BA15D3">
      <w:pPr>
        <w:jc w:val="center"/>
        <w:rPr>
          <w:rFonts w:ascii="Times New Roman" w:hAnsi="Times New Roman" w:cs="Times New Roman"/>
          <w:b/>
          <w:sz w:val="24"/>
          <w:szCs w:val="24"/>
          <w:u w:val="single"/>
        </w:rPr>
      </w:pPr>
      <w:r w:rsidRPr="006F3B00">
        <w:rPr>
          <w:rFonts w:ascii="Times New Roman" w:hAnsi="Times New Roman" w:cs="Times New Roman"/>
          <w:b/>
          <w:sz w:val="24"/>
          <w:szCs w:val="24"/>
          <w:u w:val="single"/>
        </w:rPr>
        <w:t xml:space="preserve">Chapter 3: </w:t>
      </w:r>
      <w:r w:rsidR="00B65B60" w:rsidRPr="006F3B00">
        <w:rPr>
          <w:rFonts w:ascii="Times New Roman" w:hAnsi="Times New Roman" w:cs="Times New Roman"/>
          <w:b/>
          <w:sz w:val="24"/>
          <w:szCs w:val="24"/>
          <w:u w:val="single"/>
        </w:rPr>
        <w:t>A q</w:t>
      </w:r>
      <w:r w:rsidR="00863DF5" w:rsidRPr="006F3B00">
        <w:rPr>
          <w:rFonts w:ascii="Times New Roman" w:hAnsi="Times New Roman" w:cs="Times New Roman"/>
          <w:b/>
          <w:sz w:val="24"/>
          <w:szCs w:val="24"/>
          <w:u w:val="single"/>
        </w:rPr>
        <w:t>uestionnaire exploring the perception of WBAs in histopathology</w:t>
      </w:r>
    </w:p>
    <w:p w14:paraId="7091D467" w14:textId="77777777" w:rsidR="00863DF5" w:rsidRPr="006F3B00" w:rsidRDefault="00863DF5" w:rsidP="00863DF5">
      <w:pPr>
        <w:spacing w:line="480" w:lineRule="auto"/>
        <w:rPr>
          <w:rFonts w:ascii="Times New Roman" w:hAnsi="Times New Roman" w:cs="Times New Roman"/>
          <w:b/>
          <w:sz w:val="24"/>
          <w:szCs w:val="24"/>
          <w:u w:val="single"/>
        </w:rPr>
      </w:pPr>
    </w:p>
    <w:p w14:paraId="258E59D9" w14:textId="40AB8BFB" w:rsidR="00863DF5" w:rsidRDefault="002F1F09" w:rsidP="006A43B1">
      <w:pPr>
        <w:pStyle w:val="Heading2"/>
        <w:rPr>
          <w:rFonts w:ascii="Times New Roman" w:hAnsi="Times New Roman" w:cs="Times New Roman"/>
          <w:color w:val="auto"/>
          <w:sz w:val="24"/>
          <w:szCs w:val="24"/>
        </w:rPr>
      </w:pPr>
      <w:bookmarkStart w:id="62" w:name="_Toc23243791"/>
      <w:r w:rsidRPr="006A43B1">
        <w:rPr>
          <w:rFonts w:ascii="Times New Roman" w:hAnsi="Times New Roman" w:cs="Times New Roman"/>
          <w:color w:val="auto"/>
          <w:sz w:val="24"/>
          <w:szCs w:val="24"/>
        </w:rPr>
        <w:t xml:space="preserve">3. 1 </w:t>
      </w:r>
      <w:r w:rsidR="00863DF5" w:rsidRPr="006A43B1">
        <w:rPr>
          <w:rFonts w:ascii="Times New Roman" w:hAnsi="Times New Roman" w:cs="Times New Roman"/>
          <w:color w:val="auto"/>
          <w:sz w:val="24"/>
          <w:szCs w:val="24"/>
        </w:rPr>
        <w:t>Background</w:t>
      </w:r>
      <w:bookmarkEnd w:id="62"/>
    </w:p>
    <w:p w14:paraId="1025ED42" w14:textId="77777777" w:rsidR="006A43B1" w:rsidRPr="006A43B1" w:rsidRDefault="006A43B1" w:rsidP="006A43B1">
      <w:pPr>
        <w:rPr>
          <w:lang w:val="en-GB"/>
        </w:rPr>
      </w:pPr>
    </w:p>
    <w:p w14:paraId="611998FF" w14:textId="47E1665E" w:rsidR="00863DF5" w:rsidRPr="006F3B00" w:rsidRDefault="004A1E4C" w:rsidP="00863DF5">
      <w:pPr>
        <w:spacing w:line="480" w:lineRule="auto"/>
        <w:rPr>
          <w:rFonts w:ascii="Times New Roman" w:hAnsi="Times New Roman" w:cs="Times New Roman"/>
          <w:sz w:val="24"/>
          <w:szCs w:val="24"/>
        </w:rPr>
      </w:pPr>
      <w:r>
        <w:rPr>
          <w:rFonts w:ascii="Times New Roman" w:hAnsi="Times New Roman" w:cs="Times New Roman"/>
          <w:sz w:val="24"/>
          <w:szCs w:val="24"/>
        </w:rPr>
        <w:t>WBAs</w:t>
      </w:r>
      <w:r w:rsidR="00863DF5" w:rsidRPr="006F3B00">
        <w:rPr>
          <w:rFonts w:ascii="Times New Roman" w:hAnsi="Times New Roman" w:cs="Times New Roman"/>
          <w:sz w:val="24"/>
          <w:szCs w:val="24"/>
        </w:rPr>
        <w:t xml:space="preserve"> are used widely within healthcare training and aim to examine real-life, professional practice rather than the somewhat artificial situations created for examination purposes. However, the evidence base for their use in healthcare, and particularly in histopathology, is lim</w:t>
      </w:r>
      <w:r w:rsidR="00494018">
        <w:rPr>
          <w:rFonts w:ascii="Times New Roman" w:hAnsi="Times New Roman" w:cs="Times New Roman"/>
          <w:sz w:val="24"/>
          <w:szCs w:val="24"/>
        </w:rPr>
        <w:t>ited (see C</w:t>
      </w:r>
      <w:r w:rsidR="006E44EF">
        <w:rPr>
          <w:rFonts w:ascii="Times New Roman" w:hAnsi="Times New Roman" w:cs="Times New Roman"/>
          <w:sz w:val="24"/>
          <w:szCs w:val="24"/>
        </w:rPr>
        <w:t>hapter 1</w:t>
      </w:r>
      <w:r w:rsidR="00494018">
        <w:rPr>
          <w:rFonts w:ascii="Times New Roman" w:hAnsi="Times New Roman" w:cs="Times New Roman"/>
          <w:sz w:val="24"/>
          <w:szCs w:val="24"/>
        </w:rPr>
        <w:t>,</w:t>
      </w:r>
      <w:r w:rsidR="006E44EF">
        <w:rPr>
          <w:rFonts w:ascii="Times New Roman" w:hAnsi="Times New Roman" w:cs="Times New Roman"/>
          <w:sz w:val="24"/>
          <w:szCs w:val="24"/>
        </w:rPr>
        <w:t xml:space="preserve"> </w:t>
      </w:r>
      <w:r w:rsidR="006E44EF" w:rsidRPr="00494018">
        <w:rPr>
          <w:rFonts w:ascii="Times New Roman" w:hAnsi="Times New Roman" w:cs="Times New Roman"/>
          <w:sz w:val="24"/>
          <w:szCs w:val="24"/>
        </w:rPr>
        <w:t>section</w:t>
      </w:r>
      <w:r w:rsidR="00494018">
        <w:rPr>
          <w:rFonts w:ascii="Times New Roman" w:hAnsi="Times New Roman" w:cs="Times New Roman"/>
          <w:sz w:val="24"/>
          <w:szCs w:val="24"/>
        </w:rPr>
        <w:t>s</w:t>
      </w:r>
      <w:r w:rsidR="006E44EF" w:rsidRPr="00494018">
        <w:rPr>
          <w:rFonts w:ascii="Times New Roman" w:hAnsi="Times New Roman" w:cs="Times New Roman"/>
          <w:sz w:val="24"/>
          <w:szCs w:val="24"/>
        </w:rPr>
        <w:t xml:space="preserve"> </w:t>
      </w:r>
      <w:r w:rsidR="00494018" w:rsidRPr="00494018">
        <w:rPr>
          <w:rFonts w:ascii="Times New Roman" w:hAnsi="Times New Roman" w:cs="Times New Roman"/>
          <w:sz w:val="24"/>
          <w:szCs w:val="24"/>
        </w:rPr>
        <w:t>1.3.5 and 1.3.6</w:t>
      </w:r>
      <w:r w:rsidR="00863DF5" w:rsidRPr="00494018">
        <w:rPr>
          <w:rFonts w:ascii="Times New Roman" w:hAnsi="Times New Roman" w:cs="Times New Roman"/>
          <w:sz w:val="24"/>
          <w:szCs w:val="24"/>
        </w:rPr>
        <w:t xml:space="preserve">). </w:t>
      </w:r>
    </w:p>
    <w:p w14:paraId="2E0F4D33"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As pathologists are responsible for making diagnoses, it is important to understand whether the current WBAs are capable of measuring the knowledge, skills and behaviour relevant to this.</w:t>
      </w:r>
    </w:p>
    <w:p w14:paraId="1C1159D9" w14:textId="069378DF" w:rsidR="00863DF5" w:rsidRPr="006F3B00" w:rsidRDefault="00863DF5" w:rsidP="00863DF5">
      <w:pPr>
        <w:spacing w:line="480" w:lineRule="auto"/>
        <w:rPr>
          <w:rFonts w:ascii="Times New Roman" w:hAnsi="Times New Roman" w:cs="Times New Roman"/>
          <w:b/>
          <w:sz w:val="24"/>
          <w:szCs w:val="24"/>
          <w:u w:val="single"/>
        </w:rPr>
      </w:pPr>
      <w:r w:rsidRPr="006F3B00">
        <w:rPr>
          <w:rFonts w:ascii="Times New Roman" w:hAnsi="Times New Roman" w:cs="Times New Roman"/>
          <w:sz w:val="24"/>
          <w:szCs w:val="24"/>
        </w:rPr>
        <w:t xml:space="preserve">The first step in Cooksey’s </w:t>
      </w:r>
      <w:r w:rsidRPr="00494018">
        <w:rPr>
          <w:rFonts w:ascii="Times New Roman" w:hAnsi="Times New Roman" w:cs="Times New Roman"/>
          <w:sz w:val="24"/>
          <w:szCs w:val="24"/>
        </w:rPr>
        <w:t>framework (</w:t>
      </w:r>
      <w:r w:rsidR="00494018" w:rsidRPr="00494018">
        <w:rPr>
          <w:rFonts w:ascii="Times New Roman" w:hAnsi="Times New Roman" w:cs="Times New Roman"/>
          <w:sz w:val="24"/>
          <w:szCs w:val="24"/>
        </w:rPr>
        <w:t>see Chapter 2, section 2.4</w:t>
      </w:r>
      <w:r w:rsidRPr="00494018">
        <w:rPr>
          <w:rFonts w:ascii="Times New Roman" w:hAnsi="Times New Roman" w:cs="Times New Roman"/>
          <w:sz w:val="24"/>
          <w:szCs w:val="24"/>
        </w:rPr>
        <w:t xml:space="preserve">) </w:t>
      </w:r>
      <w:r w:rsidRPr="006F3B00">
        <w:rPr>
          <w:rFonts w:ascii="Times New Roman" w:hAnsi="Times New Roman" w:cs="Times New Roman"/>
          <w:sz w:val="24"/>
          <w:szCs w:val="24"/>
        </w:rPr>
        <w:t xml:space="preserve">involves understanding the context of the judgement problem. To this end, although the main focus of the overall study is to understand how consultants judge diagnostic competence in their trainees, first of all </w:t>
      </w:r>
      <w:r w:rsidR="004F229C">
        <w:rPr>
          <w:rFonts w:ascii="Times New Roman" w:hAnsi="Times New Roman" w:cs="Times New Roman"/>
          <w:sz w:val="24"/>
          <w:szCs w:val="24"/>
        </w:rPr>
        <w:t xml:space="preserve">it is important to </w:t>
      </w:r>
      <w:r w:rsidRPr="006F3B00">
        <w:rPr>
          <w:rFonts w:ascii="Times New Roman" w:hAnsi="Times New Roman" w:cs="Times New Roman"/>
          <w:sz w:val="24"/>
          <w:szCs w:val="24"/>
        </w:rPr>
        <w:t>gather information on the overall perception of WBAs in histopathology as they are the main tool used to assess competency in general. This helps to frame the focus of the study and offers insight into how it fits into the overall judgment ecology.</w:t>
      </w:r>
    </w:p>
    <w:p w14:paraId="60B095C6" w14:textId="3828E508" w:rsidR="00863DF5" w:rsidRPr="006F3B00" w:rsidRDefault="002F1F09" w:rsidP="002F1F09">
      <w:pPr>
        <w:pStyle w:val="Heading2"/>
        <w:rPr>
          <w:rFonts w:ascii="Times New Roman" w:hAnsi="Times New Roman" w:cs="Times New Roman"/>
          <w:color w:val="auto"/>
          <w:sz w:val="24"/>
          <w:szCs w:val="24"/>
        </w:rPr>
      </w:pPr>
      <w:bookmarkStart w:id="63" w:name="_Toc23243792"/>
      <w:r w:rsidRPr="006F3B00">
        <w:rPr>
          <w:rFonts w:ascii="Times New Roman" w:hAnsi="Times New Roman" w:cs="Times New Roman"/>
          <w:color w:val="auto"/>
          <w:sz w:val="24"/>
          <w:szCs w:val="24"/>
        </w:rPr>
        <w:t xml:space="preserve">3.2 </w:t>
      </w:r>
      <w:r w:rsidR="00863DF5" w:rsidRPr="006F3B00">
        <w:rPr>
          <w:rFonts w:ascii="Times New Roman" w:hAnsi="Times New Roman" w:cs="Times New Roman"/>
          <w:color w:val="auto"/>
          <w:sz w:val="24"/>
          <w:szCs w:val="24"/>
        </w:rPr>
        <w:t>Aim</w:t>
      </w:r>
      <w:r w:rsidR="00DE62D9">
        <w:rPr>
          <w:rFonts w:ascii="Times New Roman" w:hAnsi="Times New Roman" w:cs="Times New Roman"/>
          <w:color w:val="auto"/>
          <w:sz w:val="24"/>
          <w:szCs w:val="24"/>
        </w:rPr>
        <w:t xml:space="preserve"> and objectives</w:t>
      </w:r>
      <w:bookmarkEnd w:id="63"/>
    </w:p>
    <w:p w14:paraId="716EB2C1" w14:textId="77777777" w:rsidR="002F1F09" w:rsidRPr="006F3B00" w:rsidRDefault="002F1F09" w:rsidP="002F1F09">
      <w:pPr>
        <w:rPr>
          <w:rFonts w:ascii="Times New Roman" w:hAnsi="Times New Roman" w:cs="Times New Roman"/>
          <w:sz w:val="24"/>
          <w:szCs w:val="24"/>
          <w:lang w:val="en-GB"/>
        </w:rPr>
      </w:pPr>
    </w:p>
    <w:p w14:paraId="1D39C02D" w14:textId="351FD032" w:rsidR="004E4460" w:rsidRPr="004E4460" w:rsidRDefault="004E4460" w:rsidP="00DE62D9">
      <w:pPr>
        <w:spacing w:after="120" w:line="480" w:lineRule="auto"/>
        <w:rPr>
          <w:rFonts w:ascii="Times New Roman" w:hAnsi="Times New Roman" w:cs="Times New Roman"/>
          <w:b/>
          <w:sz w:val="24"/>
          <w:szCs w:val="24"/>
        </w:rPr>
      </w:pPr>
      <w:r w:rsidRPr="004E4460">
        <w:rPr>
          <w:rFonts w:ascii="Times New Roman" w:hAnsi="Times New Roman" w:cs="Times New Roman"/>
          <w:b/>
          <w:sz w:val="24"/>
          <w:szCs w:val="24"/>
        </w:rPr>
        <w:t>Aim</w:t>
      </w:r>
    </w:p>
    <w:p w14:paraId="5CA40376" w14:textId="7FEC099D" w:rsidR="00DE62D9" w:rsidRPr="00DE62D9" w:rsidRDefault="00863DF5" w:rsidP="00DE62D9">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To explore the perceptions of WBAs in histopathology by assessors and trainees</w:t>
      </w:r>
      <w:r w:rsidR="00DE62D9">
        <w:rPr>
          <w:rFonts w:ascii="Times New Roman" w:hAnsi="Times New Roman" w:cs="Times New Roman"/>
          <w:sz w:val="24"/>
          <w:szCs w:val="24"/>
        </w:rPr>
        <w:t>.</w:t>
      </w:r>
    </w:p>
    <w:p w14:paraId="2201E1C6" w14:textId="77777777" w:rsidR="00AF0335" w:rsidRPr="00AF0335" w:rsidRDefault="00AF0335" w:rsidP="00DE62D9">
      <w:pPr>
        <w:rPr>
          <w:rFonts w:ascii="Times New Roman" w:hAnsi="Times New Roman" w:cs="Times New Roman"/>
          <w:b/>
          <w:sz w:val="24"/>
          <w:szCs w:val="24"/>
          <w:lang w:val="en-GB"/>
        </w:rPr>
      </w:pPr>
      <w:r w:rsidRPr="00AF0335">
        <w:rPr>
          <w:rFonts w:ascii="Times New Roman" w:hAnsi="Times New Roman" w:cs="Times New Roman"/>
          <w:b/>
          <w:sz w:val="24"/>
          <w:szCs w:val="24"/>
          <w:lang w:val="en-GB"/>
        </w:rPr>
        <w:t xml:space="preserve">Objectives </w:t>
      </w:r>
    </w:p>
    <w:p w14:paraId="76FECB17" w14:textId="57F30B35" w:rsidR="004F229C" w:rsidRPr="00DE62D9" w:rsidRDefault="004F229C" w:rsidP="00DE62D9">
      <w:pPr>
        <w:rPr>
          <w:rFonts w:ascii="Times New Roman" w:hAnsi="Times New Roman" w:cs="Times New Roman"/>
          <w:sz w:val="24"/>
          <w:szCs w:val="24"/>
        </w:rPr>
      </w:pPr>
      <w:r w:rsidRPr="00DE62D9">
        <w:rPr>
          <w:rFonts w:ascii="Times New Roman" w:hAnsi="Times New Roman" w:cs="Times New Roman"/>
          <w:sz w:val="24"/>
          <w:szCs w:val="24"/>
          <w:lang w:val="en-GB"/>
        </w:rPr>
        <w:t xml:space="preserve">A questionnaire will be used to: </w:t>
      </w:r>
    </w:p>
    <w:p w14:paraId="3FB745A2" w14:textId="77777777" w:rsidR="002F1F09" w:rsidRPr="006F3B00" w:rsidRDefault="002F1F09" w:rsidP="002F1F09">
      <w:pPr>
        <w:rPr>
          <w:rFonts w:ascii="Times New Roman" w:hAnsi="Times New Roman" w:cs="Times New Roman"/>
          <w:sz w:val="24"/>
          <w:szCs w:val="24"/>
          <w:lang w:val="en-GB"/>
        </w:rPr>
      </w:pPr>
    </w:p>
    <w:p w14:paraId="74F72759" w14:textId="2DFA37F1" w:rsidR="00863DF5" w:rsidRPr="006F3B00" w:rsidRDefault="004F229C" w:rsidP="001A1FF3">
      <w:pPr>
        <w:pStyle w:val="ListParagraph"/>
        <w:numPr>
          <w:ilvl w:val="0"/>
          <w:numId w:val="20"/>
        </w:num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u</w:t>
      </w:r>
      <w:r w:rsidR="00863DF5" w:rsidRPr="006F3B00">
        <w:rPr>
          <w:rFonts w:ascii="Times New Roman" w:hAnsi="Times New Roman" w:cs="Times New Roman"/>
          <w:sz w:val="24"/>
          <w:szCs w:val="24"/>
        </w:rPr>
        <w:t>nderstand</w:t>
      </w:r>
      <w:proofErr w:type="gramEnd"/>
      <w:r w:rsidR="00863DF5" w:rsidRPr="006F3B00">
        <w:rPr>
          <w:rFonts w:ascii="Times New Roman" w:hAnsi="Times New Roman" w:cs="Times New Roman"/>
          <w:sz w:val="24"/>
          <w:szCs w:val="24"/>
        </w:rPr>
        <w:t xml:space="preserve"> how WBAs are perceived in histopathology including a comparison to the themes identified in the healthcare literature: their perceived usefulness, validity and acceptance. </w:t>
      </w:r>
    </w:p>
    <w:p w14:paraId="48AD76D2" w14:textId="331FE3FA" w:rsidR="00863DF5" w:rsidRPr="006F3B00" w:rsidRDefault="004F229C" w:rsidP="001A1FF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u</w:t>
      </w:r>
      <w:r w:rsidR="00863DF5" w:rsidRPr="006F3B00">
        <w:rPr>
          <w:rFonts w:ascii="Times New Roman" w:hAnsi="Times New Roman" w:cs="Times New Roman"/>
          <w:sz w:val="24"/>
          <w:szCs w:val="24"/>
        </w:rPr>
        <w:t>nderstand if WBAs in histopathology are perceived to measure diagnostic competence</w:t>
      </w:r>
    </w:p>
    <w:p w14:paraId="5EE0E0C7" w14:textId="6AF0E8C6" w:rsidR="00863DF5" w:rsidRPr="006F3B00" w:rsidRDefault="00DE62D9" w:rsidP="002F1F09">
      <w:pPr>
        <w:pStyle w:val="Heading2"/>
        <w:rPr>
          <w:rFonts w:ascii="Times New Roman" w:hAnsi="Times New Roman" w:cs="Times New Roman"/>
          <w:color w:val="auto"/>
          <w:sz w:val="24"/>
          <w:szCs w:val="24"/>
        </w:rPr>
      </w:pPr>
      <w:bookmarkStart w:id="64" w:name="_Toc23243793"/>
      <w:r>
        <w:rPr>
          <w:rFonts w:ascii="Times New Roman" w:hAnsi="Times New Roman" w:cs="Times New Roman"/>
          <w:color w:val="auto"/>
          <w:sz w:val="24"/>
          <w:szCs w:val="24"/>
        </w:rPr>
        <w:t>3.3</w:t>
      </w:r>
      <w:r w:rsidR="002F1F09"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Method</w:t>
      </w:r>
      <w:bookmarkEnd w:id="64"/>
    </w:p>
    <w:p w14:paraId="741C1D36" w14:textId="77777777" w:rsidR="002F1F09" w:rsidRPr="006F3B00" w:rsidRDefault="002F1F09" w:rsidP="002F1F09">
      <w:pPr>
        <w:rPr>
          <w:rFonts w:ascii="Times New Roman" w:hAnsi="Times New Roman" w:cs="Times New Roman"/>
          <w:sz w:val="24"/>
          <w:szCs w:val="24"/>
          <w:lang w:val="en-GB"/>
        </w:rPr>
      </w:pPr>
    </w:p>
    <w:p w14:paraId="7599A889" w14:textId="4FE2D95D" w:rsidR="00863DF5" w:rsidRPr="006F3B00" w:rsidRDefault="00DE62D9" w:rsidP="002F1F09">
      <w:pPr>
        <w:pStyle w:val="Heading3"/>
        <w:rPr>
          <w:rFonts w:ascii="Times New Roman" w:hAnsi="Times New Roman" w:cs="Times New Roman"/>
          <w:color w:val="auto"/>
          <w:sz w:val="24"/>
          <w:szCs w:val="24"/>
        </w:rPr>
      </w:pPr>
      <w:bookmarkStart w:id="65" w:name="_Toc23243794"/>
      <w:r>
        <w:rPr>
          <w:rFonts w:ascii="Times New Roman" w:hAnsi="Times New Roman" w:cs="Times New Roman"/>
          <w:color w:val="auto"/>
          <w:sz w:val="24"/>
          <w:szCs w:val="24"/>
        </w:rPr>
        <w:t>3.3</w:t>
      </w:r>
      <w:r w:rsidR="002F1F09" w:rsidRPr="006F3B00">
        <w:rPr>
          <w:rFonts w:ascii="Times New Roman" w:hAnsi="Times New Roman" w:cs="Times New Roman"/>
          <w:color w:val="auto"/>
          <w:sz w:val="24"/>
          <w:szCs w:val="24"/>
        </w:rPr>
        <w:t xml:space="preserve">.1 </w:t>
      </w:r>
      <w:r w:rsidR="00863DF5" w:rsidRPr="006F3B00">
        <w:rPr>
          <w:rFonts w:ascii="Times New Roman" w:hAnsi="Times New Roman" w:cs="Times New Roman"/>
          <w:color w:val="auto"/>
          <w:sz w:val="24"/>
          <w:szCs w:val="24"/>
        </w:rPr>
        <w:t>Introduction</w:t>
      </w:r>
      <w:bookmarkEnd w:id="65"/>
    </w:p>
    <w:p w14:paraId="22E37CCB" w14:textId="77777777" w:rsidR="002F1F09" w:rsidRPr="006F3B00" w:rsidRDefault="002F1F09" w:rsidP="002F1F09">
      <w:pPr>
        <w:rPr>
          <w:rFonts w:ascii="Times New Roman" w:hAnsi="Times New Roman" w:cs="Times New Roman"/>
          <w:sz w:val="24"/>
          <w:szCs w:val="24"/>
          <w:lang w:val="en-GB"/>
        </w:rPr>
      </w:pPr>
    </w:p>
    <w:p w14:paraId="0C373651" w14:textId="1AF2917C" w:rsidR="00863DF5" w:rsidRPr="007C6E3B" w:rsidRDefault="00863DF5" w:rsidP="00863DF5">
      <w:pPr>
        <w:spacing w:line="480" w:lineRule="auto"/>
        <w:rPr>
          <w:rFonts w:ascii="Times New Roman" w:hAnsi="Times New Roman" w:cs="Times New Roman"/>
          <w:sz w:val="24"/>
          <w:szCs w:val="24"/>
        </w:rPr>
      </w:pPr>
      <w:r w:rsidRPr="007C6E3B">
        <w:rPr>
          <w:rFonts w:ascii="Times New Roman" w:hAnsi="Times New Roman" w:cs="Times New Roman"/>
          <w:sz w:val="24"/>
          <w:szCs w:val="24"/>
        </w:rPr>
        <w:t>Questionnaires are commonly used in medical education rese</w:t>
      </w:r>
      <w:r w:rsidR="008229CF" w:rsidRPr="007C6E3B">
        <w:rPr>
          <w:rFonts w:ascii="Times New Roman" w:hAnsi="Times New Roman" w:cs="Times New Roman"/>
          <w:sz w:val="24"/>
          <w:szCs w:val="24"/>
        </w:rPr>
        <w:t>arch for the purposes of trainee</w:t>
      </w:r>
      <w:r w:rsidRPr="007C6E3B">
        <w:rPr>
          <w:rFonts w:ascii="Times New Roman" w:hAnsi="Times New Roman" w:cs="Times New Roman"/>
          <w:sz w:val="24"/>
          <w:szCs w:val="24"/>
        </w:rPr>
        <w:t xml:space="preserve"> evaluation, feedback and opinion gathering </w:t>
      </w:r>
      <w:r w:rsidRPr="007C6E3B">
        <w:rPr>
          <w:rFonts w:ascii="Times New Roman" w:hAnsi="Times New Roman" w:cs="Times New Roman"/>
          <w:sz w:val="24"/>
          <w:szCs w:val="24"/>
        </w:rPr>
        <w:fldChar w:fldCharType="begin" w:fldLock="1"/>
      </w:r>
      <w:r w:rsidR="00BE3B6C" w:rsidRPr="007C6E3B">
        <w:rPr>
          <w:rFonts w:ascii="Times New Roman" w:hAnsi="Times New Roman" w:cs="Times New Roman"/>
          <w:sz w:val="24"/>
          <w:szCs w:val="24"/>
        </w:rPr>
        <w:instrText>ADDIN CSL_CITATION {"citationItems":[{"id":"ITEM-1","itemData":{"DOI":"10.3109/0142159X.2014.889814","ISBN":"1466-187X (Electronic)\\r0142-159X (Linking)","ISSN":"1466187X","PMID":"24661014","abstract":"In this AMEE Guide, we consider the design and development of self-administered surveys, commonly called questionnaires. Questionnaires are widely employed in medical education research. Unfortunately, the processes used to develop such questionnaires vary in quality and lack consistent, rigorous standards. Consequently, the quality of the questionnaires used in medical education research is highly variable. To address this problem, this AMEE Guide presents a systematic, seven-step process for designing high-quality questionnaires, with particular emphasis on developing survey scales. These seven steps do not address all aspects of survey design, nor do they represent the only way to develop a high-quality questionnaire. Instead, these steps synthesize multiple survey design techniques and organize them into a cohesive process for questionnaire developers of all levels. Addressing each of these steps systematically will improve the probabilities that survey designers will accurately measure what they intend to measure.","author":[{"dropping-particle":"","family":"Artino","given":"Anthony R.","non-dropping-particle":"","parse-names":false,"suffix":""},{"dropping-particle":"","family":"Rochelle","given":"Jeffrey S.","non-dropping-particle":"La","parse-names":false,"suffix":""},{"dropping-particle":"","family":"Dezee","given":"Kent J.","non-dropping-particle":"","parse-names":false,"suffix":""},{"dropping-particle":"","family":"Gehlbach","given":"Hunter","non-dropping-particle":"","parse-names":false,"suffix":""}],"container-title":"Medical Teacher","id":"ITEM-1","issue":"6","issued":{"date-parts":[["2014"]]},"page":"463-474","title":"Developing questionnaires for educational research: AMEE Guide No. 87","type":"article-journal","volume":"36"},"uris":["http://www.mendeley.com/documents/?uuid=f8561e3a-4949-4240-9249-3dd96cd8f32c"]}],"mendeley":{"formattedCitation":"(Artino &lt;i&gt;et al.&lt;/i&gt;, 2014)","plainTextFormattedCitation":"(Artino et al., 2014)","previouslyFormattedCitation":"(Artino et al. 2014)"},"properties":{"noteIndex":0},"schema":"https://github.com/citation-style-language/schema/raw/master/csl-citation.json"}</w:instrText>
      </w:r>
      <w:r w:rsidRPr="007C6E3B">
        <w:rPr>
          <w:rFonts w:ascii="Times New Roman" w:hAnsi="Times New Roman" w:cs="Times New Roman"/>
          <w:sz w:val="24"/>
          <w:szCs w:val="24"/>
        </w:rPr>
        <w:fldChar w:fldCharType="separate"/>
      </w:r>
      <w:r w:rsidR="00BE3B6C" w:rsidRPr="007C6E3B">
        <w:rPr>
          <w:rFonts w:ascii="Times New Roman" w:hAnsi="Times New Roman" w:cs="Times New Roman"/>
          <w:noProof/>
          <w:sz w:val="24"/>
          <w:szCs w:val="24"/>
        </w:rPr>
        <w:t>(Artino et al. 2014)</w:t>
      </w:r>
      <w:r w:rsidRPr="007C6E3B">
        <w:rPr>
          <w:rFonts w:ascii="Times New Roman" w:hAnsi="Times New Roman" w:cs="Times New Roman"/>
          <w:sz w:val="24"/>
          <w:szCs w:val="24"/>
        </w:rPr>
        <w:fldChar w:fldCharType="end"/>
      </w:r>
      <w:r w:rsidRPr="007C6E3B">
        <w:rPr>
          <w:rFonts w:ascii="Times New Roman" w:hAnsi="Times New Roman" w:cs="Times New Roman"/>
          <w:sz w:val="24"/>
          <w:szCs w:val="24"/>
        </w:rPr>
        <w:t xml:space="preserve">. Indeed, questionnaires are particularly useful for gathering data about concepts that can be difficult to quantify, such as beliefs, attitudes and opinions. To this end, they have been used extensively in the evaluation of WBAs in medical and dental education </w:t>
      </w:r>
      <w:r w:rsidRPr="007C6E3B">
        <w:rPr>
          <w:rFonts w:ascii="Times New Roman" w:hAnsi="Times New Roman" w:cs="Times New Roman"/>
          <w:sz w:val="24"/>
          <w:szCs w:val="24"/>
        </w:rPr>
        <w:fldChar w:fldCharType="begin" w:fldLock="1"/>
      </w:r>
      <w:r w:rsidR="00BE3B6C" w:rsidRPr="007C6E3B">
        <w:rPr>
          <w:rFonts w:ascii="Times New Roman" w:hAnsi="Times New Roman" w:cs="Times New Roman"/>
          <w:sz w:val="24"/>
          <w:szCs w:val="24"/>
        </w:rPr>
        <w:instrText>ADDIN CSL_CITATION {"citationItems":[{"id":"ITEM-1","itemData":{"DOI":"10.1136/jclinpath-2012-200682","ISSN":"0021-9746","PMID":"22447913","abstract":"AIMS: This pilot study of the direct observation of practical skills (DOPS) assessment of histopathology trainees is needed in the absence of existing information on histopathology in the UK. The aim of the study was to explore the experiences and perceptions of trainers in using the DOPS tool with histopathology trainees.\\n\\nMETHODS: A qualitative approach was taken using paper-based questionnaires to consultants in a single teaching hospital histopathology department.\\n\\nRESULTS: DOPS was perceived by all trainers as a valid form of assessment. There was a spread of opinion regarding its feasibility, with some respondents raising concern about its impact on time. 28% of respondents were doubtful about the formative nature of DOPS. All stated the assessment was fair.\\n\\nCONCLUSIONS: Themes that have emerged include concerns about impact on trainer time, whether DOPS is used in a formative manner and concerns about the amount of guidance provided to trainers. Further research is required to expand on these points.","author":[{"dropping-particle":"","family":"Finall","given":"a.","non-dropping-particle":"","parse-names":false,"suffix":""}],"container-title":"Journal of Clinical Pathology","id":"ITEM-1","issue":"6","issued":{"date-parts":[["2012"]]},"page":"538-540","title":"Trainers' perceptions of the direct observation of practical skills assessment in histopathology training: a qualitative pilot study","type":"article-journal","volume":"65"},"uris":["http://www.mendeley.com/documents/?uuid=7c0487ff-dfc1-4046-b55b-fa56b928ebe2"]},{"id":"ITEM-2","itemData":{"DOI":"10.1038/sj.bdj.2011.681","ISBN":"0007-0610","ISSN":"1476-5373","PMID":"21869769","abstract":"Objective The aims of this survey were to evaluate the effectiveness of workplace based assessments (WPAs) in dental foundation training (formerly vocational training [VT]).Methods Two online questionnaire surveys were sent to 53 foundation dental practitioners (FDPs) and their 51 trainers in the Mersey Deanery at month four and month nine of the one year of dental foundation training. The questionnaires investigated the effectiveness of and trainers' and trainees' satisfaction with the WPAs used in foundation training, namely dental evaluation of performance (D-EPs), case-based discussions (DcBD) and patients' assessment questionnaires (PAQs). The questionnaires also investigated the perceived impact of reflection and feedback associated with WPAs on clinical practise and improving patient care.Results A total of 41 (7.4%) FDPs and 44 (86.3%) trainers responded. Of the 41 FDPs, the majority found that feedback from WPAs had a positive effect on their training, giving them insight into their development needs. Overall 84.1% of the FDPs felt the WPAs helped them improve patient care and 82.5% of trainers agreed with that outcome.Conclusions The findings from this study demonstrate the value of WPAs in dental foundation training by the use of feedback and reflection in directing the learning of foundation dental practitioners and that this can lead to improved clinical practise and patient care.","author":[{"dropping-particle":"","family":"Grieveson","given":"B","non-dropping-particle":"","parse-names":false,"suffix":""},{"dropping-particle":"","family":"Kirton","given":"J a","non-dropping-particle":"","parse-names":false,"suffix":""},{"dropping-particle":"","family":"Palmer","given":"N O a","non-dropping-particle":"","parse-names":false,"suffix":""},{"dropping-particle":"","family":"Balmer","given":"M C","non-dropping-particle":"","parse-names":false,"suffix":""}],"container-title":"British dental journal","id":"ITEM-2","issue":"4","issued":{"date-parts":[["2011"]]},"page":"E8","title":"Evaluation of workplace based assessment tools in dental foundation training.","type":"article-journal","volume":"211"},"uris":["http://www.mendeley.com/documents/?uuid=8e346649-8069-4545-88d0-b67ecf21ff81"]},{"id":"ITEM-3","itemData":{"DOI":"10.1111/j.1365-2923.2008.03010.x","ISBN":"1365-2923","ISSN":"1365-2923","PMID":"18338989","abstract":"OBJECTIVES: To evaluate the reliability and feasibility of assessing the performance of medical specialist registrars (SpRs) using three methods: the mini-clinical evaluation exercise (mini-CEX), directly observed procedural skills (DOPS) and multi-source feedback (MSF) to help inform annual decisions about the outcome of SpR training.\\n\\nMETHODS: We conducted a feasibility study and generalisability analysis based on the application of these assessment methods and the resulting data. A total of 230 SpRs (from 17 specialties) in 58 UK hospitals took part from 2003 to 2004. Main outcome measures included: time taken for each assessment, and variance component analysis of mean scores and derivation of 95% confidence intervals for individual doctors' scores based on the standard error of measurement. Responses to direct questions on questionnaires were analysed, as were the themes emerging from open-comment responses.\\n\\nRESULTS: The methods can provide reliable scores with appropriate sampling. In our sample, all trainees who completed the number of assessments recommended by the Royal Colleges of Physicians had scores that were 95% certain to be better than unsatisfactory. The mean time taken to complete the mini-CEX (including feedback) was 25 minutes. The DOPS required the duration of the procedure being assessed plus an additional third of this time for feedback. The mean time required for each rater to complete his or her MSF form was 6 minutes.\\n\\nCONCLUSIONS: This is the first attempt to evaluate the use of comprehensive workplace assessment across the medical specialties in the UK. The methods are feasible to conduct and can make reliable distinctions between doctors' performances. With adaptation, they may be appropriate for assessing the workplace performance of other grades and specialties of doctor. This may be helpful in informing foundation assessment.","author":[{"dropping-particle":"","family":"Wilkinson","given":"James R","non-dropping-particle":"","parse-names":false,"suffix":""},{"dropping-particle":"","family":"Crossley","given":"James G M","non-dropping-particle":"","parse-names":false,"suffix":""},{"dropping-particle":"","family":"Wragg","given":"Andrew","non-dropping-particle":"","parse-names":false,"suffix":""},{"dropping-particle":"","family":"Mills","given":"Peter","non-dropping-particle":"","parse-names":false,"suffix":""},{"dropping-particle":"","family":"Cowan","given":"George","non-dropping-particle":"","parse-names":false,"suffix":""},{"dropping-particle":"","family":"Wade","given":"Winnie","non-dropping-particle":"","parse-names":false,"suffix":""}],"container-title":"Medical education","id":"ITEM-3","issue":"4","issued":{"date-parts":[["2008"]]},"page":"364-73","title":"Implementing workplace-based assessment across the medical specialties in the United Kingdom.","type":"article-journal","volume":"42"},"uris":["http://www.mendeley.com/documents/?uuid=75e220b7-eb09-4dac-82c0-ba62d397d97b"]},{"id":"ITEM-4","itemData":{"DOI":"10.1007/s10459-008-9104-8","ISBN":"1382-4996","ISSN":"13824996","PMID":"18306052","abstract":"To investigate the reliability and feasibility of six potential workplace-based assessment methods in general practice training: criterion audit, multi-source feedback from clinical and non-clinical colleagues, patient feedback (the CARE Measure), referral letters, significant event analysis, and video analysis of consultations. Performance of GP registrars (trainees) was evaluated with each tool to assess the reliabilities of the tools and feasibility, given raters and number of assessments needed. Participant experience of process determined by questionnaire. 171 GP registrars and their trainers, drawn from nine deaneries (representing all four countries in the UK), participated. The ability of each tool to differentiate between doctors (reliability) was assessed using generalisability theory. Decision studies were then conducted to determine the number of observations required to achieve an acceptably high reliability for \"high-stakes assessment\" using each instrument. Finally, descriptive statistics were used to summarise participants' ratings of their experience using these tools. Multi-source feedback from colleagues and patient feedback on consultations emerged as the two methods most likely to offer a reliable and feasible opinion of workplace performance. Reliability co-efficients of 0.8 were attainable with 41 CARE Measure patient questionnaires and six clinical and/or five non-clinical colleagues per doctor when assessed on two occasions. For the other four methods tested, 10 or more assessors were required per doctor in order to achieve a reliable assessment, making the feasibility of their use in high-stakes assessment extremely low. Participant feedback did not raise any major concerns regarding the acceptability, feasibility, or educational impact of the tools. The combination of patient and colleague views of doctors' performance, coupled with reliable competence measures, may offer a suitable evidence-base on which to monitor progress and completion of doctors' training in general practice.","author":[{"dropping-particle":"","family":"Murphy DJ","given":"","non-dropping-particle":"","parse-names":false,"suffix":""},{"dropping-particle":"","family":"Bruce DA","given":"","non-dropping-particle":"","parse-names":false,"suffix":""},{"dropping-particle":"","family":"Mercer SW","given":"","non-dropping-particle":"","parse-names":false,"suffix":""},{"dropping-particle":"","family":"Eva KW.","given":"","non-dropping-particle":"","parse-names":false,"suffix":""},{"dropping-particle":"","family":"Murphy","given":"Douglas J.","non-dropping-particle":"","parse-names":false,"suffix":""},{"dropping-particle":"","family":"Bruce","given":"David a.","non-dropping-particle":"","parse-names":false,"suffix":""},{"dropping-particle":"","family":"Mercer","given":"Stewart W.","non-dropping-particle":"","parse-names":false,"suffix":""},{"dropping-particle":"","family":"Eva","given":"Kevin W.","non-dropping-particle":"","parse-names":false,"suffix":""}],"container-title":"Advances in Health Sciences Education","id":"ITEM-4","issue":"2","issued":{"date-parts":[["2009"]]},"page":"219-232","title":"The reliability of workplace-based assessment in postgraduate medical education and training: A national evaluation in general practice in the United Kingdom","type":"article-journal","volume":"14"},"uris":["http://www.mendeley.com/documents/?uuid=9e7200b4-51d3-4f22-a4b2-89e6ec39126e"]},{"id":"ITEM-5","itemData":{"DOI":"10.1258/jrsm.2009.080398","ISBN":"1758-1095; 0141-0768","ISSN":"0141-0768","PMID":"19734525","abstract":"Summary: Objectives: An online workplace-based assessment tool, the Intercollegiate Surgical Curriculum Programme (ISCP), has become mandatory for all British surgical trainees appointed since August 2007. A compulsory £125 annual trainee fee has also been introduced to fund its running costs. The study sought to evaluate user satisfaction with the ISCP. Design and setting: A total of 539 users across all surgical specialties (including 122 surgeons acting as assessors) were surveyed in late 2008 by online questionnaire regarding their experiences with the ISCP. Results: Sixty-seven percent had used the tool for at least one year. It was rated above average by only 6% for its registration process and only 11% for recording meetings and objectives. Forty-nine percent described its online assessments as poor or very poor, only 9% considering them good or very good. Seventy-nine percent rated the website's user friendliness as average or worse, as did 72% its peer-assessment tool and 61% its logbook of procedures. Seventy-six percent of respondents had carried out paper assessments due to difficulties using the website. Six percent stated that the ISCP had impacted negatively on their training opportunities, 41% reporting a negative impact overall upon their training; only 6% reported a positive impact. Ninety-four percent did not consider the trainee fee good value, only 2% believing it should be paid by the trainee. Conclusions: The performance of the ISCP leaves large numbers of British surgeons unsatisfied. Its assessments lack appropriate evidence of validity and its introduction has been problematic. With reducing training hours, the increased online bureaucratic burden exacerbates low morale of trainees and trainers, adversely impacting potentially upon both competency and productivity.","author":[{"dropping-particle":"","family":"Pereira","given":"Erlick AC","non-dropping-particle":"","parse-names":false,"suffix":""},{"dropping-particle":"","family":"Dean","given":"Benjamin JF","non-dropping-particle":"","parse-names":false,"suffix":""}],"container-title":"Journal of the Royal Society of Medicine","id":"ITEM-5","issued":{"date-parts":[["2009"]]},"page":"357-358","title":"British surgeons' experiences of mandatory online workplace-based assessment--reply to authors.","type":"article-journal","volume":"102"},"uris":["http://www.mendeley.com/documents/?uuid=d8a3d5b6-e91c-45ce-9526-1a6e3f940eb6"]},{"id":"ITEM-6","itemData":{"DOI":"10.1038/sj.bdj.2013.302","ISBN":"1476-5373 (Electronic)\\n0007-0610 (Linking)","ISSN":"1476-5373","PMID":"23518981","abstract":"A questionnaire study was undertaken with trainers and trainees from 12 deaneries in England and Northern Ireland in June 2010 to evaluate workplace-based assessments (WPBAs) in foundation training. From the sample consisting of 741 trainers and 643 foundation trainees, experience of WPBAs was positive overall, playing an important role in trainees' learning during foundation training and building confidence. However, there is a need for comprehensive training in the WPBA tools used to ensure their efficacy.","author":[{"dropping-particle":"","family":"Kirton","given":"J. a","non-dropping-particle":"","parse-names":false,"suffix":""},{"dropping-particle":"","family":"Palmer","given":"N. O. a","non-dropping-particle":"","parse-names":false,"suffix":""},{"dropping-particle":"","family":"Grieveson","given":"B.","non-dropping-particle":"","parse-names":false,"suffix":""},{"dropping-particle":"","family":"Balmer","given":"M. C","non-dropping-particle":"","parse-names":false,"suffix":""}],"container-title":"British Dental Journal","id":"ITEM-6","issue":"6","issued":{"date-parts":[["2013"]]},"page":"305-309","title":"A national evaluation of workplace-based assessment tools (WPBAs) in foundation dental training: a UK study. Effective and useful but do they provide an equitable training experience?","type":"article-journal","volume":"214"},"uris":["http://www.mendeley.com/documents/?uuid=a84297a9-5970-47f6-9d0d-a802ff983e3c"]}],"mendeley":{"formattedCitation":"(Wilkinson &lt;i&gt;et al.&lt;/i&gt;, 2008; Murphy DJ &lt;i&gt;et al.&lt;/i&gt;, 2009; Pereira and Dean, 2009; Grieveson &lt;i&gt;et al.&lt;/i&gt;, 2011; Finall, 2012; Kirton &lt;i&gt;et al.&lt;/i&gt;, 2013)","plainTextFormattedCitation":"(Wilkinson et al., 2008; Murphy DJ et al., 2009; Pereira and Dean, 2009; Grieveson et al., 2011; Finall, 2012; Kirton et al., 2013)","previouslyFormattedCitation":"( a. Finall 2012; Grieveson et al. 2011; Wilkinson et al. 2008; Murphy DJ et al. 2009; Pereira and Dean 2009; Kirton et al. 2013)"},"properties":{"noteIndex":0},"schema":"https://github.com/citation-style-language/schema/raw/master/csl-citation.json"}</w:instrText>
      </w:r>
      <w:r w:rsidRPr="007C6E3B">
        <w:rPr>
          <w:rFonts w:ascii="Times New Roman" w:hAnsi="Times New Roman" w:cs="Times New Roman"/>
          <w:sz w:val="24"/>
          <w:szCs w:val="24"/>
        </w:rPr>
        <w:fldChar w:fldCharType="separate"/>
      </w:r>
      <w:r w:rsidR="00BE3B6C" w:rsidRPr="007C6E3B">
        <w:rPr>
          <w:rFonts w:ascii="Times New Roman" w:hAnsi="Times New Roman" w:cs="Times New Roman"/>
          <w:noProof/>
          <w:sz w:val="24"/>
          <w:szCs w:val="24"/>
        </w:rPr>
        <w:t>(Wilkinson et al.</w:t>
      </w:r>
      <w:r w:rsidR="007C6E3B">
        <w:rPr>
          <w:rFonts w:ascii="Times New Roman" w:hAnsi="Times New Roman" w:cs="Times New Roman"/>
          <w:noProof/>
          <w:sz w:val="24"/>
          <w:szCs w:val="24"/>
        </w:rPr>
        <w:t xml:space="preserve"> 2008; Murphy </w:t>
      </w:r>
      <w:r w:rsidR="00BE3B6C" w:rsidRPr="007C6E3B">
        <w:rPr>
          <w:rFonts w:ascii="Times New Roman" w:hAnsi="Times New Roman" w:cs="Times New Roman"/>
          <w:noProof/>
          <w:sz w:val="24"/>
          <w:szCs w:val="24"/>
        </w:rPr>
        <w:t>et al.</w:t>
      </w:r>
      <w:r w:rsidR="007C6E3B">
        <w:rPr>
          <w:rFonts w:ascii="Times New Roman" w:hAnsi="Times New Roman" w:cs="Times New Roman"/>
          <w:noProof/>
          <w:sz w:val="24"/>
          <w:szCs w:val="24"/>
        </w:rPr>
        <w:t xml:space="preserve"> 2009; Pereira and Dean</w:t>
      </w:r>
      <w:r w:rsidR="00BE3B6C" w:rsidRPr="007C6E3B">
        <w:rPr>
          <w:rFonts w:ascii="Times New Roman" w:hAnsi="Times New Roman" w:cs="Times New Roman"/>
          <w:noProof/>
          <w:sz w:val="24"/>
          <w:szCs w:val="24"/>
        </w:rPr>
        <w:t xml:space="preserve"> 2009; Grieveson et al.</w:t>
      </w:r>
      <w:r w:rsidR="007C6E3B">
        <w:rPr>
          <w:rFonts w:ascii="Times New Roman" w:hAnsi="Times New Roman" w:cs="Times New Roman"/>
          <w:noProof/>
          <w:sz w:val="24"/>
          <w:szCs w:val="24"/>
        </w:rPr>
        <w:t xml:space="preserve"> 2011; Finall</w:t>
      </w:r>
      <w:r w:rsidR="00BE3B6C" w:rsidRPr="007C6E3B">
        <w:rPr>
          <w:rFonts w:ascii="Times New Roman" w:hAnsi="Times New Roman" w:cs="Times New Roman"/>
          <w:noProof/>
          <w:sz w:val="24"/>
          <w:szCs w:val="24"/>
        </w:rPr>
        <w:t xml:space="preserve"> 2012; Kirton et al. 2013)</w:t>
      </w:r>
      <w:r w:rsidRPr="007C6E3B">
        <w:rPr>
          <w:rFonts w:ascii="Times New Roman" w:hAnsi="Times New Roman" w:cs="Times New Roman"/>
          <w:sz w:val="24"/>
          <w:szCs w:val="24"/>
        </w:rPr>
        <w:fldChar w:fldCharType="end"/>
      </w:r>
      <w:r w:rsidRPr="007C6E3B">
        <w:rPr>
          <w:rFonts w:ascii="Times New Roman" w:hAnsi="Times New Roman" w:cs="Times New Roman"/>
          <w:sz w:val="24"/>
          <w:szCs w:val="24"/>
        </w:rPr>
        <w:t>.  An online questionnaire was chosen</w:t>
      </w:r>
      <w:r w:rsidR="002C17BA" w:rsidRPr="007C6E3B">
        <w:rPr>
          <w:rFonts w:ascii="Times New Roman" w:hAnsi="Times New Roman" w:cs="Times New Roman"/>
          <w:sz w:val="24"/>
          <w:szCs w:val="24"/>
        </w:rPr>
        <w:t xml:space="preserve"> to achieve the objectives of</w:t>
      </w:r>
      <w:r w:rsidRPr="007C6E3B">
        <w:rPr>
          <w:rFonts w:ascii="Times New Roman" w:hAnsi="Times New Roman" w:cs="Times New Roman"/>
          <w:sz w:val="24"/>
          <w:szCs w:val="24"/>
        </w:rPr>
        <w:t xml:space="preserve"> this first study for a number of reasons</w:t>
      </w:r>
      <w:r w:rsidR="004F229C" w:rsidRPr="007C6E3B">
        <w:rPr>
          <w:rFonts w:ascii="Times New Roman" w:hAnsi="Times New Roman" w:cs="Times New Roman"/>
          <w:sz w:val="24"/>
          <w:szCs w:val="24"/>
        </w:rPr>
        <w:t>.</w:t>
      </w:r>
    </w:p>
    <w:p w14:paraId="3D2B683D" w14:textId="77777777" w:rsidR="00863DF5" w:rsidRPr="006F3B00" w:rsidRDefault="00863DF5" w:rsidP="001A1FF3">
      <w:pPr>
        <w:pStyle w:val="ListParagraph"/>
        <w:numPr>
          <w:ilvl w:val="0"/>
          <w:numId w:val="23"/>
        </w:numPr>
        <w:spacing w:line="480" w:lineRule="auto"/>
        <w:rPr>
          <w:rFonts w:ascii="Times New Roman" w:hAnsi="Times New Roman" w:cs="Times New Roman"/>
          <w:sz w:val="24"/>
          <w:szCs w:val="24"/>
        </w:rPr>
      </w:pPr>
      <w:r w:rsidRPr="007C6E3B">
        <w:rPr>
          <w:rFonts w:ascii="Times New Roman" w:hAnsi="Times New Roman" w:cs="Times New Roman"/>
          <w:sz w:val="24"/>
          <w:szCs w:val="24"/>
        </w:rPr>
        <w:t>The target population was geographically dispersed and</w:t>
      </w:r>
      <w:r w:rsidRPr="006F3B00">
        <w:rPr>
          <w:rFonts w:ascii="Times New Roman" w:hAnsi="Times New Roman" w:cs="Times New Roman"/>
          <w:sz w:val="24"/>
          <w:szCs w:val="24"/>
        </w:rPr>
        <w:t xml:space="preserve"> best reached via online means</w:t>
      </w:r>
    </w:p>
    <w:p w14:paraId="454AC972" w14:textId="77777777" w:rsidR="00863DF5" w:rsidRPr="006F3B00" w:rsidRDefault="00863DF5" w:rsidP="001A1FF3">
      <w:pPr>
        <w:pStyle w:val="ListParagraph"/>
        <w:numPr>
          <w:ilvl w:val="0"/>
          <w:numId w:val="23"/>
        </w:numPr>
        <w:spacing w:line="480" w:lineRule="auto"/>
        <w:rPr>
          <w:rFonts w:ascii="Times New Roman" w:hAnsi="Times New Roman" w:cs="Times New Roman"/>
          <w:sz w:val="24"/>
          <w:szCs w:val="24"/>
        </w:rPr>
      </w:pPr>
      <w:r w:rsidRPr="006F3B00">
        <w:rPr>
          <w:rFonts w:ascii="Times New Roman" w:hAnsi="Times New Roman" w:cs="Times New Roman"/>
          <w:sz w:val="24"/>
          <w:szCs w:val="24"/>
        </w:rPr>
        <w:t>The target population was large meaning the method had to be easily administered and data easily analysed</w:t>
      </w:r>
    </w:p>
    <w:p w14:paraId="611EF9B9" w14:textId="77777777" w:rsidR="00863DF5" w:rsidRPr="006F3B00" w:rsidRDefault="00863DF5" w:rsidP="001A1FF3">
      <w:pPr>
        <w:pStyle w:val="ListParagraph"/>
        <w:numPr>
          <w:ilvl w:val="0"/>
          <w:numId w:val="23"/>
        </w:num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Anonymity would allow participants to express opinions freely </w:t>
      </w:r>
    </w:p>
    <w:p w14:paraId="7C5F09D7" w14:textId="77777777" w:rsidR="00863DF5" w:rsidRPr="006F3B00" w:rsidRDefault="00863DF5" w:rsidP="001A1FF3">
      <w:pPr>
        <w:pStyle w:val="ListParagraph"/>
        <w:numPr>
          <w:ilvl w:val="0"/>
          <w:numId w:val="23"/>
        </w:num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Respondents could respond at their leisure which can be important for busy NHS employees </w:t>
      </w:r>
    </w:p>
    <w:p w14:paraId="650982ED" w14:textId="41690665" w:rsidR="00863DF5" w:rsidRPr="006F3B00" w:rsidRDefault="00DE62D9" w:rsidP="002F1F09">
      <w:pPr>
        <w:pStyle w:val="Heading3"/>
        <w:rPr>
          <w:rFonts w:ascii="Times New Roman" w:hAnsi="Times New Roman" w:cs="Times New Roman"/>
          <w:color w:val="auto"/>
          <w:sz w:val="24"/>
          <w:szCs w:val="24"/>
        </w:rPr>
      </w:pPr>
      <w:bookmarkStart w:id="66" w:name="_Toc23243795"/>
      <w:r>
        <w:rPr>
          <w:rFonts w:ascii="Times New Roman" w:hAnsi="Times New Roman" w:cs="Times New Roman"/>
          <w:color w:val="auto"/>
          <w:sz w:val="24"/>
          <w:szCs w:val="24"/>
        </w:rPr>
        <w:lastRenderedPageBreak/>
        <w:t>3.3</w:t>
      </w:r>
      <w:r w:rsidR="002F1F09" w:rsidRPr="006F3B00">
        <w:rPr>
          <w:rFonts w:ascii="Times New Roman" w:hAnsi="Times New Roman" w:cs="Times New Roman"/>
          <w:color w:val="auto"/>
          <w:sz w:val="24"/>
          <w:szCs w:val="24"/>
        </w:rPr>
        <w:t xml:space="preserve">.2 </w:t>
      </w:r>
      <w:r w:rsidR="00863DF5" w:rsidRPr="006F3B00">
        <w:rPr>
          <w:rFonts w:ascii="Times New Roman" w:hAnsi="Times New Roman" w:cs="Times New Roman"/>
          <w:color w:val="auto"/>
          <w:sz w:val="24"/>
          <w:szCs w:val="24"/>
        </w:rPr>
        <w:t>Design</w:t>
      </w:r>
      <w:bookmarkEnd w:id="66"/>
    </w:p>
    <w:p w14:paraId="38F0A7D2" w14:textId="77777777" w:rsidR="002F1F09" w:rsidRPr="006F3B00" w:rsidRDefault="002F1F09" w:rsidP="002F1F09">
      <w:pPr>
        <w:rPr>
          <w:rFonts w:ascii="Times New Roman" w:hAnsi="Times New Roman" w:cs="Times New Roman"/>
          <w:sz w:val="24"/>
          <w:szCs w:val="24"/>
          <w:lang w:val="en-GB"/>
        </w:rPr>
      </w:pPr>
    </w:p>
    <w:p w14:paraId="03630872" w14:textId="6FAF4EE2" w:rsidR="00863DF5" w:rsidRPr="006F3B00" w:rsidRDefault="002C17BA" w:rsidP="00863DF5">
      <w:pPr>
        <w:spacing w:line="480" w:lineRule="auto"/>
        <w:rPr>
          <w:rFonts w:ascii="Times New Roman" w:hAnsi="Times New Roman" w:cs="Times New Roman"/>
          <w:sz w:val="24"/>
          <w:szCs w:val="24"/>
        </w:rPr>
      </w:pPr>
      <w:r>
        <w:rPr>
          <w:rFonts w:ascii="Times New Roman" w:hAnsi="Times New Roman" w:cs="Times New Roman"/>
          <w:sz w:val="24"/>
          <w:szCs w:val="24"/>
        </w:rPr>
        <w:t>The q</w:t>
      </w:r>
      <w:r w:rsidR="00863DF5" w:rsidRPr="006F3B00">
        <w:rPr>
          <w:rFonts w:ascii="Times New Roman" w:hAnsi="Times New Roman" w:cs="Times New Roman"/>
          <w:sz w:val="24"/>
          <w:szCs w:val="24"/>
        </w:rPr>
        <w:t>uestions</w:t>
      </w:r>
      <w:r>
        <w:rPr>
          <w:rFonts w:ascii="Times New Roman" w:hAnsi="Times New Roman" w:cs="Times New Roman"/>
          <w:sz w:val="24"/>
          <w:szCs w:val="24"/>
        </w:rPr>
        <w:t xml:space="preserve"> used</w:t>
      </w:r>
      <w:r w:rsidR="00863DF5" w:rsidRPr="006F3B00">
        <w:rPr>
          <w:rFonts w:ascii="Times New Roman" w:hAnsi="Times New Roman" w:cs="Times New Roman"/>
          <w:sz w:val="24"/>
          <w:szCs w:val="24"/>
        </w:rPr>
        <w:t xml:space="preserve"> were derived from themes identified in the literature regarding the experience of using WBAs in other medical and dental specialties including their perceived usefulness, purpose and number required </w:t>
      </w:r>
      <w:r w:rsidR="00863DF5"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review.","type":"article-journal","volume":"341"},"uris":["http://www.mendeley.com/documents/?uuid=5e467429-f82f-4917-86e6-acac1998e2e3"]},{"id":"ITEM-2","itemData":{"abstract":"issue and outcome Assessment is a key component of learning in the clinical environment. It is necessary in the first place to help trainees learn and develop, and secondly to provide evidence for their progression in the competencies required. Proposals for discussion in this paper include the introduction of new terminology to distinguish between two purposes of assessment. The first is assessment used for feeding back on progress (formative) through Supervised Learning Events (SLEs). The second is assessment used to determine progress (summative) which would be referred to as Assessments of Performance (AoPs). This discussion document presents themes for discussion and future development of assessment. It suggests a direction of travel and intends to prompt discussion. Meanwhile the GMC's regulatory standards remain those set out in Tomorrow's Doctors, The Trainee Doctor and Standards for Curricula and Assessment Systems. By 2013, the GMC will begin a fundamental review of our standards to ensure that they are fit for purpose.","author":[{"dropping-particle":"","family":"The General Medical Council","given":"","non-dropping-particle":"","parse-names":false,"suffix":""}],"container-title":"The General Medical Council","id":"ITEM-2","issue":"November","issued":{"date-parts":[["2011"]]},"title":"Learning and assessment in the clinical environment: the way forward – November 2011","type":"article-journal"},"uris":["http://www.mendeley.com/documents/?uuid=db053de8-ca89-4608-9a46-94ca8bdb0ac9"]},{"id":"ITEM-3","itemData":{"DOI":"10.3109/0142159X.2011.558140","ISBN":"1466-187X","ISSN":"0142-159X","PMID":"22022902","abstract":"BACKGROUND: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Teacher","id":"ITEM-3","issued":{"date-parts":[["2011"]]},"page":"919-927","title":"Trainee doctors’ views on workplace-based assessments: Are they just a tick box exercise?","type":"article-journal","volume":"33"},"uris":["http://www.mendeley.com/documents/?uuid=0cf9d153-6e01-4ac8-856e-d3f58aea7621"]}],"mendeley":{"formattedCitation":"(Miller and Archer, 2010; Bindal, Wall and Goodyear, 2011; The General Medical Council, 2011)","plainTextFormattedCitation":"(Miller and Archer, 2010; Bindal, Wall and Goodyear, 2011; The General Medical Council, 2011)","previouslyFormattedCitation":"(A. Miller and Archer 2010; The General Medical Council 2011; Bindal, Wall, and Goodyear 2011)"},"properties":{"noteIndex":0},"schema":"https://github.com/citation-style-language/schema/raw/master/csl-citation.json"}</w:instrText>
      </w:r>
      <w:r w:rsidR="00863DF5" w:rsidRPr="006F3B00">
        <w:rPr>
          <w:rFonts w:ascii="Times New Roman" w:hAnsi="Times New Roman" w:cs="Times New Roman"/>
          <w:sz w:val="24"/>
          <w:szCs w:val="24"/>
        </w:rPr>
        <w:fldChar w:fldCharType="separate"/>
      </w:r>
      <w:r w:rsidR="007C6E3B">
        <w:rPr>
          <w:rFonts w:ascii="Times New Roman" w:hAnsi="Times New Roman" w:cs="Times New Roman"/>
          <w:noProof/>
          <w:sz w:val="24"/>
          <w:szCs w:val="24"/>
        </w:rPr>
        <w:t>(Miller and Archer 2010; Bindal</w:t>
      </w:r>
      <w:r w:rsidR="00BE3B6C" w:rsidRPr="00BE3B6C">
        <w:rPr>
          <w:rFonts w:ascii="Times New Roman" w:hAnsi="Times New Roman" w:cs="Times New Roman"/>
          <w:noProof/>
          <w:sz w:val="24"/>
          <w:szCs w:val="24"/>
        </w:rPr>
        <w:t xml:space="preserve"> Wall </w:t>
      </w:r>
      <w:r w:rsidR="00ED6756">
        <w:rPr>
          <w:rFonts w:ascii="Times New Roman" w:hAnsi="Times New Roman" w:cs="Times New Roman"/>
          <w:noProof/>
          <w:sz w:val="24"/>
          <w:szCs w:val="24"/>
        </w:rPr>
        <w:t>and Goodyear</w:t>
      </w:r>
      <w:r w:rsidR="00BE3B6C" w:rsidRPr="00BE3B6C">
        <w:rPr>
          <w:rFonts w:ascii="Times New Roman" w:hAnsi="Times New Roman" w:cs="Times New Roman"/>
          <w:noProof/>
          <w:sz w:val="24"/>
          <w:szCs w:val="24"/>
        </w:rPr>
        <w:t xml:space="preserve"> 20</w:t>
      </w:r>
      <w:r w:rsidR="007C6E3B">
        <w:rPr>
          <w:rFonts w:ascii="Times New Roman" w:hAnsi="Times New Roman" w:cs="Times New Roman"/>
          <w:noProof/>
          <w:sz w:val="24"/>
          <w:szCs w:val="24"/>
        </w:rPr>
        <w:t>11; The General Medical Council</w:t>
      </w:r>
      <w:r w:rsidR="00BE3B6C" w:rsidRPr="00BE3B6C">
        <w:rPr>
          <w:rFonts w:ascii="Times New Roman" w:hAnsi="Times New Roman" w:cs="Times New Roman"/>
          <w:noProof/>
          <w:sz w:val="24"/>
          <w:szCs w:val="24"/>
        </w:rPr>
        <w:t xml:space="preserve"> 2011)</w:t>
      </w:r>
      <w:r w:rsidR="00863DF5" w:rsidRPr="006F3B00">
        <w:rPr>
          <w:rFonts w:ascii="Times New Roman" w:hAnsi="Times New Roman" w:cs="Times New Roman"/>
          <w:sz w:val="24"/>
          <w:szCs w:val="24"/>
        </w:rPr>
        <w:fldChar w:fldCharType="end"/>
      </w:r>
      <w:r w:rsidR="00863DF5" w:rsidRPr="006F3B00">
        <w:rPr>
          <w:rFonts w:ascii="Times New Roman" w:hAnsi="Times New Roman" w:cs="Times New Roman"/>
          <w:sz w:val="24"/>
          <w:szCs w:val="24"/>
        </w:rPr>
        <w:t>. In addition</w:t>
      </w:r>
      <w:r w:rsidR="00B66FBF">
        <w:rPr>
          <w:rFonts w:ascii="Times New Roman" w:hAnsi="Times New Roman" w:cs="Times New Roman"/>
          <w:sz w:val="24"/>
          <w:szCs w:val="24"/>
        </w:rPr>
        <w:t>,</w:t>
      </w:r>
      <w:r w:rsidR="00863DF5" w:rsidRPr="006F3B00">
        <w:rPr>
          <w:rFonts w:ascii="Times New Roman" w:hAnsi="Times New Roman" w:cs="Times New Roman"/>
          <w:sz w:val="24"/>
          <w:szCs w:val="24"/>
        </w:rPr>
        <w:t xml:space="preserve"> a question was included to ask about whether assessors and trainees felt WBAs measured diagnostic competence to tie in with the main research question. The questionnaire was sent to the RCPath for approval.</w:t>
      </w:r>
      <w:r w:rsidR="004C31E4" w:rsidRPr="006F3B00">
        <w:rPr>
          <w:rFonts w:ascii="Times New Roman" w:hAnsi="Times New Roman" w:cs="Times New Roman"/>
          <w:sz w:val="24"/>
          <w:szCs w:val="24"/>
        </w:rPr>
        <w:t xml:space="preserve"> </w:t>
      </w:r>
    </w:p>
    <w:p w14:paraId="0947B923" w14:textId="18C63CE6"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Likert-type scale was chosen for questions 1-6 and 8-10 with 5 options ranging from “strongly agree” to “strongly disagree”.  A Likert-type scale was used because they offer participants more </w:t>
      </w:r>
      <w:r w:rsidR="00B66FBF">
        <w:rPr>
          <w:rFonts w:ascii="Times New Roman" w:hAnsi="Times New Roman" w:cs="Times New Roman"/>
          <w:sz w:val="24"/>
          <w:szCs w:val="24"/>
        </w:rPr>
        <w:t xml:space="preserve">opportunity </w:t>
      </w:r>
      <w:r w:rsidRPr="006F3B00">
        <w:rPr>
          <w:rFonts w:ascii="Times New Roman" w:hAnsi="Times New Roman" w:cs="Times New Roman"/>
          <w:sz w:val="24"/>
          <w:szCs w:val="24"/>
        </w:rPr>
        <w:t xml:space="preserve">to express their opinion compared to dichotomous response options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{"citationItems":[{"id":"ITEM-1","itemData":{"DOI":"https://doi.org/2731047","ISBN":"1111111111","ISSN":"0006-8993","PMID":"2731047","abstract":"The project conceived in 1929 by Gardner Murphy and the writer aimed first to present a wide array of problems having to do with five major \"attitude areas\"--international relations, race relations, economic conflict, political conflict, and religion. The kind of questionnaire material falls into four classes: yes-no, multiple choice, propositions to be responded to by degrees of approval, and a series of brief newspaper narratives to be approved or disapproved in various degrees. The monograph aims to describe a technique rather than to give results. The appendix, covering ten pages, shows the method of constructing an attitude scale. A bibliography is also given.","author":[{"dropping-particle":"","family":"Likehart","given":"Rensis","non-dropping-particle":"","parse-names":false,"suffix":""}],"container-title":"Archives of Psychology","id":"ITEM-1","issue":"140","issued":{"date-parts":[["1932"]]},"page":"1-55","title":"A technique for the measurement of attitudes.","type":"article-journal","volume":"22"},"uris":["http://www.mendeley.com/documents/?uuid=bd47d4cb-7771-4461-8837-8bf7b5fc4471"]}],"mendeley":{"formattedCitation":"(Likehart, 1932)","manualFormatting":"(Likhart 1932)","plainTextFormattedCitation":"(Likehart, 1932)","previouslyFormattedCitation":"(Likehart 1932)"},"properties":{"noteIndex":0},"schema":"https://github.com/citation-style-language/schema/raw/master/csl-citation.json"}</w:instrText>
      </w:r>
      <w:r w:rsidRPr="006F3B00">
        <w:rPr>
          <w:rFonts w:ascii="Times New Roman" w:hAnsi="Times New Roman" w:cs="Times New Roman"/>
          <w:sz w:val="24"/>
          <w:szCs w:val="24"/>
        </w:rPr>
        <w:fldChar w:fldCharType="separate"/>
      </w:r>
      <w:r w:rsidR="007C6E3B">
        <w:rPr>
          <w:rFonts w:ascii="Times New Roman" w:hAnsi="Times New Roman" w:cs="Times New Roman"/>
          <w:noProof/>
          <w:sz w:val="24"/>
          <w:szCs w:val="24"/>
        </w:rPr>
        <w:t>(Like</w:t>
      </w:r>
      <w:r w:rsidRPr="006F3B00">
        <w:rPr>
          <w:rFonts w:ascii="Times New Roman" w:hAnsi="Times New Roman" w:cs="Times New Roman"/>
          <w:noProof/>
          <w:sz w:val="24"/>
          <w:szCs w:val="24"/>
        </w:rPr>
        <w:t>rt 1932)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 5-point Likert-type scale was chosen as it has been reported that narrower scales can truncate opinion and scales larger than 7 points can increase </w:t>
      </w:r>
      <w:r w:rsidRPr="006F3B00">
        <w:rPr>
          <w:rStyle w:val="linkify"/>
          <w:rFonts w:ascii="Times New Roman" w:hAnsi="Times New Roman" w:cs="Times New Roman"/>
          <w:sz w:val="24"/>
          <w:szCs w:val="24"/>
        </w:rPr>
        <w:t>frustration level of respondents and reduce response rate</w:t>
      </w:r>
      <w:r w:rsidR="00B66FBF">
        <w:rPr>
          <w:rStyle w:val="linkify"/>
          <w:rFonts w:ascii="Times New Roman" w:hAnsi="Times New Roman" w:cs="Times New Roman"/>
          <w:sz w:val="24"/>
          <w:szCs w:val="24"/>
        </w:rPr>
        <w:t xml:space="preserve"> </w:t>
      </w:r>
      <w:r w:rsidRPr="006F3B00">
        <w:rPr>
          <w:rStyle w:val="linkify"/>
          <w:rFonts w:ascii="Times New Roman" w:hAnsi="Times New Roman" w:cs="Times New Roman"/>
          <w:sz w:val="24"/>
          <w:szCs w:val="24"/>
        </w:rPr>
        <w:fldChar w:fldCharType="begin" w:fldLock="1"/>
      </w:r>
      <w:r w:rsidR="00BE3B6C">
        <w:rPr>
          <w:rStyle w:val="linkify"/>
          <w:rFonts w:ascii="Times New Roman" w:hAnsi="Times New Roman" w:cs="Times New Roman"/>
          <w:sz w:val="24"/>
          <w:szCs w:val="24"/>
        </w:rPr>
        <w:instrText>ADDIN CSL_CITATION {"citationItems":[{"id":"ITEM-1","itemData":{"DOI":"10.1093/mind/fzl387","ISBN":"0801442915","ISSN":"0739-7046","abstract":"Much of the writing in Anglo-American epistemology in the twentieth century focused on the conditions for beliefs being \"justified.\" In a book that seeks to shift the ground of debate within theory of knowledge, William P. Alston finds that the century-long search for a correct account of the nature and conditions of epistemic justification misses the point. Alston calls for that search to be suspended and for talk of epistemic justification to cease. He proposes instead an approach to the epistemology of belief that focuses on the evaluation of various \"epistemic desiderata\" that may be satisfied by beliefs.Alston finds that features of belief that are desirable for the goals of cognition include having an adequate basis, being formed in a reliable way, and coherence within bodies of belief. In Alston's view, a belief's being based on an adequate ground and its being formed in a reliable way, though often treated as competing accounts of justification, are virtually identical. Beyond \"Justification\" also contains discussions of fundamental questions about the epistemic status of principles and beliefs and appropriate responses to various kinds of skepticism.","author":[{"dropping-particle":"V.","family":"Sachdev, S. B., &amp; Verma","given":"H.","non-dropping-particle":"","parse-names":false,"suffix":""}],"container-title":"Journal of Services Research","id":"ITEM-1","issue":"1","issued":{"date-parts":[["2004"]]},"page":"93","title":"RELATIVE IMPORTANCE OF SERVICE QUALITY DIMENSIONS: A MULTISECTORAL STUDY","type":"article-journal","volume":"4"},"uris":["http://www.mendeley.com/documents/?uuid=f06c62e8-6b2d-4d32-af01-6332b744593c"]},{"id":"ITEM-2","itemData":{"DOI":"10.3844/jssp.2007.106.116","ISBN":"1549-3652","ISSN":"15493652","abstract":"A recent article by Jamieson in Medical Education outlined some of the (alleged) abuses of “Likert scales” with suggestions about how researchers can overcome some of the (alleged) methodological pitfalls and limitations[1]. However, many of the ideas advanced in the Jamison article, as well as a great many of articles it cited, and similar recent articles in medical, health, psychology, and educational journals and books, are themselves common misunderstandings, misconceptions, conceptual errors, persistent myths and “urban legends” about “Likert scales” and their characteristics and qualities that have been propagated and perpetuated across six decades, for a variety of different reasons. This article identifies, analyses and traces many of these aforementioned problems and presents the arguments, counter arguments and empirical evidence that show these many persistent claims and myths about “Likert scales” to be factually incorrect and untrue. Many studies have shown that Likert Scales (as opposed to single Likert response format items) produce interval data and that the F-test is very robust to violations of the interval data assumption and moderate skewing and may be used to analyze “Likert data” (even if it is ordinal), but not on an item-by-item “shotgun” basis, which is simply a current research and analysis practice that must stop. After sixty years, it is more than time to dispel these particular research myths and urban legends as well as the various damage and problems they cause, and put them to bed and out of their misery once and for all.","author":[{"dropping-particle":"","family":"Carifio","given":"James","non-dropping-particle":"","parse-names":false,"suffix":""},{"dropping-particle":"","family":"Perla","given":"Rocco J.","non-dropping-particle":"","parse-names":false,"suffix":""}],"container-title":"Journal of Social Sciences","id":"ITEM-2","issue":"3","issued":{"date-parts":[["2007"]]},"page":"106-116","title":"Ten Common Misunderstandings, Misconceptions, Persistent Myths and Urban Legends about Likert Scales and Likert Response Formats and their Antidotes","type":"article-journal","volume":"3"},"uris":["http://www.mendeley.com/documents/?uuid=56a1ba6f-d849-4f05-87f9-5a0b4ced6158"]}],"mendeley":{"formattedCitation":"(Sachdev, S. B., &amp; Verma, 2004; Carifio and Perla, 2007)","plainTextFormattedCitation":"(Sachdev, S. B., &amp; Verma, 2004; Carifio and Perla, 2007)","previouslyFormattedCitation":"(Sachdev, S. B., &amp; Verma 2004; Carifio and Perla 2007)"},"properties":{"noteIndex":0},"schema":"https://github.com/citation-style-language/schema/raw/master/csl-citation.json"}</w:instrText>
      </w:r>
      <w:r w:rsidRPr="006F3B00">
        <w:rPr>
          <w:rStyle w:val="linkify"/>
          <w:rFonts w:ascii="Times New Roman" w:hAnsi="Times New Roman" w:cs="Times New Roman"/>
          <w:sz w:val="24"/>
          <w:szCs w:val="24"/>
        </w:rPr>
        <w:fldChar w:fldCharType="separate"/>
      </w:r>
      <w:r w:rsidR="00BE3B6C" w:rsidRPr="00BE3B6C">
        <w:rPr>
          <w:rStyle w:val="linkify"/>
          <w:rFonts w:ascii="Times New Roman" w:hAnsi="Times New Roman" w:cs="Times New Roman"/>
          <w:noProof/>
          <w:sz w:val="24"/>
          <w:szCs w:val="24"/>
        </w:rPr>
        <w:t>(Sach</w:t>
      </w:r>
      <w:r w:rsidR="007C6E3B">
        <w:rPr>
          <w:rStyle w:val="linkify"/>
          <w:rFonts w:ascii="Times New Roman" w:hAnsi="Times New Roman" w:cs="Times New Roman"/>
          <w:noProof/>
          <w:sz w:val="24"/>
          <w:szCs w:val="24"/>
        </w:rPr>
        <w:t>dev and</w:t>
      </w:r>
      <w:r w:rsidR="00ED6756">
        <w:rPr>
          <w:rStyle w:val="linkify"/>
          <w:rFonts w:ascii="Times New Roman" w:hAnsi="Times New Roman" w:cs="Times New Roman"/>
          <w:noProof/>
          <w:sz w:val="24"/>
          <w:szCs w:val="24"/>
        </w:rPr>
        <w:t xml:space="preserve"> Verma</w:t>
      </w:r>
      <w:r w:rsidR="007C6E3B">
        <w:rPr>
          <w:rStyle w:val="linkify"/>
          <w:rFonts w:ascii="Times New Roman" w:hAnsi="Times New Roman" w:cs="Times New Roman"/>
          <w:noProof/>
          <w:sz w:val="24"/>
          <w:szCs w:val="24"/>
        </w:rPr>
        <w:t xml:space="preserve"> 2004; Carifio and Perla</w:t>
      </w:r>
      <w:r w:rsidR="00BE3B6C" w:rsidRPr="00BE3B6C">
        <w:rPr>
          <w:rStyle w:val="linkify"/>
          <w:rFonts w:ascii="Times New Roman" w:hAnsi="Times New Roman" w:cs="Times New Roman"/>
          <w:noProof/>
          <w:sz w:val="24"/>
          <w:szCs w:val="24"/>
        </w:rPr>
        <w:t xml:space="preserve"> 2007)</w:t>
      </w:r>
      <w:r w:rsidRPr="006F3B00">
        <w:rPr>
          <w:rStyle w:val="linkify"/>
          <w:rFonts w:ascii="Times New Roman" w:hAnsi="Times New Roman" w:cs="Times New Roman"/>
          <w:sz w:val="24"/>
          <w:szCs w:val="24"/>
        </w:rPr>
        <w:fldChar w:fldCharType="end"/>
      </w:r>
      <w:r w:rsidRPr="006F3B00">
        <w:rPr>
          <w:rStyle w:val="linkify"/>
          <w:rFonts w:ascii="Times New Roman" w:hAnsi="Times New Roman" w:cs="Times New Roman"/>
          <w:sz w:val="24"/>
          <w:szCs w:val="24"/>
        </w:rPr>
        <w:t xml:space="preserve">. </w:t>
      </w:r>
    </w:p>
    <w:p w14:paraId="1F961E47" w14:textId="63B9BDF1"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Question 7 gave respondents four options to choose from as well as “other” as an option which included a free text comment box. The questionnaire was piloted with two specialist trainees and a consultant histopathologist to ensure the questions were clear and appropriate.  No changes were suggested.</w:t>
      </w:r>
    </w:p>
    <w:p w14:paraId="744FA083" w14:textId="03A7A8F9" w:rsidR="00373028" w:rsidRDefault="00373028" w:rsidP="00863DF5">
      <w:pPr>
        <w:spacing w:line="480" w:lineRule="auto"/>
        <w:rPr>
          <w:rFonts w:ascii="Times New Roman" w:hAnsi="Times New Roman" w:cs="Times New Roman"/>
          <w:sz w:val="24"/>
          <w:szCs w:val="24"/>
        </w:rPr>
      </w:pPr>
      <w:r>
        <w:rPr>
          <w:rFonts w:ascii="Times New Roman" w:hAnsi="Times New Roman" w:cs="Times New Roman"/>
          <w:sz w:val="24"/>
          <w:szCs w:val="24"/>
        </w:rPr>
        <w:t>The final questionnaire</w:t>
      </w:r>
      <w:r w:rsidR="00863DF5" w:rsidRPr="006F3B00">
        <w:rPr>
          <w:rFonts w:ascii="Times New Roman" w:hAnsi="Times New Roman" w:cs="Times New Roman"/>
          <w:sz w:val="24"/>
          <w:szCs w:val="24"/>
        </w:rPr>
        <w:t xml:space="preserve"> can be seen </w:t>
      </w:r>
      <w:r w:rsidR="002D7B4C">
        <w:rPr>
          <w:rFonts w:ascii="Times New Roman" w:hAnsi="Times New Roman" w:cs="Times New Roman"/>
          <w:sz w:val="24"/>
          <w:szCs w:val="24"/>
        </w:rPr>
        <w:t>overleaf</w:t>
      </w:r>
      <w:r w:rsidR="005073E7">
        <w:rPr>
          <w:rFonts w:ascii="Times New Roman" w:hAnsi="Times New Roman" w:cs="Times New Roman"/>
          <w:sz w:val="24"/>
          <w:szCs w:val="24"/>
        </w:rPr>
        <w:t xml:space="preserve"> (Table </w:t>
      </w:r>
      <w:r w:rsidR="00995756">
        <w:rPr>
          <w:rFonts w:ascii="Times New Roman" w:hAnsi="Times New Roman" w:cs="Times New Roman"/>
          <w:sz w:val="24"/>
          <w:szCs w:val="24"/>
        </w:rPr>
        <w:t>3.1).</w:t>
      </w:r>
    </w:p>
    <w:p w14:paraId="188FF07C" w14:textId="77777777" w:rsidR="00995756" w:rsidRDefault="00995756" w:rsidP="00863DF5">
      <w:pPr>
        <w:spacing w:line="480" w:lineRule="auto"/>
        <w:rPr>
          <w:rFonts w:ascii="Times New Roman" w:hAnsi="Times New Roman" w:cs="Times New Roman"/>
          <w:sz w:val="24"/>
          <w:szCs w:val="24"/>
        </w:rPr>
      </w:pPr>
    </w:p>
    <w:p w14:paraId="1AC934AE" w14:textId="0B8A9814" w:rsidR="006121BA" w:rsidRDefault="006121BA" w:rsidP="00863DF5">
      <w:pPr>
        <w:spacing w:line="480" w:lineRule="auto"/>
        <w:rPr>
          <w:rFonts w:ascii="Times New Roman" w:hAnsi="Times New Roman" w:cs="Times New Roman"/>
          <w:sz w:val="24"/>
          <w:szCs w:val="24"/>
        </w:rPr>
      </w:pPr>
    </w:p>
    <w:p w14:paraId="62DDEEED" w14:textId="2E84B855" w:rsidR="006121BA" w:rsidRDefault="006121BA" w:rsidP="00863DF5">
      <w:pPr>
        <w:spacing w:line="480" w:lineRule="auto"/>
        <w:rPr>
          <w:rFonts w:ascii="Times New Roman" w:hAnsi="Times New Roman" w:cs="Times New Roman"/>
          <w:sz w:val="24"/>
          <w:szCs w:val="24"/>
        </w:rPr>
      </w:pPr>
    </w:p>
    <w:tbl>
      <w:tblPr>
        <w:tblStyle w:val="TableGrid"/>
        <w:tblpPr w:leftFromText="180" w:rightFromText="180" w:vertAnchor="text" w:horzAnchor="margin" w:tblpY="1"/>
        <w:tblW w:w="8635" w:type="dxa"/>
        <w:tblLayout w:type="fixed"/>
        <w:tblLook w:val="04A0" w:firstRow="1" w:lastRow="0" w:firstColumn="1" w:lastColumn="0" w:noHBand="0" w:noVBand="1"/>
      </w:tblPr>
      <w:tblGrid>
        <w:gridCol w:w="1795"/>
        <w:gridCol w:w="1260"/>
        <w:gridCol w:w="1440"/>
        <w:gridCol w:w="1620"/>
        <w:gridCol w:w="1260"/>
        <w:gridCol w:w="1260"/>
      </w:tblGrid>
      <w:tr w:rsidR="00690489" w14:paraId="6DC1AF40" w14:textId="77777777" w:rsidTr="00690489">
        <w:tc>
          <w:tcPr>
            <w:tcW w:w="1795" w:type="dxa"/>
          </w:tcPr>
          <w:p w14:paraId="70966BDA" w14:textId="77777777" w:rsidR="006121BA" w:rsidRPr="00B76F91" w:rsidRDefault="006121BA" w:rsidP="006121BA">
            <w:pPr>
              <w:rPr>
                <w:rFonts w:ascii="Times New Roman" w:hAnsi="Times New Roman" w:cs="Times New Roman"/>
                <w:b/>
                <w:sz w:val="24"/>
                <w:szCs w:val="24"/>
              </w:rPr>
            </w:pPr>
          </w:p>
        </w:tc>
        <w:tc>
          <w:tcPr>
            <w:tcW w:w="1260" w:type="dxa"/>
            <w:shd w:val="clear" w:color="auto" w:fill="D9D9D9" w:themeFill="background1" w:themeFillShade="D9"/>
          </w:tcPr>
          <w:p w14:paraId="44F54D23" w14:textId="77777777" w:rsidR="006121BA" w:rsidRDefault="006121BA" w:rsidP="006121BA">
            <w:pPr>
              <w:rPr>
                <w:rFonts w:ascii="Times New Roman" w:hAnsi="Times New Roman" w:cs="Times New Roman"/>
                <w:b/>
                <w:sz w:val="24"/>
                <w:szCs w:val="24"/>
              </w:rPr>
            </w:pPr>
            <w:r w:rsidRPr="00B76F91">
              <w:rPr>
                <w:rFonts w:ascii="Times New Roman" w:hAnsi="Times New Roman" w:cs="Times New Roman"/>
                <w:b/>
                <w:sz w:val="24"/>
                <w:szCs w:val="24"/>
              </w:rPr>
              <w:t>Strongly agree</w:t>
            </w:r>
          </w:p>
          <w:p w14:paraId="55B48587" w14:textId="39A6897D" w:rsidR="006121BA" w:rsidRPr="00B76F91" w:rsidRDefault="006121BA" w:rsidP="006121BA">
            <w:pPr>
              <w:rPr>
                <w:rFonts w:ascii="Times New Roman" w:hAnsi="Times New Roman" w:cs="Times New Roman"/>
                <w:b/>
                <w:sz w:val="24"/>
                <w:szCs w:val="24"/>
              </w:rPr>
            </w:pPr>
          </w:p>
        </w:tc>
        <w:tc>
          <w:tcPr>
            <w:tcW w:w="1440" w:type="dxa"/>
            <w:shd w:val="clear" w:color="auto" w:fill="D9D9D9" w:themeFill="background1" w:themeFillShade="D9"/>
          </w:tcPr>
          <w:p w14:paraId="09736549" w14:textId="77777777" w:rsidR="006121BA" w:rsidRPr="00B76F91" w:rsidRDefault="006121BA" w:rsidP="006121BA">
            <w:pPr>
              <w:rPr>
                <w:rFonts w:ascii="Times New Roman" w:hAnsi="Times New Roman" w:cs="Times New Roman"/>
                <w:b/>
                <w:sz w:val="24"/>
                <w:szCs w:val="24"/>
              </w:rPr>
            </w:pPr>
            <w:r w:rsidRPr="00B76F91">
              <w:rPr>
                <w:rFonts w:ascii="Times New Roman" w:hAnsi="Times New Roman" w:cs="Times New Roman"/>
                <w:b/>
                <w:sz w:val="24"/>
                <w:szCs w:val="24"/>
              </w:rPr>
              <w:t>Agree</w:t>
            </w:r>
          </w:p>
        </w:tc>
        <w:tc>
          <w:tcPr>
            <w:tcW w:w="1620" w:type="dxa"/>
            <w:shd w:val="clear" w:color="auto" w:fill="D9D9D9" w:themeFill="background1" w:themeFillShade="D9"/>
          </w:tcPr>
          <w:p w14:paraId="2B0161CF" w14:textId="77777777" w:rsidR="006121BA" w:rsidRPr="00B76F91" w:rsidRDefault="006121BA" w:rsidP="006121BA">
            <w:pPr>
              <w:rPr>
                <w:rFonts w:ascii="Times New Roman" w:hAnsi="Times New Roman" w:cs="Times New Roman"/>
                <w:b/>
                <w:sz w:val="24"/>
                <w:szCs w:val="24"/>
              </w:rPr>
            </w:pPr>
            <w:r w:rsidRPr="00B76F91">
              <w:rPr>
                <w:rFonts w:ascii="Times New Roman" w:hAnsi="Times New Roman" w:cs="Times New Roman"/>
                <w:b/>
                <w:sz w:val="24"/>
                <w:szCs w:val="24"/>
              </w:rPr>
              <w:t>Neither agree nor disagree</w:t>
            </w:r>
          </w:p>
        </w:tc>
        <w:tc>
          <w:tcPr>
            <w:tcW w:w="1260" w:type="dxa"/>
            <w:shd w:val="clear" w:color="auto" w:fill="D9D9D9" w:themeFill="background1" w:themeFillShade="D9"/>
          </w:tcPr>
          <w:p w14:paraId="6F121631" w14:textId="77777777" w:rsidR="006121BA" w:rsidRPr="00B76F91" w:rsidRDefault="006121BA" w:rsidP="006121BA">
            <w:pPr>
              <w:rPr>
                <w:rFonts w:ascii="Times New Roman" w:hAnsi="Times New Roman" w:cs="Times New Roman"/>
                <w:b/>
                <w:sz w:val="24"/>
                <w:szCs w:val="24"/>
              </w:rPr>
            </w:pPr>
            <w:r w:rsidRPr="00B76F91">
              <w:rPr>
                <w:rFonts w:ascii="Times New Roman" w:hAnsi="Times New Roman" w:cs="Times New Roman"/>
                <w:b/>
                <w:sz w:val="24"/>
                <w:szCs w:val="24"/>
              </w:rPr>
              <w:t>Disagree</w:t>
            </w:r>
          </w:p>
        </w:tc>
        <w:tc>
          <w:tcPr>
            <w:tcW w:w="1260" w:type="dxa"/>
            <w:shd w:val="clear" w:color="auto" w:fill="D9D9D9" w:themeFill="background1" w:themeFillShade="D9"/>
          </w:tcPr>
          <w:p w14:paraId="23EA4765" w14:textId="77777777" w:rsidR="006121BA" w:rsidRPr="00B76F91" w:rsidRDefault="006121BA" w:rsidP="006121BA">
            <w:pPr>
              <w:rPr>
                <w:rFonts w:ascii="Times New Roman" w:hAnsi="Times New Roman" w:cs="Times New Roman"/>
                <w:b/>
                <w:sz w:val="24"/>
                <w:szCs w:val="24"/>
              </w:rPr>
            </w:pPr>
            <w:r w:rsidRPr="00B76F91">
              <w:rPr>
                <w:rFonts w:ascii="Times New Roman" w:hAnsi="Times New Roman" w:cs="Times New Roman"/>
                <w:b/>
                <w:sz w:val="24"/>
                <w:szCs w:val="24"/>
              </w:rPr>
              <w:t>Strongly Disagree</w:t>
            </w:r>
          </w:p>
        </w:tc>
      </w:tr>
      <w:tr w:rsidR="00690489" w14:paraId="6C22AAC4" w14:textId="77777777" w:rsidTr="00690489">
        <w:tc>
          <w:tcPr>
            <w:tcW w:w="1795" w:type="dxa"/>
          </w:tcPr>
          <w:p w14:paraId="3A6D27FB" w14:textId="77777777" w:rsidR="006121BA" w:rsidRPr="00373028" w:rsidRDefault="006121BA" w:rsidP="006121BA">
            <w:pPr>
              <w:rPr>
                <w:rFonts w:ascii="Times New Roman" w:hAnsi="Times New Roman" w:cs="Times New Roman"/>
                <w:sz w:val="24"/>
                <w:szCs w:val="24"/>
              </w:rPr>
            </w:pPr>
            <w:r>
              <w:rPr>
                <w:rFonts w:ascii="Times New Roman" w:hAnsi="Times New Roman" w:cs="Times New Roman"/>
                <w:sz w:val="24"/>
                <w:szCs w:val="24"/>
              </w:rPr>
              <w:t>Q1. WBAs</w:t>
            </w:r>
            <w:r w:rsidRPr="00373028">
              <w:rPr>
                <w:rFonts w:ascii="Times New Roman" w:hAnsi="Times New Roman" w:cs="Times New Roman"/>
                <w:sz w:val="24"/>
                <w:szCs w:val="24"/>
              </w:rPr>
              <w:t xml:space="preserve"> are useful in training</w:t>
            </w:r>
          </w:p>
          <w:p w14:paraId="08A39A3C" w14:textId="77777777" w:rsidR="006121BA" w:rsidRDefault="006121BA" w:rsidP="006121BA">
            <w:pPr>
              <w:rPr>
                <w:rFonts w:ascii="Times New Roman" w:hAnsi="Times New Roman" w:cs="Times New Roman"/>
                <w:sz w:val="24"/>
                <w:szCs w:val="24"/>
              </w:rPr>
            </w:pPr>
          </w:p>
        </w:tc>
        <w:tc>
          <w:tcPr>
            <w:tcW w:w="1260" w:type="dxa"/>
          </w:tcPr>
          <w:p w14:paraId="07609F4E" w14:textId="77777777" w:rsidR="006121BA" w:rsidRDefault="006121BA" w:rsidP="006121BA">
            <w:pPr>
              <w:rPr>
                <w:rFonts w:ascii="Times New Roman" w:hAnsi="Times New Roman" w:cs="Times New Roman"/>
                <w:sz w:val="24"/>
                <w:szCs w:val="24"/>
              </w:rPr>
            </w:pPr>
          </w:p>
        </w:tc>
        <w:tc>
          <w:tcPr>
            <w:tcW w:w="1440" w:type="dxa"/>
          </w:tcPr>
          <w:p w14:paraId="20CC2CF5" w14:textId="77777777" w:rsidR="006121BA" w:rsidRDefault="006121BA" w:rsidP="006121BA">
            <w:pPr>
              <w:rPr>
                <w:rFonts w:ascii="Times New Roman" w:hAnsi="Times New Roman" w:cs="Times New Roman"/>
                <w:sz w:val="24"/>
                <w:szCs w:val="24"/>
              </w:rPr>
            </w:pPr>
          </w:p>
        </w:tc>
        <w:tc>
          <w:tcPr>
            <w:tcW w:w="1620" w:type="dxa"/>
          </w:tcPr>
          <w:p w14:paraId="53E580A1" w14:textId="77777777" w:rsidR="006121BA" w:rsidRDefault="006121BA" w:rsidP="006121BA">
            <w:pPr>
              <w:rPr>
                <w:rFonts w:ascii="Times New Roman" w:hAnsi="Times New Roman" w:cs="Times New Roman"/>
                <w:sz w:val="24"/>
                <w:szCs w:val="24"/>
              </w:rPr>
            </w:pPr>
          </w:p>
        </w:tc>
        <w:tc>
          <w:tcPr>
            <w:tcW w:w="1260" w:type="dxa"/>
          </w:tcPr>
          <w:p w14:paraId="26848139" w14:textId="77777777" w:rsidR="006121BA" w:rsidRDefault="006121BA" w:rsidP="006121BA">
            <w:pPr>
              <w:rPr>
                <w:rFonts w:ascii="Times New Roman" w:hAnsi="Times New Roman" w:cs="Times New Roman"/>
                <w:sz w:val="24"/>
                <w:szCs w:val="24"/>
              </w:rPr>
            </w:pPr>
          </w:p>
        </w:tc>
        <w:tc>
          <w:tcPr>
            <w:tcW w:w="1260" w:type="dxa"/>
          </w:tcPr>
          <w:p w14:paraId="445E2E4A" w14:textId="77777777" w:rsidR="006121BA" w:rsidRDefault="006121BA" w:rsidP="006121BA">
            <w:pPr>
              <w:rPr>
                <w:rFonts w:ascii="Times New Roman" w:hAnsi="Times New Roman" w:cs="Times New Roman"/>
                <w:sz w:val="24"/>
                <w:szCs w:val="24"/>
              </w:rPr>
            </w:pPr>
          </w:p>
        </w:tc>
      </w:tr>
      <w:tr w:rsidR="00690489" w14:paraId="2D6E0FBA" w14:textId="77777777" w:rsidTr="00690489">
        <w:tc>
          <w:tcPr>
            <w:tcW w:w="1795" w:type="dxa"/>
          </w:tcPr>
          <w:p w14:paraId="08FE11E6" w14:textId="77777777" w:rsidR="006121BA" w:rsidRPr="00373028" w:rsidRDefault="006121BA" w:rsidP="006121BA">
            <w:pPr>
              <w:rPr>
                <w:rFonts w:ascii="Times New Roman" w:hAnsi="Times New Roman" w:cs="Times New Roman"/>
                <w:sz w:val="24"/>
                <w:szCs w:val="24"/>
              </w:rPr>
            </w:pPr>
            <w:r>
              <w:rPr>
                <w:rFonts w:ascii="Times New Roman" w:hAnsi="Times New Roman" w:cs="Times New Roman"/>
                <w:sz w:val="24"/>
                <w:szCs w:val="24"/>
              </w:rPr>
              <w:t xml:space="preserve">Q2. </w:t>
            </w:r>
            <w:r w:rsidRPr="00373028">
              <w:rPr>
                <w:rFonts w:ascii="Times New Roman" w:hAnsi="Times New Roman" w:cs="Times New Roman"/>
                <w:sz w:val="24"/>
                <w:szCs w:val="24"/>
              </w:rPr>
              <w:t xml:space="preserve">The number of </w:t>
            </w:r>
            <w:r>
              <w:rPr>
                <w:rFonts w:ascii="Times New Roman" w:hAnsi="Times New Roman" w:cs="Times New Roman"/>
                <w:sz w:val="24"/>
                <w:szCs w:val="24"/>
              </w:rPr>
              <w:t xml:space="preserve">WBAs </w:t>
            </w:r>
            <w:r w:rsidRPr="00373028">
              <w:rPr>
                <w:rFonts w:ascii="Times New Roman" w:hAnsi="Times New Roman" w:cs="Times New Roman"/>
                <w:sz w:val="24"/>
                <w:szCs w:val="24"/>
              </w:rPr>
              <w:t>per stage is appropriate</w:t>
            </w:r>
          </w:p>
          <w:p w14:paraId="16015F3A" w14:textId="77777777" w:rsidR="006121BA" w:rsidRDefault="006121BA" w:rsidP="006121BA">
            <w:pPr>
              <w:rPr>
                <w:rFonts w:ascii="Times New Roman" w:hAnsi="Times New Roman" w:cs="Times New Roman"/>
                <w:sz w:val="24"/>
                <w:szCs w:val="24"/>
              </w:rPr>
            </w:pPr>
          </w:p>
        </w:tc>
        <w:tc>
          <w:tcPr>
            <w:tcW w:w="1260" w:type="dxa"/>
          </w:tcPr>
          <w:p w14:paraId="4DAEF02A" w14:textId="77777777" w:rsidR="006121BA" w:rsidRDefault="006121BA" w:rsidP="006121BA">
            <w:pPr>
              <w:rPr>
                <w:rFonts w:ascii="Times New Roman" w:hAnsi="Times New Roman" w:cs="Times New Roman"/>
                <w:sz w:val="24"/>
                <w:szCs w:val="24"/>
              </w:rPr>
            </w:pPr>
          </w:p>
        </w:tc>
        <w:tc>
          <w:tcPr>
            <w:tcW w:w="1440" w:type="dxa"/>
          </w:tcPr>
          <w:p w14:paraId="4B4048A9" w14:textId="77777777" w:rsidR="006121BA" w:rsidRDefault="006121BA" w:rsidP="006121BA">
            <w:pPr>
              <w:rPr>
                <w:rFonts w:ascii="Times New Roman" w:hAnsi="Times New Roman" w:cs="Times New Roman"/>
                <w:sz w:val="24"/>
                <w:szCs w:val="24"/>
              </w:rPr>
            </w:pPr>
          </w:p>
        </w:tc>
        <w:tc>
          <w:tcPr>
            <w:tcW w:w="1620" w:type="dxa"/>
          </w:tcPr>
          <w:p w14:paraId="7C304738" w14:textId="77777777" w:rsidR="006121BA" w:rsidRDefault="006121BA" w:rsidP="006121BA">
            <w:pPr>
              <w:rPr>
                <w:rFonts w:ascii="Times New Roman" w:hAnsi="Times New Roman" w:cs="Times New Roman"/>
                <w:sz w:val="24"/>
                <w:szCs w:val="24"/>
              </w:rPr>
            </w:pPr>
          </w:p>
        </w:tc>
        <w:tc>
          <w:tcPr>
            <w:tcW w:w="1260" w:type="dxa"/>
          </w:tcPr>
          <w:p w14:paraId="632928A7" w14:textId="77777777" w:rsidR="006121BA" w:rsidRDefault="006121BA" w:rsidP="006121BA">
            <w:pPr>
              <w:rPr>
                <w:rFonts w:ascii="Times New Roman" w:hAnsi="Times New Roman" w:cs="Times New Roman"/>
                <w:sz w:val="24"/>
                <w:szCs w:val="24"/>
              </w:rPr>
            </w:pPr>
          </w:p>
        </w:tc>
        <w:tc>
          <w:tcPr>
            <w:tcW w:w="1260" w:type="dxa"/>
          </w:tcPr>
          <w:p w14:paraId="3D096B81" w14:textId="77777777" w:rsidR="006121BA" w:rsidRDefault="006121BA" w:rsidP="006121BA">
            <w:pPr>
              <w:rPr>
                <w:rFonts w:ascii="Times New Roman" w:hAnsi="Times New Roman" w:cs="Times New Roman"/>
                <w:sz w:val="24"/>
                <w:szCs w:val="24"/>
              </w:rPr>
            </w:pPr>
          </w:p>
        </w:tc>
      </w:tr>
      <w:tr w:rsidR="00690489" w14:paraId="7D317F2A" w14:textId="77777777" w:rsidTr="00690489">
        <w:tc>
          <w:tcPr>
            <w:tcW w:w="1795" w:type="dxa"/>
          </w:tcPr>
          <w:p w14:paraId="725E2091" w14:textId="77777777" w:rsidR="006121BA" w:rsidRPr="00373028" w:rsidRDefault="006121BA" w:rsidP="006121BA">
            <w:pPr>
              <w:rPr>
                <w:rFonts w:ascii="Times New Roman" w:hAnsi="Times New Roman" w:cs="Times New Roman"/>
                <w:sz w:val="24"/>
                <w:szCs w:val="24"/>
              </w:rPr>
            </w:pPr>
            <w:r>
              <w:rPr>
                <w:rFonts w:ascii="Times New Roman" w:hAnsi="Times New Roman" w:cs="Times New Roman"/>
                <w:sz w:val="24"/>
                <w:szCs w:val="24"/>
              </w:rPr>
              <w:t xml:space="preserve">Q3. </w:t>
            </w:r>
            <w:r w:rsidRPr="00373028">
              <w:rPr>
                <w:rFonts w:ascii="Times New Roman" w:hAnsi="Times New Roman" w:cs="Times New Roman"/>
                <w:sz w:val="24"/>
                <w:szCs w:val="24"/>
              </w:rPr>
              <w:t xml:space="preserve">There is sufficient time to complete </w:t>
            </w:r>
            <w:r>
              <w:rPr>
                <w:rFonts w:ascii="Times New Roman" w:hAnsi="Times New Roman" w:cs="Times New Roman"/>
                <w:sz w:val="24"/>
                <w:szCs w:val="24"/>
              </w:rPr>
              <w:t>WBAs</w:t>
            </w:r>
          </w:p>
          <w:p w14:paraId="20145E41" w14:textId="77777777" w:rsidR="006121BA" w:rsidRDefault="006121BA" w:rsidP="006121BA">
            <w:pPr>
              <w:rPr>
                <w:rFonts w:ascii="Times New Roman" w:hAnsi="Times New Roman" w:cs="Times New Roman"/>
                <w:sz w:val="24"/>
                <w:szCs w:val="24"/>
              </w:rPr>
            </w:pPr>
          </w:p>
        </w:tc>
        <w:tc>
          <w:tcPr>
            <w:tcW w:w="1260" w:type="dxa"/>
          </w:tcPr>
          <w:p w14:paraId="48709597" w14:textId="77777777" w:rsidR="006121BA" w:rsidRDefault="006121BA" w:rsidP="006121BA">
            <w:pPr>
              <w:rPr>
                <w:rFonts w:ascii="Times New Roman" w:hAnsi="Times New Roman" w:cs="Times New Roman"/>
                <w:sz w:val="24"/>
                <w:szCs w:val="24"/>
              </w:rPr>
            </w:pPr>
          </w:p>
        </w:tc>
        <w:tc>
          <w:tcPr>
            <w:tcW w:w="1440" w:type="dxa"/>
          </w:tcPr>
          <w:p w14:paraId="2227A19E" w14:textId="77777777" w:rsidR="006121BA" w:rsidRDefault="006121BA" w:rsidP="006121BA">
            <w:pPr>
              <w:rPr>
                <w:rFonts w:ascii="Times New Roman" w:hAnsi="Times New Roman" w:cs="Times New Roman"/>
                <w:sz w:val="24"/>
                <w:szCs w:val="24"/>
              </w:rPr>
            </w:pPr>
          </w:p>
        </w:tc>
        <w:tc>
          <w:tcPr>
            <w:tcW w:w="1620" w:type="dxa"/>
          </w:tcPr>
          <w:p w14:paraId="656FE31E" w14:textId="77777777" w:rsidR="006121BA" w:rsidRDefault="006121BA" w:rsidP="006121BA">
            <w:pPr>
              <w:rPr>
                <w:rFonts w:ascii="Times New Roman" w:hAnsi="Times New Roman" w:cs="Times New Roman"/>
                <w:sz w:val="24"/>
                <w:szCs w:val="24"/>
              </w:rPr>
            </w:pPr>
          </w:p>
        </w:tc>
        <w:tc>
          <w:tcPr>
            <w:tcW w:w="1260" w:type="dxa"/>
          </w:tcPr>
          <w:p w14:paraId="1068E2FF" w14:textId="77777777" w:rsidR="006121BA" w:rsidRDefault="006121BA" w:rsidP="006121BA">
            <w:pPr>
              <w:rPr>
                <w:rFonts w:ascii="Times New Roman" w:hAnsi="Times New Roman" w:cs="Times New Roman"/>
                <w:sz w:val="24"/>
                <w:szCs w:val="24"/>
              </w:rPr>
            </w:pPr>
          </w:p>
        </w:tc>
        <w:tc>
          <w:tcPr>
            <w:tcW w:w="1260" w:type="dxa"/>
          </w:tcPr>
          <w:p w14:paraId="22D91619" w14:textId="77777777" w:rsidR="006121BA" w:rsidRDefault="006121BA" w:rsidP="006121BA">
            <w:pPr>
              <w:rPr>
                <w:rFonts w:ascii="Times New Roman" w:hAnsi="Times New Roman" w:cs="Times New Roman"/>
                <w:sz w:val="24"/>
                <w:szCs w:val="24"/>
              </w:rPr>
            </w:pPr>
          </w:p>
        </w:tc>
      </w:tr>
      <w:tr w:rsidR="00690489" w14:paraId="14598DC2" w14:textId="77777777" w:rsidTr="00690489">
        <w:tc>
          <w:tcPr>
            <w:tcW w:w="1795" w:type="dxa"/>
          </w:tcPr>
          <w:p w14:paraId="6EE87666" w14:textId="77777777" w:rsidR="006121BA" w:rsidRPr="00373028" w:rsidRDefault="006121BA" w:rsidP="006121BA">
            <w:pPr>
              <w:rPr>
                <w:rFonts w:ascii="Times New Roman" w:hAnsi="Times New Roman" w:cs="Times New Roman"/>
                <w:sz w:val="24"/>
                <w:szCs w:val="24"/>
              </w:rPr>
            </w:pPr>
            <w:r>
              <w:rPr>
                <w:rFonts w:ascii="Times New Roman" w:hAnsi="Times New Roman" w:cs="Times New Roman"/>
                <w:sz w:val="24"/>
                <w:szCs w:val="24"/>
              </w:rPr>
              <w:t>Q4. WBAs</w:t>
            </w:r>
            <w:r w:rsidRPr="00373028">
              <w:rPr>
                <w:rFonts w:ascii="Times New Roman" w:hAnsi="Times New Roman" w:cs="Times New Roman"/>
                <w:sz w:val="24"/>
                <w:szCs w:val="24"/>
              </w:rPr>
              <w:t xml:space="preserve"> identify diagnostic competence in histopathology</w:t>
            </w:r>
          </w:p>
          <w:p w14:paraId="671328E7" w14:textId="77777777" w:rsidR="006121BA" w:rsidRDefault="006121BA" w:rsidP="006121BA">
            <w:pPr>
              <w:rPr>
                <w:rFonts w:ascii="Times New Roman" w:hAnsi="Times New Roman" w:cs="Times New Roman"/>
                <w:sz w:val="24"/>
                <w:szCs w:val="24"/>
              </w:rPr>
            </w:pPr>
          </w:p>
        </w:tc>
        <w:tc>
          <w:tcPr>
            <w:tcW w:w="1260" w:type="dxa"/>
          </w:tcPr>
          <w:p w14:paraId="65151DE0" w14:textId="77777777" w:rsidR="006121BA" w:rsidRDefault="006121BA" w:rsidP="006121BA">
            <w:pPr>
              <w:rPr>
                <w:rFonts w:ascii="Times New Roman" w:hAnsi="Times New Roman" w:cs="Times New Roman"/>
                <w:sz w:val="24"/>
                <w:szCs w:val="24"/>
              </w:rPr>
            </w:pPr>
          </w:p>
        </w:tc>
        <w:tc>
          <w:tcPr>
            <w:tcW w:w="1440" w:type="dxa"/>
          </w:tcPr>
          <w:p w14:paraId="76281328" w14:textId="77777777" w:rsidR="006121BA" w:rsidRDefault="006121BA" w:rsidP="006121BA">
            <w:pPr>
              <w:rPr>
                <w:rFonts w:ascii="Times New Roman" w:hAnsi="Times New Roman" w:cs="Times New Roman"/>
                <w:sz w:val="24"/>
                <w:szCs w:val="24"/>
              </w:rPr>
            </w:pPr>
          </w:p>
        </w:tc>
        <w:tc>
          <w:tcPr>
            <w:tcW w:w="1620" w:type="dxa"/>
          </w:tcPr>
          <w:p w14:paraId="7A73DE3D" w14:textId="77777777" w:rsidR="006121BA" w:rsidRDefault="006121BA" w:rsidP="006121BA">
            <w:pPr>
              <w:rPr>
                <w:rFonts w:ascii="Times New Roman" w:hAnsi="Times New Roman" w:cs="Times New Roman"/>
                <w:sz w:val="24"/>
                <w:szCs w:val="24"/>
              </w:rPr>
            </w:pPr>
          </w:p>
        </w:tc>
        <w:tc>
          <w:tcPr>
            <w:tcW w:w="1260" w:type="dxa"/>
          </w:tcPr>
          <w:p w14:paraId="4A21BBFA" w14:textId="77777777" w:rsidR="006121BA" w:rsidRDefault="006121BA" w:rsidP="006121BA">
            <w:pPr>
              <w:rPr>
                <w:rFonts w:ascii="Times New Roman" w:hAnsi="Times New Roman" w:cs="Times New Roman"/>
                <w:sz w:val="24"/>
                <w:szCs w:val="24"/>
              </w:rPr>
            </w:pPr>
          </w:p>
        </w:tc>
        <w:tc>
          <w:tcPr>
            <w:tcW w:w="1260" w:type="dxa"/>
          </w:tcPr>
          <w:p w14:paraId="0B353C5E" w14:textId="77777777" w:rsidR="006121BA" w:rsidRDefault="006121BA" w:rsidP="006121BA">
            <w:pPr>
              <w:rPr>
                <w:rFonts w:ascii="Times New Roman" w:hAnsi="Times New Roman" w:cs="Times New Roman"/>
                <w:sz w:val="24"/>
                <w:szCs w:val="24"/>
              </w:rPr>
            </w:pPr>
          </w:p>
        </w:tc>
      </w:tr>
      <w:tr w:rsidR="00690489" w14:paraId="3DC774A6" w14:textId="77777777" w:rsidTr="00690489">
        <w:tc>
          <w:tcPr>
            <w:tcW w:w="1795" w:type="dxa"/>
          </w:tcPr>
          <w:p w14:paraId="4AA01A60" w14:textId="77777777" w:rsidR="006121BA" w:rsidRPr="00373028" w:rsidRDefault="006121BA" w:rsidP="006121BA">
            <w:pPr>
              <w:rPr>
                <w:rFonts w:ascii="Times New Roman" w:hAnsi="Times New Roman" w:cs="Times New Roman"/>
                <w:sz w:val="24"/>
                <w:szCs w:val="24"/>
              </w:rPr>
            </w:pPr>
            <w:r>
              <w:rPr>
                <w:rFonts w:ascii="Times New Roman" w:hAnsi="Times New Roman" w:cs="Times New Roman"/>
                <w:sz w:val="24"/>
                <w:szCs w:val="24"/>
              </w:rPr>
              <w:t>Q.5 WBAs</w:t>
            </w:r>
            <w:r w:rsidRPr="00373028">
              <w:rPr>
                <w:rFonts w:ascii="Times New Roman" w:hAnsi="Times New Roman" w:cs="Times New Roman"/>
                <w:sz w:val="24"/>
                <w:szCs w:val="24"/>
              </w:rPr>
              <w:t xml:space="preserve"> identify trainees in difficulty</w:t>
            </w:r>
          </w:p>
          <w:p w14:paraId="7B20B8FA" w14:textId="77777777" w:rsidR="006121BA" w:rsidRDefault="006121BA" w:rsidP="006121BA">
            <w:pPr>
              <w:rPr>
                <w:rFonts w:ascii="Times New Roman" w:hAnsi="Times New Roman" w:cs="Times New Roman"/>
                <w:sz w:val="24"/>
                <w:szCs w:val="24"/>
              </w:rPr>
            </w:pPr>
          </w:p>
        </w:tc>
        <w:tc>
          <w:tcPr>
            <w:tcW w:w="1260" w:type="dxa"/>
          </w:tcPr>
          <w:p w14:paraId="31654270" w14:textId="77777777" w:rsidR="006121BA" w:rsidRDefault="006121BA" w:rsidP="006121BA">
            <w:pPr>
              <w:rPr>
                <w:rFonts w:ascii="Times New Roman" w:hAnsi="Times New Roman" w:cs="Times New Roman"/>
                <w:sz w:val="24"/>
                <w:szCs w:val="24"/>
              </w:rPr>
            </w:pPr>
          </w:p>
        </w:tc>
        <w:tc>
          <w:tcPr>
            <w:tcW w:w="1440" w:type="dxa"/>
          </w:tcPr>
          <w:p w14:paraId="14B280A8" w14:textId="77777777" w:rsidR="006121BA" w:rsidRDefault="006121BA" w:rsidP="006121BA">
            <w:pPr>
              <w:rPr>
                <w:rFonts w:ascii="Times New Roman" w:hAnsi="Times New Roman" w:cs="Times New Roman"/>
                <w:sz w:val="24"/>
                <w:szCs w:val="24"/>
              </w:rPr>
            </w:pPr>
          </w:p>
        </w:tc>
        <w:tc>
          <w:tcPr>
            <w:tcW w:w="1620" w:type="dxa"/>
          </w:tcPr>
          <w:p w14:paraId="1EFE68D4" w14:textId="77777777" w:rsidR="006121BA" w:rsidRDefault="006121BA" w:rsidP="006121BA">
            <w:pPr>
              <w:rPr>
                <w:rFonts w:ascii="Times New Roman" w:hAnsi="Times New Roman" w:cs="Times New Roman"/>
                <w:sz w:val="24"/>
                <w:szCs w:val="24"/>
              </w:rPr>
            </w:pPr>
          </w:p>
        </w:tc>
        <w:tc>
          <w:tcPr>
            <w:tcW w:w="1260" w:type="dxa"/>
          </w:tcPr>
          <w:p w14:paraId="21083E8C" w14:textId="77777777" w:rsidR="006121BA" w:rsidRDefault="006121BA" w:rsidP="006121BA">
            <w:pPr>
              <w:rPr>
                <w:rFonts w:ascii="Times New Roman" w:hAnsi="Times New Roman" w:cs="Times New Roman"/>
                <w:sz w:val="24"/>
                <w:szCs w:val="24"/>
              </w:rPr>
            </w:pPr>
          </w:p>
        </w:tc>
        <w:tc>
          <w:tcPr>
            <w:tcW w:w="1260" w:type="dxa"/>
          </w:tcPr>
          <w:p w14:paraId="545436CF" w14:textId="77777777" w:rsidR="006121BA" w:rsidRDefault="006121BA" w:rsidP="006121BA">
            <w:pPr>
              <w:rPr>
                <w:rFonts w:ascii="Times New Roman" w:hAnsi="Times New Roman" w:cs="Times New Roman"/>
                <w:sz w:val="24"/>
                <w:szCs w:val="24"/>
              </w:rPr>
            </w:pPr>
          </w:p>
        </w:tc>
      </w:tr>
      <w:tr w:rsidR="00690489" w14:paraId="23229E90" w14:textId="77777777" w:rsidTr="00690489">
        <w:tc>
          <w:tcPr>
            <w:tcW w:w="1795" w:type="dxa"/>
          </w:tcPr>
          <w:p w14:paraId="27D2C8CA" w14:textId="77777777" w:rsidR="006121BA" w:rsidRPr="00373028" w:rsidRDefault="006121BA" w:rsidP="006121BA">
            <w:pPr>
              <w:rPr>
                <w:rFonts w:ascii="Times New Roman" w:hAnsi="Times New Roman" w:cs="Times New Roman"/>
                <w:sz w:val="24"/>
                <w:szCs w:val="24"/>
              </w:rPr>
            </w:pPr>
            <w:r>
              <w:rPr>
                <w:rFonts w:ascii="Times New Roman" w:hAnsi="Times New Roman" w:cs="Times New Roman"/>
                <w:sz w:val="24"/>
                <w:szCs w:val="24"/>
              </w:rPr>
              <w:t>Q.6 WBAs</w:t>
            </w:r>
            <w:r w:rsidRPr="00373028">
              <w:rPr>
                <w:rFonts w:ascii="Times New Roman" w:hAnsi="Times New Roman" w:cs="Times New Roman"/>
                <w:sz w:val="24"/>
                <w:szCs w:val="24"/>
              </w:rPr>
              <w:t xml:space="preserve"> accurately reflect trainee progress</w:t>
            </w:r>
          </w:p>
          <w:p w14:paraId="5C6DC7F8" w14:textId="77777777" w:rsidR="006121BA" w:rsidRDefault="006121BA" w:rsidP="006121BA">
            <w:pPr>
              <w:rPr>
                <w:rFonts w:ascii="Times New Roman" w:hAnsi="Times New Roman" w:cs="Times New Roman"/>
                <w:sz w:val="24"/>
                <w:szCs w:val="24"/>
              </w:rPr>
            </w:pPr>
          </w:p>
        </w:tc>
        <w:tc>
          <w:tcPr>
            <w:tcW w:w="1260" w:type="dxa"/>
          </w:tcPr>
          <w:p w14:paraId="7A9D6615" w14:textId="77777777" w:rsidR="006121BA" w:rsidRDefault="006121BA" w:rsidP="006121BA">
            <w:pPr>
              <w:rPr>
                <w:rFonts w:ascii="Times New Roman" w:hAnsi="Times New Roman" w:cs="Times New Roman"/>
                <w:sz w:val="24"/>
                <w:szCs w:val="24"/>
              </w:rPr>
            </w:pPr>
          </w:p>
        </w:tc>
        <w:tc>
          <w:tcPr>
            <w:tcW w:w="1440" w:type="dxa"/>
          </w:tcPr>
          <w:p w14:paraId="0362308A" w14:textId="77777777" w:rsidR="006121BA" w:rsidRDefault="006121BA" w:rsidP="006121BA">
            <w:pPr>
              <w:rPr>
                <w:rFonts w:ascii="Times New Roman" w:hAnsi="Times New Roman" w:cs="Times New Roman"/>
                <w:sz w:val="24"/>
                <w:szCs w:val="24"/>
              </w:rPr>
            </w:pPr>
          </w:p>
        </w:tc>
        <w:tc>
          <w:tcPr>
            <w:tcW w:w="1620" w:type="dxa"/>
          </w:tcPr>
          <w:p w14:paraId="68ECC9D0" w14:textId="77777777" w:rsidR="006121BA" w:rsidRDefault="006121BA" w:rsidP="006121BA">
            <w:pPr>
              <w:rPr>
                <w:rFonts w:ascii="Times New Roman" w:hAnsi="Times New Roman" w:cs="Times New Roman"/>
                <w:sz w:val="24"/>
                <w:szCs w:val="24"/>
              </w:rPr>
            </w:pPr>
          </w:p>
        </w:tc>
        <w:tc>
          <w:tcPr>
            <w:tcW w:w="1260" w:type="dxa"/>
          </w:tcPr>
          <w:p w14:paraId="5F072CCB" w14:textId="77777777" w:rsidR="006121BA" w:rsidRDefault="006121BA" w:rsidP="006121BA">
            <w:pPr>
              <w:rPr>
                <w:rFonts w:ascii="Times New Roman" w:hAnsi="Times New Roman" w:cs="Times New Roman"/>
                <w:sz w:val="24"/>
                <w:szCs w:val="24"/>
              </w:rPr>
            </w:pPr>
          </w:p>
        </w:tc>
        <w:tc>
          <w:tcPr>
            <w:tcW w:w="1260" w:type="dxa"/>
          </w:tcPr>
          <w:p w14:paraId="314E47BB" w14:textId="77777777" w:rsidR="006121BA" w:rsidRDefault="006121BA" w:rsidP="006121BA">
            <w:pPr>
              <w:rPr>
                <w:rFonts w:ascii="Times New Roman" w:hAnsi="Times New Roman" w:cs="Times New Roman"/>
                <w:sz w:val="24"/>
                <w:szCs w:val="24"/>
              </w:rPr>
            </w:pPr>
          </w:p>
        </w:tc>
      </w:tr>
      <w:tr w:rsidR="00690489" w14:paraId="2386A729" w14:textId="77777777" w:rsidTr="00690489">
        <w:trPr>
          <w:trHeight w:val="1430"/>
        </w:trPr>
        <w:tc>
          <w:tcPr>
            <w:tcW w:w="1795" w:type="dxa"/>
            <w:vMerge w:val="restart"/>
          </w:tcPr>
          <w:p w14:paraId="0229B4B0" w14:textId="77777777" w:rsidR="006121BA" w:rsidRPr="00D16237" w:rsidRDefault="006121BA" w:rsidP="006121BA">
            <w:pPr>
              <w:rPr>
                <w:rFonts w:ascii="Times New Roman" w:hAnsi="Times New Roman" w:cs="Times New Roman"/>
                <w:sz w:val="24"/>
                <w:szCs w:val="24"/>
              </w:rPr>
            </w:pPr>
            <w:r>
              <w:rPr>
                <w:rFonts w:ascii="Times New Roman" w:hAnsi="Times New Roman" w:cs="Times New Roman"/>
                <w:sz w:val="24"/>
                <w:szCs w:val="24"/>
              </w:rPr>
              <w:t xml:space="preserve">Q7. </w:t>
            </w:r>
            <w:r w:rsidRPr="00D16237">
              <w:rPr>
                <w:rFonts w:ascii="Times New Roman" w:hAnsi="Times New Roman" w:cs="Times New Roman"/>
                <w:sz w:val="24"/>
                <w:szCs w:val="24"/>
              </w:rPr>
              <w:t xml:space="preserve">Which of these four options do you think are more important? </w:t>
            </w:r>
            <w:r>
              <w:rPr>
                <w:rFonts w:ascii="Times New Roman" w:hAnsi="Times New Roman" w:cs="Times New Roman"/>
                <w:sz w:val="24"/>
                <w:szCs w:val="24"/>
              </w:rPr>
              <w:t>WBAs</w:t>
            </w:r>
            <w:r w:rsidRPr="00D16237">
              <w:rPr>
                <w:rFonts w:ascii="Times New Roman" w:hAnsi="Times New Roman" w:cs="Times New Roman"/>
                <w:sz w:val="24"/>
                <w:szCs w:val="24"/>
              </w:rPr>
              <w:t xml:space="preserve"> are part of the curriculum to:</w:t>
            </w:r>
          </w:p>
          <w:p w14:paraId="15056429" w14:textId="77777777" w:rsidR="006121BA" w:rsidRDefault="006121BA" w:rsidP="006121BA">
            <w:pPr>
              <w:rPr>
                <w:rFonts w:ascii="Times New Roman" w:hAnsi="Times New Roman" w:cs="Times New Roman"/>
                <w:sz w:val="24"/>
                <w:szCs w:val="24"/>
              </w:rPr>
            </w:pPr>
          </w:p>
        </w:tc>
        <w:tc>
          <w:tcPr>
            <w:tcW w:w="1260" w:type="dxa"/>
            <w:shd w:val="clear" w:color="auto" w:fill="D9D9D9" w:themeFill="background1" w:themeFillShade="D9"/>
          </w:tcPr>
          <w:p w14:paraId="0AE0306C"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Help monitor trainee development/progress</w:t>
            </w:r>
          </w:p>
          <w:p w14:paraId="55AE5A34" w14:textId="77777777" w:rsidR="006121BA" w:rsidRPr="00E95F0A" w:rsidRDefault="006121BA" w:rsidP="006121BA">
            <w:pPr>
              <w:rPr>
                <w:rFonts w:ascii="Times New Roman" w:hAnsi="Times New Roman" w:cs="Times New Roman"/>
                <w:b/>
                <w:sz w:val="24"/>
                <w:szCs w:val="24"/>
              </w:rPr>
            </w:pPr>
          </w:p>
        </w:tc>
        <w:tc>
          <w:tcPr>
            <w:tcW w:w="1440" w:type="dxa"/>
            <w:shd w:val="clear" w:color="auto" w:fill="D9D9D9" w:themeFill="background1" w:themeFillShade="D9"/>
          </w:tcPr>
          <w:p w14:paraId="1CC754DC"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Provide structured feedback to trainees</w:t>
            </w:r>
          </w:p>
          <w:p w14:paraId="260F38D7" w14:textId="77777777" w:rsidR="006121BA" w:rsidRPr="00E95F0A" w:rsidRDefault="006121BA" w:rsidP="006121BA">
            <w:pPr>
              <w:rPr>
                <w:rFonts w:ascii="Times New Roman" w:hAnsi="Times New Roman" w:cs="Times New Roman"/>
                <w:b/>
                <w:sz w:val="24"/>
                <w:szCs w:val="24"/>
              </w:rPr>
            </w:pPr>
          </w:p>
        </w:tc>
        <w:tc>
          <w:tcPr>
            <w:tcW w:w="1620" w:type="dxa"/>
            <w:shd w:val="clear" w:color="auto" w:fill="D9D9D9" w:themeFill="background1" w:themeFillShade="D9"/>
          </w:tcPr>
          <w:p w14:paraId="31045D6F"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Satisfy the requirements of the Royal College</w:t>
            </w:r>
          </w:p>
          <w:p w14:paraId="0F813030" w14:textId="77777777" w:rsidR="006121BA" w:rsidRPr="00E95F0A" w:rsidRDefault="006121BA" w:rsidP="006121BA">
            <w:pPr>
              <w:rPr>
                <w:rFonts w:ascii="Times New Roman" w:hAnsi="Times New Roman" w:cs="Times New Roman"/>
                <w:b/>
                <w:sz w:val="24"/>
                <w:szCs w:val="24"/>
              </w:rPr>
            </w:pPr>
          </w:p>
        </w:tc>
        <w:tc>
          <w:tcPr>
            <w:tcW w:w="1260" w:type="dxa"/>
            <w:shd w:val="clear" w:color="auto" w:fill="D9D9D9" w:themeFill="background1" w:themeFillShade="D9"/>
          </w:tcPr>
          <w:p w14:paraId="6A225223"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Provide evidence for ARCP</w:t>
            </w:r>
          </w:p>
          <w:p w14:paraId="41B60B77" w14:textId="77777777" w:rsidR="006121BA" w:rsidRPr="00E95F0A" w:rsidRDefault="006121BA" w:rsidP="006121BA">
            <w:pPr>
              <w:rPr>
                <w:rFonts w:ascii="Times New Roman" w:hAnsi="Times New Roman" w:cs="Times New Roman"/>
                <w:b/>
                <w:sz w:val="24"/>
                <w:szCs w:val="24"/>
              </w:rPr>
            </w:pPr>
          </w:p>
        </w:tc>
        <w:tc>
          <w:tcPr>
            <w:tcW w:w="1260" w:type="dxa"/>
            <w:shd w:val="clear" w:color="auto" w:fill="D9D9D9" w:themeFill="background1" w:themeFillShade="D9"/>
          </w:tcPr>
          <w:p w14:paraId="7FE2ACA4" w14:textId="5C12C266"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 xml:space="preserve">Other </w:t>
            </w:r>
          </w:p>
          <w:p w14:paraId="36061CAB" w14:textId="77777777" w:rsidR="006121BA" w:rsidRPr="00E95F0A" w:rsidRDefault="006121BA" w:rsidP="006121BA">
            <w:pPr>
              <w:rPr>
                <w:rFonts w:ascii="Times New Roman" w:hAnsi="Times New Roman" w:cs="Times New Roman"/>
                <w:b/>
                <w:sz w:val="24"/>
                <w:szCs w:val="24"/>
              </w:rPr>
            </w:pPr>
          </w:p>
        </w:tc>
      </w:tr>
      <w:tr w:rsidR="00690489" w14:paraId="50BC0060" w14:textId="77777777" w:rsidTr="00690489">
        <w:tc>
          <w:tcPr>
            <w:tcW w:w="1795" w:type="dxa"/>
            <w:vMerge/>
          </w:tcPr>
          <w:p w14:paraId="7FC79DF7" w14:textId="77777777" w:rsidR="006121BA" w:rsidRDefault="006121BA" w:rsidP="006121BA">
            <w:pPr>
              <w:rPr>
                <w:rFonts w:ascii="Times New Roman" w:hAnsi="Times New Roman" w:cs="Times New Roman"/>
                <w:sz w:val="24"/>
                <w:szCs w:val="24"/>
              </w:rPr>
            </w:pPr>
          </w:p>
        </w:tc>
        <w:tc>
          <w:tcPr>
            <w:tcW w:w="1260" w:type="dxa"/>
          </w:tcPr>
          <w:p w14:paraId="28041746" w14:textId="77777777" w:rsidR="006121BA" w:rsidRDefault="006121BA" w:rsidP="006121BA">
            <w:pPr>
              <w:rPr>
                <w:rFonts w:ascii="Times New Roman" w:hAnsi="Times New Roman" w:cs="Times New Roman"/>
                <w:sz w:val="24"/>
                <w:szCs w:val="24"/>
              </w:rPr>
            </w:pPr>
          </w:p>
          <w:p w14:paraId="3FFDACB9" w14:textId="77777777" w:rsidR="006121BA" w:rsidRDefault="006121BA" w:rsidP="006121BA">
            <w:pPr>
              <w:rPr>
                <w:rFonts w:ascii="Times New Roman" w:hAnsi="Times New Roman" w:cs="Times New Roman"/>
                <w:sz w:val="24"/>
                <w:szCs w:val="24"/>
              </w:rPr>
            </w:pPr>
          </w:p>
          <w:p w14:paraId="01D81C50" w14:textId="77777777" w:rsidR="006121BA" w:rsidRDefault="006121BA" w:rsidP="006121BA">
            <w:pPr>
              <w:rPr>
                <w:rFonts w:ascii="Times New Roman" w:hAnsi="Times New Roman" w:cs="Times New Roman"/>
                <w:sz w:val="24"/>
                <w:szCs w:val="24"/>
              </w:rPr>
            </w:pPr>
          </w:p>
        </w:tc>
        <w:tc>
          <w:tcPr>
            <w:tcW w:w="1440" w:type="dxa"/>
          </w:tcPr>
          <w:p w14:paraId="5AC2DA24" w14:textId="77777777" w:rsidR="006121BA" w:rsidRDefault="006121BA" w:rsidP="006121BA">
            <w:pPr>
              <w:rPr>
                <w:rFonts w:ascii="Times New Roman" w:hAnsi="Times New Roman" w:cs="Times New Roman"/>
                <w:sz w:val="24"/>
                <w:szCs w:val="24"/>
              </w:rPr>
            </w:pPr>
          </w:p>
        </w:tc>
        <w:tc>
          <w:tcPr>
            <w:tcW w:w="1620" w:type="dxa"/>
          </w:tcPr>
          <w:p w14:paraId="00376FF3" w14:textId="77777777" w:rsidR="006121BA" w:rsidRDefault="006121BA" w:rsidP="006121BA">
            <w:pPr>
              <w:rPr>
                <w:rFonts w:ascii="Times New Roman" w:hAnsi="Times New Roman" w:cs="Times New Roman"/>
                <w:sz w:val="24"/>
                <w:szCs w:val="24"/>
              </w:rPr>
            </w:pPr>
          </w:p>
        </w:tc>
        <w:tc>
          <w:tcPr>
            <w:tcW w:w="1260" w:type="dxa"/>
          </w:tcPr>
          <w:p w14:paraId="69CE71BA" w14:textId="77777777" w:rsidR="006121BA" w:rsidRDefault="006121BA" w:rsidP="006121BA">
            <w:pPr>
              <w:rPr>
                <w:rFonts w:ascii="Times New Roman" w:hAnsi="Times New Roman" w:cs="Times New Roman"/>
                <w:sz w:val="24"/>
                <w:szCs w:val="24"/>
              </w:rPr>
            </w:pPr>
          </w:p>
        </w:tc>
        <w:tc>
          <w:tcPr>
            <w:tcW w:w="1260" w:type="dxa"/>
          </w:tcPr>
          <w:p w14:paraId="2FEDCC1B" w14:textId="77777777" w:rsidR="006121BA" w:rsidRDefault="006121BA" w:rsidP="006121BA">
            <w:pPr>
              <w:rPr>
                <w:rFonts w:ascii="Times New Roman" w:hAnsi="Times New Roman" w:cs="Times New Roman"/>
                <w:sz w:val="24"/>
                <w:szCs w:val="24"/>
              </w:rPr>
            </w:pPr>
          </w:p>
        </w:tc>
      </w:tr>
    </w:tbl>
    <w:p w14:paraId="7A19A600" w14:textId="003CE18F" w:rsidR="00690489" w:rsidRDefault="00690489" w:rsidP="00690489">
      <w:pPr>
        <w:spacing w:line="240" w:lineRule="auto"/>
        <w:rPr>
          <w:rFonts w:ascii="Times New Roman" w:hAnsi="Times New Roman" w:cs="Times New Roman"/>
          <w:sz w:val="24"/>
          <w:szCs w:val="24"/>
        </w:rPr>
      </w:pPr>
      <w:r>
        <w:rPr>
          <w:rFonts w:ascii="Times New Roman" w:hAnsi="Times New Roman" w:cs="Times New Roman"/>
          <w:b/>
          <w:sz w:val="24"/>
          <w:szCs w:val="24"/>
        </w:rPr>
        <w:t>Table</w:t>
      </w:r>
      <w:r w:rsidRPr="00995756">
        <w:rPr>
          <w:rFonts w:ascii="Times New Roman" w:hAnsi="Times New Roman" w:cs="Times New Roman"/>
          <w:b/>
          <w:sz w:val="24"/>
          <w:szCs w:val="24"/>
        </w:rPr>
        <w:t xml:space="preserve"> 3.1 Questionnaire</w:t>
      </w:r>
      <w:r>
        <w:rPr>
          <w:rFonts w:ascii="Times New Roman" w:hAnsi="Times New Roman" w:cs="Times New Roman"/>
          <w:b/>
          <w:sz w:val="24"/>
          <w:szCs w:val="24"/>
        </w:rPr>
        <w:t xml:space="preserve"> (continued on next page)</w:t>
      </w:r>
      <w:r>
        <w:rPr>
          <w:rFonts w:ascii="Times New Roman" w:hAnsi="Times New Roman" w:cs="Times New Roman"/>
          <w:sz w:val="24"/>
          <w:szCs w:val="24"/>
        </w:rPr>
        <w:t>. Participants were asked to select one option from those available (full participant information sheet can be found in Appendix 2). Please note questions 9 and 10 were different for assessors (normal font) and trainees (highlighted in italics).</w:t>
      </w:r>
    </w:p>
    <w:p w14:paraId="3D54BBC3" w14:textId="3FED3AB7" w:rsidR="002D7B4C" w:rsidRDefault="002D7B4C" w:rsidP="00863DF5">
      <w:pPr>
        <w:spacing w:line="480" w:lineRule="auto"/>
        <w:rPr>
          <w:rFonts w:ascii="Times New Roman" w:hAnsi="Times New Roman" w:cs="Times New Roman"/>
          <w:sz w:val="24"/>
          <w:szCs w:val="24"/>
        </w:rPr>
      </w:pPr>
    </w:p>
    <w:p w14:paraId="79927664" w14:textId="1AA8D678" w:rsidR="002D7B4C" w:rsidRDefault="002D7B4C" w:rsidP="00863DF5">
      <w:pPr>
        <w:spacing w:line="480" w:lineRule="auto"/>
        <w:rPr>
          <w:rFonts w:ascii="Times New Roman" w:hAnsi="Times New Roman" w:cs="Times New Roman"/>
          <w:sz w:val="24"/>
          <w:szCs w:val="24"/>
        </w:rPr>
      </w:pPr>
    </w:p>
    <w:tbl>
      <w:tblPr>
        <w:tblStyle w:val="TableGrid"/>
        <w:tblpPr w:leftFromText="180" w:rightFromText="180" w:vertAnchor="text" w:horzAnchor="margin" w:tblpY="-2"/>
        <w:tblW w:w="8635" w:type="dxa"/>
        <w:tblLayout w:type="fixed"/>
        <w:tblLook w:val="04A0" w:firstRow="1" w:lastRow="0" w:firstColumn="1" w:lastColumn="0" w:noHBand="0" w:noVBand="1"/>
      </w:tblPr>
      <w:tblGrid>
        <w:gridCol w:w="1795"/>
        <w:gridCol w:w="1260"/>
        <w:gridCol w:w="1440"/>
        <w:gridCol w:w="1620"/>
        <w:gridCol w:w="1260"/>
        <w:gridCol w:w="1260"/>
      </w:tblGrid>
      <w:tr w:rsidR="006121BA" w14:paraId="5F9F617F" w14:textId="77777777" w:rsidTr="00690489">
        <w:tc>
          <w:tcPr>
            <w:tcW w:w="1795" w:type="dxa"/>
          </w:tcPr>
          <w:p w14:paraId="27E851D5" w14:textId="77777777" w:rsidR="006121BA" w:rsidRDefault="006121BA" w:rsidP="006121BA">
            <w:pPr>
              <w:rPr>
                <w:rFonts w:ascii="Times New Roman" w:hAnsi="Times New Roman" w:cs="Times New Roman"/>
                <w:sz w:val="24"/>
                <w:szCs w:val="24"/>
              </w:rPr>
            </w:pPr>
          </w:p>
        </w:tc>
        <w:tc>
          <w:tcPr>
            <w:tcW w:w="1260" w:type="dxa"/>
            <w:shd w:val="clear" w:color="auto" w:fill="D9D9D9" w:themeFill="background1" w:themeFillShade="D9"/>
          </w:tcPr>
          <w:p w14:paraId="16982F4C"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Strongly agree</w:t>
            </w:r>
          </w:p>
        </w:tc>
        <w:tc>
          <w:tcPr>
            <w:tcW w:w="1440" w:type="dxa"/>
            <w:shd w:val="clear" w:color="auto" w:fill="D9D9D9" w:themeFill="background1" w:themeFillShade="D9"/>
          </w:tcPr>
          <w:p w14:paraId="675B450F"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Agree</w:t>
            </w:r>
          </w:p>
        </w:tc>
        <w:tc>
          <w:tcPr>
            <w:tcW w:w="1620" w:type="dxa"/>
            <w:shd w:val="clear" w:color="auto" w:fill="D9D9D9" w:themeFill="background1" w:themeFillShade="D9"/>
          </w:tcPr>
          <w:p w14:paraId="3375311C"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Neither agree nor disagree</w:t>
            </w:r>
          </w:p>
        </w:tc>
        <w:tc>
          <w:tcPr>
            <w:tcW w:w="1260" w:type="dxa"/>
            <w:shd w:val="clear" w:color="auto" w:fill="D9D9D9" w:themeFill="background1" w:themeFillShade="D9"/>
          </w:tcPr>
          <w:p w14:paraId="31E9BECA"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Disagree</w:t>
            </w:r>
          </w:p>
        </w:tc>
        <w:tc>
          <w:tcPr>
            <w:tcW w:w="1260" w:type="dxa"/>
            <w:shd w:val="clear" w:color="auto" w:fill="D9D9D9" w:themeFill="background1" w:themeFillShade="D9"/>
          </w:tcPr>
          <w:p w14:paraId="6F490706" w14:textId="77777777" w:rsidR="006121BA" w:rsidRPr="00E95F0A" w:rsidRDefault="006121BA" w:rsidP="006121BA">
            <w:pPr>
              <w:rPr>
                <w:rFonts w:ascii="Times New Roman" w:hAnsi="Times New Roman" w:cs="Times New Roman"/>
                <w:b/>
                <w:sz w:val="24"/>
                <w:szCs w:val="24"/>
              </w:rPr>
            </w:pPr>
            <w:r w:rsidRPr="00E95F0A">
              <w:rPr>
                <w:rFonts w:ascii="Times New Roman" w:hAnsi="Times New Roman" w:cs="Times New Roman"/>
                <w:b/>
                <w:sz w:val="24"/>
                <w:szCs w:val="24"/>
              </w:rPr>
              <w:t>Strongly disagree</w:t>
            </w:r>
          </w:p>
        </w:tc>
      </w:tr>
      <w:tr w:rsidR="006121BA" w14:paraId="764FE5C2" w14:textId="77777777" w:rsidTr="00690489">
        <w:tc>
          <w:tcPr>
            <w:tcW w:w="1795" w:type="dxa"/>
          </w:tcPr>
          <w:p w14:paraId="006C29C5" w14:textId="77777777" w:rsidR="006121BA" w:rsidRPr="00E95F0A" w:rsidRDefault="006121BA" w:rsidP="006121BA">
            <w:pPr>
              <w:rPr>
                <w:rFonts w:ascii="Times New Roman" w:hAnsi="Times New Roman" w:cs="Times New Roman"/>
                <w:sz w:val="24"/>
                <w:szCs w:val="24"/>
              </w:rPr>
            </w:pPr>
            <w:r>
              <w:rPr>
                <w:rFonts w:ascii="Times New Roman" w:hAnsi="Times New Roman" w:cs="Times New Roman"/>
                <w:sz w:val="24"/>
                <w:szCs w:val="24"/>
              </w:rPr>
              <w:t xml:space="preserve">Q8. </w:t>
            </w:r>
            <w:r w:rsidRPr="00E95F0A">
              <w:rPr>
                <w:rFonts w:ascii="Times New Roman" w:hAnsi="Times New Roman" w:cs="Times New Roman"/>
                <w:sz w:val="24"/>
                <w:szCs w:val="24"/>
              </w:rPr>
              <w:t xml:space="preserve">The current </w:t>
            </w:r>
            <w:r>
              <w:rPr>
                <w:rFonts w:ascii="Times New Roman" w:hAnsi="Times New Roman" w:cs="Times New Roman"/>
                <w:sz w:val="24"/>
                <w:szCs w:val="24"/>
              </w:rPr>
              <w:t xml:space="preserve">WBAs </w:t>
            </w:r>
            <w:r w:rsidRPr="00E95F0A">
              <w:rPr>
                <w:rFonts w:ascii="Times New Roman" w:hAnsi="Times New Roman" w:cs="Times New Roman"/>
                <w:sz w:val="24"/>
                <w:szCs w:val="24"/>
              </w:rPr>
              <w:t>are acceptable to you as a trainer/trainee</w:t>
            </w:r>
          </w:p>
          <w:p w14:paraId="508B1BDE" w14:textId="77777777" w:rsidR="006121BA" w:rsidRDefault="006121BA" w:rsidP="006121BA">
            <w:pPr>
              <w:rPr>
                <w:rFonts w:ascii="Times New Roman" w:hAnsi="Times New Roman" w:cs="Times New Roman"/>
                <w:sz w:val="24"/>
                <w:szCs w:val="24"/>
              </w:rPr>
            </w:pPr>
          </w:p>
        </w:tc>
        <w:tc>
          <w:tcPr>
            <w:tcW w:w="1260" w:type="dxa"/>
          </w:tcPr>
          <w:p w14:paraId="03B9016C" w14:textId="77777777" w:rsidR="006121BA" w:rsidRDefault="006121BA" w:rsidP="006121BA">
            <w:pPr>
              <w:rPr>
                <w:rFonts w:ascii="Times New Roman" w:hAnsi="Times New Roman" w:cs="Times New Roman"/>
                <w:sz w:val="24"/>
                <w:szCs w:val="24"/>
              </w:rPr>
            </w:pPr>
          </w:p>
        </w:tc>
        <w:tc>
          <w:tcPr>
            <w:tcW w:w="1440" w:type="dxa"/>
          </w:tcPr>
          <w:p w14:paraId="6B784F25" w14:textId="77777777" w:rsidR="006121BA" w:rsidRDefault="006121BA" w:rsidP="006121BA">
            <w:pPr>
              <w:rPr>
                <w:rFonts w:ascii="Times New Roman" w:hAnsi="Times New Roman" w:cs="Times New Roman"/>
                <w:sz w:val="24"/>
                <w:szCs w:val="24"/>
              </w:rPr>
            </w:pPr>
          </w:p>
        </w:tc>
        <w:tc>
          <w:tcPr>
            <w:tcW w:w="1620" w:type="dxa"/>
          </w:tcPr>
          <w:p w14:paraId="01812027" w14:textId="77777777" w:rsidR="006121BA" w:rsidRDefault="006121BA" w:rsidP="006121BA">
            <w:pPr>
              <w:rPr>
                <w:rFonts w:ascii="Times New Roman" w:hAnsi="Times New Roman" w:cs="Times New Roman"/>
                <w:sz w:val="24"/>
                <w:szCs w:val="24"/>
              </w:rPr>
            </w:pPr>
          </w:p>
        </w:tc>
        <w:tc>
          <w:tcPr>
            <w:tcW w:w="1260" w:type="dxa"/>
          </w:tcPr>
          <w:p w14:paraId="51BB2640" w14:textId="77777777" w:rsidR="006121BA" w:rsidRDefault="006121BA" w:rsidP="006121BA">
            <w:pPr>
              <w:rPr>
                <w:rFonts w:ascii="Times New Roman" w:hAnsi="Times New Roman" w:cs="Times New Roman"/>
                <w:sz w:val="24"/>
                <w:szCs w:val="24"/>
              </w:rPr>
            </w:pPr>
          </w:p>
        </w:tc>
        <w:tc>
          <w:tcPr>
            <w:tcW w:w="1260" w:type="dxa"/>
          </w:tcPr>
          <w:p w14:paraId="13B733EE" w14:textId="77777777" w:rsidR="006121BA" w:rsidRDefault="006121BA" w:rsidP="006121BA">
            <w:pPr>
              <w:rPr>
                <w:rFonts w:ascii="Times New Roman" w:hAnsi="Times New Roman" w:cs="Times New Roman"/>
                <w:sz w:val="24"/>
                <w:szCs w:val="24"/>
              </w:rPr>
            </w:pPr>
          </w:p>
        </w:tc>
      </w:tr>
      <w:tr w:rsidR="006121BA" w14:paraId="2A23DDBA" w14:textId="77777777" w:rsidTr="00690489">
        <w:tc>
          <w:tcPr>
            <w:tcW w:w="1795" w:type="dxa"/>
          </w:tcPr>
          <w:p w14:paraId="722E3B6F" w14:textId="77777777" w:rsidR="006121BA" w:rsidRDefault="006121BA" w:rsidP="006121BA">
            <w:pPr>
              <w:rPr>
                <w:rFonts w:ascii="Times New Roman" w:hAnsi="Times New Roman" w:cs="Times New Roman"/>
                <w:sz w:val="24"/>
                <w:szCs w:val="24"/>
              </w:rPr>
            </w:pPr>
            <w:r>
              <w:rPr>
                <w:rFonts w:ascii="Times New Roman" w:hAnsi="Times New Roman" w:cs="Times New Roman"/>
                <w:sz w:val="24"/>
                <w:szCs w:val="24"/>
              </w:rPr>
              <w:t>Q9. You have been given sufficient guidance on how to complete WBAs for trainees</w:t>
            </w:r>
          </w:p>
        </w:tc>
        <w:tc>
          <w:tcPr>
            <w:tcW w:w="1260" w:type="dxa"/>
          </w:tcPr>
          <w:p w14:paraId="72AB0A2E" w14:textId="77777777" w:rsidR="006121BA" w:rsidRDefault="006121BA" w:rsidP="006121BA">
            <w:pPr>
              <w:rPr>
                <w:rFonts w:ascii="Times New Roman" w:hAnsi="Times New Roman" w:cs="Times New Roman"/>
                <w:sz w:val="24"/>
                <w:szCs w:val="24"/>
              </w:rPr>
            </w:pPr>
          </w:p>
        </w:tc>
        <w:tc>
          <w:tcPr>
            <w:tcW w:w="1440" w:type="dxa"/>
          </w:tcPr>
          <w:p w14:paraId="26B28677" w14:textId="77777777" w:rsidR="006121BA" w:rsidRDefault="006121BA" w:rsidP="006121BA">
            <w:pPr>
              <w:rPr>
                <w:rFonts w:ascii="Times New Roman" w:hAnsi="Times New Roman" w:cs="Times New Roman"/>
                <w:sz w:val="24"/>
                <w:szCs w:val="24"/>
              </w:rPr>
            </w:pPr>
          </w:p>
        </w:tc>
        <w:tc>
          <w:tcPr>
            <w:tcW w:w="1620" w:type="dxa"/>
          </w:tcPr>
          <w:p w14:paraId="29DD5188" w14:textId="77777777" w:rsidR="006121BA" w:rsidRDefault="006121BA" w:rsidP="006121BA">
            <w:pPr>
              <w:rPr>
                <w:rFonts w:ascii="Times New Roman" w:hAnsi="Times New Roman" w:cs="Times New Roman"/>
                <w:sz w:val="24"/>
                <w:szCs w:val="24"/>
              </w:rPr>
            </w:pPr>
          </w:p>
        </w:tc>
        <w:tc>
          <w:tcPr>
            <w:tcW w:w="1260" w:type="dxa"/>
          </w:tcPr>
          <w:p w14:paraId="2A8DA121" w14:textId="77777777" w:rsidR="006121BA" w:rsidRDefault="006121BA" w:rsidP="006121BA">
            <w:pPr>
              <w:rPr>
                <w:rFonts w:ascii="Times New Roman" w:hAnsi="Times New Roman" w:cs="Times New Roman"/>
                <w:sz w:val="24"/>
                <w:szCs w:val="24"/>
              </w:rPr>
            </w:pPr>
          </w:p>
        </w:tc>
        <w:tc>
          <w:tcPr>
            <w:tcW w:w="1260" w:type="dxa"/>
          </w:tcPr>
          <w:p w14:paraId="166B36D9" w14:textId="77777777" w:rsidR="006121BA" w:rsidRDefault="006121BA" w:rsidP="006121BA">
            <w:pPr>
              <w:rPr>
                <w:rFonts w:ascii="Times New Roman" w:hAnsi="Times New Roman" w:cs="Times New Roman"/>
                <w:sz w:val="24"/>
                <w:szCs w:val="24"/>
              </w:rPr>
            </w:pPr>
          </w:p>
        </w:tc>
      </w:tr>
      <w:tr w:rsidR="006121BA" w14:paraId="306BE977" w14:textId="77777777" w:rsidTr="00690489">
        <w:tc>
          <w:tcPr>
            <w:tcW w:w="1795" w:type="dxa"/>
          </w:tcPr>
          <w:p w14:paraId="3CFDF991" w14:textId="77777777" w:rsidR="006121BA" w:rsidRPr="00995756" w:rsidRDefault="006121BA" w:rsidP="006121BA">
            <w:pPr>
              <w:rPr>
                <w:rFonts w:ascii="Times New Roman" w:hAnsi="Times New Roman" w:cs="Times New Roman"/>
                <w:i/>
                <w:sz w:val="24"/>
                <w:szCs w:val="24"/>
              </w:rPr>
            </w:pPr>
            <w:r w:rsidRPr="00995756">
              <w:rPr>
                <w:rFonts w:ascii="Times New Roman" w:hAnsi="Times New Roman" w:cs="Times New Roman"/>
                <w:i/>
                <w:sz w:val="24"/>
                <w:szCs w:val="24"/>
              </w:rPr>
              <w:t xml:space="preserve">Q9. Your assessors are accessible to complete </w:t>
            </w:r>
            <w:r>
              <w:rPr>
                <w:rFonts w:ascii="Times New Roman" w:hAnsi="Times New Roman" w:cs="Times New Roman"/>
                <w:i/>
                <w:sz w:val="24"/>
                <w:szCs w:val="24"/>
              </w:rPr>
              <w:t>WBAs</w:t>
            </w:r>
          </w:p>
          <w:p w14:paraId="765C1713" w14:textId="77777777" w:rsidR="006121BA" w:rsidRDefault="006121BA" w:rsidP="006121BA">
            <w:pPr>
              <w:rPr>
                <w:rFonts w:ascii="Times New Roman" w:hAnsi="Times New Roman" w:cs="Times New Roman"/>
                <w:sz w:val="24"/>
                <w:szCs w:val="24"/>
              </w:rPr>
            </w:pPr>
          </w:p>
        </w:tc>
        <w:tc>
          <w:tcPr>
            <w:tcW w:w="1260" w:type="dxa"/>
          </w:tcPr>
          <w:p w14:paraId="45EE2738" w14:textId="77777777" w:rsidR="006121BA" w:rsidRDefault="006121BA" w:rsidP="006121BA">
            <w:pPr>
              <w:spacing w:line="480" w:lineRule="auto"/>
              <w:rPr>
                <w:rFonts w:ascii="Times New Roman" w:hAnsi="Times New Roman" w:cs="Times New Roman"/>
                <w:sz w:val="24"/>
                <w:szCs w:val="24"/>
              </w:rPr>
            </w:pPr>
          </w:p>
        </w:tc>
        <w:tc>
          <w:tcPr>
            <w:tcW w:w="1440" w:type="dxa"/>
          </w:tcPr>
          <w:p w14:paraId="5C6357CC" w14:textId="77777777" w:rsidR="006121BA" w:rsidRDefault="006121BA" w:rsidP="006121BA">
            <w:pPr>
              <w:spacing w:line="480" w:lineRule="auto"/>
              <w:rPr>
                <w:rFonts w:ascii="Times New Roman" w:hAnsi="Times New Roman" w:cs="Times New Roman"/>
                <w:sz w:val="24"/>
                <w:szCs w:val="24"/>
              </w:rPr>
            </w:pPr>
          </w:p>
        </w:tc>
        <w:tc>
          <w:tcPr>
            <w:tcW w:w="1620" w:type="dxa"/>
          </w:tcPr>
          <w:p w14:paraId="6A2C1FBF" w14:textId="77777777" w:rsidR="006121BA" w:rsidRDefault="006121BA" w:rsidP="006121BA">
            <w:pPr>
              <w:spacing w:line="480" w:lineRule="auto"/>
              <w:rPr>
                <w:rFonts w:ascii="Times New Roman" w:hAnsi="Times New Roman" w:cs="Times New Roman"/>
                <w:sz w:val="24"/>
                <w:szCs w:val="24"/>
              </w:rPr>
            </w:pPr>
          </w:p>
        </w:tc>
        <w:tc>
          <w:tcPr>
            <w:tcW w:w="1260" w:type="dxa"/>
          </w:tcPr>
          <w:p w14:paraId="39CADF25" w14:textId="77777777" w:rsidR="006121BA" w:rsidRDefault="006121BA" w:rsidP="006121BA">
            <w:pPr>
              <w:spacing w:line="480" w:lineRule="auto"/>
              <w:rPr>
                <w:rFonts w:ascii="Times New Roman" w:hAnsi="Times New Roman" w:cs="Times New Roman"/>
                <w:sz w:val="24"/>
                <w:szCs w:val="24"/>
              </w:rPr>
            </w:pPr>
          </w:p>
        </w:tc>
        <w:tc>
          <w:tcPr>
            <w:tcW w:w="1260" w:type="dxa"/>
          </w:tcPr>
          <w:p w14:paraId="36DF527A" w14:textId="77777777" w:rsidR="006121BA" w:rsidRDefault="006121BA" w:rsidP="006121BA">
            <w:pPr>
              <w:spacing w:line="480" w:lineRule="auto"/>
              <w:rPr>
                <w:rFonts w:ascii="Times New Roman" w:hAnsi="Times New Roman" w:cs="Times New Roman"/>
                <w:sz w:val="24"/>
                <w:szCs w:val="24"/>
              </w:rPr>
            </w:pPr>
          </w:p>
        </w:tc>
      </w:tr>
      <w:tr w:rsidR="006121BA" w14:paraId="37F6E28A" w14:textId="77777777" w:rsidTr="00690489">
        <w:tc>
          <w:tcPr>
            <w:tcW w:w="1795" w:type="dxa"/>
          </w:tcPr>
          <w:p w14:paraId="36E83739" w14:textId="77777777" w:rsidR="006121BA" w:rsidRPr="00995756" w:rsidRDefault="006121BA" w:rsidP="006121BA">
            <w:pPr>
              <w:rPr>
                <w:rFonts w:ascii="Times New Roman" w:hAnsi="Times New Roman" w:cs="Times New Roman"/>
                <w:i/>
                <w:sz w:val="24"/>
                <w:szCs w:val="24"/>
              </w:rPr>
            </w:pPr>
            <w:r>
              <w:rPr>
                <w:rFonts w:ascii="Times New Roman" w:hAnsi="Times New Roman" w:cs="Times New Roman"/>
                <w:sz w:val="24"/>
                <w:szCs w:val="24"/>
              </w:rPr>
              <w:t>Q.10 Trainees select appropriate cases for WBAs</w:t>
            </w:r>
          </w:p>
        </w:tc>
        <w:tc>
          <w:tcPr>
            <w:tcW w:w="1260" w:type="dxa"/>
          </w:tcPr>
          <w:p w14:paraId="059B5A01" w14:textId="77777777" w:rsidR="006121BA" w:rsidRDefault="006121BA" w:rsidP="006121BA">
            <w:pPr>
              <w:spacing w:line="480" w:lineRule="auto"/>
              <w:rPr>
                <w:rFonts w:ascii="Times New Roman" w:hAnsi="Times New Roman" w:cs="Times New Roman"/>
                <w:sz w:val="24"/>
                <w:szCs w:val="24"/>
              </w:rPr>
            </w:pPr>
          </w:p>
        </w:tc>
        <w:tc>
          <w:tcPr>
            <w:tcW w:w="1440" w:type="dxa"/>
          </w:tcPr>
          <w:p w14:paraId="33D8991A" w14:textId="77777777" w:rsidR="006121BA" w:rsidRDefault="006121BA" w:rsidP="006121BA">
            <w:pPr>
              <w:spacing w:line="480" w:lineRule="auto"/>
              <w:rPr>
                <w:rFonts w:ascii="Times New Roman" w:hAnsi="Times New Roman" w:cs="Times New Roman"/>
                <w:sz w:val="24"/>
                <w:szCs w:val="24"/>
              </w:rPr>
            </w:pPr>
          </w:p>
        </w:tc>
        <w:tc>
          <w:tcPr>
            <w:tcW w:w="1620" w:type="dxa"/>
          </w:tcPr>
          <w:p w14:paraId="177651E4" w14:textId="77777777" w:rsidR="006121BA" w:rsidRDefault="006121BA" w:rsidP="006121BA">
            <w:pPr>
              <w:spacing w:line="480" w:lineRule="auto"/>
              <w:rPr>
                <w:rFonts w:ascii="Times New Roman" w:hAnsi="Times New Roman" w:cs="Times New Roman"/>
                <w:sz w:val="24"/>
                <w:szCs w:val="24"/>
              </w:rPr>
            </w:pPr>
          </w:p>
        </w:tc>
        <w:tc>
          <w:tcPr>
            <w:tcW w:w="1260" w:type="dxa"/>
          </w:tcPr>
          <w:p w14:paraId="31304A55" w14:textId="77777777" w:rsidR="006121BA" w:rsidRDefault="006121BA" w:rsidP="006121BA">
            <w:pPr>
              <w:spacing w:line="480" w:lineRule="auto"/>
              <w:rPr>
                <w:rFonts w:ascii="Times New Roman" w:hAnsi="Times New Roman" w:cs="Times New Roman"/>
                <w:sz w:val="24"/>
                <w:szCs w:val="24"/>
              </w:rPr>
            </w:pPr>
          </w:p>
        </w:tc>
        <w:tc>
          <w:tcPr>
            <w:tcW w:w="1260" w:type="dxa"/>
          </w:tcPr>
          <w:p w14:paraId="24A062B1" w14:textId="77777777" w:rsidR="006121BA" w:rsidRDefault="006121BA" w:rsidP="006121BA">
            <w:pPr>
              <w:spacing w:line="480" w:lineRule="auto"/>
              <w:rPr>
                <w:rFonts w:ascii="Times New Roman" w:hAnsi="Times New Roman" w:cs="Times New Roman"/>
                <w:sz w:val="24"/>
                <w:szCs w:val="24"/>
              </w:rPr>
            </w:pPr>
          </w:p>
        </w:tc>
      </w:tr>
      <w:tr w:rsidR="006121BA" w14:paraId="5BA1B2C0" w14:textId="77777777" w:rsidTr="00690489">
        <w:tc>
          <w:tcPr>
            <w:tcW w:w="1795" w:type="dxa"/>
          </w:tcPr>
          <w:p w14:paraId="155D917E" w14:textId="77777777" w:rsidR="006121BA" w:rsidRPr="00995756" w:rsidRDefault="006121BA" w:rsidP="006121BA">
            <w:pPr>
              <w:rPr>
                <w:rFonts w:ascii="Times New Roman" w:hAnsi="Times New Roman" w:cs="Times New Roman"/>
                <w:i/>
                <w:sz w:val="24"/>
                <w:szCs w:val="24"/>
              </w:rPr>
            </w:pPr>
            <w:r w:rsidRPr="00995756">
              <w:rPr>
                <w:rFonts w:ascii="Times New Roman" w:hAnsi="Times New Roman" w:cs="Times New Roman"/>
                <w:i/>
                <w:sz w:val="24"/>
                <w:szCs w:val="24"/>
              </w:rPr>
              <w:t xml:space="preserve">Q10. Your assessors are engaged and helpful when completing </w:t>
            </w:r>
            <w:r>
              <w:rPr>
                <w:rFonts w:ascii="Times New Roman" w:hAnsi="Times New Roman" w:cs="Times New Roman"/>
                <w:i/>
                <w:sz w:val="24"/>
                <w:szCs w:val="24"/>
              </w:rPr>
              <w:t>WBAs</w:t>
            </w:r>
          </w:p>
          <w:p w14:paraId="41A33B95" w14:textId="77777777" w:rsidR="006121BA" w:rsidRPr="00995756" w:rsidRDefault="006121BA" w:rsidP="006121BA">
            <w:pPr>
              <w:rPr>
                <w:rFonts w:ascii="Times New Roman" w:hAnsi="Times New Roman" w:cs="Times New Roman"/>
                <w:i/>
                <w:sz w:val="24"/>
                <w:szCs w:val="24"/>
              </w:rPr>
            </w:pPr>
          </w:p>
        </w:tc>
        <w:tc>
          <w:tcPr>
            <w:tcW w:w="1260" w:type="dxa"/>
          </w:tcPr>
          <w:p w14:paraId="2E318E6F" w14:textId="77777777" w:rsidR="006121BA" w:rsidRDefault="006121BA" w:rsidP="006121BA">
            <w:pPr>
              <w:spacing w:line="480" w:lineRule="auto"/>
              <w:rPr>
                <w:rFonts w:ascii="Times New Roman" w:hAnsi="Times New Roman" w:cs="Times New Roman"/>
                <w:sz w:val="24"/>
                <w:szCs w:val="24"/>
              </w:rPr>
            </w:pPr>
          </w:p>
        </w:tc>
        <w:tc>
          <w:tcPr>
            <w:tcW w:w="1440" w:type="dxa"/>
          </w:tcPr>
          <w:p w14:paraId="3E3200DB" w14:textId="77777777" w:rsidR="006121BA" w:rsidRDefault="006121BA" w:rsidP="006121BA">
            <w:pPr>
              <w:spacing w:line="480" w:lineRule="auto"/>
              <w:rPr>
                <w:rFonts w:ascii="Times New Roman" w:hAnsi="Times New Roman" w:cs="Times New Roman"/>
                <w:sz w:val="24"/>
                <w:szCs w:val="24"/>
              </w:rPr>
            </w:pPr>
          </w:p>
        </w:tc>
        <w:tc>
          <w:tcPr>
            <w:tcW w:w="1620" w:type="dxa"/>
          </w:tcPr>
          <w:p w14:paraId="1F57A4CE" w14:textId="77777777" w:rsidR="006121BA" w:rsidRDefault="006121BA" w:rsidP="006121BA">
            <w:pPr>
              <w:spacing w:line="480" w:lineRule="auto"/>
              <w:rPr>
                <w:rFonts w:ascii="Times New Roman" w:hAnsi="Times New Roman" w:cs="Times New Roman"/>
                <w:sz w:val="24"/>
                <w:szCs w:val="24"/>
              </w:rPr>
            </w:pPr>
          </w:p>
        </w:tc>
        <w:tc>
          <w:tcPr>
            <w:tcW w:w="1260" w:type="dxa"/>
          </w:tcPr>
          <w:p w14:paraId="005A451D" w14:textId="77777777" w:rsidR="006121BA" w:rsidRDefault="006121BA" w:rsidP="006121BA">
            <w:pPr>
              <w:spacing w:line="480" w:lineRule="auto"/>
              <w:rPr>
                <w:rFonts w:ascii="Times New Roman" w:hAnsi="Times New Roman" w:cs="Times New Roman"/>
                <w:sz w:val="24"/>
                <w:szCs w:val="24"/>
              </w:rPr>
            </w:pPr>
          </w:p>
        </w:tc>
        <w:tc>
          <w:tcPr>
            <w:tcW w:w="1260" w:type="dxa"/>
          </w:tcPr>
          <w:p w14:paraId="221A0795" w14:textId="77777777" w:rsidR="006121BA" w:rsidRDefault="006121BA" w:rsidP="006121BA">
            <w:pPr>
              <w:spacing w:line="480" w:lineRule="auto"/>
              <w:rPr>
                <w:rFonts w:ascii="Times New Roman" w:hAnsi="Times New Roman" w:cs="Times New Roman"/>
                <w:sz w:val="24"/>
                <w:szCs w:val="24"/>
              </w:rPr>
            </w:pPr>
          </w:p>
        </w:tc>
      </w:tr>
    </w:tbl>
    <w:p w14:paraId="17F6A741" w14:textId="1FE48399" w:rsidR="003E5D05" w:rsidRDefault="005073E7" w:rsidP="003E5D05">
      <w:pPr>
        <w:spacing w:line="240" w:lineRule="auto"/>
        <w:rPr>
          <w:rFonts w:ascii="Times New Roman" w:hAnsi="Times New Roman" w:cs="Times New Roman"/>
          <w:sz w:val="24"/>
          <w:szCs w:val="24"/>
        </w:rPr>
      </w:pPr>
      <w:r>
        <w:rPr>
          <w:rFonts w:ascii="Times New Roman" w:hAnsi="Times New Roman" w:cs="Times New Roman"/>
          <w:b/>
          <w:sz w:val="24"/>
          <w:szCs w:val="24"/>
        </w:rPr>
        <w:t>Table</w:t>
      </w:r>
      <w:r w:rsidR="00995756" w:rsidRPr="00995756">
        <w:rPr>
          <w:rFonts w:ascii="Times New Roman" w:hAnsi="Times New Roman" w:cs="Times New Roman"/>
          <w:b/>
          <w:sz w:val="24"/>
          <w:szCs w:val="24"/>
        </w:rPr>
        <w:t xml:space="preserve"> 3.1 Questionnaire</w:t>
      </w:r>
      <w:r w:rsidR="00690489">
        <w:rPr>
          <w:rFonts w:ascii="Times New Roman" w:hAnsi="Times New Roman" w:cs="Times New Roman"/>
          <w:b/>
          <w:sz w:val="24"/>
          <w:szCs w:val="24"/>
        </w:rPr>
        <w:t xml:space="preserve"> continued</w:t>
      </w:r>
      <w:r w:rsidR="00995756">
        <w:rPr>
          <w:rFonts w:ascii="Times New Roman" w:hAnsi="Times New Roman" w:cs="Times New Roman"/>
          <w:sz w:val="24"/>
          <w:szCs w:val="24"/>
        </w:rPr>
        <w:t xml:space="preserve">. Participants were asked to select one option from those available (full participant </w:t>
      </w:r>
      <w:r w:rsidR="00CA4D9B">
        <w:rPr>
          <w:rFonts w:ascii="Times New Roman" w:hAnsi="Times New Roman" w:cs="Times New Roman"/>
          <w:sz w:val="24"/>
          <w:szCs w:val="24"/>
        </w:rPr>
        <w:t>information sheet can be found in Appendix 2</w:t>
      </w:r>
      <w:r w:rsidR="00995756">
        <w:rPr>
          <w:rFonts w:ascii="Times New Roman" w:hAnsi="Times New Roman" w:cs="Times New Roman"/>
          <w:sz w:val="24"/>
          <w:szCs w:val="24"/>
        </w:rPr>
        <w:t>). Please note questions 9 and 10 were different for assessors (normal font) and trainees (highlighted in italics).</w:t>
      </w:r>
    </w:p>
    <w:p w14:paraId="1C994DF0" w14:textId="77777777" w:rsidR="00690489" w:rsidRDefault="00690489" w:rsidP="003E5D05">
      <w:pPr>
        <w:spacing w:line="240" w:lineRule="auto"/>
        <w:rPr>
          <w:rFonts w:ascii="Times New Roman" w:hAnsi="Times New Roman" w:cs="Times New Roman"/>
          <w:sz w:val="24"/>
          <w:szCs w:val="24"/>
        </w:rPr>
      </w:pPr>
    </w:p>
    <w:p w14:paraId="0E72111C" w14:textId="6DC77594" w:rsidR="00863DF5" w:rsidRPr="003E5D05" w:rsidRDefault="00DE62D9" w:rsidP="003E5D05">
      <w:pPr>
        <w:spacing w:line="240" w:lineRule="auto"/>
        <w:rPr>
          <w:rFonts w:ascii="Times New Roman" w:hAnsi="Times New Roman" w:cs="Times New Roman"/>
          <w:sz w:val="24"/>
          <w:szCs w:val="24"/>
        </w:rPr>
      </w:pPr>
      <w:r w:rsidRPr="002D7B4C">
        <w:rPr>
          <w:rFonts w:ascii="Times New Roman" w:hAnsi="Times New Roman" w:cs="Times New Roman"/>
          <w:b/>
          <w:sz w:val="24"/>
          <w:szCs w:val="24"/>
        </w:rPr>
        <w:t>3.3</w:t>
      </w:r>
      <w:r w:rsidR="002F1F09" w:rsidRPr="002D7B4C">
        <w:rPr>
          <w:rFonts w:ascii="Times New Roman" w:hAnsi="Times New Roman" w:cs="Times New Roman"/>
          <w:b/>
          <w:sz w:val="24"/>
          <w:szCs w:val="24"/>
        </w:rPr>
        <w:t xml:space="preserve">.3 </w:t>
      </w:r>
      <w:r w:rsidR="00863DF5" w:rsidRPr="002D7B4C">
        <w:rPr>
          <w:rFonts w:ascii="Times New Roman" w:hAnsi="Times New Roman" w:cs="Times New Roman"/>
          <w:b/>
          <w:sz w:val="24"/>
          <w:szCs w:val="24"/>
        </w:rPr>
        <w:t>Target population</w:t>
      </w:r>
    </w:p>
    <w:p w14:paraId="49070FF3" w14:textId="77777777" w:rsidR="002F1F09" w:rsidRPr="006F3B00" w:rsidRDefault="002F1F09" w:rsidP="002F1F09">
      <w:pPr>
        <w:rPr>
          <w:rFonts w:ascii="Times New Roman" w:hAnsi="Times New Roman" w:cs="Times New Roman"/>
          <w:sz w:val="24"/>
          <w:szCs w:val="24"/>
          <w:lang w:val="en-GB"/>
        </w:rPr>
      </w:pPr>
    </w:p>
    <w:p w14:paraId="2EFBC0A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questionnaire targeted all histopathology consultants and trainees in the United Kingdom as well as those biomedical scientists who complete WBAs for trainees. These individuals were chosen as they complete the majority of WBAs for trainees and therefore potentially offer the greatest insight.</w:t>
      </w:r>
    </w:p>
    <w:p w14:paraId="0B19DB2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The RCPath agreed to use their mailing list to distribute the questionnaire which included all registered assessors (2175) (consultants and biomedical scientists) and trainees (519) from the specialties of general histopathology, OMFP, paediatric pathology, neuropathology and forensic pathology. Collaboration with RCPath was important for several reasons:</w:t>
      </w:r>
    </w:p>
    <w:p w14:paraId="79F9018A" w14:textId="4AC9F0B1" w:rsidR="00863DF5" w:rsidRPr="006F3B00" w:rsidRDefault="00863DF5" w:rsidP="001A1FF3">
      <w:pPr>
        <w:pStyle w:val="ListParagraph"/>
        <w:numPr>
          <w:ilvl w:val="0"/>
          <w:numId w:val="27"/>
        </w:numPr>
        <w:spacing w:line="480" w:lineRule="auto"/>
        <w:rPr>
          <w:rFonts w:ascii="Times New Roman" w:hAnsi="Times New Roman" w:cs="Times New Roman"/>
          <w:sz w:val="24"/>
          <w:szCs w:val="24"/>
        </w:rPr>
      </w:pPr>
      <w:r w:rsidRPr="006F3B00">
        <w:rPr>
          <w:rFonts w:ascii="Times New Roman" w:hAnsi="Times New Roman" w:cs="Times New Roman"/>
          <w:sz w:val="24"/>
          <w:szCs w:val="24"/>
        </w:rPr>
        <w:t>One study has shown that response rates for postal questionnaires are significantly lower from commercial organisations than universities</w:t>
      </w:r>
      <w:r w:rsidR="00B66FBF">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{"citationItems":[{"id":"ITEM-1","itemData":{"DOI":"10.1136/bmj.325.7361.444","ISBN":"1468-5833 (Electronic)\\r0959-535X (Linking)","ISSN":"09598138","PMID":"12016181","abstract":"OBJECTIVE: To identify methods to increase response to postal questionnaires.\\n\\nDESIGN: Systematic review of randomised controlled trials of any method to influence response to postal questionnaires.\\n\\nSTUDIES REVIEWED: 292 randomised controlled trials including 258 315 participants INTERVENTION REVIEWED: 75 strategies for influencing response to postal questionnaires.\\n\\nMAIN OUTCOME MEASURE: The proportion of completed or partially completed questionnaires returned.\\n\\nRESULTS: The odds of response were more than doubled when a monetary incentive was used (odds ratio 2.02; 95% confidence interval 1.79 to 2.27) and almost doubled when incentives were not conditional on response (1.71; 1.29 to 2.26). Response was more likely when short questionnaires were used (1.86; 1.55 to 2.24). Personalised questionnaires and letters increased response (1.16; 1.06 to 1.28), as did the use of coloured ink (1.39; 1.16 to 1.67). The odds of response were more than doubled when the questionnaires were sent by recorded delivery (2.21; 1.51 to 3.25) and increased when stamped return envelopes were used (1.26; 1.13 to 1.41) and questionnaires were sent by first class post (1.12; 1.02 to 1.23). Contacting participants before sending questionnaires increased response (1.54; 1.24 to 1.92), as did follow up contact (1.44; 1.22 to 1.70) and providing non-respondents with a second copy of the questionnaire (1.41; 1.02 to 1.94). Questionnaires designed to be of more interest to participants were more likely to be returned (2.44; 1.99 to 3.01), but questionnaires containing questions of a sensitive nature were less likely to be returned (0.92; 0.87 to 0.98). Questionnaires originating from universities were more likely to be returned than were questionnaires from other sources, such as commercial organisations (1.31; 1.11 to 1.54).\\n\\nCONCLUSIONS: Health researchers using postal questionnaires can improve the quality of their research by using the strategies shown to be effective in this systematic review.","author":[{"dropping-particle":"","family":"Iglesias","given":"C. P","non-dropping-particle":"","parse-names":false,"suffix":""}],"container-title":"BMJ","id":"ITEM-1","issue":"7361","issued":{"date-parts":[["2002"]]},"page":"444-444","title":"Increasing response rates to postal questionnaires","type":"article-journal","volume":"325"},"uris":["http://www.mendeley.com/documents/?uuid=70a37263-1bb6-49d8-810c-9733cbc91155"]}],"mendeley":{"formattedCitation":"(Iglesias, 2002)","plainTextFormattedCitation":"(Iglesias, 2002)","previouslyFormattedCitation":"(Iglesias 2002)"},"properties":{"noteIndex":0},"schema":"https://github.com/citation-style-language/schema/raw/master/csl-citation.json"}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(Iglesias, 2002)</w:t>
      </w:r>
      <w:r w:rsidRPr="006F3B00">
        <w:rPr>
          <w:rFonts w:ascii="Times New Roman" w:hAnsi="Times New Roman" w:cs="Times New Roman"/>
          <w:sz w:val="24"/>
          <w:szCs w:val="24"/>
        </w:rPr>
        <w:fldChar w:fldCharType="end"/>
      </w:r>
      <w:r w:rsidR="00ED6756">
        <w:rPr>
          <w:rFonts w:ascii="Times New Roman" w:hAnsi="Times New Roman" w:cs="Times New Roman"/>
          <w:sz w:val="24"/>
          <w:szCs w:val="24"/>
        </w:rPr>
        <w:t>.</w:t>
      </w:r>
      <w:r w:rsidRPr="006F3B00">
        <w:rPr>
          <w:rFonts w:ascii="Times New Roman" w:hAnsi="Times New Roman" w:cs="Times New Roman"/>
          <w:sz w:val="24"/>
          <w:szCs w:val="24"/>
        </w:rPr>
        <w:t xml:space="preserve"> It was anticipated that by using RCPath to send the invitation email, respondents would have confidence that the questionnaire was from a reputable source and they would be more likely to respond.</w:t>
      </w:r>
    </w:p>
    <w:p w14:paraId="60BD08F0" w14:textId="7FA8FFDC" w:rsidR="00863DF5" w:rsidRPr="006F3B00" w:rsidRDefault="006C05F4" w:rsidP="001A1FF3">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 xml:space="preserve">Working with the RCPath was </w:t>
      </w:r>
      <w:r w:rsidR="00863DF5" w:rsidRPr="006F3B00">
        <w:rPr>
          <w:rFonts w:ascii="Times New Roman" w:hAnsi="Times New Roman" w:cs="Times New Roman"/>
          <w:sz w:val="24"/>
          <w:szCs w:val="24"/>
        </w:rPr>
        <w:t xml:space="preserve">the most efficient method for targeting the relevant individuals as they hold an updated mailing list </w:t>
      </w:r>
      <w:r w:rsidR="00B66FBF" w:rsidRPr="006F3B00">
        <w:rPr>
          <w:rFonts w:ascii="Times New Roman" w:hAnsi="Times New Roman" w:cs="Times New Roman"/>
          <w:sz w:val="24"/>
          <w:szCs w:val="24"/>
        </w:rPr>
        <w:t>of the</w:t>
      </w:r>
      <w:r w:rsidR="00863DF5" w:rsidRPr="006F3B00">
        <w:rPr>
          <w:rFonts w:ascii="Times New Roman" w:hAnsi="Times New Roman" w:cs="Times New Roman"/>
          <w:sz w:val="24"/>
          <w:szCs w:val="24"/>
        </w:rPr>
        <w:t xml:space="preserve"> aforementioned individuals</w:t>
      </w:r>
    </w:p>
    <w:p w14:paraId="4F0CB820" w14:textId="77777777" w:rsidR="00863DF5" w:rsidRPr="006F3B00" w:rsidRDefault="00863DF5" w:rsidP="001A1FF3">
      <w:pPr>
        <w:pStyle w:val="ListParagraph"/>
        <w:numPr>
          <w:ilvl w:val="0"/>
          <w:numId w:val="27"/>
        </w:numPr>
        <w:spacing w:line="480" w:lineRule="auto"/>
        <w:rPr>
          <w:rFonts w:ascii="Times New Roman" w:hAnsi="Times New Roman" w:cs="Times New Roman"/>
          <w:sz w:val="24"/>
          <w:szCs w:val="24"/>
        </w:rPr>
      </w:pPr>
      <w:r w:rsidRPr="006F3B00">
        <w:rPr>
          <w:rFonts w:ascii="Times New Roman" w:hAnsi="Times New Roman" w:cs="Times New Roman"/>
          <w:sz w:val="24"/>
          <w:szCs w:val="24"/>
        </w:rPr>
        <w:t>The results of the questionnaire and/or future studies are potentially of interest to the RCPath given their role in overseeing assessment tools for trainees. Lack of consultation at this stage may have adversely affected future collaboration in the field of pathology education.</w:t>
      </w:r>
    </w:p>
    <w:p w14:paraId="360094C5" w14:textId="5037C1DB"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order to ensure reliable conclusions could be drawn from the questionnaire data, it was important to know what an acceptable response rate would be. There is no agreed standard for response rates but the purpose is  to achieve representativeness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{"citationItems":[{"id":"ITEM-1","itemData":{"DOI":"10.5688/aj720243","ISSN":"15536467","PMID":"18483608","abstract":"The Journal has regularly published the results of survey research. As an academy we seem to be very interested in learning what our faculty members and students think, how they perform, and what is going on at other schools and colleges of pharmacy. A survey is often the best approach to acquiring that knowledge. However, the Editors believe that survey research published in the Journal has varied in quality and that standards for survey research can be used to improve the quality of research in the academy and the quality of papers published in the Journal. With that in mind, a decision was made in early 2008 to clarify expectations for survey research manuscripts submitted to the Journal. In Volume 72, Issue 1 of the Journal, Draugalis and colleagues1 presented an excellent paper detailing ‘‘best practices’’ for survey research manuscripts. These standards are now recommended to authors and reviewers, and will be used by the Editors in making decisions regarding acceptance of manuscripts. One item addressed in the paper1 was the importance of response rates to questionnaire research, while another issue dealt with sample representativeness. The Draugalis et al1 paper and an examination of previously published survey research manuscripts in the Journal has led to the application of more stringent expectations for manuscripts published in the Journal.","author":[{"dropping-particle":"","family":"Fincham","given":"Jack E.","non-dropping-particle":"","parse-names":false,"suffix":""}],"container-title":"American journal of pharmaceutical education","id":"ITEM-1","issue":"2","issued":{"date-parts":[["2008"]]},"page":"43","title":"Response rates and responsiveness for surveys, standards, and the Journal.","type":"article","volume":"72"},"uris":["http://www.mendeley.com/documents/?uuid=9e01d8cb-c5ea-43a3-b5a6-81a0d0f204b9"]}],"mendeley":{"formattedCitation":"(Fincham, 2008)","plainTextFormattedCitation":"(Fincham, 2008)","previouslyFormattedCitation":"(Fincham 2008)"},"properties":{"noteIndex":0},"schema":"https://github.com/citation-style-language/schema/raw/master/csl-citation.json"}</w:instrText>
      </w:r>
      <w:r w:rsidRPr="006F3B00">
        <w:rPr>
          <w:rFonts w:ascii="Times New Roman" w:hAnsi="Times New Roman" w:cs="Times New Roman"/>
          <w:sz w:val="24"/>
          <w:szCs w:val="24"/>
        </w:rPr>
        <w:fldChar w:fldCharType="separate"/>
      </w:r>
      <w:r w:rsidR="007C6E3B">
        <w:rPr>
          <w:rFonts w:ascii="Times New Roman" w:hAnsi="Times New Roman" w:cs="Times New Roman"/>
          <w:noProof/>
          <w:sz w:val="24"/>
          <w:szCs w:val="24"/>
        </w:rPr>
        <w:t>(Fincham</w:t>
      </w:r>
      <w:r w:rsidR="00BE3B6C" w:rsidRPr="00BE3B6C">
        <w:rPr>
          <w:rFonts w:ascii="Times New Roman" w:hAnsi="Times New Roman" w:cs="Times New Roman"/>
          <w:noProof/>
          <w:sz w:val="24"/>
          <w:szCs w:val="24"/>
        </w:rPr>
        <w:t xml:space="preserve"> 2008)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This can be calculated with the formula</w:t>
      </w:r>
      <w:r w:rsidR="004C5E3D">
        <w:rPr>
          <w:rFonts w:ascii="Times New Roman" w:hAnsi="Times New Roman" w:cs="Times New Roman"/>
          <w:sz w:val="24"/>
          <w:szCs w:val="24"/>
        </w:rPr>
        <w:t xml:space="preserve"> shown in Figure 3.1</w:t>
      </w:r>
      <w:r w:rsidRPr="006F3B00">
        <w:rPr>
          <w:rFonts w:ascii="Times New Roman" w:hAnsi="Times New Roman" w:cs="Times New Roman"/>
          <w:sz w:val="24"/>
          <w:szCs w:val="24"/>
        </w:rPr>
        <w:t xml:space="preserve"> below</w:t>
      </w:r>
      <w:r w:rsidR="00B66FBF">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{"citationItems":[{"id":"ITEM-1","itemData":{"author":[{"dropping-particle":"","family":"Daniel","given":"WW","non-dropping-particle":"","parse-names":false,"suffix":""}],"edition":"7th Editio","id":"ITEM-1","issued":{"date-parts":[["1999"]]},"publisher":"John Wiley &amp; Sons, Ltd","publisher-place":"New York, NY","title":"Biostatistics: A Foundation for Analysis in the Health Sciences.","type":"book"},"uris":["http://www.mendeley.com/documents/?uuid=701dbe05-c716-4f54-ac7f-2a7e02906686"]}],"mendeley":{"formattedCitation":"(Daniel, 1999)","plainTextFormattedCitation":"(Daniel, 1999)","previouslyFormattedCitation":"(Daniel 1999)"},"properties":{"noteIndex":0},"schema":"https://github.com/citation-style-language/schema/raw/master/csl-citation.json"}</w:instrText>
      </w:r>
      <w:r w:rsidRPr="006F3B00">
        <w:rPr>
          <w:rFonts w:ascii="Times New Roman" w:hAnsi="Times New Roman" w:cs="Times New Roman"/>
          <w:sz w:val="24"/>
          <w:szCs w:val="24"/>
        </w:rPr>
        <w:fldChar w:fldCharType="separate"/>
      </w:r>
      <w:r w:rsidR="007C6E3B">
        <w:rPr>
          <w:rFonts w:ascii="Times New Roman" w:hAnsi="Times New Roman" w:cs="Times New Roman"/>
          <w:noProof/>
          <w:sz w:val="24"/>
          <w:szCs w:val="24"/>
        </w:rPr>
        <w:t>(Daniel</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4F5807A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noProof/>
          <w:sz w:val="24"/>
          <w:szCs w:val="24"/>
        </w:rPr>
        <w:lastRenderedPageBreak/>
        <w:drawing>
          <wp:inline distT="0" distB="0" distL="0" distR="0" wp14:anchorId="30C291A3" wp14:editId="15E7E151">
            <wp:extent cx="1428115" cy="1317967"/>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ULA SAMPLE SIZE.jpg"/>
                    <pic:cNvPicPr/>
                  </pic:nvPicPr>
                  <pic:blipFill rotWithShape="1">
                    <a:blip r:embed="rId15" cstate="print">
                      <a:extLst>
                        <a:ext uri="{28A0092B-C50C-407E-A947-70E740481C1C}">
                          <a14:useLocalDpi xmlns:a14="http://schemas.microsoft.com/office/drawing/2010/main" val="0"/>
                        </a:ext>
                      </a:extLst>
                    </a:blip>
                    <a:srcRect l="16307" t="34812" r="60399" b="36350"/>
                    <a:stretch/>
                  </pic:blipFill>
                  <pic:spPr bwMode="auto">
                    <a:xfrm>
                      <a:off x="0" y="0"/>
                      <a:ext cx="1432570" cy="1322078"/>
                    </a:xfrm>
                    <a:prstGeom prst="rect">
                      <a:avLst/>
                    </a:prstGeom>
                    <a:ln>
                      <a:noFill/>
                    </a:ln>
                    <a:extLst>
                      <a:ext uri="{53640926-AAD7-44D8-BBD7-CCE9431645EC}">
                        <a14:shadowObscured xmlns:a14="http://schemas.microsoft.com/office/drawing/2010/main"/>
                      </a:ext>
                    </a:extLst>
                  </pic:spPr>
                </pic:pic>
              </a:graphicData>
            </a:graphic>
          </wp:inline>
        </w:drawing>
      </w:r>
    </w:p>
    <w:p w14:paraId="23FFB7D9" w14:textId="51BD14AE" w:rsidR="004C5E3D" w:rsidRDefault="004C5E3D" w:rsidP="005073E7">
      <w:pPr>
        <w:spacing w:before="100" w:beforeAutospacing="1" w:after="100" w:afterAutospacing="1" w:line="240" w:lineRule="auto"/>
        <w:rPr>
          <w:rFonts w:ascii="Times New Roman" w:hAnsi="Times New Roman" w:cs="Times New Roman"/>
          <w:sz w:val="24"/>
          <w:szCs w:val="24"/>
        </w:rPr>
      </w:pPr>
      <w:r w:rsidRPr="004C5E3D">
        <w:rPr>
          <w:rFonts w:ascii="Times New Roman" w:eastAsia="Times New Roman" w:hAnsi="Times New Roman" w:cs="Times New Roman"/>
          <w:b/>
          <w:iCs/>
          <w:sz w:val="24"/>
          <w:szCs w:val="24"/>
          <w:lang w:eastAsia="en-GB"/>
        </w:rPr>
        <w:t xml:space="preserve">Figure 3.1. Formula to calculate number of respondents required for a given </w:t>
      </w:r>
      <w:r>
        <w:rPr>
          <w:rFonts w:ascii="Times New Roman" w:eastAsia="Times New Roman" w:hAnsi="Times New Roman" w:cs="Times New Roman"/>
          <w:b/>
          <w:iCs/>
          <w:sz w:val="24"/>
          <w:szCs w:val="24"/>
          <w:lang w:eastAsia="en-GB"/>
        </w:rPr>
        <w:t xml:space="preserve">level of reliability </w:t>
      </w:r>
      <w:r>
        <w:rPr>
          <w:rFonts w:ascii="Times New Roman" w:eastAsia="Times New Roman" w:hAnsi="Times New Roman" w:cs="Times New Roman"/>
          <w:b/>
          <w:iCs/>
          <w:sz w:val="24"/>
          <w:szCs w:val="24"/>
          <w:lang w:eastAsia="en-GB"/>
        </w:rPr>
        <w:fldChar w:fldCharType="begin" w:fldLock="1"/>
      </w:r>
      <w:r w:rsidR="00BE3B6C">
        <w:rPr>
          <w:rFonts w:ascii="Times New Roman" w:eastAsia="Times New Roman" w:hAnsi="Times New Roman" w:cs="Times New Roman"/>
          <w:b/>
          <w:iCs/>
          <w:sz w:val="24"/>
          <w:szCs w:val="24"/>
          <w:lang w:eastAsia="en-GB"/>
        </w:rPr>
        <w:instrText>ADDIN CSL_CITATION {"citationItems":[{"id":"ITEM-1","itemData":{"author":[{"dropping-particle":"","family":"Daniel","given":"WW","non-dropping-particle":"","parse-names":false,"suffix":""}],"edition":"7th Editio","id":"ITEM-1","issued":{"date-parts":[["1999"]]},"publisher":"John Wiley &amp; Sons, Ltd","publisher-place":"New York, NY","title":"Biostatistics: A Foundation for Analysis in the Health Sciences.","type":"book"},"uris":["http://www.mendeley.com/documents/?uuid=701dbe05-c716-4f54-ac7f-2a7e02906686"]}],"mendeley":{"formattedCitation":"(Daniel, 1999)","plainTextFormattedCitation":"(Daniel, 1999)","previouslyFormattedCitation":"(Daniel 1999)"},"properties":{"noteIndex":0},"schema":"https://github.com/citation-style-language/schema/raw/master/csl-citation.json"}</w:instrText>
      </w:r>
      <w:r>
        <w:rPr>
          <w:rFonts w:ascii="Times New Roman" w:eastAsia="Times New Roman" w:hAnsi="Times New Roman" w:cs="Times New Roman"/>
          <w:b/>
          <w:iCs/>
          <w:sz w:val="24"/>
          <w:szCs w:val="24"/>
          <w:lang w:eastAsia="en-GB"/>
        </w:rPr>
        <w:fldChar w:fldCharType="separate"/>
      </w:r>
      <w:r w:rsidR="007C6E3B">
        <w:rPr>
          <w:rFonts w:ascii="Times New Roman" w:eastAsia="Times New Roman" w:hAnsi="Times New Roman" w:cs="Times New Roman"/>
          <w:iCs/>
          <w:noProof/>
          <w:sz w:val="24"/>
          <w:szCs w:val="24"/>
          <w:lang w:eastAsia="en-GB"/>
        </w:rPr>
        <w:t>(Daniel</w:t>
      </w:r>
      <w:r w:rsidR="00BE3B6C" w:rsidRPr="00BE3B6C">
        <w:rPr>
          <w:rFonts w:ascii="Times New Roman" w:eastAsia="Times New Roman" w:hAnsi="Times New Roman" w:cs="Times New Roman"/>
          <w:iCs/>
          <w:noProof/>
          <w:sz w:val="24"/>
          <w:szCs w:val="24"/>
          <w:lang w:eastAsia="en-GB"/>
        </w:rPr>
        <w:t xml:space="preserve"> 1999)</w:t>
      </w:r>
      <w:r>
        <w:rPr>
          <w:rFonts w:ascii="Times New Roman" w:eastAsia="Times New Roman" w:hAnsi="Times New Roman" w:cs="Times New Roman"/>
          <w:b/>
          <w:iCs/>
          <w:sz w:val="24"/>
          <w:szCs w:val="24"/>
          <w:lang w:eastAsia="en-GB"/>
        </w:rPr>
        <w:fldChar w:fldCharType="end"/>
      </w:r>
      <w:r w:rsidRPr="004C5E3D">
        <w:rPr>
          <w:rFonts w:ascii="Times New Roman" w:eastAsia="Times New Roman" w:hAnsi="Times New Roman" w:cs="Times New Roman"/>
          <w:b/>
          <w:iCs/>
          <w:sz w:val="24"/>
          <w:szCs w:val="24"/>
          <w:lang w:eastAsia="en-GB"/>
        </w:rPr>
        <w:t xml:space="preserve">. </w:t>
      </w:r>
      <w:r>
        <w:rPr>
          <w:rFonts w:ascii="Times New Roman" w:eastAsia="Times New Roman" w:hAnsi="Times New Roman" w:cs="Times New Roman"/>
          <w:iCs/>
          <w:sz w:val="24"/>
          <w:szCs w:val="24"/>
          <w:lang w:eastAsia="en-GB"/>
        </w:rPr>
        <w:t xml:space="preserve"> </w:t>
      </w:r>
      <w:r w:rsidR="00863DF5" w:rsidRPr="006F3B00">
        <w:rPr>
          <w:rFonts w:ascii="Times New Roman" w:eastAsia="Times New Roman" w:hAnsi="Times New Roman" w:cs="Times New Roman"/>
          <w:iCs/>
          <w:sz w:val="24"/>
          <w:szCs w:val="24"/>
          <w:lang w:eastAsia="en-GB"/>
        </w:rPr>
        <w:t>Population</w:t>
      </w:r>
      <w:r>
        <w:rPr>
          <w:rFonts w:ascii="Times New Roman" w:eastAsia="Times New Roman" w:hAnsi="Times New Roman" w:cs="Times New Roman"/>
          <w:iCs/>
          <w:sz w:val="24"/>
          <w:szCs w:val="24"/>
          <w:lang w:eastAsia="en-GB"/>
        </w:rPr>
        <w:t xml:space="preserve"> Size = N, </w:t>
      </w:r>
      <w:r w:rsidR="00863DF5" w:rsidRPr="006F3B00">
        <w:rPr>
          <w:rFonts w:ascii="Times New Roman" w:eastAsia="Times New Roman" w:hAnsi="Times New Roman" w:cs="Times New Roman"/>
          <w:iCs/>
          <w:sz w:val="24"/>
          <w:szCs w:val="24"/>
          <w:lang w:eastAsia="en-GB"/>
        </w:rPr>
        <w:t>Margin</w:t>
      </w:r>
      <w:r w:rsidR="00AF0335">
        <w:rPr>
          <w:rFonts w:ascii="Times New Roman" w:eastAsia="Times New Roman" w:hAnsi="Times New Roman" w:cs="Times New Roman"/>
          <w:iCs/>
          <w:sz w:val="24"/>
          <w:szCs w:val="24"/>
          <w:lang w:eastAsia="en-GB"/>
        </w:rPr>
        <w:t xml:space="preserve"> of error = e</w:t>
      </w:r>
      <w:r>
        <w:rPr>
          <w:rFonts w:ascii="Times New Roman" w:eastAsia="Times New Roman" w:hAnsi="Times New Roman" w:cs="Times New Roman"/>
          <w:iCs/>
          <w:sz w:val="24"/>
          <w:szCs w:val="24"/>
          <w:lang w:eastAsia="en-GB"/>
        </w:rPr>
        <w:t>, Z</w:t>
      </w:r>
      <w:r w:rsidR="00863DF5" w:rsidRPr="006F3B00">
        <w:rPr>
          <w:rFonts w:ascii="Times New Roman" w:eastAsia="Times New Roman" w:hAnsi="Times New Roman" w:cs="Times New Roman"/>
          <w:iCs/>
          <w:sz w:val="24"/>
          <w:szCs w:val="24"/>
          <w:lang w:eastAsia="en-GB"/>
        </w:rPr>
        <w:t>-score = z (</w:t>
      </w:r>
      <w:r w:rsidR="00863DF5" w:rsidRPr="006F3B00">
        <w:rPr>
          <w:rFonts w:ascii="Times New Roman" w:hAnsi="Times New Roman" w:cs="Times New Roman"/>
          <w:sz w:val="24"/>
          <w:szCs w:val="24"/>
        </w:rPr>
        <w:t>The z-score is the number of standard deviations a given proportion is away from the mean</w:t>
      </w:r>
      <w:r w:rsidR="006C05F4">
        <w:rPr>
          <w:rFonts w:ascii="Times New Roman" w:hAnsi="Times New Roman" w:cs="Times New Roman"/>
          <w:sz w:val="24"/>
          <w:szCs w:val="24"/>
        </w:rPr>
        <w:t>)</w:t>
      </w:r>
      <w:r>
        <w:rPr>
          <w:rFonts w:ascii="Times New Roman" w:eastAsia="Times New Roman" w:hAnsi="Times New Roman" w:cs="Times New Roman"/>
          <w:iCs/>
          <w:sz w:val="24"/>
          <w:szCs w:val="24"/>
          <w:lang w:eastAsia="en-GB"/>
        </w:rPr>
        <w:t>, P</w:t>
      </w:r>
      <w:r w:rsidR="00863DF5" w:rsidRPr="006F3B00">
        <w:rPr>
          <w:rFonts w:ascii="Times New Roman" w:eastAsia="Times New Roman" w:hAnsi="Times New Roman" w:cs="Times New Roman"/>
          <w:iCs/>
          <w:sz w:val="24"/>
          <w:szCs w:val="24"/>
          <w:lang w:eastAsia="en-GB"/>
        </w:rPr>
        <w:t xml:space="preserve">ercentage value = p </w:t>
      </w:r>
      <w:r w:rsidR="00863DF5" w:rsidRPr="006F3B00">
        <w:rPr>
          <w:rFonts w:ascii="Times New Roman" w:hAnsi="Times New Roman" w:cs="Times New Roman"/>
          <w:sz w:val="24"/>
          <w:szCs w:val="24"/>
        </w:rPr>
        <w:t>(percentage picking a choice, expressed as decimal)</w:t>
      </w:r>
      <w:r>
        <w:rPr>
          <w:rFonts w:ascii="Times New Roman" w:hAnsi="Times New Roman" w:cs="Times New Roman"/>
          <w:sz w:val="24"/>
          <w:szCs w:val="24"/>
        </w:rPr>
        <w:t>.</w:t>
      </w:r>
    </w:p>
    <w:p w14:paraId="44FF15FC" w14:textId="31DE8893" w:rsidR="00863DF5" w:rsidRPr="006F3B00" w:rsidRDefault="00B66FBF" w:rsidP="004C5E3D">
      <w:p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 xml:space="preserve">Using the above formula </w:t>
      </w:r>
      <w:r w:rsidR="00863DF5" w:rsidRPr="006F3B00">
        <w:rPr>
          <w:rFonts w:ascii="Times New Roman" w:hAnsi="Times New Roman" w:cs="Times New Roman"/>
          <w:sz w:val="24"/>
          <w:szCs w:val="24"/>
        </w:rPr>
        <w:t>221 trainees out of the 519 targeted would have to reply to achieve results that are reliable with a 95% confidence level and 5% margin of error. To explain</w:t>
      </w:r>
      <w:r w:rsidR="0024083B">
        <w:rPr>
          <w:rFonts w:ascii="Times New Roman" w:hAnsi="Times New Roman" w:cs="Times New Roman"/>
          <w:sz w:val="24"/>
          <w:szCs w:val="24"/>
        </w:rPr>
        <w:t xml:space="preserve"> further</w:t>
      </w:r>
      <w:r w:rsidR="00863DF5" w:rsidRPr="006F3B00">
        <w:rPr>
          <w:rFonts w:ascii="Times New Roman" w:hAnsi="Times New Roman" w:cs="Times New Roman"/>
          <w:sz w:val="24"/>
          <w:szCs w:val="24"/>
        </w:rPr>
        <w:t>, if the response to a particular question was “60% strongly agree”, in actual fact the true number which actually strongly agreed would fall between 55% and 65% (5% margin of error)</w:t>
      </w:r>
      <w:r>
        <w:rPr>
          <w:rFonts w:ascii="Times New Roman" w:hAnsi="Times New Roman" w:cs="Times New Roman"/>
          <w:sz w:val="24"/>
          <w:szCs w:val="24"/>
        </w:rPr>
        <w:t>,</w:t>
      </w:r>
      <w:r w:rsidR="00863DF5" w:rsidRPr="006F3B00">
        <w:rPr>
          <w:rFonts w:ascii="Times New Roman" w:hAnsi="Times New Roman" w:cs="Times New Roman"/>
          <w:sz w:val="24"/>
          <w:szCs w:val="24"/>
        </w:rPr>
        <w:t xml:space="preserve"> 19 </w:t>
      </w:r>
      <w:r>
        <w:rPr>
          <w:rFonts w:ascii="Times New Roman" w:hAnsi="Times New Roman" w:cs="Times New Roman"/>
          <w:sz w:val="24"/>
          <w:szCs w:val="24"/>
        </w:rPr>
        <w:t xml:space="preserve">times </w:t>
      </w:r>
      <w:r w:rsidR="00863DF5" w:rsidRPr="006F3B00">
        <w:rPr>
          <w:rFonts w:ascii="Times New Roman" w:hAnsi="Times New Roman" w:cs="Times New Roman"/>
          <w:sz w:val="24"/>
          <w:szCs w:val="24"/>
        </w:rPr>
        <w:t xml:space="preserve">out of 20  (95%).  </w:t>
      </w:r>
    </w:p>
    <w:p w14:paraId="08FB41B0" w14:textId="3467836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However, it is important to point out that the above formula is suited to questionnaires that have used random sampling.  In this study design, the entire population is targeted and if the entire population responded to the questionnaire, then representativeness would be achieved. However, what is more likely is that a proportion of this population will respond so random sampling is not achieved as those who respond are not a random selection. They will be systematically different than those who do not respond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{"citationItems":[{"id":"ITEM-1","itemData":{"DOI":"10.1177/00131640021970934","ISSN":"00131644","abstract":"Response representativeness is more important than response rate in survey research. However, response rate is important if it bears on representativeness. The present meta-analysis explores factors associated with higher response rates in electronic sur- veys reported in both published and unpublished research. The number of contacts, per- sonalized contacts, and precontacts are the factors most associated with higher response rates in the Web studies that are analyzed.","author":[{"dropping-particle":"","family":"Cook","given":"Colleen","non-dropping-particle":"","parse-names":false,"suffix":""},{"dropping-particle":"","family":"Heath","given":"Fred","non-dropping-particle":"","parse-names":false,"suffix":""},{"dropping-particle":"","family":"Thompson","given":"Russel L.","non-dropping-particle":"","parse-names":false,"suffix":""}],"container-title":"Educational and Psychological Measurement","id":"ITEM-1","issue":"6","issued":{"date-parts":[["2000"]]},"page":"821-836","title":"A meta-analysis of response rates in Web- or internet-based surveys","type":"article-journal","volume":"60"},"uris":["http://www.mendeley.com/documents/?uuid=0580facd-8a59-4e59-bff4-4438f76dc28c"]}],"mendeley":{"formattedCitation":"(Cook, Heath and Thompson, 2000)","plainTextFormattedCitation":"(Cook, Heath and Thompson, 2000)","previouslyFormattedCitation":"(C. Cook, Heath, and Thompson 2000)"},"properties":{"noteIndex":0},"schema":"https://github.com/citation-style-language/schema/raw/master/csl-citation.json"}</w:instrText>
      </w:r>
      <w:r w:rsidRPr="006F3B00">
        <w:rPr>
          <w:rFonts w:ascii="Times New Roman" w:hAnsi="Times New Roman" w:cs="Times New Roman"/>
          <w:sz w:val="24"/>
          <w:szCs w:val="24"/>
        </w:rPr>
        <w:fldChar w:fldCharType="separate"/>
      </w:r>
      <w:r w:rsidR="007C6E3B">
        <w:rPr>
          <w:rFonts w:ascii="Times New Roman" w:hAnsi="Times New Roman" w:cs="Times New Roman"/>
          <w:noProof/>
          <w:sz w:val="24"/>
          <w:szCs w:val="24"/>
        </w:rPr>
        <w:t>(Cook, Heath and Thompson</w:t>
      </w:r>
      <w:r w:rsidR="00BE3B6C" w:rsidRPr="00BE3B6C">
        <w:rPr>
          <w:rFonts w:ascii="Times New Roman" w:hAnsi="Times New Roman" w:cs="Times New Roman"/>
          <w:noProof/>
          <w:sz w:val="24"/>
          <w:szCs w:val="24"/>
        </w:rPr>
        <w:t xml:space="preserve"> 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Upon consultation, RCPath, indicated that previous questionnaires to the same group of individuals had suffered very poor response rates so it was felt necessary to target the entire population in order to capture opinion. Therefore, the response rate formula above was used only as a guide and those methods which are reported to increa</w:t>
      </w:r>
      <w:r w:rsidR="00A2254E">
        <w:rPr>
          <w:rFonts w:ascii="Times New Roman" w:hAnsi="Times New Roman" w:cs="Times New Roman"/>
          <w:sz w:val="24"/>
          <w:szCs w:val="24"/>
        </w:rPr>
        <w:t>se response rates were utilised</w:t>
      </w:r>
      <w:r w:rsidRPr="006F3B0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{"citationItems":[{"id":"ITEM-1","itemData":{"DOI":"10.1136/bmj.325.7361.444","ISBN":"1468-5833 (Electronic)\\r0959-535X (Linking)","ISSN":"09598138","PMID":"12016181","abstract":"OBJECTIVE: To identify methods to increase response to postal questionnaires.\\n\\nDESIGN: Systematic review of randomised controlled trials of any method to influence response to postal questionnaires.\\n\\nSTUDIES REVIEWED: 292 randomised controlled trials including 258 315 participants INTERVENTION REVIEWED: 75 strategies for influencing response to postal questionnaires.\\n\\nMAIN OUTCOME MEASURE: The proportion of completed or partially completed questionnaires returned.\\n\\nRESULTS: The odds of response were more than doubled when a monetary incentive was used (odds ratio 2.02; 95% confidence interval 1.79 to 2.27) and almost doubled when incentives were not conditional on response (1.71; 1.29 to 2.26). Response was more likely when short questionnaires were used (1.86; 1.55 to 2.24). Personalised questionnaires and letters increased response (1.16; 1.06 to 1.28), as did the use of coloured ink (1.39; 1.16 to 1.67). The odds of response were more than doubled when the questionnaires were sent by recorded delivery (2.21; 1.51 to 3.25) and increased when stamped return envelopes were used (1.26; 1.13 to 1.41) and questionnaires were sent by first class post (1.12; 1.02 to 1.23). Contacting participants before sending questionnaires increased response (1.54; 1.24 to 1.92), as did follow up contact (1.44; 1.22 to 1.70) and providing non-respondents with a second copy of the questionnaire (1.41; 1.02 to 1.94). Questionnaires designed to be of more interest to participants were more likely to be returned (2.44; 1.99 to 3.01), but questionnaires containing questions of a sensitive nature were less likely to be returned (0.92; 0.87 to 0.98). Questionnaires originating from universities were more likely to be returned than were questionnaires from other sources, such as commercial organisations (1.31; 1.11 to 1.54).\\n\\nCONCLUSIONS: Health researchers using postal questionnaires can improve the quality of their research by using the strategies shown to be effective in this systematic review.","author":[{"dropping-particle":"","family":"Iglesias","given":"C. P","non-dropping-particle":"","parse-names":false,"suffix":""}],"container-title":"BMJ","id":"ITEM-1","issue":"7361","issued":{"date-parts":[["2002"]]},"page":"444-444","title":"Increasing response rates to postal questionnaires","type":"article-journal","volume":"325"},"uris":["http://www.mendeley.com/documents/?uuid=70a37263-1bb6-49d8-810c-9733cbc91155"]}],"mendeley":{"formattedCitation":"(Iglesias, 2002)","plainTextFormattedCitation":"(Iglesias, 2002)","previouslyFormattedCitation":"(Iglesias 2002)"},"properties":{"noteIndex":0},"schema":"https://github.com/citation-style-language/schema/raw/master/csl-citation.json"}</w:instrText>
      </w:r>
      <w:r w:rsidRPr="006F3B00">
        <w:rPr>
          <w:rFonts w:ascii="Times New Roman" w:hAnsi="Times New Roman" w:cs="Times New Roman"/>
          <w:sz w:val="24"/>
          <w:szCs w:val="24"/>
        </w:rPr>
        <w:fldChar w:fldCharType="separate"/>
      </w:r>
      <w:r w:rsidR="00A2254E">
        <w:rPr>
          <w:rFonts w:ascii="Times New Roman" w:hAnsi="Times New Roman" w:cs="Times New Roman"/>
          <w:noProof/>
          <w:sz w:val="24"/>
          <w:szCs w:val="24"/>
        </w:rPr>
        <w:t>(Iglesias</w:t>
      </w:r>
      <w:r w:rsidR="00BE3B6C" w:rsidRPr="00BE3B6C">
        <w:rPr>
          <w:rFonts w:ascii="Times New Roman" w:hAnsi="Times New Roman" w:cs="Times New Roman"/>
          <w:noProof/>
          <w:sz w:val="24"/>
          <w:szCs w:val="24"/>
        </w:rPr>
        <w:t xml:space="preserve"> 2002)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These were</w:t>
      </w:r>
    </w:p>
    <w:p w14:paraId="2A13A7F3" w14:textId="77777777" w:rsidR="00863DF5" w:rsidRPr="006F3B00" w:rsidRDefault="00863DF5" w:rsidP="001A1FF3">
      <w:pPr>
        <w:pStyle w:val="ListParagraph"/>
        <w:numPr>
          <w:ilvl w:val="0"/>
          <w:numId w:val="28"/>
        </w:numPr>
        <w:spacing w:line="480" w:lineRule="auto"/>
        <w:rPr>
          <w:rFonts w:ascii="Times New Roman" w:hAnsi="Times New Roman" w:cs="Times New Roman"/>
          <w:sz w:val="24"/>
          <w:szCs w:val="24"/>
        </w:rPr>
      </w:pPr>
      <w:r w:rsidRPr="006F3B00">
        <w:rPr>
          <w:rFonts w:ascii="Times New Roman" w:hAnsi="Times New Roman" w:cs="Times New Roman"/>
          <w:sz w:val="24"/>
          <w:szCs w:val="24"/>
        </w:rPr>
        <w:t>keeping the length of the questionnaire short</w:t>
      </w:r>
    </w:p>
    <w:p w14:paraId="4F1ED2CB" w14:textId="77777777" w:rsidR="00863DF5" w:rsidRPr="006F3B00" w:rsidRDefault="00863DF5" w:rsidP="001A1FF3">
      <w:pPr>
        <w:pStyle w:val="ListParagraph"/>
        <w:numPr>
          <w:ilvl w:val="0"/>
          <w:numId w:val="28"/>
        </w:num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keeping the design and text clear and simple</w:t>
      </w:r>
    </w:p>
    <w:p w14:paraId="6C899474" w14:textId="77777777" w:rsidR="00863DF5" w:rsidRPr="006F3B00" w:rsidRDefault="00863DF5" w:rsidP="001A1FF3">
      <w:pPr>
        <w:pStyle w:val="ListParagraph"/>
        <w:numPr>
          <w:ilvl w:val="0"/>
          <w:numId w:val="28"/>
        </w:numPr>
        <w:spacing w:line="480" w:lineRule="auto"/>
        <w:rPr>
          <w:rFonts w:ascii="Times New Roman" w:hAnsi="Times New Roman" w:cs="Times New Roman"/>
          <w:sz w:val="24"/>
          <w:szCs w:val="24"/>
        </w:rPr>
      </w:pPr>
      <w:r w:rsidRPr="006F3B00">
        <w:rPr>
          <w:rFonts w:ascii="Times New Roman" w:hAnsi="Times New Roman" w:cs="Times New Roman"/>
          <w:sz w:val="24"/>
          <w:szCs w:val="24"/>
        </w:rPr>
        <w:t>reminders to non-responders</w:t>
      </w:r>
    </w:p>
    <w:p w14:paraId="751116C1" w14:textId="77777777" w:rsidR="00863DF5" w:rsidRPr="006F3B00" w:rsidRDefault="00863DF5" w:rsidP="001A1FF3">
      <w:pPr>
        <w:pStyle w:val="ListParagraph"/>
        <w:numPr>
          <w:ilvl w:val="0"/>
          <w:numId w:val="28"/>
        </w:numPr>
        <w:spacing w:line="480" w:lineRule="auto"/>
        <w:rPr>
          <w:rFonts w:ascii="Times New Roman" w:hAnsi="Times New Roman" w:cs="Times New Roman"/>
          <w:sz w:val="24"/>
          <w:szCs w:val="24"/>
        </w:rPr>
      </w:pPr>
      <w:r w:rsidRPr="006F3B00">
        <w:rPr>
          <w:rFonts w:ascii="Times New Roman" w:hAnsi="Times New Roman" w:cs="Times New Roman"/>
          <w:sz w:val="24"/>
          <w:szCs w:val="24"/>
        </w:rPr>
        <w:t>alternative platforms (such as email, post, websites)</w:t>
      </w:r>
    </w:p>
    <w:p w14:paraId="2BA2EA9E" w14:textId="489F431F"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sz w:val="24"/>
          <w:szCs w:val="24"/>
        </w:rPr>
        <w:t>These points were addressed by limiting the questionnaire to 10 questions and keeping questions short and explicit. A link to the online questionnaire was also included in the RCPath’s eNewsletter which targeted the same population. The link to the questionnaire was included in the LEPT</w:t>
      </w:r>
      <w:r w:rsidR="00B76F91">
        <w:rPr>
          <w:rFonts w:ascii="Times New Roman" w:hAnsi="Times New Roman" w:cs="Times New Roman"/>
          <w:sz w:val="24"/>
          <w:szCs w:val="24"/>
        </w:rPr>
        <w:t xml:space="preserve"> (Learning environment for Pathology Trainees)</w:t>
      </w:r>
      <w:r w:rsidRPr="006F3B00">
        <w:rPr>
          <w:rFonts w:ascii="Times New Roman" w:hAnsi="Times New Roman" w:cs="Times New Roman"/>
          <w:sz w:val="24"/>
          <w:szCs w:val="24"/>
        </w:rPr>
        <w:t xml:space="preserve"> system, which is the online platform that assessors and trainees use to document WBAs. Reminder emails were not permitted by RCPath.</w:t>
      </w:r>
    </w:p>
    <w:p w14:paraId="240F76A8" w14:textId="43541431" w:rsidR="00863DF5" w:rsidRPr="006F3B00" w:rsidRDefault="00DE62D9" w:rsidP="002F1F09">
      <w:pPr>
        <w:pStyle w:val="Heading3"/>
        <w:rPr>
          <w:rFonts w:ascii="Times New Roman" w:hAnsi="Times New Roman" w:cs="Times New Roman"/>
          <w:color w:val="auto"/>
          <w:sz w:val="24"/>
          <w:szCs w:val="24"/>
        </w:rPr>
      </w:pPr>
      <w:bookmarkStart w:id="67" w:name="_Toc23243796"/>
      <w:r>
        <w:rPr>
          <w:rFonts w:ascii="Times New Roman" w:hAnsi="Times New Roman" w:cs="Times New Roman"/>
          <w:color w:val="auto"/>
          <w:sz w:val="24"/>
          <w:szCs w:val="24"/>
        </w:rPr>
        <w:t>3.3</w:t>
      </w:r>
      <w:r w:rsidR="002F1F09" w:rsidRPr="006F3B00">
        <w:rPr>
          <w:rFonts w:ascii="Times New Roman" w:hAnsi="Times New Roman" w:cs="Times New Roman"/>
          <w:color w:val="auto"/>
          <w:sz w:val="24"/>
          <w:szCs w:val="24"/>
        </w:rPr>
        <w:t xml:space="preserve">.4 </w:t>
      </w:r>
      <w:r w:rsidR="00863DF5" w:rsidRPr="006F3B00">
        <w:rPr>
          <w:rFonts w:ascii="Times New Roman" w:hAnsi="Times New Roman" w:cs="Times New Roman"/>
          <w:color w:val="auto"/>
          <w:sz w:val="24"/>
          <w:szCs w:val="24"/>
        </w:rPr>
        <w:t>Distribution</w:t>
      </w:r>
      <w:bookmarkEnd w:id="67"/>
    </w:p>
    <w:p w14:paraId="0047DAE9" w14:textId="77777777" w:rsidR="002F1F09" w:rsidRPr="006F3B00" w:rsidRDefault="002F1F09" w:rsidP="00863DF5">
      <w:pPr>
        <w:spacing w:line="480" w:lineRule="auto"/>
        <w:rPr>
          <w:rFonts w:ascii="Times New Roman" w:hAnsi="Times New Roman" w:cs="Times New Roman"/>
          <w:sz w:val="24"/>
          <w:szCs w:val="24"/>
          <w:lang w:val="en-GB"/>
        </w:rPr>
      </w:pPr>
    </w:p>
    <w:p w14:paraId="5FA5C1E2" w14:textId="5E6B1AE3" w:rsidR="00863DF5" w:rsidRPr="006F3B00" w:rsidRDefault="004C31E4"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invitation email (</w:t>
      </w:r>
      <w:r w:rsidR="00E47D60">
        <w:rPr>
          <w:rFonts w:ascii="Times New Roman" w:hAnsi="Times New Roman" w:cs="Times New Roman"/>
          <w:sz w:val="24"/>
          <w:szCs w:val="24"/>
        </w:rPr>
        <w:t>A</w:t>
      </w:r>
      <w:r w:rsidR="00CA4D9B">
        <w:rPr>
          <w:rFonts w:ascii="Times New Roman" w:hAnsi="Times New Roman" w:cs="Times New Roman"/>
          <w:sz w:val="24"/>
          <w:szCs w:val="24"/>
        </w:rPr>
        <w:t>ppendix 1</w:t>
      </w:r>
      <w:r w:rsidR="00863DF5" w:rsidRPr="006F3B00">
        <w:rPr>
          <w:rFonts w:ascii="Times New Roman" w:hAnsi="Times New Roman" w:cs="Times New Roman"/>
          <w:sz w:val="24"/>
          <w:szCs w:val="24"/>
        </w:rPr>
        <w:t xml:space="preserve">) and questionnaire link was sent by the RCPath to all aforementioned individuals and left open for an 8 week period. After approximately a month, the link to the questionnaire appeared in the eNewsletter and LEPT to try and increase the response rate. The questionnaire was delivered via Survey Monkey™ and included a description of the project and other relevant documentation including information sheet, contact details, a reminder that the questionnaire was voluntary and that responses would be anonymous (see </w:t>
      </w:r>
      <w:r w:rsidR="00E47D60">
        <w:rPr>
          <w:rFonts w:ascii="Times New Roman" w:hAnsi="Times New Roman" w:cs="Times New Roman"/>
          <w:sz w:val="24"/>
          <w:szCs w:val="24"/>
        </w:rPr>
        <w:t>A</w:t>
      </w:r>
      <w:r w:rsidR="00863DF5" w:rsidRPr="006F3B00">
        <w:rPr>
          <w:rFonts w:ascii="Times New Roman" w:hAnsi="Times New Roman" w:cs="Times New Roman"/>
          <w:sz w:val="24"/>
          <w:szCs w:val="24"/>
        </w:rPr>
        <w:t>ppendix</w:t>
      </w:r>
      <w:r w:rsidR="00CA4D9B">
        <w:rPr>
          <w:rFonts w:ascii="Times New Roman" w:hAnsi="Times New Roman" w:cs="Times New Roman"/>
          <w:sz w:val="24"/>
          <w:szCs w:val="24"/>
        </w:rPr>
        <w:t xml:space="preserve"> 2</w:t>
      </w:r>
      <w:r w:rsidR="00863DF5" w:rsidRPr="006F3B00">
        <w:rPr>
          <w:rFonts w:ascii="Times New Roman" w:hAnsi="Times New Roman" w:cs="Times New Roman"/>
          <w:sz w:val="24"/>
          <w:szCs w:val="24"/>
        </w:rPr>
        <w:t>). The study had ethical approval from the University of Sheffield (reference 008042).</w:t>
      </w:r>
    </w:p>
    <w:p w14:paraId="750BDF81" w14:textId="230FB9EF" w:rsidR="00863DF5" w:rsidRPr="006F3B00" w:rsidRDefault="00DE62D9" w:rsidP="002F1F09">
      <w:pPr>
        <w:pStyle w:val="Heading3"/>
        <w:rPr>
          <w:rFonts w:ascii="Times New Roman" w:hAnsi="Times New Roman" w:cs="Times New Roman"/>
          <w:color w:val="auto"/>
          <w:sz w:val="24"/>
          <w:szCs w:val="24"/>
        </w:rPr>
      </w:pPr>
      <w:bookmarkStart w:id="68" w:name="_Toc23243797"/>
      <w:r>
        <w:rPr>
          <w:rFonts w:ascii="Times New Roman" w:hAnsi="Times New Roman" w:cs="Times New Roman"/>
          <w:color w:val="auto"/>
          <w:sz w:val="24"/>
          <w:szCs w:val="24"/>
        </w:rPr>
        <w:t>3.3</w:t>
      </w:r>
      <w:r w:rsidR="002F1F09" w:rsidRPr="006F3B00">
        <w:rPr>
          <w:rFonts w:ascii="Times New Roman" w:hAnsi="Times New Roman" w:cs="Times New Roman"/>
          <w:color w:val="auto"/>
          <w:sz w:val="24"/>
          <w:szCs w:val="24"/>
        </w:rPr>
        <w:t xml:space="preserve">.5 </w:t>
      </w:r>
      <w:r w:rsidR="00863DF5" w:rsidRPr="006F3B00">
        <w:rPr>
          <w:rFonts w:ascii="Times New Roman" w:hAnsi="Times New Roman" w:cs="Times New Roman"/>
          <w:color w:val="auto"/>
          <w:sz w:val="24"/>
          <w:szCs w:val="24"/>
        </w:rPr>
        <w:t>Data analysis</w:t>
      </w:r>
      <w:bookmarkEnd w:id="68"/>
    </w:p>
    <w:p w14:paraId="638A4F5F" w14:textId="77777777" w:rsidR="002F1F09" w:rsidRPr="006F3B00" w:rsidRDefault="002F1F09" w:rsidP="002F1F09">
      <w:pPr>
        <w:rPr>
          <w:rFonts w:ascii="Times New Roman" w:hAnsi="Times New Roman" w:cs="Times New Roman"/>
          <w:sz w:val="24"/>
          <w:szCs w:val="24"/>
          <w:lang w:val="en-GB"/>
        </w:rPr>
      </w:pPr>
    </w:p>
    <w:p w14:paraId="4C13E4ED"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Data were entered into SPSS V.21.0 (SPSS, Chicago, Illinois, USA) and were analysed with a p&lt;0.05 considered a statistically significant difference. Cronbachs alpha test was used to determine the internal reliability of the questionnaires. </w:t>
      </w:r>
    </w:p>
    <w:p w14:paraId="6EF10AE0" w14:textId="018EAD43" w:rsidR="00863DF5" w:rsidRPr="004C33E3" w:rsidRDefault="00155295" w:rsidP="00863DF5">
      <w:pPr>
        <w:spacing w:line="480" w:lineRule="auto"/>
        <w:rPr>
          <w:rFonts w:ascii="Times New Roman" w:hAnsi="Times New Roman" w:cs="Times New Roman"/>
          <w:sz w:val="24"/>
          <w:szCs w:val="24"/>
        </w:rPr>
      </w:pPr>
      <w:r>
        <w:rPr>
          <w:rFonts w:ascii="Times New Roman" w:eastAsia="Times New Roman" w:hAnsi="Times New Roman" w:cs="Times New Roman"/>
          <w:sz w:val="24"/>
          <w:szCs w:val="24"/>
          <w:lang w:eastAsia="en-GB"/>
        </w:rPr>
        <w:lastRenderedPageBreak/>
        <w:t>In order to determine whether a significant difference in opinion between assessors and trainees responses was pre</w:t>
      </w:r>
      <w:r w:rsidR="004C33E3">
        <w:rPr>
          <w:rFonts w:ascii="Times New Roman" w:eastAsia="Times New Roman" w:hAnsi="Times New Roman" w:cs="Times New Roman"/>
          <w:sz w:val="24"/>
          <w:szCs w:val="24"/>
          <w:lang w:eastAsia="en-GB"/>
        </w:rPr>
        <w:t>sent, statistics on the data was</w:t>
      </w:r>
      <w:r>
        <w:rPr>
          <w:rFonts w:ascii="Times New Roman" w:eastAsia="Times New Roman" w:hAnsi="Times New Roman" w:cs="Times New Roman"/>
          <w:sz w:val="24"/>
          <w:szCs w:val="24"/>
          <w:lang w:eastAsia="en-GB"/>
        </w:rPr>
        <w:t xml:space="preserve"> required. </w:t>
      </w:r>
      <w:r w:rsidR="004C33E3">
        <w:rPr>
          <w:rFonts w:ascii="Times New Roman" w:hAnsi="Times New Roman" w:cs="Times New Roman"/>
          <w:sz w:val="24"/>
          <w:szCs w:val="24"/>
        </w:rPr>
        <w:t>Given that Likert-type items</w:t>
      </w:r>
      <w:r w:rsidR="00D84531">
        <w:rPr>
          <w:rFonts w:ascii="Times New Roman" w:hAnsi="Times New Roman" w:cs="Times New Roman"/>
          <w:sz w:val="24"/>
          <w:szCs w:val="24"/>
        </w:rPr>
        <w:t xml:space="preserve"> </w:t>
      </w:r>
      <w:r w:rsidR="004C33E3">
        <w:rPr>
          <w:rFonts w:ascii="Times New Roman" w:hAnsi="Times New Roman" w:cs="Times New Roman"/>
          <w:sz w:val="24"/>
          <w:szCs w:val="24"/>
        </w:rPr>
        <w:t xml:space="preserve">give </w:t>
      </w:r>
      <w:r w:rsidR="00D84531">
        <w:rPr>
          <w:rFonts w:ascii="Times New Roman" w:hAnsi="Times New Roman" w:cs="Times New Roman"/>
          <w:sz w:val="24"/>
          <w:szCs w:val="24"/>
        </w:rPr>
        <w:t xml:space="preserve">ordinal </w:t>
      </w:r>
      <w:r w:rsidR="004C33E3">
        <w:rPr>
          <w:rFonts w:ascii="Times New Roman" w:hAnsi="Times New Roman" w:cs="Times New Roman"/>
          <w:sz w:val="24"/>
          <w:szCs w:val="24"/>
        </w:rPr>
        <w:t>data</w:t>
      </w:r>
      <w:r w:rsidR="00D84531">
        <w:rPr>
          <w:rFonts w:ascii="Times New Roman" w:hAnsi="Times New Roman" w:cs="Times New Roman"/>
          <w:sz w:val="24"/>
          <w:szCs w:val="24"/>
        </w:rPr>
        <w:t xml:space="preserve">, </w:t>
      </w:r>
      <w:r w:rsidR="004C33E3">
        <w:rPr>
          <w:rFonts w:ascii="Times New Roman" w:hAnsi="Times New Roman" w:cs="Times New Roman"/>
          <w:sz w:val="24"/>
          <w:szCs w:val="24"/>
        </w:rPr>
        <w:t xml:space="preserve">the non-parametric </w:t>
      </w:r>
      <w:r w:rsidR="004C33E3" w:rsidRPr="006F3B00">
        <w:rPr>
          <w:rFonts w:ascii="Times New Roman" w:hAnsi="Times New Roman" w:cs="Times New Roman"/>
          <w:sz w:val="24"/>
          <w:szCs w:val="24"/>
        </w:rPr>
        <w:t>Mann Whitney U test</w:t>
      </w:r>
      <w:r w:rsidR="004C33E3">
        <w:rPr>
          <w:rFonts w:ascii="Times New Roman" w:hAnsi="Times New Roman" w:cs="Times New Roman"/>
          <w:sz w:val="24"/>
          <w:szCs w:val="24"/>
        </w:rPr>
        <w:t xml:space="preserve"> was required</w:t>
      </w:r>
      <w:r w:rsidR="003E5D05">
        <w:rPr>
          <w:rFonts w:ascii="Times New Roman" w:hAnsi="Times New Roman" w:cs="Times New Roman"/>
          <w:sz w:val="24"/>
          <w:szCs w:val="24"/>
        </w:rPr>
        <w:t xml:space="preserve"> </w:t>
      </w:r>
      <w:r w:rsidR="004C5E3D">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{"citationItems":[{"id":"ITEM-1","itemData":{"DOI":"citeulike-article-id:10781922","ISBN":"531-7714","ISSN":"1531-7714","abstract":"Likert questionnaires are widely used in survey research, but it is unclear whether the item data should be investigated by means of parametric or nonparametric procedures. This study compared the Type I and II error rates of the t test versus the Mann-Whitney-Wilcoxon (MWW) for five-point Likert items. Fourteen population distributions were defined and pairs of samples were drawn from the populations and submitted to the t test and the t test on ranks, which yields the same results as MWW. The results showed that the two tests had equivalent power for most of the pairs. MWW had a power advantage when one of the samples was drawn from a skewed or peaked distribution. Strong power differences between the t test and MWW occurred when one of the samples was drawn from a multimodal distribution. Notably, the Type I error rate of both methods was never more than 3% above the nominal rate of 5%, even not when sample sizes were highly unequal. In conclusion, for five-point Likert items, the t test and MWW generally have similar power, and researchers do not have to worry about finding a difference whilst there is none in the population.","author":[{"dropping-particle":"","family":"Winter","given":"Joost C. F.","non-dropping-particle":"de","parse-names":false,"suffix":""},{"dropping-particle":"","family":"Dodou","given":"Dimitra","non-dropping-particle":"","parse-names":false,"suffix":""}],"container-title":"Practical Assessment, Research &amp; Evaluation","id":"ITEM-1","issue":"11","issued":{"date-parts":[["2010"]]},"page":"1-16","title":"Five-Point Likert Items : t test versus Mann-Whitney-Wilcoxon","type":"article-journal","volume":"15"},"uris":["http://www.mendeley.com/documents/?uuid=c4002ef4-1605-4927-bac4-870923774e2e"]}],"mendeley":{"formattedCitation":"(de Winter and Dodou, 2010)","plainTextFormattedCitation":"(de Winter and Dodou, 2010)","previouslyFormattedCitation":"(J. C. F. de Winter and Dodou 2010)"},"properties":{"noteIndex":0},"schema":"https://github.com/citation-style-language/schema/raw/master/csl-citation.json"}</w:instrText>
      </w:r>
      <w:r w:rsidR="004C5E3D">
        <w:rPr>
          <w:rFonts w:ascii="Times New Roman" w:hAnsi="Times New Roman" w:cs="Times New Roman"/>
          <w:sz w:val="24"/>
          <w:szCs w:val="24"/>
        </w:rPr>
        <w:fldChar w:fldCharType="separate"/>
      </w:r>
      <w:r w:rsidR="00ED6756">
        <w:rPr>
          <w:rFonts w:ascii="Times New Roman" w:hAnsi="Times New Roman" w:cs="Times New Roman"/>
          <w:noProof/>
          <w:sz w:val="24"/>
          <w:szCs w:val="24"/>
        </w:rPr>
        <w:t>(de Winter and Dodou</w:t>
      </w:r>
      <w:r w:rsidR="00BE3B6C" w:rsidRPr="00BE3B6C">
        <w:rPr>
          <w:rFonts w:ascii="Times New Roman" w:hAnsi="Times New Roman" w:cs="Times New Roman"/>
          <w:noProof/>
          <w:sz w:val="24"/>
          <w:szCs w:val="24"/>
        </w:rPr>
        <w:t xml:space="preserve"> 2010)</w:t>
      </w:r>
      <w:r w:rsidR="004C5E3D">
        <w:rPr>
          <w:rFonts w:ascii="Times New Roman" w:hAnsi="Times New Roman" w:cs="Times New Roman"/>
          <w:sz w:val="24"/>
          <w:szCs w:val="24"/>
        </w:rPr>
        <w:fldChar w:fldCharType="end"/>
      </w:r>
      <w:r w:rsidR="004C33E3">
        <w:rPr>
          <w:rFonts w:ascii="Times New Roman" w:hAnsi="Times New Roman" w:cs="Times New Roman"/>
          <w:sz w:val="24"/>
          <w:szCs w:val="24"/>
        </w:rPr>
        <w:t xml:space="preserve">. </w:t>
      </w:r>
      <w:r w:rsidR="004C33E3" w:rsidRPr="006F3B00">
        <w:rPr>
          <w:rFonts w:ascii="Times New Roman" w:hAnsi="Times New Roman" w:cs="Times New Roman"/>
          <w:sz w:val="24"/>
          <w:szCs w:val="24"/>
        </w:rPr>
        <w:t xml:space="preserve"> </w:t>
      </w:r>
      <w:r w:rsidR="00863DF5" w:rsidRPr="006F3B00">
        <w:rPr>
          <w:rFonts w:ascii="Times New Roman" w:hAnsi="Times New Roman" w:cs="Times New Roman"/>
          <w:sz w:val="24"/>
          <w:szCs w:val="24"/>
        </w:rPr>
        <w:t>The</w:t>
      </w:r>
      <w:r w:rsidR="004C33E3">
        <w:rPr>
          <w:rFonts w:ascii="Times New Roman" w:hAnsi="Times New Roman" w:cs="Times New Roman"/>
          <w:sz w:val="24"/>
          <w:szCs w:val="24"/>
        </w:rPr>
        <w:t xml:space="preserve"> </w:t>
      </w:r>
      <w:r w:rsidR="00863DF5" w:rsidRPr="006F3B00">
        <w:rPr>
          <w:rFonts w:ascii="Times New Roman" w:hAnsi="Times New Roman" w:cs="Times New Roman"/>
          <w:sz w:val="24"/>
          <w:szCs w:val="24"/>
        </w:rPr>
        <w:t>comparison included questions 1-6 and question 8. Question 7 was excluded as it did not to offer Likert</w:t>
      </w:r>
      <w:r w:rsidR="004C33E3">
        <w:rPr>
          <w:rFonts w:ascii="Times New Roman" w:hAnsi="Times New Roman" w:cs="Times New Roman"/>
          <w:sz w:val="24"/>
          <w:szCs w:val="24"/>
        </w:rPr>
        <w:t>-type</w:t>
      </w:r>
      <w:r w:rsidR="00863DF5" w:rsidRPr="006F3B00">
        <w:rPr>
          <w:rFonts w:ascii="Times New Roman" w:hAnsi="Times New Roman" w:cs="Times New Roman"/>
          <w:sz w:val="24"/>
          <w:szCs w:val="24"/>
        </w:rPr>
        <w:t xml:space="preserve"> responses and questions 9 and 10 were excluded as these were different questions for the assessors and trainees.</w:t>
      </w:r>
    </w:p>
    <w:p w14:paraId="303B227F" w14:textId="53DA4D03" w:rsidR="00863DF5" w:rsidRPr="006F3B00" w:rsidRDefault="00863DF5" w:rsidP="00863DF5">
      <w:pPr>
        <w:spacing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 xml:space="preserve">Question 7 of the questionnaire allowed participants to provide a free text comment of up to 9 lines of text or 90 characters.  Open-ended responses can prove difficult to analyse and qualitative or quantitative approaches have been adopted when managing this issue </w:t>
      </w:r>
      <w:r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{"citationItems":[{"id":"ITEM-1","itemData":{"DOI":"10.1186/1471-2288-4-25","ISBN":"1471-2288","ISSN":"1471-2288","PMID":"15533249","abstract":"The habitual \"any other comments\" general open question at the end of structured questionnaires has the potential to increase response rates, elaborate responses to closed questions, and allow respondents to identify new issues not captured in the closed questions. However, we believe that many researchers have collected such data and failed to analyse or present it. General open questions at the end of structured questionnaires can present a problem because of their uncomfortable status of being strictly neither qualitative nor quantitative data, the consequent lack of clarity around how to analyse and report them, and the time and expertise needed to do so. We suggest that the value of these questions can be optimised if researchers start with a clear understanding of the type of data they wish to generate from such a question, and employ an appropriate strategy when designing the study. The intention can be to generate depth data or 'stories' from purposively defined groups of respondents for qualitative analysis, or to produce quantifiable data, representative of the population sampled, as a 'safety net' to identify issues which might complement the closed questions. We encourage researchers to consider developing a more strategic use of general open questions at the end of structured questionnaires. This may optimise the quality of the data and the analysis, reduce dilemmas regarding whether and how to analyse such data, and result in a more ethical approach to making best use of the data which respondents kindly provide.","author":[{"dropping-particle":"","family":"O'Cathain","given":"Alicia","non-dropping-particle":"","parse-names":false,"suffix":""},{"dropping-particle":"","family":"Thomas","given":"Kate J","non-dropping-particle":"","parse-names":false,"suffix":""}],"container-title":"BMC Medical Research Methodology","id":"ITEM-1","issue":"1","issued":{"date-parts":[["2004"]]},"page":"25","title":"\"Any other comments?\" Open questions on questionnaires – a bane or a bonus to research?","type":"article-journal","volume":"4"},"uris":["http://www.mendeley.com/documents/?uuid=70e26a98-0e8a-4e5a-8fe4-f91a8ed20cf9"]}],"mendeley":{"formattedCitation":"(O’Cathain and Thomas, 2004)","plainTextFormattedCitation":"(O’Cathain and Thomas, 2004)","previouslyFormattedCitation":"(O’Cathain and Thomas 2004)"},"properties":{"noteIndex":0},"schema":"https://github.com/citation-style-language/schema/raw/master/csl-citation.json"}</w:instrText>
      </w:r>
      <w:r w:rsidRPr="006F3B00">
        <w:rPr>
          <w:rFonts w:ascii="Times New Roman" w:eastAsia="Times New Roman" w:hAnsi="Times New Roman" w:cs="Times New Roman"/>
          <w:sz w:val="24"/>
          <w:szCs w:val="24"/>
          <w:lang w:eastAsia="en-GB"/>
        </w:rPr>
        <w:fldChar w:fldCharType="separate"/>
      </w:r>
      <w:r w:rsidR="00ED6756">
        <w:rPr>
          <w:rFonts w:ascii="Times New Roman" w:eastAsia="Times New Roman" w:hAnsi="Times New Roman" w:cs="Times New Roman"/>
          <w:noProof/>
          <w:sz w:val="24"/>
          <w:szCs w:val="24"/>
          <w:lang w:eastAsia="en-GB"/>
        </w:rPr>
        <w:t>(O’Cathain and Thomas</w:t>
      </w:r>
      <w:r w:rsidR="00BE3B6C" w:rsidRPr="00BE3B6C">
        <w:rPr>
          <w:rFonts w:ascii="Times New Roman" w:eastAsia="Times New Roman" w:hAnsi="Times New Roman" w:cs="Times New Roman"/>
          <w:noProof/>
          <w:sz w:val="24"/>
          <w:szCs w:val="24"/>
          <w:lang w:eastAsia="en-GB"/>
        </w:rPr>
        <w:t xml:space="preserve"> 2004)</w:t>
      </w:r>
      <w:r w:rsidRPr="006F3B00">
        <w:rPr>
          <w:rFonts w:ascii="Times New Roman" w:eastAsia="Times New Roman" w:hAnsi="Times New Roman" w:cs="Times New Roman"/>
          <w:sz w:val="24"/>
          <w:szCs w:val="24"/>
          <w:lang w:eastAsia="en-GB"/>
        </w:rPr>
        <w:fldChar w:fldCharType="end"/>
      </w:r>
      <w:r w:rsidRPr="006F3B00">
        <w:rPr>
          <w:rFonts w:ascii="Times New Roman" w:eastAsia="Times New Roman" w:hAnsi="Times New Roman" w:cs="Times New Roman"/>
          <w:sz w:val="24"/>
          <w:szCs w:val="24"/>
          <w:lang w:eastAsia="en-GB"/>
        </w:rPr>
        <w:t xml:space="preserve">. Importantly, these comments should be analysed because they can offer further insight into the issues being explored. This can identify further research questions or help to make sense of the responses given to other questions. </w:t>
      </w:r>
    </w:p>
    <w:p w14:paraId="67A723FF" w14:textId="77777777" w:rsidR="00863DF5" w:rsidRPr="006F3B00" w:rsidRDefault="00863DF5" w:rsidP="00863DF5">
      <w:pPr>
        <w:spacing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 xml:space="preserve">In favour of a qualitative approach, one might argue that it is more appropriate because the responses are written entirely by the participant without influence from the researcher. Secondly, some responses can be quite lengthy and detailed with a quantitative approach unable to explore and describe the data appropriately. However, the data is not strictly qualitative either because some participants only provide a few words as their answer. Furthermore, there is no opportunity for opinions and experiences to be explored further by the researcher. Participants may also have been influenced by previous questions, framing their ideas and thought processes. </w:t>
      </w:r>
    </w:p>
    <w:p w14:paraId="121CE0E1" w14:textId="4197FBF0" w:rsidR="00863DF5" w:rsidRPr="006F3B00" w:rsidRDefault="00863DF5" w:rsidP="00863DF5">
      <w:pPr>
        <w:spacing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It was decided that the free text comments would be analysed qualitatively by thematic analysis to try and find common issues or “codes” within the data.</w:t>
      </w:r>
      <w:r w:rsidR="0024083B">
        <w:rPr>
          <w:rFonts w:ascii="Times New Roman" w:eastAsia="Times New Roman" w:hAnsi="Times New Roman" w:cs="Times New Roman"/>
          <w:sz w:val="24"/>
          <w:szCs w:val="24"/>
          <w:lang w:eastAsia="en-GB"/>
        </w:rPr>
        <w:t xml:space="preserve"> This method was chosen as it</w:t>
      </w:r>
      <w:r w:rsidR="005731CA">
        <w:rPr>
          <w:rFonts w:ascii="Times New Roman" w:eastAsia="Times New Roman" w:hAnsi="Times New Roman" w:cs="Times New Roman"/>
          <w:sz w:val="24"/>
          <w:szCs w:val="24"/>
          <w:lang w:eastAsia="en-GB"/>
        </w:rPr>
        <w:t xml:space="preserve"> is a relatively simple way to organize comments into common themes, thereby facilitating understanding of the main issues.</w:t>
      </w:r>
      <w:r w:rsidRPr="006F3B00">
        <w:rPr>
          <w:rFonts w:ascii="Times New Roman" w:eastAsia="Times New Roman" w:hAnsi="Times New Roman" w:cs="Times New Roman"/>
          <w:sz w:val="24"/>
          <w:szCs w:val="24"/>
          <w:lang w:eastAsia="en-GB"/>
        </w:rPr>
        <w:t xml:space="preserve"> </w:t>
      </w:r>
      <w:r w:rsidRPr="006F3B00">
        <w:rPr>
          <w:rFonts w:ascii="Times New Roman" w:hAnsi="Times New Roman" w:cs="Times New Roman"/>
          <w:sz w:val="24"/>
          <w:szCs w:val="24"/>
        </w:rPr>
        <w:t xml:space="preserve"> </w:t>
      </w:r>
      <w:r w:rsidR="005731CA">
        <w:rPr>
          <w:rFonts w:ascii="Times New Roman" w:hAnsi="Times New Roman" w:cs="Times New Roman"/>
          <w:sz w:val="24"/>
          <w:szCs w:val="24"/>
        </w:rPr>
        <w:t>Firstly, t</w:t>
      </w:r>
      <w:r w:rsidRPr="006F3B00">
        <w:rPr>
          <w:rFonts w:ascii="Times New Roman" w:hAnsi="Times New Roman" w:cs="Times New Roman"/>
          <w:sz w:val="24"/>
          <w:szCs w:val="24"/>
        </w:rPr>
        <w:t xml:space="preserve">he free text comments </w:t>
      </w:r>
      <w:r w:rsidRPr="006F3B00">
        <w:rPr>
          <w:rFonts w:ascii="Times New Roman" w:hAnsi="Times New Roman" w:cs="Times New Roman"/>
          <w:sz w:val="24"/>
          <w:szCs w:val="24"/>
        </w:rPr>
        <w:lastRenderedPageBreak/>
        <w:t xml:space="preserve">were </w:t>
      </w:r>
      <w:r w:rsidR="00E47D60">
        <w:rPr>
          <w:rFonts w:ascii="Times New Roman" w:hAnsi="Times New Roman" w:cs="Times New Roman"/>
          <w:sz w:val="24"/>
          <w:szCs w:val="24"/>
        </w:rPr>
        <w:t xml:space="preserve">each </w:t>
      </w:r>
      <w:r w:rsidRPr="006F3B00">
        <w:rPr>
          <w:rFonts w:ascii="Times New Roman" w:hAnsi="Times New Roman" w:cs="Times New Roman"/>
          <w:sz w:val="24"/>
          <w:szCs w:val="24"/>
        </w:rPr>
        <w:t>analysed</w:t>
      </w:r>
      <w:r w:rsidR="00E47D60" w:rsidRPr="006F3B00">
        <w:rPr>
          <w:rFonts w:ascii="Times New Roman" w:hAnsi="Times New Roman" w:cs="Times New Roman"/>
          <w:sz w:val="24"/>
          <w:szCs w:val="24"/>
        </w:rPr>
        <w:t xml:space="preserve"> </w:t>
      </w:r>
      <w:r w:rsidRPr="006F3B00">
        <w:rPr>
          <w:rFonts w:ascii="Times New Roman" w:hAnsi="Times New Roman" w:cs="Times New Roman"/>
          <w:sz w:val="24"/>
          <w:szCs w:val="24"/>
        </w:rPr>
        <w:t xml:space="preserve">by three individuals to find common ideas and opinions, grouping them into “codes”. They met to discuss their findings, confirming the codes and highlighting comments from the respondents which supported these.  The individual “codes” were then grouped under three main themes through an iterative process of discussion and </w:t>
      </w:r>
      <w:r w:rsidRPr="004E4460">
        <w:rPr>
          <w:rFonts w:ascii="Times New Roman" w:hAnsi="Times New Roman" w:cs="Times New Roman"/>
          <w:sz w:val="24"/>
          <w:szCs w:val="24"/>
        </w:rPr>
        <w:t>reflection</w:t>
      </w:r>
      <w:r w:rsidR="005731CA" w:rsidRPr="004E4460">
        <w:rPr>
          <w:rFonts w:ascii="Times New Roman" w:hAnsi="Times New Roman" w:cs="Times New Roman"/>
          <w:sz w:val="24"/>
          <w:szCs w:val="24"/>
        </w:rPr>
        <w:t xml:space="preserve"> (for more detail on thematic anal</w:t>
      </w:r>
      <w:r w:rsidR="004E4460" w:rsidRPr="004E4460">
        <w:rPr>
          <w:rFonts w:ascii="Times New Roman" w:hAnsi="Times New Roman" w:cs="Times New Roman"/>
          <w:sz w:val="24"/>
          <w:szCs w:val="24"/>
        </w:rPr>
        <w:t>ysis, see Chapter 4, section 4.3.5).</w:t>
      </w:r>
    </w:p>
    <w:p w14:paraId="78EBD926" w14:textId="1A225CB8" w:rsidR="00863DF5" w:rsidRPr="003762ED" w:rsidRDefault="00DE62D9" w:rsidP="00862691">
      <w:pPr>
        <w:pStyle w:val="Heading2"/>
        <w:rPr>
          <w:rFonts w:ascii="Times New Roman" w:hAnsi="Times New Roman" w:cs="Times New Roman"/>
          <w:color w:val="auto"/>
          <w:sz w:val="24"/>
          <w:szCs w:val="24"/>
        </w:rPr>
      </w:pPr>
      <w:bookmarkStart w:id="69" w:name="_Toc23243798"/>
      <w:r>
        <w:rPr>
          <w:rFonts w:ascii="Times New Roman" w:hAnsi="Times New Roman" w:cs="Times New Roman"/>
          <w:color w:val="auto"/>
          <w:sz w:val="24"/>
          <w:szCs w:val="24"/>
        </w:rPr>
        <w:t>3.4</w:t>
      </w:r>
      <w:r w:rsidR="00862691" w:rsidRPr="003762ED">
        <w:rPr>
          <w:rFonts w:ascii="Times New Roman" w:hAnsi="Times New Roman" w:cs="Times New Roman"/>
          <w:color w:val="auto"/>
          <w:sz w:val="24"/>
          <w:szCs w:val="24"/>
        </w:rPr>
        <w:t xml:space="preserve"> </w:t>
      </w:r>
      <w:r w:rsidR="00863DF5" w:rsidRPr="003762ED">
        <w:rPr>
          <w:rFonts w:ascii="Times New Roman" w:hAnsi="Times New Roman" w:cs="Times New Roman"/>
          <w:color w:val="auto"/>
          <w:sz w:val="24"/>
          <w:szCs w:val="24"/>
        </w:rPr>
        <w:t>Results</w:t>
      </w:r>
      <w:bookmarkEnd w:id="69"/>
    </w:p>
    <w:p w14:paraId="1462799E" w14:textId="77777777" w:rsidR="005073E7" w:rsidRDefault="005073E7" w:rsidP="00863DF5">
      <w:pPr>
        <w:spacing w:line="480" w:lineRule="auto"/>
        <w:rPr>
          <w:rFonts w:ascii="Times New Roman" w:hAnsi="Times New Roman" w:cs="Times New Roman"/>
          <w:sz w:val="24"/>
          <w:szCs w:val="24"/>
        </w:rPr>
      </w:pPr>
    </w:p>
    <w:p w14:paraId="2C30A5B9" w14:textId="4E4197F4"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assessor questionnaire was completed by 242/2175 assessors (response rate 11.1%) and the trainee questionnaire by 91/519 trainees (response rate 17.5%) - a sufficient response rate to ensure the results of both questionnaires were reliable at the 95% confidence level with a 10% margin of error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{"citationItems":[{"id":"ITEM-1","itemData":{"author":[{"dropping-particle":"","family":"Daniel","given":"WW","non-dropping-particle":"","parse-names":false,"suffix":""}],"edition":"7th Editio","id":"ITEM-1","issued":{"date-parts":[["1999"]]},"publisher":"John Wiley &amp; Sons, Ltd","publisher-place":"New York, NY","title":"Biostatistics: A Foundation for Analysis in the Health Sciences.","type":"book"},"uris":["http://www.mendeley.com/documents/?uuid=701dbe05-c716-4f54-ac7f-2a7e02906686"]}],"mendeley":{"formattedCitation":"(Daniel, 1999)","plainTextFormattedCitation":"(Daniel, 1999)","previouslyFormattedCitation":"(Daniel 1999)"},"properties":{"noteIndex":0},"schema":"https://github.com/citation-style-language/schema/raw/master/csl-citation.json"}</w:instrText>
      </w:r>
      <w:r w:rsidRPr="006F3B00">
        <w:rPr>
          <w:rFonts w:ascii="Times New Roman" w:hAnsi="Times New Roman" w:cs="Times New Roman"/>
          <w:sz w:val="24"/>
          <w:szCs w:val="24"/>
        </w:rPr>
        <w:fldChar w:fldCharType="separate"/>
      </w:r>
      <w:r w:rsidR="00ED6756">
        <w:rPr>
          <w:rFonts w:ascii="Times New Roman" w:hAnsi="Times New Roman" w:cs="Times New Roman"/>
          <w:noProof/>
          <w:sz w:val="24"/>
          <w:szCs w:val="24"/>
        </w:rPr>
        <w:t>(Daniel</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The internal reliability of both the questionnaires was good with overall Cronbach’s alphas of 0.87 and 0.88 for the assessor and trainee questionnaire respectively. </w:t>
      </w:r>
    </w:p>
    <w:p w14:paraId="63DDC62E" w14:textId="77813059" w:rsidR="004C5E3D" w:rsidRDefault="00D84531" w:rsidP="00863DF5">
      <w:pPr>
        <w:spacing w:line="480" w:lineRule="auto"/>
        <w:rPr>
          <w:rFonts w:ascii="Times New Roman" w:hAnsi="Times New Roman" w:cs="Times New Roman"/>
          <w:b/>
          <w:sz w:val="24"/>
          <w:szCs w:val="24"/>
        </w:rPr>
      </w:pPr>
      <w:r>
        <w:rPr>
          <w:rFonts w:ascii="Times New Roman" w:hAnsi="Times New Roman" w:cs="Times New Roman"/>
          <w:sz w:val="24"/>
          <w:szCs w:val="24"/>
        </w:rPr>
        <w:t>A</w:t>
      </w:r>
      <w:r w:rsidR="00863DF5" w:rsidRPr="006F3B00">
        <w:rPr>
          <w:rFonts w:ascii="Times New Roman" w:hAnsi="Times New Roman" w:cs="Times New Roman"/>
          <w:sz w:val="24"/>
          <w:szCs w:val="24"/>
        </w:rPr>
        <w:t xml:space="preserve"> Mann Whitney U test showed there was no significant difference in the perception of WBAs between the assessors and trainees overall (</w:t>
      </w:r>
      <w:r w:rsidR="00863DF5" w:rsidRPr="006F3B00">
        <w:rPr>
          <w:rFonts w:ascii="Times New Roman" w:hAnsi="Times New Roman" w:cs="Times New Roman"/>
          <w:i/>
          <w:sz w:val="24"/>
          <w:szCs w:val="24"/>
        </w:rPr>
        <w:t>p</w:t>
      </w:r>
      <w:r w:rsidR="00863DF5" w:rsidRPr="006F3B00">
        <w:rPr>
          <w:rFonts w:ascii="Times New Roman" w:hAnsi="Times New Roman" w:cs="Times New Roman"/>
          <w:sz w:val="24"/>
          <w:szCs w:val="24"/>
        </w:rPr>
        <w:t xml:space="preserve"> =0.277). </w:t>
      </w:r>
      <w:r w:rsidR="004C5E3D">
        <w:rPr>
          <w:rFonts w:ascii="Times New Roman" w:hAnsi="Times New Roman" w:cs="Times New Roman"/>
          <w:b/>
          <w:sz w:val="24"/>
          <w:szCs w:val="24"/>
        </w:rPr>
        <w:tab/>
      </w:r>
    </w:p>
    <w:p w14:paraId="2AE70561" w14:textId="12B89981" w:rsidR="00F624F8" w:rsidRPr="004C5E3D" w:rsidRDefault="00863DF5" w:rsidP="00863DF5">
      <w:pPr>
        <w:spacing w:line="480" w:lineRule="auto"/>
        <w:rPr>
          <w:rFonts w:ascii="Times New Roman" w:hAnsi="Times New Roman" w:cs="Times New Roman"/>
          <w:sz w:val="24"/>
          <w:szCs w:val="24"/>
        </w:rPr>
        <w:sectPr w:rsidR="00F624F8" w:rsidRPr="004C5E3D" w:rsidSect="00602D3C">
          <w:footerReference w:type="first" r:id="rId16"/>
          <w:pgSz w:w="11906" w:h="16838" w:code="9"/>
          <w:pgMar w:top="1440" w:right="1152" w:bottom="1440" w:left="2160" w:header="706" w:footer="706" w:gutter="0"/>
          <w:pgNumType w:start="1"/>
          <w:cols w:space="708"/>
          <w:titlePg/>
          <w:docGrid w:linePitch="360"/>
        </w:sectPr>
      </w:pPr>
      <w:r w:rsidRPr="006F3B00">
        <w:rPr>
          <w:rFonts w:ascii="Times New Roman" w:hAnsi="Times New Roman" w:cs="Times New Roman"/>
          <w:sz w:val="24"/>
          <w:szCs w:val="24"/>
        </w:rPr>
        <w:t xml:space="preserve">The results </w:t>
      </w:r>
      <w:r w:rsidR="00355323">
        <w:rPr>
          <w:rFonts w:ascii="Times New Roman" w:hAnsi="Times New Roman" w:cs="Times New Roman"/>
          <w:sz w:val="24"/>
          <w:szCs w:val="24"/>
        </w:rPr>
        <w:t xml:space="preserve">of each question </w:t>
      </w:r>
      <w:r w:rsidRPr="006F3B00">
        <w:rPr>
          <w:rFonts w:ascii="Times New Roman" w:hAnsi="Times New Roman" w:cs="Times New Roman"/>
          <w:sz w:val="24"/>
          <w:szCs w:val="24"/>
        </w:rPr>
        <w:t xml:space="preserve">are summarised hereafter in text and graphical form with summary </w:t>
      </w:r>
      <w:r w:rsidR="00686222">
        <w:rPr>
          <w:rFonts w:ascii="Times New Roman" w:hAnsi="Times New Roman" w:cs="Times New Roman"/>
          <w:sz w:val="24"/>
          <w:szCs w:val="24"/>
        </w:rPr>
        <w:t>T</w:t>
      </w:r>
      <w:r w:rsidR="005073E7">
        <w:rPr>
          <w:rFonts w:ascii="Times New Roman" w:hAnsi="Times New Roman" w:cs="Times New Roman"/>
          <w:sz w:val="24"/>
          <w:szCs w:val="24"/>
        </w:rPr>
        <w:t>ables 3.2 and 3.3</w:t>
      </w:r>
      <w:r w:rsidR="003E5D05">
        <w:rPr>
          <w:rFonts w:ascii="Times New Roman" w:hAnsi="Times New Roman" w:cs="Times New Roman"/>
          <w:sz w:val="24"/>
          <w:szCs w:val="24"/>
        </w:rPr>
        <w:t xml:space="preserve"> thereafter.</w:t>
      </w:r>
    </w:p>
    <w:p w14:paraId="331F50E8" w14:textId="77777777" w:rsidR="00E41ED0" w:rsidRDefault="00863DF5" w:rsidP="00E41ED0">
      <w:pPr>
        <w:spacing w:line="240" w:lineRule="auto"/>
        <w:rPr>
          <w:rFonts w:ascii="Times New Roman" w:hAnsi="Times New Roman" w:cs="Times New Roman"/>
          <w:sz w:val="24"/>
          <w:szCs w:val="24"/>
        </w:rPr>
      </w:pPr>
      <w:r w:rsidRPr="006F3B00">
        <w:rPr>
          <w:rFonts w:ascii="Times New Roman" w:hAnsi="Times New Roman" w:cs="Times New Roman"/>
          <w:b/>
          <w:sz w:val="24"/>
          <w:szCs w:val="24"/>
        </w:rPr>
        <w:lastRenderedPageBreak/>
        <w:t>Question 1</w:t>
      </w:r>
      <w:r w:rsidRPr="006F3B00">
        <w:rPr>
          <w:rFonts w:ascii="Times New Roman" w:hAnsi="Times New Roman" w:cs="Times New Roman"/>
          <w:sz w:val="24"/>
          <w:szCs w:val="24"/>
        </w:rPr>
        <w:t xml:space="preserve">: </w:t>
      </w:r>
      <w:r w:rsidR="00F66954">
        <w:rPr>
          <w:rFonts w:ascii="Times New Roman" w:hAnsi="Times New Roman" w:cs="Times New Roman"/>
          <w:b/>
          <w:sz w:val="24"/>
          <w:szCs w:val="24"/>
        </w:rPr>
        <w:t xml:space="preserve">WBAs are useful in training (Figure </w:t>
      </w:r>
      <w:r w:rsidR="00BC04B0">
        <w:rPr>
          <w:rFonts w:ascii="Times New Roman" w:hAnsi="Times New Roman" w:cs="Times New Roman"/>
          <w:b/>
          <w:sz w:val="24"/>
          <w:szCs w:val="24"/>
        </w:rPr>
        <w:t>3.</w:t>
      </w:r>
      <w:r w:rsidR="005073E7">
        <w:rPr>
          <w:rFonts w:ascii="Times New Roman" w:hAnsi="Times New Roman" w:cs="Times New Roman"/>
          <w:b/>
          <w:sz w:val="24"/>
          <w:szCs w:val="24"/>
        </w:rPr>
        <w:t>2</w:t>
      </w:r>
      <w:r w:rsidR="00F66954">
        <w:rPr>
          <w:rFonts w:ascii="Times New Roman" w:hAnsi="Times New Roman" w:cs="Times New Roman"/>
          <w:b/>
          <w:sz w:val="24"/>
          <w:szCs w:val="24"/>
        </w:rPr>
        <w:t>)</w:t>
      </w:r>
    </w:p>
    <w:p w14:paraId="7DF6B2DD" w14:textId="1C2ADAF9" w:rsidR="00863DF5" w:rsidRDefault="00863DF5" w:rsidP="00E41ED0">
      <w:pPr>
        <w:spacing w:line="240" w:lineRule="auto"/>
        <w:rPr>
          <w:rFonts w:ascii="Times New Roman" w:hAnsi="Times New Roman" w:cs="Times New Roman"/>
          <w:sz w:val="24"/>
          <w:szCs w:val="24"/>
        </w:rPr>
      </w:pPr>
      <w:r w:rsidRPr="006F3B00">
        <w:rPr>
          <w:rFonts w:ascii="Times New Roman" w:hAnsi="Times New Roman" w:cs="Times New Roman"/>
          <w:sz w:val="24"/>
          <w:szCs w:val="24"/>
        </w:rPr>
        <w:t>44% of trainees strongly disagreed or disagreed that WBAs are useful in training, and while a noteworthy proportion of assessors shared a similar perspective (33%), a greater number of assessors strongly agreed or agreed that WBAs are useful (46%</w:t>
      </w:r>
      <w:r w:rsidR="00196275">
        <w:rPr>
          <w:rFonts w:ascii="Times New Roman" w:hAnsi="Times New Roman" w:cs="Times New Roman"/>
          <w:sz w:val="24"/>
          <w:szCs w:val="24"/>
        </w:rPr>
        <w:t>) compared to trainees (35%).</w:t>
      </w:r>
      <w:r w:rsidR="00355323">
        <w:rPr>
          <w:rFonts w:ascii="Times New Roman" w:hAnsi="Times New Roman" w:cs="Times New Roman"/>
          <w:sz w:val="24"/>
          <w:szCs w:val="24"/>
        </w:rPr>
        <w:t xml:space="preserve"> Similar proportions of trainees and assessors neither agreed nor disagreed with this statement. </w:t>
      </w:r>
    </w:p>
    <w:p w14:paraId="5910F44A" w14:textId="6825FF89" w:rsidR="00AF0335" w:rsidRDefault="00F66954" w:rsidP="00AF0335">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E48E85" wp14:editId="07DC5014">
            <wp:extent cx="8572500" cy="4124317"/>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qu 1 merged graph.png"/>
                    <pic:cNvPicPr/>
                  </pic:nvPicPr>
                  <pic:blipFill>
                    <a:blip r:embed="rId17">
                      <a:extLst>
                        <a:ext uri="{28A0092B-C50C-407E-A947-70E740481C1C}">
                          <a14:useLocalDpi xmlns:a14="http://schemas.microsoft.com/office/drawing/2010/main" val="0"/>
                        </a:ext>
                      </a:extLst>
                    </a:blip>
                    <a:stretch>
                      <a:fillRect/>
                    </a:stretch>
                  </pic:blipFill>
                  <pic:spPr>
                    <a:xfrm>
                      <a:off x="0" y="0"/>
                      <a:ext cx="8639501" cy="4156552"/>
                    </a:xfrm>
                    <a:prstGeom prst="rect">
                      <a:avLst/>
                    </a:prstGeom>
                  </pic:spPr>
                </pic:pic>
              </a:graphicData>
            </a:graphic>
          </wp:inline>
        </w:drawing>
      </w:r>
      <w:r>
        <w:rPr>
          <w:rFonts w:ascii="Times New Roman" w:hAnsi="Times New Roman" w:cs="Times New Roman"/>
          <w:b/>
          <w:sz w:val="24"/>
          <w:szCs w:val="24"/>
        </w:rPr>
        <w:t>Figure 3</w:t>
      </w:r>
      <w:r w:rsidR="005073E7">
        <w:rPr>
          <w:rFonts w:ascii="Times New Roman" w:hAnsi="Times New Roman" w:cs="Times New Roman"/>
          <w:b/>
          <w:sz w:val="24"/>
          <w:szCs w:val="24"/>
        </w:rPr>
        <w:t>.2</w:t>
      </w:r>
      <w:r w:rsidR="00BC04B0">
        <w:rPr>
          <w:rFonts w:ascii="Times New Roman" w:hAnsi="Times New Roman" w:cs="Times New Roman"/>
          <w:b/>
          <w:sz w:val="24"/>
          <w:szCs w:val="24"/>
        </w:rPr>
        <w:t>.</w:t>
      </w:r>
      <w:r>
        <w:rPr>
          <w:rFonts w:ascii="Times New Roman" w:hAnsi="Times New Roman" w:cs="Times New Roman"/>
          <w:b/>
          <w:sz w:val="24"/>
          <w:szCs w:val="24"/>
        </w:rPr>
        <w:t xml:space="preserve"> </w:t>
      </w:r>
      <w:r w:rsidRPr="006F3B00">
        <w:rPr>
          <w:rFonts w:ascii="Times New Roman" w:hAnsi="Times New Roman" w:cs="Times New Roman"/>
          <w:b/>
          <w:sz w:val="24"/>
          <w:szCs w:val="24"/>
        </w:rPr>
        <w:t xml:space="preserve">Trainee and assessor responses to the statement: </w:t>
      </w:r>
      <w:r w:rsidR="001A0474">
        <w:rPr>
          <w:rFonts w:ascii="Times New Roman" w:hAnsi="Times New Roman" w:cs="Times New Roman"/>
          <w:b/>
          <w:sz w:val="24"/>
          <w:szCs w:val="24"/>
        </w:rPr>
        <w:t>‘</w:t>
      </w:r>
      <w:r w:rsidRPr="006F3B00">
        <w:rPr>
          <w:rFonts w:ascii="Times New Roman" w:hAnsi="Times New Roman" w:cs="Times New Roman"/>
          <w:b/>
          <w:sz w:val="24"/>
          <w:szCs w:val="24"/>
        </w:rPr>
        <w:t xml:space="preserve">WBAs are </w:t>
      </w:r>
      <w:r>
        <w:rPr>
          <w:rFonts w:ascii="Times New Roman" w:hAnsi="Times New Roman" w:cs="Times New Roman"/>
          <w:b/>
          <w:sz w:val="24"/>
          <w:szCs w:val="24"/>
        </w:rPr>
        <w:t>useful in training</w:t>
      </w:r>
      <w:r w:rsidR="001A0474">
        <w:rPr>
          <w:rFonts w:ascii="Times New Roman" w:hAnsi="Times New Roman" w:cs="Times New Roman"/>
          <w:b/>
          <w:sz w:val="24"/>
          <w:szCs w:val="24"/>
        </w:rPr>
        <w:t>’</w:t>
      </w:r>
    </w:p>
    <w:p w14:paraId="1F3608A9" w14:textId="1AC029D1" w:rsidR="00863DF5" w:rsidRPr="006F3B00" w:rsidRDefault="00863DF5" w:rsidP="00E41ED0">
      <w:pPr>
        <w:spacing w:line="240" w:lineRule="auto"/>
        <w:rPr>
          <w:rFonts w:ascii="Times New Roman" w:hAnsi="Times New Roman" w:cs="Times New Roman"/>
          <w:sz w:val="24"/>
          <w:szCs w:val="24"/>
        </w:rPr>
      </w:pPr>
      <w:r w:rsidRPr="006F3B00">
        <w:rPr>
          <w:rFonts w:ascii="Times New Roman" w:hAnsi="Times New Roman" w:cs="Times New Roman"/>
          <w:b/>
          <w:sz w:val="24"/>
          <w:szCs w:val="24"/>
        </w:rPr>
        <w:lastRenderedPageBreak/>
        <w:t>Question 2: The number o</w:t>
      </w:r>
      <w:r w:rsidR="00F66954">
        <w:rPr>
          <w:rFonts w:ascii="Times New Roman" w:hAnsi="Times New Roman" w:cs="Times New Roman"/>
          <w:b/>
          <w:sz w:val="24"/>
          <w:szCs w:val="24"/>
        </w:rPr>
        <w:t xml:space="preserve">f WBAs per stage is appropriate (Figure </w:t>
      </w:r>
      <w:r w:rsidR="00BC04B0">
        <w:rPr>
          <w:rFonts w:ascii="Times New Roman" w:hAnsi="Times New Roman" w:cs="Times New Roman"/>
          <w:b/>
          <w:sz w:val="24"/>
          <w:szCs w:val="24"/>
        </w:rPr>
        <w:t>3.</w:t>
      </w:r>
      <w:r w:rsidR="005073E7">
        <w:rPr>
          <w:rFonts w:ascii="Times New Roman" w:hAnsi="Times New Roman" w:cs="Times New Roman"/>
          <w:b/>
          <w:sz w:val="24"/>
          <w:szCs w:val="24"/>
        </w:rPr>
        <w:t>3</w:t>
      </w:r>
      <w:r w:rsidR="00F66954">
        <w:rPr>
          <w:rFonts w:ascii="Times New Roman" w:hAnsi="Times New Roman" w:cs="Times New Roman"/>
          <w:b/>
          <w:sz w:val="24"/>
          <w:szCs w:val="24"/>
        </w:rPr>
        <w:t>)</w:t>
      </w:r>
    </w:p>
    <w:p w14:paraId="76F6F430" w14:textId="47105B5B" w:rsidR="00863DF5" w:rsidRDefault="00863DF5" w:rsidP="00E41ED0">
      <w:pPr>
        <w:spacing w:after="120" w:line="240" w:lineRule="auto"/>
        <w:rPr>
          <w:rFonts w:ascii="Times New Roman" w:hAnsi="Times New Roman" w:cs="Times New Roman"/>
          <w:sz w:val="24"/>
          <w:szCs w:val="24"/>
        </w:rPr>
      </w:pPr>
      <w:r w:rsidRPr="006F3B00">
        <w:rPr>
          <w:rFonts w:ascii="Times New Roman" w:hAnsi="Times New Roman" w:cs="Times New Roman"/>
          <w:sz w:val="24"/>
          <w:szCs w:val="24"/>
        </w:rPr>
        <w:t xml:space="preserve">There were no clear cut results for this question from either trainees or assessors.   Roughly equal numbers of trainees and assessors strongly agreed or agreed (34% and 37%), neither agreed nor disagreed (32% and 28%) or strongly disagreed or disagreed (33% and 32%) respectively that the number of WBAs per stage of training is appropriate. </w:t>
      </w:r>
    </w:p>
    <w:p w14:paraId="34F91B47" w14:textId="3DCF7630" w:rsidR="00F624F8" w:rsidRPr="00E41ED0" w:rsidRDefault="003762ED" w:rsidP="00863DF5">
      <w:pPr>
        <w:spacing w:after="12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AAB142" wp14:editId="2F99E832">
            <wp:extent cx="8572500" cy="420024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qu2 merged graph.png"/>
                    <pic:cNvPicPr/>
                  </pic:nvPicPr>
                  <pic:blipFill>
                    <a:blip r:embed="rId18">
                      <a:extLst>
                        <a:ext uri="{28A0092B-C50C-407E-A947-70E740481C1C}">
                          <a14:useLocalDpi xmlns:a14="http://schemas.microsoft.com/office/drawing/2010/main" val="0"/>
                        </a:ext>
                      </a:extLst>
                    </a:blip>
                    <a:stretch>
                      <a:fillRect/>
                    </a:stretch>
                  </pic:blipFill>
                  <pic:spPr>
                    <a:xfrm>
                      <a:off x="0" y="0"/>
                      <a:ext cx="8612902" cy="4220036"/>
                    </a:xfrm>
                    <a:prstGeom prst="rect">
                      <a:avLst/>
                    </a:prstGeom>
                  </pic:spPr>
                </pic:pic>
              </a:graphicData>
            </a:graphic>
          </wp:inline>
        </w:drawing>
      </w:r>
      <w:r w:rsidR="00F66954">
        <w:rPr>
          <w:rFonts w:ascii="Times New Roman" w:hAnsi="Times New Roman" w:cs="Times New Roman"/>
          <w:b/>
          <w:sz w:val="24"/>
          <w:szCs w:val="24"/>
        </w:rPr>
        <w:t xml:space="preserve">Figure </w:t>
      </w:r>
      <w:r w:rsidR="005073E7">
        <w:rPr>
          <w:rFonts w:ascii="Times New Roman" w:hAnsi="Times New Roman" w:cs="Times New Roman"/>
          <w:b/>
          <w:sz w:val="24"/>
          <w:szCs w:val="24"/>
        </w:rPr>
        <w:t>3.3</w:t>
      </w:r>
      <w:r w:rsidR="00BC04B0">
        <w:rPr>
          <w:rFonts w:ascii="Times New Roman" w:hAnsi="Times New Roman" w:cs="Times New Roman"/>
          <w:b/>
          <w:sz w:val="24"/>
          <w:szCs w:val="24"/>
        </w:rPr>
        <w:t>.</w:t>
      </w:r>
      <w:r w:rsidR="00F66954">
        <w:rPr>
          <w:rFonts w:ascii="Times New Roman" w:hAnsi="Times New Roman" w:cs="Times New Roman"/>
          <w:b/>
          <w:sz w:val="24"/>
          <w:szCs w:val="24"/>
        </w:rPr>
        <w:t xml:space="preserve"> </w:t>
      </w:r>
      <w:r w:rsidR="00F66954" w:rsidRPr="006F3B00">
        <w:rPr>
          <w:rFonts w:ascii="Times New Roman" w:hAnsi="Times New Roman" w:cs="Times New Roman"/>
          <w:b/>
          <w:sz w:val="24"/>
          <w:szCs w:val="24"/>
        </w:rPr>
        <w:t xml:space="preserve">Trainee and assessor responses to the statement: </w:t>
      </w:r>
      <w:r w:rsidR="001A0474">
        <w:rPr>
          <w:rFonts w:ascii="Times New Roman" w:hAnsi="Times New Roman" w:cs="Times New Roman"/>
          <w:b/>
          <w:sz w:val="24"/>
          <w:szCs w:val="24"/>
        </w:rPr>
        <w:t>‘</w:t>
      </w:r>
      <w:r w:rsidR="00F66954" w:rsidRPr="006F3B00">
        <w:rPr>
          <w:rFonts w:ascii="Times New Roman" w:hAnsi="Times New Roman" w:cs="Times New Roman"/>
          <w:b/>
          <w:sz w:val="24"/>
          <w:szCs w:val="24"/>
        </w:rPr>
        <w:t>The number o</w:t>
      </w:r>
      <w:r w:rsidR="00F66954">
        <w:rPr>
          <w:rFonts w:ascii="Times New Roman" w:hAnsi="Times New Roman" w:cs="Times New Roman"/>
          <w:b/>
          <w:sz w:val="24"/>
          <w:szCs w:val="24"/>
        </w:rPr>
        <w:t>f WBAs per stage is appropriate</w:t>
      </w:r>
      <w:r w:rsidR="001A0474">
        <w:rPr>
          <w:rFonts w:ascii="Times New Roman" w:hAnsi="Times New Roman" w:cs="Times New Roman"/>
          <w:b/>
          <w:sz w:val="24"/>
          <w:szCs w:val="24"/>
        </w:rPr>
        <w:t>’</w:t>
      </w:r>
    </w:p>
    <w:p w14:paraId="53983C4C" w14:textId="086441FB" w:rsidR="00863DF5" w:rsidRPr="006F3B00" w:rsidRDefault="00863DF5" w:rsidP="00E41ED0">
      <w:pPr>
        <w:spacing w:after="120" w:line="240" w:lineRule="auto"/>
        <w:rPr>
          <w:rFonts w:ascii="Times New Roman" w:hAnsi="Times New Roman" w:cs="Times New Roman"/>
          <w:b/>
          <w:sz w:val="24"/>
          <w:szCs w:val="24"/>
        </w:rPr>
      </w:pPr>
      <w:r w:rsidRPr="006F3B00">
        <w:rPr>
          <w:rFonts w:ascii="Times New Roman" w:hAnsi="Times New Roman" w:cs="Times New Roman"/>
          <w:b/>
          <w:sz w:val="24"/>
          <w:szCs w:val="24"/>
        </w:rPr>
        <w:lastRenderedPageBreak/>
        <w:t>Question 3: There is s</w:t>
      </w:r>
      <w:r w:rsidR="00F66954">
        <w:rPr>
          <w:rFonts w:ascii="Times New Roman" w:hAnsi="Times New Roman" w:cs="Times New Roman"/>
          <w:b/>
          <w:sz w:val="24"/>
          <w:szCs w:val="24"/>
        </w:rPr>
        <w:t xml:space="preserve">ufficient time to complete WBAs (Figure </w:t>
      </w:r>
      <w:r w:rsidR="00BC04B0">
        <w:rPr>
          <w:rFonts w:ascii="Times New Roman" w:hAnsi="Times New Roman" w:cs="Times New Roman"/>
          <w:b/>
          <w:sz w:val="24"/>
          <w:szCs w:val="24"/>
        </w:rPr>
        <w:t>3.</w:t>
      </w:r>
      <w:r w:rsidR="005073E7">
        <w:rPr>
          <w:rFonts w:ascii="Times New Roman" w:hAnsi="Times New Roman" w:cs="Times New Roman"/>
          <w:b/>
          <w:sz w:val="24"/>
          <w:szCs w:val="24"/>
        </w:rPr>
        <w:t>4</w:t>
      </w:r>
      <w:r w:rsidR="00F66954">
        <w:rPr>
          <w:rFonts w:ascii="Times New Roman" w:hAnsi="Times New Roman" w:cs="Times New Roman"/>
          <w:b/>
          <w:sz w:val="24"/>
          <w:szCs w:val="24"/>
        </w:rPr>
        <w:t>)</w:t>
      </w:r>
    </w:p>
    <w:p w14:paraId="124E10B8" w14:textId="171A8BEF" w:rsidR="00863DF5" w:rsidRDefault="00863DF5" w:rsidP="00E41ED0">
      <w:pPr>
        <w:spacing w:after="120" w:line="240" w:lineRule="auto"/>
        <w:rPr>
          <w:rFonts w:ascii="Times New Roman" w:hAnsi="Times New Roman" w:cs="Times New Roman"/>
          <w:sz w:val="24"/>
          <w:szCs w:val="24"/>
        </w:rPr>
      </w:pPr>
      <w:r w:rsidRPr="006F3B00">
        <w:rPr>
          <w:rFonts w:ascii="Times New Roman" w:hAnsi="Times New Roman" w:cs="Times New Roman"/>
          <w:sz w:val="24"/>
          <w:szCs w:val="24"/>
        </w:rPr>
        <w:t xml:space="preserve">The majority of both trainees and assessors felt there was sufficient time to complete WBAs.  62% of trainees and 62% of assessors strongly agreed or agreed and only 21% of trainees and 20% of assessors strongly disagreed or disagreed with this statement. </w:t>
      </w:r>
      <w:r w:rsidR="001A0474">
        <w:rPr>
          <w:rFonts w:ascii="Times New Roman" w:hAnsi="Times New Roman" w:cs="Times New Roman"/>
          <w:sz w:val="24"/>
          <w:szCs w:val="24"/>
        </w:rPr>
        <w:t xml:space="preserve"> </w:t>
      </w:r>
      <w:r w:rsidR="003E5D05">
        <w:rPr>
          <w:rFonts w:ascii="Times New Roman" w:hAnsi="Times New Roman" w:cs="Times New Roman"/>
          <w:sz w:val="24"/>
          <w:szCs w:val="24"/>
        </w:rPr>
        <w:t>17% of trainees and 18% of assessors neither agreed nor disagreed with the statement.</w:t>
      </w:r>
    </w:p>
    <w:p w14:paraId="668EFE8F" w14:textId="1F93CE0D" w:rsidR="00F624F8" w:rsidRPr="00E41ED0" w:rsidRDefault="00F66954" w:rsidP="00F624F8">
      <w:pPr>
        <w:spacing w:after="12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9AE028" wp14:editId="26D64564">
            <wp:extent cx="8572500" cy="4229088"/>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qu3 merged graph.png"/>
                    <pic:cNvPicPr/>
                  </pic:nvPicPr>
                  <pic:blipFill>
                    <a:blip r:embed="rId19">
                      <a:extLst>
                        <a:ext uri="{28A0092B-C50C-407E-A947-70E740481C1C}">
                          <a14:useLocalDpi xmlns:a14="http://schemas.microsoft.com/office/drawing/2010/main" val="0"/>
                        </a:ext>
                      </a:extLst>
                    </a:blip>
                    <a:stretch>
                      <a:fillRect/>
                    </a:stretch>
                  </pic:blipFill>
                  <pic:spPr>
                    <a:xfrm>
                      <a:off x="0" y="0"/>
                      <a:ext cx="8610369" cy="4247770"/>
                    </a:xfrm>
                    <a:prstGeom prst="rect">
                      <a:avLst/>
                    </a:prstGeom>
                  </pic:spPr>
                </pic:pic>
              </a:graphicData>
            </a:graphic>
          </wp:inline>
        </w:drawing>
      </w:r>
      <w:r>
        <w:rPr>
          <w:rFonts w:ascii="Times New Roman" w:hAnsi="Times New Roman" w:cs="Times New Roman"/>
          <w:b/>
          <w:sz w:val="24"/>
          <w:szCs w:val="24"/>
        </w:rPr>
        <w:t xml:space="preserve">Figure </w:t>
      </w:r>
      <w:r w:rsidR="005073E7">
        <w:rPr>
          <w:rFonts w:ascii="Times New Roman" w:hAnsi="Times New Roman" w:cs="Times New Roman"/>
          <w:b/>
          <w:sz w:val="24"/>
          <w:szCs w:val="24"/>
        </w:rPr>
        <w:t>3.4</w:t>
      </w:r>
      <w:r w:rsidR="00BC04B0">
        <w:rPr>
          <w:rFonts w:ascii="Times New Roman" w:hAnsi="Times New Roman" w:cs="Times New Roman"/>
          <w:b/>
          <w:sz w:val="24"/>
          <w:szCs w:val="24"/>
        </w:rPr>
        <w:t>.</w:t>
      </w:r>
      <w:r>
        <w:rPr>
          <w:rFonts w:ascii="Times New Roman" w:hAnsi="Times New Roman" w:cs="Times New Roman"/>
          <w:b/>
          <w:sz w:val="24"/>
          <w:szCs w:val="24"/>
        </w:rPr>
        <w:t xml:space="preserve"> </w:t>
      </w:r>
      <w:r w:rsidRPr="006F3B00">
        <w:rPr>
          <w:rFonts w:ascii="Times New Roman" w:hAnsi="Times New Roman" w:cs="Times New Roman"/>
          <w:b/>
          <w:sz w:val="24"/>
          <w:szCs w:val="24"/>
        </w:rPr>
        <w:t xml:space="preserve">Trainee and assessor responses to the statement: </w:t>
      </w:r>
      <w:r w:rsidR="001A0474">
        <w:rPr>
          <w:rFonts w:ascii="Times New Roman" w:hAnsi="Times New Roman" w:cs="Times New Roman"/>
          <w:b/>
          <w:sz w:val="24"/>
          <w:szCs w:val="24"/>
        </w:rPr>
        <w:t>‘</w:t>
      </w:r>
      <w:r w:rsidRPr="006F3B00">
        <w:rPr>
          <w:rFonts w:ascii="Times New Roman" w:hAnsi="Times New Roman" w:cs="Times New Roman"/>
          <w:b/>
          <w:sz w:val="24"/>
          <w:szCs w:val="24"/>
        </w:rPr>
        <w:t>There is s</w:t>
      </w:r>
      <w:r>
        <w:rPr>
          <w:rFonts w:ascii="Times New Roman" w:hAnsi="Times New Roman" w:cs="Times New Roman"/>
          <w:b/>
          <w:sz w:val="24"/>
          <w:szCs w:val="24"/>
        </w:rPr>
        <w:t>ufficient time to complete WBAs</w:t>
      </w:r>
      <w:r w:rsidR="001A0474">
        <w:rPr>
          <w:rFonts w:ascii="Times New Roman" w:hAnsi="Times New Roman" w:cs="Times New Roman"/>
          <w:b/>
          <w:sz w:val="24"/>
          <w:szCs w:val="24"/>
        </w:rPr>
        <w:t>’</w:t>
      </w:r>
    </w:p>
    <w:p w14:paraId="16C8A684" w14:textId="766D8D4C" w:rsidR="00863DF5" w:rsidRPr="006F3B00" w:rsidRDefault="00863DF5" w:rsidP="00E41ED0">
      <w:pPr>
        <w:spacing w:after="120" w:line="240" w:lineRule="auto"/>
        <w:rPr>
          <w:rFonts w:ascii="Times New Roman" w:hAnsi="Times New Roman" w:cs="Times New Roman"/>
          <w:b/>
          <w:sz w:val="24"/>
          <w:szCs w:val="24"/>
        </w:rPr>
      </w:pPr>
      <w:r w:rsidRPr="006F3B00">
        <w:rPr>
          <w:rFonts w:ascii="Times New Roman" w:hAnsi="Times New Roman" w:cs="Times New Roman"/>
          <w:b/>
          <w:sz w:val="24"/>
          <w:szCs w:val="24"/>
        </w:rPr>
        <w:lastRenderedPageBreak/>
        <w:t>Question 4: WBAs identify diagnostic competence in histopathology</w:t>
      </w:r>
      <w:r w:rsidR="00F66954">
        <w:rPr>
          <w:rFonts w:ascii="Times New Roman" w:hAnsi="Times New Roman" w:cs="Times New Roman"/>
          <w:b/>
          <w:sz w:val="24"/>
          <w:szCs w:val="24"/>
        </w:rPr>
        <w:t xml:space="preserve"> (Figure </w:t>
      </w:r>
      <w:r w:rsidR="00BC04B0">
        <w:rPr>
          <w:rFonts w:ascii="Times New Roman" w:hAnsi="Times New Roman" w:cs="Times New Roman"/>
          <w:b/>
          <w:sz w:val="24"/>
          <w:szCs w:val="24"/>
        </w:rPr>
        <w:t>3.</w:t>
      </w:r>
      <w:r w:rsidR="005073E7">
        <w:rPr>
          <w:rFonts w:ascii="Times New Roman" w:hAnsi="Times New Roman" w:cs="Times New Roman"/>
          <w:b/>
          <w:sz w:val="24"/>
          <w:szCs w:val="24"/>
        </w:rPr>
        <w:t>5</w:t>
      </w:r>
      <w:r w:rsidR="00F66954">
        <w:rPr>
          <w:rFonts w:ascii="Times New Roman" w:hAnsi="Times New Roman" w:cs="Times New Roman"/>
          <w:b/>
          <w:sz w:val="24"/>
          <w:szCs w:val="24"/>
        </w:rPr>
        <w:t>)</w:t>
      </w:r>
    </w:p>
    <w:p w14:paraId="2AA8E561" w14:textId="65F4A028" w:rsidR="00863DF5" w:rsidRPr="006F3B00" w:rsidRDefault="00863DF5" w:rsidP="00E41ED0">
      <w:pPr>
        <w:spacing w:line="240" w:lineRule="auto"/>
        <w:rPr>
          <w:rFonts w:ascii="Times New Roman" w:hAnsi="Times New Roman" w:cs="Times New Roman"/>
          <w:sz w:val="24"/>
          <w:szCs w:val="24"/>
        </w:rPr>
      </w:pPr>
      <w:r w:rsidRPr="006F3B00">
        <w:rPr>
          <w:rFonts w:ascii="Times New Roman" w:hAnsi="Times New Roman" w:cs="Times New Roman"/>
          <w:sz w:val="24"/>
          <w:szCs w:val="24"/>
        </w:rPr>
        <w:t>Roughly two thirds of trainees and assessors strongly disagreed or disagreed (68% and 62% respectively) that WBAs identify diagnostic compete</w:t>
      </w:r>
      <w:r w:rsidR="00583735">
        <w:rPr>
          <w:rFonts w:ascii="Times New Roman" w:hAnsi="Times New Roman" w:cs="Times New Roman"/>
          <w:sz w:val="24"/>
          <w:szCs w:val="24"/>
        </w:rPr>
        <w:t>nce in histopathology</w:t>
      </w:r>
      <w:r w:rsidRPr="006F3B00">
        <w:rPr>
          <w:rFonts w:ascii="Times New Roman" w:hAnsi="Times New Roman" w:cs="Times New Roman"/>
          <w:sz w:val="24"/>
          <w:szCs w:val="24"/>
        </w:rPr>
        <w:t>. Conversely only 15% of trainees and 23% of assessors strongly agreed or agreed with this statement</w:t>
      </w:r>
      <w:r w:rsidR="00EE7383">
        <w:rPr>
          <w:rFonts w:ascii="Times New Roman" w:hAnsi="Times New Roman" w:cs="Times New Roman"/>
          <w:sz w:val="24"/>
          <w:szCs w:val="24"/>
        </w:rPr>
        <w:t>.</w:t>
      </w:r>
      <w:r w:rsidR="001A0474">
        <w:rPr>
          <w:rFonts w:ascii="Times New Roman" w:hAnsi="Times New Roman" w:cs="Times New Roman"/>
          <w:sz w:val="24"/>
          <w:szCs w:val="24"/>
        </w:rPr>
        <w:t xml:space="preserve"> </w:t>
      </w:r>
      <w:r w:rsidR="00E84976">
        <w:rPr>
          <w:rFonts w:ascii="Times New Roman" w:hAnsi="Times New Roman" w:cs="Times New Roman"/>
          <w:sz w:val="24"/>
          <w:szCs w:val="24"/>
        </w:rPr>
        <w:t>17% of trainees and 15% of assessors neither agreed nor disagreed with the statement.</w:t>
      </w:r>
    </w:p>
    <w:p w14:paraId="0CBB3376" w14:textId="581C8C42" w:rsidR="00F624F8" w:rsidRPr="00583735" w:rsidRDefault="00863DF5" w:rsidP="00583735">
      <w:pPr>
        <w:spacing w:line="480" w:lineRule="auto"/>
        <w:rPr>
          <w:rFonts w:ascii="Times New Roman" w:hAnsi="Times New Roman" w:cs="Times New Roman"/>
          <w:sz w:val="24"/>
          <w:szCs w:val="24"/>
        </w:rPr>
      </w:pPr>
      <w:r w:rsidRPr="006F3B00">
        <w:rPr>
          <w:rFonts w:ascii="Times New Roman" w:hAnsi="Times New Roman" w:cs="Times New Roman"/>
          <w:noProof/>
          <w:sz w:val="24"/>
          <w:szCs w:val="24"/>
        </w:rPr>
        <w:drawing>
          <wp:inline distT="0" distB="0" distL="0" distR="0" wp14:anchorId="6E2FA010" wp14:editId="56DECCBD">
            <wp:extent cx="8572500" cy="4190959"/>
            <wp:effectExtent l="0" t="0" r="0" b="635"/>
            <wp:docPr id="297" name="Picture 297" descr="C:\Users\Dan Brierley\Documents\Publications\WBA Jclinpath pape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 Brierley\Documents\Publications\WBA Jclinpath paper\figure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6693" cy="4232120"/>
                    </a:xfrm>
                    <a:prstGeom prst="rect">
                      <a:avLst/>
                    </a:prstGeom>
                    <a:noFill/>
                    <a:ln>
                      <a:noFill/>
                    </a:ln>
                  </pic:spPr>
                </pic:pic>
              </a:graphicData>
            </a:graphic>
          </wp:inline>
        </w:drawing>
      </w:r>
      <w:r w:rsidR="00F66954">
        <w:rPr>
          <w:rFonts w:ascii="Times New Roman" w:hAnsi="Times New Roman" w:cs="Times New Roman"/>
          <w:b/>
          <w:sz w:val="24"/>
          <w:szCs w:val="24"/>
        </w:rPr>
        <w:t xml:space="preserve">Figure </w:t>
      </w:r>
      <w:r w:rsidR="00BC04B0">
        <w:rPr>
          <w:rFonts w:ascii="Times New Roman" w:hAnsi="Times New Roman" w:cs="Times New Roman"/>
          <w:b/>
          <w:sz w:val="24"/>
          <w:szCs w:val="24"/>
        </w:rPr>
        <w:t>3.</w:t>
      </w:r>
      <w:r w:rsidR="005073E7">
        <w:rPr>
          <w:rFonts w:ascii="Times New Roman" w:hAnsi="Times New Roman" w:cs="Times New Roman"/>
          <w:b/>
          <w:sz w:val="24"/>
          <w:szCs w:val="24"/>
        </w:rPr>
        <w:t>5</w:t>
      </w:r>
      <w:r w:rsidR="00BC04B0">
        <w:rPr>
          <w:rFonts w:ascii="Times New Roman" w:hAnsi="Times New Roman" w:cs="Times New Roman"/>
          <w:b/>
          <w:sz w:val="24"/>
          <w:szCs w:val="24"/>
        </w:rPr>
        <w:t>.</w:t>
      </w:r>
      <w:r w:rsidRPr="006F3B00">
        <w:rPr>
          <w:rFonts w:ascii="Times New Roman" w:hAnsi="Times New Roman" w:cs="Times New Roman"/>
          <w:b/>
          <w:sz w:val="24"/>
          <w:szCs w:val="24"/>
        </w:rPr>
        <w:t xml:space="preserve"> Trainee and assessor responses to the statement: </w:t>
      </w:r>
      <w:r w:rsidR="001A0474">
        <w:rPr>
          <w:rFonts w:ascii="Times New Roman" w:hAnsi="Times New Roman" w:cs="Times New Roman"/>
          <w:b/>
          <w:sz w:val="24"/>
          <w:szCs w:val="24"/>
        </w:rPr>
        <w:t>‘</w:t>
      </w:r>
      <w:r w:rsidRPr="006F3B00">
        <w:rPr>
          <w:rFonts w:ascii="Times New Roman" w:hAnsi="Times New Roman" w:cs="Times New Roman"/>
          <w:b/>
          <w:sz w:val="24"/>
          <w:szCs w:val="24"/>
        </w:rPr>
        <w:t>WBAs are able to identify diagnostic competence in histopathology</w:t>
      </w:r>
      <w:r w:rsidR="001A0474">
        <w:rPr>
          <w:rFonts w:ascii="Times New Roman" w:hAnsi="Times New Roman" w:cs="Times New Roman"/>
          <w:b/>
          <w:sz w:val="24"/>
          <w:szCs w:val="24"/>
        </w:rPr>
        <w:t>’</w:t>
      </w:r>
    </w:p>
    <w:p w14:paraId="04B1F662" w14:textId="00837B98" w:rsidR="00863DF5" w:rsidRPr="006F3B00" w:rsidRDefault="00863DF5" w:rsidP="00E41ED0">
      <w:pPr>
        <w:spacing w:after="0" w:line="240" w:lineRule="auto"/>
        <w:rPr>
          <w:rFonts w:ascii="Times New Roman" w:hAnsi="Times New Roman" w:cs="Times New Roman"/>
          <w:b/>
          <w:sz w:val="24"/>
          <w:szCs w:val="24"/>
        </w:rPr>
      </w:pPr>
      <w:r w:rsidRPr="006F3B00">
        <w:rPr>
          <w:rFonts w:ascii="Times New Roman" w:hAnsi="Times New Roman" w:cs="Times New Roman"/>
          <w:b/>
          <w:sz w:val="24"/>
          <w:szCs w:val="24"/>
        </w:rPr>
        <w:lastRenderedPageBreak/>
        <w:t>Question 5:  WBAs identify trainees in difficulty</w:t>
      </w:r>
      <w:r w:rsidR="00F66954">
        <w:rPr>
          <w:rFonts w:ascii="Times New Roman" w:hAnsi="Times New Roman" w:cs="Times New Roman"/>
          <w:b/>
          <w:sz w:val="24"/>
          <w:szCs w:val="24"/>
        </w:rPr>
        <w:t xml:space="preserve"> (Figure </w:t>
      </w:r>
      <w:r w:rsidR="00BC04B0">
        <w:rPr>
          <w:rFonts w:ascii="Times New Roman" w:hAnsi="Times New Roman" w:cs="Times New Roman"/>
          <w:b/>
          <w:sz w:val="24"/>
          <w:szCs w:val="24"/>
        </w:rPr>
        <w:t>3.</w:t>
      </w:r>
      <w:r w:rsidR="005073E7">
        <w:rPr>
          <w:rFonts w:ascii="Times New Roman" w:hAnsi="Times New Roman" w:cs="Times New Roman"/>
          <w:b/>
          <w:sz w:val="24"/>
          <w:szCs w:val="24"/>
        </w:rPr>
        <w:t>6</w:t>
      </w:r>
      <w:r w:rsidR="00F66954">
        <w:rPr>
          <w:rFonts w:ascii="Times New Roman" w:hAnsi="Times New Roman" w:cs="Times New Roman"/>
          <w:b/>
          <w:sz w:val="24"/>
          <w:szCs w:val="24"/>
        </w:rPr>
        <w:t>)</w:t>
      </w:r>
    </w:p>
    <w:p w14:paraId="3A45D023" w14:textId="1F707413" w:rsidR="00863DF5" w:rsidRPr="006F3B00" w:rsidRDefault="00863DF5" w:rsidP="00E41ED0">
      <w:pPr>
        <w:spacing w:after="0" w:line="240" w:lineRule="auto"/>
        <w:rPr>
          <w:rFonts w:ascii="Times New Roman" w:hAnsi="Times New Roman" w:cs="Times New Roman"/>
          <w:noProof/>
          <w:sz w:val="24"/>
          <w:szCs w:val="24"/>
          <w:lang w:eastAsia="en-GB"/>
        </w:rPr>
      </w:pPr>
      <w:r w:rsidRPr="006F3B00">
        <w:rPr>
          <w:rFonts w:ascii="Times New Roman" w:hAnsi="Times New Roman" w:cs="Times New Roman"/>
          <w:sz w:val="24"/>
          <w:szCs w:val="24"/>
        </w:rPr>
        <w:t>Similar to the results of question 4, two thirds of both trainees and assessors strongly disagreed or disagreed that WBAs identify trainees in difficulty (69% and 64% respectively)</w:t>
      </w:r>
      <w:r w:rsidRPr="006F3B00">
        <w:rPr>
          <w:rFonts w:ascii="Times New Roman" w:hAnsi="Times New Roman" w:cs="Times New Roman"/>
          <w:b/>
          <w:sz w:val="24"/>
          <w:szCs w:val="24"/>
        </w:rPr>
        <w:t xml:space="preserve"> </w:t>
      </w:r>
      <w:r w:rsidRPr="006F3B00">
        <w:rPr>
          <w:rFonts w:ascii="Times New Roman" w:hAnsi="Times New Roman" w:cs="Times New Roman"/>
          <w:sz w:val="24"/>
          <w:szCs w:val="24"/>
        </w:rPr>
        <w:t>whilst only 15% of trainees and 18% of assessors agreed they did i</w:t>
      </w:r>
      <w:r w:rsidR="00EE7383">
        <w:rPr>
          <w:rFonts w:ascii="Times New Roman" w:hAnsi="Times New Roman" w:cs="Times New Roman"/>
          <w:sz w:val="24"/>
          <w:szCs w:val="24"/>
        </w:rPr>
        <w:t>dentify such trainees</w:t>
      </w:r>
      <w:r w:rsidRPr="006F3B00">
        <w:rPr>
          <w:rFonts w:ascii="Times New Roman" w:hAnsi="Times New Roman" w:cs="Times New Roman"/>
          <w:sz w:val="24"/>
          <w:szCs w:val="24"/>
        </w:rPr>
        <w:t>.</w:t>
      </w:r>
      <w:r w:rsidRPr="006F3B00">
        <w:rPr>
          <w:rFonts w:ascii="Times New Roman" w:hAnsi="Times New Roman" w:cs="Times New Roman"/>
          <w:noProof/>
          <w:sz w:val="24"/>
          <w:szCs w:val="24"/>
          <w:lang w:eastAsia="en-GB"/>
        </w:rPr>
        <w:t xml:space="preserve"> </w:t>
      </w:r>
      <w:r w:rsidR="00E84976">
        <w:rPr>
          <w:rFonts w:ascii="Times New Roman" w:hAnsi="Times New Roman" w:cs="Times New Roman"/>
          <w:noProof/>
          <w:sz w:val="24"/>
          <w:szCs w:val="24"/>
          <w:lang w:eastAsia="en-GB"/>
        </w:rPr>
        <w:t>16% of trainees and 18% of assessors neither agreed nor disagreed with the statement.</w:t>
      </w:r>
    </w:p>
    <w:p w14:paraId="234EB3F2" w14:textId="77777777" w:rsidR="00863DF5" w:rsidRPr="006F3B00" w:rsidRDefault="00863DF5" w:rsidP="00863DF5">
      <w:pPr>
        <w:spacing w:after="0" w:line="480" w:lineRule="auto"/>
        <w:rPr>
          <w:rFonts w:ascii="Times New Roman" w:hAnsi="Times New Roman" w:cs="Times New Roman"/>
          <w:b/>
          <w:sz w:val="24"/>
          <w:szCs w:val="24"/>
        </w:rPr>
      </w:pPr>
      <w:r w:rsidRPr="006F3B00">
        <w:rPr>
          <w:rFonts w:ascii="Times New Roman" w:hAnsi="Times New Roman" w:cs="Times New Roman"/>
          <w:noProof/>
          <w:sz w:val="24"/>
          <w:szCs w:val="24"/>
        </w:rPr>
        <w:drawing>
          <wp:inline distT="0" distB="0" distL="0" distR="0" wp14:anchorId="4345D0AF" wp14:editId="42C5256D">
            <wp:extent cx="8571439" cy="4324350"/>
            <wp:effectExtent l="0" t="0" r="1270" b="0"/>
            <wp:docPr id="298" name="Picture 298" descr="C:\Users\Dan Brierley\Documents\Publications\WBA Jclinpath pape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 Brierley\Documents\Publications\WBA Jclinpath paper\Figure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1023" cy="4344320"/>
                    </a:xfrm>
                    <a:prstGeom prst="rect">
                      <a:avLst/>
                    </a:prstGeom>
                    <a:noFill/>
                    <a:ln>
                      <a:noFill/>
                    </a:ln>
                  </pic:spPr>
                </pic:pic>
              </a:graphicData>
            </a:graphic>
          </wp:inline>
        </w:drawing>
      </w:r>
    </w:p>
    <w:p w14:paraId="1D5A0D9A" w14:textId="232B07F4" w:rsidR="00863DF5" w:rsidRPr="006F3B00" w:rsidRDefault="00F66954" w:rsidP="00863DF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BC04B0">
        <w:rPr>
          <w:rFonts w:ascii="Times New Roman" w:hAnsi="Times New Roman" w:cs="Times New Roman"/>
          <w:b/>
          <w:sz w:val="24"/>
          <w:szCs w:val="24"/>
        </w:rPr>
        <w:t>3.</w:t>
      </w:r>
      <w:r w:rsidR="005073E7">
        <w:rPr>
          <w:rFonts w:ascii="Times New Roman" w:hAnsi="Times New Roman" w:cs="Times New Roman"/>
          <w:b/>
          <w:sz w:val="24"/>
          <w:szCs w:val="24"/>
        </w:rPr>
        <w:t>6</w:t>
      </w:r>
      <w:r w:rsidR="00BC04B0">
        <w:rPr>
          <w:rFonts w:ascii="Times New Roman" w:hAnsi="Times New Roman" w:cs="Times New Roman"/>
          <w:b/>
          <w:sz w:val="24"/>
          <w:szCs w:val="24"/>
        </w:rPr>
        <w:t>.</w:t>
      </w:r>
      <w:r w:rsidR="00863DF5" w:rsidRPr="006F3B00">
        <w:rPr>
          <w:rFonts w:ascii="Times New Roman" w:hAnsi="Times New Roman" w:cs="Times New Roman"/>
          <w:b/>
          <w:sz w:val="24"/>
          <w:szCs w:val="24"/>
        </w:rPr>
        <w:t xml:space="preserve"> Trainee and assessor responses to the statement: </w:t>
      </w:r>
      <w:r w:rsidR="001A0474">
        <w:rPr>
          <w:rFonts w:ascii="Times New Roman" w:hAnsi="Times New Roman" w:cs="Times New Roman"/>
          <w:b/>
          <w:sz w:val="24"/>
          <w:szCs w:val="24"/>
        </w:rPr>
        <w:t>‘</w:t>
      </w:r>
      <w:r w:rsidR="00863DF5" w:rsidRPr="006F3B00">
        <w:rPr>
          <w:rFonts w:ascii="Times New Roman" w:hAnsi="Times New Roman" w:cs="Times New Roman"/>
          <w:b/>
          <w:sz w:val="24"/>
          <w:szCs w:val="24"/>
        </w:rPr>
        <w:t>WBAs are able to identify trainees in difficulty</w:t>
      </w:r>
      <w:r w:rsidR="001A0474">
        <w:rPr>
          <w:rFonts w:ascii="Times New Roman" w:hAnsi="Times New Roman" w:cs="Times New Roman"/>
          <w:b/>
          <w:sz w:val="24"/>
          <w:szCs w:val="24"/>
        </w:rPr>
        <w:t>’</w:t>
      </w:r>
    </w:p>
    <w:p w14:paraId="22C899C0" w14:textId="5A70A7E4" w:rsidR="00863DF5" w:rsidRPr="006F3B00" w:rsidRDefault="00863DF5" w:rsidP="00E41ED0">
      <w:pPr>
        <w:spacing w:after="0" w:line="240" w:lineRule="auto"/>
        <w:rPr>
          <w:rFonts w:ascii="Times New Roman" w:hAnsi="Times New Roman" w:cs="Times New Roman"/>
          <w:b/>
          <w:sz w:val="24"/>
          <w:szCs w:val="24"/>
        </w:rPr>
      </w:pPr>
      <w:r w:rsidRPr="006F3B00">
        <w:rPr>
          <w:rFonts w:ascii="Times New Roman" w:hAnsi="Times New Roman" w:cs="Times New Roman"/>
          <w:b/>
          <w:sz w:val="24"/>
          <w:szCs w:val="24"/>
        </w:rPr>
        <w:lastRenderedPageBreak/>
        <w:t>Question 6: WBAs accurately reflect trainee progress</w:t>
      </w:r>
      <w:r w:rsidR="00F66954">
        <w:rPr>
          <w:rFonts w:ascii="Times New Roman" w:hAnsi="Times New Roman" w:cs="Times New Roman"/>
          <w:b/>
          <w:sz w:val="24"/>
          <w:szCs w:val="24"/>
        </w:rPr>
        <w:t xml:space="preserve"> (Figure </w:t>
      </w:r>
      <w:r w:rsidR="00BC04B0">
        <w:rPr>
          <w:rFonts w:ascii="Times New Roman" w:hAnsi="Times New Roman" w:cs="Times New Roman"/>
          <w:b/>
          <w:sz w:val="24"/>
          <w:szCs w:val="24"/>
        </w:rPr>
        <w:t>3.</w:t>
      </w:r>
      <w:r w:rsidR="005073E7">
        <w:rPr>
          <w:rFonts w:ascii="Times New Roman" w:hAnsi="Times New Roman" w:cs="Times New Roman"/>
          <w:b/>
          <w:sz w:val="24"/>
          <w:szCs w:val="24"/>
        </w:rPr>
        <w:t>7</w:t>
      </w:r>
      <w:r w:rsidR="00F66954">
        <w:rPr>
          <w:rFonts w:ascii="Times New Roman" w:hAnsi="Times New Roman" w:cs="Times New Roman"/>
          <w:b/>
          <w:sz w:val="24"/>
          <w:szCs w:val="24"/>
        </w:rPr>
        <w:t>)</w:t>
      </w:r>
    </w:p>
    <w:p w14:paraId="04BF1533" w14:textId="25B89E5B" w:rsidR="00863DF5" w:rsidRPr="006F3B00" w:rsidRDefault="00863DF5" w:rsidP="00E41ED0">
      <w:pPr>
        <w:spacing w:after="0" w:line="240" w:lineRule="auto"/>
        <w:rPr>
          <w:rFonts w:ascii="Times New Roman" w:hAnsi="Times New Roman" w:cs="Times New Roman"/>
          <w:sz w:val="24"/>
          <w:szCs w:val="24"/>
        </w:rPr>
      </w:pPr>
      <w:r w:rsidRPr="006F3B00">
        <w:rPr>
          <w:rFonts w:ascii="Times New Roman" w:hAnsi="Times New Roman" w:cs="Times New Roman"/>
          <w:sz w:val="24"/>
          <w:szCs w:val="24"/>
        </w:rPr>
        <w:t>The majority of both trainees and assessors strongly disagreed or disagreed that WBAs accurately reflect trainee progress (62% and 59% respectively) and conversely only 16% of trainees and 15% of assessors strongly agre</w:t>
      </w:r>
      <w:r w:rsidR="004A1E4C">
        <w:rPr>
          <w:rFonts w:ascii="Times New Roman" w:hAnsi="Times New Roman" w:cs="Times New Roman"/>
          <w:sz w:val="24"/>
          <w:szCs w:val="24"/>
        </w:rPr>
        <w:t>ed or agreed they did</w:t>
      </w:r>
      <w:r w:rsidRPr="006F3B00">
        <w:rPr>
          <w:rFonts w:ascii="Times New Roman" w:hAnsi="Times New Roman" w:cs="Times New Roman"/>
          <w:sz w:val="24"/>
          <w:szCs w:val="24"/>
        </w:rPr>
        <w:t>.</w:t>
      </w:r>
      <w:r w:rsidR="00E84976">
        <w:rPr>
          <w:rFonts w:ascii="Times New Roman" w:hAnsi="Times New Roman" w:cs="Times New Roman"/>
          <w:sz w:val="24"/>
          <w:szCs w:val="24"/>
        </w:rPr>
        <w:t xml:space="preserve"> 20% of trainees and 26% of assessors neither agreed nor disagreed with the statement.</w:t>
      </w:r>
    </w:p>
    <w:p w14:paraId="655D8FBE" w14:textId="039A9073" w:rsidR="007169A7" w:rsidRPr="00E41ED0" w:rsidRDefault="00863DF5" w:rsidP="00E41ED0">
      <w:pPr>
        <w:spacing w:line="480" w:lineRule="auto"/>
        <w:rPr>
          <w:rFonts w:ascii="Times New Roman" w:hAnsi="Times New Roman" w:cs="Times New Roman"/>
          <w:sz w:val="24"/>
          <w:szCs w:val="24"/>
        </w:rPr>
      </w:pPr>
      <w:r w:rsidRPr="006F3B00">
        <w:rPr>
          <w:rFonts w:ascii="Times New Roman" w:hAnsi="Times New Roman" w:cs="Times New Roman"/>
          <w:noProof/>
          <w:sz w:val="24"/>
          <w:szCs w:val="24"/>
        </w:rPr>
        <w:drawing>
          <wp:inline distT="0" distB="0" distL="0" distR="0" wp14:anchorId="505318C2" wp14:editId="5191C4EA">
            <wp:extent cx="8572500" cy="4381473"/>
            <wp:effectExtent l="0" t="0" r="0" b="635"/>
            <wp:docPr id="299" name="Picture 299" descr="C:\Users\Dan Brierley\Documents\Publications\WBA Jclinpath pape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 Brierley\Documents\Publications\WBA Jclinpath paper\Figure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06155" cy="4398674"/>
                    </a:xfrm>
                    <a:prstGeom prst="rect">
                      <a:avLst/>
                    </a:prstGeom>
                    <a:noFill/>
                    <a:ln>
                      <a:noFill/>
                    </a:ln>
                  </pic:spPr>
                </pic:pic>
              </a:graphicData>
            </a:graphic>
          </wp:inline>
        </w:drawing>
      </w:r>
      <w:r w:rsidR="00F66954">
        <w:rPr>
          <w:rFonts w:ascii="Times New Roman" w:hAnsi="Times New Roman" w:cs="Times New Roman"/>
          <w:b/>
          <w:sz w:val="24"/>
          <w:szCs w:val="24"/>
        </w:rPr>
        <w:t xml:space="preserve">Figure </w:t>
      </w:r>
      <w:r w:rsidR="00BC04B0">
        <w:rPr>
          <w:rFonts w:ascii="Times New Roman" w:hAnsi="Times New Roman" w:cs="Times New Roman"/>
          <w:b/>
          <w:sz w:val="24"/>
          <w:szCs w:val="24"/>
        </w:rPr>
        <w:t>3.</w:t>
      </w:r>
      <w:r w:rsidR="005073E7">
        <w:rPr>
          <w:rFonts w:ascii="Times New Roman" w:hAnsi="Times New Roman" w:cs="Times New Roman"/>
          <w:b/>
          <w:sz w:val="24"/>
          <w:szCs w:val="24"/>
        </w:rPr>
        <w:t>7</w:t>
      </w:r>
      <w:r w:rsidR="00BC04B0">
        <w:rPr>
          <w:rFonts w:ascii="Times New Roman" w:hAnsi="Times New Roman" w:cs="Times New Roman"/>
          <w:b/>
          <w:sz w:val="24"/>
          <w:szCs w:val="24"/>
        </w:rPr>
        <w:t>.</w:t>
      </w:r>
      <w:r w:rsidRPr="006F3B00">
        <w:rPr>
          <w:rFonts w:ascii="Times New Roman" w:hAnsi="Times New Roman" w:cs="Times New Roman"/>
          <w:b/>
          <w:sz w:val="24"/>
          <w:szCs w:val="24"/>
        </w:rPr>
        <w:t xml:space="preserve"> Trainee and assessor responses to the statement: </w:t>
      </w:r>
      <w:r w:rsidR="001A0474">
        <w:rPr>
          <w:rFonts w:ascii="Times New Roman" w:hAnsi="Times New Roman" w:cs="Times New Roman"/>
          <w:b/>
          <w:sz w:val="24"/>
          <w:szCs w:val="24"/>
        </w:rPr>
        <w:t>‘</w:t>
      </w:r>
      <w:r w:rsidRPr="006F3B00">
        <w:rPr>
          <w:rFonts w:ascii="Times New Roman" w:hAnsi="Times New Roman" w:cs="Times New Roman"/>
          <w:b/>
          <w:sz w:val="24"/>
          <w:szCs w:val="24"/>
        </w:rPr>
        <w:t xml:space="preserve">WBAs accurately reflect trainee </w:t>
      </w:r>
      <w:proofErr w:type="gramStart"/>
      <w:r w:rsidRPr="006F3B00">
        <w:rPr>
          <w:rFonts w:ascii="Times New Roman" w:hAnsi="Times New Roman" w:cs="Times New Roman"/>
          <w:b/>
          <w:sz w:val="24"/>
          <w:szCs w:val="24"/>
        </w:rPr>
        <w:t>progress</w:t>
      </w:r>
      <w:r w:rsidR="001A0474">
        <w:rPr>
          <w:rFonts w:ascii="Times New Roman" w:hAnsi="Times New Roman" w:cs="Times New Roman"/>
          <w:b/>
          <w:sz w:val="24"/>
          <w:szCs w:val="24"/>
        </w:rPr>
        <w:t>’</w:t>
      </w:r>
      <w:proofErr w:type="gramEnd"/>
    </w:p>
    <w:p w14:paraId="1BB67F72" w14:textId="1BC92D65" w:rsidR="00863DF5" w:rsidRPr="00E41ED0" w:rsidRDefault="00863DF5" w:rsidP="00E41ED0">
      <w:pPr>
        <w:spacing w:after="0" w:line="240" w:lineRule="auto"/>
        <w:rPr>
          <w:rFonts w:ascii="Times New Roman" w:hAnsi="Times New Roman" w:cs="Times New Roman"/>
          <w:b/>
          <w:sz w:val="24"/>
          <w:szCs w:val="24"/>
        </w:rPr>
      </w:pPr>
      <w:r w:rsidRPr="006F3B00">
        <w:rPr>
          <w:rFonts w:ascii="Times New Roman" w:hAnsi="Times New Roman" w:cs="Times New Roman"/>
          <w:b/>
          <w:sz w:val="24"/>
          <w:szCs w:val="24"/>
        </w:rPr>
        <w:lastRenderedPageBreak/>
        <w:t>Question 8</w:t>
      </w:r>
      <w:r w:rsidRPr="006F3B00">
        <w:rPr>
          <w:rFonts w:ascii="Times New Roman" w:hAnsi="Times New Roman" w:cs="Times New Roman"/>
          <w:sz w:val="24"/>
          <w:szCs w:val="24"/>
        </w:rPr>
        <w:t xml:space="preserve">: </w:t>
      </w:r>
      <w:r w:rsidRPr="006F3B00">
        <w:rPr>
          <w:rFonts w:ascii="Times New Roman" w:hAnsi="Times New Roman" w:cs="Times New Roman"/>
          <w:b/>
          <w:sz w:val="24"/>
          <w:szCs w:val="24"/>
        </w:rPr>
        <w:t>The current WBAs are accepta</w:t>
      </w:r>
      <w:r w:rsidR="00F66954">
        <w:rPr>
          <w:rFonts w:ascii="Times New Roman" w:hAnsi="Times New Roman" w:cs="Times New Roman"/>
          <w:b/>
          <w:sz w:val="24"/>
          <w:szCs w:val="24"/>
        </w:rPr>
        <w:t xml:space="preserve">ble to you as a trainee/assessor (Figure </w:t>
      </w:r>
      <w:r w:rsidR="00BC04B0">
        <w:rPr>
          <w:rFonts w:ascii="Times New Roman" w:hAnsi="Times New Roman" w:cs="Times New Roman"/>
          <w:b/>
          <w:sz w:val="24"/>
          <w:szCs w:val="24"/>
        </w:rPr>
        <w:t>3.</w:t>
      </w:r>
      <w:r w:rsidR="005073E7">
        <w:rPr>
          <w:rFonts w:ascii="Times New Roman" w:hAnsi="Times New Roman" w:cs="Times New Roman"/>
          <w:b/>
          <w:sz w:val="24"/>
          <w:szCs w:val="24"/>
        </w:rPr>
        <w:t>8</w:t>
      </w:r>
      <w:r w:rsidR="00F66954">
        <w:rPr>
          <w:rFonts w:ascii="Times New Roman" w:hAnsi="Times New Roman" w:cs="Times New Roman"/>
          <w:b/>
          <w:sz w:val="24"/>
          <w:szCs w:val="24"/>
        </w:rPr>
        <w:t>)</w:t>
      </w:r>
      <w:r w:rsidR="00F624F8">
        <w:rPr>
          <w:rFonts w:ascii="Times New Roman" w:hAnsi="Times New Roman" w:cs="Times New Roman"/>
          <w:b/>
          <w:sz w:val="24"/>
          <w:szCs w:val="24"/>
        </w:rPr>
        <w:t xml:space="preserve">. *Note, </w:t>
      </w:r>
      <w:r w:rsidR="00E00D48">
        <w:rPr>
          <w:rFonts w:ascii="Times New Roman" w:hAnsi="Times New Roman" w:cs="Times New Roman"/>
          <w:b/>
          <w:sz w:val="24"/>
          <w:szCs w:val="24"/>
        </w:rPr>
        <w:t xml:space="preserve">the results of </w:t>
      </w:r>
      <w:r w:rsidR="00F624F8">
        <w:rPr>
          <w:rFonts w:ascii="Times New Roman" w:hAnsi="Times New Roman" w:cs="Times New Roman"/>
          <w:b/>
          <w:sz w:val="24"/>
          <w:szCs w:val="24"/>
        </w:rPr>
        <w:t>questio</w:t>
      </w:r>
      <w:r w:rsidR="00A50523">
        <w:rPr>
          <w:rFonts w:ascii="Times New Roman" w:hAnsi="Times New Roman" w:cs="Times New Roman"/>
          <w:b/>
          <w:sz w:val="24"/>
          <w:szCs w:val="24"/>
        </w:rPr>
        <w:t xml:space="preserve">n 7 will be </w:t>
      </w:r>
      <w:r w:rsidR="001A0474">
        <w:rPr>
          <w:rFonts w:ascii="Times New Roman" w:hAnsi="Times New Roman" w:cs="Times New Roman"/>
          <w:b/>
          <w:sz w:val="24"/>
          <w:szCs w:val="24"/>
        </w:rPr>
        <w:t xml:space="preserve">reported </w:t>
      </w:r>
      <w:r w:rsidR="005073E7">
        <w:rPr>
          <w:rFonts w:ascii="Times New Roman" w:hAnsi="Times New Roman" w:cs="Times New Roman"/>
          <w:b/>
          <w:sz w:val="24"/>
          <w:szCs w:val="24"/>
        </w:rPr>
        <w:t>below.</w:t>
      </w:r>
      <w:r w:rsidR="00E41ED0">
        <w:rPr>
          <w:rFonts w:ascii="Times New Roman" w:hAnsi="Times New Roman" w:cs="Times New Roman"/>
          <w:b/>
          <w:sz w:val="24"/>
          <w:szCs w:val="24"/>
        </w:rPr>
        <w:t xml:space="preserve"> </w:t>
      </w:r>
      <w:r w:rsidRPr="006F3B00">
        <w:rPr>
          <w:rFonts w:ascii="Times New Roman" w:hAnsi="Times New Roman" w:cs="Times New Roman"/>
          <w:sz w:val="24"/>
          <w:szCs w:val="24"/>
        </w:rPr>
        <w:t>Approximately a third of respondents thought the current WBAs w</w:t>
      </w:r>
      <w:r w:rsidR="00E84976">
        <w:rPr>
          <w:rFonts w:ascii="Times New Roman" w:hAnsi="Times New Roman" w:cs="Times New Roman"/>
          <w:sz w:val="24"/>
          <w:szCs w:val="24"/>
        </w:rPr>
        <w:t>ere acceptable (33% of trainees</w:t>
      </w:r>
      <w:r w:rsidRPr="006F3B00">
        <w:rPr>
          <w:rFonts w:ascii="Times New Roman" w:hAnsi="Times New Roman" w:cs="Times New Roman"/>
          <w:sz w:val="24"/>
          <w:szCs w:val="24"/>
        </w:rPr>
        <w:t xml:space="preserve"> and 30% </w:t>
      </w:r>
      <w:r w:rsidR="00E84976">
        <w:rPr>
          <w:rFonts w:ascii="Times New Roman" w:hAnsi="Times New Roman" w:cs="Times New Roman"/>
          <w:sz w:val="24"/>
          <w:szCs w:val="24"/>
        </w:rPr>
        <w:t>of assessors</w:t>
      </w:r>
      <w:r w:rsidRPr="006F3B00">
        <w:rPr>
          <w:rFonts w:ascii="Times New Roman" w:hAnsi="Times New Roman" w:cs="Times New Roman"/>
          <w:sz w:val="24"/>
          <w:szCs w:val="24"/>
        </w:rPr>
        <w:t>), but a larger proportion of trainees (51%) than assessors (36%) strongly disagreed or disagreed with this statement</w:t>
      </w:r>
      <w:r w:rsidRPr="00E84976">
        <w:rPr>
          <w:rFonts w:ascii="Times New Roman" w:hAnsi="Times New Roman" w:cs="Times New Roman"/>
          <w:sz w:val="24"/>
          <w:szCs w:val="24"/>
        </w:rPr>
        <w:t>.</w:t>
      </w:r>
      <w:r w:rsidR="00E00D48" w:rsidRPr="00E84976">
        <w:rPr>
          <w:rFonts w:ascii="Times New Roman" w:hAnsi="Times New Roman" w:cs="Times New Roman"/>
          <w:sz w:val="24"/>
          <w:szCs w:val="24"/>
        </w:rPr>
        <w:t xml:space="preserve"> </w:t>
      </w:r>
      <w:r w:rsidR="00E84976" w:rsidRPr="00E84976">
        <w:rPr>
          <w:rFonts w:ascii="Times New Roman" w:hAnsi="Times New Roman" w:cs="Times New Roman"/>
          <w:sz w:val="24"/>
          <w:szCs w:val="24"/>
        </w:rPr>
        <w:t>16% of trainees and 34% of assessors neither agreed nor disagreed with the statement.</w:t>
      </w:r>
    </w:p>
    <w:p w14:paraId="4343E6DF" w14:textId="77777777" w:rsidR="00F66954" w:rsidRDefault="00F66954" w:rsidP="00863DF5">
      <w:pPr>
        <w:spacing w:after="12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DB5762" wp14:editId="4A05F7DE">
            <wp:extent cx="8572500" cy="4324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qu8 merged graph.png"/>
                    <pic:cNvPicPr/>
                  </pic:nvPicPr>
                  <pic:blipFill>
                    <a:blip r:embed="rId23">
                      <a:extLst>
                        <a:ext uri="{28A0092B-C50C-407E-A947-70E740481C1C}">
                          <a14:useLocalDpi xmlns:a14="http://schemas.microsoft.com/office/drawing/2010/main" val="0"/>
                        </a:ext>
                      </a:extLst>
                    </a:blip>
                    <a:stretch>
                      <a:fillRect/>
                    </a:stretch>
                  </pic:blipFill>
                  <pic:spPr>
                    <a:xfrm>
                      <a:off x="0" y="0"/>
                      <a:ext cx="8641824" cy="4359320"/>
                    </a:xfrm>
                    <a:prstGeom prst="rect">
                      <a:avLst/>
                    </a:prstGeom>
                  </pic:spPr>
                </pic:pic>
              </a:graphicData>
            </a:graphic>
          </wp:inline>
        </w:drawing>
      </w:r>
    </w:p>
    <w:p w14:paraId="1EFCC42B" w14:textId="49D589D4" w:rsidR="00F624F8" w:rsidRDefault="00F66954" w:rsidP="00863DF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A50523">
        <w:rPr>
          <w:rFonts w:ascii="Times New Roman" w:hAnsi="Times New Roman" w:cs="Times New Roman"/>
          <w:b/>
          <w:sz w:val="24"/>
          <w:szCs w:val="24"/>
        </w:rPr>
        <w:t>3.</w:t>
      </w:r>
      <w:r w:rsidR="005073E7">
        <w:rPr>
          <w:rFonts w:ascii="Times New Roman" w:hAnsi="Times New Roman" w:cs="Times New Roman"/>
          <w:b/>
          <w:sz w:val="24"/>
          <w:szCs w:val="24"/>
        </w:rPr>
        <w:t>8</w:t>
      </w:r>
      <w:r w:rsidR="00A50523">
        <w:rPr>
          <w:rFonts w:ascii="Times New Roman" w:hAnsi="Times New Roman" w:cs="Times New Roman"/>
          <w:b/>
          <w:sz w:val="24"/>
          <w:szCs w:val="24"/>
        </w:rPr>
        <w:t xml:space="preserve">. </w:t>
      </w:r>
      <w:r w:rsidRPr="006F3B00">
        <w:rPr>
          <w:rFonts w:ascii="Times New Roman" w:hAnsi="Times New Roman" w:cs="Times New Roman"/>
          <w:b/>
          <w:sz w:val="24"/>
          <w:szCs w:val="24"/>
        </w:rPr>
        <w:t>Trainee and assessor responses to the statement: The current WBAs are accepta</w:t>
      </w:r>
      <w:r>
        <w:rPr>
          <w:rFonts w:ascii="Times New Roman" w:hAnsi="Times New Roman" w:cs="Times New Roman"/>
          <w:b/>
          <w:sz w:val="24"/>
          <w:szCs w:val="24"/>
        </w:rPr>
        <w:t>ble to you as a trainee/assessor</w:t>
      </w:r>
    </w:p>
    <w:p w14:paraId="40BC314E" w14:textId="77777777" w:rsidR="00ED6756" w:rsidRDefault="00AA1495" w:rsidP="00ED6756">
      <w:pPr>
        <w:spacing w:after="120" w:line="240" w:lineRule="auto"/>
        <w:rPr>
          <w:rFonts w:ascii="Times New Roman" w:hAnsi="Times New Roman" w:cs="Times New Roman"/>
          <w:b/>
          <w:sz w:val="24"/>
          <w:szCs w:val="24"/>
        </w:rPr>
      </w:pPr>
      <w:r w:rsidRPr="006F3B00">
        <w:rPr>
          <w:rFonts w:ascii="Times New Roman" w:hAnsi="Times New Roman" w:cs="Times New Roman"/>
          <w:b/>
          <w:sz w:val="24"/>
          <w:szCs w:val="24"/>
        </w:rPr>
        <w:lastRenderedPageBreak/>
        <w:t>Question 9 for trainees:</w:t>
      </w:r>
      <w:r w:rsidRPr="006F3B00">
        <w:rPr>
          <w:rFonts w:ascii="Times New Roman" w:hAnsi="Times New Roman" w:cs="Times New Roman"/>
          <w:sz w:val="24"/>
          <w:szCs w:val="24"/>
        </w:rPr>
        <w:t xml:space="preserve"> </w:t>
      </w:r>
      <w:r w:rsidRPr="006F3B00">
        <w:rPr>
          <w:rFonts w:ascii="Times New Roman" w:hAnsi="Times New Roman" w:cs="Times New Roman"/>
          <w:b/>
          <w:sz w:val="24"/>
          <w:szCs w:val="24"/>
        </w:rPr>
        <w:t>Your assessors a</w:t>
      </w:r>
      <w:r>
        <w:rPr>
          <w:rFonts w:ascii="Times New Roman" w:hAnsi="Times New Roman" w:cs="Times New Roman"/>
          <w:b/>
          <w:sz w:val="24"/>
          <w:szCs w:val="24"/>
        </w:rPr>
        <w:t>re accessib</w:t>
      </w:r>
      <w:r w:rsidR="005073E7">
        <w:rPr>
          <w:rFonts w:ascii="Times New Roman" w:hAnsi="Times New Roman" w:cs="Times New Roman"/>
          <w:b/>
          <w:sz w:val="24"/>
          <w:szCs w:val="24"/>
        </w:rPr>
        <w:t>le to complete WBAs (Figure 3.9</w:t>
      </w:r>
      <w:r w:rsidR="00ED6756">
        <w:rPr>
          <w:rFonts w:ascii="Times New Roman" w:hAnsi="Times New Roman" w:cs="Times New Roman"/>
          <w:b/>
          <w:sz w:val="24"/>
          <w:szCs w:val="24"/>
        </w:rPr>
        <w:t>)</w:t>
      </w:r>
    </w:p>
    <w:p w14:paraId="2490C393" w14:textId="7A98532F" w:rsidR="00AA1495" w:rsidRDefault="00AA1495" w:rsidP="00ED6756">
      <w:pPr>
        <w:spacing w:after="120" w:line="240" w:lineRule="auto"/>
        <w:rPr>
          <w:rFonts w:ascii="Times New Roman" w:hAnsi="Times New Roman" w:cs="Times New Roman"/>
          <w:b/>
          <w:sz w:val="24"/>
          <w:szCs w:val="24"/>
        </w:rPr>
      </w:pPr>
      <w:r w:rsidRPr="006F3B00">
        <w:rPr>
          <w:rFonts w:ascii="Times New Roman" w:hAnsi="Times New Roman" w:cs="Times New Roman"/>
          <w:sz w:val="24"/>
          <w:szCs w:val="24"/>
        </w:rPr>
        <w:t>The majority of trainees strongly agreed or agreed that their assessors were accessible (66%) and only 15% strongly disagreed or disagreed with this</w:t>
      </w:r>
      <w:r w:rsidR="00E84976">
        <w:rPr>
          <w:rFonts w:ascii="Times New Roman" w:hAnsi="Times New Roman" w:cs="Times New Roman"/>
          <w:sz w:val="24"/>
          <w:szCs w:val="24"/>
        </w:rPr>
        <w:t>. 19% of trainees neither agreed nor disagreed with the statement.</w:t>
      </w:r>
    </w:p>
    <w:p w14:paraId="40F78AA6" w14:textId="417C03C4" w:rsidR="009E1917" w:rsidRDefault="00690489" w:rsidP="00863DF5">
      <w:pPr>
        <w:spacing w:after="0" w:line="480" w:lineRule="auto"/>
        <w:rPr>
          <w:rFonts w:ascii="Times New Roman" w:hAnsi="Times New Roman" w:cs="Times New Roman"/>
          <w:b/>
          <w:sz w:val="24"/>
          <w:szCs w:val="24"/>
        </w:rPr>
      </w:pPr>
      <w:r w:rsidRPr="009E1917">
        <w:rPr>
          <w:rFonts w:ascii="Times New Roman" w:hAnsi="Times New Roman" w:cs="Times New Roman"/>
          <w:b/>
          <w:noProof/>
          <w:sz w:val="24"/>
          <w:szCs w:val="24"/>
        </w:rPr>
        <mc:AlternateContent>
          <mc:Choice Requires="wpg">
            <w:drawing>
              <wp:anchor distT="0" distB="0" distL="114300" distR="114300" simplePos="0" relativeHeight="251693056" behindDoc="0" locked="0" layoutInCell="1" allowOverlap="1" wp14:anchorId="1D996B62" wp14:editId="3F1A7150">
                <wp:simplePos x="0" y="0"/>
                <wp:positionH relativeFrom="column">
                  <wp:posOffset>2057400</wp:posOffset>
                </wp:positionH>
                <wp:positionV relativeFrom="paragraph">
                  <wp:posOffset>137160</wp:posOffset>
                </wp:positionV>
                <wp:extent cx="5343525" cy="4248150"/>
                <wp:effectExtent l="0" t="0" r="9525" b="0"/>
                <wp:wrapNone/>
                <wp:docPr id="302" name="Group 14"/>
                <wp:cNvGraphicFramePr/>
                <a:graphic xmlns:a="http://schemas.openxmlformats.org/drawingml/2006/main">
                  <a:graphicData uri="http://schemas.microsoft.com/office/word/2010/wordprocessingGroup">
                    <wpg:wgp>
                      <wpg:cNvGrpSpPr/>
                      <wpg:grpSpPr>
                        <a:xfrm>
                          <a:off x="0" y="0"/>
                          <a:ext cx="5343525" cy="4248150"/>
                          <a:chOff x="0" y="0"/>
                          <a:chExt cx="4516255" cy="4490335"/>
                        </a:xfrm>
                      </wpg:grpSpPr>
                      <pic:pic xmlns:pic="http://schemas.openxmlformats.org/drawingml/2006/picture">
                        <pic:nvPicPr>
                          <pic:cNvPr id="303" name="Picture 303" descr="chart978933440.png"/>
                          <pic:cNvPicPr>
                            <a:picLocks noChangeAspect="1"/>
                          </pic:cNvPicPr>
                        </pic:nvPicPr>
                        <pic:blipFill rotWithShape="1">
                          <a:blip r:embed="rId24"/>
                          <a:srcRect r="34447"/>
                          <a:stretch/>
                        </pic:blipFill>
                        <pic:spPr>
                          <a:xfrm>
                            <a:off x="0" y="430887"/>
                            <a:ext cx="4516255" cy="4059448"/>
                          </a:xfrm>
                          <a:prstGeom prst="rect">
                            <a:avLst/>
                          </a:prstGeom>
                        </pic:spPr>
                      </pic:pic>
                      <wps:wsp>
                        <wps:cNvPr id="305" name="TextBox 13"/>
                        <wps:cNvSpPr txBox="1"/>
                        <wps:spPr>
                          <a:xfrm>
                            <a:off x="1835483" y="0"/>
                            <a:ext cx="966042" cy="430887"/>
                          </a:xfrm>
                          <a:prstGeom prst="rect">
                            <a:avLst/>
                          </a:prstGeom>
                          <a:solidFill>
                            <a:schemeClr val="bg1">
                              <a:lumMod val="65000"/>
                            </a:schemeClr>
                          </a:solidFill>
                        </wps:spPr>
                        <wps:txbx>
                          <w:txbxContent>
                            <w:p w14:paraId="036DF3A8" w14:textId="77777777" w:rsidR="00D35C1E" w:rsidRDefault="00D35C1E" w:rsidP="009E1917">
                              <w:pPr>
                                <w:pStyle w:val="NormalWeb"/>
                                <w:spacing w:before="0" w:beforeAutospacing="0" w:after="0" w:afterAutospacing="0"/>
                              </w:pPr>
                              <w:r>
                                <w:rPr>
                                  <w:rFonts w:asciiTheme="minorHAnsi" w:hAnsi="Calibri" w:cstheme="minorBidi"/>
                                  <w:color w:val="000000" w:themeColor="text1"/>
                                  <w:kern w:val="24"/>
                                  <w:sz w:val="44"/>
                                  <w:szCs w:val="44"/>
                                </w:rPr>
                                <w:t>Trainees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D996B62" id="Group 14" o:spid="_x0000_s1052" style="position:absolute;margin-left:162pt;margin-top:10.8pt;width:420.75pt;height:334.5pt;z-index:251693056;mso-width-relative:margin;mso-height-relative:margin" coordsize="45162,4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fh0GgMAABwHAAAOAAAAZHJzL2Uyb0RvYy54bWycVVFvmzAQfp+0/2Dx&#10;3gABUoKaVF27VpO6LVo77dkxBqyC7dkmIf9+ZwNp0qza2ocQ+2yfv/vuu/PFZdfUaEOVZoIvvHAS&#10;eIhyInLGy4X38/H2LPWQNpjnuBacLrwd1d7l8uOHi63M6FRUos6pQuCE62wrF15ljMx8X5OKNlhP&#10;hKQcFguhGmxgqko/V3gL3pvanwbBzN8KlUslCNUarDf9ord0/ouCEvO9KDQ1qF54gM24r3Lftf36&#10;ywuclQrLipEBBn4HigYzDpfuXd1gg1Gr2ImrhhEltCjMhIjGF0XBCHUxQDRh8CKaOyVa6WIps20p&#10;9zQBtS94erdb8m2zUojlCy8Kph7iuIEkuXtRGFt2trLMYNOdkg9ypQZD2c9swF2hGvsPoaDO8brb&#10;80o7gwgYkyiOkmniIQJr8TROw2RgnlSQnpNzpPo8nIyTcDZNxpPxPIiixKLyx4t9i28PRzKSwW8g&#10;CkYnRP1bUHDKtIp6g5Pmv3w0WD218gxyKrFha1Yzs3P6hOxZUHyzYmSl+skh59HIOazba1EUgCmn&#10;moBISYWVmZ+n8yiK42AieWljt/6si94htgHfC/KkERfXFeYlvdISdA/V6Jg63u7b6RGadc3kLatr&#10;pIT5xUz1UGEJGgidnO3iQATgeSG6v3DZC/pGkLah3PQVqmgNnAiuKya1h1RGmzUFwakvuUOIM63I&#10;D0CM4AoIND63uMFqFDWkstm2oEecPQEaxPiq/OIoSNPBy6jBYyUFyTyO0yMlAZFKmzsqGmQHgA8g&#10;ORLw5l6bXnTjlgFTj8LBA4i2WKCL6ZExmJ1w9qZCdakACNbtoWigHvpCfYToPokOhZENZdhm6xSZ&#10;DuyDBKz9Fb7CNEriFBR3WrTz2SyIoSW4mt0Tui+8N9IF6RQ1y63QXG5tf6fXtUIbDJ15XfZyq9vm&#10;q8h72ywJAtcl4Er3HNjtrvIPPEH5j7HZkenWnWtmoVOWNa1FvgM+ttDiF57+3WJb2srU18K9CBYM&#10;F1etEQVzOX4+A3fZCeTTjVwLdvcPz4Xt8Ydzt+v5UVv+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DfHUOEAAAALAQAADwAAAGRycy9kb3ducmV2LnhtbEyPQUvDQBSE74L/YXmC&#10;N7vZ1CwasymlqKci2Ari7TX7moRmd0N2m6T/3u1Jj8MMM98Uq9l0bKTBt84qEIsEGNnK6dbWCr72&#10;bw9PwHxAq7FzlhRcyMOqvL0pMNdusp807kLNYon1OSpoQuhzzn3VkEG/cD3Z6B3dYDBEOdRcDzjF&#10;ctPxNEkkN9jauNBgT5uGqtPubBS8Tzitl+J13J6Om8vPPvv43gpS6v5uXr8ACzSHvzBc8SM6lJHp&#10;4M5We9YpWKaP8UtQkAoJ7BoQMsuAHRTI50QCLwv+/0P5CwAA//8DAFBLAwQKAAAAAAAAACEAMwwX&#10;Q6ozAACqMwAAFAAAAGRycy9tZWRpYS9pbWFnZTEucG5niVBORw0KGgoAAAANSUhEUgAAAlIAAAFe&#10;CAYAAABO9fGVAAAACXBIWXMAAA9hAAAPYQGoP6dpAAAgAElEQVR4nO3dd0BV5ePH8c+9F1BAMc0t&#10;orlnpuYOZ2pqjpy5UxFHjlTcOXKhpIaL3HuUpZmZmZWZ5hZXjq85cu89GBe45/cHRV9/KH07ARfy&#10;/forzj3nOZ/zcK59eO6FazEMwxBSvdDQUJUtW9bZMUy7c/euMmXM6OwYpqXm/Kk5u0R+ZyO/86Tm&#10;7FLqzy/FXoPV2SEAAABSK4oUAACASRQpAAAAkyhSAAAAJlGkAAAATKJIAQAAmESRAgAAMIkiBQAA&#10;YBJFCgAAwCQXZwdA4rFsfc/ZEZKcUT3Y2REAAIjDihQAAIBJFCkAAACTKFIAAAAmUaQAAABMokgB&#10;AACYRJECAAAwiSIFAABgEkUKAADAJIoUAACASRQpAAAAkyhSAAAAJlGkAAAATKJIAQAAmESRAgAA&#10;MIkiBQAAYJJTi9TW7bvUwb+P2vv3UQf/Ptp/8LAkKSYmRtt27E7WLO/0eE/HT55K1nMCAIDUzWlF&#10;6u69+/pw+scKnjRGy+ZO17CAPhr2wSTFxMQoLDxCH0z8KFly7A09KIfDkaTnOHbipB48fJSk5wAA&#10;AMnPxVknvnf/gdKkcZNX+nSSpCKFCmje9CBZLFaNmjBZj8PC1LP/UBUrUki9/Dtp0Mjxql+7pkLm&#10;L1bjBnXVtmVTLV31ubZu3ymr1apiRQqqbw8/2Ww2DRo5XjV8K2v12vW6duOmOrVtqZZNG0mSQuYt&#10;0ZFjJ2S1WpT5xUyKiIhU+bKln8jWZ+AINW/SQFWrVJQkDRo5Xo3r11GViuWe2G/WvMXatmOPLBap&#10;do2q6tKhtSTph60/65M1X8rT00MuLjY9fPhYgaOHPPUaVqxeqx2798luj1LJ4kXUt4efpNiCt3jF&#10;akkWubun1eihA5Q+nWdSfksAAMDf5LQildfHW6VKFFO7rr1Vu0ZVVa1SUQXzvyRJ+mBYgJq07qyQ&#10;qYFPHLNm/deaHjRW2bJm0Z79B7R95x7Nm/GhbDabRk2YrLVffaMWTd6UJO07cEgLZk3VtRs31Kpj&#10;d7V4q6F+PX1W+w8e1sKQqZKknv2Hyq9Dm3jZGtavre9+3KaqVSoqLDxcp06fVaXyZZ/YJyIiUh7u&#10;7vpkUYgcDocatnpH7Vo1k5ubqyYFh2jtinlK5+mpBUtXKcbhUKaMGeNdw74Dh3Xy1Nm46+wzaIT2&#10;HzysQvnzada8JZo7LUhp0rhpycrPtHL1WnXr3D5xvwkAAOAfcVqRslgsGjWkv86eu6BtO3Zr+NhJ&#10;KvNyCQ3p3+uZx7xe3VfZs2WVJO3Zf0jVfSvJZrNJkurUrKY16zfGFanKFV6V1WpRzuzZJElRUVFy&#10;cbHpcVi47FFRssiiR4/D5OnpEe881V6rpBmzF8oeFaWfft6t2jWqymp98lXQtGnTyDtXDg0aMU6G&#10;DD169FjhERFKk8ZNFov08NFjpfP01L37D5Tj98z//xp27Q3V2XPnNWD4GEnSw4ePFB4eoaMnTur2&#10;nbsaNmaiJCksLEylShY3Nc8AACDpOK1IHT95SjIMFStSSPny+qhNiyZq9HYn+XdqK1dXt6cek8HL&#10;67++MhIc38UW/9Lyv5RXJYoVVve+g+Xu7q6G9WqrcMH88fZzc3WVb+UK2rl7v777cZv69/KPt8/h&#10;X45rxeq1CpkaKA93dzVu3Snusb49/NRn4PvKmiWL8vp4q/lbbz7zGhrUraXWzZs8MfaO3ftUpFB+&#10;TR43MsFrBAAAzuW0N5vfvn1HE6bM0P0HDyRJt+7clWEY8nD3kJurqyIiIxQZaVdMTMxTjy9ftrS2&#10;bt8V9/jmLT+pYrkyCZ4zOjpap06f1cKQqZo1ZXzc6pUkWWSRI+bPN503blBXa7/aqKioKHnnzBFv&#10;rMtXr8nHO5c83N114dJlXbt+U4YRW+42bPpO82ZM1qwp4zWwbw+5ubo+NU+ZUiX1zeYtstvtMgxD&#10;Q0cH6sKlyypauKCOHD2hq9dvSJKWfbJG33z3Y4LXBgAAkp/TVqR8K1fQ9Zu31K3vYFmtVrm6uuqD&#10;YQFKmzaNJKlxgzfUooO/8ufLq48CR8c7vmK5Mjp56oz8egXIarOqaKGCataofoLntFgsskdFqU6T&#10;1nKx2eTp6aHGDeqqXatmKlv6ZY0YF6RhAX1UrkwpFSqQT7du31G7Vk2fOlb11yrpq282y7/PQGXP&#10;lk3NGzfQ+2ODNGvKePl451KT1p3l4Z5Wbm5uKlOqpIYMiP+S5WuVyuvEr6fVqWd/Wa1WVSxXRj7e&#10;uSRJ7w/sq0EjxsnFZlOmTBk1dvjAvznDAAAgqVmMP5ZRngNDRk1QzapVVLtmVVksFl2/cVPt/ftq&#10;87qV8fZ9+OixuvQaoOXzZjxzRelpPlu3Qb+dv6h+PbvK1dVFdrtdXXoFaMSg91SoQL7EvJwnhIaG&#10;6tWHy5Js/JTCqB7s7AhPdefu3bhfKEhtUnN2ifzORn7nSc3ZpdSfX4q9BqetSDlDg7q1tPzTtdrw&#10;7feyWCxyOBwaHtA73n5TZszR/oOH9V4Pv79VoiSpwqultX3nHvUfNloWi0UxMQ7VrFol7jcSAQDA&#10;v8dzVaR8K1eQb+UKf7nfgN7dTJ/DxzuXpgeNNX08AABIPfisPQAAAJMoUgAAACZRpAAAAEyiSAEA&#10;AJhEkQIAADCJIgUAAGASRQoAAMAkihQAAIBJFCkAAACTKFIAAAAmUaQAAABMokgBAACYRJECAAAw&#10;ycXZAZB4jOrBzo5g2p27d5UpY0ZnxwAA4G9hRQoAAMAkihQAAIBJFCkAAACTKFIAAAAmUaQAAABM&#10;okgBAACYRJECAAAwiSIFAABgEkUKAADAJIoUAACASRQpAAAAkyhSAAAAJlGkAAAATKJIAQAAmESR&#10;AgAAMIkiBQAAYBJFCgAAwCSKFAAAgEkUKQAAAJNcnB0AieetEd84OwIAJ/libD1nRwCeS6xIAQAA&#10;mESRAgAAMIkiBQAAYBJFCgAAwCSKFAAAgEkUKQAAAJMoUgAAACZRpAAAAEyiSAEAAJhEkQIAADCJ&#10;IgUAAGASRQoAAMAkihQAAIBJFCkAAACTKFIAAAAmUaT+gebt/TVy/IfOjgEAAJyEImXSsRMn5XA4&#10;tH3nHoWFhT9zv8hIuw4cPpqMyQAAQHJxcXaA1GrDpu/VvHEDHTxyVN//tF2N6tWRJIWFh2v0hCmK&#10;iIxURGSkMr6QQcWLFFYGr3RatHy1smbJrA2bvtPmdat05eo1TZ4xR3a7XXa7XQF9eqhQgXyKiIjU&#10;5Bmzdf3GTT1+HKa3mzVWnVrVnHzFAADg/2NFyoSoqGj98NMOvVG7ht5843Vt2PR93GPrvtqkPD7e&#10;mh40VtMmjdHBw8f0dvPGkqR9Bw4pZ45s2vDZUknSmEnBeq+Hn2ZOHq8+3f00efrHkqTFK1fr5eJF&#10;NePDcZo1dYKCQ+YpMtKe/BcKAAASxIqUCdt37laJooWUKeMLqlKxnMZPnq4r164rZ/ZscnGx6d69&#10;+5Kkh48ey8VmlYstdpptNpuaN24gSYqIiNSxEyc1bfYCSZLD4VCaNGkkSbv2hip9Ok/9tGO3JClD&#10;Bi89DgtTmjRuyX2pAAAgARQpEzZs+l4nfj2tZu27SpKio6P19bc/qGvHNmrSsJ78egWo+3tD5Obm&#10;qjHvD5TVapEkvZDBK24MQ4ZcXV00ZfzIeOMbhqE+3buoUIF8yXNBAADAFF7a+5vu3L2nY//5Ves/&#10;Waw1y+ZpzbJ5CpkaqK9/f3nv+H9+VYmihTU7eKKmB43Vq6VLPXUc97Rp5Z0zh37Y+rMk6cjR45r0&#10;0SxJUtlXSmrdhk2SYle1evQbIofDSIarAwAAfwcrUn/Tpu+3qnaNqnJ1/XPqihQqIK/06XTol2N6&#10;MVNGbdy8RVu375QsFmV+MZN6dOmgrFlejDfWmPcHKnDKTK1YvVayWPR+QB9Jkl+HNgqcOlMdu7+n&#10;mJgYvdO2ZdyqFgAASDkshmGw1JFIDMNQw1bvaO70IOXMnk2S9MPWn7Xxuy1PfQkvMYWGhmrcuhtJ&#10;eg4AKdcXY+s55bx37t5VpowZnXLuxJCa86fm7FLqzy/FXgMrUonIYrGoWaP6Gh04RWl/f+N4Gjc3&#10;9fLv5ORkAAAgKVCkElmndq3UqV0rZ8cAAADJgDebAwAAmESRAgAAMIkiBQAAYBJFCgAAwCSKFAAA&#10;gEkUKQAAAJMoUgAAACZRpAAAAEyiSAEAAJhEkQIAADCJIgUAAGASRQoAAMAkihQAAIBJLs4OgMTz&#10;xdh6zo5g2p27d5UpY0ZnxzAtNedPzdkl8gNwLlakAAAATKJIAQAAmESRAgAAMIkiBQAAYBJFCgAA&#10;wCSKFAAAgEkUKQAAAJMoUgAAACZRpAAAAEyiSAEAAJhEkQIAADCJIgUAAGASRQoAAMAkihQAAIBJ&#10;FCkAAACTKFIAAAAmUaQAAABMokgBAACYRJECAAAwycXZAZB47D9anB3BtHSS7M4O8RfcahjOjgAA&#10;SGFYkQIAADCJIgUAAGASRQoAAMAkihQAAIBJFCkAAACTKFIAAAAmUaQAAABMokgBAACYlOKKVMOW&#10;HbVg6aontg0YPkbbd+5J8LiFyz7R+A+nSZLu3ruvQ78ce+LxQSPHa+v2XYkbFgAAPNdSXJGSpFWf&#10;r9PZcxf+1jF1alVTi7caSpIO/3JcKz9blxTRTNkbelAOh8PZMQAAQCJLkR8R07PrOxozaaoWzpoq&#10;q/XJrnfl6jVNnjFHdrtddrtdAX16qFCBfNq5e58uXr6q1i2aaM6iZbp956569h+qJg3eUJ1a1SRJ&#10;Bw4f0eKVn+r6jVvq1LalWjZtJCm26CxesVqSRe7uaTV66AClT+epQSPHq37tmgqZv1iNG9RV25ZN&#10;43KEhYVr5IQPdfXaDTkcDvXy76QqFctJkkLmLdGRYydktVqU+cVMioiIVPmypZ863orVa7Vj9z7Z&#10;7VEqWbyI+vbwSzATAABIOVJkkXqtYjn9cuyEln+6Vh1aN3/isTGTgjVsQG/55M6lo8dPavL0jzV3&#10;+odxj+fMnk3dOrXXxu+2KGjM8CeOvXvvvhbO+kjXbtxQq47d1eKthnr48JFmzVuiudOClCaNm5as&#10;/EwrV69Vt87tJUlr1n+t6UFjlS1rlifGunbjpmpV81W92jV09twFjQsKVpWK5XTy1BntP3hYC0Om&#10;SpJ69h8qvw5t4o777/H2HTisk6fOKmRqoCSpz6AR2n/wsArlz5dgJgAAkDKkyCIlSf17dVMH/z6q&#10;7lspbltERKSOnTipabMXSJIcDofSpEnzP49Z7bVKslotypk9myQpKipKR0+c1O07dzVszERJUlhY&#10;mEqVLB53zOvVfZU9W9Z4Y+XJnUtbf96p/sM+UHRUtB6FhUmSXFxsehwWLntUlCyy6NHjMHl6ejx1&#10;vF17Q3X23HkNGD5GkvTw4SOFh0f8ZSYAAJAypNgilT6dpwb07qYxEz+Sl1d6SZIhQ66uLpoyfqSp&#10;MV1s8S/XMAwVKZRfk8c9fcwMXl5P3b5k5We6feeuJo8boZu3bqv3oBGSpPwv5VWJYoXVve9gubu7&#10;q2G92ipcMP8zxjPUoG4ttW7e5Imxd+zel2AmAACQMqTIN5v/4bVK5eWdK4d27zsgSXJPm1beOXPo&#10;h60/S5KOHD2uSR/NinecWxpX3bt3T5IUExOT4DmKFi6oI0dP6Or1G5KkZZ+s0Tff/fiX2S5fvaZC&#10;BfLJarVqT+hByTAkSdHR0Tp1+qwWhkzVrCnj1aLJm88co0ypkvpm8xbZ7XYZhqGhowN14dJl05kA&#10;AEDySrErUn8Y0Lu79uw/GPf1mPcHKnDKTK1YvVayWPR+QJ94x5R+uYQWGZ+qRQd/1a5RVf6d2j1z&#10;/EwZX9D7A/tq0IhxcrHZlClTRo0dPvAvc7Vq2kijA6fo2x9+UtlXSip9+nSau2i5unRoLXtUlOo0&#10;aS0Xm02enh5q3KCu2rVqFm+M1yqV14lfT6tTz/6yWq2qWK6MfLxzSZKpTAAAIHlZDOP3pRQkiiGj&#10;Jqhm1SqqXbOqLBaLrt+4qfb+fbV53cokPW9oaKhKPng1Sc/xvHOr8eynyp27d5UpY8ZkTJN4UnN2&#10;ifzORn7nSc3ZpdSfX4q9hhS/IpXaNKhbS8s/XasN334vi8Uih8Oh4QG9nR0LAAAkAYpUIvOtXEG+&#10;lSs4OwYAAEgGKfrN5gAAACkZRQoAAMAkihQAAIBJFKnf/bD1Zw37IPajWkIPHVHLjt2cnAgAAKR0&#10;FKmnKFqooAL6dE+UsSIj7Tpw+GiijAUAAFKWVPNbe116DVCtqq/pq03fKSw8XB8MC9Arv3/+3NJV&#10;n2vr9p2yWq0qVqSg+vbwk81m06CR41W/dk2FzF+sxg3qqm3Lpk+MOXfxCv24bYfSeXo+8aHEV69f&#10;V3DIfK1cMEt3793XyPEfKiYmRmHh4Qro3UMlihXWmd/OaVzQNMU4HLJZrRo3YrBy5cyusPBwjZ4w&#10;RRGRkYqIjFTGFzKoeJHCKlOqhFp37qkuHVpr0kezND1orF7K46PJM2br+o2bevw4TG83a6w6tapJ&#10;klasXqsdu/fJbo9SyeJF1LeHX/JNNgAA+J+kmhWpy1euyd3DXasWhqhrx7ZauPQTSdKe/Qe0fece&#10;zZvxoebPnKz7Dx5q7VffxB23Zv3Xmh40Vm1avPXEeLv2hurnXXu1ZHaw5s34UG6urk8974ZN36v0&#10;yyUUMjVQAb176OiJ/0iSrly9rn69/LV0zjTVr1tL677eJEla99Um5fHx1vSgsZo2aYwOHj6mt5s3&#10;liTdu/9Ah385ri9XLVKRQgW0eOVqvVy8qGZ8OE6zpk5QcMg8RUbate/AYZ08dVYhUwM1f+Zknfnt&#10;vPYfPJzocwoAAP6ZVLMiFRUVreqvVZIk5Xspjx48eihJ2rP/kKr7VpLNZpMk1alZTWvWb4z7jLvX&#10;q/sqe7as8cbbd+CwateoKjc3N0lSpQpl9eO2HfH2K16kkMYGBcvFxaayr7yst5vFlqKihQtq4bJP&#10;tHTVZ7p+45ZKFisiSXJxsenevfuSpIePHsvFZo37sGS7PUqtmjWSh4e7pNgylz6dp37asVuSlCGD&#10;lx6HhWnX3lCdPXdeA4aPiR3n4SOFh0f80ykEAACJLNUUKUlycXla3IQ/4SaDl9dTt8fExMhmtT7x&#10;9dOUeaWk5kwP0p59BzR99kIVL1pYfbp31sjxk9W0UT29Xt1XGzf/oKPHT0qSmjSsJ79eAer+3hC5&#10;ublqzPsDZbVanprHMAz16d5FhQrki3dNDerWUuvmTRK8NgAA4Fyp5qW9ZylftrS2bt8VV4Q2b/lJ&#10;FcuV+cvjypQqoe9/+ln2qCgZhqEdu/c9db/FK1br3PkLalivtga910NHjh6XJF25ek1FChWQJO0N&#10;PaQ/PrLw+H9+VYmihTU7eKKmB43Vq6VLPTND2VdKat2G2JcEHz56rB79hsjhMFSmVEl9s3mL7Ha7&#10;DMPQ0NGBunDp8v8+KQAAIFmkqhWpp6lYroxOnjojv14BstqsKlqooJo1qv+Xx1V7rZIOHz2hdn69&#10;lMHLSzV8K8e9/+m/Va1SUYFTZmjxitWy26PUrXN7SVK3zu01YNgYZcmcSb6VKujzLzdo247deimv&#10;jzZu3qKt23dKFosyv5hJPbp0UKXyZeON7dehjQKnzlTH7u8pJiZG77RtKavVotcqldeJX0+rU8/+&#10;slqtqliujHy8c/3zyQIAAInKYvyxlIJ/zDAMNWz1juZOD1LO7Nkkxf59qo3fbdGU8SOT9NyhoaEq&#10;+eDVJD3H886txrOfKqn5U8xTc3aJ/M5GfudJzdml1J9fir2GVL8ilZJYLBY1a1RfowOnKG2aNJKk&#10;NG5u6uXfycnJAABAUqBIJbJO7VqpU7tWzo4BAACSQap/szkAAICzUKQAAABMokgBAACYRJECAAAw&#10;iSIFAABgEkUKAADAJP78wb9IQn8wMqX7N/xhNgDA84cVKQAAAJMoUgAAACZRpAAAAEyiSAEAAJhE&#10;kQIAADCJIgUAAGASRQoAAMAkihQAAIBJFCkAAACTKFIAAAAmUaQAAABMokgBAACYRJECAAAwiSIF&#10;AABgEkUKAADAJIoUAACASRQpAAAAkyhSAAAAJlGkAAAATHJxdgAknl57Djg7gikzK5RxdgQAAExh&#10;RQoAAMAkihQAAIBJFCkAAACTKFIAAAAmUaQAAABMokgBAACYRJECAAAwiSIFAABgEkUKAADAJIoU&#10;AACASRQpAAAAkyhSAAAAJlGkAAAATKJIAQAAmESRAgAAMMnF2QGcpWHLjrLarLJZbYqKipJvlYp6&#10;16+jPD09FBYerubtumrO9CDlzpXT2VEBAEAK9VyvSM2cPF5rV8zXZ0vnKjo6Wr0HjZBhGPJwd9fQ&#10;Ab2VI1vWRDnP3tCDcjgciTIWAABIOZ7bFan/ljZtGg1+r6eateuqfQcOq3zZVzQ6cKrWrVooTw+b&#10;JgXP0m/nLygiIlJNG9ZTkzffUFhYuEZO+FBXr92Qw+FQL/9OqlKxnCQpZN4SHTl2QlarRZlfzKSI&#10;iEiVL1tag0aOV/3aNRUyf7EaN6irti2basXqtdqxe5/s9iiVLF5EfXv4SdIztwMAgJSDIvU7m82m&#10;EsWK6NSZsypf9pW47f85dVoXL13R3GlBCgsPV3DIfDV58w1du3FTtar5ql7tGjp77oLGBQWrSsVy&#10;OnnqjPYfPKyFIVMlST37D5VfhzZx461Z/7WmB41VtqxZtO/AYZ08dVYhUwMlSX0GjdD+g4dlGHrq&#10;9ldLl0rGGQEAAH+FIvVfHIZDFlme2JYrRzZdvXZd02cvULkyr2hgnx6SpDy5c2nrzzvVf9gHio6K&#10;1qOwMEmSi4tNj8PCZY+KkkUWPXocJk9Pj7jxXq/uq+y/v2S4a2+ozp47rwHDx0iSHj58pPDwCB08&#10;cuyp2wEAQMpCkfpdTEyMjh4/qWaN6j+xPYOXl1YsmKm9+w/puy3bNGfRMi3+OFhLVn6m23fuavK4&#10;Ebp567Z6DxohScr/Ul6VKFZY3fsOlru7uxrWq63CBfM/Md6fDDWoW0utmzd54pwHjxx96nYAAJCy&#10;PNdvNv9DRESkJgWHKHvWzCpTquQTj+3aG6o1X25Udd9Ken9QX127flNRUdG6fPWaChXIJ6vVqj2h&#10;ByXDkCRFR0fr1OmzWhgyVbOmjFeLJm8+87xlSpXUN5u3yG63yzAMDR0dqAuXLj9zOwAASFme6xWp&#10;XgHDZbPaZI+KUrUqFRU8cYwslidf2itVopjWfb1JXXsPlMNwqGObFnJ1dVGrpo00OnCKvv3hJ5V9&#10;paTSp0+nuYuWq0uH1rJHRalOk9Zysdnk6emhxg3qql2rZvHO/1ql8jrx62l16tlfVqtVFcuVkY93&#10;Lvl453rqdgAAkLJYDOP3pRQkiiGjJqhm1SqqXbOqLBaLrt+4qfb+fbV53cokPW9oaKgWRVv+escU&#10;aGaFMrpz964yZczo7Cimpeb8qTm7RH5nI7/zpObsUurPL8Vew3O9IpUUGtStpeWfrtWGb7+XxWKR&#10;w+HQ8IDezo4FAACSAEUqkflWriDfyhWcHQMAACQD3mwOAABgEkUKAADAJIoUAACASRQpAAAAkyhS&#10;AAAAJlGkAAAATKJIAQAAmESRAgAAMIkiBQAAYBJFCgAAwCSKFAAAgEkUKQAAAJMoUgAAACa5ODsA&#10;Es/MCmWcHQEAgOcKK1IAAAAmUaQAAABMokgBAACYRJECAAAwiSIFAABgEkUKAADAJIoUAACASRQp&#10;AAAAkyhSAAAAJlGkAAAATKJIAQAAmESRAgAAMIkiBQAAYBJFCgAAwCSKFAAAgEkUKQAAAJMoUgAA&#10;ACZRpAAAAEyiSAEAAJjk4uwASESTmyT9OQLWJf05AABIJViRAgAAMIkiBQAAYBJFCgAAwCSKFAAA&#10;gEkUKQAAAJMoUgAAACZRpAAAAEyiSAEAAJj0XBeprdt3qYN/H7X376MO/n20/+BhSVJMTIy27did&#10;rFne6fGejp88laznBAAA/8xzW6Tu3ruvD6d/rOBJY7Rs7nQNC+ijYR9MUkxMjMLCI/TBxI+SJcfe&#10;0INyOBzJci4AAJC4ntuPiLl3/4HSpHGTV/p0kqQihQpo3vQgWSxWjZowWY/DwtSz/1AVK1JIvfw7&#10;adDI8apfu6ZC5i9W4wZ11bZlUy1d9bm2bt8pq9WqYkUKqm8PP9lsNg0aOV41fCtr9dr1unbjpjq1&#10;bamWTRtJkkLmLdGRYydktVqU+cVMioiIVPmypZ/I1mfgCDVv0kBVq1SUJA0aOV6N69dRlYrlkneS&#10;AABAgp7bFam8Pt4qVaKY2nXtrQVLV+nUmd+Ux8dbVqtFHwwLkKeHh0KmBqqXf6e4Y9as/1rTg8aq&#10;TYu3tGf/AW3fuUfzZnyo+TMn6/6Dh1r71Tdx++47cEgLZk3VgllTNGPOIhmGoZOnzmj/wcOaHTxR&#10;IVMDdev2Hb3drHG8bA3r19Z3P26TJIWFh+vU6bOqVL5s0k8KAAD4W57bImWxWDRqSH9NGDVUNptN&#10;w8dO0sSpMxM85vXqvsqeLassFov27D+k6r6VZLPZJEl1albTrr2hcftWrvCqrFaLcmbPJkmKioqS&#10;i4tNj8PCZY+KUlRUtB49DpOnp0e881R7rZIO/3Jc9qgo/fTzbtWuUVVW63P7rQIAIMV6bl/aO37y&#10;lGQYKlakkPLl9VGbFk3U6O1O8u/UVq6ubk89JoOX1399ZSQ4vost/tTmfymvShQrrO59B8vd3V0N&#10;69VW4YL54+3n5uoq38oVtHP3fn334zb17+X/dy4NAAAkk+d2meP27TuaMGWG7j94IEm6deeuDMOQ&#10;h7uH3FxdFREZochIu2JiYp56fPmypbV1+664xzdv+UkVy5VJ8JzR0dE6dfqsFoZM1awp49WiyZtx&#10;j1lkkSPmzzedN25QV2u/2qioqCh558zxTy8XAAAkged2Rcq3cgVdv3lL3foOltVqlaurqz4YFqC0&#10;adNIkho3eEMtOvgrf768+ihwdLzjK+119/sAABNQSURBVJYro5OnzsivV4CsNquKFiqoZo3qJ3hO&#10;i8Uie1SU6jRpLRebTZ6eHmrcoK7atWqmsqVf1ohxQRoW0EflypRSoQL5dOv2HbVr1TQpLh8AACQC&#10;i2EYCb9GhUQzZNQE1axaRbVrVpXFYtH1GzfV3r+vNq9bGW/fh48eq0uvAVo+b4bcXF3/cuzQ0FCV&#10;/XFsUsR+UsC6JBn2zt27ypQxY5KMnRxSc/7UnF0iv7OR33lSc3Yp9eeXYq/huV2RcoYGdWtp+adr&#10;teHb72WxWORwODQ8oHe8/abMmKP9Bw/rvR5+/1OJAgAAzkGRSka+lSvIt3KFv9xvQO9uyZAGAAD8&#10;U8/tm80BAAD+KYoUAACASRQpAAAAkyhSv7t3/4HqNGkjSQo9dEQtO/I+JQAAkDCK1FMULVRQAX26&#10;J8pYkZF2HTh8NFHGAgAAKctz/Vt723bs1uyFy+TunlYF870Ut/3q9esKDpmvlQtmyeEwNCl4ln47&#10;f0EREZFq2rCemrz5hs78dk7jgqYpxuGQzWrVuBGDlStndoWFh2v0hCmKiIxURGSkMr6QQcWLFFaZ&#10;UiXUunNPdenQWpM+mqXpQWP1Uh4fTZ4xW9dv3NTjx2F6u1lj1alVTZK0YvVa7di9T3Z7lEoWL6K+&#10;PfycNU0AAOAZntsidf/BA42fPF1LZgcre7as+vrbH7Rl2854+/3n1GldvHRFc6cFKSw8XMEh89Xk&#10;zTd05ep19evlr5eLF9Vn6zZo3deb9G7Xd7Tuq03K4+Otd7u+o/CICDV+u7PGvj9IUuzLh4d/Oa4v&#10;Vy2Su3tazVm0XC8XL6pGA/sqPCJCzdr6qdprlXTk2AmdPHVWIVMDJUl9Bo3Q/oOH9WrpUsk6RwAA&#10;IGHPbZE6duJXFS1cUNmzZZUkVSpfVtM+XhBvv1w5sunqteuaPnuBypV5RQP79JAkFS1cUAuXfaKl&#10;qz7T9Ru3VLJYEUmSi4tN9+7dlxT718ldbNa4DzC226PUqlkjeXi4S5J27Q1V+nSe+mnHbklShgxe&#10;ehwWpl17Q3X23HkNGD4mdpyHjxQeHpGEswEAAMx4botUdEyMrNY/3yL2rA8nzuDlpRULZmrv/kP6&#10;bss2zVm0TIs/DtbI8ZPVtFE9vV7dVxs3/6Cjx09Kkpo0rCe/XgHq/t4Qubm5asz7A2W1Wp4Y7w+G&#10;YahP9y4qVCDf/zuroQZ1a6l18yaJd8EAACDRPbdvNi9epJCOnTipG7duS5K279zzROH5w669oVrz&#10;5UZV962k9wf11bXrNxUVFa0rV6+pSKECkqS9oYf0x0cWHv/PrypRtLBmB0/U9KCxCb4cV/aVklq3&#10;YZOk2NWrHv2GyOEwVKZUSX2zeYvsdrsMw9DQ0YG6cOlyYk8BAAD4h57bFakXM2VUQJ/u6jVgmNJ5&#10;eqq6b+UnVov+UKpEMa37epO69h4oh+FQxzYt5Orqom6d22vAsDHKkjmTfCtV0OdfbtC2Hbv1Ul4f&#10;bdy8RVu375QsFmV+MZN6dOmgSuXLxhvbr0MbBU6dqY7d31NMTIzeadtSVqtFr1UqrxO/nlannv1l&#10;tVpVsVwZ+XjnSo5pAQAAf4PF+GMpBf+YYRhq2OodzZ0epJzZs0mSftj6szZ+t0VTxo9M0nOHhoaq&#10;7I9jk/QckqSAdUkybGr/FPDUnD81Z5fI72zkd57UnF1K/fml2Gt4blekkoLFYlGzRvU1OnCK0qZJ&#10;I0lK4+amXv6dnJwMAAAkBYpUIuvUrpU6tWvl7BgAACAZPLdvNgcAAPinKFIAAAAmUaQAAABMokgB&#10;AACYRJECAAAwiSIFAABgEn/+4N8kif5YJgAAeDpWpAAAAEyiSAEAAJhEkQIAADCJIgUAAGASRQoA&#10;AMAkihQAAIBJFCkAAACTKFIAAAAmUaQAAABMshiGYTg7BBJHaGiosyMAAPDcKFu2LEUKAADALF7a&#10;AwAAMIkiBQAAYBJFCgAAwCSKFAAAgEkUKQAAAJMoUgAAACZRpAAAAEyiSAEAAJhEkQIAADCJIgUA&#10;AGASRQoAAMAkihQAAIBJLs4OgMR1/cZNjQ6coivXrss9bVoN7veuSr9cQtHR0Ro+dpIePHio+nVq&#10;qWG92pKk1WvXyx4VpXatmiVJnt/OX9S2Hbu1c89++XVso3JlSkmSPl2zXis//0KGw1ClCq9qYJ/u&#10;cnFx0c49+7V45Wq5p02r8SMHK52np+x2u/x6BWjO9CC5p02bJDmfZcHSVfpx+04ZhqEypUqq37v+&#10;slotz5xnSZq7eIV+OXZCuXJk15D+vSRJp878po8XLNXUCaOSLfu8JSv147Ydstlsypols0YPHaD0&#10;6TwVFRWtoOBZ2rP/oCxWi9q/3VzNGzeQpBQ3/5L02boNmjV3sbZu/DxuW+ihIwoK/lgRkRHyzplT&#10;o4f2V5bMLzrtPn+a/kNH6/TZc7JaY39e7dC6uZo2qi8pddz/jx4/VuCUmfrPqdOyWa1q2bRR3H2S&#10;0uc/KDhEW7btUNo0aSRJdrtdGTO+oBXzZyZ4/6eU5+4PW3/WitVr5erqqqjoaPXo0iHu386UPveS&#10;tHHzFi3/dI0kKWuWzBoe0EdZMr+Y5Pn/7v9vEnrsyrXrGjvpI8U4HAro3V2FCuSTJA0eNV4d27RU&#10;scIF/zyxgX+VHv2GGF9/+4NhGIZx8tQZo37z9kZYeLixdftOY+rMuUZ0dLTxVtsuhmEYRlh4uNG+&#10;a28jMjIyyfLMXrDUWLBsldHWr5exY88+wzAM4+CRo0brzj2Nx4/DDIfDYYwYF2QsXrHaMAzDaNe1&#10;t/Hg4SNj5WdfGJ98/qVhGIaxZOVnxqdr1ydZxmfZs/+A0f29wUZMTIwRE+Mw+g0ZZXz97feGYTx7&#10;nu/dv2906NbXMAzDGDD8A+PUmd8MwzCMfkNGxf13cjh24qQxeOR4IyYmxjAMw/hw2sfGgqWrDMMw&#10;jPlLVhpjg4INh8NhPHj4yGjRsZtx5NgJwzBS1vwbhmGcO3/R6Ni9r1GtXrO4bY8fhxkNWnQwzvx2&#10;3jAMw/jiq2+M3gHvG4ZhOO0+fxr/PoOMu/fux9ueWu7/98dOMpau+twwDMN48PCR0a5rb+P+/Qep&#10;Yv4nfTTL2LZjd9zXi1esNuYsWm4YxrPv/5Ty3LXbo4xaDVsa9x88NAzDMC5evmLUa9rWMIzUce+f&#10;PXfBaNrOz7h//4FhGIaxZdsOo1fA8GTJ/3f/f5PQY1NmzDZ+2rHbOHnqjDHw/bGGYfz57+r/x0t7&#10;/yKXrlzV5avXVL9OTUlSoQL5VKZUCW35aYeu37ipbFmzyGazKY2bm8IjIrTi07Vq3uRNubm5JVmm&#10;bp3bq3O7t5XxhQxx29au36i2LZvKw8NdFotFXd9pqzXrN0qSHj58pPTpPJU9W1Zdu3FDjx4/1vdb&#10;t6tpw3pJlvFZzl+8rOJFC8tqtcpqtajMKyV19tyFBOf51u07yvxiJklS9qxZde36DR08clTp0qVT&#10;gXx5ky17sSKFNPGDYbJarXI4HLp3/0HcT4Rr1m+UX4fWslgsSp/OU22aN9EX67+RlLLmPzo6WmOC&#10;PtKQfr2e2P7dj9tUvswrypfXR5LUuEFdnTl3Xlev33Daff40YeHh8nCPv4KUGu7/23fu6tiJX9Wu&#10;VVNJUvp0nlo2d7q8vNKnivl/u3ljvVyiqCTJMAx9ufFbNa5fR9Kz7/+U8ty12WzycHfXnbt3JUk3&#10;b91WxowvSEod9/6p02dV+uUS8vJKL0mqVqWi9oYe0p2795I8/9/9/01Cj127cUvZs2aJfS5evyFJ&#10;Cpm/RD39OsY7L0XqX+TCpcvK4+39xLa8Prl1/uIl5c2TW7+dO6+w8HDFOByKjLTr59179eYbrzsn&#10;Z+4/c3rnzKFbt24rKipamV/MpBs3b+nM2XN6KY+Plqz8TG1aNIlbhk1OvpXKq/prleO+Pnr8pIoW&#10;KpjgPOfIlk3Xrt+Qw2Ho7LnzyuPjrTkLl6t7l/bJHV+SNO3j+ar7VhtJ0ptvvK7ISLvuP3ig7Nmy&#10;/pk9T26dv3RJklLU/M9ZtFw1fCvH/aP7hwuXLiuPz5/zb7FYlCd3Ll28dDlF3edh4eEaGxSsNl3e&#10;1YhxQXrw4OGf+VP4/f/b+QsqUii/Zi9cpjZd3lXnnv21N/Tgn/lT+Pz7eOdSBi8vSdKe/Qfl451L&#10;2bJmSfD+TynPXavVohGD+6mDf1+92bKjAoaP1eihAySljrkvXDC/9oYeiisf6zZs0gsZvHT12nWn&#10;5E/o+ZbQY3l9vHX23Hmd+e2c8ubx0e59B5QjW1b55M4V7xwUqedEuTKvyNPTU8M+mKgBvfy1cPkn&#10;6timpS5cuqwBw8do4PtjdfnKNWfH1IDe3RQ4daau37ipV8uUUuihX1S3VnXNXbxC7w0ZpaWrPku2&#10;LNmzZVWJYoUlSdt37tGNm7dUs1qVBI/x8HBX6+ZN1G/oKFWu8Kp+O3dBBfLl1QsZvDQ6cIr6Dh6p&#10;nXv3J0d8SVLfHn769otVypI5k+YtXvGX+6eU+T/0yzEdOXpCbVo0/VvHpaT73K9DG/Xu3kUrF8xS&#10;7lw59VHIvL88JqXM/+PHYTpw+KiKFy2slQtmaUj/Xho1YYruP3iQ4HEpaf7/sObLr/XWm2/85X4p&#10;5bl79959TfxoppbMmaYNq5do6oRRGj5moux2e4LHpZS5z+Pjrd7dOmngiHFq799HERGRyp0rpzw9&#10;PVJF/j+0bfmWtu3co5Wrv1D3zu00f8lKde3UTlu371LfwSM1Nig47ntCkfoX8fHOpXMXLz2x7dyF&#10;i8qT21sWi0Xv9fRT8MQPlCe3t/5z8pRq+FZWyPyleqdtS7Vs2khzFi1LvpwXLsZ9fenKVWXO/KJc&#10;XV1UtHBBfRQ4WsMH9tWSlZ/Jr0NrnT13Xr8cO6HgiR/o5117dfHylWTJ+YctP/2seUtWavL4EbJY&#10;LAnOsxS78jNt0hi1adFUi5Z/qi4dWmvDN98pr09uBY4aqikz5iR55l9Pn9WFS5clxf6EW692Te0J&#10;Pag0adyUwctLV3//aVGSzp2/GLfCllLmf8u2HQoLD1f3foP17oDhCgsPl3/fQVq8YnW8+8cwDJ2/&#10;eFm5vXOlmPs8PCJCVSqWU9bfX06tX7eWjv3nV0mp4/7Pni2rDMNQ1coVJMW+fF0gX179dv5iqpj/&#10;P9y6fUcnfj0t39+v46/u/5Tw3D1w6BcVyJdXL+XJLUkqVbKYPD08dPL02VQz97VrVNWyudO1bO50&#10;NW1UX5evXlPO7Nmckj+h51tCj2Xw8tKEkUP04bgROnriV71copiyZn5RwSHzFDTmfWXJ/KK++e5H&#10;SRSpfxXvnDnknTO7Nm7eIin2t00OHD4abxVlzqLl6tY5drk6IiJCGdKnVwav9IqIiEyWnE0b1dfK&#10;z75QWFi4DMPQvMUr1ez332b6w8XLV3Tx0hVVrvCqIiIi5ZU+9vV2L6/0ioxM+CezxOJwGJq7aLm+&#10;3fKTZn80UZkyZpT0v8/zxs0/qFL5ssr4QgZFREbKyyu93N3TyhHjSPLsvxw7oRmzFyomJkZS7Ipa&#10;8aKxq2vNGtXXgqWrZBiGHj56rJWfr9NbjZ58D46z57//u/5aNne65k4L0qwp4+Xh7q6504L0TtuW&#10;ql2jqvYdOKyz5y5Ikr78+lvlz5tHOf7r5RrJuff5ug2bNHn6x3I4Yr/XP+/aqxJFYuc/Ndz/hQvm&#10;14uZMurIsROSYn8b+LfzF5XXJ3eqmP8/rNuwSfXr1Iz7zUnpf7v/nfncfSmvj06cPK0HDx9Jip37&#10;q9dvKHeunKli7i9cvKyuvQfKHhUlwzA0a95i1atdU25ubk7Jn9Dz7X95LsbExGjF6rV6p21LGYYh&#10;i8XyeyH/Mw9//uBfZtSQ/hodOEVzFi1T2jRpNW7EoCd+ZfrsuQu6c/eeyr7ysiTpnbatNG32AhmG&#10;oc7t3k6WjK+ULK5G9evo7c49ZTgcqlThVbVt+dYT+3y8YKl6+HWQFPvGaTc3V40NClamF15Itjd+&#10;rv5iveYtWansWbOo1TvdJUneuXLo448m/uU826OitHrtes0OniRJalD3dU2YMkP7Dx5W+9bNkzz7&#10;Ww3r6+r1G2rv30eurq7K6+Otwf3elSR1aN1Ck4JnqfHbnSSLRe3fbqaSxYo8cXxKmP9n8fBw1wfD&#10;BmjI6AmKiIiUd84cGj1swBP7OPs+b9W0kWbMWah2XXvLzc1VOXNkj3vTfGq5/wNHDdX4ydP04OEj&#10;Wa1WDen3rl7IEPu+o5Q+/1LsD0LrN27W7GmTntj+V/e/s5+7+fL6qHvnduoVMFyuri5yxDg0cnC/&#10;VDP3PrlzqfyrpdWm87uKio5ShVfLqHf3zpKc89xN6Pn2vzwX123YpBq+leWVPp0kqcVbDTViXJDC&#10;IyI0clA/SZLFMAzjbycDAAAAL+0BAACYRZECAAAwiSIFAABgEkUKAADAJIoUAACASRQpAAAAkyhS&#10;AAAAJlGkAAAATKJIAQAAmESRAgAAMIkiBQAAYBJFCgAAwCSKFAAAgEkUKQAAAJMoUgAAACZRpAAA&#10;AEyiSAEAAJhEkQIAADCJIgUAAGASRQoAAMAkihQAAIBJFCkAAACTKFIAAAAmUaQAAABMokgBAACY&#10;RJECAAAwiSIFAABg0v8Bd8UhuSPdI18AAAAASUVORK5CYIJQSwECLQAUAAYACAAAACEAsYJntgoB&#10;AAATAgAAEwAAAAAAAAAAAAAAAAAAAAAAW0NvbnRlbnRfVHlwZXNdLnhtbFBLAQItABQABgAIAAAA&#10;IQA4/SH/1gAAAJQBAAALAAAAAAAAAAAAAAAAADsBAABfcmVscy8ucmVsc1BLAQItABQABgAIAAAA&#10;IQCoTfh0GgMAABwHAAAOAAAAAAAAAAAAAAAAADoCAABkcnMvZTJvRG9jLnhtbFBLAQItABQABgAI&#10;AAAAIQCqJg6+vAAAACEBAAAZAAAAAAAAAAAAAAAAAIAFAABkcnMvX3JlbHMvZTJvRG9jLnhtbC5y&#10;ZWxzUEsBAi0AFAAGAAgAAAAhAHg3x1DhAAAACwEAAA8AAAAAAAAAAAAAAAAAcwYAAGRycy9kb3du&#10;cmV2LnhtbFBLAQItAAoAAAAAAAAAIQAzDBdDqjMAAKozAAAUAAAAAAAAAAAAAAAAAIEHAABkcnMv&#10;bWVkaWEvaW1hZ2UxLnBuZ1BLBQYAAAAABgAGAHwBAABd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53" type="#_x0000_t75" alt="chart978933440.png" style="position:absolute;top:4308;width:45162;height:40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VQxAAAANwAAAAPAAAAZHJzL2Rvd25yZXYueG1sRI9Ra8Iw&#10;FIXfB/6HcAXfZtoJIp2xDGVMEBy6/oBLc9d0a266JNr6781gsMfDOec7nHU52k5cyYfWsYJ8noEg&#10;rp1uuVFQfbw+rkCEiKyxc0wKbhSg3Ewe1lhoN/CJrufYiAThUKACE2NfSBlqQxbD3PXEyft03mJM&#10;0jdSexwS3HbyKcuW0mLLacFgT1tD9ff5YhV8mZ+hMse3cPD5bi/fR8+uOig1m44vzyAijfE//Nfe&#10;awWLbAG/Z9IRkJs7AAAA//8DAFBLAQItABQABgAIAAAAIQDb4fbL7gAAAIUBAAATAAAAAAAAAAAA&#10;AAAAAAAAAABbQ29udGVudF9UeXBlc10ueG1sUEsBAi0AFAAGAAgAAAAhAFr0LFu/AAAAFQEAAAsA&#10;AAAAAAAAAAAAAAAAHwEAAF9yZWxzLy5yZWxzUEsBAi0AFAAGAAgAAAAhADyz1VDEAAAA3AAAAA8A&#10;AAAAAAAAAAAAAAAABwIAAGRycy9kb3ducmV2LnhtbFBLBQYAAAAAAwADALcAAAD4AgAAAAA=&#10;">
                  <v:imagedata r:id="rId25" o:title="chart978933440" cropright="22575f"/>
                  <v:path arrowok="t"/>
                </v:shape>
                <v:shape id="TextBox 13" o:spid="_x0000_s1054" type="#_x0000_t202" style="position:absolute;left:18354;width:9661;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jHxAAAANwAAAAPAAAAZHJzL2Rvd25yZXYueG1sRI9Ba8JA&#10;FITvBf/D8gRvzW6VWo1uRFoKlV401fsj+5qEZN/G7Fbjv3cLhR6HmfmGWW8G24oL9b52rOEpUSCI&#10;C2dqLjUcv94fFyB8QDbYOiYNN/KwyUYPa0yNu/KBLnkoRYSwT1FDFUKXSumLiiz6xHXE0ft2vcUQ&#10;ZV9K0+M1wm0rp0rNpcWa40KFHb1WVDT5j9UQOG+Wn/v8OFW7m3tBhW/z01nryXjYrkAEGsJ/+K/9&#10;YTTM1DP8nolHQGZ3AAAA//8DAFBLAQItABQABgAIAAAAIQDb4fbL7gAAAIUBAAATAAAAAAAAAAAA&#10;AAAAAAAAAABbQ29udGVudF9UeXBlc10ueG1sUEsBAi0AFAAGAAgAAAAhAFr0LFu/AAAAFQEAAAsA&#10;AAAAAAAAAAAAAAAAHwEAAF9yZWxzLy5yZWxzUEsBAi0AFAAGAAgAAAAhALoiKMfEAAAA3AAAAA8A&#10;AAAAAAAAAAAAAAAABwIAAGRycy9kb3ducmV2LnhtbFBLBQYAAAAAAwADALcAAAD4AgAAAAA=&#10;" fillcolor="#a5a5a5 [2092]" stroked="f">
                  <v:textbox>
                    <w:txbxContent>
                      <w:p w14:paraId="036DF3A8" w14:textId="77777777" w:rsidR="00D35C1E" w:rsidRDefault="00D35C1E" w:rsidP="009E1917">
                        <w:pPr>
                          <w:pStyle w:val="NormalWeb"/>
                          <w:spacing w:before="0" w:beforeAutospacing="0" w:after="0" w:afterAutospacing="0"/>
                        </w:pPr>
                        <w:r>
                          <w:rPr>
                            <w:rFonts w:asciiTheme="minorHAnsi" w:hAnsi="Calibri" w:cstheme="minorBidi"/>
                            <w:color w:val="000000" w:themeColor="text1"/>
                            <w:kern w:val="24"/>
                            <w:sz w:val="44"/>
                            <w:szCs w:val="44"/>
                          </w:rPr>
                          <w:t>Trainees</w:t>
                        </w:r>
                      </w:p>
                    </w:txbxContent>
                  </v:textbox>
                </v:shape>
              </v:group>
            </w:pict>
          </mc:Fallback>
        </mc:AlternateContent>
      </w:r>
    </w:p>
    <w:p w14:paraId="1FC4BB5E" w14:textId="77777777" w:rsidR="009E1917" w:rsidRDefault="009E1917" w:rsidP="00863DF5">
      <w:pPr>
        <w:spacing w:after="0" w:line="480" w:lineRule="auto"/>
        <w:rPr>
          <w:rFonts w:ascii="Times New Roman" w:hAnsi="Times New Roman" w:cs="Times New Roman"/>
          <w:b/>
          <w:sz w:val="24"/>
          <w:szCs w:val="24"/>
        </w:rPr>
      </w:pPr>
    </w:p>
    <w:p w14:paraId="6063C4BE" w14:textId="49E68183" w:rsidR="009E1917" w:rsidRDefault="009E1917" w:rsidP="00863DF5">
      <w:pPr>
        <w:spacing w:after="0" w:line="480" w:lineRule="auto"/>
        <w:rPr>
          <w:rFonts w:ascii="Times New Roman" w:hAnsi="Times New Roman" w:cs="Times New Roman"/>
          <w:b/>
          <w:sz w:val="24"/>
          <w:szCs w:val="24"/>
        </w:rPr>
      </w:pPr>
    </w:p>
    <w:p w14:paraId="555C18D9" w14:textId="77777777" w:rsidR="009E1917" w:rsidRDefault="009E1917" w:rsidP="00863DF5">
      <w:pPr>
        <w:spacing w:after="0" w:line="480" w:lineRule="auto"/>
        <w:rPr>
          <w:rFonts w:ascii="Times New Roman" w:hAnsi="Times New Roman" w:cs="Times New Roman"/>
          <w:b/>
          <w:sz w:val="24"/>
          <w:szCs w:val="24"/>
        </w:rPr>
      </w:pPr>
    </w:p>
    <w:p w14:paraId="110BFB79" w14:textId="77777777" w:rsidR="009E1917" w:rsidRDefault="009E1917" w:rsidP="00863DF5">
      <w:pPr>
        <w:spacing w:after="0" w:line="480" w:lineRule="auto"/>
        <w:rPr>
          <w:rFonts w:ascii="Times New Roman" w:hAnsi="Times New Roman" w:cs="Times New Roman"/>
          <w:b/>
          <w:sz w:val="24"/>
          <w:szCs w:val="24"/>
        </w:rPr>
      </w:pPr>
    </w:p>
    <w:p w14:paraId="703A75E0" w14:textId="77777777" w:rsidR="009E1917" w:rsidRDefault="009E1917" w:rsidP="00863DF5">
      <w:pPr>
        <w:spacing w:after="0" w:line="480" w:lineRule="auto"/>
        <w:rPr>
          <w:rFonts w:ascii="Times New Roman" w:hAnsi="Times New Roman" w:cs="Times New Roman"/>
          <w:b/>
          <w:sz w:val="24"/>
          <w:szCs w:val="24"/>
        </w:rPr>
      </w:pPr>
    </w:p>
    <w:p w14:paraId="131BAEF9" w14:textId="77777777" w:rsidR="009E1917" w:rsidRDefault="009E1917" w:rsidP="00863DF5">
      <w:pPr>
        <w:spacing w:after="0" w:line="480" w:lineRule="auto"/>
        <w:rPr>
          <w:rFonts w:ascii="Times New Roman" w:hAnsi="Times New Roman" w:cs="Times New Roman"/>
          <w:b/>
          <w:sz w:val="24"/>
          <w:szCs w:val="24"/>
        </w:rPr>
      </w:pPr>
    </w:p>
    <w:p w14:paraId="362B937B" w14:textId="77777777" w:rsidR="009E1917" w:rsidRDefault="009E1917" w:rsidP="00863DF5">
      <w:pPr>
        <w:spacing w:after="0" w:line="480" w:lineRule="auto"/>
        <w:rPr>
          <w:rFonts w:ascii="Times New Roman" w:hAnsi="Times New Roman" w:cs="Times New Roman"/>
          <w:b/>
          <w:sz w:val="24"/>
          <w:szCs w:val="24"/>
        </w:rPr>
      </w:pPr>
    </w:p>
    <w:p w14:paraId="6029471D" w14:textId="77777777" w:rsidR="009E1917" w:rsidRDefault="009E1917" w:rsidP="00863DF5">
      <w:pPr>
        <w:spacing w:after="0" w:line="480" w:lineRule="auto"/>
        <w:rPr>
          <w:rFonts w:ascii="Times New Roman" w:hAnsi="Times New Roman" w:cs="Times New Roman"/>
          <w:b/>
          <w:sz w:val="24"/>
          <w:szCs w:val="24"/>
        </w:rPr>
      </w:pPr>
    </w:p>
    <w:p w14:paraId="269820D1" w14:textId="77777777" w:rsidR="009E1917" w:rsidRDefault="009E1917" w:rsidP="00863DF5">
      <w:pPr>
        <w:spacing w:after="0" w:line="480" w:lineRule="auto"/>
        <w:rPr>
          <w:rFonts w:ascii="Times New Roman" w:hAnsi="Times New Roman" w:cs="Times New Roman"/>
          <w:b/>
          <w:sz w:val="24"/>
          <w:szCs w:val="24"/>
        </w:rPr>
      </w:pPr>
    </w:p>
    <w:p w14:paraId="7C02FC7B" w14:textId="77777777" w:rsidR="009E1917" w:rsidRDefault="009E1917" w:rsidP="00863DF5">
      <w:pPr>
        <w:spacing w:after="0" w:line="480" w:lineRule="auto"/>
        <w:rPr>
          <w:rFonts w:ascii="Times New Roman" w:hAnsi="Times New Roman" w:cs="Times New Roman"/>
          <w:b/>
          <w:sz w:val="24"/>
          <w:szCs w:val="24"/>
        </w:rPr>
      </w:pPr>
    </w:p>
    <w:p w14:paraId="4DCE7E5A" w14:textId="77777777" w:rsidR="009E1917" w:rsidRDefault="009E1917" w:rsidP="00863DF5">
      <w:pPr>
        <w:spacing w:after="0" w:line="480" w:lineRule="auto"/>
        <w:rPr>
          <w:rFonts w:ascii="Times New Roman" w:hAnsi="Times New Roman" w:cs="Times New Roman"/>
          <w:b/>
          <w:sz w:val="24"/>
          <w:szCs w:val="24"/>
        </w:rPr>
      </w:pPr>
    </w:p>
    <w:p w14:paraId="509E83AA" w14:textId="77777777" w:rsidR="007169A7" w:rsidRDefault="007169A7" w:rsidP="00863DF5">
      <w:pPr>
        <w:spacing w:after="0" w:line="480" w:lineRule="auto"/>
        <w:rPr>
          <w:rFonts w:ascii="Times New Roman" w:hAnsi="Times New Roman" w:cs="Times New Roman"/>
          <w:b/>
          <w:sz w:val="24"/>
          <w:szCs w:val="24"/>
        </w:rPr>
      </w:pPr>
    </w:p>
    <w:p w14:paraId="595E4C74" w14:textId="6B1284E1" w:rsidR="009E1917" w:rsidRDefault="009E1917" w:rsidP="00863DF5">
      <w:pPr>
        <w:spacing w:after="0" w:line="480" w:lineRule="auto"/>
        <w:rPr>
          <w:rFonts w:ascii="Times New Roman" w:hAnsi="Times New Roman" w:cs="Times New Roman"/>
          <w:b/>
          <w:sz w:val="24"/>
          <w:szCs w:val="24"/>
        </w:rPr>
      </w:pPr>
      <w:r>
        <w:rPr>
          <w:rFonts w:ascii="Times New Roman" w:hAnsi="Times New Roman" w:cs="Times New Roman"/>
          <w:b/>
          <w:sz w:val="24"/>
          <w:szCs w:val="24"/>
        </w:rPr>
        <w:t>F</w:t>
      </w:r>
      <w:r w:rsidR="005073E7">
        <w:rPr>
          <w:rFonts w:ascii="Times New Roman" w:hAnsi="Times New Roman" w:cs="Times New Roman"/>
          <w:b/>
          <w:sz w:val="24"/>
          <w:szCs w:val="24"/>
        </w:rPr>
        <w:t>igure 3.9</w:t>
      </w:r>
      <w:r>
        <w:rPr>
          <w:rFonts w:ascii="Times New Roman" w:hAnsi="Times New Roman" w:cs="Times New Roman"/>
          <w:b/>
          <w:sz w:val="24"/>
          <w:szCs w:val="24"/>
        </w:rPr>
        <w:t xml:space="preserve">. </w:t>
      </w:r>
      <w:r w:rsidRPr="006F3B00">
        <w:rPr>
          <w:rFonts w:ascii="Times New Roman" w:hAnsi="Times New Roman" w:cs="Times New Roman"/>
          <w:b/>
          <w:sz w:val="24"/>
          <w:szCs w:val="24"/>
        </w:rPr>
        <w:t xml:space="preserve">Trainee </w:t>
      </w:r>
      <w:r>
        <w:rPr>
          <w:rFonts w:ascii="Times New Roman" w:hAnsi="Times New Roman" w:cs="Times New Roman"/>
          <w:b/>
          <w:sz w:val="24"/>
          <w:szCs w:val="24"/>
        </w:rPr>
        <w:t>response</w:t>
      </w:r>
      <w:r w:rsidRPr="006F3B00">
        <w:rPr>
          <w:rFonts w:ascii="Times New Roman" w:hAnsi="Times New Roman" w:cs="Times New Roman"/>
          <w:b/>
          <w:sz w:val="24"/>
          <w:szCs w:val="24"/>
        </w:rPr>
        <w:t xml:space="preserve"> to the statement: </w:t>
      </w:r>
      <w:r>
        <w:rPr>
          <w:rFonts w:ascii="Times New Roman" w:hAnsi="Times New Roman" w:cs="Times New Roman"/>
          <w:b/>
          <w:sz w:val="24"/>
          <w:szCs w:val="24"/>
        </w:rPr>
        <w:t>‘</w:t>
      </w:r>
      <w:r w:rsidRPr="006F3B00">
        <w:rPr>
          <w:rFonts w:ascii="Times New Roman" w:hAnsi="Times New Roman" w:cs="Times New Roman"/>
          <w:b/>
          <w:sz w:val="24"/>
          <w:szCs w:val="24"/>
        </w:rPr>
        <w:t>Your assessors a</w:t>
      </w:r>
      <w:r>
        <w:rPr>
          <w:rFonts w:ascii="Times New Roman" w:hAnsi="Times New Roman" w:cs="Times New Roman"/>
          <w:b/>
          <w:sz w:val="24"/>
          <w:szCs w:val="24"/>
        </w:rPr>
        <w:t xml:space="preserve">re accessible to complete WBAs’ </w:t>
      </w:r>
    </w:p>
    <w:p w14:paraId="61FE6037" w14:textId="2F741184" w:rsidR="00863DF5" w:rsidRPr="006F3B00" w:rsidRDefault="00863DF5" w:rsidP="00E41ED0">
      <w:pPr>
        <w:spacing w:after="0" w:line="240" w:lineRule="auto"/>
        <w:rPr>
          <w:rFonts w:ascii="Times New Roman" w:hAnsi="Times New Roman" w:cs="Times New Roman"/>
          <w:b/>
          <w:sz w:val="24"/>
          <w:szCs w:val="24"/>
        </w:rPr>
      </w:pPr>
      <w:r w:rsidRPr="006F3B00">
        <w:rPr>
          <w:rFonts w:ascii="Times New Roman" w:hAnsi="Times New Roman" w:cs="Times New Roman"/>
          <w:b/>
          <w:sz w:val="24"/>
          <w:szCs w:val="24"/>
        </w:rPr>
        <w:lastRenderedPageBreak/>
        <w:t>Question 9 for assessors</w:t>
      </w:r>
      <w:r w:rsidRPr="006F3B00">
        <w:rPr>
          <w:rFonts w:ascii="Times New Roman" w:hAnsi="Times New Roman" w:cs="Times New Roman"/>
          <w:sz w:val="24"/>
          <w:szCs w:val="24"/>
        </w:rPr>
        <w:t xml:space="preserve">: </w:t>
      </w:r>
      <w:r w:rsidRPr="006F3B00">
        <w:rPr>
          <w:rFonts w:ascii="Times New Roman" w:hAnsi="Times New Roman" w:cs="Times New Roman"/>
          <w:b/>
          <w:sz w:val="24"/>
          <w:szCs w:val="24"/>
        </w:rPr>
        <w:t>You have been given sufficient guidance on h</w:t>
      </w:r>
      <w:r w:rsidR="00F66954">
        <w:rPr>
          <w:rFonts w:ascii="Times New Roman" w:hAnsi="Times New Roman" w:cs="Times New Roman"/>
          <w:b/>
          <w:sz w:val="24"/>
          <w:szCs w:val="24"/>
        </w:rPr>
        <w:t xml:space="preserve">ow to complete WBAs (Figure </w:t>
      </w:r>
      <w:r w:rsidR="00A50523">
        <w:rPr>
          <w:rFonts w:ascii="Times New Roman" w:hAnsi="Times New Roman" w:cs="Times New Roman"/>
          <w:b/>
          <w:sz w:val="24"/>
          <w:szCs w:val="24"/>
        </w:rPr>
        <w:t>3.</w:t>
      </w:r>
      <w:r w:rsidR="00F66954">
        <w:rPr>
          <w:rFonts w:ascii="Times New Roman" w:hAnsi="Times New Roman" w:cs="Times New Roman"/>
          <w:b/>
          <w:sz w:val="24"/>
          <w:szCs w:val="24"/>
        </w:rPr>
        <w:t>10)</w:t>
      </w:r>
    </w:p>
    <w:p w14:paraId="76BDF977" w14:textId="5F4CAF12" w:rsidR="00863DF5" w:rsidRPr="006F3B00" w:rsidRDefault="00863DF5" w:rsidP="00E41ED0">
      <w:pPr>
        <w:spacing w:after="0" w:line="240" w:lineRule="auto"/>
        <w:rPr>
          <w:rFonts w:ascii="Times New Roman" w:eastAsia="Times New Roman" w:hAnsi="Times New Roman" w:cs="Times New Roman"/>
          <w:sz w:val="24"/>
          <w:szCs w:val="24"/>
          <w:lang w:eastAsia="en-GB"/>
        </w:rPr>
      </w:pPr>
      <w:r w:rsidRPr="006F3B00">
        <w:rPr>
          <w:rFonts w:ascii="Times New Roman" w:hAnsi="Times New Roman" w:cs="Times New Roman"/>
          <w:sz w:val="24"/>
          <w:szCs w:val="24"/>
        </w:rPr>
        <w:t xml:space="preserve">Almost half of assessors (49%) strongly agreed or agreed that they had been given sufficient guidance on how to complete WBAs. However, 28% strongly disagreed or disagreed with this statement. </w:t>
      </w:r>
      <w:r w:rsidR="00E84976">
        <w:rPr>
          <w:rFonts w:ascii="Times New Roman" w:hAnsi="Times New Roman" w:cs="Times New Roman"/>
          <w:sz w:val="24"/>
          <w:szCs w:val="24"/>
        </w:rPr>
        <w:t>77% of assessors neither agreed nor disagreed with the statement.</w:t>
      </w:r>
    </w:p>
    <w:p w14:paraId="4AAD445A" w14:textId="12483A8F" w:rsidR="00F66954" w:rsidRDefault="009E1917" w:rsidP="00E41ED0">
      <w:pPr>
        <w:spacing w:after="120" w:line="240" w:lineRule="auto"/>
        <w:rPr>
          <w:rFonts w:ascii="Times New Roman" w:hAnsi="Times New Roman" w:cs="Times New Roman"/>
          <w:sz w:val="24"/>
          <w:szCs w:val="24"/>
        </w:rPr>
      </w:pPr>
      <w:r w:rsidRPr="009E1917">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50775F48" wp14:editId="2F3F9E8A">
                <wp:simplePos x="0" y="0"/>
                <wp:positionH relativeFrom="column">
                  <wp:posOffset>1981200</wp:posOffset>
                </wp:positionH>
                <wp:positionV relativeFrom="paragraph">
                  <wp:posOffset>236220</wp:posOffset>
                </wp:positionV>
                <wp:extent cx="5562600" cy="4152900"/>
                <wp:effectExtent l="0" t="0" r="0" b="0"/>
                <wp:wrapNone/>
                <wp:docPr id="292" name="Group 8"/>
                <wp:cNvGraphicFramePr/>
                <a:graphic xmlns:a="http://schemas.openxmlformats.org/drawingml/2006/main">
                  <a:graphicData uri="http://schemas.microsoft.com/office/word/2010/wordprocessingGroup">
                    <wpg:wgp>
                      <wpg:cNvGrpSpPr/>
                      <wpg:grpSpPr>
                        <a:xfrm>
                          <a:off x="0" y="0"/>
                          <a:ext cx="5562600" cy="4152900"/>
                          <a:chOff x="2914651" y="2205889"/>
                          <a:chExt cx="4095750" cy="4148724"/>
                        </a:xfrm>
                      </wpg:grpSpPr>
                      <pic:pic xmlns:pic="http://schemas.openxmlformats.org/drawingml/2006/picture">
                        <pic:nvPicPr>
                          <pic:cNvPr id="293" name="Picture 293" descr="chart978919290.png"/>
                          <pic:cNvPicPr>
                            <a:picLocks noChangeAspect="1"/>
                          </pic:cNvPicPr>
                        </pic:nvPicPr>
                        <pic:blipFill rotWithShape="1">
                          <a:blip r:embed="rId26"/>
                          <a:srcRect r="35090"/>
                          <a:stretch/>
                        </pic:blipFill>
                        <pic:spPr>
                          <a:xfrm>
                            <a:off x="2914651" y="2636780"/>
                            <a:ext cx="4095750" cy="3717833"/>
                          </a:xfrm>
                          <a:prstGeom prst="rect">
                            <a:avLst/>
                          </a:prstGeom>
                        </pic:spPr>
                      </pic:pic>
                      <wps:wsp>
                        <wps:cNvPr id="295" name="TextBox 5"/>
                        <wps:cNvSpPr txBox="1"/>
                        <wps:spPr>
                          <a:xfrm>
                            <a:off x="4466146" y="2205889"/>
                            <a:ext cx="947607" cy="430887"/>
                          </a:xfrm>
                          <a:prstGeom prst="rect">
                            <a:avLst/>
                          </a:prstGeom>
                          <a:solidFill>
                            <a:schemeClr val="bg1">
                              <a:lumMod val="65000"/>
                            </a:schemeClr>
                          </a:solidFill>
                        </wps:spPr>
                        <wps:txbx>
                          <w:txbxContent>
                            <w:p w14:paraId="34B3BEB7" w14:textId="77777777" w:rsidR="00D35C1E" w:rsidRDefault="00D35C1E" w:rsidP="009E1917">
                              <w:pPr>
                                <w:pStyle w:val="NormalWeb"/>
                                <w:spacing w:before="0" w:beforeAutospacing="0" w:after="0" w:afterAutospacing="0"/>
                              </w:pPr>
                              <w:r>
                                <w:rPr>
                                  <w:rFonts w:asciiTheme="majorHAnsi" w:hAnsi="Calibri Light"/>
                                  <w:b/>
                                  <w:bCs/>
                                  <w:color w:val="000000" w:themeColor="text1"/>
                                  <w:kern w:val="24"/>
                                  <w:sz w:val="44"/>
                                  <w:szCs w:val="44"/>
                                </w:rPr>
                                <w:t>Assessors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775F48" id="Group 8" o:spid="_x0000_s1055" style="position:absolute;margin-left:156pt;margin-top:18.6pt;width:438pt;height:327pt;z-index:251688960;mso-width-relative:margin;mso-height-relative:margin" coordorigin="29146,22058" coordsize="40957,41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j9mJQMAADMHAAAOAAAAZHJzL2Uyb0RvYy54bWykVdtu2zAMfR+wfxD8&#10;3vgS39Gk6Nq1GLBLsHbYsyLLtlDb0iQlcf5+lGxnSdNhW/cQR5Ro6vDwkL686tsGbalUjHcLx595&#10;DqId4QXrqoXz7fHuInWQ0rgrcMM7unD2VDlXy7dvLncipwGveVNQiSBIp/KdWDi11iJ3XUVq2mI1&#10;44J2cFhy2WINpqzcQuIdRG8bN/C82N1xWQjJCVUKdm+HQ2dp45clJfpLWSqqUbNwAJu2T2mfa/N0&#10;l5c4ryQWNSMjDPwKFC1mHVx6CHWLNUYbyc5CtYxIrnipZ4S3Li9LRqjNAbLxvWfZ3Eu+ETaXKt9V&#10;4kATUPuMp1eHJZ+3K4lYsXCCLHBQh1sokr0XpYacnahy8LmX4kGs5LhRDZbJty9la/4hE9RbWvcH&#10;WmmvEYHNKIqD2AP2CZyFfhRkYFjiSQ3VMe8FmR/Gke8g8AgCL0rTbPJ4P0YJvSxKokOUME2C0Pi4&#10;EwjXYD1AE4zk8Bs5g9UZZ3/WFrylN5I6Y5D2r2K0WD5txAWUV2DN1qxhem+lCoU0oLrtipGVHIxj&#10;+ucT/XBurkVBBlsFVQT0SmosdZakmZ8BfTPRVSZ3E8+EGAJik/BHTp4U6vhNjbuKXisBLQCNaZk6&#10;dXeNeYJm3TBxx5oGSa6/M10/1FiAHHyrbHM4EgF4nunvBS4Hbd9ysmlpp4dmlbQBTninaiaUg2RO&#10;2zUF7ckPhUWIcyXJV0CM4Ip55GWjTpSWVJPaVNuAnnAOBCgQ5gtSPJFUPI+TdAw2yfJEUPPET9L5&#10;/ERQwKdU+p7yFpkFwARklgu8/aj0oL3JZYQ2gLEoAanpH5hraiIOrDPq/ql1bUUAggl7rJ1o0s4j&#10;ZPeO9ygymYxepnOR7mF7FILZ/w1rYRjH0IrnjTixloVJ7CVjL8+9NE3+hzMoOG9YYURnSmjHPr1p&#10;JNpiGNjrapBes2k/8WLYiyNvmB7Q9wd3OwWOIsEomDI0K92vezvj/GCiZc2LPbCyg8m/cNSPDTZt&#10;LnVzw+2HwoDp+PVG85LZQpswwztwlzGgqHZlJ7O9f/yKmNF/bFuvX9+65U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ei2S4QAAAAsBAAAPAAAAZHJzL2Rvd25yZXYueG1sTI9B&#10;S8NAEIXvgv9hGcGb3WyKNY3ZlFLUUxFsBeltm0yT0OxsyG6T9N87PeltZt7jzfey1WRbMWDvG0ca&#10;1CwCgVS4sqFKw/f+/SkB4YOh0rSOUMMVPazy+7vMpKUb6QuHXagEh5BPjYY6hC6V0hc1WuNnrkNi&#10;7eR6awKvfSXL3owcblsZR9FCWtMQf6hNh5sai/PuYjV8jGZcz9XbsD2fNtfD/vnzZ6tQ68eHaf0K&#10;IuAU/sxww2d0yJnp6C5UetFqmKuYuwQeXmIQN4NKEr4cNSyWKgaZZ/J/h/wXAAD//wMAUEsDBAoA&#10;AAAAAAAAIQCo//wasDMAALAzAAAUAAAAZHJzL21lZGlhL2ltYWdlMS5wbmeJUE5HDQoaCgAAAA1J&#10;SERSAAACUgAAAV4IBgAAAE718ZUAAAAJcEhZcwAAD2EAAA9hAag/p2kAACAASURBVHic7d13QFXl&#10;48fxz70XUEAxzS2iuWem5g5namqOnLlTEUeOVNw5cktqiEruPcrSzMzMykxziyvH1xy59x6MC9zz&#10;+4Oirz+Uvp2AC/l+/SXnnvOcz3k8Vz8898K1GIZhCKleaGioypYt6+wYpt25e1eZMmZ0dgzTUnP+&#10;1JxdIr+zkd95UnN2KfXnl2KvwersEAAAAKkVRQoAAMAkihQAAIBJFCkAAACTKFIAAAAmUaQAAABM&#10;okgBAACYRJECAAAwiSIFAABgkouzAyDxWLa+l2RjG9WDkmxsAABSK1akAAAATKJIAQAAmESRAgAA&#10;MIkiBQAAYBJFCgAAwCSKFAAAgEkUKQAAAJMoUgAAACZRpAAAAEyiSAEAAJhEkQIAADCJIgUAAGAS&#10;RQoAAMAkihQAAIBJFCkAAACTnFqktm7fpQ7+fdTev486+PfR/oOHJUkxMTHatmN3smZ5p8d7On7y&#10;VLKeEwAApG5OK1J3793Xh8EfK2jyGC2bG6xhAX007IPJiomJUVh4hD6Y9FGy5NgbelAOhyNJz3Hs&#10;xEk9ePgoSc8BAACSn4uzTnzv/gOlSeMmr/TpJElFChXQvOBAWSxWjZowRY/DwtSz/1AVK1JIvfw7&#10;adDI8apfu6ZC5i9W4wZ11bZlUy1d9bm2bt8pq9WqYkUKqm8PP9lsNg0aOV41fCtr9dr1unbjpjq1&#10;bamWTRtJkkLmLdGRYydktVqU+cVMioiIVPmypZ/I1mfgCDVv0kBVq1SUJA0aOV6N69dRlYrlnthv&#10;1rzF2rZjjywWqXaNqurSobUk6YetP+uTNV/K09NDLi42PXz4WBNHD3nqNaxYvVY7du+T3R6lksWL&#10;qG8PP0mxBW/xitWSLHJ3T6vRQwcofTrPpPwrAQAAf5PTilReH2+VKlFM7br2Vu0aVVW1SkUVzP+S&#10;JOmDYQFq0rqzQqZNfOKYNeu/VnDgWGXLmkV79h/Q9p17NG/Gh7LZbBo1YYrWfvWNWjR5U5K078Ah&#10;LZg1Tddu3FCrjt3V4q2G+vX0We0/eFgLQ6ZJknr2Hyq/Dm3iZWtYv7a++3GbqlapqLDwcJ06fVaV&#10;ypd9Yp+IiEh5uLvrk0UhcjgcatjqHbVr1Uxubq6aHBSitSvmKZ2npxYsXaUYh0OZMmaMdw37DhzW&#10;yVNn466zz6AR2n/wsArlz6dZ85Zo7vRApUnjpiUrP9PK1WvVrXP7xP1LAAAA/4jTipTFYtGoIf11&#10;9twFbduxW8PHTlaZl0toSP9ezzzm9eq+yp4tqyRpz/5Dqu5bSTabTZJUp2Y1rVm/Ma5IVa7wqqxW&#10;i3JmzyZJioqKkouLTY/DwmWPipJFFj16HCZPT49456n2WiXNmL1Q9qgo/fTzbtWuUVVW65OvgqZN&#10;m0beuXJo0IhxMmTo0aPHCo+IUJo0brJYpIePHiudp6fu3X+gHL9n/v/XsGtvqM6eO68Bw8dIkh4+&#10;fKTw8AgdPXFSt+/c1bAxkyRJYWFhKlWyuKl5BgAAScdpRer4yVOSYahYkULKl9dHbVo0UaO3O8m/&#10;U1u5uro99ZgMXl7/9ZWR4PgutviXlv+lvCpRrLC69x0sd3d3NaxXW4UL5o+3n5urq3wrV9DO3fv1&#10;3Y/b1L+Xf7x9Dv9yXCtWr1XItInycHdX49ad4h7r28NPfQa+r6xZsiivj7eav/XmM6+hQd1aat28&#10;yRNj79i9T0UK5deUcSMTvEYAAOBcTnuz+e3bdzRh6gzdf/BAknTrzl0ZhiEPdw+5uboqIjJCkZF2&#10;xcTEPPX48mVLa+v2XXGPb97ykyqWK5PgOaOjo3Xq9FktDJmmWVPHx61eSZJFFjli/nzTeeMGdbX2&#10;q42KioqSd84c8ca6fPWafLxzycPdXRcuXda16zdlGLHlbsOm7zRvxhTNmjpeA/v2kJur61PzlClV&#10;Ut9s3iK73S7DMDR09ERduHRZRQsX1JGjJ3T1+g1J0rJP1uib735M8NoAAEDyc9qKlG/lCrp+85a6&#10;9R0sq9UqV1dXfTAsQGnTppEkNW7whlp08Ff+fHn10cTR8Y6vWK6MTp46I79eAbLarCpaqKCaNaqf&#10;4DktFovsUVGq06S1XGw2eXp6qHGDumrXqpnKln5ZI8YFalhAH5UrU0qFCuTTrdt31K5V06eOVf21&#10;Svrqm83y7zNQ2bNlU/PGDfT+2EDNmjpePt651KR1Z3m4p5Wbm5vKlCqpIQPiv2T5WqXyOvHraXXq&#10;2V9Wq1UVy5WRj3cuSdL7A/tq0IhxcrHZlClTRo0dPvBvzjAAAEhqFuOPZZTnwJBRE1SzahXVrllV&#10;FotF12/cVHv/vtq8bmW8fR8+eqwuvQZo+bwZz1xReprP1m3Qb+cvql/PrnJ1dZHdbleXXgEaMeg9&#10;FSqQLzEv5wmhoaF69eGyJBvfqB6UZGNL0p27d+PekJ8apeb8qTm7RH5nI7/zpObsUurPL8Veg9NW&#10;pJyhQd1aWv7pWm349ntZLBY5HA4ND+gdb7+pM+Zo/8HDeq+H398qUZJU4dXS2r5zj/oPGy2LxaKY&#10;GIdqVq0S9xOJAADg3+O5KlK+lSvIt3KFv9xvQO9ups/h451LwYFjTR8PAABSDz5rDwAAwCSKFAAA&#10;gEkUKQAAAJMoUgAAACZRpAAAAEyiSAEAAJhEkQIAADCJIgUAAGASRQoAAMAkihQAAIBJFCkAAACT&#10;KFIAAAAmUaQAAABMcnF2ACQeo3qQsyMAAPBcYUUKAADAJIoUAACASRQpAAAAkyhSAAAAJlGkAAAA&#10;TKJIAQAAmESRAgAAMIkiBQAAYBJFCgAAwCSKFAAAgEkUKQAAAJMoUgAAACZRpAAAAEyiSAEAAJhE&#10;kQIAADCJIgUAAGASRQoAAMAkihQAAIBJFCkAAACTXJwdAInnrRHfODsCkCp9MbaesyMASKVYkQIA&#10;ADCJIgUAAGASRQoAAMAkihQAAIBJFCkAAACTKFIAAAAmUaQAAABMokgBAACYRJECAAAwiSIFAABg&#10;EkUKAADAJIoUAACASRQpAAAAkyhSAAAAJlGkAAAATKJI/QPN2/tr5PgPnR0DAAA4CUXKpGMnTsrh&#10;cGj7zj0KCwt/5n6RkXYdOHw0GZMBAIDk4uLsAKnVhk3fq3njBjp45Ki+/2m7GtWrI0kKCw/X6AlT&#10;FREZqYjISGV8IYOKFymsDF7ptGj5amXNklkbNn2nzetW6crVa5oyY47sdrvsdrsC+vRQoQL5FBER&#10;qSkzZuv6jZt6/DhMbzdrrDq1qjn5igEAwP/HipQJUVHR+uGnHXqjdg29+cbr2rDp+7jH1n21SXl8&#10;vBUcOFbTJ4/RwcPH9HbzxpKkfQcOKWeObNrw2VJJ0pjJQXqvh59mThmvPt39NCX4Y0nS4pWr9XLx&#10;oprx4TjNmjZBQSHzFBlpT/4LBQAACWJFyoTtO3erRNFCypTxBVWpWE7jpwTryrXrypk9m1xcbLp3&#10;774k6eGjx3KxWeVii51mm82m5o0bSJIiIiJ17MRJTZ+9QJLkcDiUJk0aSdKuvaFKn85TP+3YLUnK&#10;kMFLj8PClCaNW3JfKgAASABFyoQNm77XiV9Pq1n7rpKk6Ohoff3tD+rasY2aNKwnv14B6v7eELm5&#10;uWrM+wNltVokSS9k8Iobw5AhV1cXTR0/Mt74hmGoT/cuKlQgX/JcEAAAMIWX9v6mO3fv6dh/ftX6&#10;TxZrzbJ5WrNsnkKmTdTXv7+8d/w/v6pE0cKaHTRJwYFj9WrpUk8dxz1tWnnnzKEftv4sSTpy9Lgm&#10;fzRLklT2lZJat2GTpNhVrR79hsjhMJLh6gAAwN/BitTftOn7rapdo6pcXf+cuiKFCsgrfTod+uWY&#10;XsyUURs3b9HW7Tsli0WZX8ykHl06KGuWF+ONNeb9gZo4daZWrF4rWSx6P6CPJMmvQxtNnDZTHbu/&#10;p5iYGL3TtmXcqhYAAEg5LIZhsNSRSAzDUMNW72hucKByZs8mSfph68/a+N2Wp76El5hCQ0M1bt2N&#10;JD0H8G/1xdh6Tjv3nbt3lSljRqed/58iv/Ok5uxS6s8vxV4DK1KJyGKxqFmj+ho9carS/v7G8TRu&#10;burl38nJyQAAQFKgSCWyTu1aqVO7Vs6OAQAAkgFvNgcAADCJIgUAAGASRQoAAMAkihQAAIBJFCkA&#10;AACTKFIAAAAmUaQAAABMokgBAACYRJECAAAwiSIFAABgEkUKAADAJIoUAACASRQpAAAAk1ycHQCJ&#10;54ux9ZwdwbQ7d+8qU8aMzo5hWmrOn5qzS6k/P4DUjRUpAAAAkyhSAAAAJlGkAAAATKJIAQAAmESR&#10;AgAAMIkiBQAAYBJFCgAAwCSKFAAAgEkUKQAAAJMoUgAAACZRpAAAAEyiSAEAAJhEkQIAADCJIgUA&#10;AGASRQoAAMAkihQAAIBJFCkAAACTKFIAAAAmUaQAAABMcnF2ACQe+48WZ0cwLZ0ku7ND/AOJkd+t&#10;hpEYUQAAyYgVKQAAAJMoUgAAACZRpAAAAEyiSAEAAJhEkQIAADCJIgUAAGASRQoAAMAkihQAAIBJ&#10;Ka5INWzZUQuWrnpi24DhY7R9554Ej1u47BON/3C6JOnuvfs69MuxJx4fNHK8tm7flbhhAQDAcy3F&#10;FSlJWvX5Op09d+FvHVOnVjW1eKuhJOnwL8e18rN1SRHNlL2hB+VwOJwdAwAAJLIU+RExPbu+ozGT&#10;p2nhrGmyWp/seleuXtOUGXNkt9tlt9sV0KeHChXIp5279+ni5atq3aKJ5ixaptt37qpn/6Fq0uAN&#10;1alVTZJ04PARLV75qa7fuKVObVuqZdNGkmKLzuIVqyVZ5O6eVqOHDlD6dJ4aNHK86teuqZD5i9W4&#10;QV21bdk0LkdYWLhGTvhQV6/dkMPhUC//TqpSsZwkKWTeEh05dkJWq0WZX8ykiIhIlS9b+qnjrVi9&#10;Vjt275PdHqWSxYuobw+/BDMBAICUI0UWqdcqltMvx05o+adr1aF18yceGzM5SMMG9JZP7lw6evyk&#10;pgR/rLnBH8Y9njN7NnXr1F4bv9uiwDHDnzj27r37WjjrI127cUOtOnZXi7ca6uHDR5o1b4nmTg9U&#10;mjRuWrLyM61cvVbdOreXJK1Z/7WCA8cqW9YsT4x17cZN1armq3q1a+jsuQsaFxikKhXL6eSpM9p/&#10;8LAWhkyTJPXsP1R+HdrEHfff4+07cFgnT51VyLSJkqQ+g0Zo/8HDKpQ/X4KZAABAypAii5Qk9e/V&#10;TR38+6i6b6W4bRERkTp24qSmz14gSXI4HEqTJs3/PGa11yrJarUoZ/ZskqSoqCgdPXFSt+/c1bAx&#10;kyRJYWFhKlWyeNwxr1f3VfZsWeONlSd3Lm39eaf6D/tA0VHRehQWJklycbHpcVi47FFRssiiR4/D&#10;5Onp8dTxdu0N1dlz5zVg+BhJ0sOHjxQeHvGXmQAAQMqQYotU+nSeGtC7m8ZM+kheXuklSYYMubq6&#10;aOr4kabGdLHFv1zDMFSkUH5NGff0MTN4eT11+5KVn+n2nbuaMm6Ebt66rd6DRkiS8r+UVyWKFVb3&#10;voPl7u6uhvVqq3DB/M8Yz1CDurXUunmTJ8besXtfgpkAAEDKkCLfbP6H1yqVl3euHNq974AkyT1t&#10;WnnnzKEftv4sSTpy9LgmfzQr3nFuaVx17949SVJMTEyC5yhauKCOHD2hq9dvSJKWfbJG33z3419m&#10;u3z1mgoVyCer1ao9oQclw5AkRUdH69Tps1oYMk2zpo5XiyZvPnOMMqVK6pvNW2S322UYhoaOnqgL&#10;ly6bzgQAAJJXil2R+sOA3t21Z//BuK/HvD9QE6fO1IrVayWLRe8H9Il3TOmXS2iR8aladPBX7RpV&#10;5d+p3TPHz5TxBb0/sK8GjRgnF5tNmTJl1NjhA/8yV6umjTR64lR9+8NPKvtKSaVPn05zFy1Xlw6t&#10;ZY+KUp0mreVis8nT00ONG9RVu1bN4o3xWqXyOvHraXXq2V9Wq1UVy5WRj3cuSTKVCQAAJC+LYfy+&#10;lIJEMWTUBNWsWkW1a1aVxWLR9Rs31d6/rzavW5mk5w0NDVXJB68m6TmQtNxqOOepeOfuXWXKmNEp&#10;504M5Hcu8jtPas4upf78Uuw1pPgVqdSmQd1aWv7pWm349ntZLBY5HA4ND+jt7FgAACAJUKQSmW/l&#10;CvKtXMHZMQAAQDJI0W82BwAASMkoUgAAACZRpAAAAEyiSP3uh60/a9gHsR/VEnroiFp27ObkRAAA&#10;IKWjSD1F0UIFFdCne6KMFRlp14HDRxNlLAAAkLKkmp/a69JrgGpVfU1fbfpOYeHh+mBYgF75/fPn&#10;lq76XFu375TValWxIgXVt4efbDabBo0cr/q1aypk/mI1blBXbVs2fWLMuYtX6MdtO5TO0/OJDyW+&#10;ev26gkLma+WCWbp7775Gjv9QMTExCgsPV0DvHipRrLDO/HZO4wKnK8bhkM1q1bgRg5UrZ3aFhYdr&#10;9ISpioiMVERkpDK+kEHFixRWmVIl1LpzT3Xp0FqTP5ql4MCxeimPj6bMmK3rN27q8eMwvd2sserU&#10;qiZJWrF6rXbs3ie7PUolixdR3x5+yTfZAADgf5JqVqQuX7kmdw93rVoYoq4d22rh0k8kSXv2H9D2&#10;nXs0b8aHmj9ziu4/eKi1X30Td9ya9V8rOHCs2rR464nxdu0N1c+79mrJ7CDNm/Gh3Fxdn3reDZu+&#10;V+mXSyhk2kQF9O6hoyf+I0m6cvW6+vXy19I501W/bi2t+3qTJGndV5uUx8dbwYFjNX3yGB08fExv&#10;N28sSbp3/4EO/3JcX65apCKFCmjxytV6uXhRzfhwnGZNm6CgkHmKjLRr34HDOnnqrEKmTdT8mVN0&#10;5rfz2n/wcKLPKQAA+GdSzYpUVFS0qr9WSZKU76U8evDooSRpz/5Dqu5bSTabTZJUp2Y1rVm/Me4z&#10;7l6v7qvs2bLGG2/fgcOqXaOq3NzcJEmVKpTVj9t2xNuveJFCGhsYJBcXm8q+8rLebhZbiooWLqiF&#10;yz7R0lWf6fqNWypZrIgkycXFpnv37kuSHj56LBebNe7Dku32KLVq1kgeHu6SYstc+nSe+mnHbklS&#10;hgxeehwWpl17Q3X23HkNGD4mdpyHjxQeHvFPpxAAACSyVFOkJMnF5WlxE/5YjQxeXk/dHhMTI5vV&#10;+sTXT1PmlZKaExyoPfsOKHj2QhUvWlh9unfWyPFT1LRRPb1e3VcbN/+go8dPSpKaNKwnv14B6v7e&#10;ELm5uWrM+wNltVqemscwDPXp3kWFCuSLd00N6tZS6+ZNErw2AADgXKnmpb1nKV+2tLZu3xVXhDZv&#10;+UkVy5X5y+PKlCqh73/6WfaoKBmGoR279z11v8UrVuvc+QtqWK+2Br3XQ0eOHpckXbl6TUUKFZAk&#10;7Q09pD8+svD4f35ViaKFNTtokoIDx+rV0qWemaHsKyW1bkPsS4IPHz1Wj35D5HAYKlOqpL7ZvEV2&#10;u12GYWjo6Im6cOny/z4pAAAgWaSqFamnqViujE6eOiO/XgGy2qwqWqigmjWq/5fHVXutkg4fPaF2&#10;fr2UwctLNXwrx73/6b9VrVJRE6fO0OIVq2W3R6lb5/aSpG6d22vAsDHKkjmTfCtV0OdfbtC2Hbv1&#10;Ul4fbdy8RVu375QsFmV+MZN6dOmgSuXLxhvbr0MbTZw2Ux27v6eYmBi907alrFaLXqtUXid+Pa1O&#10;PfvLarWqYrky8vHO9c8nCwAAJCqL8cdSCv4xwzDUsNU7mhscqJzZs0mK/f1UG7/boqnjRybpuUND&#10;Q1XywatJeg4kLbcaznkqpvZPYCe/c5HfeVJzdin155diryHVr0ilJBaLRc0a1dfoiVOVNk0aSVIa&#10;Nzf18u/k5GQAACApUKQSWad2rdSpXStnxwAAAMkg1b/ZHAAAwFkoUgAAACZRpAAAAEyiSAEAAJhE&#10;kQIAADCJIgUAAGASv/7gX8RZv9AxMaT2X8yW2vMDAMxhRQoAAMAkihQAAIBJFCkAAACTKFIAAAAm&#10;UaQAAABMokgBAACYRJECAAAwiSIFAABgEkUKAADAJIoUAACASRQpAAAAkyhSAAAAJlGkAAAATKJI&#10;AQAAmESRAgAAMIkiBQAAYBJFCgAAwCSKFAAAgEkUKQAAAJNcnB0AiafXngPOjvAP/ebsAH/LzApl&#10;nB0BAOBkrEgBAACYRJECAAAwiSIFAABgEkUKAADAJIoUAACASRQpAAAAkyhSAAAAJlGkAAAATKJI&#10;AQAAmESRAgAAMIkiBQAAYBJFCgAAwCSKFAAAgEkUKQAAAJMoUgAAACa5ODuAszRs2VFWm1U2q01R&#10;UVHyrVJR7/p1lKenh8LCw9W8XVfNCQ5U7lw5nR0VAACkUM/1itTMKeO1dsV8fbZ0rqKjo9V70AgZ&#10;hiEPd3cNHdBbObJlTZTz7A09KIfDkShjAQCAlOO5XZH6b2nTptHg93qqWbuu2nfgsMqXfUWjJ07T&#10;ulUL5elh0+SgWfrt/AVFRESqacN6avLmGwoLC9fICR/q6rUbcjgc6uXfSVUqlpMkhcxboiPHTshq&#10;tSjzi5kUERGp8mVLa9DI8apfu6ZC5i9W4wZ11bZlU61YvVY7du+T3R6lksWLqG8PP0l65nYAAJBy&#10;UKR+Z7PZVKJYEZ06c1bly74St/0/p07r4qUrmjs9UGHh4QoKma8mb76hazduqlY1X9WrXUNnz13Q&#10;uMAgValYTidPndH+g4e1MGSaJKln/6Hy69Ambrw1679WcOBYZcuaRfsOHNbJU2cVMm2iJKnPoBHa&#10;f/CwDENP3f5q6VLJOCMAAOCvUKT+i8NwyCLLE9ty5cimq9euK3j2ApUr84oG9ukhScqTO5e2/rxT&#10;/Yd9oOioaD0KC5MkubjY9DgsXPaoKFlk0aPHYfL09Igb7/Xqvsr++0uGu/aG6uy58xowfIwk6eHD&#10;RwoPj9DBI8eeuh0AAKQsFKnfxcTE6Ojxk2rWqP4T2zN4eWnFgpnau/+QvtuyTXMWLdPij4O0ZOVn&#10;un3nrqaMG6Gbt26r96ARkqT8L+VViWKF1b3vYLm7u6thvdoqXDD/E+P9yVCDurXUunmTJ8558MjR&#10;p24HAAApy3P9ZvM/REREanJQiLJnzawypUo+8diuvaFa8+VGVfetpPcH9dW16zcVFRWty1evqVCB&#10;fLJardoTelAyDElSdHS0Tp0+q4Uh0zRr6ni1aPLmM89bplRJfbN5i+x2uwzD0NDRE3Xh0uVnbgcA&#10;ACnLc70i1StguGxWm+xRUapWpaKCJo2RxfLkS3ulShTTuq83qWvvgXIYDnVs00Kuri5q1bSRRk+c&#10;qm9/+EllXymp9OnTae6i5erSobXsUVGq06S1XGw2eXp6qHGDumrXqlm8879WqbxO/HpanXr2l9Vq&#10;VcVyZeTjnUs+3rmeuh0AAKQsFsP4fSkFiWLIqAmqWbWKatesKovFous3bqq9f19tXrcySc8bGhqq&#10;RdGWv94RiWZmhTJxf75z964yZczoxDTmpebsEvmdjfzOk5qzS6k/vxR7Dc/1ilRSaFC3lpZ/ulYb&#10;vv1eFotFDodDwwN6OzsWAABIAhSpROZbuYJ8K1dwdgwAAJAMeLM5AACASRQpAAAAkyhSAAAAJlGk&#10;AAAATKJIAQAAmESRAgAAMIkiBQAAYBJFCgAAwCSKFAAAgEkUKQAAAJMoUgAAACZRpAAAAEyiSAEA&#10;AJjk4uwASDwzK5RxdgTT7ty9q0wZMzo7BgAAfwsrUgAAACZRpAAAAEyiSAEAAJhEkQIAADCJIgUA&#10;AGASRQoAAMAkihQAAIBJFCkAAACTKFIAAAAmUaQAAABMokgBAACYRJECAAAwiSIFAABgEkUKAADA&#10;JIoUAACASRQpAAAAkyhSAAAAJlGkAAAATKJIAQAAmOTi7ABIRFOaODvBswWsc3YCAAASHStSAAAA&#10;JlGkAAAATKJIAQAAmESRAgAAMIkiBQAAYBJFCgAAwCSKFAAAgEkUKQAAAJOe6yK1dfsudfDvo/b+&#10;fdTBv4/2HzwsSYqJidG2HbuTNcs7Pd7T8ZOnkvWcAADgn3lui9Tde/f1YfDHCpo8RsvmBmtYQB8N&#10;+2CyYmJiFBYeoQ8mfZQsOfaGHpTD4UiWcwEAgMT13H5EzL37D5QmjZu80qeTJBUpVEDzggNlsVg1&#10;asIUPQ4LU8/+Q1WsSCH18u+kQSPHq37tmgqZv1iNG9RV25ZNtXTV59q6faesVquKFSmovj38ZLPZ&#10;NGjkeNXwrazVa9fr2o2b6tS2pVo2bSRJCpm3REeOnZDValHmFzMpIiJS5cuWfiJbn4Ej1LxJA1Wt&#10;UlGSNGjkeDWuX0dVKpZL3kkCAAAJem5XpPL6eKtUiWJq17W3FixdpVNnflMeH29ZrRZ9MCxAnh4e&#10;Cpk2Ub38O8Uds2b91woOHKs2Ld7Snv0HtH3nHs2b8aHmz5yi+w8eau1X38Ttu+/AIS2YNU0LZk3V&#10;jDmLZBiGTp46o/0HD2t20CSFTJuoW7fv6O1mjeNla1i/tr77cZskKSw8XKdOn1Wl8mWTflIAAMDf&#10;8twWKYvFolFD+mvCqKGy2WwaPnayJk2bmeAxr1f3VfZsWWWxWLRn/yFV960km80mSapTs5p27Q2N&#10;27dyhVdltVqUM3s2SVJUVJRcXGx6HBYue1SUoqKi9ehxmDw9PeKdp9prlXT4l+OyR0Xpp593q3aN&#10;qrJan9u/KgAAUqzn9qW94ydPSYahYkUKKV9eH7Vp0USN3u4k/05t5erq9tRjMnh5/ddXRoLju9ji&#10;T23+l/KqRLHC6t53sNzd3dWwXm0VLpg/3n5urq7yrVxBO3fv13c/blP/Xv5/59IAAEAyeW6XOW7f&#10;vqMJU2fo/oMHkqRbd+7KMAx5uHvIzdVVEZERioy0KyYm5qnHly9bWlu374p7fPOWn1SxXJkEzxkd&#10;Ha1Tp89qYcg0zZo6Xi2avBn3mEUWOWL+fNN54wZ1tfarjYqKipJ3zhz/9HIBAEASeG5XpHwrV9D1&#10;m7fUre9gWa1Wubq66oNhAUqbNo0kqXGDN9Sig7/y58urOe8l8wAAE1ZJREFUjyaOjnd8xXJldPLU&#10;Gfn1CpDVZlXRQgXVrFH9BM9psVhkj4pSnSat5WKzydPTQ40b1FW7Vs1UtvTLGjEuUMMC+qhcmVIq&#10;VCCfbt2+o3atmibF5QMAgERgMQwj4deokGiGjJqgmlWrqHbNqrJYLLp+46ba+/fV5nUr4+378NFj&#10;dek1QMvnzZCbq+tfjh0aGqqyP45NitiJI2Bdgg/fuXtXmTJmTKYwiS8150/N2SXyOxv5nSc1Z5dS&#10;f34p9hqe2xUpZ2hQt5aWf7pWG779XhaLRQ6HQ8MDesfbb+qMOdp/8LDe6+H3P5UoAADgHBSpZORb&#10;uYJ8K1f4y/0G9O6WDGkAAMA/9dy+2RwAAOCfokgBAACYRJECAAAwiSL1u3v3H6hOkzaSpNBDR9Sy&#10;I+9TAgAACaNIPUXRQgUV0Kd7oowVGWnXgcNHE2UsAACQsjzXP7W3bcduzV64TO7uaVUw30tx269e&#10;v66gkPlauWCWHA5Dk4Nm6bfzFxQREammDeupyZtv6Mxv5zQucLpiHA7ZrFaNGzFYuXJmV1h4uEZP&#10;mKqIyEhFREYq4wsZVLxIYZUpVUKtO/dUlw6tNfmjWQoOHKuX8vhoyozZun7jph4/DtPbzRqrTq1q&#10;kqQVq9dqx+59stujVLJ4EfXt4eesaQIAAM/w3Bap+w8eaPyUYC2ZHaTs2bLq629/0JZtO+Pt959T&#10;p3Xx0hXNnR6osPBwBYXMV5M339CVq9fVr5e/Xi5eVJ+t26B1X2/Su13f0bqvNimPj7fe7fqOwiMi&#10;1Pjtzhr7/iBJsS8fHv7luL5ctUju7mk1Z9FyvVy8qBoN7KvwiAg1a+unaq9V0pFjJ3Ty1FmFTJso&#10;SeozaIT2HzysV0uXStY5AgAACXtui9SxE7+qaOGCyp4tqySpUvmymv7xgnj75cqRTVevXVfw7AUq&#10;V+YVDezTQ5JUtHBBLVz2iZau+kzXb9xSyWJFJEkuLjbdu3dfUuxvJ3exWeM+wNhuj1KrZo3k4eEu&#10;Sdq1N1Tp03nqpx27JUkZMnjpcViYdu0N1dlz5zVg+JjYcR4+Unh4RBLOBgAAMOO5LVLRMTGyWv98&#10;i9izPpw4g5eXViyYqb37D+m7Lds0Z9EyLf44SCPHT1HTRvX0enVfbdz8g44ePylJatKwnvx6Baj7&#10;e0Pk5uaqMe8PlNVqeWK8PxiGoT7du6hQgXz/76yGGtStpdbNmyTeBQMAgET33L7ZvHiRQjp24qRu&#10;3LotSdq+c88ThecPu/aGas2XG1Xdt5LeH9RX167fVFRUtK5cvaYihQpIkvaGHtIfH1l4/D+/qkTR&#10;wpodNEnBgWMTfDmu7CsltW7DJkmxq1c9+g2Rw2GoTKmS+mbzFtntdhmGoaGjJ+rCpcuJPQUAAOAf&#10;em5XpF7MlFEBfbqr14BhSufpqeq+lZ9YLfpDqRLFtO7rTerae6AchkMd27SQq6uLunVurwHDxihL&#10;5kzyrVRBn3+5Qdt27NZLeX20cfMWbd2+U7JYlPnFTOrRpYMqlS8bb2y/Dm00cdpMdez+nmJiYvRO&#10;25ayWi16rVJ5nfj1tDr17C+r1aqK5crIxztXckwLAAD4GyzGH0sp+McMw1DDVu9obnCgcmbPJkn6&#10;YevP2vjdFk0dPzJJzx0aGqqyP45N0nP8IwHrEnw4tX8KeGrOn5qzS+R3NvI7T2rOLqX+/FLsNTy3&#10;K1JJwWKxqFmj+ho9carSpkkjSUrj5qZe/p2cnAwAACQFilQi69SulTq1a+XsGAAAIBk8t282BwAA&#10;+KcoUgAAACZRpAAAAEyiSAEAAJhEkQIAADCJIgUAAGASv/7g3+QvfuklAABIXKxIAQAAmESRAgAA&#10;MIkiBQAAYBJFCgAAwCSKFAAAgEkUKQAAAJMoUgAAACZRpAAAAEyiSAEAAJhkMQzDcHYIJI7Q0FBn&#10;RwAA4LlRtmxZihQAAIBZvLQHAABgEkUKAADAJIoUAACASRQpAAAAkyhSAAAAJlGkAAAATKJIAQAA&#10;mESRAgAAMIkiBQAAYBJFCgAAwCSKFAAAgEkUKQAAAJNcnB0Aiev6jZsaPXGqrly7Lve0aTW437sq&#10;/XIJRUdHa/jYyXrw4KHq16mlhvVqS5JWr10ve1SU2rVqliR5fjt/Udt27NbOPfvl17GNypUpJUn6&#10;dM16rfz8CxkOQ5UqvKqBfbrLxcVFO/fs1+KVq+WeNq3GjxysdJ6estvt8usVoDnBgXJPmzZJcj7L&#10;gqWr9OP2nTIMQ2VKlVS/d/1ltVqeOc+SNHfxCv1y7IRy5ciuIf17SZJOnflNHy9YqmkTRiVb9nlL&#10;VurHbTtks9mUNUtmjR46QOnTeSoqKlqBQbO0Z/9BWawWtX+7uZo3biBJKW7+JemzdRs0a+5ibd34&#10;edy20ENHFBj0sSIiI+SdM6dGD+2vLJlfdNp9/jT9h47W6bPnZLXGfr/aoXVzNW1UX1LquP8fPX6s&#10;iVNn6j+nTstmtapl00Zx90lKn//AoBBt2bZDadOkkSTZ7XZlzPiCVsyfmeD9n1Keuz9s/VkrVq+V&#10;q6uroqKj1aNLh7h/O1P63EvSxs1btPzTNZKkrFkya3hAH2XJ/GKS5/+7/98k9NiVa9c1dvJHinE4&#10;FNC7uwoVyCdJGjxqvDq2aalihQv+eWID/yo9+g0xvv72B8MwDOPkqTNG/ebtjbDwcGPr9p3GtJlz&#10;jejoaOOttl0MwzCMsPBwo33X3kZkZGSS5Zm9YKmxYNkqo61fL2PHnn2GYRjGwSNHjdadexqPH4cZ&#10;DofDGDEu0Fi8YrVhGIbRrmtv48HDR8bKz74wPvn8S8MwDGPJys+MT9euT7KMz7Jn/wGj+3uDjZiY&#10;GCMmxmH0GzLK+Prb7w3DePY837t/3+jQra9hGIYxYPgHxqkzvxmGYRj9hoyK+3NyOHbipDF45Hgj&#10;JibGMAzD+HD6x8aCpasMwzCM+UtWGmMDgwyHw2E8ePjIaNGxm3Hk2AnDMFLW/BuGYZw7f9Ho2L2v&#10;Ua1es7htjx+HGQ1adDDO/HbeMAzD+OKrb4zeAe8bhmE47T5/Gv8+g4y79+7H255a7v/3x042lq76&#10;3DAMw3jw8JHRrmtv4/79B6li/id/NMvYtmN33NeLV6w25ixabhjGs+//lPLctdujjFoNWxr3Hzw0&#10;DMMwLl6+YtRr2tYwjNRx7589d8Fo2s7PuH//gWEYhrFl2w6jV8DwZMn/d/+/SeixqTNmGz/t2G2c&#10;PHXGGPj+WMMw/vx39f/jpb1/kUtXrury1WuqX6emJKlQgXwqU6qEtvy0Q9dv3FS2rFlks9mUxs1N&#10;4RERWvHpWjVv8qbc3NySLFO3zu3Vud3byvhChrhta9dvVNuWTeXh4S6LxaKu77TVmvUbJUkPHz5S&#10;+nSeyp4tq67duKFHjx/r+63b1bRhvSTL+CznL15W8aKFZbVaZbVaVOaVkjp77kKC83zr9h1lfjGT&#10;JCl71qy6dv2GDh45qnTp0qlAvrzJlr1YkUKa9MEwWa1WORwO3bv/IO47wjXrN8qvQ2tZLBalT+ep&#10;Ns2b6Iv130hKWfMfHR2tMYEfaUi/Xk9s/+7HbSpf5hXly+sjSWrcoK7OnDuvq9dvOO0+f5qw8HB5&#10;uMdfQUoN9//tO3d17MSvateqqSQpfTpPLZsbLC+v9Kli/t9u3lgvlygqSTIMQ19u/FaN69eR9Oz7&#10;P6U8d202mzzc3XXn7l1J0s1bt5Ux4wuSUse9f+r0WZV+uYS8vNJLkqpVqai9oYd05+69JM//d/+/&#10;SeixazduKXvWLLHPxes3JEkh85eop1/HeOelSP2LXLh0WXm8vZ/Yltcnt85fvKS8eXLrt3PnFRYe&#10;rhiHQ5GRdv28e6/efON15+TM/WdO75w5dOvWbUVFRSvzi5l04+YtnTl7Ti/l8dGSlZ+pTYsmccuw&#10;ycm3UnlVf61y3NdHj59U0UIFE5znHNmy6dr1G3I4DJ09d155fLw1Z+Fyde/SPrnjS5Kmfzxfdd9q&#10;I0l6843XFRlp1/0HD5Q9W9Y/s+fJrfOXLklSipr/OYuWq4Zv5bh/dP9w4dJl5fH5c/4tFovy5M6l&#10;i5cup6j7PCw8XGMDg9Smy7saMS5QDx48/DN/Cr//fzt/QUUK5dfshcvUpsu76tyzv/aGHvwzfwqf&#10;fx/vXMrg5SVJ2rP/oHy8cylb1iwJ3v8p5blrtVo0YnA/dfDvqzdbdlTA8LEaPXSApNQx94UL5tfe&#10;0ENx5WPdhk16IYOXrl677pT8CT3fEnosr4+3zp47rzO/nVPePD7ave+AcmTLKp/cueKdgyL1nChX&#10;5hV5enpq2AeTNKCXvxYu/0Qd27TUhUuXNWD4GA18f6wuX7nm7Jga0LubJk6bqes3burVMqUUeugX&#10;1a1VXXMXr9B7Q0Zp6arPki1L9mxZVaJYYUnS9p17dOPmLdWsViXBYzw83NW6eRP1GzpKlSu8qt/O&#10;XVCBfHn1QgYvjZ44VX0Hj9TOvfuTI74kqW8PP337xSplyZxJ8xav+Mv9U8r8H/rlmI4cPaE2LZr+&#10;reNS0n3u16GNenfvopULZil3rpz6KGTeXx6TUub/8eMwHTh8VMWLFtbKBbM0pH8vjZowVfcfPEjw&#10;uJQ0/39Y8+XXeuvNN/5yv5Ty3L17774mfTRTS+ZM14bVSzRtwigNHzNJdrs9weNSytzn8fFW726d&#10;NHDEOLX376OIiEjlzpVTnp4eqSL/H9q2fEvbdu7RytVfqHvndpq/ZKW6dmqnrdt3qe/gkRobGBT3&#10;d0KR+hfx8c6lcxcvPbHt3IWLypPbWxaLRe/19FPQpA+UJ7e3/nPylGr4VlbI/KV6p21LtWzaSHMW&#10;LUu+nBcuxn196cpVZc78olxdXVS0cEF9NHG0hg/sqyUrP5Nfh9Y6e+68fjl2QkGTPtDPu/bq4uUr&#10;yZLzD1t++lnzlqzUlPEjZLFYEpxnKXblZ/rkMWrToqkWLf9UXTq01oZvvlNen9yaOGqops6Yk+SZ&#10;fz19VhcuXZYU+x1uvdo1tSf0oNKkcVMGLy9d/f27RUk6d/5i3ApbSpn/Ldt2KCw8XN37Dda7A4Yr&#10;LDxc/n0HafGK1fHuH8MwdP7iZeX2zpVi7vPwiAhVqVhOWX9/ObV+3Vo69p9fJaWO+z97tqwyDENV&#10;K1eQFPvydYF8efXb+YupYv7/cOv2HZ349bR8f7+Ov7r/U8Jz98ChX1QgX169lCe3JKlUyWLy9PDQ&#10;ydNnU83c165RVcvmBmvZ3GA1bVRfl69eU87s2ZySP6HnW0KPZfDy0oSRQ/ThuBE6euJXvVyimLJm&#10;flFBIfMUOOZ9Zcn8or757kdJFKl/Fe+cOeSdM7s2bt4iKfanTQ4cPhpvFWXOouXq1jl2uToiIkIZ&#10;0qdXBq/0ioiITJacTRvV18rPvlBYWLgMw9C8xSvV7PefZvrDxctXdPHSFVWu8KoiIiLllT729XYv&#10;r/SKjEz4O7PE4nAYmrtoub7d8pNmfzRJmTJmlPS/z/PGzT+oUvmyyvhCBkVERsrLK73c3dPKEeNI&#10;8uy/HDuhGbMXKiYmRlLsilrxorGra80a1deCpatkGIYePnqslZ+v01uNnnwPjrPnv/+7/lo2N1hz&#10;pwdq1tTx8nB319zpgXqnbUvVrlFV+w4c1tlzFyRJX379rfLnzaMc//VyjeTc+3zdhk2aEvyxHI7Y&#10;v+ufd+1ViSKx858a7v/CBfPrxUwZdeTYCUmxPw382/mLyuuTO1XM/x/Wbdik+nVqxv3kpPS/3f/O&#10;fO6+lNdHJ06e1oOHjyTFzv3V6zeUO1fOVDH3Fy5eVtfeA2WPipJhGJo1b7Hq1a4pNzc3p+RP6Pn2&#10;vzwXY2JitGL1Wr3TtqUMw5DFYvm9kP+Zh19/8C8zakh/jZ44VXMWLVPaNGk1bsSgJ35k+uy5C7pz&#10;957KvvKyJOmdtq00ffYCGYahzu3eTpaMr5Qsrkb16+jtzj1lOByqVOFVtW351hP7fLxgqXr4dZAU&#10;+8ZpNzdXjQ0MUqYXXki2N36u/mK95i1ZqexZs6jVO90lSd65cujjjyb95Tzbo6K0eu16zQ6aLElq&#10;UPd1TZg6Q/sPHlb71s2TPPtbDevr6vUbau/fR66ursrr463B/d6VJHVo3UKTg2ap8dudJItF7d9u&#10;ppLFijxxfEqY/2fx8HDXB8MGaMjoCYqIiJR3zhwaPWzAE/s4+z5v1bSRZsxZqHZde8vNzVU5c2SP&#10;e9N8arn/J44aqvFTpuvBw0eyWq0a0u9dvZAh9n1HKX3+pdhvhNZv3KzZ0yc/sf2v7n9nP3fz5fVR&#10;987t1CtguFxdXeSIcWjk4H6pZu59cudS+VdLq03ndxUVHaUKr5ZR7+6dJTnnuZvQ8+1/eS6u27BJ&#10;NXwryyt9OklSi7caasS4QIVHRGjkoH6SJIthGMbfTgYAAABe2gMAADCLIgUAAGASRQoAAMAkihQA&#10;AIBJFCkAAACTKFIAAAAmUaQAAABMokgBAACYRJECAAAwiSIFAABgEkUKAADAJIoUAACASRQpAAAA&#10;kyhSAAAAJlGkAAAATKJIAQAAmESRAgAAMIkiBQAAYBJFCgAAwCSKFAAAgEkUKQAAAJMoUgAAACZR&#10;pAAAAEyiSAEAAJhEkQIAADCJIgUAAGASRQoAAMCk/wPnDSCe0vAalAAAAABJRU5ErkJgglBLAQIt&#10;ABQABgAIAAAAIQCxgme2CgEAABMCAAATAAAAAAAAAAAAAAAAAAAAAABbQ29udGVudF9UeXBlc10u&#10;eG1sUEsBAi0AFAAGAAgAAAAhADj9If/WAAAAlAEAAAsAAAAAAAAAAAAAAAAAOwEAAF9yZWxzLy5y&#10;ZWxzUEsBAi0AFAAGAAgAAAAhAEL2P2YlAwAAMwcAAA4AAAAAAAAAAAAAAAAAOgIAAGRycy9lMm9E&#10;b2MueG1sUEsBAi0AFAAGAAgAAAAhAKomDr68AAAAIQEAABkAAAAAAAAAAAAAAAAAiwUAAGRycy9f&#10;cmVscy9lMm9Eb2MueG1sLnJlbHNQSwECLQAUAAYACAAAACEAE3otkuEAAAALAQAADwAAAAAAAAAA&#10;AAAAAAB+BgAAZHJzL2Rvd25yZXYueG1sUEsBAi0ACgAAAAAAAAAhAKj//BqwMwAAsDMAABQAAAAA&#10;AAAAAAAAAAAAjAcAAGRycy9tZWRpYS9pbWFnZTEucG5nUEsFBgAAAAAGAAYAfAEAAG47AAAAAA==&#10;">
                <v:shape id="Picture 293" o:spid="_x0000_s1056" type="#_x0000_t75" alt="chart978919290.png" style="position:absolute;left:29146;top:26367;width:40958;height:37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ZmvgAAANwAAAAPAAAAZHJzL2Rvd25yZXYueG1sRI/NCsIw&#10;EITvgu8QVvCmqQqi1SgiCL2J9ee8NGtbbDalibW+vREEj8PMfMOst52pREuNKy0rmIwjEMSZ1SXn&#10;Ci7nw2gBwnlkjZVlUvAmB9tNv7fGWNsXn6hNfS4ChF2MCgrv61hKlxVk0I1tTRy8u20M+iCbXOoG&#10;XwFuKjmNork0WHJYKLCmfUHZI30aBdf0VrfP6/F8Ob0zHRlrkZJEqeGg261AeOr8P/xrJ1rBdDmD&#10;75lwBOTmAwAA//8DAFBLAQItABQABgAIAAAAIQDb4fbL7gAAAIUBAAATAAAAAAAAAAAAAAAAAAAA&#10;AABbQ29udGVudF9UeXBlc10ueG1sUEsBAi0AFAAGAAgAAAAhAFr0LFu/AAAAFQEAAAsAAAAAAAAA&#10;AAAAAAAAHwEAAF9yZWxzLy5yZWxzUEsBAi0AFAAGAAgAAAAhADtB1ma+AAAA3AAAAA8AAAAAAAAA&#10;AAAAAAAABwIAAGRycy9kb3ducmV2LnhtbFBLBQYAAAAAAwADALcAAADyAgAAAAA=&#10;">
                  <v:imagedata r:id="rId27" o:title="chart978919290" cropright="22997f"/>
                  <v:path arrowok="t"/>
                </v:shape>
                <v:shape id="TextBox 5" o:spid="_x0000_s1057" type="#_x0000_t202" style="position:absolute;left:44661;top:22058;width:9476;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LdxAAAANwAAAAPAAAAZHJzL2Rvd25yZXYueG1sRI9Ba8JA&#10;FITvQv/D8gredLeBahOzSqkULL3Y1N4f2WcSkn2bZleN/75bEDwOM/MNk29G24kzDb5xrOFprkAQ&#10;l840XGk4fL/PXkD4gGywc0waruRhs36Y5JgZd+EvOhehEhHCPkMNdQh9JqUva7Lo564njt7RDRZD&#10;lEMlzYCXCLedTJRaSIsNx4Uae3qrqWyLk9UQuGjTz31xSNTH1S1R4Xbx86v19HF8XYEINIZ7+Nbe&#10;GQ1J+gz/Z+IRkOs/AAAA//8DAFBLAQItABQABgAIAAAAIQDb4fbL7gAAAIUBAAATAAAAAAAAAAAA&#10;AAAAAAAAAABbQ29udGVudF9UeXBlc10ueG1sUEsBAi0AFAAGAAgAAAAhAFr0LFu/AAAAFQEAAAsA&#10;AAAAAAAAAAAAAAAAHwEAAF9yZWxzLy5yZWxzUEsBAi0AFAAGAAgAAAAhACTJst3EAAAA3AAAAA8A&#10;AAAAAAAAAAAAAAAABwIAAGRycy9kb3ducmV2LnhtbFBLBQYAAAAAAwADALcAAAD4AgAAAAA=&#10;" fillcolor="#a5a5a5 [2092]" stroked="f">
                  <v:textbox>
                    <w:txbxContent>
                      <w:p w14:paraId="34B3BEB7" w14:textId="77777777" w:rsidR="00D35C1E" w:rsidRDefault="00D35C1E" w:rsidP="009E1917">
                        <w:pPr>
                          <w:pStyle w:val="NormalWeb"/>
                          <w:spacing w:before="0" w:beforeAutospacing="0" w:after="0" w:afterAutospacing="0"/>
                        </w:pPr>
                        <w:r>
                          <w:rPr>
                            <w:rFonts w:asciiTheme="majorHAnsi" w:hAnsi="Calibri Light"/>
                            <w:b/>
                            <w:bCs/>
                            <w:color w:val="000000" w:themeColor="text1"/>
                            <w:kern w:val="24"/>
                            <w:sz w:val="44"/>
                            <w:szCs w:val="44"/>
                          </w:rPr>
                          <w:t>Assessors</w:t>
                        </w:r>
                      </w:p>
                    </w:txbxContent>
                  </v:textbox>
                </v:shape>
              </v:group>
            </w:pict>
          </mc:Fallback>
        </mc:AlternateContent>
      </w:r>
      <w:proofErr w:type="gramStart"/>
      <w:r w:rsidR="00863DF5" w:rsidRPr="006F3B00">
        <w:rPr>
          <w:rFonts w:ascii="Times New Roman" w:hAnsi="Times New Roman" w:cs="Times New Roman"/>
          <w:sz w:val="24"/>
          <w:szCs w:val="24"/>
        </w:rPr>
        <w:t>statement</w:t>
      </w:r>
      <w:proofErr w:type="gramEnd"/>
      <w:r w:rsidR="00863DF5" w:rsidRPr="006F3B00">
        <w:rPr>
          <w:rFonts w:ascii="Times New Roman" w:hAnsi="Times New Roman" w:cs="Times New Roman"/>
          <w:sz w:val="24"/>
          <w:szCs w:val="24"/>
        </w:rPr>
        <w:t>.</w:t>
      </w:r>
    </w:p>
    <w:p w14:paraId="69E647B6" w14:textId="22350104" w:rsidR="009E1917" w:rsidRDefault="009E1917" w:rsidP="00863DF5">
      <w:pPr>
        <w:spacing w:after="120" w:line="480" w:lineRule="auto"/>
        <w:rPr>
          <w:rFonts w:ascii="Times New Roman" w:hAnsi="Times New Roman" w:cs="Times New Roman"/>
          <w:sz w:val="24"/>
          <w:szCs w:val="24"/>
        </w:rPr>
      </w:pPr>
    </w:p>
    <w:p w14:paraId="6B6C7AF2" w14:textId="6A678CCB" w:rsidR="009E1917" w:rsidRDefault="009E1917" w:rsidP="00863DF5">
      <w:pPr>
        <w:spacing w:after="120" w:line="480" w:lineRule="auto"/>
        <w:rPr>
          <w:rFonts w:ascii="Times New Roman" w:hAnsi="Times New Roman" w:cs="Times New Roman"/>
          <w:sz w:val="24"/>
          <w:szCs w:val="24"/>
        </w:rPr>
      </w:pPr>
    </w:p>
    <w:p w14:paraId="2191282E" w14:textId="196D14C2" w:rsidR="009E1917" w:rsidRDefault="009E1917" w:rsidP="00863DF5">
      <w:pPr>
        <w:spacing w:after="120" w:line="480" w:lineRule="auto"/>
        <w:rPr>
          <w:rFonts w:ascii="Times New Roman" w:hAnsi="Times New Roman" w:cs="Times New Roman"/>
          <w:sz w:val="24"/>
          <w:szCs w:val="24"/>
        </w:rPr>
      </w:pPr>
    </w:p>
    <w:p w14:paraId="08C222E8" w14:textId="79822643" w:rsidR="009E1917" w:rsidRDefault="009E1917" w:rsidP="00863DF5">
      <w:pPr>
        <w:spacing w:after="120" w:line="480" w:lineRule="auto"/>
        <w:rPr>
          <w:rFonts w:ascii="Times New Roman" w:hAnsi="Times New Roman" w:cs="Times New Roman"/>
          <w:sz w:val="24"/>
          <w:szCs w:val="24"/>
        </w:rPr>
      </w:pPr>
    </w:p>
    <w:p w14:paraId="1102E2E3" w14:textId="26B76F3B" w:rsidR="009E1917" w:rsidRDefault="009E1917" w:rsidP="00863DF5">
      <w:pPr>
        <w:spacing w:after="120" w:line="480" w:lineRule="auto"/>
        <w:rPr>
          <w:rFonts w:ascii="Times New Roman" w:hAnsi="Times New Roman" w:cs="Times New Roman"/>
          <w:sz w:val="24"/>
          <w:szCs w:val="24"/>
        </w:rPr>
      </w:pPr>
    </w:p>
    <w:p w14:paraId="6632FCB4" w14:textId="1728EE6D" w:rsidR="009E1917" w:rsidRDefault="009E1917" w:rsidP="00863DF5">
      <w:pPr>
        <w:spacing w:after="120" w:line="480" w:lineRule="auto"/>
        <w:rPr>
          <w:rFonts w:ascii="Times New Roman" w:hAnsi="Times New Roman" w:cs="Times New Roman"/>
          <w:sz w:val="24"/>
          <w:szCs w:val="24"/>
        </w:rPr>
      </w:pPr>
    </w:p>
    <w:p w14:paraId="184F9195" w14:textId="77777777" w:rsidR="009E1917" w:rsidRPr="00C5196A" w:rsidRDefault="009E1917" w:rsidP="00863DF5">
      <w:pPr>
        <w:spacing w:after="120" w:line="480" w:lineRule="auto"/>
        <w:rPr>
          <w:rFonts w:ascii="Times New Roman" w:hAnsi="Times New Roman" w:cs="Times New Roman"/>
          <w:b/>
          <w:sz w:val="24"/>
          <w:szCs w:val="24"/>
        </w:rPr>
      </w:pPr>
    </w:p>
    <w:p w14:paraId="7424073C" w14:textId="7924E3B3" w:rsidR="00F66954" w:rsidRDefault="00F66954" w:rsidP="00863DF5">
      <w:pPr>
        <w:spacing w:after="120" w:line="480" w:lineRule="auto"/>
        <w:rPr>
          <w:rFonts w:ascii="Times New Roman" w:hAnsi="Times New Roman" w:cs="Times New Roman"/>
          <w:sz w:val="24"/>
          <w:szCs w:val="24"/>
        </w:rPr>
      </w:pPr>
    </w:p>
    <w:p w14:paraId="42A9DE83" w14:textId="51B84F7C" w:rsidR="009E1917" w:rsidRDefault="009E1917" w:rsidP="00863DF5">
      <w:pPr>
        <w:spacing w:after="120" w:line="480" w:lineRule="auto"/>
        <w:rPr>
          <w:rFonts w:ascii="Times New Roman" w:hAnsi="Times New Roman" w:cs="Times New Roman"/>
          <w:sz w:val="24"/>
          <w:szCs w:val="24"/>
        </w:rPr>
      </w:pPr>
    </w:p>
    <w:p w14:paraId="6088EB04" w14:textId="13381A1A" w:rsidR="00690489" w:rsidRDefault="00690489" w:rsidP="00AA1495">
      <w:pPr>
        <w:spacing w:after="0" w:line="480" w:lineRule="auto"/>
        <w:rPr>
          <w:rFonts w:ascii="Times New Roman" w:hAnsi="Times New Roman" w:cs="Times New Roman"/>
          <w:b/>
          <w:sz w:val="24"/>
          <w:szCs w:val="24"/>
        </w:rPr>
      </w:pPr>
    </w:p>
    <w:p w14:paraId="13F279B8" w14:textId="5AFF8DF3" w:rsidR="00AA1495" w:rsidRDefault="00F66954" w:rsidP="00AA149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A50523">
        <w:rPr>
          <w:rFonts w:ascii="Times New Roman" w:hAnsi="Times New Roman" w:cs="Times New Roman"/>
          <w:b/>
          <w:sz w:val="24"/>
          <w:szCs w:val="24"/>
        </w:rPr>
        <w:t>3.</w:t>
      </w:r>
      <w:r>
        <w:rPr>
          <w:rFonts w:ascii="Times New Roman" w:hAnsi="Times New Roman" w:cs="Times New Roman"/>
          <w:b/>
          <w:sz w:val="24"/>
          <w:szCs w:val="24"/>
        </w:rPr>
        <w:t>10</w:t>
      </w:r>
      <w:r w:rsidR="00A50523">
        <w:rPr>
          <w:rFonts w:ascii="Times New Roman" w:hAnsi="Times New Roman" w:cs="Times New Roman"/>
          <w:b/>
          <w:sz w:val="24"/>
          <w:szCs w:val="24"/>
        </w:rPr>
        <w:t>.</w:t>
      </w:r>
      <w:r w:rsidRPr="006F3B00">
        <w:rPr>
          <w:rFonts w:ascii="Times New Roman" w:hAnsi="Times New Roman" w:cs="Times New Roman"/>
          <w:b/>
          <w:sz w:val="24"/>
          <w:szCs w:val="24"/>
        </w:rPr>
        <w:t xml:space="preserve"> </w:t>
      </w:r>
      <w:r>
        <w:rPr>
          <w:rFonts w:ascii="Times New Roman" w:hAnsi="Times New Roman" w:cs="Times New Roman"/>
          <w:b/>
          <w:sz w:val="24"/>
          <w:szCs w:val="24"/>
        </w:rPr>
        <w:t xml:space="preserve">Assessor response to the statement: </w:t>
      </w:r>
      <w:r w:rsidR="00E00D48">
        <w:rPr>
          <w:rFonts w:ascii="Times New Roman" w:hAnsi="Times New Roman" w:cs="Times New Roman"/>
          <w:b/>
          <w:sz w:val="24"/>
          <w:szCs w:val="24"/>
        </w:rPr>
        <w:t>‘</w:t>
      </w:r>
      <w:r w:rsidRPr="006F3B00">
        <w:rPr>
          <w:rFonts w:ascii="Times New Roman" w:hAnsi="Times New Roman" w:cs="Times New Roman"/>
          <w:b/>
          <w:sz w:val="24"/>
          <w:szCs w:val="24"/>
        </w:rPr>
        <w:t>You have been given sufficient guidance on h</w:t>
      </w:r>
      <w:r>
        <w:rPr>
          <w:rFonts w:ascii="Times New Roman" w:hAnsi="Times New Roman" w:cs="Times New Roman"/>
          <w:b/>
          <w:sz w:val="24"/>
          <w:szCs w:val="24"/>
        </w:rPr>
        <w:t>ow to complete WBAs</w:t>
      </w:r>
      <w:r w:rsidR="00E00D48">
        <w:rPr>
          <w:rFonts w:ascii="Times New Roman" w:hAnsi="Times New Roman" w:cs="Times New Roman"/>
          <w:b/>
          <w:sz w:val="24"/>
          <w:szCs w:val="24"/>
        </w:rPr>
        <w:t>’</w:t>
      </w:r>
    </w:p>
    <w:p w14:paraId="1D19F067" w14:textId="54B3D7CA" w:rsidR="00ED6756" w:rsidRPr="00AA1495" w:rsidRDefault="00AA1495" w:rsidP="00E41ED0">
      <w:pPr>
        <w:spacing w:after="0" w:line="240" w:lineRule="auto"/>
        <w:rPr>
          <w:rFonts w:ascii="Times New Roman" w:hAnsi="Times New Roman" w:cs="Times New Roman"/>
          <w:b/>
          <w:sz w:val="24"/>
          <w:szCs w:val="24"/>
        </w:rPr>
      </w:pPr>
      <w:r w:rsidRPr="006F3B00">
        <w:rPr>
          <w:rFonts w:ascii="Times New Roman" w:hAnsi="Times New Roman" w:cs="Times New Roman"/>
          <w:b/>
          <w:sz w:val="24"/>
          <w:szCs w:val="24"/>
        </w:rPr>
        <w:lastRenderedPageBreak/>
        <w:t>Question 10 for trainees:</w:t>
      </w:r>
      <w:r w:rsidRPr="006F3B00">
        <w:rPr>
          <w:rFonts w:ascii="Times New Roman" w:hAnsi="Times New Roman" w:cs="Times New Roman"/>
          <w:sz w:val="24"/>
          <w:szCs w:val="24"/>
        </w:rPr>
        <w:t xml:space="preserve"> </w:t>
      </w:r>
      <w:r w:rsidRPr="006F3B00">
        <w:rPr>
          <w:rFonts w:ascii="Times New Roman" w:hAnsi="Times New Roman" w:cs="Times New Roman"/>
          <w:b/>
          <w:sz w:val="24"/>
          <w:szCs w:val="24"/>
        </w:rPr>
        <w:t>Your assessors are engaged a</w:t>
      </w:r>
      <w:r>
        <w:rPr>
          <w:rFonts w:ascii="Times New Roman" w:hAnsi="Times New Roman" w:cs="Times New Roman"/>
          <w:b/>
          <w:sz w:val="24"/>
          <w:szCs w:val="24"/>
        </w:rPr>
        <w:t>nd helpful when completing WBAs (Figure 3.11)</w:t>
      </w:r>
    </w:p>
    <w:p w14:paraId="1BF73540" w14:textId="205716F6" w:rsidR="00AA1495" w:rsidRDefault="00AA1495" w:rsidP="00E41ED0">
      <w:pPr>
        <w:spacing w:line="240" w:lineRule="auto"/>
        <w:rPr>
          <w:rFonts w:ascii="Times New Roman" w:hAnsi="Times New Roman" w:cs="Times New Roman"/>
          <w:sz w:val="24"/>
          <w:szCs w:val="24"/>
        </w:rPr>
      </w:pPr>
      <w:r w:rsidRPr="006F3B00">
        <w:rPr>
          <w:rFonts w:ascii="Times New Roman" w:hAnsi="Times New Roman" w:cs="Times New Roman"/>
          <w:sz w:val="24"/>
          <w:szCs w:val="24"/>
        </w:rPr>
        <w:t xml:space="preserve">Almost half of trainees (49%) strongly agreed or agreed that their assessors were engaged and helpful when completing WBAs and 22% strongly disagreed or disagreed.  </w:t>
      </w:r>
      <w:r w:rsidR="003E178E">
        <w:rPr>
          <w:rFonts w:ascii="Times New Roman" w:hAnsi="Times New Roman" w:cs="Times New Roman"/>
          <w:sz w:val="24"/>
          <w:szCs w:val="24"/>
        </w:rPr>
        <w:t>29% of trainees neither agreed nor disagreed with the statement.</w:t>
      </w:r>
    </w:p>
    <w:p w14:paraId="1CE5A0D3" w14:textId="48189F41" w:rsidR="009E1917" w:rsidRDefault="007169A7" w:rsidP="00AA1495">
      <w:pPr>
        <w:spacing w:line="480" w:lineRule="auto"/>
        <w:rPr>
          <w:rFonts w:ascii="Times New Roman" w:hAnsi="Times New Roman" w:cs="Times New Roman"/>
          <w:sz w:val="24"/>
          <w:szCs w:val="24"/>
        </w:rPr>
      </w:pPr>
      <w:r w:rsidRPr="005073E7">
        <w:rPr>
          <w:rFonts w:ascii="Times New Roman" w:hAnsi="Times New Roman" w:cs="Times New Roman"/>
          <w:b/>
          <w:noProof/>
          <w:sz w:val="24"/>
          <w:szCs w:val="24"/>
        </w:rPr>
        <mc:AlternateContent>
          <mc:Choice Requires="wpg">
            <w:drawing>
              <wp:anchor distT="0" distB="0" distL="114300" distR="114300" simplePos="0" relativeHeight="251695104" behindDoc="0" locked="0" layoutInCell="1" allowOverlap="1" wp14:anchorId="22B30316" wp14:editId="3044675D">
                <wp:simplePos x="0" y="0"/>
                <wp:positionH relativeFrom="column">
                  <wp:posOffset>2057400</wp:posOffset>
                </wp:positionH>
                <wp:positionV relativeFrom="paragraph">
                  <wp:posOffset>264160</wp:posOffset>
                </wp:positionV>
                <wp:extent cx="5172075" cy="4114800"/>
                <wp:effectExtent l="0" t="0" r="9525" b="0"/>
                <wp:wrapNone/>
                <wp:docPr id="306" name="Group 16"/>
                <wp:cNvGraphicFramePr/>
                <a:graphic xmlns:a="http://schemas.openxmlformats.org/drawingml/2006/main">
                  <a:graphicData uri="http://schemas.microsoft.com/office/word/2010/wordprocessingGroup">
                    <wpg:wgp>
                      <wpg:cNvGrpSpPr/>
                      <wpg:grpSpPr>
                        <a:xfrm>
                          <a:off x="0" y="0"/>
                          <a:ext cx="5172075" cy="4114800"/>
                          <a:chOff x="0" y="0"/>
                          <a:chExt cx="4148507" cy="4245655"/>
                        </a:xfrm>
                      </wpg:grpSpPr>
                      <wps:wsp>
                        <wps:cNvPr id="308" name="TextBox 13"/>
                        <wps:cNvSpPr txBox="1"/>
                        <wps:spPr>
                          <a:xfrm>
                            <a:off x="1741915" y="0"/>
                            <a:ext cx="989502" cy="430887"/>
                          </a:xfrm>
                          <a:prstGeom prst="rect">
                            <a:avLst/>
                          </a:prstGeom>
                          <a:solidFill>
                            <a:schemeClr val="bg1">
                              <a:lumMod val="65000"/>
                            </a:schemeClr>
                          </a:solidFill>
                        </wps:spPr>
                        <wps:txbx>
                          <w:txbxContent>
                            <w:p w14:paraId="2561D925" w14:textId="77777777" w:rsidR="00D35C1E" w:rsidRDefault="00D35C1E" w:rsidP="005073E7">
                              <w:pPr>
                                <w:pStyle w:val="NormalWeb"/>
                                <w:spacing w:before="0" w:beforeAutospacing="0" w:after="0" w:afterAutospacing="0"/>
                              </w:pPr>
                              <w:r>
                                <w:rPr>
                                  <w:rFonts w:asciiTheme="minorHAnsi" w:hAnsi="Calibri" w:cstheme="minorBidi"/>
                                  <w:color w:val="000000" w:themeColor="text1"/>
                                  <w:kern w:val="24"/>
                                  <w:sz w:val="44"/>
                                  <w:szCs w:val="44"/>
                                </w:rPr>
                                <w:t>Trainees</w:t>
                              </w:r>
                            </w:p>
                          </w:txbxContent>
                        </wps:txbx>
                        <wps:bodyPr wrap="square" rtlCol="0">
                          <a:noAutofit/>
                        </wps:bodyPr>
                      </wps:wsp>
                      <pic:pic xmlns:pic="http://schemas.openxmlformats.org/drawingml/2006/picture">
                        <pic:nvPicPr>
                          <pic:cNvPr id="310" name="Picture 310" descr="chart978933450.png"/>
                          <pic:cNvPicPr>
                            <a:picLocks noChangeAspect="1"/>
                          </pic:cNvPicPr>
                        </pic:nvPicPr>
                        <pic:blipFill rotWithShape="1">
                          <a:blip r:embed="rId28"/>
                          <a:srcRect r="35923"/>
                          <a:stretch/>
                        </pic:blipFill>
                        <pic:spPr>
                          <a:xfrm>
                            <a:off x="0" y="430887"/>
                            <a:ext cx="4148507" cy="38147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B30316" id="Group 16" o:spid="_x0000_s1058" style="position:absolute;margin-left:162pt;margin-top:20.8pt;width:407.25pt;height:324pt;z-index:251695104;mso-width-relative:margin;mso-height-relative:margin" coordsize="41485,42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TT/GgMAABwHAAAOAAAAZHJzL2Uyb0RvYy54bWyklVtvmzAUgN8n7T9Y&#10;vDdACAlBIVXXrtWkbqvWTnt2jAGrYHu2CeTf79iQtGk6bWofQvCxfS7fubA675sabanSTPDMCyeB&#10;hygnIme8zLyfD9dniYe0wTzHteA083ZUe+frjx9WnUzpVFSizqlCoITrtJOZVxkjU9/XpKIN1hMh&#10;KYfNQqgGG1iq0s8V7kB7U/vTIJj7nVC5VIJQrUF6NWx6a6e/KCgx34tCU4PqzAPfjHsq99zYp79e&#10;4bRUWFaMjG7gN3jRYMbB6EHVFTYYtYqdqGoYUUKLwkyIaHxRFIxQFwNEEwYvorlRopUuljLtSnnA&#10;BGhfcHqzWvJte6cQyzMvCuYe4riBJDm7KJxbOp0sUzh0o+S9vFOjoBxWNuC+UI39h1BQ77juDlxp&#10;bxABYRwupsEi9hCBvVkYzpJgJE8qSM/JPVJ9Hm/O4GwcLMab01k8j2Prlb837Fv/Du50EqpIP4HS&#10;7wN1X2FJHX9tGRxAQU0PoB4gwk+iR2E0oHLHLCdkepBDQ+zlGoSv4AoXs3AZAplTaMtkGQfTMfIo&#10;SJLFUeA4lUqbGyoaZF8yT0GtuxLE21ttBkb7I9ayFjXLr1ldu4XtL3pZK7TF0BmbMnRX67b5KvJB&#10;No+DIUvA2rWjPe7IP9ME+HU6xGbfTL/pXTE9AdmIfAc8OmixzNO/W6yoh5SpL4XrSOsMFxetEQVz&#10;Tls1wx2wNeZzvZKMpPAbOwDeThL770kBt0xrrQ/TpvkvHQ1Wj608g2aV2LANq5nZucEDvKxTfHvH&#10;iE2tXTyrkRCGzVAjsG/NosiKcqoJTB9SYWWWi2QZRbM4mEhe2tzuVQwKIcGM3AryqBEXlxXmJb3Q&#10;EpI8VpV/fNwtj7zZ1EzafCMlzC9mKlfN9rJlbjdHEODPi2nyCsthUl0J0jaUm2H0KloDE8F1xaSG&#10;pKa02VCYJOpL7uoe6kaRH+AxAhNRvJy6LgGpUdSQypaojWHv5wDgL40C7OzsOPQBTvfD5WhEREk4&#10;W8yT93SK82nwwr2Ci64S3Qh29T9+LuyMf752p54+au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SmONeIAAAALAQAADwAAAGRycy9kb3ducmV2LnhtbEyPQWvCQBSE74X+h+UV&#10;equbNRpimo2ItD1JoVoo3tbsMwlm34bsmsR/3/XUHocZZr7J15Np2YC9ayxJELMIGFJpdUOVhO/D&#10;+0sKzHlFWrWWUMINHayLx4dcZdqO9IXD3lcslJDLlITa+y7j3JU1GuVmtkMK3tn2Rvkg+4rrXo2h&#10;3LR8HkUJN6qhsFCrDrc1lpf91Uj4GNW4icXbsLuct7fjYfn5sxMo5fPTtHkF5nHyf2G44wd0KALT&#10;yV5JO9ZKiOeL8MVLWIgE2D0g4nQJ7CQhSVcJ8CLn/z8UvwAAAP//AwBQSwMECgAAAAAAAAAhAJOI&#10;JzutMwAArTMAABQAAABkcnMvbWVkaWEvaW1hZ2UxLnBuZ4lQTkcNChoKAAAADUlIRFIAAAJSAAAB&#10;XggGAAAATvXxlQAAAAlwSFlzAAAPYQAAD2EBqD+naQAAIABJREFUeJzt3XdAVXXjx/HPvRdQQDHN&#10;LaK5Z6bmDmdqao6cuVMRR45U3DlyoaSGi9x7lKWZmZmVmeYWV47HHLn3VtYF7vn9QdHjD6WnE3Ih&#10;36+/4twzPufLufbhew5ci2EYhpDqhYaGqmzZss6OYdqdu3eVKWNGZ8cwLTXnT83ZJfI7G/mdJzVn&#10;l1J/finuHKzODgEAAJBaUaQAAABMokgBAACYRJECAAAwiSIFAABgEkUKAADAJIoUAACASRQpAAAA&#10;kyhSAAAAJrk4OwCSjmXre047tlE92GnHBgDAWZiRAgAAMIkiBQAAYBJFCgAAwCSKFAAAgEkUKQAA&#10;AJMoUgAAACZRpAAAAEyiSAEAAJhEkQIAADCJIgUAAGASRQoAAMAkihQAAIBJFCkAAACTKFIAAAAm&#10;UaQAAABMcmqR2rp9lzr491F7/z7q4N9H+w8eliTFxsZq247dyZrlnR7v6fjJU8l6TAAAkLo5rUjd&#10;vXdfH07/WMGTxmjZ3OkaFtBHwz6YpNjYWIVHROqDiR8lS469oQflcDie6TGOnTipBw8fPdNjAACA&#10;5OfirAPfu/9AadK4ySt9OklSkUIFNG96kCwWq0ZNmKyw8HD17D9UxYoUUi//Tho0crzq166pkPmL&#10;1bhBXbVt2VRLV32urdt3ymq1qliRgurbw082m02DRo5XDd/KWr12va7duKlObVuqZdNGkqSQeUt0&#10;5NgJWa0WZX4xkyIjo1S+bOnHsvUZOELNmzRQ1SoVJUmDRo5X4/p1VKViucfWmzVvsbbt2COLRapd&#10;o6q6dGgtSfph68/6ZM2X8vT0kIuLTQ8fhilw9JAnnsOK1Wu1Y/c+2e3RKlm8iPr28JMUV/AWr1gt&#10;ySJ397QaPXSA0qfzfJbfEgAA8Dc5rUjl9fFWqRLF1K5rb9WuUVVVq1RUwfwvSZI+GBagJq07K2Rq&#10;4GPbrFn/taYHjVW2rFm0Z/8Bbd+5R/NmfCibzaZREyZr7VffqEWTNyVJ+w4c0oJZU3Xtxg216thd&#10;Ld5qqF9Pn9X+g4e1MGSqJKln/6Hy69AmQbaG9Wvrux+3qWqVigqPiNCp02dVqXzZx9aJjIySh7u7&#10;PlkUIofDoYat3lG7Vs3k5uaqScEhWrtintJ5emrB0lWKdTiUKWPGBOew78BhnTx1Nv48+wwaof0H&#10;D6tQ/nyaNW+J5k4LUpo0blqy8jOtXL1W3Tq3T9pvAgAA+EecVqQsFotGDemvs+cuaNuO3Ro+dpLK&#10;vFxCQ/r3euo2r1f3VfZsWSVJe/YfUnXfSrLZbJKkOjWrac36jfFFqnKFV2W1WpQzezZJUnR0tFxc&#10;bAoLj5A9OloWWfQoLFyenh4JjlPttUqaMXuh7NHR+unn3apdo6qs1sfvgqZNm0beuXJo0IhxMmTo&#10;0aMwRURGKk0aN1ks0sNHYUrn6al79x8ox++Z//857NobqrPnzmvA8DGSpIcPHykiIlJHT5zU7Tt3&#10;NWzMRElSeHi4SpUsbmqcAQDAs+O0InX85CnJMFSsSCHly+ujNi2aqNHbneTfqa1cXd2euE0GL6//&#10;+spIdP8utoSnlv+lvCpRrLC69x0sd3d3NaxXW4UL5k+wnpurq3wrV9DO3fv13Y/b1L+Xf4J1Dv9y&#10;XCtWr1XI1EB5uLurcetO8a/17eGnPgPfV9YsWZTXx1vN33rzqefQoG4ttW7e5LF979i9T0UK5dfk&#10;cSMTPUcAAOBcTnvY/PbtO5owZYbuP3ggSbp1564Mw5CHu4fcXF0VGRWpqCi7YmNjn7h9+bKltXX7&#10;rvjXN2/5SRXLlUn0mDExMTp1+qwWhkzVrCnj42evJMkiixyxfz503rhBXa39aqOio6PlnTNHgn1d&#10;vnpNPt655OHurguXLuva9ZsyjLhyt2HTd5o3Y7JmTRmvgX17yM3V9Yl5ypQqqW82b5HdbpdhGBo6&#10;OlAXLl1W0cIFdeToCV29fkOStOyTNfrmux8TPTcAAJD8nDYj5Vu5gq7fvKVufQfLarXK1dVVHwwL&#10;UNq0aSRJjRu8oRYd/JU/X159FDg6wfYVy5XRyVNn5NcrQFabVUULFVSzRvUTPabFYpE9Olp1mrSW&#10;i80mT08PNW5QV+1aNVPZ0i9rxLggDQvoo3JlSqlQgXy6dfuO2rVq+sR9VX+tkr76ZrP8+wxU9mzZ&#10;1LxxA70/NkizpoyXj3cuNWndWR7uaeXm5qYypUpqyICEtyxfq1ReJ349rU49+8tqtapiuTLy8c4l&#10;SXp/YF8NGjFOLjabMmXKqLHDB/7NEQYAAM+axfhjGuU5MGTUBNWsWkW1a1aVxWLR9Rs31d6/rzav&#10;W5lg3YePwtSl1wAtnzfjqTNKT/LZug367fxF9evZVa6uLrLb7erSK0AjBr2nQgXyJeXpPCY0NFSv&#10;Plz2zPb/V4zqwf9o+zt378Y/kJ8apeb8qTm7RH5nI7/zpObsUurPL8Wdg9NmpJyhQd1aWv7pWm34&#10;9ntZLBY5HA4ND+idYL0pM+Zo/8HDeq+H398qUZJU4dXS2r5zj/oPGy2LxaLYWIdqVq0S/xuJAADg&#10;3+O5KlK+lSvIt3KFv1xvQO9upo/h451L04PGmt4eAACkHnzWHgAAgEkUKQAAAJMoUgAAACZRpAAA&#10;AEyiSAEAAJhEkQIAADCJIgUAAGASRQoAAMAkihQAAIBJFCkAAACTKFIAAAAmUaQAAABMokgBAACY&#10;5OLsAEg6RvVgZ0cAAOC5wowUAACASRQpAAAAkyhSAAAAJlGkAAAATKJIAQAAmESRAgAAMIkiBQAA&#10;YBJFCgAAwCSKFAAAgEkUKQAAAJMoUgAAACZRpAAAAEyiSAEAAJhEkQIAADCJIgUAAGASRQoAAMAk&#10;ihQAAIBJFCkAAACTKFIAAAAmuTg7AJLOWyO+cXYEINX4Ymw9Z0cA8C/AjBQAAIBJFCkAAACTKFIA&#10;AAAmUaQAAABMokgBAACYRJECAAAwiSIFAABgEkUKAADAJIoUAACASRQpAAAAkyhSAAAAJlGkAAAA&#10;TKJIAQAAmESRAgAAMIkiBQAAYBJF6h9o3t5fI8d/6OwYAADASShSJh07cVIOh0Pbd+5ReHjEU9eL&#10;irLrwOGjyZgMAAAkFxdnB0itNmz6Xs0bN9DBI0f1/U/b1aheHUlSeESERk+YosioKEVGRSnjCxlU&#10;vEhhZfBKp0XLVytrlszasOk7bV63SleuXtPkGXNkt9tlt9sV0KeHChXIp8jIKE2eMVvXb9xUWFi4&#10;3m7WWHVqVXPyGQMAgP+PGSkToqNj9MNPO/RG7Rp6843XtWHT9/Gvrftqk/L4eGt60FhNmzRGBw8f&#10;09vNG0uS9h04pJw5smnDZ0slSWMmBeu9Hn6aOXm8+nT30+TpH0uSFq9crZeLF9WMD8dp1tQJCg6Z&#10;p6goe/KfKAAASBQzUiZs37lbJYoWUqaML6hKxXIaP3m6rly7rpzZs8nFxaZ79+5Lkh4+CpOLzSoX&#10;W9ww22w2NW/cQJIUGRmlYydOatrsBZIkh8OhNGnSSJJ27Q1V+nSe+mnHbklShgxeCgsPV5o0bsl9&#10;qgAAIBEUKRM2bPpeJ349rWbtu0qSYmJi9PW3P6hrxzZq0rCe/HoFqPt7Q+Tm5qox7w+U1WqRJL2Q&#10;wSt+H4YMubq6aMr4kQn2bxiG+nTvokIF8iXPCQEAAFO4tfc33bl7T8f+86vWf7JYa5bN05pl8xQy&#10;NVBf/3577/h/flWJooU1O3iipgeN1aulSz1xP+5p08o7Zw79sPVnSdKRo8c16aNZkqSyr5TUug2b&#10;JMXNavXoN0QOh5EMZwcAAP4OZqT+pk3fb1XtGlXl6vrn0BUpVEBe6dPp0C/H9GKmjNq4eYu2bt8p&#10;WSzK/GIm9ejSQVmzvJhgX2PeH6jAKTO1YvVayWLR+wF9JEl+HdoocOpMdez+nmJjY/VO25bxs1oA&#10;ACDlsBiGwVRHEjEMQw1bvaO504OUM3s2SdIPW3/Wxu+2PPEWXlIKDQ3VuHU3nukxgH+TL8bWc3YE&#10;SdKdu3eVKWNGZ8cwjfzOk5qzS6k/vxR3DsxIJSGLxaJmjeprdOAUpf39wfE0bm7q5d/JyckAAMCz&#10;QJFKYp3atVKndq2cHQMAACQDHjYHAAAwiSIFAABgEkUKAADAJIoUAACASRQpAAAAkyhSAAAAJlGk&#10;AAAATKJIAQAAmESRAgAAMIkiBQAAYBJFCgAAwCSKFAAAgEkUKQAAAJNcnB0ASeeLsfWcHcG0O3fv&#10;KlPGjM6OYVpqzp+as0upPz+A1I0ZKQAAAJMoUgAAACZRpAAAAEyiSAEAAJhEkQIAADCJIgUAAGAS&#10;RQoAAMAkihQAAIBJFCkAAACTKFIAAAAmUaQAAABMokgBAACYRJECAAAwiSIFAABgEkUKAADAJIoU&#10;AACASRQpAAAAkyhSAAAAJlGkAAAATHJxdgAkHfuPFmdHMC2dJLuzQ/wDqSG/Ww3D2REA4F+HGSkA&#10;AACTKFIAAAAmUaQAAABMokgBAACYRJECAAAwiSIFAABgEkUKAADAJIoUAACASSmuSDVs2VELlq56&#10;bNmA4WO0feeeRLdbuOwTjf9wmiTp7r37OvTLscdeHzRyvLZu35W0YQEAwHMtxRUpSVr1+TqdPXfh&#10;b21Tp1Y1tXiroSTp8C/HtfKzdc8imil7Qw/K4XA4OwYAAEhiKfIjYnp2fUdjJk3VwllTZbU+3vWu&#10;XL2myTPmyG63y263K6BPDxUqkE87d+/TxctX1bpFE81ZtEy379xVz/5D1aTBG6pTq5ok6cDhI1q8&#10;8lNdv3FLndq2VMumjSTFFZ3FK1ZLssjdPa1GDx2g9Ok8NWjkeNWvXVMh8xercYO6atuyaXyO8PAI&#10;jZzwoa5euyGHw6Fe/p1UpWI5SVLIvCU6cuyErFaLMr+YSZGRUSpftvQT97di9Vrt2L1Pdnu0ShYv&#10;or49/BLNBAAAUo4UWaReq1hOvxw7oeWfrlWH1s0fe23MpGANG9BbPrlz6ejxk5o8/WPNnf5h/Os5&#10;s2dTt07ttfG7LQoaM/yxbe/eu6+Fsz7StRs31Kpjd7V4q6EePnykWfOWaO60IKVJ46YlKz/TytVr&#10;1a1ze0nSmvVfa3rQWGXLmuWxfV27cVO1qvmqXu0aOnvugsYFBatKxXI6eeqM9h88rIUhUyVJPfsP&#10;lV+HNvHb/ff+9h04rJOnzipkaqAkqc+gEdp/8LAK5c+XaCYAAJAypMgiJUn9e3VTB/8+qu5bKX5Z&#10;ZGSUjp04qWmzF0iSHA6H0qRJ8z/vs9prlWS1WpQzezZJUnR0tI6eOKnbd+5q2JiJkqTw8HCVKlk8&#10;fpvXq/sqe7asCfaVJ3cubf15p/oP+0Ax0TF6FB4uSXJxsSksPEL26GhZZNGjsHB5eno8cX+79obq&#10;7LnzGjB8jCTp4cNHioiI/MtMAAAgZUixRSp9Ok8N6N1NYyZ+JC+v9JIkQ4ZcXV00ZfxIU/t0sSU8&#10;XcMwVKRQfk0e9+R9ZvDyeuLyJSs/0+07dzV53AjdvHVbvQeNkCTlfymvShQrrO59B8vd3V0N69VW&#10;4YL5n7I/Qw3q1lLr5k0e2/eO3fsSzQQAAFKGFPmw+R9eq1Re3rlyaPe+A5Ik97Rp5Z0zh37Y+rMk&#10;6cjR45r00awE27mlcdW9e/ckSbGxsYkeo2jhgjpy9ISuXr8hSVr2yRp9892Pf5nt8tVrKlQgn6xW&#10;q/aEHpQMQ5IUExOjU6fPamHIVM2aMl4tmrz51H2UKVVS32zeIrvdLsMwNHR0oC5cumw6EwAASF4p&#10;dkbqDwN6d9ee/Qfjvx7z/kAFTpmpFavXShaL3g/ok2Cb0i+X0CLjU7Xo4K/aNarKv1O7p+4/U8YX&#10;9P7Avho0YpxcbDZlypRRY4cP/MtcrZo20ujAKfr2h59U9pWSSp8+neYuWq4uHVrLHh2tOk1ay8Vm&#10;k6enhxo3qKt2rZol2MdrlcrrxK+n1alnf1mtVlUsV0Y+3rkkyVQmAACQvCyG8ftUCpLEkFETVLNq&#10;FdWuWVUWi0XXb9xUe/++2rxu5TM9bmhoqEo+ePWZHgOpm1uNJ7/V79y9q0wZMyZzmqRDfuciv/Ok&#10;5uxS6s8vxZ1Dip+RSm0a1K2l5Z+u1YZvv5fFYpHD4dDwgN7OjgUAAJ4BilQS861cQb6VKzg7BgAA&#10;SAYp+mFzAACAlIwiBQAAYBJFCgAAwCSK1O9+2Pqzhn0Q91EtoYeOqGXHbk5OBAAAUjqK1BMULVRQ&#10;AX26J8m+oqLsOnD4aJLsCwAApCyp5rf2uvQaoFpVX9NXm75TeESEPhgWoFd+//y5pas+19btO2W1&#10;WlWsSEH17eEnm82mQSPHq37tmgqZv1iNG9RV25ZNH9vn3MUr9OO2HUrn6fnYhxJfvX5dwSHztXLB&#10;LN29d18jx3+o2NhYhUdEKKB3D5UoVlhnfjuncUHTFOtwyGa1atyIwcqVM7vCIyI0esIURUZFKTIq&#10;ShlfyKDiRQqrTKkSat25p7p0aK1JH83S9KCxeimPjybPmK3rN24qLCxcbzdrrDq1qkmSVqxeqx27&#10;98luj1bJ4kXUt4df8g02AAD4n6SaGanLV67J3cNdqxaGqGvHtlq49BNJ0p79B7R95x7Nm/Gh5s+c&#10;rPsPHmrtV9/Eb7dm/deaHjRWbVq89dj+du0N1c+79mrJ7GDNm/Gh3Fxdn3jcDZu+V+mXSyhkaqAC&#10;evfQ0RP/kSRduXpd/Xr5a+mcaapft5bWfb1JkrTuq03K4+Ot6UFjNW3SGB08fExvN28sSbp3/4EO&#10;/3JcX65apCKFCmjxytV6uXhRzfhwnGZNnaDgkHmKirJr34HDOnnqrEKmBmr+zMk689t57T94OMnH&#10;FAAA/DOpZkYqOjpG1V+rJEnK91IePXj0UJK0Z/8hVfetJJvNJkmqU7Oa1qzfGP8Zd69X91X2bFkT&#10;7G/fgcOqXaOq3NzcJEmVKpTVj9t2JFiveJFCGhsULBcXm8q+8rLebhZXiooWLqiFyz7R0lWf6fqN&#10;WypZrIgkycXFpnv37kuSHj4Kk4vNGv9hyXZ7tFo1ayQPD3dJcWUufTpP/bRjtyQpQwYvhYWHa9fe&#10;UJ09d14Dho+J28/DR4qIiPynQwgAAJJYqilSkuTi8qS4iX/CTQYvrycuj42Nlc1qfezrJynzSknN&#10;mR6kPfsOaPrshSpetLD6dO+skeMnq2mjenq9uq82bv5BR4+flCQ1aVhPfr0C1P29IXJzc9WY9wfK&#10;arU8MY9hGOrTvYsKFciX4Jwa1K2l1s2bJHpuAADAuVLNrb2nKV+2tLZu3xVfhDZv+UkVy5X5y+3K&#10;lCqh73/6WfboaBmGoR279z1xvcUrVuvc+QtqWK+2Br3XQ0eOHpckXbl6TUUKFZAk7Q09pD8+svD4&#10;f35ViaKFNTt4oqYHjdWrpUs9NUPZV0pq3Ya4W4IPH4WpR78hcjgMlSlVUt9s3iK73S7DMDR0dKAu&#10;XLr8vw8KAABIFqlqRupJKpYro5OnzsivV4CsNquKFiqoZo3q/+V21V6rpMNHT6idXy9l8PJSDd/K&#10;8c8//beqVSoqcMoMLV6xWnZ7tLp1bi9J6ta5vQYMG6MsmTPJt1IFff7lBm3bsVsv5fXRxs1btHX7&#10;TsliUeYXM6lHlw6qVL5sgn37dWijwKkz1bH7e4qNjdU7bVvKarXotUrldeLX0+rUs7+sVqsqlisj&#10;H+9c/3ywAABAkrIYf0yl4B8zDEMNW72judODlDN7Nklxf59q43dbNGX8yGd67NDQUJV88OozPQZS&#10;N7caT36rp/ZPYCe/c5HfeVJzdin155fiziHVz0ilJBaLRc0a1dfowClKmyaNJCmNm5t6+XdycjIA&#10;APAsUKSSWKd2rdSpXStnxwAAAMkg1T9sDgAA4CwUKQAAAJMoUgAAACZRpAAAAEyiSAEAAJhEkQIA&#10;ADCJP3/wL/K0P7iYGqT2P8yW2vMDAMxhRgoAAMAkihQAAIBJFCkAAACTKFIAAAAmUaQAAABMokgB&#10;AACYRJECAAAwiSIFAABgEkUKAADAJIoUAACASRQpAAAAkyhSAAAAJlGkAAAATKJIAQAAmESRAgAA&#10;MIkiBQAAYBJFCgAAwCSKFAAAgEkUKQAAAJNcnB0ASafXngPOjvAP/ebsAImaWaGMsyMAAFIYZqQA&#10;AABMokgBAACYRJECAAAwiSIFAABgEkUKAADAJIoUAACASRQpAAAAkyhSAAAAJlGkAAAATKJIAQAA&#10;mESRAgAAMIkiBQAAYBJFCgAAwCSKFAAAgEkUKQAAAJNcnB3AWRq27CirzSqb1abo6Gj5Vqmod/06&#10;ytPTQ+EREWrerqvmTA9S7lw5nR0VAACkUM/1jNTMyeO1dsV8fbZ0rmJiYtR70AgZhiEPd3cNHdBb&#10;ObJlTZLj7A09KIfDkST7AgAAKcdzOyP139KmTaPB7/VUs3Zdte/AYZUv+4pGB07VulUL5elh06Tg&#10;Wfrt/AVFRkapacN6avLmGwoPj9DICR/q6rUbcjgc6uXfSVUqlpMkhcxboiPHTshqtSjzi5kUGRml&#10;8mVLa9DI8apfu6ZC5i9W4wZ11bZlU61YvVY7du+T3R6tksWLqG8PP0l66nIAAJByUKR+Z7PZVKJY&#10;EZ06c1bly74Sv/w/p07r4qUrmjstSOEREQoOma8mb76hazduqlY1X9WrXUNnz13QuKBgValYTidP&#10;ndH+g4e1MGSqJKln/6Hy69Amfn9r1n+t6UFjlS1rFu07cFgnT51VyNRASVKfQSO0/+BhGYaeuPzV&#10;0qWScUQAAMBfoUj9F4fhkEWWx5blypFNV69d1/TZC1SuzCsa2KeHJClP7lza+vNO9R/2gWKiY/Qo&#10;PFyS5OJiU1h4hOzR0bLIokdh4fL09Ijf3+vVfZX991uGu/aG6uy58xowfIwk6eHDR4qIiNTBI8ee&#10;uBwAAKQsFKnfxcbG6ujxk2rWqP5jyzN4eWnFgpnau/+QvtuyTXMWLdPij4O1ZOVnun3nriaPG6Gb&#10;t26r96ARkqT8L+VViWKF1b3vYLm7u6thvdoqXDD/Y/v7k6EGdWupdfMmjx3z4JGjT1wOAABSluf6&#10;YfM/REZGaVJwiLJnzawypUo+9tquvaFa8+VGVfetpPcH9dW16zcVHR2jy1evqVCBfLJardoTelAy&#10;DElSTEyMTp0+q4UhUzVryni1aPLmU49bplRJfbN5i+x2uwzD0NDRgbpw6fJTlwMAgJTluZ6R6hUw&#10;XDarTfboaFWrUlHBE8fIYnn81l6pEsW07utN6tp7oByGQx3btJCrq4taNW2k0YFT9O0PP6nsKyWV&#10;Pn06zV20XF06tJY9Olp1mrSWi80mT08PNW5QV+1aNUtw/NcqldeJX0+rU8/+slqtqliujHy8c8nH&#10;O9cTlwMAgJTFYhi/T6UgSQwZNUE1q1ZR7ZpVZbFYdP3GTbX376vN61Y+0+OGhoZqUYzlr1eEaTMr&#10;lHnqa3fu3lWmjBmTMU3SSc3ZJfI7G/mdJzVnl1J/finuHJ7rGalnoUHdWlr+6Vpt+PZ7WSwWORwO&#10;DQ/o7exYAADgGaBIJTHfyhXkW7mCs2MAAIBkwMPmAAAAJlGkAAAATKJIAQAAmESRAgAAMIkiBQAA&#10;YBJFCgAAwCSKFAAAgEkUKQAAAJMoUgAAACZRpAAAAEyiSAEAAJhEkQIAADCJIgUAAGCSi7MDIOnM&#10;rFDG2RFMu3P3rjJlzOjsGAAA/C3MSAEAAJhEkQIAADCJIgUAAGASRQoAAMAkihQAAIBJFCkAAACT&#10;KFIAAAAmUaQAAABMokgBAACYRJECAAAwiSIFAABgEkUKAADAJIoUAACASRQpAAAAkyhSAAAAJlGk&#10;AAAATKJIAQAAmESRAgAAMIkiBQAAYJKLswMgCU1uYn7bgHVJlwMAgOcEM1IAAAAmUaQAAABMokgB&#10;AACYRJECAAAwiSIFAABgEkUKAADAJIoUAACASRQpAAAAk57rIrV1+y518O+j9v591MG/j/YfPCxJ&#10;io2N1bYdu5M1yzs93tPxk6eS9ZgAAOCfeW6L1N179/Xh9I8VPGmMls2drmEBfTTsg0mKjY1VeESk&#10;Ppj4UbLk2Bt6UA6HI1mOBQAAktZz+xEx9+4/UJo0bvJKn06SVKRQAc2bHiSLxapREyYrLDxcPfsP&#10;VbEihdTLv5MGjRyv+rVrKmT+YjVuUFdtWzbV0lWfa+v2nbJarSpWpKD69vCTzWbToJHjVcO3slav&#10;Xa9rN26qU9uWatm0kSQpZN4SHTl2QlarRZlfzKTIyCiVL1v6sWx9Bo5Q8yYNVLVKRUnSoJHj1bh+&#10;HVWpWC55BwkAACTquZ2RyuvjrVIliqld195asHSVTp35TXl8vGW1WvTBsAB5engoZGqgevl3it9m&#10;zfqvNT1orNq0eEt79h/Q9p17NG/Gh5o/c7LuP3iotV99E7/uvgOHtGDWVC2YNUUz5iySYRg6eeqM&#10;9h88rNnBExUyNVC3bt/R280aJ8jWsH5tfffjNklSeESETp0+q0rlyz77QQEAAH/Lc1ukLBaLRg3p&#10;rwmjhspms2n42EmaOHVmotu8Xt1X2bNllcVi0Z79h1Tdt5JsNpskqU7Natq1NzR+3coVXpXValHO&#10;7NkkSdHR0XJxsSksPEL26GhFR8foUVi4PD09Ehyn2muVdPiX47JHR+unn3erdo2qslqf228VAAAp&#10;1nN7a+/4yVOSYahYkULKl9dHbVo0UaO3O8m/U1u5uro9cZsMXl7/9ZWR6P5dbAmHNv9LeVWiWGF1&#10;7ztY7u7ualivtgoXzJ9gPTdXV/lWrqCdu/frux+3qX8v/79zagAAIJk8t9Mct2/f0YQpM3T/wQNJ&#10;0q07d2UYhjzcPeTm6qrIqEhFRdkVGxv7xO3Lly2trdt3xb++ectPqliuTKLHjImJ0anTZ7UwZKpm&#10;TRmvFk3ejH/NIoscsX8+dN64QV2t/WqjoqOj5Z0zxz89XQAA8Aw8tzNSvpUr6PrNW+rWd7CsVqtc&#10;XV31wbAApU2bRpLUuMEbatHBX/nz5dVBXkbRAAATU0lEQVRHgaMTbF+xXBmdPHVGfr0CZLVZVbRQ&#10;QTVrVD/RY1osFtmjo1WnSWu52Gzy9PRQ4wZ11a5VM5Ut/bJGjAvSsIA+KlemlAoVyKdbt++oXaum&#10;z+L0AQBAErAYhpH4PSokmSGjJqhm1SqqXbOqLBaLrt+4qfb+fbV53coE6z58FKYuvQZo+bwZcnN1&#10;/ct9h4aGquyPY82HC1hnftskcOfuXWXKmNGpGf6J1Jw/NWeXyO9s5Hee1JxdSv35pbhzeG5npJyh&#10;Qd1aWv7pWm349ntZLBY5HA4ND+idYL0pM+Zo/8HDeq+H3/9UogAAgHNQpJKRb+UK8q1c4S/XG9C7&#10;WzKkAQAA/9Rz+7A5AADAP0WRAgAAMIkiBQAAYBJF6nf37j9QnSZtJEmhh46oZUeeUwIAAImjSD1B&#10;0UIFFdCne5LsKyrKrgOHjybJvgAAQMryXP/W3rYduzV74TK5u6dVwXwvxS+/ev26gkPma+WCWXI4&#10;DE0KnqXfzl9QZGSUmjaspyZvvqEzv53TuKBpinU4ZLNaNW7EYOXKmV3hEREaPWGKIqOiFBkVpYwv&#10;ZFDxIoVVplQJte7cU106tNakj2ZpetBYvZTHR5NnzNb1GzcVFhaut5s1Vp1a1SRJK1av1Y7d+2S3&#10;R6tk8SLq28PPWcMEAACe4rktUvcfPND4ydO1ZHawsmfLqq+//UFbtu1MsN5/Tp3WxUtXNHdakMIj&#10;IhQcMl9N3nxDV65eV79e/nq5eFF9tm6D1n29Se92fUfrvtqkPD7eerfrO4qIjFTjtztr7PuDJMXd&#10;Pjz8y3F9uWqR3N3Tas6i5Xq5eFE1GthXEZGRatbWT9Veq6Qjx07o5KmzCpkaKEnqM2iE9h88rFdL&#10;l0rWMQIAAIl7bovUsRO/qmjhgsqeLaskqVL5spr28YIE6+XKkU1Xr13X9NkLVK7MKxrYp4ckqWjh&#10;glq47BMtXfWZrt+4pZLFikiSXFxsunfvvqS4v07uYrPGf4Cx3R6tVs0aycPDXZK0a2+o0qfz1E87&#10;dkuSMmTwUlh4uHbtDdXZc+c1YPiYuP08fKSIiMhnOBoAAMCM57ZIxcTGymr98xGxp304cQYvL61Y&#10;MFN79x/Sd1u2ac6iZVr8cbBGjp+spo3q6fXqvtq4+QcdPX5SktSkYT359QpQ9/eGyM3NVWPeHyir&#10;1fLY/v5gGIb6dO+iQgXy/b+jGmpQt5ZaN2+SdCcMAACS3HP7sHnxIoV07MRJ3bh1W5K0feeexwrP&#10;H3btDdWaLzequm8lvT+or65dv6no6BhduXpNRQoVkCTtDT2kPz6y8Ph/flWJooU1O3iipgeNTfR2&#10;XNlXSmrdhk2S4mavevQbIofDUJlSJfXN5i2y2+0yDENDRwfqwqXLST0EAADgH3puZ6RezJRRAX26&#10;q9eAYUrn6anqvpUfmy36Q6kSxbTu603q2nugHIZDHdu0kKuri7p1bq8Bw8YoS+ZM8q1UQZ9/uUHb&#10;duzWS3l9tHHzFm3dvlOyWJT5xUzq0aWDKpUvm2Dffh3aKHDqTHXs/p5iY2P1TtuWsloteq1SeZ34&#10;9bQ69ewvq9WqiuXKyMc7V3IMCwAA+Bssxh9TKfjHDMNQw1bvaO70IOXMnk2S9MPWn7Xxuy2aMn7k&#10;Mz12aGioyv441vwOAtYlXRgTUvungKfm/Kk5u0R+ZyO/86Tm7FLqzy/FncNzOyP1LFgsFjVrVF+j&#10;A6cobZo0kqQ0bm7q5d/JyckAAMCzQJFKYp3atVKndq2cHQMAACSD5/ZhcwAAgH+KIgUAAGASRQoA&#10;AMAkihQAAIBJFCkAAACTKFIAAAAm8ecP/k2c/Ec1AQB43jAjBQAAYBJFCgAAwCSKFAAAgEkUKQAA&#10;AJMoUgAAACZRpAAAAEyiSAEAAJhEkQIAADCJIgUAAGCSxTAMw9khkDRCQ0OdHQEAgOdG2bJlKVIA&#10;AABmcWsPAADAJIoUAACASRQpAAAAkyhSAAAAJlGkAAAATKJIAQAAmESRAgAAMIkiBQAAYBJFCgAA&#10;wCSKFAAAgEkUKQAAAJMoUgAAACa5ODsAktb1Gzc1OnCKrly7Lve0aTW437sq/XIJxcTEaPjYSXrw&#10;4KHq16mlhvVqS5JWr10ve3S02rVq9kzy/Hb+orbt2K2de/bLr2MblStTSpL06Zr1Wvn5FzIchipV&#10;eFUD+3SXi4uLdu7Zr8UrV8s9bVqNHzlY6Tw9Zbfb5dcrQHOmB8k9bdpnkvNpFixdpR+375RhGCpT&#10;qqT6vesvq9Xy1HGWpLmLV+iXYyeUK0d2DenfS5J06sxv+njBUk2dMCrZss9bslI/btshm82mrFky&#10;a/TQAUqfzlPR0TEKCp6lPfsPymK1qP3bzdW8cQNJSnHjL0mfrdugWXMXa+vGz+OXhR46oqDgjxUZ&#10;FSnvnDk1emh/Zcn8otOu8yfpP3S0Tp89J6s17ufVDq2bq2mj+pJSx/X/KCxMgVNm6j+nTstmtapl&#10;00bx10lKH/+g4BBt2bZDadOkkSTZ7XZlzPiCVsyfmej1n1Leuz9s/VkrVq+Vq6uromNi1KNLh/h/&#10;O1P62EvSxs1btPzTNZKkrFkya3hAH2XJ/OIzz/93/3+T2GtXrl3X2EkfKdbhUEDv7ipUIJ8kafCo&#10;8erYpqWKFS7454EN/Kv06DfE+PrbHwzDMIyTp84Y9Zu3N8IjIoyt23caU2fONWJiYoy32nYxDMMw&#10;wiMijPZdextRUVHPLM/sBUuNBctWGW39ehk79uwzDMMwDh45arTu3NMICws3HA6HMWJckLF4xWrD&#10;MAyjXdfexoOHj4yVn31hfPL5l4ZhGMaSlZ8Zn65d/8wyPs2e/QeM7u8NNmJjY43YWIfRb8go4+tv&#10;vzcM4+njfO/+faNDt76GYRjGgOEfGKfO/GYYhmH0GzIq/r+Tw7ETJ43BI8cbsbGxhmEYxofTPjYW&#10;LF1lGIZhzF+y0hgbFGw4HA7jwcNHRouO3Ywjx04YhpGyxt8wDOPc+YtGx+59jWr1msUvCwsLNxq0&#10;6GCc+e28YRiG8cVX3xi9A943DMNw2nX+JP59Bhl3791PsDy1XP/vj51kLF31uWEYhvHg4SOjXdfe&#10;xv37D1LF+E/6aJaxbcfu+K8Xr1htzFm03DCMp1//KeW9a7dHG7UatjTuP3hoGIZhXLx8xajXtK1h&#10;GKnj2j977oLRtJ2fcf/+A8MwDGPLth1Gr4DhyZL/7/7/JrHXpsyYbfy0Y7dx8tQZY+D7Yw3D+PPf&#10;1f+PW3v/IpeuXNXlq9dUv05NSVKhAvlUplQJbflph67fuKlsWbPIZrMpjZubIiIjteLTtWre5E25&#10;ubk9s0zdOrdX53ZvK+MLGeKXrV2/UW1bNpWHh7ssFou6vtNWa9ZvlCQ9fPhI6dN5Knu2rLp244Ye&#10;hYXp+63b1bRhvWeW8WnOX7ys4kULy2q1ymq1qMwrJXX23IVEx/nW7TvK/GImSVL2rFl17foNHTxy&#10;VOnSpVOBfHmTLXuxIoU08YNhslqtcjgcunf/QfxPhGvWb5Rfh9ayWCxKn85TbZo30Rfrv5GUssY/&#10;JiZGY4I+0pB+vR5b/t2P21S+zCvKl9dHktS4QV2dOXdeV6/fcNp1/iThERHycE84g5Qarv/bd+7q&#10;2Ilf1a5VU0lS+nSeWjZ3ury80qeK8X+7eWO9XKKoJMkwDH258Vs1rl9H0tOv/5Ty3rXZbPJwd9ed&#10;u3clSTdv3VbGjC9ISh3X/qnTZ1X65RLy8kovSapWpaL2hh7Snbv3nnn+v/v/m8Reu3bjlrJnzRL3&#10;Xrx+Q5IUMn+Jevp1THBcitS/yIVLl5XH2/uxZXl9cuv8xUvKmye3fjt3XuEREYp1OBQVZdfPu/fq&#10;zTded07O3H/m9M6ZQ7du3VZ0dIwyv5hJN27e0pmz5/RSHh8tWfmZ2rRoEj8Nm5x8K5VX9dcqx399&#10;9PhJFS1UMNFxzpEtm65dvyGHw9DZc+eVx8dbcxYuV/cu7ZM7viRp2sfzVfetNpKkN994XVFRdt1/&#10;8EDZs2X9M3ue3Dp/6ZIkpajxn7NouWr4Vo7/R/cPFy5dVh6fP8ffYrEoT+5cunjpcoq6zsMjIjQ2&#10;KFhturyrEeOC9ODBwz/zp/Dr/7fzF1SkUH7NXrhMbbq8q849+2tv6ME/86fw8ffxzqUMXl6SpD37&#10;D8rHO5eyZc2S6PWfUt67VqtFIwb3Uwf/vnqzZUcFDB+r0UMHSEodY1+4YH7tDT0UXz7WbdikFzJ4&#10;6eq1607Jn9j7LbHX8vp46+y58zrz2znlzeOj3fsOKEe2rPLJnSvBMShSz4lyZV6Rp6enhn0wUQN6&#10;+Wvh8k/UsU1LXbh0WQOGj9HA98fq8pVrzo6pAb27KXDqTF2/cVOvliml0EO/qG6t6pq7eIXeGzJK&#10;S1d9lmxZsmfLqhLFCkuStu/coxs3b6lmtSqJbuPh4a7WzZuo39BRqlzhVf127oIK5MurFzJ4aXTg&#10;FPUdPFI79+5PjviSpL49/PTtF6uUJXMmzVu84i/XTynjf+iXYzpy9ITatGj6t7ZLSde5X4c26t29&#10;i1YumKXcuXLqo5B5f7lNShn/sLBwHTh8VMWLFtbKBbM0pH8vjZowRfcfPEh0u5Q0/n9Y8+XXeuvN&#10;N/5yvZTy3r17774mfjRTS+ZM04bVSzR1wigNHzNRdrs90e1Sytjn8fFW726dNHDEOLX376PIyCjl&#10;zpVTnp4eqSL/H9q2fEvbdu7RytVfqHvndpq/ZKW6dmqnrdt3qe/gkRobFBz/PaFI/Yv4eOfSuYuX&#10;Hlt27sJF5cntLYvFovd6+il44gfKk9tb/zl5SjV8Kytk/lK907alWjZtpDmLliVfzgsX47++dOWq&#10;Mmd+Ua6uLipauKA+Chyt4QP7asnKz+TXobXOnjuvX46dUPDED/Tzrr26ePlKsuT8w5affta8JSs1&#10;efwIWSyWRMdZipv5mTZpjNq0aKpFyz9Vlw6tteGb75TXJ7cCRw3VlBlznnnmX0+f1YVLlyXF/YRb&#10;r3ZN7Qk9qDRp3JTBy0tXf/9pUZLOnb8YP8OWUsZ/y7YdCo+IUPd+g/XugOEKj4iQf99BWrxidYLr&#10;xzAMnb94Wbm9c6WY6zwiMlJVKpZT1t9vp9avW0vH/vOrpNRx/WfPllWGYahq5QqS4m5fF8iXV7+d&#10;v5gqxv8Pt27f0YlfT8v39/P4q+s/Jbx3Dxz6RQXy5dVLeXJLkkqVLCZPDw+dPH021Yx97RpVtWzu&#10;dC2bO11NG9XX5avXlDN7NqfkT+z9lthrGby8NGHkEH04boSOnvhVL5copqyZX1RwyDwFjXlfWTK/&#10;qG+++1ESRepfxTtnDnnnzK6Nm7dIivttkwOHjyaYRZmzaLm6dY6bro6MjFSG9OmVwSu9IiOjkiVn&#10;00b1tfKzLxQeHiHDMDRv8Uo1+/23mf5w8fIVXbx0RZUrvKrIyCh5pY+73+7llV5RUYn/ZJZUHA5D&#10;cxct17dbftLsjyYqU8aMkv73cd64+QdVKl9WGV/IoMioKHl5pZe7e1o5Yh3PPPsvx05oxuyFio2N&#10;lRQ3o1a8aNzsWrNG9bVg6SoZhqGHj8K08vN1eqvR48/gOHv8+7/rr2Vzp2vutCDNmjJeHu7umjst&#10;SO+0banaNapq34HDOnvugiTpy6+/Vf68eZTjv27XSM69ztdt2KTJ0z+WwxH3vf55116VKBI3/qnh&#10;+i9cML9ezJRRR46dkBT328C/nb+ovD65U8X4/2Hdhk2qX6dm/G9OSv/b9e/M9+5LeX104uRpPXj4&#10;SFLc2F+9fkO5c+VMFWN/4eJlde09UPboaBmGoVnzFqte7Zpyc3NzSv7E3m//y3sxNjZWK1av1Ttt&#10;W8owDFkslt8L+Z95+PMH/zKjhvTX6MApmrNomdKmSatxIwY99ivTZ89d0J2791T2lZclSe+0baVp&#10;sxfIMAx1bvd2smR8pWRxNapfR2937inD4VClCq+qbcu3Hlvn4wVL1cOvg6S4B6fd3Fw1NihYmV54&#10;Idke/Fz9xXrNW7JS2bNmUat3ukuSvHPl0McfTfzLcbZHR2v12vWaHTxJktSg7uuaMGWG9h88rPat&#10;mz/z7G81rK+r12+ovX8fubq6Kq+Ptwb3e1eS1KF1C00KnqXGb3eSLBa1f7uZShYr8tj2KWH8n8bD&#10;w10fDBugIaMnKDIySt45c2j0sAGPrePs67xV00aaMWeh2nXtLTc3V+XMkT3+ofnUcv0Hjhqq8ZOn&#10;6cHDR7JarRrS7129kCHuuaOUPv5S3A9C6zdu1uxpkx5b/lfXv7Pfu/ny+qh753bqFTBcrq4ucsQ6&#10;NHJwv1Qz9j65c6n8q6XVpvO7io6JVoVXy6h3986SnPPeTez99r+8F9dt2KQavpXllT6dJKnFWw01&#10;YlyQIiIjNXJQP0mSxTAM428nAwAAALf2AAAAzKJIAQAAmESRAgAAMIkiBQAAYBJFCgAAwCSKFAAA&#10;gEkUKQAAAJMoUgAAACZRpAAAAEyiSAEAAJhEkQIAADCJIgUAAGASRQoAAMAkihQAAIBJFCkAAACT&#10;KFIAAAAmUaQAAABMokgBAACYRJECAAAwiSIFAABgEkUKAADAJIoUAACASRQpAAAAkyhSAAAAJlGk&#10;AAAATKJIAQAAmESRAgAAMOn/AJA1IJ7nxOwrAAAAAElFTkSuQmCCUEsBAi0AFAAGAAgAAAAhALGC&#10;Z7YKAQAAEwIAABMAAAAAAAAAAAAAAAAAAAAAAFtDb250ZW50X1R5cGVzXS54bWxQSwECLQAUAAYA&#10;CAAAACEAOP0h/9YAAACUAQAACwAAAAAAAAAAAAAAAAA7AQAAX3JlbHMvLnJlbHNQSwECLQAUAAYA&#10;CAAAACEA1Ek0/xoDAAAcBwAADgAAAAAAAAAAAAAAAAA6AgAAZHJzL2Uyb0RvYy54bWxQSwECLQAU&#10;AAYACAAAACEAqiYOvrwAAAAhAQAAGQAAAAAAAAAAAAAAAACABQAAZHJzL19yZWxzL2Uyb0RvYy54&#10;bWwucmVsc1BLAQItABQABgAIAAAAIQB9KY414gAAAAsBAAAPAAAAAAAAAAAAAAAAAHMGAABkcnMv&#10;ZG93bnJldi54bWxQSwECLQAKAAAAAAAAACEAk4gnO60zAACtMwAAFAAAAAAAAAAAAAAAAACCBwAA&#10;ZHJzL21lZGlhL2ltYWdlMS5wbmdQSwUGAAAAAAYABgB8AQAAYTsAAAAA&#10;">
                <v:shape id="TextBox 13" o:spid="_x0000_s1059" type="#_x0000_t202" style="position:absolute;left:17419;width:9895;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dZvwAAANwAAAAPAAAAZHJzL2Rvd25yZXYueG1sRE/LisIw&#10;FN0P+A/hCu7GRAUf1SgygzCDG626vzTXttjc1CZq/XuzEFweznuxam0l7tT40rGGQV+BIM6cKTnX&#10;cDxsvqcgfEA2WDkmDU/ysFp2vhaYGPfgPd3TkIsYwj5BDUUIdSKlzwqy6PuuJo7c2TUWQ4RNLk2D&#10;jxhuKzlUaiwtlhwbCqzpp6Dskt6shsDpZbbdpceh+n+6CSr8HZ+uWve67XoOIlAbPuK3+89oGKm4&#10;Np6JR0AuXwAAAP//AwBQSwECLQAUAAYACAAAACEA2+H2y+4AAACFAQAAEwAAAAAAAAAAAAAAAAAA&#10;AAAAW0NvbnRlbnRfVHlwZXNdLnhtbFBLAQItABQABgAIAAAAIQBa9CxbvwAAABUBAAALAAAAAAAA&#10;AAAAAAAAAB8BAABfcmVscy8ucmVsc1BLAQItABQABgAIAAAAIQBUI4dZvwAAANwAAAAPAAAAAAAA&#10;AAAAAAAAAAcCAABkcnMvZG93bnJldi54bWxQSwUGAAAAAAMAAwC3AAAA8wIAAAAA&#10;" fillcolor="#a5a5a5 [2092]" stroked="f">
                  <v:textbox>
                    <w:txbxContent>
                      <w:p w14:paraId="2561D925" w14:textId="77777777" w:rsidR="00D35C1E" w:rsidRDefault="00D35C1E" w:rsidP="005073E7">
                        <w:pPr>
                          <w:pStyle w:val="NormalWeb"/>
                          <w:spacing w:before="0" w:beforeAutospacing="0" w:after="0" w:afterAutospacing="0"/>
                        </w:pPr>
                        <w:r>
                          <w:rPr>
                            <w:rFonts w:asciiTheme="minorHAnsi" w:hAnsi="Calibri" w:cstheme="minorBidi"/>
                            <w:color w:val="000000" w:themeColor="text1"/>
                            <w:kern w:val="24"/>
                            <w:sz w:val="44"/>
                            <w:szCs w:val="44"/>
                          </w:rPr>
                          <w:t>Trainees</w:t>
                        </w:r>
                      </w:p>
                    </w:txbxContent>
                  </v:textbox>
                </v:shape>
                <v:shape id="Picture 310" o:spid="_x0000_s1060" type="#_x0000_t75" alt="chart978933450.png" style="position:absolute;top:4308;width:41485;height:3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2XxAAAANwAAAAPAAAAZHJzL2Rvd25yZXYueG1sRE9Na8JA&#10;EL0L/odlhN7MRkUpMavYQqE9FGlsJb1Ns2MSzc6G7DbGf989CD0+3ne6HUwjeupcbVnBLIpBEBdW&#10;11wq+Dy8TB9BOI+ssbFMCm7kYLsZj1JMtL3yB/WZL0UIYZeggsr7NpHSFRUZdJFtiQN3sp1BH2BX&#10;St3hNYSbRs7jeCUN1hwaKmzpuaLikv0aBcvF6jtvfuT+zX7Zp/j9eJ7nt4NSD5NhtwbhafD/4rv7&#10;VStYzML8cCYcAbn5AwAA//8DAFBLAQItABQABgAIAAAAIQDb4fbL7gAAAIUBAAATAAAAAAAAAAAA&#10;AAAAAAAAAABbQ29udGVudF9UeXBlc10ueG1sUEsBAi0AFAAGAAgAAAAhAFr0LFu/AAAAFQEAAAsA&#10;AAAAAAAAAAAAAAAAHwEAAF9yZWxzLy5yZWxzUEsBAi0AFAAGAAgAAAAhAO7A/ZfEAAAA3AAAAA8A&#10;AAAAAAAAAAAAAAAABwIAAGRycy9kb3ducmV2LnhtbFBLBQYAAAAAAwADALcAAAD4AgAAAAA=&#10;">
                  <v:imagedata r:id="rId29" o:title="chart978933450" cropright="23542f"/>
                  <v:path arrowok="t"/>
                </v:shape>
              </v:group>
            </w:pict>
          </mc:Fallback>
        </mc:AlternateContent>
      </w:r>
    </w:p>
    <w:p w14:paraId="5A048807" w14:textId="77777777" w:rsidR="009E1917" w:rsidRDefault="009E1917" w:rsidP="00AA1495">
      <w:pPr>
        <w:spacing w:line="480" w:lineRule="auto"/>
        <w:rPr>
          <w:rFonts w:ascii="Times New Roman" w:hAnsi="Times New Roman" w:cs="Times New Roman"/>
          <w:b/>
          <w:sz w:val="24"/>
          <w:szCs w:val="24"/>
        </w:rPr>
      </w:pPr>
    </w:p>
    <w:p w14:paraId="340BFB60" w14:textId="4F2D676A" w:rsidR="009E1917" w:rsidRDefault="009E1917" w:rsidP="00AA1495">
      <w:pPr>
        <w:spacing w:line="480" w:lineRule="auto"/>
        <w:rPr>
          <w:rFonts w:ascii="Times New Roman" w:hAnsi="Times New Roman" w:cs="Times New Roman"/>
          <w:b/>
          <w:sz w:val="24"/>
          <w:szCs w:val="24"/>
        </w:rPr>
      </w:pPr>
    </w:p>
    <w:p w14:paraId="62C6FC4A" w14:textId="77777777" w:rsidR="009E1917" w:rsidRDefault="009E1917" w:rsidP="00AA1495">
      <w:pPr>
        <w:spacing w:line="480" w:lineRule="auto"/>
        <w:rPr>
          <w:rFonts w:ascii="Times New Roman" w:hAnsi="Times New Roman" w:cs="Times New Roman"/>
          <w:b/>
          <w:sz w:val="24"/>
          <w:szCs w:val="24"/>
        </w:rPr>
      </w:pPr>
    </w:p>
    <w:p w14:paraId="36577C45" w14:textId="77777777" w:rsidR="009E1917" w:rsidRDefault="009E1917" w:rsidP="00AA1495">
      <w:pPr>
        <w:spacing w:line="480" w:lineRule="auto"/>
        <w:rPr>
          <w:rFonts w:ascii="Times New Roman" w:hAnsi="Times New Roman" w:cs="Times New Roman"/>
          <w:b/>
          <w:sz w:val="24"/>
          <w:szCs w:val="24"/>
        </w:rPr>
      </w:pPr>
    </w:p>
    <w:p w14:paraId="2E95F79D" w14:textId="77777777" w:rsidR="009E1917" w:rsidRDefault="009E1917" w:rsidP="00AA1495">
      <w:pPr>
        <w:spacing w:line="480" w:lineRule="auto"/>
        <w:rPr>
          <w:rFonts w:ascii="Times New Roman" w:hAnsi="Times New Roman" w:cs="Times New Roman"/>
          <w:b/>
          <w:sz w:val="24"/>
          <w:szCs w:val="24"/>
        </w:rPr>
      </w:pPr>
    </w:p>
    <w:p w14:paraId="521C42C1" w14:textId="77777777" w:rsidR="009E1917" w:rsidRDefault="009E1917" w:rsidP="00AA1495">
      <w:pPr>
        <w:spacing w:line="480" w:lineRule="auto"/>
        <w:rPr>
          <w:rFonts w:ascii="Times New Roman" w:hAnsi="Times New Roman" w:cs="Times New Roman"/>
          <w:b/>
          <w:sz w:val="24"/>
          <w:szCs w:val="24"/>
        </w:rPr>
      </w:pPr>
    </w:p>
    <w:p w14:paraId="616755F7" w14:textId="77777777" w:rsidR="009E1917" w:rsidRDefault="009E1917" w:rsidP="00AA1495">
      <w:pPr>
        <w:spacing w:line="480" w:lineRule="auto"/>
        <w:rPr>
          <w:rFonts w:ascii="Times New Roman" w:hAnsi="Times New Roman" w:cs="Times New Roman"/>
          <w:b/>
          <w:sz w:val="24"/>
          <w:szCs w:val="24"/>
        </w:rPr>
      </w:pPr>
    </w:p>
    <w:p w14:paraId="48F7A46A" w14:textId="77777777" w:rsidR="009E1917" w:rsidRDefault="009E1917" w:rsidP="00AA1495">
      <w:pPr>
        <w:spacing w:line="480" w:lineRule="auto"/>
        <w:rPr>
          <w:rFonts w:ascii="Times New Roman" w:hAnsi="Times New Roman" w:cs="Times New Roman"/>
          <w:b/>
          <w:sz w:val="24"/>
          <w:szCs w:val="24"/>
        </w:rPr>
      </w:pPr>
    </w:p>
    <w:p w14:paraId="5C1D77E3" w14:textId="77777777" w:rsidR="007169A7" w:rsidRDefault="007169A7" w:rsidP="00AA1495">
      <w:pPr>
        <w:spacing w:line="480" w:lineRule="auto"/>
        <w:rPr>
          <w:rFonts w:ascii="Times New Roman" w:hAnsi="Times New Roman" w:cs="Times New Roman"/>
          <w:b/>
          <w:sz w:val="24"/>
          <w:szCs w:val="24"/>
        </w:rPr>
      </w:pPr>
    </w:p>
    <w:p w14:paraId="4529C4AF" w14:textId="77777777" w:rsidR="007D4061" w:rsidRDefault="009E1917" w:rsidP="007D4061">
      <w:pPr>
        <w:spacing w:line="480" w:lineRule="auto"/>
        <w:rPr>
          <w:rFonts w:ascii="Times New Roman" w:hAnsi="Times New Roman" w:cs="Times New Roman"/>
          <w:sz w:val="24"/>
          <w:szCs w:val="24"/>
        </w:rPr>
      </w:pPr>
      <w:r>
        <w:rPr>
          <w:rFonts w:ascii="Times New Roman" w:hAnsi="Times New Roman" w:cs="Times New Roman"/>
          <w:b/>
          <w:sz w:val="24"/>
          <w:szCs w:val="24"/>
        </w:rPr>
        <w:t>Figure 3.11.</w:t>
      </w:r>
      <w:r w:rsidRPr="006F3B00">
        <w:rPr>
          <w:rFonts w:ascii="Times New Roman" w:hAnsi="Times New Roman" w:cs="Times New Roman"/>
          <w:b/>
          <w:sz w:val="24"/>
          <w:szCs w:val="24"/>
        </w:rPr>
        <w:t xml:space="preserve"> Trainee </w:t>
      </w:r>
      <w:r>
        <w:rPr>
          <w:rFonts w:ascii="Times New Roman" w:hAnsi="Times New Roman" w:cs="Times New Roman"/>
          <w:b/>
          <w:sz w:val="24"/>
          <w:szCs w:val="24"/>
        </w:rPr>
        <w:t>response</w:t>
      </w:r>
      <w:r w:rsidRPr="006F3B00">
        <w:rPr>
          <w:rFonts w:ascii="Times New Roman" w:hAnsi="Times New Roman" w:cs="Times New Roman"/>
          <w:b/>
          <w:sz w:val="24"/>
          <w:szCs w:val="24"/>
        </w:rPr>
        <w:t xml:space="preserve"> to the statement:</w:t>
      </w:r>
      <w:r>
        <w:rPr>
          <w:rFonts w:ascii="Times New Roman" w:hAnsi="Times New Roman" w:cs="Times New Roman"/>
          <w:b/>
          <w:sz w:val="24"/>
          <w:szCs w:val="24"/>
        </w:rPr>
        <w:t xml:space="preserve"> </w:t>
      </w:r>
      <w:r w:rsidRPr="006F3B00">
        <w:rPr>
          <w:rFonts w:ascii="Times New Roman" w:hAnsi="Times New Roman" w:cs="Times New Roman"/>
          <w:b/>
          <w:sz w:val="24"/>
          <w:szCs w:val="24"/>
        </w:rPr>
        <w:t>Your assessors are engaged a</w:t>
      </w:r>
      <w:r>
        <w:rPr>
          <w:rFonts w:ascii="Times New Roman" w:hAnsi="Times New Roman" w:cs="Times New Roman"/>
          <w:b/>
          <w:sz w:val="24"/>
          <w:szCs w:val="24"/>
        </w:rPr>
        <w:t>nd helpful when completing WBAs</w:t>
      </w:r>
    </w:p>
    <w:p w14:paraId="3704C467" w14:textId="4D620A16" w:rsidR="00863DF5" w:rsidRPr="007D4061" w:rsidRDefault="00863DF5" w:rsidP="00E41ED0">
      <w:pPr>
        <w:spacing w:line="240" w:lineRule="auto"/>
        <w:rPr>
          <w:rFonts w:ascii="Times New Roman" w:hAnsi="Times New Roman" w:cs="Times New Roman"/>
          <w:sz w:val="24"/>
          <w:szCs w:val="24"/>
        </w:rPr>
      </w:pPr>
      <w:r w:rsidRPr="006F3B00">
        <w:rPr>
          <w:rFonts w:ascii="Times New Roman" w:hAnsi="Times New Roman" w:cs="Times New Roman"/>
          <w:b/>
          <w:sz w:val="24"/>
          <w:szCs w:val="24"/>
        </w:rPr>
        <w:lastRenderedPageBreak/>
        <w:t>Question 10 for assessors:</w:t>
      </w:r>
      <w:r w:rsidRPr="006F3B00">
        <w:rPr>
          <w:rFonts w:ascii="Times New Roman" w:hAnsi="Times New Roman" w:cs="Times New Roman"/>
          <w:sz w:val="24"/>
          <w:szCs w:val="24"/>
        </w:rPr>
        <w:t xml:space="preserve"> </w:t>
      </w:r>
      <w:r w:rsidRPr="006F3B00">
        <w:rPr>
          <w:rFonts w:ascii="Times New Roman" w:hAnsi="Times New Roman" w:cs="Times New Roman"/>
          <w:b/>
          <w:sz w:val="24"/>
          <w:szCs w:val="24"/>
        </w:rPr>
        <w:t>Trainees select appropriate cases for</w:t>
      </w:r>
      <w:r w:rsidR="00F66954">
        <w:rPr>
          <w:rFonts w:ascii="Times New Roman" w:hAnsi="Times New Roman" w:cs="Times New Roman"/>
          <w:b/>
          <w:sz w:val="24"/>
          <w:szCs w:val="24"/>
        </w:rPr>
        <w:t xml:space="preserve"> WBAs (Figure </w:t>
      </w:r>
      <w:r w:rsidR="00A50523">
        <w:rPr>
          <w:rFonts w:ascii="Times New Roman" w:hAnsi="Times New Roman" w:cs="Times New Roman"/>
          <w:b/>
          <w:sz w:val="24"/>
          <w:szCs w:val="24"/>
        </w:rPr>
        <w:t>3.</w:t>
      </w:r>
      <w:r w:rsidR="005073E7">
        <w:rPr>
          <w:rFonts w:ascii="Times New Roman" w:hAnsi="Times New Roman" w:cs="Times New Roman"/>
          <w:b/>
          <w:sz w:val="24"/>
          <w:szCs w:val="24"/>
        </w:rPr>
        <w:t>12</w:t>
      </w:r>
      <w:r w:rsidR="00F66954">
        <w:rPr>
          <w:rFonts w:ascii="Times New Roman" w:hAnsi="Times New Roman" w:cs="Times New Roman"/>
          <w:b/>
          <w:sz w:val="24"/>
          <w:szCs w:val="24"/>
        </w:rPr>
        <w:t>)</w:t>
      </w:r>
    </w:p>
    <w:p w14:paraId="4CEF6F18" w14:textId="49ADDA4A" w:rsidR="00863DF5" w:rsidRPr="006F3B00" w:rsidRDefault="00863DF5" w:rsidP="00E41ED0">
      <w:pPr>
        <w:spacing w:after="120" w:line="240" w:lineRule="auto"/>
        <w:rPr>
          <w:rFonts w:ascii="Times New Roman" w:hAnsi="Times New Roman" w:cs="Times New Roman"/>
          <w:sz w:val="24"/>
          <w:szCs w:val="24"/>
        </w:rPr>
      </w:pPr>
      <w:r w:rsidRPr="006F3B00">
        <w:rPr>
          <w:rFonts w:ascii="Times New Roman" w:hAnsi="Times New Roman" w:cs="Times New Roman"/>
          <w:sz w:val="24"/>
          <w:szCs w:val="24"/>
        </w:rPr>
        <w:t>51% of respondents strongly agreed or agreed and only 18% strongly disagreed or disagreed that trainees selected appropriate cases for assessment.</w:t>
      </w:r>
      <w:r w:rsidR="003E178E">
        <w:rPr>
          <w:rFonts w:ascii="Times New Roman" w:hAnsi="Times New Roman" w:cs="Times New Roman"/>
          <w:sz w:val="24"/>
          <w:szCs w:val="24"/>
        </w:rPr>
        <w:t xml:space="preserve"> 31% of assessors neither agreed nor disagreed with the statement</w:t>
      </w:r>
      <w:r w:rsidR="007169A7">
        <w:rPr>
          <w:rFonts w:ascii="Times New Roman" w:hAnsi="Times New Roman" w:cs="Times New Roman"/>
          <w:sz w:val="24"/>
          <w:szCs w:val="24"/>
        </w:rPr>
        <w:t>.</w:t>
      </w:r>
    </w:p>
    <w:p w14:paraId="64FDC70E" w14:textId="2D9C293E" w:rsidR="009E1917" w:rsidRDefault="00690489" w:rsidP="00C5196A">
      <w:pPr>
        <w:spacing w:after="0" w:line="480" w:lineRule="auto"/>
        <w:rPr>
          <w:rFonts w:ascii="Times New Roman" w:hAnsi="Times New Roman" w:cs="Times New Roman"/>
          <w:b/>
          <w:sz w:val="24"/>
          <w:szCs w:val="24"/>
        </w:rPr>
      </w:pPr>
      <w:r w:rsidRPr="009E1917">
        <w:rPr>
          <w:rFonts w:ascii="Times New Roman" w:hAnsi="Times New Roman" w:cs="Times New Roman"/>
          <w:b/>
          <w:noProof/>
          <w:sz w:val="24"/>
          <w:szCs w:val="24"/>
        </w:rPr>
        <mc:AlternateContent>
          <mc:Choice Requires="wpg">
            <w:drawing>
              <wp:anchor distT="0" distB="0" distL="114300" distR="114300" simplePos="0" relativeHeight="251691008" behindDoc="0" locked="0" layoutInCell="1" allowOverlap="1" wp14:anchorId="1354AE9B" wp14:editId="5AE6F9A0">
                <wp:simplePos x="0" y="0"/>
                <wp:positionH relativeFrom="column">
                  <wp:posOffset>2028825</wp:posOffset>
                </wp:positionH>
                <wp:positionV relativeFrom="paragraph">
                  <wp:posOffset>245110</wp:posOffset>
                </wp:positionV>
                <wp:extent cx="5219700" cy="4129405"/>
                <wp:effectExtent l="0" t="0" r="0" b="4445"/>
                <wp:wrapNone/>
                <wp:docPr id="296" name="Group 11"/>
                <wp:cNvGraphicFramePr/>
                <a:graphic xmlns:a="http://schemas.openxmlformats.org/drawingml/2006/main">
                  <a:graphicData uri="http://schemas.microsoft.com/office/word/2010/wordprocessingGroup">
                    <wpg:wgp>
                      <wpg:cNvGrpSpPr/>
                      <wpg:grpSpPr>
                        <a:xfrm>
                          <a:off x="0" y="0"/>
                          <a:ext cx="5219700" cy="4129405"/>
                          <a:chOff x="0" y="0"/>
                          <a:chExt cx="4565951" cy="4653829"/>
                        </a:xfrm>
                      </wpg:grpSpPr>
                      <pic:pic xmlns:pic="http://schemas.openxmlformats.org/drawingml/2006/picture">
                        <pic:nvPicPr>
                          <pic:cNvPr id="300" name="Picture 300" descr="chart978919300.png"/>
                          <pic:cNvPicPr>
                            <a:picLocks noChangeAspect="1"/>
                          </pic:cNvPicPr>
                        </pic:nvPicPr>
                        <pic:blipFill rotWithShape="1">
                          <a:blip r:embed="rId30"/>
                          <a:srcRect r="36291"/>
                          <a:stretch/>
                        </pic:blipFill>
                        <pic:spPr>
                          <a:xfrm>
                            <a:off x="0" y="430887"/>
                            <a:ext cx="4565951" cy="4222942"/>
                          </a:xfrm>
                          <a:prstGeom prst="rect">
                            <a:avLst/>
                          </a:prstGeom>
                        </pic:spPr>
                      </pic:pic>
                      <wps:wsp>
                        <wps:cNvPr id="301" name="TextBox 10"/>
                        <wps:cNvSpPr txBox="1"/>
                        <wps:spPr>
                          <a:xfrm>
                            <a:off x="1824714" y="0"/>
                            <a:ext cx="1125647" cy="430887"/>
                          </a:xfrm>
                          <a:prstGeom prst="rect">
                            <a:avLst/>
                          </a:prstGeom>
                          <a:solidFill>
                            <a:schemeClr val="bg1">
                              <a:lumMod val="65000"/>
                            </a:schemeClr>
                          </a:solidFill>
                        </wps:spPr>
                        <wps:txbx>
                          <w:txbxContent>
                            <w:p w14:paraId="7ED491E6" w14:textId="77777777" w:rsidR="00D35C1E" w:rsidRDefault="00D35C1E" w:rsidP="009E1917">
                              <w:pPr>
                                <w:pStyle w:val="NormalWeb"/>
                                <w:spacing w:before="0" w:beforeAutospacing="0" w:after="0" w:afterAutospacing="0"/>
                              </w:pPr>
                              <w:r>
                                <w:rPr>
                                  <w:rFonts w:asciiTheme="minorHAnsi" w:hAnsi="Calibri" w:cstheme="minorBidi"/>
                                  <w:color w:val="000000" w:themeColor="text1"/>
                                  <w:kern w:val="24"/>
                                  <w:sz w:val="44"/>
                                  <w:szCs w:val="44"/>
                                </w:rPr>
                                <w:t>Assessors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54AE9B" id="Group 11" o:spid="_x0000_s1061" style="position:absolute;margin-left:159.75pt;margin-top:19.3pt;width:411pt;height:325.15pt;z-index:251691008;mso-width-relative:margin;mso-height-relative:margin" coordsize="45659,4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rKOFwMAAB0HAAAOAAAAZHJzL2Uyb0RvYy54bWycVd9v2yAQfp+0/wH5&#10;vfGPxElsNam6dq0mdVu0dtozwdhGtYEBTpz/fgc4adOs2tqHOHDA8d133x3nF33boA1Vmgm+COJR&#10;FCDKiSgYrxbBz4ebs3mAtMG8wI3gdBHsqA4ulh8/nG9lThNRi6agCoETrvOtXAS1MTIPQ01q2mI9&#10;EpJyWCyFarGBqarCQuEteG+bMImiabgVqpBKEKo1WK/9YrB0/suSEvO9LDU1qFkEgM24r3Lftf2G&#10;y3OcVwrLmpEBBn4HihYzDpceXF1jg1Gn2ImrlhEltCjNiIg2FGXJCHUxQDRx9CKaWyU66WKp8m0l&#10;DzQBtS94erdb8m2zUogViyDJpgHiuIUkuXtRHFt2trLKYdOtkvdypQZD5Wc24L5Urf2HUFDveN0d&#10;eKW9QQSMaRJnswjoJ7A2iZNsEqWeeVJDek7OkfrzcHKSTtMsjYeT03Q8TzJ7MtxfHFp8BziSkRx+&#10;A1EwOiHq34KCU6ZTNBictP/lo8XqsZNnkFOJDVuzhpmd0ydkz4LimxUjK+UnT5yPLSmec1i31yJn&#10;KqgmIFJSY2Wy2TyLMzCPJK9s7NafdeEdYhvwnSCPGnFxVWNe0UstQfdQjY6p4+2hnR6hWTdM3rCm&#10;QUqYX8zU9zWWoIHYydkuDkQAnhei+wuXXtDXgnQt5cZXqKINcCK4rpnUAVI5bdcUBKe+FA4hzrUi&#10;PwAxgivG0yTbW42ihtQ22xb0HqcnQIMYX5XfZBzN5zOvsL0Gj5WUJCDC5EhJQKTS5paKFtkB4ANI&#10;jgS8udPGi26/ZcDkUTh4ANEWC3QxvWcMZiecvalQXSoAgnX7XDRQD140DxDdJ9Gj2DWyYZutU2R6&#10;sA8SsPZX+IrnyWQWTwJ0WrRxnKTTyWwovQOjh8p7I1+QZdGwwirN5s01eHrVKLTB0JrXlddb07Vf&#10;ReFt0zSC8vC8H7a70n/mCep/H5wdmX7du24GMcFJa1qLYgeEbKHHLwL9u8O2tpVproR7EiwYLi47&#10;I0rmkvx0Bu6yE0ioG7ke7O4f3gvb5J/P3a6nV23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i9qMeEAAAALAQAADwAAAGRycy9kb3ducmV2LnhtbEyPTUvDQBCG74L/YRnBm92s&#10;tSGN2ZRS1FMRbAXxNk2mSWh2NmS3Sfrv3Z7sbT4e3nkmW02mFQP1rrGsQc0iEMSFLRuuNHzv358S&#10;EM4jl9haJg0XcrDK7+8yTEs78hcNO1+JEMIuRQ21910qpStqMuhmtiMOu6PtDfrQ9pUsexxDuGnl&#10;cxTF0mDD4UKNHW1qKk67s9HwMeK4nqu3YXs6bi6/+8Xnz1aR1o8P0/oVhKfJ/8Nw1Q/qkAengz1z&#10;6USrYa6Wi4CGIolBXAH1osLkoCFOkiXIPJO3P+R/AAAA//8DAFBLAwQKAAAAAAAAACEA/2d637Mz&#10;AACzMwAAFAAAAGRycy9tZWRpYS9pbWFnZTEucG5niVBORw0KGgoAAAANSUhEUgAAAlIAAAFeCAYA&#10;AABO9fGVAAAACXBIWXMAAA9hAAAPYQGoP6dpAAAgAElEQVR4nO3dd0BV5ePH8c+9F1BAMc0torln&#10;puYOZ2pqjpy5UxFHjlTcMxdKarjIvUdZmpmZWZlpbnHlyBy59x6MC9zz+4Oirz+U6oRcyPfrrzj3&#10;nOd8zuO59OG5F67FMAxDSPFCQ0NVunRpZ8cw7fadO8qQPr2zY5iWkvOn5OwS+Z2N/M6TkrNLKT+/&#10;FHsNVmeHAAAASKkoUgAAACZRpAAAAEyiSAEAAJhEkQIAADCJIgUAAGASRQoAAMAkihQAAIBJFCkA&#10;AACTXJwdAInHsuU908caVYMTMQkAAM8HVqQAAABMokgBAACYRJECAAAwiSIFAABgEkUKAADAJIoU&#10;AACASRQpAAAAkyhSAAAAJlGkAAAATKJIAQAAmESRAgAAMIkiBQAAYBJFCgAAwCSKFAAAgEkUKQAA&#10;AJOcWqS2bNupdv691Na/l9r599K+A4ckSTExMdq6fVeSZnmn23s6duJkkp4TAACkbE4rUnfu3tMH&#10;0z5S8MTRWjpnmoYE9NKQ9ycqJiZGYeERen/Ch0mSY0/oATkcjmd6jqPHT+j+g4fP9BwAACDpuTjr&#10;xHfv3VeqVG7ySptGklSoQD7NnRYki8WqkeMn6VFYmLr3HawihQqoh38HDRgxTnVrVlfIvEVqWK+2&#10;WjdvrCUrP9OWbTtktVpVpFB+9e7mJ5vNpgEjxqmab0WtWrNOV6/fUIfWzdW8cQNJUsjcxTp89Lis&#10;VosyvphBERGRKlu65GPZevUfrqaN6qlypfKSpAEjxqlh3VqqVL7MY/vNnLtIW7fvlsUi1axWWZ3a&#10;tZQkfb/lJ328+gt5enrIxcWmBw8eKXDUoCdew/JVa7R9117Z7VEqXrSQenfzkxRb8BYtXyXJInf3&#10;1Bo1uJ/SpvF8lv8kAADgH3Jakcrt460SxYqoTeeeqlmtsipXKq/8eV+SJL0/JECNWnZUyJTAx45Z&#10;ve4rTQsaoyyZM2n3vv3atmO35k7/QDabTSPHT9KaL79Ws0ZvSpL27j+o+TOn6Or162rRvquavVVf&#10;v546o30HDmlByBRJUve+g+XXrlW8bPXr1tS3P2xV5UrlFRYerpOnzqhC2dKP7RMRESkPd3d9vDBE&#10;DodD9Vu8ozYtmsjNzVUTg0O0ZvlcpfH01PwlKxXjcChD+vTxrmHv/kM6cfJM3HX2GjBc+w4cUoG8&#10;eTRz7mLNmRqkVKnctHjFp1qxao26dGybuP8IAADgX3FakbJYLBo5qK/OnD2vrdt3aeiYiSr1cjEN&#10;6tvjqce8XtVXWbNkliTt3ndQVX0ryGazSZJqVa+i1es2xBWpiuVeldVqUfasWSRJUVFRcnGx6VFY&#10;uOxRUbLIooePwuTp6RHvPFVeq6DpsxbIHhWlH3/apZrVKstqffxV0NSpU8k7RzYNGD5Whgw9fPhI&#10;4RERSpXKTRaL9ODhI6Xx9NTde/eV7ffM//8adu4J1Zmz59Rv6GhJ0oMHDxUeHqEjx0/o1u07GjJ6&#10;giQpLCxMJYoXNTXPAADg2XFakTp24qRkGCpSqIDy5PZRq2aN1ODtDvLv0Fqurm5PPCadl9f/fGUk&#10;OL6LLf6l5X0pt4oVKaiuvQfK3d1d9evUVMH8eePt5+bqKt+K5bRj1z59+8NW9e3hH2+fQz8f0/JV&#10;axQyJVAe7u5q2LJD3GO9u/mpV/9hypwpk3L7eKvpW28+9Rrq1a6hlk0bPTb29l17VahAXk0aOyLB&#10;awQAAM7ltDeb37p1W+MnT9e9+/clSTdv35FhGPJw95Cbq6siIiMUGWlXTEzME48vW7qktmzbGff4&#10;ps0/qnyZUgmeMzo6WidPndGCkCmaOXlc3OqVJFlkkSPmzzedN6xXW2u+3KCoqCh5Z88Wb6xLV67K&#10;xzuHPNzddf7iJV29dkOGEVvu1m/8VnOnT9LMyePUv3c3ubm6PjFPqRLF9fWmzbLb7TIMQ4NHBer8&#10;xUsqXDC/Dh85rivXrkuSln68Wl9/+0OC1wYAAJKe01akfCuW07UbN9Wl90BZrVa5urrq/SEBSp06&#10;lSSpYb031Kydv/Lmya0PA0fFO758mVI6cfK0/HoEyGqzqnCB/GrSoG6C57RYLLJHRalWo5Zysdnk&#10;6emhhvVqq02LJipd8mUNHxukIQG9VKZUCRXIl0c3b91WmxaNnzhW1dcq6MuvN8m/V39lzZJFTRvW&#10;07AxQZo5eZx8vHOoUcuO8nBPLTc3N5UqUVyD+sV/yfK1CmV1/NdT6tC9r6xWq8qXKSUf7xySpGH9&#10;e2vA8LFysdmUIUN6jRna/x/OMAAAeNYsxh/LKM+BQSPHq3rlSqpZvbIsFouuXb+htv69tWntinj7&#10;Pnj4SJ169NOyudOfuqL0JJ+uXa/fzl1Qn+6d5erqIrvdrk49AjR8wHsqkC9PYl7OY0JDQ/Xqg6Wm&#10;jzeqBidimn/u9p07cW/IT4lScv6UnF0iv7OR33lScnYp5eeXYq/BaStSzlCvdg0t+2SN1n/znSwW&#10;ixwOh4YG9Iy33+Tps7XvwCG9183vH5UoSSr3aklt27FbfYeMksViUUyMQ9UrV4r7jUQAAPDf8VwV&#10;Kd+K5eRbsdxf7tevZxfT5/DxzqFpQWNMHw8AAFIOPmsPAADAJIoUAACASRQpAAAAkyhSAAAAJlGk&#10;AAAATKJIAQAAmESRAgAAMIkiBQAAYBJFCgAAwCSKFAAAgEkUKQAAAJMoUgAAACZRpAAAAExycXYA&#10;JB6jarCzIwAA8FxhRQoAAMAkihQAAIBJFCkAAACTKFIAAAAmUaQAAABMokgBAACYRJECAAAwiSIF&#10;AABgEkUKAADAJIoUAACASRQpAAAAkyhSAAAAJlGkAAAATKJIAQAAmESRAgAAMIkiBQAAYBJFCgAA&#10;wCSKFAAAgEkUKQAAAJNcnB0Aieet4V87OwLwXPt8TB1nRwCQxFiRAgAAMIkiBQAAYBJFCgAAwCSK&#10;FAAAgEkUKQAAAJMoUgAAACZRpAAAAEyiSAEAAJhEkQIAADCJIgUAAGASRQoAAMAkihQAAIBJFCkA&#10;AACTKFIAAAAmUaQAAABMokj9C03b+mvEuA+cHQMAADgJRcqko8dPyOFwaNuO3QoLC3/qfpGRdu0/&#10;dCQJkwEAgKTi4uwAKdX6jd+pacN6OnD4iL77cZsa1KklSQoLD9eo8ZMVERmpiMhIpX8hnYoWKqh0&#10;Xmm0cNkqZc6UUes3fqtNa1fq8pWrmjR9tux2u+x2uwJ6dVOBfHkUERGpSdNn6dr1G3r0KExvN2mo&#10;WjWqOPmKAQDA/8eKlAlRUdH6/sfteqNmNb35xutav/G7uMfWfrlRuXy8NS1ojKZOHK0Dh47q7aYN&#10;JUl79x9U9mxZtP7TJZKk0ROD9V43P82YNE69uvpp0rSPJEmLVqzSy0ULa/oHYzVzyngFh8xVZKQ9&#10;6S8UAAAkiBUpE7bt2KVihQsoQ/oXVKl8GY2bNE2Xr15T9qxZ5OJi09279yRJDx4+kovNKhdb7DTb&#10;bDY1bVhPkhQREamjx09o6qz5kiSHw6FUqVJJknbuCVXaNJ76cfsuSVK6dF56FBamVKnckvpSAQBA&#10;AihSJqzf+J2O/3pKTdp2liRFR0frq2++V+f2rdSofh359QhQ1/cGyc3NVaOH9ZfVapEkvZDOK24M&#10;Q4ZcXV00edyIeOMbhqFeXTupQL48SXNBAADAFF7a+4du37mro7/8qnUfL9LqpXO1eulchUwJ1Fe/&#10;v7x37JdfVaxwQc0KnqBpQWP0askSTxzHPXVqeWfPpu+3/CRJOnzkmCZ+OFOSVPqV4lq7fqOk2FWt&#10;bn0GyeEwkuDqAADAP8GK1D+08bstqlmtslxd/5y6QgXyySttGh38+ahezJBeGzZt1pZtOySLRRlf&#10;zKBundopc6YX4401elh/BU6eoeWr1kgWi4YF9JIk+bVrpcApM9S+63uKiYnRO62bx61qAQCA5MNi&#10;GAZLHYnEMAzVb/GO5kwLUvasWSRJ32/5SRu+3fzEl/ASU2hoqMauvf5MzwEgYZ+PqfOPj7l9544y&#10;pE//DNIkDfI7T0rOLqX8/FLsNbAilYgsFouaNKirUYGTlfr3N46ncnNTD/8OTk4GAACeBYpUIuvQ&#10;poU6tGnh7BgAACAJ8GZzAAAAkyhSAAAAJlGkAAAATKJIAQAAmESRAgAAMIkiBQAAYBJFCgAAwCSK&#10;FAAAgEkUKQAAAJMoUgAAACZRpAAAAEyiSAEAAJhEkQIAADDJxdkBkHg+H1PH2RFMu33njjKkT+/s&#10;GKal5PwpObuU8vMDSNlYkQIAADCJIgUAAGASRQoAAMAkihQAAIBJFCkAAACTKFIAAAAmUaQAAABM&#10;okgBAACYRJECAAAwiSIFAABgEkUKAADAJIoUAACASRQpAAAAkyhSAAAAJlGkAAAATKJIAQAAmESR&#10;AgAAMIkiBQAAYBJFCgAAwCQXZwdA4rH/YHF2BNPSSLI7O8S/kJLz/1V2t2pGUkUBgBSHFSkAAACT&#10;KFIAAAAmUaQAAABMokgBAACYRJECAAAwiSIFAABgEkUKAADAJIoUAACAScmuSNVv3l7zl6x8bFu/&#10;oaO1bcfuBI9bsPRjjftgqiTpzt17Ovjz0cceHzBinLZs25m4YQEAwHMt2RUpSVr52VqdOXv+Hx1T&#10;q0YVNXurviTp0M/HtOLTtc8imil7Qg/I4XA4OwYAAEhkyfIjYrp3fkejJ07RgplTZLU+3vUuX7mq&#10;SdNny263y263K6BXNxXIl0c7du3VhUtX1LJZI81euFS3bt9R976D1ajeG6pVo4okaf+hw1q04hNd&#10;u35THVo3V/PGDSTFFp1Fy1dJssjdPbVGDe6ntGk8NWDEONWtWV0h8xapYb3aat28cVyOsLBwjRj/&#10;ga5cvS6Hw6Ee/h1UqXwZSVLI3MU6fPS4rFaLMr6YQRERkSpbuuQTx1u+ao2279oruz1KxYsWUu9u&#10;fglmAgAAyUeyLFKvlS+jn48e17JP1qhdy6aPPTZ6YrCG9Ospn5w5dOTYCU2a9pHmTPsg7vHsWbOo&#10;S4e22vDtZgWNHvrYsXfu3tOCmR/q6vXratG+q5q9VV8PHjzUzLmLNWdqkFKlctPiFZ9qxao16tKx&#10;rSRp9bqvNC1ojLJkzvTYWFev31CNKr6qU7Oazpw9r7FBwapUvoxOnDytfQcOaUHIFElS976D5deu&#10;Vdxx/zve3v2HdOLkGYVMCZQk9RowXPsOHFKBvHkSzAQAAJKHZFmkJKlvjy5q599LVX0rxG2LiIjU&#10;0eMnNHXWfEmSw+FQqlSp/vaYVV6rIKvVouxZs0iSoqKidOT4Cd26fUdDRk+QJIWFhalE8aJxx7xe&#10;1VdZs2SON1aunDm05acd6jvkfUVHRethWJgkycXFpkdh4bJHRckiix4+CpOnp8cTx9u5J1Rnzp5T&#10;v6GjJUkPHjxUeHjEX2YCAADJQ7ItUmnTeKpfzy4aPeFDeXmllSQZMuTq6qLJ40aYGtPFFv9yDcNQ&#10;oQJ5NWnsk8dM5+X1xO2LV3yqW7fvaNLY4bpx85Z6DhguScr7Um4VK1JQXXsPlLu7u+rXqamC+fM+&#10;ZTxD9WrXUMumjR4be/uuvQlmAgAAyUOyfLP5H16rUFbeObJp1979kiT31KnlnT2bvt/ykyTp8JFj&#10;mvjhzHjHuaVy1d27dyVJMTExCZ6jcMH8OnzkuK5cuy5JWvrxan397Q9/me3SlasqkC+PrFardoce&#10;kAxDkhQdHa2Tp85oQcgUzZw8Ts0avfnUMUqVKK6vN22W3W6XYRgaPCpQ5y9eMp0JAAAkrWS7IvWH&#10;fj27ave+A3Ffjx7WX4GTZ2j5qjWSxaJhAb3iHVPy5WJaaHyiZu38VbNaZfl3aPPU8TOkf0HD+vfW&#10;gOFj5WKzKUOG9BoztP9f5mrRuIFGBU7WN9//qNKvFFfatGk0Z+EydWrXUvaoKNVq1FIuNps8PT3U&#10;sF5ttWnRJN4Yr1Uoq+O/nlKH7n1ltVpVvkwp+XjnkCRTmQAAQNKyGMbvSylIFINGjlf1ypVUs3pl&#10;WSwWXbt+Q239e2vT2hXP9LyhoaEqfv/VZ3oOPJ/cqiXvbxG379xRhvTpnR3DNPI7V0rOn5KzSyk/&#10;vxR7Dcl+RSqlqVe7hpZ9skbrv/lOFotFDodDQwN6OjsWAAB4BihSicy3Yjn5Vizn7BgAACAJJOs3&#10;mwMAACRnFCkAAACTKFIAAAAmUaR+9/2WnzTk/diPagk9eFjN23dxciIAAJDcUaSeoHCB/Aro1TVR&#10;xoqMtGv/oSOJMhYAAEheUsxv7XXq0U81Kr+mLzd+q7DwcL0/JECv/P75c0tWfqYt23bIarWqSKH8&#10;6t3NTzabTQNGjFPdmtUVMm+RGtarrdbNGz825pxFy/XD1u1K4+n52IcSX7l2TcEh87Ri/kzduXtP&#10;I8Z9oJiYGIWFhyugZzcVK1JQp387q7FBUxXjcMhmtWrs8IHKkT2rwsLDNWr8ZEVERioiMlLpX0in&#10;ooUKqlSJYmrZsbs6tWupiR/O1LSgMXopl48mTZ+la9dv6NGjML3dpKFq1agiSVq+ao2279oruz1K&#10;xYsWUu9ufkk32QAA4G9JMStSly5flbuHu1YuCFHn9q21YMnHkqTd+/Zr247dmjv9A82bMUn37j/Q&#10;mi+/jjtu9bqvNC1ojFo1e+ux8XbuCdVPO/do8axgzZ3+gdxcXZ943vUbv1PJl4spZEqgAnp205Hj&#10;v0iSLl+5pj49/LVk9lTVrV1Da7/aKEla++VG5fLx1rSgMZo6cbQOHDqqt5s2lCTdvXdfh34+pi9W&#10;LlShAvm0aMUqvVy0sKZ/MFYzp4xXcMhcRUbatXf/IZ04eUYhUwI1b8Yknf7tnPYdOJTocwoAAP6d&#10;FLMiFRUVraqvVZAk5Xkpl+4/fCBJ2r3voKr6VpDNZpMk1apeRavXbYj7jLvXq/oqa5bM8cbbu/+Q&#10;alarLDc3N0lShXKl9cPW7fH2K1qogMYEBcvFxabSr7yst5vElqLCBfNrwdKPtWTlp7p2/aaKFykk&#10;SXJxsenu3XuSpAcPH8nFZo37sGS7PUotmjSQh4e7pNgylzaNp37cvkuSlC6dlx6FhWnnnlCdOXtO&#10;/YaOjh3nwUOFh0f82ykEAACJLMUUKUlycXlS3IQ/viKdl9cTt8fExMhmtT729ZOUeqW4Zk8L0u69&#10;+zVt1gIVLVxQvbp21Ihxk9S4QR29XtVXGzZ9ryPHTkiSGtWvI78eAer63iC5ublq9LD+slotT8xj&#10;GIZ6de2kAvnyxLumerVrqGXTRgleGwAAcK4U89Le05QtXVJbtu2MK0KbNv+o8mVK/eVxpUoU03c/&#10;/iR7VJQMw9D2XXufuN+i5at09tx51a9TUwPe66bDR45Jki5fuapCBfJJkvaEHtQfH1l47JdfVaxw&#10;Qc0KnqBpQWP0askST81Q+pXiWrs+9iXBBw8fqVufQXI4DJUqUVxfb9osu90uwzA0eFSgzl+89Pcn&#10;BQAAJIkUtSL1JOXLlNKJk6fl1yNAVptVhQvkV5MGdf/yuCqvVdChI8fVxq+H0nl5qZpvxbj3P/2v&#10;ypXKK3DydC1avkp2e5S6dGwrSerSsa36DRmtTBkzyLdCOX32xXpt3b5LL+X20YZNm7Vl2w7JYlHG&#10;FzOoW6d2qlC2dLyx/dq1UuCUGWrf9T3FxMTondbNZbVa9FqFsjr+6yl16N5XVqtV5cuUko93jn8/&#10;WQAAIFFZjD+WUvCvGYah+i3e0ZxpQcqeNYuk2L9PteHbzZo8bsQzPXdoaKiK33/1mZ4Dzye3asn7&#10;W0RK/wR58jtXSs6fkrNLKT+/FHsNKX5FKjmxWCxq0qCuRgVOVupUqSRJqdzc1MO/g5OTAQCAZ4Ei&#10;lcg6tGmhDm1aODsGAABIAin+zeYAAADOQpECAAAwiSIFAABgEkUKAADAJIoUAACASRQpAAAAk/jz&#10;B/8hyf0PJyYkpf9htpScPyVnBwBnY0UKAADAJIoUAACASRQpAAAAkyhSAAAAJlGkAAAATKJIAQAA&#10;mESRAgAAMIkiBQAAYBJFCgAAwCSKFAAAgEkUKQAAAJMoUgAAACZRpAAAAEyiSAEAAJhEkQIAADCJ&#10;IgUAAGASRQoAAMAkihQAAIBJFCkAAACTXJwdAImnx+79zo7wL/32r46eUa5UIuUAAODvYUUKAADA&#10;JIoUAACASRQpAAAAkyhSAAAAJlGkAAAATKJIAQAAmESRAgAAMIkiBQAAYBJFCgAAwCSKFAAAgEkU&#10;KQAAAJMoUgAAACZRpAAAAEyiSAEAAJhEkQIAADDJxdkBnKV+8/ay2qyyWW2KioqSb6XyetevvTw9&#10;PRQWHq6mbTpr9rQg5cyR3dlRAQBAMvVcr0jNmDROa5bP06dL5ig6Olo9BwyXYRjycHfX4H49lS1L&#10;5kQ5z57QA3I4HIkyFgAASD6e2xWp/5U6dSoNfK+7mrTprL37D6ls6Vc0KnCK1q5cIE8PmyYGz9Rv&#10;584rIiJSjevXUaM331BYWLhGjP9AV65el8PhUA//DqpUvowkKWTuYh0+elxWq0UZX8ygiIhIlS1d&#10;UgNGjFPdmtUVMm+RGtarrdbNG2v5qjXavmuv7PYoFS9aSL27+UnSU7cDAIDkgyL1O5vNpmJFCunk&#10;6TMqW/qVuO2/nDylCxcva87UIIWFhys4ZJ4avfmGrl6/oRpVfFWnZjWdOXteY4OCVal8GZ04eVr7&#10;DhzSgpApkqTufQfLr12ruPFWr/tK04LGKEvmTNq7/5BOnDyjkCmBkqReA4Zr34FDMgw9cfurJUsk&#10;4YwAAIC/QpH6Hw7DIYssj23LkS2Lrly9pmmz5qtMqVfUv1c3SVKunDm05acd6jvkfUVHRethWJgk&#10;ycXFpkdh4bJHRckiix4+CpOnp0fceK9X9VXW318y3LknVGfOnlO/oaMlSQ8ePFR4eIQOHD76xO0A&#10;ACB5oUj9LiYmRkeOnVCTBnUf257Oy0vL58/Qnn0H9e3mrZq9cKkWfRSsxSs+1a3bdzRp7HDduHlL&#10;PQcMlyTlfSm3ihUpqK69B8rd3V3169RUwfx5HxvvT4bq1a6hlk0bPXbOA4ePPHE7AABIXp7rN5v/&#10;ISIiUhODQ5Q1c0aVKlH8scd27gnV6i82qKpvBQ0b0FtXr91QVFS0Ll25qgL58shqtWp36AHJMCRJ&#10;0dHROnnqjBaETNHMyePUrNGbTz1vqRLF9fWmzbLb7TIMQ4NHBer8xUtP3Q4AAJKX53pFqkfAUNms&#10;NtmjolSlUnkFTxgti+Xxl/ZKFCuitV9tVOee/eUwHGrfqplcXV3UonEDjQqcrG++/1GlXymutGnT&#10;aM7CZerUrqXsUVGq1ailXGw2eXp6qGG92mrTokm8879WoayO/3pKHbr3ldVqVfkypeTjnUM+3jme&#10;uB0AACQvFsP4fSkFiWLQyPGqXrmSalavLIvFomvXb6itf29tWrvimZ43NDRUC6Mtf73jf9iMcqWc&#10;du7bd+4oQ/r0Tjv/v5GSs0vkdzbyO09Kzi6l/PxS7DU81ytSz0K92jW07JM1Wv/Nd7JYLHI4HBoa&#10;0NPZsQAAwDNAkUpkvhXLybdiOWfHAAAASYA3mwMAAJhEkQIAADCJIgUAAGASRQoAAMAkihQAAIBJ&#10;FCkAAACTKFIAAAAmUaQAAABMokgBAACYRJECAAAwiSIFAABgEkUKAADAJIoUAACASS7ODoDEM6Nc&#10;KWdHMO32nTvKkD69s2MAAPCPsCIFAABgEkUKAADAJIoUAACASRQpAAAAkyhSAAAAJlGkAAAATKJI&#10;AQAAmESRAgAAMIkiBQAAYBJFCgAAwCSKFAAAgEkUKQAAAJMoUgAAACZRpAAAAEyiSAEAAJhEkQIA&#10;ADCJIgUAAGASRQoAAMAkihQAAIBJLs4OgEQ0qVHijRWwNvHGAgDgP4oVKQAAAJMoUgAAACZRpAAA&#10;AEyiSAEAAJhEkQIAADCJIgUAAGASRQoAAMAkihQAAIBJz3WR2rJtp9r591Jb/15q599L+w4ckiTF&#10;xMRo6/ZdSZrlnW7v6diJk0l6TgAA8O88t0Xqzt17+mDaRwqeOFpL50zTkIBeGvL+RMXExCgsPELv&#10;T/gwSXLsCT0gh8ORJOcCAACJ67n9iJi79+4rVSo3eaVNI0kqVCCf5k4LksVi1cjxk/QoLEzd+w5W&#10;kUIF1MO/gwaMGKe6NasrZN4iNaxXW62bN9aSlZ9py7YdslqtKlIov3p385PNZtOAEeNUzbeiVq1Z&#10;p6vXb6hD6+Zq3riBJClk7mIdPnpcVqtFGV/MoIiISJUtXfKxbL36D1fTRvVUuVJ5SdKAEePUsG4t&#10;VSpfJmknCQAAJOi5XZHK7eOtEsWKqE3nnpq/ZKVOnv5NuXy8ZbVa9P6QAHl6eChkSqB6+HeIO2b1&#10;uq80LWiMWjV7S7v37de2Hbs1d/oHmjdjku7df6A1X34dt+/e/Qc1f+YUzZ85WdNnL5RhGDpx8rT2&#10;HTikWcETFDIlUDdv3dbbTRrGy1a/bk19+8NWSVJYeLhOnjqjCmVLP/tJAQAA/8hzW6QsFotGDuqr&#10;8SMHy2azaeiYiZowZUaCx7xe1VdZs2SWxWLR7n0HVdW3gmw2mySpVvUq2rknNG7fiuVeldVqUfas&#10;WSRJUVFRcnGx6VFYuOxRUYqKitbDR2Hy9PSId54qr1XQoZ+PyR4VpR9/2qWa1SrLan1u/6kAAEi2&#10;ntuX9o6dOCkZhooUKqA8uX3UqlkjNXi7g/w7tJarq9sTj0nn5fU/XxkJju9iiz+1eV/KrWJFCqpr&#10;74Fyd3dX/To1VTB/3nj7ubm6yrdiOe3YtU/f/rBVfXv4/5NLAwAASeS5Xea4deu2xk+ernv370uS&#10;bt6+I8Mw5OHuITdXV0VERigy0q6YmJgnHl+2dElt2bYz7vFNm39U+TKlEjxndHS0Tp46owUhUzRz&#10;8jg1a/Rm3GMWWeSI+fNN5w3r1daaLzcoKipK3tmz/dvLBQAAz8BzuyLlW7Gcrt24qS69B8pqtcrV&#10;1VXvDwlQ6tSpJEkN672hZu38lVxspYYAABNZSURBVDdPbn0YOCre8eXLlNKJk6fl1yNAVptVhQvk&#10;V5MGdRM8p8VikT0qSrUatZSLzSZPTw81rFdbbVo0UemSL2v42CANCeilMqVKqEC+PLp567batGj8&#10;LC4fAAAkAothGAm/RoVEM2jkeFWvXEk1q1eWxWLRtes31Na/tzatXRFv3wcPH6lTj35aNne63Fxd&#10;/3Ls0NBQlf5hTOKFDVibeGP9Dbfv3FGG9OmT9JyJKSXnT8nZJfI7G/mdJyVnl1J+fin2Gp7bFSln&#10;qFe7hpZ9skbrv/lOFotFDodDQwN6xttv8vTZ2nfgkN7r5ve3ShQAAHAOilQS8q1YTr4Vy/3lfv16&#10;dkmCNAAA4N96bt9sDgAA8G9RpAAAAEyiSAEAAJhEkfrd3Xv3VatRK0lS6MHDat6e9ykBAICEUaSe&#10;oHCB/Aro1TVRxoqMtGv/oSOJMhYAAEhenuvf2tu6fZdmLVgqd/fUyp/npbjtV65dU3DIPK2YP1MO&#10;h6GJwTP127nzioiIVOP6ddTozTd0+rezGhs0VTEOh2xWq8YOH6gc2bMqLDxco8ZPVkRkpCIiI5X+&#10;hXQqWqigSpUoppYdu6tTu5aa+OFMTQsao5dy+WjS9Fm6dv2GHj0K09tNGqpWjSqSpOWr1mj7rr2y&#10;26NUvGgh9e7m56xpAgAAT/HcFql79+9r3KRpWjwrWFmzZNZX33yvzVt3xNvvl5OndOHiZc2ZGqSw&#10;8HAFh8xTozff0OUr19Snh79eLlpYn65dr7VfbdS7nd/R2i83KpePt97t/I7CIyLU8O2OGjNsgKTY&#10;lw8P/XxMX6xcKHf31Jq9cJleLlpYDfr3VnhEhJq09lOV1yro8NHjOnHyjEKmBEqSeg0Yrn0HDunV&#10;kiWSdI4AAEDCntsidfT4rypcML+yZsksSapQtrSmfjQ/3n45smXRlavXNG3WfJUp9Yr69+omSSpc&#10;ML8WLP1YS1Z+qmvXb6p4kUKSJBcXm+7evScp9q+Tu9iscR9gbLdHqUWTBvLwcJck7dwTqrRpPPXj&#10;9l2SpHTpvPQoLEw794TqzNlz6jd0dOw4Dx4qPDziGc4GAAAw47ktUtExMbJa/3yL2NM+nDidl5eW&#10;z5+hPfsO6tvNWzV74VIt+ihYI8ZNUuMGdfR6VV9t2PS9jhw7IUlqVL+O/HoEqOt7g+Tm5qrRw/rL&#10;arU8Nt4fDMNQr66dVCBfnv93VkP1atdQy6aNEu+CAQBAontu32xetFABHT1+Qtdv3pIkbdux+7HC&#10;84ede0K1+osNqupbQcMG9NbVazcUFRWty1euqlCBfJKkPaEH9cdHFh775VcVK1xQs4InaFrQmARf&#10;jiv9SnGtXb9RUuzqVbc+g+RwGCpVori+3rRZdrtdhmFo8KhAnb94KbGnAAAA/EvP7YrUixnSK6BX&#10;V/XoN0RpPD1V1bfiY6tFfyhRrIjWfrVRnXv2l8NwqH2rZnJ1dVGXjm3Vb8hoZcqYQb4VyumzL9Zr&#10;6/Zdeim3jzZs2qwt23ZIFosyvphB3Tq1U4WypeON7deulQKnzFD7ru8pJiZG77RuLqvVotcqlNXx&#10;X0+pQ/e+slqtKl+mlHy8cyTFtAAAgH/AYvyxlIJ/zTAM1W/xjuZMC1L2rFkkSd9v+Ukbvt2syeNG&#10;PNNzh4aGqvQPYxJvwIC1iTfW35DSPwU8JedPydkl8jsb+Z0nJWeXUn5+KfYantsVqWfBYrGoSYO6&#10;GhU4WalTpZIkpXJzUw//Dk5OBgAAngWKVCLr0KaFOrRp4ewYAAAgCTy3bzYHAAD4tyhSAAAAJlGk&#10;AAAATKJIAQAAmESRAgAAMIkiBQAAYBJ//uC/JIn/iCYAAM87VqQAAABMokgBAACYRJECAAAwiSIF&#10;AABgEkUKAADAJIoUAACASRQpAAAAkyhSAAAAJlGkAAAATLIYhmE4OwQSR2hoqLMjAADw3ChdujRF&#10;CgAAwCxe2gMAADCJIgUAAGASRQoAAMAkihQAAIBJFCkAAACTKFIAAAAmUaQAAABMokgBAACYRJEC&#10;AAAwiSIFAABgEkUKAADAJIoUAACASS7ODoDEde36DY0KnKzLV6/JPXVqDezzrkq+XEzR0dEaOmai&#10;7t9/oLq1aqh+nZqSpFVr1skeFaU2LZo8kzy/nbugrdt3acfuffJr30plSpWQJH2yep1WfPa5DIeh&#10;CuVeVf9eXeXi4qIdu/dp0YpVck+dWuNGDFQaT0/Z7Xb59QjQ7GlBck+d+pnkfJr5S1bqh207ZBiG&#10;SpUorj7v+stqtTx1niVpzqLl+vnoceXIllWD+vaQJJ08/Zs+mr9EU8aPTLLscxev0A9bt8tmsylz&#10;powaNbif0qbxVFRUtIKCZ2r3vgOyWC1q+3ZTNW1YT5KS3fxL0qdr12vmnEXasuGzuG2hBw8rKPgj&#10;RURGyDt7do0a3FeZMr7otPv8SfoOHqVTZ87Kao39ebVdy6Zq3KCupJRx/z989EiBk2fol5OnZLNa&#10;1bxxg7j7JLnPf1BwiDZv3a7UqVJJkux2u9Knf0HL581I8P5PLs/d77f8pOWr1sjV1VVR0dHq1qld&#10;3PfO5D73krRh02Yt+2S1JClzpowaGtBLmTK++Mzz/9P/3yT02OWr1zRm4oeKcTgU0LOrCuTLI0ka&#10;OHKc2rdqriIF8/95YgP/Kd36DDK++uZ7wzAM48TJ00bdpm2NsPBwY8u2HcaUGXOM6Oho463WnQzD&#10;MIyw8HCjbeeeRmRk5DPLM2v+EmP+0pVGa78exvbdew3DMIwDh48YLTt2Nx49CjMcDocxfGyQsWj5&#10;KsMwDKNN557G/QcPjRWffm58/NkXhmEYxuIVnxqfrFn3zDI+ze59+42u7w00YmJijJgYh9Fn0Ejj&#10;q2++Mwzj6fN89949o12X3oZhGEa/oe8bJ0//ZhiGYfQZNDLuv5PC0eMnjIEjxhkxMTGGYRjGB1M/&#10;MuYvWWkYhmHMW7zCGBMUbDgcDuP+g4dGs/ZdjMNHjxuGkbzm3zAM4+y5C0b7rr2NKnWaxG179CjM&#10;qNesnXH6t3OGYRjG519+bfQMGGYYhuG0+/xJ/HsNMO7cvRdve0q5/4eNmWgsWfmZYRiGcf/BQ6NN&#10;557GvXv3U8T8T/xwprF1+664rxctX2XMXrjMMIyn3//J5blrt0cZNeo3N+7df2AYhmFcuHTZqNO4&#10;tWEYKePeP3P2vNG4jZ9x7959wzAMY/PW7UaPgKFJkv+f/v8moccmT59l/Lh9l3Hi5Gmj/7AxhmH8&#10;+X31/+Olvf+Qi5ev6NKVq6pbq7okqUC+PCpVopg2/7hd167fUJbMmWSz2ZTKzU3hERFa/skaNW30&#10;ptzc3J5Zpi4d26pjm7eV/oV0cdvWrNug1s0by8PDXRaLRZ3faa3V6zZIkh48eKi0aTyVNUtmXb1+&#10;XQ8fPdJ3W7apcf06zyzj05y7cElFCxeU1WqV1WpRqVeK68zZ8wnO881bt5XxxQySpKyZM+vqtes6&#10;cPiI0qRJo3x5cidZ9iKFCmjC+0NktVrlcDh09979uJ8IV6/bIL92LWWxWJQ2jadaNW2kz9d9LSl5&#10;zX90dLRGB32oQX16PLb92x+2qmypV5Qnt48kqWG92jp99pyuXLvutPv8ScLCw+XhHn8FKSXc/7du&#10;39HR47+qTYvGkqS0aTy1dM40eXmlTRHz/3bThnq5WGFJkmEY+mLDN2pYt5akp9//yeW5a7PZ5OHu&#10;rtt37kiSbty8pfTpX5CUMu79k6fOqOTLxeTllVaSVKVSee0JPajbd+4+8/z/9P83CT129fpNZc2c&#10;Kfa5eO26JClk3mJ192sf77wUqf+Q8xcvKZe392Pbcvvk1LkLF5U7V079dvacwsLDFeNwKDLSrp92&#10;7dGbb7zunJw5/8zpnT2bbt68paioaGV8MYOu37ip02fO6qVcPlq84lO1atYobhk2KflWKKuqr1WM&#10;+/rIsRMqXCB/gvOcLUsWXb12XQ6HoTNnzymXj7dmL1imrp3aJnV8SdLUj+ap9lutJElvvvG6IiPt&#10;unf/vrJmyfxn9lw5de7iRUlKVvM/e+EyVfOtGPdN9w/nL15SLp8/599isShXzhy6cPFSsrrPw8LD&#10;NSYoWK06vavhY4N0//6DP/Mn8/v/t3PnVahAXs1asFStOr2rjt37ak/ogT/zJ/P59/HOoXReXpKk&#10;3fsOyMc7h7JkzpTg/Z9cnrtWq0XDB/ZRO//eerN5ewUMHaNRg/tJShlzXzB/Xu0JPRhXPtau36gX&#10;0nnpytVrTsmf0PMtocdy+3jrzNlzOv3bWeXO5aNde/crW5bM8smZI945KFLPiTKlXpGnp6eGvD9B&#10;/Xr4a8Gyj9W+VXOdv3hJ/YaOVv9hY3Tp8lVnx1S/nl0UOGWGrl2/oVdLlVDowZ9Vu0ZVzVm0XO8N&#10;GqklKz9NsixZs2RWsSIFJUnbduzW9Rs3Vb1KpQSP8fBwV8umjdRn8EhVLPeqfjt7Xvny5NYL6bw0&#10;KnCyeg8coR179iVFfElS725++ubzlcqUMYPmLlr+l/snl/k/+PNRHT5yXK2aNf5HxyWn+9yvXSv1&#10;7NpJK+bPVM4c2fVhyNy/PCa5zP+jR2Haf+iIihYuqBXzZ2pQ3x4aOX6y7t2/n+BxyWn+/7D6i6/0&#10;1ptv/OV+yeW5e+fuPU34cIYWz56q9asWa8r4kRo6eoLsdnuCxyWXuc/l462eXTqo//CxauvfSxER&#10;kcqZI7s8PT1SRP4/tG7+lrbu2K0Vqz5X145tNG/xCnXu0EZbtu1U74EjNCYoOO7fhCL1H+LjnUNn&#10;L1x8bNvZ8xeUK6e3LBaL3uvup+AJ7ytXTm/9cuKkqvlWVMi8JXqndXM1b9xAsxcuTbqc5y/EfX3x&#10;8hVlzPiiXF1dVLhgfn0YOEpD+/fW4hWfyq9dS505e04/Hz2u4Anv66ede3Th0uUkyfmHzT/+pLmL&#10;V2jSuOGyWCwJzrMUu/IzdeJotWrWWAuXfaJO7Vpq/dffKrdPTgWOHKzJ02c/88y/njqj8xcvSYr9&#10;CbdOzeraHXpAqVK5KZ2Xl678/tOiJJ09dyFuhS25zP/mrdsVFh6urn0G6t1+QxUWHi7/3gO0aPmq&#10;ePePYRg6d+GScnrnSDb3eXhEhCqVL6PMv7+cWrd2DR395VdJKeP+z5olswzDUOWK5STFvnydL09u&#10;/XbuQoqY/z/cvHVbx389Jd/fr+Ov7v/k8Nzdf/Bn5cuTWy/lyilJKlG8iDw9PHTi1JkUM/c1q1XW&#10;0jnTtHTONDVuUFeXrlxV9qxZnJI/oedbQo+l8/LS+BGD9MHY4Tpy/Fe9XKyIMmd8UcEhcxU0epgy&#10;ZXxRX3/7gySK1H+Kd/Zs8s6eVRs2bZYU+9sm+w8dibeKMnvhMnXpGLtcHRERoXRp0yqdV1pFREQm&#10;Sc7GDepqxaefKywsXIZhaO6iFWry+28z/eHCpcu6cPGyKpZ7VRERkfJKG/t6u5dXWkVGJvyTWWJx&#10;OAzNWbhM32z+UbM+nKAM6dNL+vvzvGHT96pQtrTSv5BOEZGR8vJKK3f31HLEOJ559p+PHtf0WQsU&#10;ExMjKXZFrWjh2NW1Jg3qav6SlTIMQw8ePtKKz9bqrQaPvwfH2fPf911/LZ0zTXOmBmnm5HHycHfX&#10;nKlBeqd1c9WsVll79x/SmbPnJUlffPWN8ubOpWz/83KN5Nz7fO36jZo07SM5HLH/1j/t3KNihWLn&#10;PyXc/wXz59WLGdLr8NHjkmJ/G/i3cxeU2ydnipj/P6xdv1F1a1WP+81J6e/d/8587r6U20fHT5zS&#10;/QcPJcXO/ZVr15UzR/YUMffnL1xS5579ZY+KkmEYmjl3kerUrC43Nzen5E/o+fZ3nosxMTFavmqN&#10;3mndXIZhyGKx/F7I/8zDnz/4jxk5qK9GBU7W7IVLlTpVao0dPuCxX5k+c/a8bt+5q9KvvCxJeqd1&#10;C02dNV+GYahjm7eTJOMrxYuqQd1aertjdxkOhyqUe1Wtm7/12D4fzV+ibn7tJMW+cdrNzVVjgoKV&#10;4YUXkuyNn6s+X6e5i1coa+ZMavFOV0mSd45s+ujDCX85z/aoKK1as06zgidKkurVfl3jJ0/XvgOH&#10;1LZl02ee/a36dXXl2nW19e8lV1dX5fbx1sA+70qS2rVsponBM9Xw7Q6SxaK2bzdR8SKFHjs+Ocz/&#10;03h4uOv9If00aNR4RUREyjt7No0a0u+xfZx9n7do3EDTZy9Qm8495ebmquzZssa9aT6l3P+BIwdr&#10;3KSpuv/goaxWqwb1eVcvpIt931Fyn38p9gehdRs2adbUiY9t/6v739nP3Ty5fdS1Yxv1CBgqV1cX&#10;OWIcGjGwT4qZe5+cOVT21ZJq1fFdRUVHqdyrpdSza0dJznnuJvR8+zvPxbXrN6qab0V5pU0jSWr2&#10;Vn0NHxuk8IgIjRjQR5JkMQzD+MfJAAAAwEt7AAAAZlGkAAAATKJIAQAAmESRAgAAMIkiBQAAYBJF&#10;CgAAwCSKFAAAgEkUKQAAAJMoUgAAACZRpAAAAEyiSAEAAJhEkQIAADCJIgUAAGASRQoAAMAkihQA&#10;AIBJFCkAAACTKFIAAAAmUaQAAABMokgBAACYRJECAAAwiSIFAABgEkUKAADAJIoUAACASRQpAAAA&#10;kyhSAAAAJlGkAAAATKJIAQAAmPR/gx8epGCTCkUAAAAASUVORK5CYIJQSwECLQAUAAYACAAAACEA&#10;sYJntgoBAAATAgAAEwAAAAAAAAAAAAAAAAAAAAAAW0NvbnRlbnRfVHlwZXNdLnhtbFBLAQItABQA&#10;BgAIAAAAIQA4/SH/1gAAAJQBAAALAAAAAAAAAAAAAAAAADsBAABfcmVscy8ucmVsc1BLAQItABQA&#10;BgAIAAAAIQBGGrKOFwMAAB0HAAAOAAAAAAAAAAAAAAAAADoCAABkcnMvZTJvRG9jLnhtbFBLAQIt&#10;ABQABgAIAAAAIQCqJg6+vAAAACEBAAAZAAAAAAAAAAAAAAAAAH0FAABkcnMvX3JlbHMvZTJvRG9j&#10;LnhtbC5yZWxzUEsBAi0AFAAGAAgAAAAhAN4vajHhAAAACwEAAA8AAAAAAAAAAAAAAAAAcAYAAGRy&#10;cy9kb3ducmV2LnhtbFBLAQItAAoAAAAAAAAAIQD/Z3rfszMAALMzAAAUAAAAAAAAAAAAAAAAAH4H&#10;AABkcnMvbWVkaWEvaW1hZ2UxLnBuZ1BLBQYAAAAABgAGAHwBAABjOwAAAAA=&#10;">
                <v:shape id="Picture 300" o:spid="_x0000_s1062" type="#_x0000_t75" alt="chart978919300.png" style="position:absolute;top:4308;width:45659;height:4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awAAAANwAAAAPAAAAZHJzL2Rvd25yZXYueG1sRE9Ni8Iw&#10;EL0L/ocwC3vTZF1xpRpFhKpXdUWPQzO23W0mtYla/705CB4f73s6b20lbtT40rGGr74CQZw5U3Ku&#10;4Xef9sYgfEA2WDkmDQ/yMJ91O1NMjLvzlm67kIsYwj5BDUUIdSKlzwqy6PuuJo7c2TUWQ4RNLk2D&#10;9xhuKzlQaiQtlhwbCqxpWVD2v7taDat2HQ6rceX/0uWJLunwWKqfo9afH+1iAiJQG97il3tjNHyr&#10;OD+eiUdAzp4AAAD//wMAUEsBAi0AFAAGAAgAAAAhANvh9svuAAAAhQEAABMAAAAAAAAAAAAAAAAA&#10;AAAAAFtDb250ZW50X1R5cGVzXS54bWxQSwECLQAUAAYACAAAACEAWvQsW78AAAAVAQAACwAAAAAA&#10;AAAAAAAAAAAfAQAAX3JlbHMvLnJlbHNQSwECLQAUAAYACAAAACEAMFPgWsAAAADcAAAADwAAAAAA&#10;AAAAAAAAAAAHAgAAZHJzL2Rvd25yZXYueG1sUEsFBgAAAAADAAMAtwAAAPQCAAAAAA==&#10;">
                  <v:imagedata r:id="rId31" o:title="chart978919300" cropright="23784f"/>
                  <v:path arrowok="t"/>
                </v:shape>
                <v:shape id="TextBox 10" o:spid="_x0000_s1063" type="#_x0000_t202" style="position:absolute;left:18247;width:11256;height:4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7ExAAAANwAAAAPAAAAZHJzL2Rvd25yZXYueG1sRI9Ba8JA&#10;FITvgv9heUJvdTcp2DZmFakUWnqxqd4f2WcSkn2bZleN/75bEDwOM/MNk69H24kzDb5xrCGZKxDE&#10;pTMNVxr2P++PLyB8QDbYOSYNV/KwXk0nOWbGXfibzkWoRISwz1BDHUKfSenLmiz6ueuJo3d0g8UQ&#10;5VBJM+Alwm0nU6UW0mLDcaHGnt5qKtviZDUELtrXr12xT9Xn1T2jwu3i8Kv1w2zcLEEEGsM9fGt/&#10;GA1PKoH/M/EIyNUfAAAA//8DAFBLAQItABQABgAIAAAAIQDb4fbL7gAAAIUBAAATAAAAAAAAAAAA&#10;AAAAAAAAAABbQ29udGVudF9UeXBlc10ueG1sUEsBAi0AFAAGAAgAAAAhAFr0LFu/AAAAFQEAAAsA&#10;AAAAAAAAAAAAAAAAHwEAAF9yZWxzLy5yZWxzUEsBAi0AFAAGAAgAAAAhAMUZLsTEAAAA3AAAAA8A&#10;AAAAAAAAAAAAAAAABwIAAGRycy9kb3ducmV2LnhtbFBLBQYAAAAAAwADALcAAAD4AgAAAAA=&#10;" fillcolor="#a5a5a5 [2092]" stroked="f">
                  <v:textbox>
                    <w:txbxContent>
                      <w:p w14:paraId="7ED491E6" w14:textId="77777777" w:rsidR="00D35C1E" w:rsidRDefault="00D35C1E" w:rsidP="009E1917">
                        <w:pPr>
                          <w:pStyle w:val="NormalWeb"/>
                          <w:spacing w:before="0" w:beforeAutospacing="0" w:after="0" w:afterAutospacing="0"/>
                        </w:pPr>
                        <w:r>
                          <w:rPr>
                            <w:rFonts w:asciiTheme="minorHAnsi" w:hAnsi="Calibri" w:cstheme="minorBidi"/>
                            <w:color w:val="000000" w:themeColor="text1"/>
                            <w:kern w:val="24"/>
                            <w:sz w:val="44"/>
                            <w:szCs w:val="44"/>
                          </w:rPr>
                          <w:t>Assessors</w:t>
                        </w:r>
                      </w:p>
                    </w:txbxContent>
                  </v:textbox>
                </v:shape>
              </v:group>
            </w:pict>
          </mc:Fallback>
        </mc:AlternateContent>
      </w:r>
    </w:p>
    <w:p w14:paraId="47D0CE50" w14:textId="77777777" w:rsidR="009E1917" w:rsidRDefault="009E1917" w:rsidP="00C5196A">
      <w:pPr>
        <w:spacing w:after="0" w:line="480" w:lineRule="auto"/>
        <w:rPr>
          <w:rFonts w:ascii="Times New Roman" w:hAnsi="Times New Roman" w:cs="Times New Roman"/>
          <w:b/>
          <w:sz w:val="24"/>
          <w:szCs w:val="24"/>
        </w:rPr>
      </w:pPr>
    </w:p>
    <w:p w14:paraId="392D3D83" w14:textId="77777777" w:rsidR="009E1917" w:rsidRDefault="009E1917" w:rsidP="00C5196A">
      <w:pPr>
        <w:spacing w:after="0" w:line="480" w:lineRule="auto"/>
        <w:rPr>
          <w:rFonts w:ascii="Times New Roman" w:hAnsi="Times New Roman" w:cs="Times New Roman"/>
          <w:b/>
          <w:sz w:val="24"/>
          <w:szCs w:val="24"/>
        </w:rPr>
      </w:pPr>
    </w:p>
    <w:p w14:paraId="1680173D" w14:textId="77777777" w:rsidR="009E1917" w:rsidRDefault="009E1917" w:rsidP="00C5196A">
      <w:pPr>
        <w:spacing w:after="0" w:line="480" w:lineRule="auto"/>
        <w:rPr>
          <w:rFonts w:ascii="Times New Roman" w:hAnsi="Times New Roman" w:cs="Times New Roman"/>
          <w:b/>
          <w:sz w:val="24"/>
          <w:szCs w:val="24"/>
        </w:rPr>
      </w:pPr>
    </w:p>
    <w:p w14:paraId="24BE04F1" w14:textId="77777777" w:rsidR="009E1917" w:rsidRDefault="009E1917" w:rsidP="00C5196A">
      <w:pPr>
        <w:spacing w:after="0" w:line="480" w:lineRule="auto"/>
        <w:rPr>
          <w:rFonts w:ascii="Times New Roman" w:hAnsi="Times New Roman" w:cs="Times New Roman"/>
          <w:b/>
          <w:sz w:val="24"/>
          <w:szCs w:val="24"/>
        </w:rPr>
      </w:pPr>
    </w:p>
    <w:p w14:paraId="3C379924" w14:textId="77777777" w:rsidR="009E1917" w:rsidRDefault="009E1917" w:rsidP="00C5196A">
      <w:pPr>
        <w:spacing w:after="0" w:line="480" w:lineRule="auto"/>
        <w:rPr>
          <w:rFonts w:ascii="Times New Roman" w:hAnsi="Times New Roman" w:cs="Times New Roman"/>
          <w:b/>
          <w:sz w:val="24"/>
          <w:szCs w:val="24"/>
        </w:rPr>
      </w:pPr>
    </w:p>
    <w:p w14:paraId="34EE1429" w14:textId="77777777" w:rsidR="009E1917" w:rsidRDefault="009E1917" w:rsidP="00C5196A">
      <w:pPr>
        <w:spacing w:after="0" w:line="480" w:lineRule="auto"/>
        <w:rPr>
          <w:rFonts w:ascii="Times New Roman" w:hAnsi="Times New Roman" w:cs="Times New Roman"/>
          <w:b/>
          <w:sz w:val="24"/>
          <w:szCs w:val="24"/>
        </w:rPr>
      </w:pPr>
    </w:p>
    <w:p w14:paraId="5179B364" w14:textId="77777777" w:rsidR="009E1917" w:rsidRDefault="009E1917" w:rsidP="00C5196A">
      <w:pPr>
        <w:spacing w:after="0" w:line="480" w:lineRule="auto"/>
        <w:rPr>
          <w:rFonts w:ascii="Times New Roman" w:hAnsi="Times New Roman" w:cs="Times New Roman"/>
          <w:b/>
          <w:sz w:val="24"/>
          <w:szCs w:val="24"/>
        </w:rPr>
      </w:pPr>
    </w:p>
    <w:p w14:paraId="3AE50D01" w14:textId="77777777" w:rsidR="009E1917" w:rsidRDefault="009E1917" w:rsidP="00C5196A">
      <w:pPr>
        <w:spacing w:after="0" w:line="480" w:lineRule="auto"/>
        <w:rPr>
          <w:rFonts w:ascii="Times New Roman" w:hAnsi="Times New Roman" w:cs="Times New Roman"/>
          <w:b/>
          <w:sz w:val="24"/>
          <w:szCs w:val="24"/>
        </w:rPr>
      </w:pPr>
    </w:p>
    <w:p w14:paraId="6C40076B" w14:textId="77777777" w:rsidR="009E1917" w:rsidRDefault="009E1917" w:rsidP="00C5196A">
      <w:pPr>
        <w:spacing w:after="0" w:line="480" w:lineRule="auto"/>
        <w:rPr>
          <w:rFonts w:ascii="Times New Roman" w:hAnsi="Times New Roman" w:cs="Times New Roman"/>
          <w:b/>
          <w:sz w:val="24"/>
          <w:szCs w:val="24"/>
        </w:rPr>
      </w:pPr>
    </w:p>
    <w:p w14:paraId="011EC4A3" w14:textId="77777777" w:rsidR="009E1917" w:rsidRDefault="009E1917" w:rsidP="00C5196A">
      <w:pPr>
        <w:spacing w:after="0" w:line="480" w:lineRule="auto"/>
        <w:rPr>
          <w:rFonts w:ascii="Times New Roman" w:hAnsi="Times New Roman" w:cs="Times New Roman"/>
          <w:b/>
          <w:sz w:val="24"/>
          <w:szCs w:val="24"/>
        </w:rPr>
      </w:pPr>
    </w:p>
    <w:p w14:paraId="572DED1C" w14:textId="77777777" w:rsidR="009E1917" w:rsidRDefault="009E1917" w:rsidP="00C5196A">
      <w:pPr>
        <w:spacing w:after="0" w:line="480" w:lineRule="auto"/>
        <w:rPr>
          <w:rFonts w:ascii="Times New Roman" w:hAnsi="Times New Roman" w:cs="Times New Roman"/>
          <w:b/>
          <w:sz w:val="24"/>
          <w:szCs w:val="24"/>
        </w:rPr>
      </w:pPr>
    </w:p>
    <w:p w14:paraId="70A584CA" w14:textId="77777777" w:rsidR="007169A7" w:rsidRDefault="007169A7" w:rsidP="00C5196A">
      <w:pPr>
        <w:spacing w:after="0" w:line="480" w:lineRule="auto"/>
        <w:rPr>
          <w:rFonts w:ascii="Times New Roman" w:hAnsi="Times New Roman" w:cs="Times New Roman"/>
          <w:b/>
          <w:sz w:val="24"/>
          <w:szCs w:val="24"/>
        </w:rPr>
      </w:pPr>
    </w:p>
    <w:p w14:paraId="5FC01ED7" w14:textId="441E851F" w:rsidR="00C5196A" w:rsidRPr="00C5196A" w:rsidRDefault="009E1917" w:rsidP="00C5196A">
      <w:pPr>
        <w:spacing w:after="0" w:line="480" w:lineRule="auto"/>
        <w:rPr>
          <w:rFonts w:ascii="Times New Roman" w:hAnsi="Times New Roman" w:cs="Times New Roman"/>
          <w:b/>
          <w:sz w:val="24"/>
          <w:szCs w:val="24"/>
        </w:rPr>
        <w:sectPr w:rsidR="00C5196A" w:rsidRPr="00C5196A" w:rsidSect="00922E2D">
          <w:pgSz w:w="16838" w:h="11906" w:orient="landscape" w:code="9"/>
          <w:pgMar w:top="2160" w:right="1440" w:bottom="1152" w:left="1440" w:header="706" w:footer="706" w:gutter="0"/>
          <w:cols w:space="708"/>
          <w:docGrid w:linePitch="360"/>
        </w:sectPr>
      </w:pPr>
      <w:r>
        <w:rPr>
          <w:rFonts w:ascii="Times New Roman" w:hAnsi="Times New Roman" w:cs="Times New Roman"/>
          <w:b/>
          <w:sz w:val="24"/>
          <w:szCs w:val="24"/>
        </w:rPr>
        <w:t>F</w:t>
      </w:r>
      <w:r w:rsidR="005073E7">
        <w:rPr>
          <w:rFonts w:ascii="Times New Roman" w:hAnsi="Times New Roman" w:cs="Times New Roman"/>
          <w:b/>
          <w:sz w:val="24"/>
          <w:szCs w:val="24"/>
        </w:rPr>
        <w:t>igure 3.12</w:t>
      </w:r>
      <w:r>
        <w:rPr>
          <w:rFonts w:ascii="Times New Roman" w:hAnsi="Times New Roman" w:cs="Times New Roman"/>
          <w:b/>
          <w:sz w:val="24"/>
          <w:szCs w:val="24"/>
        </w:rPr>
        <w:t>.</w:t>
      </w:r>
      <w:r w:rsidR="00A33C99">
        <w:rPr>
          <w:rFonts w:ascii="Times New Roman" w:hAnsi="Times New Roman" w:cs="Times New Roman"/>
          <w:b/>
          <w:sz w:val="24"/>
          <w:szCs w:val="24"/>
        </w:rPr>
        <w:t xml:space="preserve"> Assessor response to the statement: </w:t>
      </w:r>
      <w:r w:rsidR="00A33C99" w:rsidRPr="006F3B00">
        <w:rPr>
          <w:rFonts w:ascii="Times New Roman" w:hAnsi="Times New Roman" w:cs="Times New Roman"/>
          <w:b/>
          <w:sz w:val="24"/>
          <w:szCs w:val="24"/>
        </w:rPr>
        <w:t>Trainees select appropriate cases for</w:t>
      </w:r>
      <w:r w:rsidR="007D4061">
        <w:rPr>
          <w:rFonts w:ascii="Times New Roman" w:hAnsi="Times New Roman" w:cs="Times New Roman"/>
          <w:b/>
          <w:sz w:val="24"/>
          <w:szCs w:val="24"/>
        </w:rPr>
        <w:t xml:space="preserve"> WBA</w:t>
      </w:r>
    </w:p>
    <w:p w14:paraId="686BFDC9" w14:textId="4CAB86C3" w:rsidR="00863DF5" w:rsidRPr="006F3B00" w:rsidRDefault="00863DF5" w:rsidP="00863DF5">
      <w:pPr>
        <w:spacing w:line="240" w:lineRule="auto"/>
        <w:rPr>
          <w:rFonts w:ascii="Times New Roman" w:hAnsi="Times New Roman" w:cs="Times New Roman"/>
          <w:b/>
          <w:sz w:val="24"/>
          <w:szCs w:val="24"/>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939"/>
        <w:gridCol w:w="908"/>
        <w:gridCol w:w="1432"/>
        <w:gridCol w:w="1304"/>
        <w:gridCol w:w="856"/>
        <w:gridCol w:w="900"/>
      </w:tblGrid>
      <w:tr w:rsidR="00863DF5" w:rsidRPr="006F3B00" w14:paraId="40E24ADF" w14:textId="77777777" w:rsidTr="00690489">
        <w:tc>
          <w:tcPr>
            <w:tcW w:w="2296" w:type="dxa"/>
          </w:tcPr>
          <w:p w14:paraId="11F40680" w14:textId="2EBD71B9" w:rsidR="00863DF5" w:rsidRPr="006F3B00" w:rsidRDefault="00B76F91" w:rsidP="00863DF5">
            <w:pPr>
              <w:rPr>
                <w:rFonts w:ascii="Times New Roman" w:hAnsi="Times New Roman" w:cs="Times New Roman"/>
                <w:sz w:val="24"/>
                <w:szCs w:val="24"/>
              </w:rPr>
            </w:pPr>
            <w:r>
              <w:rPr>
                <w:rFonts w:ascii="Times New Roman" w:hAnsi="Times New Roman" w:cs="Times New Roman"/>
                <w:sz w:val="24"/>
                <w:szCs w:val="24"/>
              </w:rPr>
              <w:t>Statement</w:t>
            </w:r>
          </w:p>
          <w:p w14:paraId="59AA275A" w14:textId="77777777" w:rsidR="00863DF5" w:rsidRPr="006F3B00" w:rsidRDefault="00863DF5" w:rsidP="00863DF5">
            <w:pPr>
              <w:rPr>
                <w:rFonts w:ascii="Times New Roman" w:hAnsi="Times New Roman" w:cs="Times New Roman"/>
                <w:sz w:val="24"/>
                <w:szCs w:val="24"/>
              </w:rPr>
            </w:pPr>
          </w:p>
        </w:tc>
        <w:tc>
          <w:tcPr>
            <w:tcW w:w="1847" w:type="dxa"/>
            <w:gridSpan w:val="2"/>
            <w:shd w:val="clear" w:color="auto" w:fill="FFFFFF" w:themeFill="background1"/>
          </w:tcPr>
          <w:p w14:paraId="6FB49324"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 Strongly agree/agree</w:t>
            </w:r>
          </w:p>
        </w:tc>
        <w:tc>
          <w:tcPr>
            <w:tcW w:w="2736" w:type="dxa"/>
            <w:gridSpan w:val="2"/>
            <w:shd w:val="clear" w:color="auto" w:fill="FFFFFF" w:themeFill="background1"/>
          </w:tcPr>
          <w:p w14:paraId="7D7DB80C"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 Neither agree nor disagree</w:t>
            </w:r>
          </w:p>
        </w:tc>
        <w:tc>
          <w:tcPr>
            <w:tcW w:w="1756" w:type="dxa"/>
            <w:gridSpan w:val="2"/>
            <w:shd w:val="clear" w:color="auto" w:fill="FFFFFF" w:themeFill="background1"/>
          </w:tcPr>
          <w:p w14:paraId="5B0A9AD2"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 Strongly disagree/ disagree</w:t>
            </w:r>
          </w:p>
        </w:tc>
      </w:tr>
      <w:tr w:rsidR="00863DF5" w:rsidRPr="006F3B00" w14:paraId="64F53EFB" w14:textId="77777777" w:rsidTr="00690489">
        <w:trPr>
          <w:trHeight w:val="296"/>
        </w:trPr>
        <w:tc>
          <w:tcPr>
            <w:tcW w:w="2296" w:type="dxa"/>
          </w:tcPr>
          <w:p w14:paraId="445F2C05" w14:textId="77777777" w:rsidR="00863DF5" w:rsidRPr="006F3B00" w:rsidRDefault="00863DF5" w:rsidP="00863DF5">
            <w:pPr>
              <w:rPr>
                <w:rFonts w:ascii="Times New Roman" w:hAnsi="Times New Roman" w:cs="Times New Roman"/>
                <w:sz w:val="24"/>
                <w:szCs w:val="24"/>
              </w:rPr>
            </w:pPr>
          </w:p>
        </w:tc>
        <w:tc>
          <w:tcPr>
            <w:tcW w:w="939" w:type="dxa"/>
            <w:shd w:val="clear" w:color="auto" w:fill="D9D9D9" w:themeFill="background1" w:themeFillShade="D9"/>
          </w:tcPr>
          <w:p w14:paraId="1228A1F2"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A</w:t>
            </w:r>
          </w:p>
        </w:tc>
        <w:tc>
          <w:tcPr>
            <w:tcW w:w="908" w:type="dxa"/>
            <w:shd w:val="clear" w:color="auto" w:fill="FFFFFF" w:themeFill="background1"/>
          </w:tcPr>
          <w:p w14:paraId="3BD98A7F"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T</w:t>
            </w:r>
          </w:p>
        </w:tc>
        <w:tc>
          <w:tcPr>
            <w:tcW w:w="1432" w:type="dxa"/>
            <w:shd w:val="clear" w:color="auto" w:fill="D9D9D9" w:themeFill="background1" w:themeFillShade="D9"/>
          </w:tcPr>
          <w:p w14:paraId="23A2EBDA"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A</w:t>
            </w:r>
          </w:p>
        </w:tc>
        <w:tc>
          <w:tcPr>
            <w:tcW w:w="1304" w:type="dxa"/>
          </w:tcPr>
          <w:p w14:paraId="3C3EC923"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T</w:t>
            </w:r>
          </w:p>
        </w:tc>
        <w:tc>
          <w:tcPr>
            <w:tcW w:w="856" w:type="dxa"/>
            <w:shd w:val="clear" w:color="auto" w:fill="D9D9D9" w:themeFill="background1" w:themeFillShade="D9"/>
          </w:tcPr>
          <w:p w14:paraId="4FB70D5E"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A</w:t>
            </w:r>
          </w:p>
        </w:tc>
        <w:tc>
          <w:tcPr>
            <w:tcW w:w="900" w:type="dxa"/>
            <w:shd w:val="clear" w:color="auto" w:fill="FFFFFF" w:themeFill="background1"/>
          </w:tcPr>
          <w:p w14:paraId="3C88BE31"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T</w:t>
            </w:r>
          </w:p>
        </w:tc>
      </w:tr>
      <w:tr w:rsidR="00863DF5" w:rsidRPr="006F3B00" w14:paraId="5AC91AE7" w14:textId="77777777" w:rsidTr="00690489">
        <w:tc>
          <w:tcPr>
            <w:tcW w:w="2296" w:type="dxa"/>
          </w:tcPr>
          <w:p w14:paraId="2F7E1394"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1. WBA are useful in training</w:t>
            </w:r>
          </w:p>
        </w:tc>
        <w:tc>
          <w:tcPr>
            <w:tcW w:w="939" w:type="dxa"/>
            <w:shd w:val="clear" w:color="auto" w:fill="D9D9D9" w:themeFill="background1" w:themeFillShade="D9"/>
          </w:tcPr>
          <w:p w14:paraId="12C1D9ED"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46.3</w:t>
            </w:r>
          </w:p>
        </w:tc>
        <w:tc>
          <w:tcPr>
            <w:tcW w:w="908" w:type="dxa"/>
            <w:shd w:val="clear" w:color="auto" w:fill="FFFFFF" w:themeFill="background1"/>
          </w:tcPr>
          <w:p w14:paraId="31D225AD"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35.2</w:t>
            </w:r>
          </w:p>
        </w:tc>
        <w:tc>
          <w:tcPr>
            <w:tcW w:w="1432" w:type="dxa"/>
            <w:shd w:val="clear" w:color="auto" w:fill="D9D9D9" w:themeFill="background1" w:themeFillShade="D9"/>
          </w:tcPr>
          <w:p w14:paraId="65FC29BF"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20.3</w:t>
            </w:r>
          </w:p>
        </w:tc>
        <w:tc>
          <w:tcPr>
            <w:tcW w:w="1304" w:type="dxa"/>
          </w:tcPr>
          <w:p w14:paraId="15DA84AB"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20.9</w:t>
            </w:r>
          </w:p>
        </w:tc>
        <w:tc>
          <w:tcPr>
            <w:tcW w:w="856" w:type="dxa"/>
            <w:shd w:val="clear" w:color="auto" w:fill="D9D9D9" w:themeFill="background1" w:themeFillShade="D9"/>
          </w:tcPr>
          <w:p w14:paraId="7B204665"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33.5</w:t>
            </w:r>
          </w:p>
        </w:tc>
        <w:tc>
          <w:tcPr>
            <w:tcW w:w="900" w:type="dxa"/>
            <w:shd w:val="clear" w:color="auto" w:fill="FFFFFF" w:themeFill="background1"/>
          </w:tcPr>
          <w:p w14:paraId="20398C53"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44.0</w:t>
            </w:r>
          </w:p>
        </w:tc>
      </w:tr>
      <w:tr w:rsidR="00863DF5" w:rsidRPr="006F3B00" w14:paraId="68996211" w14:textId="77777777" w:rsidTr="00690489">
        <w:tc>
          <w:tcPr>
            <w:tcW w:w="2296" w:type="dxa"/>
          </w:tcPr>
          <w:p w14:paraId="7019E615"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2. No. WBA per stage appropriate</w:t>
            </w:r>
          </w:p>
        </w:tc>
        <w:tc>
          <w:tcPr>
            <w:tcW w:w="939" w:type="dxa"/>
            <w:shd w:val="clear" w:color="auto" w:fill="D9D9D9" w:themeFill="background1" w:themeFillShade="D9"/>
          </w:tcPr>
          <w:p w14:paraId="2C9CAF7D"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36.9</w:t>
            </w:r>
          </w:p>
        </w:tc>
        <w:tc>
          <w:tcPr>
            <w:tcW w:w="908" w:type="dxa"/>
            <w:shd w:val="clear" w:color="auto" w:fill="FFFFFF" w:themeFill="background1"/>
          </w:tcPr>
          <w:p w14:paraId="12050BA1"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34.4</w:t>
            </w:r>
          </w:p>
        </w:tc>
        <w:tc>
          <w:tcPr>
            <w:tcW w:w="1432" w:type="dxa"/>
            <w:shd w:val="clear" w:color="auto" w:fill="D9D9D9" w:themeFill="background1" w:themeFillShade="D9"/>
          </w:tcPr>
          <w:p w14:paraId="669BE253"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35.2</w:t>
            </w:r>
          </w:p>
        </w:tc>
        <w:tc>
          <w:tcPr>
            <w:tcW w:w="1304" w:type="dxa"/>
          </w:tcPr>
          <w:p w14:paraId="054664E5"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32.2</w:t>
            </w:r>
          </w:p>
        </w:tc>
        <w:tc>
          <w:tcPr>
            <w:tcW w:w="856" w:type="dxa"/>
            <w:shd w:val="clear" w:color="auto" w:fill="D9D9D9" w:themeFill="background1" w:themeFillShade="D9"/>
          </w:tcPr>
          <w:p w14:paraId="78995764"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28.0</w:t>
            </w:r>
          </w:p>
        </w:tc>
        <w:tc>
          <w:tcPr>
            <w:tcW w:w="900" w:type="dxa"/>
            <w:shd w:val="clear" w:color="auto" w:fill="FFFFFF" w:themeFill="background1"/>
          </w:tcPr>
          <w:p w14:paraId="2DBA8BFE"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33.2</w:t>
            </w:r>
          </w:p>
        </w:tc>
      </w:tr>
      <w:tr w:rsidR="00863DF5" w:rsidRPr="006F3B00" w14:paraId="432EF6AB" w14:textId="77777777" w:rsidTr="00690489">
        <w:tc>
          <w:tcPr>
            <w:tcW w:w="2296" w:type="dxa"/>
          </w:tcPr>
          <w:p w14:paraId="5F541B5D"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3. Sufficient time to complete WBA</w:t>
            </w:r>
          </w:p>
        </w:tc>
        <w:tc>
          <w:tcPr>
            <w:tcW w:w="939" w:type="dxa"/>
            <w:shd w:val="clear" w:color="auto" w:fill="D9D9D9" w:themeFill="background1" w:themeFillShade="D9"/>
          </w:tcPr>
          <w:p w14:paraId="38AA9BEC"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61.5</w:t>
            </w:r>
          </w:p>
        </w:tc>
        <w:tc>
          <w:tcPr>
            <w:tcW w:w="908" w:type="dxa"/>
            <w:shd w:val="clear" w:color="auto" w:fill="FFFFFF" w:themeFill="background1"/>
          </w:tcPr>
          <w:p w14:paraId="042C7E1C"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61.8</w:t>
            </w:r>
          </w:p>
        </w:tc>
        <w:tc>
          <w:tcPr>
            <w:tcW w:w="1432" w:type="dxa"/>
            <w:shd w:val="clear" w:color="auto" w:fill="D9D9D9" w:themeFill="background1" w:themeFillShade="D9"/>
          </w:tcPr>
          <w:p w14:paraId="39EEB5B0"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18.8</w:t>
            </w:r>
          </w:p>
        </w:tc>
        <w:tc>
          <w:tcPr>
            <w:tcW w:w="1304" w:type="dxa"/>
          </w:tcPr>
          <w:p w14:paraId="15BCFFA6"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16.9</w:t>
            </w:r>
          </w:p>
        </w:tc>
        <w:tc>
          <w:tcPr>
            <w:tcW w:w="856" w:type="dxa"/>
            <w:shd w:val="clear" w:color="auto" w:fill="D9D9D9" w:themeFill="background1" w:themeFillShade="D9"/>
          </w:tcPr>
          <w:p w14:paraId="0EA84D90"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19.6</w:t>
            </w:r>
          </w:p>
        </w:tc>
        <w:tc>
          <w:tcPr>
            <w:tcW w:w="900" w:type="dxa"/>
            <w:shd w:val="clear" w:color="auto" w:fill="FFFFFF" w:themeFill="background1"/>
          </w:tcPr>
          <w:p w14:paraId="69B44103"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21.4</w:t>
            </w:r>
          </w:p>
        </w:tc>
      </w:tr>
      <w:tr w:rsidR="00863DF5" w:rsidRPr="006F3B00" w14:paraId="665FEFC9" w14:textId="77777777" w:rsidTr="00690489">
        <w:tc>
          <w:tcPr>
            <w:tcW w:w="2296" w:type="dxa"/>
          </w:tcPr>
          <w:p w14:paraId="7BB9CB25"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4. WBAs identify diagnostic competence</w:t>
            </w:r>
          </w:p>
        </w:tc>
        <w:tc>
          <w:tcPr>
            <w:tcW w:w="939" w:type="dxa"/>
            <w:shd w:val="clear" w:color="auto" w:fill="D9D9D9" w:themeFill="background1" w:themeFillShade="D9"/>
          </w:tcPr>
          <w:p w14:paraId="21B34028"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22.2</w:t>
            </w:r>
          </w:p>
        </w:tc>
        <w:tc>
          <w:tcPr>
            <w:tcW w:w="908" w:type="dxa"/>
            <w:shd w:val="clear" w:color="auto" w:fill="FFFFFF" w:themeFill="background1"/>
          </w:tcPr>
          <w:p w14:paraId="74B0FFCA"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15.4</w:t>
            </w:r>
          </w:p>
        </w:tc>
        <w:tc>
          <w:tcPr>
            <w:tcW w:w="1432" w:type="dxa"/>
            <w:shd w:val="clear" w:color="auto" w:fill="D9D9D9" w:themeFill="background1" w:themeFillShade="D9"/>
          </w:tcPr>
          <w:p w14:paraId="4551F09A"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15.2</w:t>
            </w:r>
          </w:p>
        </w:tc>
        <w:tc>
          <w:tcPr>
            <w:tcW w:w="1304" w:type="dxa"/>
          </w:tcPr>
          <w:p w14:paraId="73882679"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16.5</w:t>
            </w:r>
          </w:p>
        </w:tc>
        <w:tc>
          <w:tcPr>
            <w:tcW w:w="856" w:type="dxa"/>
            <w:shd w:val="clear" w:color="auto" w:fill="D9D9D9" w:themeFill="background1" w:themeFillShade="D9"/>
          </w:tcPr>
          <w:p w14:paraId="4938EAB0"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61.6</w:t>
            </w:r>
          </w:p>
        </w:tc>
        <w:tc>
          <w:tcPr>
            <w:tcW w:w="900" w:type="dxa"/>
            <w:shd w:val="clear" w:color="auto" w:fill="FFFFFF" w:themeFill="background1"/>
          </w:tcPr>
          <w:p w14:paraId="27905029"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68.2</w:t>
            </w:r>
          </w:p>
        </w:tc>
      </w:tr>
      <w:tr w:rsidR="00863DF5" w:rsidRPr="006F3B00" w14:paraId="60A6580B" w14:textId="77777777" w:rsidTr="00690489">
        <w:tc>
          <w:tcPr>
            <w:tcW w:w="2296" w:type="dxa"/>
          </w:tcPr>
          <w:p w14:paraId="097EE962"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5. WBAs identify trainees in difficulty</w:t>
            </w:r>
          </w:p>
        </w:tc>
        <w:tc>
          <w:tcPr>
            <w:tcW w:w="939" w:type="dxa"/>
            <w:shd w:val="clear" w:color="auto" w:fill="D9D9D9" w:themeFill="background1" w:themeFillShade="D9"/>
          </w:tcPr>
          <w:p w14:paraId="64CC15A3"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18.4</w:t>
            </w:r>
          </w:p>
        </w:tc>
        <w:tc>
          <w:tcPr>
            <w:tcW w:w="908" w:type="dxa"/>
            <w:shd w:val="clear" w:color="auto" w:fill="FFFFFF" w:themeFill="background1"/>
          </w:tcPr>
          <w:p w14:paraId="04670189"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14.6</w:t>
            </w:r>
          </w:p>
        </w:tc>
        <w:tc>
          <w:tcPr>
            <w:tcW w:w="1432" w:type="dxa"/>
            <w:shd w:val="clear" w:color="auto" w:fill="D9D9D9" w:themeFill="background1" w:themeFillShade="D9"/>
          </w:tcPr>
          <w:p w14:paraId="7EB286C9"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17.5</w:t>
            </w:r>
          </w:p>
        </w:tc>
        <w:tc>
          <w:tcPr>
            <w:tcW w:w="1304" w:type="dxa"/>
          </w:tcPr>
          <w:p w14:paraId="21E9B8B2"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16.9</w:t>
            </w:r>
          </w:p>
        </w:tc>
        <w:tc>
          <w:tcPr>
            <w:tcW w:w="856" w:type="dxa"/>
            <w:shd w:val="clear" w:color="auto" w:fill="D9D9D9" w:themeFill="background1" w:themeFillShade="D9"/>
          </w:tcPr>
          <w:p w14:paraId="1E5F38E4"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64.2</w:t>
            </w:r>
          </w:p>
        </w:tc>
        <w:tc>
          <w:tcPr>
            <w:tcW w:w="900" w:type="dxa"/>
            <w:shd w:val="clear" w:color="auto" w:fill="FFFFFF" w:themeFill="background1"/>
          </w:tcPr>
          <w:p w14:paraId="46164D75"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68.5</w:t>
            </w:r>
          </w:p>
        </w:tc>
      </w:tr>
      <w:tr w:rsidR="00863DF5" w:rsidRPr="006F3B00" w14:paraId="4D5FD789" w14:textId="77777777" w:rsidTr="00690489">
        <w:tc>
          <w:tcPr>
            <w:tcW w:w="2296" w:type="dxa"/>
          </w:tcPr>
          <w:p w14:paraId="688C9654"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6. WBAs accurately reflect trainee progress</w:t>
            </w:r>
          </w:p>
        </w:tc>
        <w:tc>
          <w:tcPr>
            <w:tcW w:w="939" w:type="dxa"/>
            <w:shd w:val="clear" w:color="auto" w:fill="D9D9D9" w:themeFill="background1" w:themeFillShade="D9"/>
          </w:tcPr>
          <w:p w14:paraId="747009C7"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14.5</w:t>
            </w:r>
          </w:p>
        </w:tc>
        <w:tc>
          <w:tcPr>
            <w:tcW w:w="908" w:type="dxa"/>
            <w:shd w:val="clear" w:color="auto" w:fill="FFFFFF" w:themeFill="background1"/>
          </w:tcPr>
          <w:p w14:paraId="0933FB67"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15.5</w:t>
            </w:r>
          </w:p>
        </w:tc>
        <w:tc>
          <w:tcPr>
            <w:tcW w:w="1432" w:type="dxa"/>
            <w:shd w:val="clear" w:color="auto" w:fill="D9D9D9" w:themeFill="background1" w:themeFillShade="D9"/>
          </w:tcPr>
          <w:p w14:paraId="2A40454F"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26.1</w:t>
            </w:r>
          </w:p>
        </w:tc>
        <w:tc>
          <w:tcPr>
            <w:tcW w:w="1304" w:type="dxa"/>
          </w:tcPr>
          <w:p w14:paraId="7EAFA596"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22.2</w:t>
            </w:r>
          </w:p>
        </w:tc>
        <w:tc>
          <w:tcPr>
            <w:tcW w:w="856" w:type="dxa"/>
            <w:shd w:val="clear" w:color="auto" w:fill="D9D9D9" w:themeFill="background1" w:themeFillShade="D9"/>
          </w:tcPr>
          <w:p w14:paraId="33706D0B"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59.0</w:t>
            </w:r>
          </w:p>
        </w:tc>
        <w:tc>
          <w:tcPr>
            <w:tcW w:w="900" w:type="dxa"/>
            <w:shd w:val="clear" w:color="auto" w:fill="FFFFFF" w:themeFill="background1"/>
          </w:tcPr>
          <w:p w14:paraId="7B141B14"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62.2</w:t>
            </w:r>
          </w:p>
        </w:tc>
      </w:tr>
      <w:tr w:rsidR="00863DF5" w:rsidRPr="006F3B00" w14:paraId="51EE013E" w14:textId="77777777" w:rsidTr="00690489">
        <w:tc>
          <w:tcPr>
            <w:tcW w:w="2296" w:type="dxa"/>
          </w:tcPr>
          <w:p w14:paraId="70DC739D"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8. WBAs are acceptable to you: assessor/trainee</w:t>
            </w:r>
          </w:p>
        </w:tc>
        <w:tc>
          <w:tcPr>
            <w:tcW w:w="939" w:type="dxa"/>
            <w:shd w:val="clear" w:color="auto" w:fill="D9D9D9" w:themeFill="background1" w:themeFillShade="D9"/>
          </w:tcPr>
          <w:p w14:paraId="544C4DDD"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32.7</w:t>
            </w:r>
          </w:p>
        </w:tc>
        <w:tc>
          <w:tcPr>
            <w:tcW w:w="908" w:type="dxa"/>
            <w:shd w:val="clear" w:color="auto" w:fill="FFFFFF" w:themeFill="background1"/>
          </w:tcPr>
          <w:p w14:paraId="0E53ECA2"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29.7</w:t>
            </w:r>
          </w:p>
        </w:tc>
        <w:tc>
          <w:tcPr>
            <w:tcW w:w="1432" w:type="dxa"/>
            <w:shd w:val="clear" w:color="auto" w:fill="D9D9D9" w:themeFill="background1" w:themeFillShade="D9"/>
          </w:tcPr>
          <w:p w14:paraId="44A9B20E"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31.8</w:t>
            </w:r>
          </w:p>
        </w:tc>
        <w:tc>
          <w:tcPr>
            <w:tcW w:w="1304" w:type="dxa"/>
          </w:tcPr>
          <w:p w14:paraId="3D20AD8F"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19.8</w:t>
            </w:r>
          </w:p>
        </w:tc>
        <w:tc>
          <w:tcPr>
            <w:tcW w:w="856" w:type="dxa"/>
            <w:shd w:val="clear" w:color="auto" w:fill="D9D9D9" w:themeFill="background1" w:themeFillShade="D9"/>
          </w:tcPr>
          <w:p w14:paraId="29AF2510"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35.6</w:t>
            </w:r>
          </w:p>
        </w:tc>
        <w:tc>
          <w:tcPr>
            <w:tcW w:w="900" w:type="dxa"/>
            <w:shd w:val="clear" w:color="auto" w:fill="FFFFFF" w:themeFill="background1"/>
          </w:tcPr>
          <w:p w14:paraId="3F2D8FAF"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50.6</w:t>
            </w:r>
          </w:p>
        </w:tc>
      </w:tr>
      <w:tr w:rsidR="00863DF5" w:rsidRPr="006F3B00" w14:paraId="383CB6EE" w14:textId="77777777" w:rsidTr="00690489">
        <w:tc>
          <w:tcPr>
            <w:tcW w:w="2296" w:type="dxa"/>
          </w:tcPr>
          <w:p w14:paraId="32B28B1B"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9.Sufficient guidance on how to complete WBAs</w:t>
            </w:r>
          </w:p>
        </w:tc>
        <w:tc>
          <w:tcPr>
            <w:tcW w:w="939" w:type="dxa"/>
            <w:shd w:val="clear" w:color="auto" w:fill="D9D9D9" w:themeFill="background1" w:themeFillShade="D9"/>
          </w:tcPr>
          <w:p w14:paraId="068F4DA6"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48.6</w:t>
            </w:r>
          </w:p>
        </w:tc>
        <w:tc>
          <w:tcPr>
            <w:tcW w:w="908" w:type="dxa"/>
            <w:shd w:val="clear" w:color="auto" w:fill="FFFFFF" w:themeFill="background1"/>
          </w:tcPr>
          <w:p w14:paraId="42A28DAE"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1432" w:type="dxa"/>
            <w:shd w:val="clear" w:color="auto" w:fill="D9D9D9" w:themeFill="background1" w:themeFillShade="D9"/>
          </w:tcPr>
          <w:p w14:paraId="712224C6"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23.7</w:t>
            </w:r>
          </w:p>
        </w:tc>
        <w:tc>
          <w:tcPr>
            <w:tcW w:w="1304" w:type="dxa"/>
          </w:tcPr>
          <w:p w14:paraId="45E9B498"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856" w:type="dxa"/>
            <w:shd w:val="clear" w:color="auto" w:fill="D9D9D9" w:themeFill="background1" w:themeFillShade="D9"/>
          </w:tcPr>
          <w:p w14:paraId="31C1FE04"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27.8</w:t>
            </w:r>
          </w:p>
        </w:tc>
        <w:tc>
          <w:tcPr>
            <w:tcW w:w="900" w:type="dxa"/>
            <w:shd w:val="clear" w:color="auto" w:fill="FFFFFF" w:themeFill="background1"/>
          </w:tcPr>
          <w:p w14:paraId="7A3AAE46"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r>
      <w:tr w:rsidR="00863DF5" w:rsidRPr="006F3B00" w14:paraId="35FAEEE2" w14:textId="77777777" w:rsidTr="00690489">
        <w:tc>
          <w:tcPr>
            <w:tcW w:w="2296" w:type="dxa"/>
          </w:tcPr>
          <w:p w14:paraId="0C4299E9" w14:textId="77777777" w:rsidR="00863DF5" w:rsidRPr="003E178E" w:rsidRDefault="00863DF5" w:rsidP="00863DF5">
            <w:pPr>
              <w:rPr>
                <w:rFonts w:ascii="Times New Roman" w:hAnsi="Times New Roman" w:cs="Times New Roman"/>
                <w:i/>
                <w:sz w:val="24"/>
                <w:szCs w:val="24"/>
              </w:rPr>
            </w:pPr>
            <w:r w:rsidRPr="003E178E">
              <w:rPr>
                <w:rFonts w:ascii="Times New Roman" w:hAnsi="Times New Roman" w:cs="Times New Roman"/>
                <w:i/>
                <w:sz w:val="24"/>
                <w:szCs w:val="24"/>
              </w:rPr>
              <w:t>9. Assessors accessible to complete WBAs</w:t>
            </w:r>
          </w:p>
        </w:tc>
        <w:tc>
          <w:tcPr>
            <w:tcW w:w="939" w:type="dxa"/>
            <w:shd w:val="clear" w:color="auto" w:fill="D9D9D9" w:themeFill="background1" w:themeFillShade="D9"/>
          </w:tcPr>
          <w:p w14:paraId="72174420"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908" w:type="dxa"/>
            <w:shd w:val="clear" w:color="auto" w:fill="FFFFFF" w:themeFill="background1"/>
          </w:tcPr>
          <w:p w14:paraId="019D8095"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66.0</w:t>
            </w:r>
          </w:p>
        </w:tc>
        <w:tc>
          <w:tcPr>
            <w:tcW w:w="1432" w:type="dxa"/>
            <w:shd w:val="clear" w:color="auto" w:fill="D9D9D9" w:themeFill="background1" w:themeFillShade="D9"/>
          </w:tcPr>
          <w:p w14:paraId="125A7879"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1304" w:type="dxa"/>
          </w:tcPr>
          <w:p w14:paraId="33CC711B"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18.7</w:t>
            </w:r>
          </w:p>
        </w:tc>
        <w:tc>
          <w:tcPr>
            <w:tcW w:w="856" w:type="dxa"/>
            <w:shd w:val="clear" w:color="auto" w:fill="D9D9D9" w:themeFill="background1" w:themeFillShade="D9"/>
          </w:tcPr>
          <w:p w14:paraId="451BF229" w14:textId="77777777" w:rsidR="00863DF5" w:rsidRPr="006F3B00" w:rsidRDefault="00863DF5" w:rsidP="00863DF5">
            <w:pPr>
              <w:jc w:val="center"/>
              <w:rPr>
                <w:rFonts w:ascii="Times New Roman" w:hAnsi="Times New Roman" w:cs="Times New Roman"/>
                <w:sz w:val="24"/>
                <w:szCs w:val="24"/>
              </w:rPr>
            </w:pPr>
          </w:p>
        </w:tc>
        <w:tc>
          <w:tcPr>
            <w:tcW w:w="900" w:type="dxa"/>
            <w:shd w:val="clear" w:color="auto" w:fill="FFFFFF" w:themeFill="background1"/>
          </w:tcPr>
          <w:p w14:paraId="5C25ECD1"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15.4</w:t>
            </w:r>
          </w:p>
        </w:tc>
      </w:tr>
      <w:tr w:rsidR="00863DF5" w:rsidRPr="006F3B00" w14:paraId="6E012D7B" w14:textId="77777777" w:rsidTr="00690489">
        <w:tc>
          <w:tcPr>
            <w:tcW w:w="2296" w:type="dxa"/>
          </w:tcPr>
          <w:p w14:paraId="76AB2F96"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 xml:space="preserve">10. Trainees select appropriate WBAs cases </w:t>
            </w:r>
          </w:p>
        </w:tc>
        <w:tc>
          <w:tcPr>
            <w:tcW w:w="939" w:type="dxa"/>
            <w:shd w:val="clear" w:color="auto" w:fill="D9D9D9" w:themeFill="background1" w:themeFillShade="D9"/>
          </w:tcPr>
          <w:p w14:paraId="204D8561"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50.6</w:t>
            </w:r>
          </w:p>
        </w:tc>
        <w:tc>
          <w:tcPr>
            <w:tcW w:w="908" w:type="dxa"/>
            <w:shd w:val="clear" w:color="auto" w:fill="FFFFFF" w:themeFill="background1"/>
          </w:tcPr>
          <w:p w14:paraId="5902A5B1"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1432" w:type="dxa"/>
            <w:shd w:val="clear" w:color="auto" w:fill="D9D9D9" w:themeFill="background1" w:themeFillShade="D9"/>
          </w:tcPr>
          <w:p w14:paraId="559B4DC4"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31.5</w:t>
            </w:r>
          </w:p>
        </w:tc>
        <w:tc>
          <w:tcPr>
            <w:tcW w:w="1304" w:type="dxa"/>
          </w:tcPr>
          <w:p w14:paraId="42034992"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856" w:type="dxa"/>
            <w:shd w:val="clear" w:color="auto" w:fill="D9D9D9" w:themeFill="background1" w:themeFillShade="D9"/>
          </w:tcPr>
          <w:p w14:paraId="132A3910"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17.9</w:t>
            </w:r>
          </w:p>
        </w:tc>
        <w:tc>
          <w:tcPr>
            <w:tcW w:w="900" w:type="dxa"/>
            <w:shd w:val="clear" w:color="auto" w:fill="FFFFFF" w:themeFill="background1"/>
          </w:tcPr>
          <w:p w14:paraId="55DBD82E"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r>
      <w:tr w:rsidR="00863DF5" w:rsidRPr="006F3B00" w14:paraId="27527DFF" w14:textId="77777777" w:rsidTr="00690489">
        <w:tc>
          <w:tcPr>
            <w:tcW w:w="2296" w:type="dxa"/>
          </w:tcPr>
          <w:p w14:paraId="3E3AC08B" w14:textId="77777777" w:rsidR="00863DF5" w:rsidRPr="003E178E" w:rsidRDefault="00863DF5" w:rsidP="00863DF5">
            <w:pPr>
              <w:rPr>
                <w:rFonts w:ascii="Times New Roman" w:hAnsi="Times New Roman" w:cs="Times New Roman"/>
                <w:i/>
                <w:sz w:val="24"/>
                <w:szCs w:val="24"/>
              </w:rPr>
            </w:pPr>
            <w:r w:rsidRPr="003E178E">
              <w:rPr>
                <w:rFonts w:ascii="Times New Roman" w:hAnsi="Times New Roman" w:cs="Times New Roman"/>
                <w:i/>
                <w:sz w:val="24"/>
                <w:szCs w:val="24"/>
              </w:rPr>
              <w:t>10. Assessors are engaged &amp; helpful with WBAs</w:t>
            </w:r>
          </w:p>
        </w:tc>
        <w:tc>
          <w:tcPr>
            <w:tcW w:w="939" w:type="dxa"/>
            <w:shd w:val="clear" w:color="auto" w:fill="D9D9D9" w:themeFill="background1" w:themeFillShade="D9"/>
          </w:tcPr>
          <w:p w14:paraId="6EF96DE2"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908" w:type="dxa"/>
            <w:shd w:val="clear" w:color="auto" w:fill="FFFFFF" w:themeFill="background1"/>
          </w:tcPr>
          <w:p w14:paraId="71F96BB0"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49.5</w:t>
            </w:r>
          </w:p>
        </w:tc>
        <w:tc>
          <w:tcPr>
            <w:tcW w:w="1432" w:type="dxa"/>
            <w:shd w:val="clear" w:color="auto" w:fill="D9D9D9" w:themeFill="background1" w:themeFillShade="D9"/>
          </w:tcPr>
          <w:p w14:paraId="08A5310F"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1304" w:type="dxa"/>
          </w:tcPr>
          <w:p w14:paraId="4457B223"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28.6</w:t>
            </w:r>
          </w:p>
        </w:tc>
        <w:tc>
          <w:tcPr>
            <w:tcW w:w="856" w:type="dxa"/>
            <w:shd w:val="clear" w:color="auto" w:fill="D9D9D9" w:themeFill="background1" w:themeFillShade="D9"/>
          </w:tcPr>
          <w:p w14:paraId="7359D090"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w:t>
            </w:r>
          </w:p>
        </w:tc>
        <w:tc>
          <w:tcPr>
            <w:tcW w:w="900" w:type="dxa"/>
            <w:shd w:val="clear" w:color="auto" w:fill="FFFFFF" w:themeFill="background1"/>
          </w:tcPr>
          <w:p w14:paraId="57A31B13" w14:textId="77777777" w:rsidR="00863DF5" w:rsidRPr="006F3B00" w:rsidRDefault="00863DF5" w:rsidP="00863DF5">
            <w:pPr>
              <w:jc w:val="center"/>
              <w:rPr>
                <w:rFonts w:ascii="Times New Roman" w:hAnsi="Times New Roman" w:cs="Times New Roman"/>
                <w:sz w:val="24"/>
                <w:szCs w:val="24"/>
              </w:rPr>
            </w:pPr>
            <w:r w:rsidRPr="006F3B00">
              <w:rPr>
                <w:rFonts w:ascii="Times New Roman" w:hAnsi="Times New Roman" w:cs="Times New Roman"/>
                <w:sz w:val="24"/>
                <w:szCs w:val="24"/>
              </w:rPr>
              <w:t>22.0</w:t>
            </w:r>
          </w:p>
        </w:tc>
      </w:tr>
    </w:tbl>
    <w:p w14:paraId="22B86E2A" w14:textId="77777777" w:rsidR="00862691" w:rsidRPr="006F3B00" w:rsidRDefault="00862691" w:rsidP="00863DF5">
      <w:pPr>
        <w:spacing w:line="240" w:lineRule="auto"/>
        <w:rPr>
          <w:rFonts w:ascii="Times New Roman" w:hAnsi="Times New Roman" w:cs="Times New Roman"/>
          <w:b/>
          <w:sz w:val="24"/>
          <w:szCs w:val="24"/>
        </w:rPr>
      </w:pPr>
    </w:p>
    <w:p w14:paraId="18670286" w14:textId="5A42462E" w:rsidR="00862691" w:rsidRPr="006F3B00" w:rsidRDefault="005073E7" w:rsidP="00863DF5">
      <w:pPr>
        <w:spacing w:line="240" w:lineRule="auto"/>
        <w:rPr>
          <w:rFonts w:ascii="Times New Roman" w:hAnsi="Times New Roman" w:cs="Times New Roman"/>
          <w:b/>
          <w:sz w:val="24"/>
          <w:szCs w:val="24"/>
        </w:rPr>
      </w:pPr>
      <w:r>
        <w:rPr>
          <w:rFonts w:ascii="Times New Roman" w:hAnsi="Times New Roman" w:cs="Times New Roman"/>
          <w:b/>
          <w:sz w:val="24"/>
          <w:szCs w:val="24"/>
        </w:rPr>
        <w:t>Table 3.2</w:t>
      </w:r>
      <w:r w:rsidR="00B76F91">
        <w:rPr>
          <w:rFonts w:ascii="Times New Roman" w:hAnsi="Times New Roman" w:cs="Times New Roman"/>
          <w:b/>
          <w:sz w:val="24"/>
          <w:szCs w:val="24"/>
        </w:rPr>
        <w:t>.</w:t>
      </w:r>
      <w:r w:rsidR="00B76F91" w:rsidRPr="006F3B00">
        <w:rPr>
          <w:rFonts w:ascii="Times New Roman" w:hAnsi="Times New Roman" w:cs="Times New Roman"/>
          <w:b/>
          <w:sz w:val="24"/>
          <w:szCs w:val="24"/>
        </w:rPr>
        <w:t xml:space="preserve">  Summary of responses to questionnaire (excluding question 7) A=assessors, n = 242.  T=trainees, n= 91. </w:t>
      </w:r>
      <w:r w:rsidR="003E178E">
        <w:rPr>
          <w:rFonts w:ascii="Times New Roman" w:hAnsi="Times New Roman" w:cs="Times New Roman"/>
          <w:sz w:val="24"/>
          <w:szCs w:val="24"/>
        </w:rPr>
        <w:t>Please note questions 9 and 10 were different for assessors (normal font) and trainees (highlighted in italics).</w:t>
      </w:r>
    </w:p>
    <w:p w14:paraId="42D88A2C" w14:textId="5D6BBAAD" w:rsidR="00863DF5" w:rsidRPr="006F3B00" w:rsidRDefault="00863DF5" w:rsidP="00863DF5">
      <w:pPr>
        <w:spacing w:line="240" w:lineRule="auto"/>
        <w:rPr>
          <w:rFonts w:ascii="Times New Roman" w:hAnsi="Times New Roman" w:cs="Times New Roman"/>
          <w:b/>
          <w:sz w:val="24"/>
          <w:szCs w:val="24"/>
        </w:rPr>
      </w:pPr>
    </w:p>
    <w:tbl>
      <w:tblPr>
        <w:tblW w:w="87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1620"/>
        <w:gridCol w:w="1440"/>
        <w:gridCol w:w="1620"/>
        <w:gridCol w:w="1260"/>
        <w:gridCol w:w="900"/>
      </w:tblGrid>
      <w:tr w:rsidR="00863DF5" w:rsidRPr="006F3B00" w14:paraId="016A7977" w14:textId="77777777" w:rsidTr="0025315F">
        <w:trPr>
          <w:trHeight w:val="1808"/>
        </w:trPr>
        <w:tc>
          <w:tcPr>
            <w:tcW w:w="1867" w:type="dxa"/>
          </w:tcPr>
          <w:p w14:paraId="08399C5E" w14:textId="39074A60" w:rsidR="00863DF5" w:rsidRPr="006F3B00" w:rsidRDefault="00ED6756" w:rsidP="001E510D">
            <w:pPr>
              <w:jc w:val="center"/>
              <w:rPr>
                <w:rFonts w:ascii="Times New Roman" w:hAnsi="Times New Roman" w:cs="Times New Roman"/>
                <w:sz w:val="24"/>
                <w:szCs w:val="24"/>
              </w:rPr>
            </w:pPr>
            <w:r>
              <w:rPr>
                <w:rFonts w:ascii="Times New Roman" w:hAnsi="Times New Roman" w:cs="Times New Roman"/>
                <w:sz w:val="24"/>
                <w:szCs w:val="24"/>
              </w:rPr>
              <w:t>7.  Which of the four</w:t>
            </w:r>
            <w:r w:rsidR="00863DF5" w:rsidRPr="006F3B00">
              <w:rPr>
                <w:rFonts w:ascii="Times New Roman" w:hAnsi="Times New Roman" w:cs="Times New Roman"/>
                <w:sz w:val="24"/>
                <w:szCs w:val="24"/>
              </w:rPr>
              <w:t xml:space="preserve"> options are most important? WBAs are part of the curriculum</w:t>
            </w:r>
            <w:r w:rsidR="001E510D" w:rsidRPr="006F3B00">
              <w:rPr>
                <w:rFonts w:ascii="Times New Roman" w:hAnsi="Times New Roman" w:cs="Times New Roman"/>
                <w:sz w:val="24"/>
                <w:szCs w:val="24"/>
              </w:rPr>
              <w:t xml:space="preserve"> </w:t>
            </w:r>
            <w:r w:rsidR="00863DF5" w:rsidRPr="006F3B00">
              <w:rPr>
                <w:rFonts w:ascii="Times New Roman" w:hAnsi="Times New Roman" w:cs="Times New Roman"/>
                <w:sz w:val="24"/>
                <w:szCs w:val="24"/>
              </w:rPr>
              <w:t>to:</w:t>
            </w:r>
          </w:p>
        </w:tc>
        <w:tc>
          <w:tcPr>
            <w:tcW w:w="1620" w:type="dxa"/>
          </w:tcPr>
          <w:p w14:paraId="25308895" w14:textId="77777777" w:rsidR="00863DF5" w:rsidRPr="006F3B00" w:rsidRDefault="00863DF5" w:rsidP="001E510D">
            <w:pPr>
              <w:jc w:val="center"/>
              <w:rPr>
                <w:rFonts w:ascii="Times New Roman" w:hAnsi="Times New Roman" w:cs="Times New Roman"/>
                <w:sz w:val="24"/>
                <w:szCs w:val="24"/>
              </w:rPr>
            </w:pPr>
            <w:r w:rsidRPr="006F3B00">
              <w:rPr>
                <w:rFonts w:ascii="Times New Roman" w:hAnsi="Times New Roman" w:cs="Times New Roman"/>
                <w:sz w:val="24"/>
                <w:szCs w:val="24"/>
              </w:rPr>
              <w:t>Help monitor trainee development</w:t>
            </w:r>
          </w:p>
        </w:tc>
        <w:tc>
          <w:tcPr>
            <w:tcW w:w="1440" w:type="dxa"/>
          </w:tcPr>
          <w:p w14:paraId="51F48C14" w14:textId="77777777" w:rsidR="00863DF5" w:rsidRPr="006F3B00" w:rsidRDefault="00863DF5" w:rsidP="001E510D">
            <w:pPr>
              <w:jc w:val="center"/>
              <w:rPr>
                <w:rFonts w:ascii="Times New Roman" w:hAnsi="Times New Roman" w:cs="Times New Roman"/>
                <w:sz w:val="24"/>
                <w:szCs w:val="24"/>
              </w:rPr>
            </w:pPr>
            <w:r w:rsidRPr="006F3B00">
              <w:rPr>
                <w:rFonts w:ascii="Times New Roman" w:hAnsi="Times New Roman" w:cs="Times New Roman"/>
                <w:sz w:val="24"/>
                <w:szCs w:val="24"/>
              </w:rPr>
              <w:t>Provide evidence for ARCP</w:t>
            </w:r>
          </w:p>
        </w:tc>
        <w:tc>
          <w:tcPr>
            <w:tcW w:w="1620" w:type="dxa"/>
          </w:tcPr>
          <w:p w14:paraId="2DAEADD7" w14:textId="77777777" w:rsidR="00863DF5" w:rsidRPr="006F3B00" w:rsidRDefault="00863DF5" w:rsidP="001E510D">
            <w:pPr>
              <w:jc w:val="center"/>
              <w:rPr>
                <w:rFonts w:ascii="Times New Roman" w:hAnsi="Times New Roman" w:cs="Times New Roman"/>
                <w:sz w:val="24"/>
                <w:szCs w:val="24"/>
              </w:rPr>
            </w:pPr>
            <w:r w:rsidRPr="006F3B00">
              <w:rPr>
                <w:rFonts w:ascii="Times New Roman" w:hAnsi="Times New Roman" w:cs="Times New Roman"/>
                <w:sz w:val="24"/>
                <w:szCs w:val="24"/>
              </w:rPr>
              <w:t>Satisfy requirements of RCPath</w:t>
            </w:r>
          </w:p>
        </w:tc>
        <w:tc>
          <w:tcPr>
            <w:tcW w:w="1260" w:type="dxa"/>
          </w:tcPr>
          <w:p w14:paraId="214FCB07" w14:textId="77777777" w:rsidR="00863DF5" w:rsidRPr="006F3B00" w:rsidRDefault="00863DF5" w:rsidP="001E510D">
            <w:pPr>
              <w:jc w:val="center"/>
              <w:rPr>
                <w:rFonts w:ascii="Times New Roman" w:hAnsi="Times New Roman" w:cs="Times New Roman"/>
                <w:sz w:val="24"/>
                <w:szCs w:val="24"/>
              </w:rPr>
            </w:pPr>
            <w:r w:rsidRPr="006F3B00">
              <w:rPr>
                <w:rFonts w:ascii="Times New Roman" w:hAnsi="Times New Roman" w:cs="Times New Roman"/>
                <w:sz w:val="24"/>
                <w:szCs w:val="24"/>
              </w:rPr>
              <w:t>Provide structured feedback</w:t>
            </w:r>
          </w:p>
        </w:tc>
        <w:tc>
          <w:tcPr>
            <w:tcW w:w="900" w:type="dxa"/>
          </w:tcPr>
          <w:p w14:paraId="0D2C8EAF" w14:textId="77777777" w:rsidR="00863DF5" w:rsidRPr="006F3B00" w:rsidRDefault="00863DF5" w:rsidP="001E510D">
            <w:pPr>
              <w:jc w:val="center"/>
              <w:rPr>
                <w:rFonts w:ascii="Times New Roman" w:hAnsi="Times New Roman" w:cs="Times New Roman"/>
                <w:sz w:val="24"/>
                <w:szCs w:val="24"/>
              </w:rPr>
            </w:pPr>
            <w:r w:rsidRPr="006F3B00">
              <w:rPr>
                <w:rFonts w:ascii="Times New Roman" w:hAnsi="Times New Roman" w:cs="Times New Roman"/>
                <w:sz w:val="24"/>
                <w:szCs w:val="24"/>
              </w:rPr>
              <w:t>Other</w:t>
            </w:r>
          </w:p>
        </w:tc>
      </w:tr>
      <w:tr w:rsidR="00B76F91" w:rsidRPr="006F3B00" w14:paraId="53B21951" w14:textId="77777777" w:rsidTr="0025315F">
        <w:trPr>
          <w:trHeight w:val="1125"/>
        </w:trPr>
        <w:tc>
          <w:tcPr>
            <w:tcW w:w="1867" w:type="dxa"/>
          </w:tcPr>
          <w:p w14:paraId="6CC26BF2" w14:textId="25DAE681" w:rsidR="00B76F91" w:rsidRPr="006F3B00" w:rsidRDefault="00B76F91" w:rsidP="001E510D">
            <w:pPr>
              <w:jc w:val="center"/>
              <w:rPr>
                <w:rFonts w:ascii="Times New Roman" w:hAnsi="Times New Roman" w:cs="Times New Roman"/>
                <w:sz w:val="24"/>
                <w:szCs w:val="24"/>
              </w:rPr>
            </w:pPr>
            <w:r>
              <w:rPr>
                <w:rFonts w:ascii="Times New Roman" w:hAnsi="Times New Roman" w:cs="Times New Roman"/>
                <w:sz w:val="24"/>
                <w:szCs w:val="24"/>
              </w:rPr>
              <w:t>% assessors choosing option</w:t>
            </w:r>
          </w:p>
        </w:tc>
        <w:tc>
          <w:tcPr>
            <w:tcW w:w="1620" w:type="dxa"/>
            <w:shd w:val="clear" w:color="auto" w:fill="D9D9D9" w:themeFill="background1" w:themeFillShade="D9"/>
          </w:tcPr>
          <w:p w14:paraId="6F3DA003" w14:textId="76C0D012" w:rsidR="00B76F91" w:rsidRPr="006F3B00" w:rsidRDefault="00B76F91" w:rsidP="00B5073A">
            <w:pPr>
              <w:jc w:val="center"/>
              <w:rPr>
                <w:rFonts w:ascii="Times New Roman" w:hAnsi="Times New Roman" w:cs="Times New Roman"/>
                <w:sz w:val="24"/>
                <w:szCs w:val="24"/>
              </w:rPr>
            </w:pPr>
          </w:p>
          <w:p w14:paraId="0D32E484" w14:textId="47165834" w:rsidR="00B76F91" w:rsidRPr="006F3B00" w:rsidRDefault="00B76F91" w:rsidP="00B5073A">
            <w:pPr>
              <w:jc w:val="center"/>
              <w:rPr>
                <w:rFonts w:ascii="Times New Roman" w:hAnsi="Times New Roman" w:cs="Times New Roman"/>
                <w:sz w:val="24"/>
                <w:szCs w:val="24"/>
              </w:rPr>
            </w:pPr>
            <w:r>
              <w:rPr>
                <w:rFonts w:ascii="Times New Roman" w:hAnsi="Times New Roman" w:cs="Times New Roman"/>
                <w:sz w:val="24"/>
                <w:szCs w:val="24"/>
              </w:rPr>
              <w:t>11.6</w:t>
            </w:r>
          </w:p>
        </w:tc>
        <w:tc>
          <w:tcPr>
            <w:tcW w:w="1440" w:type="dxa"/>
            <w:shd w:val="clear" w:color="auto" w:fill="D9D9D9" w:themeFill="background1" w:themeFillShade="D9"/>
          </w:tcPr>
          <w:p w14:paraId="495B3055" w14:textId="48DCF0DE" w:rsidR="00B76F91" w:rsidRPr="006F3B00" w:rsidRDefault="00B76F91" w:rsidP="00B5073A">
            <w:pPr>
              <w:jc w:val="center"/>
              <w:rPr>
                <w:rFonts w:ascii="Times New Roman" w:hAnsi="Times New Roman" w:cs="Times New Roman"/>
                <w:sz w:val="24"/>
                <w:szCs w:val="24"/>
              </w:rPr>
            </w:pPr>
          </w:p>
          <w:p w14:paraId="568E5CF0" w14:textId="0E2B17CC" w:rsidR="00B76F91" w:rsidRPr="006F3B00" w:rsidRDefault="00B76F91" w:rsidP="00B5073A">
            <w:pPr>
              <w:jc w:val="center"/>
              <w:rPr>
                <w:rFonts w:ascii="Times New Roman" w:hAnsi="Times New Roman" w:cs="Times New Roman"/>
                <w:sz w:val="24"/>
                <w:szCs w:val="24"/>
              </w:rPr>
            </w:pPr>
            <w:r>
              <w:rPr>
                <w:rFonts w:ascii="Times New Roman" w:hAnsi="Times New Roman" w:cs="Times New Roman"/>
                <w:sz w:val="24"/>
                <w:szCs w:val="24"/>
              </w:rPr>
              <w:t>27.3</w:t>
            </w:r>
          </w:p>
        </w:tc>
        <w:tc>
          <w:tcPr>
            <w:tcW w:w="1620" w:type="dxa"/>
            <w:shd w:val="clear" w:color="auto" w:fill="D9D9D9" w:themeFill="background1" w:themeFillShade="D9"/>
          </w:tcPr>
          <w:p w14:paraId="4C5BA35B" w14:textId="77777777" w:rsidR="00B5073A" w:rsidRDefault="00B5073A" w:rsidP="00B5073A">
            <w:pPr>
              <w:jc w:val="center"/>
              <w:rPr>
                <w:rFonts w:ascii="Times New Roman" w:hAnsi="Times New Roman" w:cs="Times New Roman"/>
                <w:sz w:val="24"/>
                <w:szCs w:val="24"/>
              </w:rPr>
            </w:pPr>
          </w:p>
          <w:p w14:paraId="707BF073" w14:textId="0584A286" w:rsidR="00B76F91" w:rsidRPr="006F3B00" w:rsidRDefault="00B76F91" w:rsidP="00B5073A">
            <w:pPr>
              <w:jc w:val="center"/>
              <w:rPr>
                <w:rFonts w:ascii="Times New Roman" w:hAnsi="Times New Roman" w:cs="Times New Roman"/>
                <w:sz w:val="24"/>
                <w:szCs w:val="24"/>
              </w:rPr>
            </w:pPr>
            <w:r>
              <w:rPr>
                <w:rFonts w:ascii="Times New Roman" w:hAnsi="Times New Roman" w:cs="Times New Roman"/>
                <w:sz w:val="24"/>
                <w:szCs w:val="24"/>
              </w:rPr>
              <w:t>31.8</w:t>
            </w:r>
          </w:p>
        </w:tc>
        <w:tc>
          <w:tcPr>
            <w:tcW w:w="1260" w:type="dxa"/>
            <w:shd w:val="clear" w:color="auto" w:fill="D9D9D9" w:themeFill="background1" w:themeFillShade="D9"/>
          </w:tcPr>
          <w:p w14:paraId="15D14279" w14:textId="77777777" w:rsidR="00B5073A" w:rsidRDefault="00B5073A" w:rsidP="00B5073A">
            <w:pPr>
              <w:jc w:val="center"/>
              <w:rPr>
                <w:rFonts w:ascii="Times New Roman" w:hAnsi="Times New Roman" w:cs="Times New Roman"/>
                <w:sz w:val="24"/>
                <w:szCs w:val="24"/>
              </w:rPr>
            </w:pPr>
          </w:p>
          <w:p w14:paraId="53E8087F" w14:textId="090B693F" w:rsidR="00B76F91" w:rsidRPr="006F3B00" w:rsidRDefault="00B76F91" w:rsidP="00B5073A">
            <w:pPr>
              <w:jc w:val="center"/>
              <w:rPr>
                <w:rFonts w:ascii="Times New Roman" w:hAnsi="Times New Roman" w:cs="Times New Roman"/>
                <w:sz w:val="24"/>
                <w:szCs w:val="24"/>
              </w:rPr>
            </w:pPr>
            <w:r>
              <w:rPr>
                <w:rFonts w:ascii="Times New Roman" w:hAnsi="Times New Roman" w:cs="Times New Roman"/>
                <w:sz w:val="24"/>
                <w:szCs w:val="24"/>
              </w:rPr>
              <w:t>24.0</w:t>
            </w:r>
          </w:p>
        </w:tc>
        <w:tc>
          <w:tcPr>
            <w:tcW w:w="900" w:type="dxa"/>
            <w:shd w:val="clear" w:color="auto" w:fill="D9D9D9" w:themeFill="background1" w:themeFillShade="D9"/>
          </w:tcPr>
          <w:p w14:paraId="552AA2BB" w14:textId="77777777" w:rsidR="00B5073A" w:rsidRDefault="00B5073A" w:rsidP="00B5073A">
            <w:pPr>
              <w:jc w:val="center"/>
              <w:rPr>
                <w:rFonts w:ascii="Times New Roman" w:hAnsi="Times New Roman" w:cs="Times New Roman"/>
                <w:sz w:val="24"/>
                <w:szCs w:val="24"/>
              </w:rPr>
            </w:pPr>
          </w:p>
          <w:p w14:paraId="5C0C01E8" w14:textId="6EC9F78C" w:rsidR="00B76F91" w:rsidRPr="006F3B00" w:rsidRDefault="00B5073A" w:rsidP="00B5073A">
            <w:pPr>
              <w:jc w:val="center"/>
              <w:rPr>
                <w:rFonts w:ascii="Times New Roman" w:hAnsi="Times New Roman" w:cs="Times New Roman"/>
                <w:sz w:val="24"/>
                <w:szCs w:val="24"/>
              </w:rPr>
            </w:pPr>
            <w:r>
              <w:rPr>
                <w:rFonts w:ascii="Times New Roman" w:hAnsi="Times New Roman" w:cs="Times New Roman"/>
                <w:sz w:val="24"/>
                <w:szCs w:val="24"/>
              </w:rPr>
              <w:t>5.4</w:t>
            </w:r>
          </w:p>
        </w:tc>
      </w:tr>
      <w:tr w:rsidR="00B76F91" w:rsidRPr="006F3B00" w14:paraId="111A4B41" w14:textId="77777777" w:rsidTr="0025315F">
        <w:trPr>
          <w:trHeight w:val="1107"/>
        </w:trPr>
        <w:tc>
          <w:tcPr>
            <w:tcW w:w="1867" w:type="dxa"/>
          </w:tcPr>
          <w:p w14:paraId="728211D0" w14:textId="1221CBE9" w:rsidR="00B76F91" w:rsidRPr="006F3B00" w:rsidRDefault="00B76F91" w:rsidP="001E510D">
            <w:pPr>
              <w:jc w:val="center"/>
              <w:rPr>
                <w:rFonts w:ascii="Times New Roman" w:hAnsi="Times New Roman" w:cs="Times New Roman"/>
                <w:sz w:val="24"/>
                <w:szCs w:val="24"/>
              </w:rPr>
            </w:pPr>
            <w:r w:rsidRPr="006F3B00">
              <w:rPr>
                <w:rFonts w:ascii="Times New Roman" w:hAnsi="Times New Roman" w:cs="Times New Roman"/>
                <w:sz w:val="24"/>
                <w:szCs w:val="24"/>
              </w:rPr>
              <w:t xml:space="preserve">% </w:t>
            </w:r>
            <w:r>
              <w:rPr>
                <w:rFonts w:ascii="Times New Roman" w:hAnsi="Times New Roman" w:cs="Times New Roman"/>
                <w:sz w:val="24"/>
                <w:szCs w:val="24"/>
              </w:rPr>
              <w:t xml:space="preserve">trainees </w:t>
            </w:r>
            <w:r w:rsidRPr="006F3B00">
              <w:rPr>
                <w:rFonts w:ascii="Times New Roman" w:hAnsi="Times New Roman" w:cs="Times New Roman"/>
                <w:sz w:val="24"/>
                <w:szCs w:val="24"/>
              </w:rPr>
              <w:t>choosing option</w:t>
            </w:r>
          </w:p>
          <w:p w14:paraId="02F24D28" w14:textId="77777777" w:rsidR="00B76F91" w:rsidRPr="006F3B00" w:rsidRDefault="00B76F91" w:rsidP="001E510D">
            <w:pPr>
              <w:jc w:val="center"/>
              <w:rPr>
                <w:rFonts w:ascii="Times New Roman" w:hAnsi="Times New Roman" w:cs="Times New Roman"/>
                <w:sz w:val="24"/>
                <w:szCs w:val="24"/>
              </w:rPr>
            </w:pPr>
          </w:p>
        </w:tc>
        <w:tc>
          <w:tcPr>
            <w:tcW w:w="1620" w:type="dxa"/>
            <w:shd w:val="clear" w:color="auto" w:fill="D9D9D9" w:themeFill="background1" w:themeFillShade="D9"/>
          </w:tcPr>
          <w:p w14:paraId="5E4B92E9" w14:textId="77777777" w:rsidR="00B5073A" w:rsidRDefault="00B5073A" w:rsidP="00B5073A">
            <w:pPr>
              <w:jc w:val="center"/>
              <w:rPr>
                <w:rFonts w:ascii="Times New Roman" w:hAnsi="Times New Roman" w:cs="Times New Roman"/>
                <w:sz w:val="24"/>
                <w:szCs w:val="24"/>
              </w:rPr>
            </w:pPr>
          </w:p>
          <w:p w14:paraId="5B3ED5B6" w14:textId="6FE27912" w:rsidR="00B76F91" w:rsidRPr="006F3B00" w:rsidRDefault="00B76F91" w:rsidP="00B5073A">
            <w:pPr>
              <w:jc w:val="center"/>
              <w:rPr>
                <w:rFonts w:ascii="Times New Roman" w:hAnsi="Times New Roman" w:cs="Times New Roman"/>
                <w:sz w:val="24"/>
                <w:szCs w:val="24"/>
              </w:rPr>
            </w:pPr>
            <w:r w:rsidRPr="006F3B00">
              <w:rPr>
                <w:rFonts w:ascii="Times New Roman" w:hAnsi="Times New Roman" w:cs="Times New Roman"/>
                <w:sz w:val="24"/>
                <w:szCs w:val="24"/>
              </w:rPr>
              <w:t>3.3</w:t>
            </w:r>
          </w:p>
        </w:tc>
        <w:tc>
          <w:tcPr>
            <w:tcW w:w="1440" w:type="dxa"/>
            <w:shd w:val="clear" w:color="auto" w:fill="D9D9D9" w:themeFill="background1" w:themeFillShade="D9"/>
          </w:tcPr>
          <w:p w14:paraId="42114AA9" w14:textId="77777777" w:rsidR="00B5073A" w:rsidRDefault="00B5073A" w:rsidP="00B5073A">
            <w:pPr>
              <w:jc w:val="center"/>
              <w:rPr>
                <w:rFonts w:ascii="Times New Roman" w:hAnsi="Times New Roman" w:cs="Times New Roman"/>
                <w:sz w:val="24"/>
                <w:szCs w:val="24"/>
              </w:rPr>
            </w:pPr>
          </w:p>
          <w:p w14:paraId="6475B4D0" w14:textId="414EB5C0" w:rsidR="00B76F91" w:rsidRPr="006F3B00" w:rsidRDefault="00AF0335" w:rsidP="00B5073A">
            <w:pPr>
              <w:jc w:val="center"/>
              <w:rPr>
                <w:rFonts w:ascii="Times New Roman" w:hAnsi="Times New Roman" w:cs="Times New Roman"/>
                <w:sz w:val="24"/>
                <w:szCs w:val="24"/>
              </w:rPr>
            </w:pPr>
            <w:r>
              <w:rPr>
                <w:rFonts w:ascii="Times New Roman" w:hAnsi="Times New Roman" w:cs="Times New Roman"/>
                <w:sz w:val="24"/>
                <w:szCs w:val="24"/>
              </w:rPr>
              <w:t>25.6</w:t>
            </w:r>
          </w:p>
        </w:tc>
        <w:tc>
          <w:tcPr>
            <w:tcW w:w="1620" w:type="dxa"/>
            <w:shd w:val="clear" w:color="auto" w:fill="D9D9D9" w:themeFill="background1" w:themeFillShade="D9"/>
          </w:tcPr>
          <w:p w14:paraId="64784D77" w14:textId="3365CDA1" w:rsidR="00B76F91" w:rsidRPr="006F3B00" w:rsidRDefault="00B76F91" w:rsidP="00B5073A">
            <w:pPr>
              <w:jc w:val="center"/>
              <w:rPr>
                <w:rFonts w:ascii="Times New Roman" w:hAnsi="Times New Roman" w:cs="Times New Roman"/>
                <w:sz w:val="24"/>
                <w:szCs w:val="24"/>
              </w:rPr>
            </w:pPr>
          </w:p>
          <w:p w14:paraId="1A64C9B2" w14:textId="240D3D9F" w:rsidR="00B76F91" w:rsidRPr="006F3B00" w:rsidRDefault="00AF0335" w:rsidP="00B5073A">
            <w:pPr>
              <w:jc w:val="center"/>
              <w:rPr>
                <w:rFonts w:ascii="Times New Roman" w:hAnsi="Times New Roman" w:cs="Times New Roman"/>
                <w:sz w:val="24"/>
                <w:szCs w:val="24"/>
              </w:rPr>
            </w:pPr>
            <w:r>
              <w:rPr>
                <w:rFonts w:ascii="Times New Roman" w:hAnsi="Times New Roman" w:cs="Times New Roman"/>
                <w:sz w:val="24"/>
                <w:szCs w:val="24"/>
              </w:rPr>
              <w:t>48.9</w:t>
            </w:r>
          </w:p>
        </w:tc>
        <w:tc>
          <w:tcPr>
            <w:tcW w:w="1260" w:type="dxa"/>
            <w:shd w:val="clear" w:color="auto" w:fill="D9D9D9" w:themeFill="background1" w:themeFillShade="D9"/>
          </w:tcPr>
          <w:p w14:paraId="5662F965" w14:textId="77777777" w:rsidR="00B5073A" w:rsidRDefault="00B5073A" w:rsidP="00B5073A">
            <w:pPr>
              <w:jc w:val="center"/>
              <w:rPr>
                <w:rFonts w:ascii="Times New Roman" w:hAnsi="Times New Roman" w:cs="Times New Roman"/>
                <w:sz w:val="24"/>
                <w:szCs w:val="24"/>
              </w:rPr>
            </w:pPr>
          </w:p>
          <w:p w14:paraId="6DE1114D" w14:textId="7BE68AAD" w:rsidR="00B76F91" w:rsidRPr="006F3B00" w:rsidRDefault="00B76F91" w:rsidP="00B5073A">
            <w:pPr>
              <w:jc w:val="center"/>
              <w:rPr>
                <w:rFonts w:ascii="Times New Roman" w:hAnsi="Times New Roman" w:cs="Times New Roman"/>
                <w:sz w:val="24"/>
                <w:szCs w:val="24"/>
              </w:rPr>
            </w:pPr>
            <w:r w:rsidRPr="006F3B00">
              <w:rPr>
                <w:rFonts w:ascii="Times New Roman" w:hAnsi="Times New Roman" w:cs="Times New Roman"/>
                <w:sz w:val="24"/>
                <w:szCs w:val="24"/>
              </w:rPr>
              <w:t>20.0</w:t>
            </w:r>
          </w:p>
        </w:tc>
        <w:tc>
          <w:tcPr>
            <w:tcW w:w="900" w:type="dxa"/>
            <w:shd w:val="clear" w:color="auto" w:fill="D9D9D9" w:themeFill="background1" w:themeFillShade="D9"/>
          </w:tcPr>
          <w:p w14:paraId="154DE410" w14:textId="77777777" w:rsidR="00B5073A" w:rsidRDefault="00B5073A" w:rsidP="00B5073A">
            <w:pPr>
              <w:jc w:val="center"/>
              <w:rPr>
                <w:rFonts w:ascii="Times New Roman" w:hAnsi="Times New Roman" w:cs="Times New Roman"/>
                <w:sz w:val="24"/>
                <w:szCs w:val="24"/>
              </w:rPr>
            </w:pPr>
          </w:p>
          <w:p w14:paraId="34613AD2" w14:textId="5CCF3C6C" w:rsidR="00B76F91" w:rsidRPr="006F3B00" w:rsidRDefault="00B76F91" w:rsidP="00B5073A">
            <w:pPr>
              <w:jc w:val="center"/>
              <w:rPr>
                <w:rFonts w:ascii="Times New Roman" w:hAnsi="Times New Roman" w:cs="Times New Roman"/>
                <w:sz w:val="24"/>
                <w:szCs w:val="24"/>
              </w:rPr>
            </w:pPr>
            <w:r w:rsidRPr="006F3B00">
              <w:rPr>
                <w:rFonts w:ascii="Times New Roman" w:hAnsi="Times New Roman" w:cs="Times New Roman"/>
                <w:sz w:val="24"/>
                <w:szCs w:val="24"/>
              </w:rPr>
              <w:t>2.2</w:t>
            </w:r>
          </w:p>
        </w:tc>
      </w:tr>
    </w:tbl>
    <w:p w14:paraId="38C5C299" w14:textId="76FB1500" w:rsidR="00863DF5" w:rsidRDefault="00863DF5" w:rsidP="00863DF5">
      <w:pPr>
        <w:spacing w:after="0" w:line="480" w:lineRule="auto"/>
        <w:rPr>
          <w:rFonts w:ascii="Times New Roman" w:hAnsi="Times New Roman" w:cs="Times New Roman"/>
          <w:sz w:val="24"/>
          <w:szCs w:val="24"/>
        </w:rPr>
      </w:pPr>
    </w:p>
    <w:p w14:paraId="058F9471" w14:textId="4E7D3A7A" w:rsidR="00B76F91" w:rsidRPr="006F3B00" w:rsidRDefault="00B76F91" w:rsidP="00B76F91">
      <w:pPr>
        <w:spacing w:line="240" w:lineRule="auto"/>
        <w:rPr>
          <w:rFonts w:ascii="Times New Roman" w:hAnsi="Times New Roman" w:cs="Times New Roman"/>
          <w:b/>
          <w:sz w:val="24"/>
          <w:szCs w:val="24"/>
        </w:rPr>
      </w:pPr>
      <w:r w:rsidRPr="006F3B00">
        <w:rPr>
          <w:rFonts w:ascii="Times New Roman" w:hAnsi="Times New Roman" w:cs="Times New Roman"/>
          <w:b/>
          <w:sz w:val="24"/>
          <w:szCs w:val="24"/>
        </w:rPr>
        <w:t xml:space="preserve">Table </w:t>
      </w:r>
      <w:r w:rsidR="005073E7">
        <w:rPr>
          <w:rFonts w:ascii="Times New Roman" w:hAnsi="Times New Roman" w:cs="Times New Roman"/>
          <w:b/>
          <w:sz w:val="24"/>
          <w:szCs w:val="24"/>
        </w:rPr>
        <w:t>3.3</w:t>
      </w:r>
      <w:r>
        <w:rPr>
          <w:rFonts w:ascii="Times New Roman" w:hAnsi="Times New Roman" w:cs="Times New Roman"/>
          <w:b/>
          <w:sz w:val="24"/>
          <w:szCs w:val="24"/>
        </w:rPr>
        <w:t>.</w:t>
      </w:r>
      <w:r w:rsidRPr="006F3B00">
        <w:rPr>
          <w:rFonts w:ascii="Times New Roman" w:hAnsi="Times New Roman" w:cs="Times New Roman"/>
          <w:b/>
          <w:sz w:val="24"/>
          <w:szCs w:val="24"/>
        </w:rPr>
        <w:t xml:space="preserve"> Summary of responses to question 7. A=assessors, n = 242.  T=trainees, n= 91. </w:t>
      </w:r>
    </w:p>
    <w:p w14:paraId="19619C8F" w14:textId="77777777" w:rsidR="00B76F91" w:rsidRPr="006F3B00" w:rsidRDefault="00B76F91" w:rsidP="00863DF5">
      <w:pPr>
        <w:spacing w:after="0" w:line="480" w:lineRule="auto"/>
        <w:rPr>
          <w:rFonts w:ascii="Times New Roman" w:hAnsi="Times New Roman" w:cs="Times New Roman"/>
          <w:sz w:val="24"/>
          <w:szCs w:val="24"/>
        </w:rPr>
      </w:pPr>
    </w:p>
    <w:p w14:paraId="15C73416" w14:textId="77777777" w:rsidR="00863DF5" w:rsidRPr="006F3B00" w:rsidRDefault="00863DF5" w:rsidP="00863DF5">
      <w:pPr>
        <w:spacing w:after="0" w:line="480" w:lineRule="auto"/>
        <w:rPr>
          <w:rFonts w:ascii="Times New Roman" w:hAnsi="Times New Roman" w:cs="Times New Roman"/>
          <w:sz w:val="24"/>
          <w:szCs w:val="24"/>
        </w:rPr>
      </w:pPr>
    </w:p>
    <w:p w14:paraId="733340C4" w14:textId="77777777" w:rsidR="007169A7" w:rsidRDefault="007169A7" w:rsidP="00863DF5">
      <w:pPr>
        <w:spacing w:after="0" w:line="480" w:lineRule="auto"/>
        <w:rPr>
          <w:rFonts w:ascii="Times New Roman" w:hAnsi="Times New Roman" w:cs="Times New Roman"/>
          <w:b/>
          <w:sz w:val="24"/>
          <w:szCs w:val="24"/>
        </w:rPr>
      </w:pPr>
    </w:p>
    <w:p w14:paraId="792B8D60" w14:textId="77777777" w:rsidR="007169A7" w:rsidRDefault="007169A7" w:rsidP="00863DF5">
      <w:pPr>
        <w:spacing w:after="0" w:line="480" w:lineRule="auto"/>
        <w:rPr>
          <w:rFonts w:ascii="Times New Roman" w:hAnsi="Times New Roman" w:cs="Times New Roman"/>
          <w:b/>
          <w:sz w:val="24"/>
          <w:szCs w:val="24"/>
        </w:rPr>
      </w:pPr>
    </w:p>
    <w:p w14:paraId="09C9C391" w14:textId="77777777" w:rsidR="007169A7" w:rsidRDefault="007169A7" w:rsidP="00863DF5">
      <w:pPr>
        <w:spacing w:after="0" w:line="480" w:lineRule="auto"/>
        <w:rPr>
          <w:rFonts w:ascii="Times New Roman" w:hAnsi="Times New Roman" w:cs="Times New Roman"/>
          <w:b/>
          <w:sz w:val="24"/>
          <w:szCs w:val="24"/>
        </w:rPr>
      </w:pPr>
    </w:p>
    <w:p w14:paraId="2BF371FC" w14:textId="77777777" w:rsidR="007169A7" w:rsidRDefault="007169A7" w:rsidP="00863DF5">
      <w:pPr>
        <w:spacing w:after="0" w:line="480" w:lineRule="auto"/>
        <w:rPr>
          <w:rFonts w:ascii="Times New Roman" w:hAnsi="Times New Roman" w:cs="Times New Roman"/>
          <w:b/>
          <w:sz w:val="24"/>
          <w:szCs w:val="24"/>
        </w:rPr>
      </w:pPr>
    </w:p>
    <w:p w14:paraId="2008C772" w14:textId="77777777" w:rsidR="007169A7" w:rsidRDefault="007169A7" w:rsidP="00863DF5">
      <w:pPr>
        <w:spacing w:after="0" w:line="480" w:lineRule="auto"/>
        <w:rPr>
          <w:rFonts w:ascii="Times New Roman" w:hAnsi="Times New Roman" w:cs="Times New Roman"/>
          <w:b/>
          <w:sz w:val="24"/>
          <w:szCs w:val="24"/>
        </w:rPr>
      </w:pPr>
    </w:p>
    <w:p w14:paraId="6FEC7274" w14:textId="77777777" w:rsidR="007169A7" w:rsidRDefault="007169A7" w:rsidP="00863DF5">
      <w:pPr>
        <w:spacing w:after="0" w:line="480" w:lineRule="auto"/>
        <w:rPr>
          <w:rFonts w:ascii="Times New Roman" w:hAnsi="Times New Roman" w:cs="Times New Roman"/>
          <w:b/>
          <w:sz w:val="24"/>
          <w:szCs w:val="24"/>
        </w:rPr>
      </w:pPr>
    </w:p>
    <w:p w14:paraId="0D810662" w14:textId="77777777" w:rsidR="007169A7" w:rsidRDefault="007169A7" w:rsidP="00863DF5">
      <w:pPr>
        <w:spacing w:after="0" w:line="480" w:lineRule="auto"/>
        <w:rPr>
          <w:rFonts w:ascii="Times New Roman" w:hAnsi="Times New Roman" w:cs="Times New Roman"/>
          <w:b/>
          <w:sz w:val="24"/>
          <w:szCs w:val="24"/>
        </w:rPr>
      </w:pPr>
    </w:p>
    <w:p w14:paraId="14CAD33A" w14:textId="77777777" w:rsidR="007169A7" w:rsidRDefault="007169A7" w:rsidP="00863DF5">
      <w:pPr>
        <w:spacing w:after="0" w:line="480" w:lineRule="auto"/>
        <w:rPr>
          <w:rFonts w:ascii="Times New Roman" w:hAnsi="Times New Roman" w:cs="Times New Roman"/>
          <w:b/>
          <w:sz w:val="24"/>
          <w:szCs w:val="24"/>
        </w:rPr>
      </w:pPr>
    </w:p>
    <w:p w14:paraId="546DE065" w14:textId="77777777" w:rsidR="007169A7" w:rsidRDefault="007169A7" w:rsidP="00863DF5">
      <w:pPr>
        <w:spacing w:after="0" w:line="480" w:lineRule="auto"/>
        <w:rPr>
          <w:rFonts w:ascii="Times New Roman" w:hAnsi="Times New Roman" w:cs="Times New Roman"/>
          <w:b/>
          <w:sz w:val="24"/>
          <w:szCs w:val="24"/>
        </w:rPr>
      </w:pPr>
    </w:p>
    <w:p w14:paraId="4482E426" w14:textId="77777777" w:rsidR="007169A7" w:rsidRDefault="007169A7" w:rsidP="00863DF5">
      <w:pPr>
        <w:spacing w:after="0" w:line="480" w:lineRule="auto"/>
        <w:rPr>
          <w:rFonts w:ascii="Times New Roman" w:hAnsi="Times New Roman" w:cs="Times New Roman"/>
          <w:b/>
          <w:sz w:val="24"/>
          <w:szCs w:val="24"/>
        </w:rPr>
      </w:pPr>
    </w:p>
    <w:p w14:paraId="538EE273" w14:textId="744DBA3A" w:rsidR="007169A7" w:rsidRDefault="007169A7" w:rsidP="00863DF5">
      <w:pPr>
        <w:spacing w:after="0" w:line="480" w:lineRule="auto"/>
        <w:rPr>
          <w:rFonts w:ascii="Times New Roman" w:hAnsi="Times New Roman" w:cs="Times New Roman"/>
          <w:b/>
          <w:sz w:val="24"/>
          <w:szCs w:val="24"/>
        </w:rPr>
      </w:pPr>
    </w:p>
    <w:p w14:paraId="30305797" w14:textId="77777777" w:rsidR="007169A7" w:rsidRDefault="007169A7" w:rsidP="00863DF5">
      <w:pPr>
        <w:spacing w:after="0" w:line="480" w:lineRule="auto"/>
        <w:rPr>
          <w:rFonts w:ascii="Times New Roman" w:hAnsi="Times New Roman" w:cs="Times New Roman"/>
          <w:b/>
          <w:sz w:val="24"/>
          <w:szCs w:val="24"/>
        </w:rPr>
      </w:pPr>
    </w:p>
    <w:p w14:paraId="7EF61F49" w14:textId="77777777" w:rsidR="007169A7" w:rsidRDefault="007169A7" w:rsidP="007169A7">
      <w:pPr>
        <w:spacing w:after="0" w:line="240" w:lineRule="auto"/>
        <w:rPr>
          <w:rFonts w:ascii="Times New Roman" w:hAnsi="Times New Roman" w:cs="Times New Roman"/>
          <w:b/>
          <w:sz w:val="24"/>
          <w:szCs w:val="24"/>
        </w:rPr>
        <w:sectPr w:rsidR="007169A7" w:rsidSect="00602D3C">
          <w:pgSz w:w="11906" w:h="16838" w:code="9"/>
          <w:pgMar w:top="1440" w:right="1152" w:bottom="1440" w:left="2160" w:header="706" w:footer="706" w:gutter="0"/>
          <w:cols w:space="708"/>
          <w:docGrid w:linePitch="360"/>
        </w:sectPr>
      </w:pPr>
    </w:p>
    <w:p w14:paraId="1625F4EE" w14:textId="6F9005D8" w:rsidR="00863DF5" w:rsidRPr="006F3B00" w:rsidRDefault="00863DF5" w:rsidP="00E41ED0">
      <w:pPr>
        <w:spacing w:after="0" w:line="240" w:lineRule="auto"/>
        <w:rPr>
          <w:rFonts w:ascii="Times New Roman" w:hAnsi="Times New Roman" w:cs="Times New Roman"/>
          <w:sz w:val="24"/>
          <w:szCs w:val="24"/>
        </w:rPr>
      </w:pPr>
      <w:r w:rsidRPr="006F3B00">
        <w:rPr>
          <w:rFonts w:ascii="Times New Roman" w:hAnsi="Times New Roman" w:cs="Times New Roman"/>
          <w:b/>
          <w:sz w:val="24"/>
          <w:szCs w:val="24"/>
        </w:rPr>
        <w:lastRenderedPageBreak/>
        <w:t>Question 7</w:t>
      </w:r>
      <w:r w:rsidRPr="006F3B00">
        <w:rPr>
          <w:rFonts w:ascii="Times New Roman" w:hAnsi="Times New Roman" w:cs="Times New Roman"/>
          <w:sz w:val="24"/>
          <w:szCs w:val="24"/>
        </w:rPr>
        <w:t xml:space="preserve">: </w:t>
      </w:r>
      <w:r w:rsidRPr="006F3B00">
        <w:rPr>
          <w:rFonts w:ascii="Times New Roman" w:hAnsi="Times New Roman" w:cs="Times New Roman"/>
          <w:b/>
          <w:sz w:val="24"/>
          <w:szCs w:val="24"/>
        </w:rPr>
        <w:t>Which of these options are more important?</w:t>
      </w:r>
      <w:r w:rsidRPr="006F3B00">
        <w:rPr>
          <w:rFonts w:ascii="Times New Roman" w:hAnsi="Times New Roman" w:cs="Times New Roman"/>
          <w:sz w:val="24"/>
          <w:szCs w:val="24"/>
        </w:rPr>
        <w:t xml:space="preserve"> </w:t>
      </w:r>
      <w:r w:rsidR="00460763" w:rsidRPr="00460763">
        <w:rPr>
          <w:rFonts w:ascii="Times New Roman" w:hAnsi="Times New Roman" w:cs="Times New Roman"/>
          <w:b/>
          <w:sz w:val="24"/>
          <w:szCs w:val="24"/>
        </w:rPr>
        <w:t xml:space="preserve">(Figure </w:t>
      </w:r>
      <w:r w:rsidR="00A50523">
        <w:rPr>
          <w:rFonts w:ascii="Times New Roman" w:hAnsi="Times New Roman" w:cs="Times New Roman"/>
          <w:b/>
          <w:sz w:val="24"/>
          <w:szCs w:val="24"/>
        </w:rPr>
        <w:t>3.</w:t>
      </w:r>
      <w:r w:rsidR="005073E7">
        <w:rPr>
          <w:rFonts w:ascii="Times New Roman" w:hAnsi="Times New Roman" w:cs="Times New Roman"/>
          <w:b/>
          <w:sz w:val="24"/>
          <w:szCs w:val="24"/>
        </w:rPr>
        <w:t>13</w:t>
      </w:r>
      <w:r w:rsidR="00460763" w:rsidRPr="00460763">
        <w:rPr>
          <w:rFonts w:ascii="Times New Roman" w:hAnsi="Times New Roman" w:cs="Times New Roman"/>
          <w:b/>
          <w:sz w:val="24"/>
          <w:szCs w:val="24"/>
        </w:rPr>
        <w:t>)</w:t>
      </w:r>
    </w:p>
    <w:p w14:paraId="065F4640" w14:textId="3A4E54F0" w:rsidR="003E178E" w:rsidRDefault="00863DF5" w:rsidP="00E41ED0">
      <w:pPr>
        <w:spacing w:after="0" w:line="240" w:lineRule="auto"/>
        <w:rPr>
          <w:rFonts w:ascii="Times New Roman" w:hAnsi="Times New Roman" w:cs="Times New Roman"/>
          <w:sz w:val="24"/>
          <w:szCs w:val="24"/>
        </w:rPr>
      </w:pPr>
      <w:r w:rsidRPr="006F3B00">
        <w:rPr>
          <w:rFonts w:ascii="Times New Roman" w:hAnsi="Times New Roman" w:cs="Times New Roman"/>
          <w:sz w:val="24"/>
          <w:szCs w:val="24"/>
        </w:rPr>
        <w:t>WBAs are</w:t>
      </w:r>
      <w:r w:rsidR="001D7146">
        <w:rPr>
          <w:rFonts w:ascii="Times New Roman" w:hAnsi="Times New Roman" w:cs="Times New Roman"/>
          <w:sz w:val="24"/>
          <w:szCs w:val="24"/>
        </w:rPr>
        <w:t xml:space="preserve"> part of the curriculum to: 1. H</w:t>
      </w:r>
      <w:r w:rsidRPr="006F3B00">
        <w:rPr>
          <w:rFonts w:ascii="Times New Roman" w:hAnsi="Times New Roman" w:cs="Times New Roman"/>
          <w:sz w:val="24"/>
          <w:szCs w:val="24"/>
        </w:rPr>
        <w:t xml:space="preserve">elp monitor trainee development/progress, 2. Provide structured feedback to trainees, 3. Satisfy the requirements of the </w:t>
      </w:r>
      <w:r w:rsidR="00EE7383">
        <w:rPr>
          <w:rFonts w:ascii="Times New Roman" w:hAnsi="Times New Roman" w:cs="Times New Roman"/>
          <w:sz w:val="24"/>
          <w:szCs w:val="24"/>
        </w:rPr>
        <w:t>RCPath</w:t>
      </w:r>
      <w:r w:rsidRPr="006F3B00">
        <w:rPr>
          <w:rFonts w:ascii="Times New Roman" w:hAnsi="Times New Roman" w:cs="Times New Roman"/>
          <w:sz w:val="24"/>
          <w:szCs w:val="24"/>
        </w:rPr>
        <w:t>, 4. Provide ev</w:t>
      </w:r>
      <w:r w:rsidR="005073E7">
        <w:rPr>
          <w:rFonts w:ascii="Times New Roman" w:hAnsi="Times New Roman" w:cs="Times New Roman"/>
          <w:sz w:val="24"/>
          <w:szCs w:val="24"/>
        </w:rPr>
        <w:t>idence for the ARCP</w:t>
      </w:r>
      <w:r w:rsidR="001D7146">
        <w:rPr>
          <w:rFonts w:ascii="Times New Roman" w:hAnsi="Times New Roman" w:cs="Times New Roman"/>
          <w:sz w:val="24"/>
          <w:szCs w:val="24"/>
        </w:rPr>
        <w:t xml:space="preserve">, 5. </w:t>
      </w:r>
      <w:proofErr w:type="gramStart"/>
      <w:r w:rsidR="001D7146">
        <w:rPr>
          <w:rFonts w:ascii="Times New Roman" w:hAnsi="Times New Roman" w:cs="Times New Roman"/>
          <w:sz w:val="24"/>
          <w:szCs w:val="24"/>
        </w:rPr>
        <w:t>Other</w:t>
      </w:r>
      <w:proofErr w:type="gramEnd"/>
      <w:r w:rsidR="005073E7">
        <w:rPr>
          <w:rFonts w:ascii="Times New Roman" w:hAnsi="Times New Roman" w:cs="Times New Roman"/>
          <w:sz w:val="24"/>
          <w:szCs w:val="24"/>
        </w:rPr>
        <w:t xml:space="preserve"> (see Table 3.3</w:t>
      </w:r>
      <w:r w:rsidR="000977E7">
        <w:rPr>
          <w:rFonts w:ascii="Times New Roman" w:hAnsi="Times New Roman" w:cs="Times New Roman"/>
          <w:sz w:val="24"/>
          <w:szCs w:val="24"/>
        </w:rPr>
        <w:t xml:space="preserve"> and Figure 3.1</w:t>
      </w:r>
      <w:r w:rsidR="005073E7">
        <w:rPr>
          <w:rFonts w:ascii="Times New Roman" w:hAnsi="Times New Roman" w:cs="Times New Roman"/>
          <w:sz w:val="24"/>
          <w:szCs w:val="24"/>
        </w:rPr>
        <w:t>3).</w:t>
      </w:r>
      <w:r w:rsidR="007169A7">
        <w:rPr>
          <w:rFonts w:ascii="Times New Roman" w:hAnsi="Times New Roman" w:cs="Times New Roman"/>
          <w:sz w:val="24"/>
          <w:szCs w:val="24"/>
        </w:rPr>
        <w:t xml:space="preserve"> </w:t>
      </w:r>
      <w:r w:rsidR="001D7146">
        <w:rPr>
          <w:rFonts w:ascii="Times New Roman" w:hAnsi="Times New Roman" w:cs="Times New Roman"/>
          <w:sz w:val="24"/>
          <w:szCs w:val="24"/>
        </w:rPr>
        <w:t xml:space="preserve">Approximately a quarter of trainees (26%) and </w:t>
      </w:r>
      <w:r w:rsidRPr="006F3B00">
        <w:rPr>
          <w:rFonts w:ascii="Times New Roman" w:hAnsi="Times New Roman" w:cs="Times New Roman"/>
          <w:sz w:val="24"/>
          <w:szCs w:val="24"/>
        </w:rPr>
        <w:t>27% of assessors chose “Provide evidence for the ARCP” to explain why WBAs are</w:t>
      </w:r>
      <w:r w:rsidR="001D7146">
        <w:rPr>
          <w:rFonts w:ascii="Times New Roman" w:hAnsi="Times New Roman" w:cs="Times New Roman"/>
          <w:sz w:val="24"/>
          <w:szCs w:val="24"/>
        </w:rPr>
        <w:t xml:space="preserve"> part of the curriculum while 49%</w:t>
      </w:r>
      <w:r w:rsidRPr="006F3B00">
        <w:rPr>
          <w:rFonts w:ascii="Times New Roman" w:hAnsi="Times New Roman" w:cs="Times New Roman"/>
          <w:sz w:val="24"/>
          <w:szCs w:val="24"/>
        </w:rPr>
        <w:t>%</w:t>
      </w:r>
      <w:r w:rsidR="005073E7">
        <w:rPr>
          <w:rFonts w:ascii="Times New Roman" w:hAnsi="Times New Roman" w:cs="Times New Roman"/>
          <w:sz w:val="24"/>
          <w:szCs w:val="24"/>
        </w:rPr>
        <w:t xml:space="preserve"> </w:t>
      </w:r>
      <w:r w:rsidRPr="006F3B00">
        <w:rPr>
          <w:rFonts w:ascii="Times New Roman" w:hAnsi="Times New Roman" w:cs="Times New Roman"/>
          <w:sz w:val="24"/>
          <w:szCs w:val="24"/>
        </w:rPr>
        <w:t xml:space="preserve">of trainees and 32% of assessors thought it was to “Satisfy the requirements of the </w:t>
      </w:r>
      <w:r w:rsidR="00EE7383">
        <w:rPr>
          <w:rFonts w:ascii="Times New Roman" w:hAnsi="Times New Roman" w:cs="Times New Roman"/>
          <w:sz w:val="24"/>
          <w:szCs w:val="24"/>
        </w:rPr>
        <w:t>RCPath</w:t>
      </w:r>
      <w:r w:rsidRPr="006F3B00">
        <w:rPr>
          <w:rFonts w:ascii="Times New Roman" w:hAnsi="Times New Roman" w:cs="Times New Roman"/>
          <w:sz w:val="24"/>
          <w:szCs w:val="24"/>
        </w:rPr>
        <w:t xml:space="preserve">”.  Only a small proportion of trainees (20%) and 24% of assessors said they were part of the curriculum to “Provide structured feedback to trainees” and very few (3% of trainees and 12% of assessors) chose the option “Help monitor trainee development/progress”. </w:t>
      </w:r>
    </w:p>
    <w:p w14:paraId="12BA37DC" w14:textId="362E398C" w:rsidR="007D4061" w:rsidRPr="0025315F" w:rsidRDefault="0025315F" w:rsidP="007169A7">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6BAC3A33" wp14:editId="047E5FD7">
            <wp:extent cx="9256395" cy="3571240"/>
            <wp:effectExtent l="0" t="0" r="190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64977" cy="3574551"/>
                    </a:xfrm>
                    <a:prstGeom prst="rect">
                      <a:avLst/>
                    </a:prstGeom>
                    <a:noFill/>
                  </pic:spPr>
                </pic:pic>
              </a:graphicData>
            </a:graphic>
          </wp:inline>
        </w:drawing>
      </w:r>
    </w:p>
    <w:p w14:paraId="254D1685" w14:textId="3D022437" w:rsidR="007D4061" w:rsidRDefault="007D4061" w:rsidP="007169A7">
      <w:pPr>
        <w:spacing w:after="0" w:line="240" w:lineRule="auto"/>
        <w:rPr>
          <w:rFonts w:ascii="Times New Roman" w:hAnsi="Times New Roman" w:cs="Times New Roman"/>
          <w:b/>
          <w:sz w:val="24"/>
          <w:szCs w:val="24"/>
        </w:rPr>
      </w:pPr>
    </w:p>
    <w:p w14:paraId="086463BC" w14:textId="357D5F57" w:rsidR="007D4061" w:rsidRDefault="00E41ED0" w:rsidP="00863DF5">
      <w:pPr>
        <w:spacing w:line="480" w:lineRule="auto"/>
        <w:rPr>
          <w:rFonts w:ascii="Times New Roman" w:hAnsi="Times New Roman" w:cs="Times New Roman"/>
          <w:sz w:val="24"/>
          <w:szCs w:val="24"/>
        </w:rPr>
        <w:sectPr w:rsidR="007D4061" w:rsidSect="00922E2D">
          <w:pgSz w:w="16838" w:h="11906" w:orient="landscape" w:code="9"/>
          <w:pgMar w:top="2160" w:right="1152" w:bottom="1152" w:left="1152" w:header="706" w:footer="706" w:gutter="0"/>
          <w:cols w:space="708"/>
          <w:docGrid w:linePitch="360"/>
        </w:sectPr>
      </w:pPr>
      <w:r>
        <w:rPr>
          <w:rFonts w:ascii="Times New Roman" w:hAnsi="Times New Roman" w:cs="Times New Roman"/>
          <w:noProof/>
          <w:sz w:val="24"/>
          <w:szCs w:val="24"/>
        </w:rPr>
        <w:drawing>
          <wp:inline distT="0" distB="0" distL="0" distR="0" wp14:anchorId="6878AC56" wp14:editId="71315331">
            <wp:extent cx="9256395" cy="47625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6395" cy="476250"/>
                    </a:xfrm>
                    <a:prstGeom prst="rect">
                      <a:avLst/>
                    </a:prstGeom>
                    <a:noFill/>
                  </pic:spPr>
                </pic:pic>
              </a:graphicData>
            </a:graphic>
          </wp:inline>
        </w:drawing>
      </w:r>
    </w:p>
    <w:p w14:paraId="1D1139DD" w14:textId="794988EF"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Question 7 yielded 42 free text comments from 7/91 trainees and 35/242 assessors which as they were very similar were combined for analysis.  A few respondents also emailed the project lead with further comments which were also included in the analysis. Interestingly, the majority of respondents used this opportunity to express their opinions on WBAs generally, with the comments covering a range of issues.</w:t>
      </w:r>
    </w:p>
    <w:p w14:paraId="38E5A0E9" w14:textId="4C800BC4"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main issues from the comments related to the design, value and utilization of WBAs and are described with</w:t>
      </w:r>
      <w:r w:rsidR="00EF1171">
        <w:rPr>
          <w:rFonts w:ascii="Times New Roman" w:hAnsi="Times New Roman" w:cs="Times New Roman"/>
          <w:sz w:val="24"/>
          <w:szCs w:val="24"/>
        </w:rPr>
        <w:t xml:space="preserve"> free text comments and Figure </w:t>
      </w:r>
      <w:r w:rsidR="00A50523">
        <w:rPr>
          <w:rFonts w:ascii="Times New Roman" w:hAnsi="Times New Roman" w:cs="Times New Roman"/>
          <w:sz w:val="24"/>
          <w:szCs w:val="24"/>
        </w:rPr>
        <w:t>3.</w:t>
      </w:r>
      <w:r w:rsidR="007169A7">
        <w:rPr>
          <w:rFonts w:ascii="Times New Roman" w:hAnsi="Times New Roman" w:cs="Times New Roman"/>
          <w:sz w:val="24"/>
          <w:szCs w:val="24"/>
        </w:rPr>
        <w:t>14</w:t>
      </w:r>
      <w:r w:rsidRPr="006F3B00">
        <w:rPr>
          <w:rFonts w:ascii="Times New Roman" w:hAnsi="Times New Roman" w:cs="Times New Roman"/>
          <w:sz w:val="24"/>
          <w:szCs w:val="24"/>
        </w:rPr>
        <w:t>.</w:t>
      </w:r>
    </w:p>
    <w:p w14:paraId="5AF7C0D9" w14:textId="6750478D" w:rsidR="007D4061" w:rsidRDefault="0025315F" w:rsidP="00863DF5">
      <w:pPr>
        <w:spacing w:line="480" w:lineRule="auto"/>
        <w:rPr>
          <w:rFonts w:ascii="Times New Roman" w:hAnsi="Times New Roman" w:cs="Times New Roman"/>
          <w:sz w:val="24"/>
          <w:szCs w:val="24"/>
        </w:rPr>
        <w:sectPr w:rsidR="007D4061" w:rsidSect="00602D3C">
          <w:pgSz w:w="11906" w:h="16838" w:code="9"/>
          <w:pgMar w:top="1440" w:right="1152" w:bottom="1440" w:left="2160" w:header="706" w:footer="706" w:gutter="0"/>
          <w:cols w:space="708"/>
          <w:docGrid w:linePitch="360"/>
        </w:sectPr>
      </w:pPr>
      <w:r w:rsidRPr="0025315F">
        <w:rPr>
          <w:rFonts w:ascii="Times New Roman" w:hAnsi="Times New Roman" w:cs="Times New Roman"/>
          <w:noProof/>
          <w:sz w:val="24"/>
          <w:szCs w:val="24"/>
        </w:rPr>
        <mc:AlternateContent>
          <mc:Choice Requires="wps">
            <w:drawing>
              <wp:anchor distT="45720" distB="45720" distL="114300" distR="114300" simplePos="0" relativeHeight="251699200" behindDoc="0" locked="0" layoutInCell="1" allowOverlap="1" wp14:anchorId="3DFBFEF6" wp14:editId="6B9B237A">
                <wp:simplePos x="0" y="0"/>
                <wp:positionH relativeFrom="column">
                  <wp:posOffset>114300</wp:posOffset>
                </wp:positionH>
                <wp:positionV relativeFrom="paragraph">
                  <wp:posOffset>4544060</wp:posOffset>
                </wp:positionV>
                <wp:extent cx="5257800" cy="781050"/>
                <wp:effectExtent l="0" t="0" r="19050" b="1905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81050"/>
                        </a:xfrm>
                        <a:prstGeom prst="rect">
                          <a:avLst/>
                        </a:prstGeom>
                        <a:solidFill>
                          <a:srgbClr val="FFFFFF"/>
                        </a:solidFill>
                        <a:ln w="9525">
                          <a:solidFill>
                            <a:srgbClr val="000000"/>
                          </a:solidFill>
                          <a:miter lim="800000"/>
                          <a:headEnd/>
                          <a:tailEnd/>
                        </a:ln>
                      </wps:spPr>
                      <wps:txbx>
                        <w:txbxContent>
                          <w:p w14:paraId="1B822BE5" w14:textId="77777777" w:rsidR="00D35C1E" w:rsidRDefault="00D35C1E" w:rsidP="0025315F">
                            <w:pPr>
                              <w:spacing w:line="240" w:lineRule="auto"/>
                              <w:rPr>
                                <w:rFonts w:ascii="Times New Roman" w:hAnsi="Times New Roman" w:cs="Times New Roman"/>
                                <w:sz w:val="24"/>
                                <w:szCs w:val="24"/>
                              </w:rPr>
                            </w:pPr>
                            <w:r>
                              <w:rPr>
                                <w:rFonts w:ascii="Times New Roman" w:hAnsi="Times New Roman" w:cs="Times New Roman"/>
                                <w:b/>
                                <w:sz w:val="24"/>
                                <w:szCs w:val="24"/>
                              </w:rPr>
                              <w:t>Figure 3.14.</w:t>
                            </w:r>
                            <w:r w:rsidRPr="006F3B00">
                              <w:rPr>
                                <w:rFonts w:ascii="Times New Roman" w:hAnsi="Times New Roman" w:cs="Times New Roman"/>
                                <w:b/>
                                <w:sz w:val="24"/>
                                <w:szCs w:val="24"/>
                              </w:rPr>
                              <w:t xml:space="preserve"> Diagram illustrating the main areas of concern regarding the use of WBAs in histopathology generated from free text comments. </w:t>
                            </w:r>
                            <w:r w:rsidRPr="00B10C6B">
                              <w:rPr>
                                <w:rFonts w:ascii="Times New Roman" w:hAnsi="Times New Roman" w:cs="Times New Roman"/>
                                <w:sz w:val="24"/>
                                <w:szCs w:val="24"/>
                              </w:rPr>
                              <w:t>ARCP, Annual Review of Competency Progression; RCPath, The Royal College of Pathologists; WBA, Workplace-based A</w:t>
                            </w:r>
                            <w:r>
                              <w:rPr>
                                <w:rFonts w:ascii="Times New Roman" w:hAnsi="Times New Roman" w:cs="Times New Roman"/>
                                <w:sz w:val="24"/>
                                <w:szCs w:val="24"/>
                              </w:rPr>
                              <w:t>ssessment</w:t>
                            </w:r>
                          </w:p>
                          <w:p w14:paraId="4CB2927D" w14:textId="0E09F6F7" w:rsidR="00D35C1E" w:rsidRDefault="00D35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BFEF6" id="_x0000_s1064" type="#_x0000_t202" style="position:absolute;margin-left:9pt;margin-top:357.8pt;width:414pt;height:6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WVKQIAAE4EAAAOAAAAZHJzL2Uyb0RvYy54bWysVNtu2zAMfR+wfxD0vtjOkjUx4hRdugwD&#10;ugvQ7gNkWY6FSaImKbGzry8lp2nQbS/D/CCIInV0eEh6dT1oRQ7CeQmmosUkp0QYDo00u4p+f9i+&#10;WVDiAzMNU2BERY/C0+v161er3pZiCh2oRjiCIMaXva1oF4Its8zzTmjmJ2CFQWcLTrOApttljWM9&#10;omuVTfP8XdaDa6wDLrzH09vRSdcJv20FD1/b1otAVEWRW0irS2sd12y9YuXOMdtJfqLB/oGFZtLg&#10;o2eoWxYY2Tv5G5SW3IGHNkw46AzaVnKRcsBsivxFNvcdsyLlguJ4e5bJ/z9Y/uXwzRHZVPRtsaTE&#10;MI1FehBDIO9hINOoT299iWH3FgPDgMdY55Srt3fAf3hiYNMxsxM3zkHfCdYgvyLezC6ujjg+gtT9&#10;Z2jwGbYPkICG1ukoHspBEB3rdDzXJlLheDifzq8WObo4+q4WRT5PxctY+XTbOh8+CtAkbirqsPYJ&#10;nR3ufIhsWPkUEh/zoGSzlUolw+3qjXLkwLBPtulLCbwIU4b0FV0il1GAv0Lk6fsThJYBG15JXVFM&#10;B78YxMoo2wfTpH1gUo17pKzMScco3ShiGOohlayYx8tR5BqaIyrrYGxwHEjcdOB+UdJjc1fU/9wz&#10;JyhRnwxWZ1nMZnEakjGbX03RcJee+tLDDEeoigZKxu0mpAmKvA3cYBVbmQR+ZnLijE2bdD8NWJyK&#10;SztFPf8G1o8AAAD//wMAUEsDBBQABgAIAAAAIQBrf04G3wAAAAoBAAAPAAAAZHJzL2Rvd25yZXYu&#10;eG1sTI/NTsMwEITvSLyDtUhcEHVKi2tCnAohgegNCoKrG2+TCP8E203D27Oc4LazO5r9plpPzrIR&#10;Y+qDVzCfFcDQN8H0vlXw9vpwKYGlrL3RNnhU8I0J1vXpSaVLE47+BcdtbhmF+FRqBV3OQ8l5ajp0&#10;Os3CgJ5u+xCdziRjy03URwp3ll8VheBO954+dHrA+w6bz+3BKZDLp/EjbRbP743Y25t8sRofv6JS&#10;52fT3S2wjFP+M8MvPqFDTUy7cPAmMUtaUpWsYDW/FsDIIJeCNjsaFlIAryv+v0L9AwAA//8DAFBL&#10;AQItABQABgAIAAAAIQC2gziS/gAAAOEBAAATAAAAAAAAAAAAAAAAAAAAAABbQ29udGVudF9UeXBl&#10;c10ueG1sUEsBAi0AFAAGAAgAAAAhADj9If/WAAAAlAEAAAsAAAAAAAAAAAAAAAAALwEAAF9yZWxz&#10;Ly5yZWxzUEsBAi0AFAAGAAgAAAAhACKh9ZUpAgAATgQAAA4AAAAAAAAAAAAAAAAALgIAAGRycy9l&#10;Mm9Eb2MueG1sUEsBAi0AFAAGAAgAAAAhAGt/TgbfAAAACgEAAA8AAAAAAAAAAAAAAAAAgwQAAGRy&#10;cy9kb3ducmV2LnhtbFBLBQYAAAAABAAEAPMAAACPBQAAAAA=&#10;">
                <v:textbox>
                  <w:txbxContent>
                    <w:p w14:paraId="1B822BE5" w14:textId="77777777" w:rsidR="00D35C1E" w:rsidRDefault="00D35C1E" w:rsidP="0025315F">
                      <w:pPr>
                        <w:spacing w:line="240" w:lineRule="auto"/>
                        <w:rPr>
                          <w:rFonts w:ascii="Times New Roman" w:hAnsi="Times New Roman" w:cs="Times New Roman"/>
                          <w:sz w:val="24"/>
                          <w:szCs w:val="24"/>
                        </w:rPr>
                      </w:pPr>
                      <w:r>
                        <w:rPr>
                          <w:rFonts w:ascii="Times New Roman" w:hAnsi="Times New Roman" w:cs="Times New Roman"/>
                          <w:b/>
                          <w:sz w:val="24"/>
                          <w:szCs w:val="24"/>
                        </w:rPr>
                        <w:t>Figure 3.14.</w:t>
                      </w:r>
                      <w:r w:rsidRPr="006F3B00">
                        <w:rPr>
                          <w:rFonts w:ascii="Times New Roman" w:hAnsi="Times New Roman" w:cs="Times New Roman"/>
                          <w:b/>
                          <w:sz w:val="24"/>
                          <w:szCs w:val="24"/>
                        </w:rPr>
                        <w:t xml:space="preserve"> Diagram illustrating the main areas of concern regarding the use of WBAs in histopathology generated from free text comments. </w:t>
                      </w:r>
                      <w:r w:rsidRPr="00B10C6B">
                        <w:rPr>
                          <w:rFonts w:ascii="Times New Roman" w:hAnsi="Times New Roman" w:cs="Times New Roman"/>
                          <w:sz w:val="24"/>
                          <w:szCs w:val="24"/>
                        </w:rPr>
                        <w:t>ARCP, Annual Review of Competency Progression; RCPath, The Royal College of Pathologists; WBA, Workplace-based A</w:t>
                      </w:r>
                      <w:r>
                        <w:rPr>
                          <w:rFonts w:ascii="Times New Roman" w:hAnsi="Times New Roman" w:cs="Times New Roman"/>
                          <w:sz w:val="24"/>
                          <w:szCs w:val="24"/>
                        </w:rPr>
                        <w:t>ssessment</w:t>
                      </w:r>
                    </w:p>
                    <w:p w14:paraId="4CB2927D" w14:textId="0E09F6F7" w:rsidR="00D35C1E" w:rsidRDefault="00D35C1E"/>
                  </w:txbxContent>
                </v:textbox>
                <w10:wrap type="square"/>
              </v:shape>
            </w:pict>
          </mc:Fallback>
        </mc:AlternateContent>
      </w:r>
      <w:r>
        <w:rPr>
          <w:noProof/>
        </w:rPr>
        <w:drawing>
          <wp:inline distT="0" distB="0" distL="0" distR="0" wp14:anchorId="77560C24" wp14:editId="6F4B52B7">
            <wp:extent cx="5457190" cy="41065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850" t="16787" r="12353" b="8171"/>
                    <a:stretch/>
                  </pic:blipFill>
                  <pic:spPr bwMode="auto">
                    <a:xfrm>
                      <a:off x="0" y="0"/>
                      <a:ext cx="5457190" cy="4106545"/>
                    </a:xfrm>
                    <a:prstGeom prst="rect">
                      <a:avLst/>
                    </a:prstGeom>
                    <a:ln>
                      <a:noFill/>
                    </a:ln>
                    <a:extLst>
                      <a:ext uri="{53640926-AAD7-44D8-BBD7-CCE9431645EC}">
                        <a14:shadowObscured xmlns:a14="http://schemas.microsoft.com/office/drawing/2010/main"/>
                      </a:ext>
                    </a:extLst>
                  </pic:spPr>
                </pic:pic>
              </a:graphicData>
            </a:graphic>
          </wp:inline>
        </w:drawing>
      </w:r>
    </w:p>
    <w:p w14:paraId="4A3C066F" w14:textId="59E57ADA" w:rsidR="00863DF5" w:rsidRPr="006F3B00" w:rsidRDefault="00DE62D9" w:rsidP="0025315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3.5</w:t>
      </w:r>
      <w:r w:rsidR="00862691" w:rsidRPr="006F3B00">
        <w:rPr>
          <w:rFonts w:ascii="Times New Roman" w:hAnsi="Times New Roman" w:cs="Times New Roman"/>
          <w:sz w:val="24"/>
          <w:szCs w:val="24"/>
        </w:rPr>
        <w:t xml:space="preserve"> </w:t>
      </w:r>
      <w:r w:rsidR="00863DF5" w:rsidRPr="006F3B00">
        <w:rPr>
          <w:rFonts w:ascii="Times New Roman" w:hAnsi="Times New Roman" w:cs="Times New Roman"/>
          <w:sz w:val="24"/>
          <w:szCs w:val="24"/>
        </w:rPr>
        <w:t>Design</w:t>
      </w:r>
    </w:p>
    <w:p w14:paraId="7BCFBE64" w14:textId="77777777" w:rsidR="00862691" w:rsidRPr="006F3B00" w:rsidRDefault="00862691" w:rsidP="00862691">
      <w:pPr>
        <w:rPr>
          <w:rFonts w:ascii="Times New Roman" w:hAnsi="Times New Roman" w:cs="Times New Roman"/>
          <w:sz w:val="24"/>
          <w:szCs w:val="24"/>
          <w:lang w:val="en-GB"/>
        </w:rPr>
      </w:pPr>
    </w:p>
    <w:p w14:paraId="6BC7FC02" w14:textId="3DA43DFF" w:rsidR="00863DF5" w:rsidRPr="006F3B00" w:rsidRDefault="00863DF5" w:rsidP="00863DF5">
      <w:pPr>
        <w:autoSpaceDE w:val="0"/>
        <w:autoSpaceDN w:val="0"/>
        <w:adjustRightInd w:val="0"/>
        <w:spacing w:line="480" w:lineRule="auto"/>
        <w:rPr>
          <w:rFonts w:ascii="Times New Roman" w:hAnsi="Times New Roman" w:cs="Times New Roman"/>
          <w:sz w:val="24"/>
          <w:szCs w:val="24"/>
        </w:rPr>
      </w:pPr>
      <w:r w:rsidRPr="006F3B00">
        <w:rPr>
          <w:rFonts w:ascii="Times New Roman" w:hAnsi="Times New Roman" w:cs="Times New Roman"/>
          <w:sz w:val="24"/>
          <w:szCs w:val="24"/>
        </w:rPr>
        <w:t>Three sub-themes related to the design of WBAs: relevance and applicability to histopathology, appropriate scoring parameters and appropriate number of WBAs to complete. Selected quotes are given below to demonstrate these three sub-themes</w:t>
      </w:r>
      <w:r w:rsidR="006F7276">
        <w:rPr>
          <w:rFonts w:ascii="Times New Roman" w:hAnsi="Times New Roman" w:cs="Times New Roman"/>
          <w:sz w:val="24"/>
          <w:szCs w:val="24"/>
        </w:rPr>
        <w:t>.</w:t>
      </w:r>
    </w:p>
    <w:p w14:paraId="721BD854"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Relevance and applicability to histopathology</w:t>
      </w:r>
    </w:p>
    <w:p w14:paraId="0A3B2691" w14:textId="4B0AD197" w:rsidR="00863DF5" w:rsidRPr="006F3B00" w:rsidRDefault="009D54A5" w:rsidP="001A1FF3">
      <w:pPr>
        <w:pStyle w:val="ListParagraph"/>
        <w:numPr>
          <w:ilvl w:val="0"/>
          <w:numId w:val="33"/>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 xml:space="preserve"> </w:t>
      </w:r>
      <w:r w:rsidR="00863DF5" w:rsidRPr="006F3B00">
        <w:rPr>
          <w:rFonts w:ascii="Times New Roman" w:hAnsi="Times New Roman" w:cs="Times New Roman"/>
          <w:i/>
          <w:sz w:val="24"/>
          <w:szCs w:val="24"/>
        </w:rPr>
        <w:t>“The current work based assessments are orientated to frontline hospital medicine and not histopathology and I think that they should be modified for each specialty to make them more relevant.”</w:t>
      </w:r>
    </w:p>
    <w:p w14:paraId="1A433064" w14:textId="77777777" w:rsidR="00863DF5" w:rsidRPr="006F3B00" w:rsidRDefault="00863DF5" w:rsidP="001A1FF3">
      <w:pPr>
        <w:pStyle w:val="ListParagraph"/>
        <w:numPr>
          <w:ilvl w:val="0"/>
          <w:numId w:val="33"/>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“I believe they are there because they are used in other specialties without sufficient consideration as to whether the method would carry equivalence in a very different kind of training environment”.</w:t>
      </w:r>
    </w:p>
    <w:p w14:paraId="1EA42A25" w14:textId="77777777" w:rsidR="00863DF5" w:rsidRPr="006F3B00" w:rsidRDefault="00863DF5" w:rsidP="001A1FF3">
      <w:pPr>
        <w:pStyle w:val="ListParagraph"/>
        <w:numPr>
          <w:ilvl w:val="0"/>
          <w:numId w:val="33"/>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 xml:space="preserve">“In my experience </w:t>
      </w:r>
      <w:proofErr w:type="gramStart"/>
      <w:r w:rsidRPr="006F3B00">
        <w:rPr>
          <w:rFonts w:ascii="Times New Roman" w:hAnsi="Times New Roman" w:cs="Times New Roman"/>
          <w:i/>
          <w:sz w:val="24"/>
          <w:szCs w:val="24"/>
        </w:rPr>
        <w:t>neither party finds them acceptable as assessments and</w:t>
      </w:r>
      <w:proofErr w:type="gramEnd"/>
      <w:r w:rsidRPr="006F3B00">
        <w:rPr>
          <w:rFonts w:ascii="Times New Roman" w:hAnsi="Times New Roman" w:cs="Times New Roman"/>
          <w:i/>
          <w:sz w:val="24"/>
          <w:szCs w:val="24"/>
        </w:rPr>
        <w:t xml:space="preserve"> therefore their utility is lost”.</w:t>
      </w:r>
    </w:p>
    <w:p w14:paraId="1AF1A1AA"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Appropriate scoring parameters</w:t>
      </w:r>
    </w:p>
    <w:p w14:paraId="42D3B087" w14:textId="77777777" w:rsidR="00863DF5" w:rsidRPr="006F3B00" w:rsidRDefault="00863DF5" w:rsidP="001A1FF3">
      <w:pPr>
        <w:pStyle w:val="ListParagraph"/>
        <w:numPr>
          <w:ilvl w:val="0"/>
          <w:numId w:val="34"/>
        </w:numPr>
        <w:spacing w:line="480" w:lineRule="auto"/>
        <w:rPr>
          <w:rFonts w:ascii="Times New Roman" w:hAnsi="Times New Roman" w:cs="Times New Roman"/>
          <w:i/>
          <w:sz w:val="24"/>
          <w:szCs w:val="24"/>
        </w:rPr>
      </w:pPr>
      <w:r w:rsidRPr="006F3B00">
        <w:rPr>
          <w:rFonts w:ascii="Times New Roman" w:hAnsi="Times New Roman" w:cs="Times New Roman"/>
          <w:i/>
          <w:sz w:val="24"/>
          <w:szCs w:val="24"/>
        </w:rPr>
        <w:t>“I don't agree with the grading system that is used as it allows for too much intra-observer variability, I think this could be simplified for better consistency”.</w:t>
      </w:r>
    </w:p>
    <w:p w14:paraId="4E28069B" w14:textId="77777777" w:rsidR="00863DF5" w:rsidRPr="006F3B00" w:rsidRDefault="00863DF5" w:rsidP="001A1FF3">
      <w:pPr>
        <w:pStyle w:val="ListParagraph"/>
        <w:numPr>
          <w:ilvl w:val="0"/>
          <w:numId w:val="34"/>
        </w:numPr>
        <w:spacing w:line="480" w:lineRule="auto"/>
        <w:rPr>
          <w:rFonts w:ascii="Times New Roman" w:hAnsi="Times New Roman" w:cs="Times New Roman"/>
          <w:b/>
          <w:i/>
          <w:sz w:val="24"/>
          <w:szCs w:val="24"/>
        </w:rPr>
      </w:pPr>
      <w:r w:rsidRPr="006F3B00">
        <w:rPr>
          <w:rFonts w:ascii="Times New Roman" w:hAnsi="Times New Roman" w:cs="Times New Roman"/>
          <w:i/>
          <w:sz w:val="24"/>
          <w:szCs w:val="24"/>
        </w:rPr>
        <w:t xml:space="preserve">“An academic exercise in my opinion which doesn’t really help the trainee as you can never be negative or critical. Everyone is usually satisfactory which </w:t>
      </w:r>
      <w:proofErr w:type="gramStart"/>
      <w:r w:rsidRPr="006F3B00">
        <w:rPr>
          <w:rFonts w:ascii="Times New Roman" w:hAnsi="Times New Roman" w:cs="Times New Roman"/>
          <w:i/>
          <w:sz w:val="24"/>
          <w:szCs w:val="24"/>
        </w:rPr>
        <w:t>isn't the case in reality</w:t>
      </w:r>
      <w:proofErr w:type="gramEnd"/>
      <w:r w:rsidRPr="006F3B00">
        <w:rPr>
          <w:rFonts w:ascii="Times New Roman" w:hAnsi="Times New Roman" w:cs="Times New Roman"/>
          <w:i/>
          <w:sz w:val="24"/>
          <w:szCs w:val="24"/>
        </w:rPr>
        <w:t>”.</w:t>
      </w:r>
    </w:p>
    <w:p w14:paraId="709240CC" w14:textId="77777777" w:rsidR="00863DF5" w:rsidRPr="006F3B00" w:rsidRDefault="00863DF5" w:rsidP="001A1FF3">
      <w:pPr>
        <w:pStyle w:val="ListParagraph"/>
        <w:numPr>
          <w:ilvl w:val="0"/>
          <w:numId w:val="34"/>
        </w:numPr>
        <w:spacing w:line="480" w:lineRule="auto"/>
        <w:rPr>
          <w:rFonts w:ascii="Times New Roman" w:hAnsi="Times New Roman" w:cs="Times New Roman"/>
          <w:b/>
          <w:i/>
          <w:sz w:val="24"/>
          <w:szCs w:val="24"/>
        </w:rPr>
      </w:pPr>
      <w:r w:rsidRPr="006F3B00">
        <w:rPr>
          <w:rFonts w:ascii="Times New Roman" w:hAnsi="Times New Roman" w:cs="Times New Roman"/>
          <w:i/>
          <w:sz w:val="24"/>
          <w:szCs w:val="24"/>
        </w:rPr>
        <w:t>“The categories for scoring are not very appropriate”.</w:t>
      </w:r>
    </w:p>
    <w:p w14:paraId="35CCBFCE"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Appropriate number of WBAs to complete</w:t>
      </w:r>
    </w:p>
    <w:p w14:paraId="0AE718AE" w14:textId="77777777" w:rsidR="00863DF5" w:rsidRPr="006F3B00" w:rsidRDefault="00863DF5" w:rsidP="001A1FF3">
      <w:pPr>
        <w:pStyle w:val="ListParagraph"/>
        <w:numPr>
          <w:ilvl w:val="0"/>
          <w:numId w:val="35"/>
        </w:numPr>
        <w:spacing w:line="480" w:lineRule="auto"/>
        <w:rPr>
          <w:rFonts w:ascii="Times New Roman" w:hAnsi="Times New Roman" w:cs="Times New Roman"/>
          <w:b/>
          <w:i/>
          <w:sz w:val="24"/>
          <w:szCs w:val="24"/>
        </w:rPr>
      </w:pPr>
      <w:r w:rsidRPr="006F3B00">
        <w:rPr>
          <w:rFonts w:ascii="Times New Roman" w:hAnsi="Times New Roman" w:cs="Times New Roman"/>
          <w:i/>
          <w:sz w:val="24"/>
          <w:szCs w:val="24"/>
        </w:rPr>
        <w:t>“I think it's more important to do fewer but more worthwhile assessments than to have to reach an arbitrary minimum number”.</w:t>
      </w:r>
    </w:p>
    <w:p w14:paraId="5EAA92B1" w14:textId="77777777" w:rsidR="00863DF5" w:rsidRPr="006F3B00" w:rsidRDefault="00863DF5" w:rsidP="001A1FF3">
      <w:pPr>
        <w:pStyle w:val="ListParagraph"/>
        <w:numPr>
          <w:ilvl w:val="0"/>
          <w:numId w:val="35"/>
        </w:numPr>
        <w:spacing w:line="480" w:lineRule="auto"/>
        <w:rPr>
          <w:rFonts w:ascii="Times New Roman" w:hAnsi="Times New Roman" w:cs="Times New Roman"/>
          <w:b/>
          <w:i/>
          <w:sz w:val="24"/>
          <w:szCs w:val="24"/>
        </w:rPr>
      </w:pPr>
      <w:r w:rsidRPr="006F3B00">
        <w:rPr>
          <w:rFonts w:ascii="Times New Roman" w:hAnsi="Times New Roman" w:cs="Times New Roman"/>
          <w:i/>
          <w:sz w:val="24"/>
          <w:szCs w:val="24"/>
        </w:rPr>
        <w:lastRenderedPageBreak/>
        <w:t>“…they are often somewhat forced and artificial; part of that is due to the process being driven by a quota - I would have more sympathy if there was no quota (leaving it to local training committee's and educational supervisors to explore why a trainee was WPBA-lite)”.</w:t>
      </w:r>
    </w:p>
    <w:p w14:paraId="50CA7514" w14:textId="77777777" w:rsidR="00863DF5" w:rsidRPr="006F3B00" w:rsidRDefault="00863DF5" w:rsidP="001A1FF3">
      <w:pPr>
        <w:pStyle w:val="ListParagraph"/>
        <w:numPr>
          <w:ilvl w:val="0"/>
          <w:numId w:val="35"/>
        </w:numPr>
        <w:spacing w:line="480" w:lineRule="auto"/>
        <w:rPr>
          <w:rFonts w:ascii="Times New Roman" w:hAnsi="Times New Roman" w:cs="Times New Roman"/>
          <w:b/>
          <w:i/>
          <w:sz w:val="24"/>
          <w:szCs w:val="24"/>
        </w:rPr>
      </w:pPr>
      <w:r w:rsidRPr="006F3B00">
        <w:rPr>
          <w:rFonts w:ascii="Times New Roman" w:eastAsia="Times New Roman" w:hAnsi="Times New Roman" w:cs="Times New Roman"/>
          <w:i/>
          <w:sz w:val="24"/>
          <w:szCs w:val="24"/>
          <w:lang w:eastAsia="en-GB"/>
        </w:rPr>
        <w:t>“This is part is due to the LEPT system recording only 18 assessments (less in stage D) which means that including multiple WBAs of the same kind of activity is not an option. Requiring a far larger number of WBAs would allow them to be used appropriately to document trends in ability, and also would force them to become more integrated into the weekly/daily routine…</w:t>
      </w:r>
    </w:p>
    <w:p w14:paraId="01FA65DF" w14:textId="77777777" w:rsidR="00863DF5" w:rsidRPr="006F3B00" w:rsidRDefault="00863DF5" w:rsidP="00863DF5">
      <w:pPr>
        <w:spacing w:line="480" w:lineRule="auto"/>
        <w:rPr>
          <w:rFonts w:ascii="Times New Roman" w:hAnsi="Times New Roman" w:cs="Times New Roman"/>
          <w:b/>
          <w:sz w:val="24"/>
          <w:szCs w:val="24"/>
          <w:u w:val="single"/>
        </w:rPr>
      </w:pPr>
      <w:r w:rsidRPr="006F3B00">
        <w:rPr>
          <w:rFonts w:ascii="Times New Roman" w:hAnsi="Times New Roman" w:cs="Times New Roman"/>
          <w:b/>
          <w:sz w:val="24"/>
          <w:szCs w:val="24"/>
          <w:u w:val="single"/>
        </w:rPr>
        <w:t>Value</w:t>
      </w:r>
    </w:p>
    <w:p w14:paraId="7E22DB2C" w14:textId="77777777" w:rsidR="00863DF5" w:rsidRPr="006F3B00" w:rsidRDefault="00863DF5" w:rsidP="00863DF5">
      <w:pPr>
        <w:autoSpaceDE w:val="0"/>
        <w:autoSpaceDN w:val="0"/>
        <w:adjustRightInd w:val="0"/>
        <w:spacing w:line="480" w:lineRule="auto"/>
        <w:rPr>
          <w:rFonts w:ascii="Times New Roman" w:hAnsi="Times New Roman" w:cs="Times New Roman"/>
          <w:sz w:val="24"/>
          <w:szCs w:val="24"/>
        </w:rPr>
      </w:pPr>
      <w:r w:rsidRPr="006F3B00">
        <w:rPr>
          <w:rFonts w:ascii="Times New Roman" w:hAnsi="Times New Roman" w:cs="Times New Roman"/>
          <w:sz w:val="24"/>
          <w:szCs w:val="24"/>
        </w:rPr>
        <w:t>Two sub-themes related to the value of WBAs: box-ticking exercise/no educational benefit and documentary process only to satisfy ARCP/RCPath/GMC. Selected quotes are given below to demonstrate these two sub-themes:</w:t>
      </w:r>
    </w:p>
    <w:p w14:paraId="1A3F2BEA" w14:textId="77777777" w:rsidR="00863DF5" w:rsidRPr="006F3B00" w:rsidRDefault="00863DF5" w:rsidP="00863DF5">
      <w:pPr>
        <w:autoSpaceDE w:val="0"/>
        <w:autoSpaceDN w:val="0"/>
        <w:adjustRightInd w:val="0"/>
        <w:spacing w:line="480" w:lineRule="auto"/>
        <w:rPr>
          <w:rFonts w:ascii="Times New Roman" w:hAnsi="Times New Roman" w:cs="Times New Roman"/>
          <w:b/>
          <w:sz w:val="24"/>
          <w:szCs w:val="24"/>
        </w:rPr>
      </w:pPr>
      <w:r w:rsidRPr="006F3B00">
        <w:rPr>
          <w:rFonts w:ascii="Times New Roman" w:hAnsi="Times New Roman" w:cs="Times New Roman"/>
          <w:b/>
          <w:sz w:val="24"/>
          <w:szCs w:val="24"/>
        </w:rPr>
        <w:t>Box-ticking/or no educational benefit</w:t>
      </w:r>
    </w:p>
    <w:p w14:paraId="04845D0B" w14:textId="05144985" w:rsidR="00863DF5" w:rsidRPr="006F3B00" w:rsidRDefault="00863DF5" w:rsidP="001A1FF3">
      <w:pPr>
        <w:pStyle w:val="ListParagraph"/>
        <w:numPr>
          <w:ilvl w:val="0"/>
          <w:numId w:val="21"/>
        </w:numPr>
        <w:autoSpaceDE w:val="0"/>
        <w:autoSpaceDN w:val="0"/>
        <w:adjustRightInd w:val="0"/>
        <w:spacing w:line="480" w:lineRule="auto"/>
        <w:rPr>
          <w:rFonts w:ascii="Times New Roman" w:hAnsi="Times New Roman" w:cs="Times New Roman"/>
          <w:sz w:val="24"/>
          <w:szCs w:val="24"/>
        </w:rPr>
      </w:pPr>
      <w:r w:rsidRPr="006F3B00">
        <w:rPr>
          <w:rFonts w:ascii="Times New Roman" w:hAnsi="Times New Roman" w:cs="Times New Roman"/>
          <w:i/>
          <w:sz w:val="24"/>
          <w:szCs w:val="24"/>
        </w:rPr>
        <w:t>“Overall, I think the assessments are more of a box-ti</w:t>
      </w:r>
      <w:r w:rsidR="009D54A5">
        <w:rPr>
          <w:rFonts w:ascii="Times New Roman" w:hAnsi="Times New Roman" w:cs="Times New Roman"/>
          <w:i/>
          <w:sz w:val="24"/>
          <w:szCs w:val="24"/>
        </w:rPr>
        <w:t>cking administrative exercise…</w:t>
      </w:r>
      <w:proofErr w:type="gramStart"/>
      <w:r w:rsidR="009D54A5">
        <w:rPr>
          <w:rFonts w:ascii="Times New Roman" w:hAnsi="Times New Roman" w:cs="Times New Roman"/>
          <w:i/>
          <w:sz w:val="24"/>
          <w:szCs w:val="24"/>
        </w:rPr>
        <w:t>”.</w:t>
      </w:r>
      <w:proofErr w:type="gramEnd"/>
    </w:p>
    <w:p w14:paraId="64F228D7" w14:textId="77777777" w:rsidR="00863DF5" w:rsidRPr="006F3B00" w:rsidRDefault="00863DF5" w:rsidP="001A1FF3">
      <w:pPr>
        <w:pStyle w:val="ListParagraph"/>
        <w:numPr>
          <w:ilvl w:val="0"/>
          <w:numId w:val="21"/>
        </w:numPr>
        <w:spacing w:line="480" w:lineRule="auto"/>
        <w:rPr>
          <w:rFonts w:ascii="Times New Roman" w:hAnsi="Times New Roman" w:cs="Times New Roman"/>
          <w:i/>
          <w:sz w:val="24"/>
          <w:szCs w:val="24"/>
        </w:rPr>
      </w:pPr>
      <w:r w:rsidRPr="006F3B00">
        <w:rPr>
          <w:rFonts w:ascii="Times New Roman" w:hAnsi="Times New Roman" w:cs="Times New Roman"/>
          <w:i/>
          <w:sz w:val="24"/>
          <w:szCs w:val="24"/>
        </w:rPr>
        <w:t xml:space="preserve"> “These assessments are box ticking, educationalists' nonsense”.</w:t>
      </w:r>
    </w:p>
    <w:p w14:paraId="3915A2A3" w14:textId="77777777" w:rsidR="00863DF5" w:rsidRPr="006F3B00" w:rsidRDefault="00863DF5" w:rsidP="001A1FF3">
      <w:pPr>
        <w:pStyle w:val="ListParagraph"/>
        <w:numPr>
          <w:ilvl w:val="0"/>
          <w:numId w:val="21"/>
        </w:numPr>
        <w:spacing w:line="480" w:lineRule="auto"/>
        <w:rPr>
          <w:rFonts w:ascii="Times New Roman" w:hAnsi="Times New Roman" w:cs="Times New Roman"/>
          <w:i/>
          <w:sz w:val="24"/>
          <w:szCs w:val="24"/>
        </w:rPr>
      </w:pPr>
      <w:r w:rsidRPr="006F3B00">
        <w:rPr>
          <w:rFonts w:ascii="Times New Roman" w:hAnsi="Times New Roman" w:cs="Times New Roman"/>
          <w:i/>
          <w:sz w:val="24"/>
          <w:szCs w:val="24"/>
        </w:rPr>
        <w:t>“I would support WBA being scrapped and not replaced with anything”.</w:t>
      </w:r>
    </w:p>
    <w:p w14:paraId="0E0D1B96"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Documentary process to satisfy ARCP/RCPath/GMC</w:t>
      </w:r>
    </w:p>
    <w:p w14:paraId="27E81133" w14:textId="77777777" w:rsidR="00863DF5" w:rsidRPr="006F3B00" w:rsidRDefault="00863DF5" w:rsidP="001A1FF3">
      <w:pPr>
        <w:pStyle w:val="ListParagraph"/>
        <w:numPr>
          <w:ilvl w:val="0"/>
          <w:numId w:val="30"/>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“There is an obsession with documentation which does nothing to improve training or identify issues”.</w:t>
      </w:r>
    </w:p>
    <w:p w14:paraId="0CE8A4DA" w14:textId="77777777" w:rsidR="00863DF5" w:rsidRPr="006F3B00" w:rsidRDefault="00863DF5" w:rsidP="001A1FF3">
      <w:pPr>
        <w:pStyle w:val="ListParagraph"/>
        <w:numPr>
          <w:ilvl w:val="0"/>
          <w:numId w:val="30"/>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lastRenderedPageBreak/>
        <w:t>“The main but limited utility of WBA is to document things that a trainee can do or has done so there is some documentation that can be gained to support portfolios for ARCPs”.</w:t>
      </w:r>
    </w:p>
    <w:p w14:paraId="5408F212" w14:textId="77777777" w:rsidR="00863DF5" w:rsidRPr="006F3B00" w:rsidRDefault="00863DF5" w:rsidP="001A1FF3">
      <w:pPr>
        <w:pStyle w:val="ListParagraph"/>
        <w:numPr>
          <w:ilvl w:val="0"/>
          <w:numId w:val="30"/>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“They should be there to help provide and record structured feedback to trainees as a formative process. Unfortunately, they are not set up this way and have become just another set of hoops to jump through”.</w:t>
      </w:r>
    </w:p>
    <w:p w14:paraId="763B8330" w14:textId="77777777" w:rsidR="00863DF5" w:rsidRPr="006F3B00" w:rsidRDefault="00863DF5" w:rsidP="00863DF5">
      <w:pPr>
        <w:spacing w:line="480" w:lineRule="auto"/>
        <w:rPr>
          <w:rFonts w:ascii="Times New Roman" w:hAnsi="Times New Roman" w:cs="Times New Roman"/>
          <w:b/>
          <w:sz w:val="24"/>
          <w:szCs w:val="24"/>
          <w:u w:val="single"/>
        </w:rPr>
      </w:pPr>
      <w:r w:rsidRPr="006F3B00">
        <w:rPr>
          <w:rFonts w:ascii="Times New Roman" w:hAnsi="Times New Roman" w:cs="Times New Roman"/>
          <w:b/>
          <w:sz w:val="24"/>
          <w:szCs w:val="24"/>
          <w:u w:val="single"/>
        </w:rPr>
        <w:t>Utilisation</w:t>
      </w:r>
    </w:p>
    <w:p w14:paraId="6424C2C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Four sub-themes related to the utilisation of WBAs: selection of cases, appropriate engagement, </w:t>
      </w:r>
      <w:proofErr w:type="gramStart"/>
      <w:r w:rsidRPr="006F3B00">
        <w:rPr>
          <w:rFonts w:ascii="Times New Roman" w:hAnsi="Times New Roman" w:cs="Times New Roman"/>
          <w:sz w:val="24"/>
          <w:szCs w:val="24"/>
        </w:rPr>
        <w:t>quality</w:t>
      </w:r>
      <w:proofErr w:type="gramEnd"/>
      <w:r w:rsidRPr="006F3B00">
        <w:rPr>
          <w:rFonts w:ascii="Times New Roman" w:hAnsi="Times New Roman" w:cs="Times New Roman"/>
          <w:sz w:val="24"/>
          <w:szCs w:val="24"/>
        </w:rPr>
        <w:t xml:space="preserve"> of feedback given to trainees and whether they are able to identify trainees in difficulty</w:t>
      </w:r>
      <w:r w:rsidRPr="006F3B00">
        <w:rPr>
          <w:rFonts w:ascii="Times New Roman" w:hAnsi="Times New Roman" w:cs="Times New Roman"/>
          <w:b/>
          <w:sz w:val="24"/>
          <w:szCs w:val="24"/>
        </w:rPr>
        <w:t xml:space="preserve">. </w:t>
      </w:r>
      <w:r w:rsidRPr="006F3B00">
        <w:rPr>
          <w:rFonts w:ascii="Times New Roman" w:hAnsi="Times New Roman" w:cs="Times New Roman"/>
          <w:sz w:val="24"/>
          <w:szCs w:val="24"/>
        </w:rPr>
        <w:t>Selected quotes are given below to demonstrate these four sub-themes:</w:t>
      </w:r>
    </w:p>
    <w:p w14:paraId="7151D769"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Selection of cases</w:t>
      </w:r>
    </w:p>
    <w:p w14:paraId="6BC1C609" w14:textId="77777777" w:rsidR="00863DF5" w:rsidRPr="006F3B00" w:rsidRDefault="00863DF5" w:rsidP="001A1FF3">
      <w:pPr>
        <w:pStyle w:val="ListParagraph"/>
        <w:numPr>
          <w:ilvl w:val="0"/>
          <w:numId w:val="31"/>
        </w:numPr>
        <w:spacing w:line="480" w:lineRule="auto"/>
        <w:rPr>
          <w:rFonts w:ascii="Times New Roman" w:hAnsi="Times New Roman" w:cs="Times New Roman"/>
          <w:i/>
          <w:sz w:val="24"/>
          <w:szCs w:val="24"/>
        </w:rPr>
      </w:pPr>
      <w:r w:rsidRPr="006F3B00">
        <w:rPr>
          <w:rFonts w:ascii="Times New Roman" w:hAnsi="Times New Roman" w:cs="Times New Roman"/>
          <w:i/>
          <w:sz w:val="24"/>
          <w:szCs w:val="24"/>
        </w:rPr>
        <w:t>“Unfortunately the trainees only chose cases when things went well, so the forms may not be representative of true performance. It might be better for the assessor to choose the event”.</w:t>
      </w:r>
    </w:p>
    <w:p w14:paraId="03D740E2" w14:textId="77777777" w:rsidR="00863DF5" w:rsidRPr="006F3B00" w:rsidRDefault="00863DF5" w:rsidP="001A1FF3">
      <w:pPr>
        <w:pStyle w:val="ListParagraph"/>
        <w:numPr>
          <w:ilvl w:val="0"/>
          <w:numId w:val="31"/>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“What we need is regular subjective feedback from multiple assessors based on performance in the job (like dissecting/reporting cases over the period of a month with a trainee working closely with you), not ones specially selected which prove absolutely nothing”</w:t>
      </w:r>
    </w:p>
    <w:p w14:paraId="11B57960" w14:textId="3A61C158" w:rsidR="00863DF5" w:rsidRPr="00AF0335" w:rsidRDefault="00863DF5" w:rsidP="00863DF5">
      <w:pPr>
        <w:pStyle w:val="ListParagraph"/>
        <w:numPr>
          <w:ilvl w:val="0"/>
          <w:numId w:val="31"/>
        </w:numPr>
        <w:spacing w:line="480" w:lineRule="auto"/>
        <w:rPr>
          <w:rFonts w:ascii="Times New Roman" w:hAnsi="Times New Roman" w:cs="Times New Roman"/>
          <w:b/>
          <w:i/>
          <w:sz w:val="24"/>
          <w:szCs w:val="24"/>
        </w:rPr>
      </w:pPr>
      <w:r w:rsidRPr="006F3B00">
        <w:rPr>
          <w:rFonts w:ascii="Times New Roman" w:eastAsia="Times New Roman" w:hAnsi="Times New Roman" w:cs="Times New Roman"/>
          <w:i/>
          <w:sz w:val="24"/>
          <w:szCs w:val="24"/>
          <w:lang w:eastAsia="en-GB"/>
        </w:rPr>
        <w:t>“I often observe of trainees completing the majority during the last month prior to submission of RCP</w:t>
      </w:r>
      <w:r w:rsidR="00EE7383">
        <w:rPr>
          <w:rFonts w:ascii="Times New Roman" w:eastAsia="Times New Roman" w:hAnsi="Times New Roman" w:cs="Times New Roman"/>
          <w:i/>
          <w:sz w:val="24"/>
          <w:szCs w:val="24"/>
          <w:lang w:eastAsia="en-GB"/>
        </w:rPr>
        <w:t>ath</w:t>
      </w:r>
      <w:r w:rsidRPr="006F3B00">
        <w:rPr>
          <w:rFonts w:ascii="Times New Roman" w:eastAsia="Times New Roman" w:hAnsi="Times New Roman" w:cs="Times New Roman"/>
          <w:i/>
          <w:sz w:val="24"/>
          <w:szCs w:val="24"/>
          <w:lang w:eastAsia="en-GB"/>
        </w:rPr>
        <w:t xml:space="preserve"> paperwork”.</w:t>
      </w:r>
    </w:p>
    <w:p w14:paraId="79FE0128"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Appropriate engagement</w:t>
      </w:r>
    </w:p>
    <w:p w14:paraId="207F5EF5" w14:textId="77777777" w:rsidR="00863DF5" w:rsidRPr="006F3B00" w:rsidRDefault="00863DF5" w:rsidP="001A1FF3">
      <w:pPr>
        <w:pStyle w:val="ListParagraph"/>
        <w:numPr>
          <w:ilvl w:val="0"/>
          <w:numId w:val="22"/>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lastRenderedPageBreak/>
        <w:t>“Some trainers and assessors really engage with the process appropriate questions are asked and good feedback is given”.</w:t>
      </w:r>
    </w:p>
    <w:p w14:paraId="516AA78F" w14:textId="77777777" w:rsidR="00863DF5" w:rsidRPr="006F3B00" w:rsidRDefault="00863DF5" w:rsidP="001A1FF3">
      <w:pPr>
        <w:pStyle w:val="ListParagraph"/>
        <w:numPr>
          <w:ilvl w:val="0"/>
          <w:numId w:val="22"/>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“I think that assessors are not consistent when completing WBAs and seem to have different understandings of how to complete them”.</w:t>
      </w:r>
    </w:p>
    <w:p w14:paraId="4EA732C6" w14:textId="7AECB443" w:rsidR="00863DF5" w:rsidRPr="00AF0335" w:rsidRDefault="00EE7383" w:rsidP="00863DF5">
      <w:pPr>
        <w:pStyle w:val="ListParagraph"/>
        <w:numPr>
          <w:ilvl w:val="0"/>
          <w:numId w:val="22"/>
        </w:numPr>
        <w:autoSpaceDE w:val="0"/>
        <w:autoSpaceDN w:val="0"/>
        <w:adjustRightInd w:val="0"/>
        <w:spacing w:line="480" w:lineRule="auto"/>
        <w:rPr>
          <w:rFonts w:ascii="Times New Roman" w:hAnsi="Times New Roman" w:cs="Times New Roman"/>
          <w:i/>
          <w:sz w:val="24"/>
          <w:szCs w:val="24"/>
        </w:rPr>
      </w:pPr>
      <w:r>
        <w:rPr>
          <w:rFonts w:ascii="Times New Roman" w:hAnsi="Times New Roman" w:cs="Times New Roman"/>
          <w:i/>
          <w:sz w:val="24"/>
          <w:szCs w:val="24"/>
        </w:rPr>
        <w:t>“In my opinion, W</w:t>
      </w:r>
      <w:r w:rsidR="00863DF5" w:rsidRPr="006F3B00">
        <w:rPr>
          <w:rFonts w:ascii="Times New Roman" w:hAnsi="Times New Roman" w:cs="Times New Roman"/>
          <w:i/>
          <w:sz w:val="24"/>
          <w:szCs w:val="24"/>
        </w:rPr>
        <w:t>BAs are a good tool that are used poorly”.</w:t>
      </w:r>
    </w:p>
    <w:p w14:paraId="7F53A473"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Quality of feedback</w:t>
      </w:r>
    </w:p>
    <w:p w14:paraId="46D8DDC4" w14:textId="77777777" w:rsidR="00863DF5" w:rsidRPr="006F3B00" w:rsidRDefault="00863DF5" w:rsidP="001A1FF3">
      <w:pPr>
        <w:pStyle w:val="ListParagraph"/>
        <w:numPr>
          <w:ilvl w:val="0"/>
          <w:numId w:val="32"/>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“…I have submitted some to some assessors who have not even changed anything I have completed and have signed it off with no useful feedback at all.”</w:t>
      </w:r>
    </w:p>
    <w:p w14:paraId="08C08A23" w14:textId="7951D70D" w:rsidR="00863DF5" w:rsidRPr="006F3B00" w:rsidRDefault="00863DF5" w:rsidP="001A1FF3">
      <w:pPr>
        <w:pStyle w:val="ListParagraph"/>
        <w:numPr>
          <w:ilvl w:val="0"/>
          <w:numId w:val="32"/>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 xml:space="preserve">“It is extremely sad that on occasions trainees don't get structured, constructive </w:t>
      </w:r>
      <w:r w:rsidR="00EE7383">
        <w:rPr>
          <w:rFonts w:ascii="Times New Roman" w:hAnsi="Times New Roman" w:cs="Times New Roman"/>
          <w:i/>
          <w:sz w:val="24"/>
          <w:szCs w:val="24"/>
        </w:rPr>
        <w:t>feedback other than when dong WBAs, and even worse to see W</w:t>
      </w:r>
      <w:r w:rsidRPr="006F3B00">
        <w:rPr>
          <w:rFonts w:ascii="Times New Roman" w:hAnsi="Times New Roman" w:cs="Times New Roman"/>
          <w:i/>
          <w:sz w:val="24"/>
          <w:szCs w:val="24"/>
        </w:rPr>
        <w:t>BAs completed with no feedback from the trainer”.</w:t>
      </w:r>
    </w:p>
    <w:p w14:paraId="17E672B4" w14:textId="1B754490" w:rsidR="00863DF5" w:rsidRPr="00AF0335" w:rsidRDefault="00863DF5" w:rsidP="00863DF5">
      <w:pPr>
        <w:pStyle w:val="ListParagraph"/>
        <w:numPr>
          <w:ilvl w:val="0"/>
          <w:numId w:val="32"/>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“It is a good opportunity to give feedback but should always be done with the trainee in attendance. Otherwise it's a pointless exercise. It's also a good opportunity to talk about other issues, positive or negative”.</w:t>
      </w:r>
    </w:p>
    <w:p w14:paraId="7ECB33B6"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Ability to identify trainees in difficulty</w:t>
      </w:r>
    </w:p>
    <w:p w14:paraId="548BC287" w14:textId="77777777" w:rsidR="00863DF5" w:rsidRPr="006F3B00" w:rsidRDefault="00863DF5" w:rsidP="001A1FF3">
      <w:pPr>
        <w:pStyle w:val="ListParagraph"/>
        <w:numPr>
          <w:ilvl w:val="0"/>
          <w:numId w:val="22"/>
        </w:numPr>
        <w:spacing w:line="480" w:lineRule="auto"/>
        <w:rPr>
          <w:rFonts w:ascii="Times New Roman" w:hAnsi="Times New Roman" w:cs="Times New Roman"/>
          <w:b/>
          <w:i/>
          <w:sz w:val="24"/>
          <w:szCs w:val="24"/>
        </w:rPr>
      </w:pPr>
      <w:r w:rsidRPr="006F3B00">
        <w:rPr>
          <w:rFonts w:ascii="Times New Roman" w:hAnsi="Times New Roman" w:cs="Times New Roman"/>
          <w:i/>
          <w:sz w:val="24"/>
          <w:szCs w:val="24"/>
        </w:rPr>
        <w:t xml:space="preserve"> “I feel that workplace-based assessments are probably particularly useful for identifying trainees-in difficulty or 'problem' trainees who are disengaged with training or unsafe (i.e. those at the extreme end of the spectrum)”.</w:t>
      </w:r>
    </w:p>
    <w:p w14:paraId="10B2A729" w14:textId="77777777" w:rsidR="00863DF5" w:rsidRPr="006F3B00" w:rsidRDefault="00863DF5" w:rsidP="001A1FF3">
      <w:pPr>
        <w:pStyle w:val="ListParagraph"/>
        <w:numPr>
          <w:ilvl w:val="0"/>
          <w:numId w:val="22"/>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“I thought work-based assessments were intended to identify struggling trainees but I don't think that they are a very robust tool for this purpose”.</w:t>
      </w:r>
    </w:p>
    <w:p w14:paraId="30C39BE0" w14:textId="77777777" w:rsidR="00863DF5" w:rsidRPr="006F3B00" w:rsidRDefault="00863DF5" w:rsidP="001A1FF3">
      <w:pPr>
        <w:pStyle w:val="ListParagraph"/>
        <w:numPr>
          <w:ilvl w:val="0"/>
          <w:numId w:val="22"/>
        </w:numPr>
        <w:autoSpaceDE w:val="0"/>
        <w:autoSpaceDN w:val="0"/>
        <w:adjustRightInd w:val="0"/>
        <w:spacing w:line="480" w:lineRule="auto"/>
        <w:rPr>
          <w:rFonts w:ascii="Times New Roman" w:hAnsi="Times New Roman" w:cs="Times New Roman"/>
          <w:i/>
          <w:sz w:val="24"/>
          <w:szCs w:val="24"/>
        </w:rPr>
      </w:pPr>
      <w:r w:rsidRPr="006F3B00">
        <w:rPr>
          <w:rFonts w:ascii="Times New Roman" w:hAnsi="Times New Roman" w:cs="Times New Roman"/>
          <w:i/>
          <w:sz w:val="24"/>
          <w:szCs w:val="24"/>
        </w:rPr>
        <w:t xml:space="preserve"> “It is never possible to be truthful on these assessments as those trainees in difficulty cannot be identified and weeded out for extra help or advice.”</w:t>
      </w:r>
    </w:p>
    <w:p w14:paraId="5B3F9AE5" w14:textId="77777777" w:rsidR="00863DF5" w:rsidRPr="006F3B00" w:rsidRDefault="00863DF5" w:rsidP="00863DF5">
      <w:pPr>
        <w:pStyle w:val="ListParagraph"/>
        <w:spacing w:line="480" w:lineRule="auto"/>
        <w:rPr>
          <w:rFonts w:ascii="Times New Roman" w:hAnsi="Times New Roman" w:cs="Times New Roman"/>
          <w:b/>
          <w:sz w:val="24"/>
          <w:szCs w:val="24"/>
        </w:rPr>
      </w:pPr>
    </w:p>
    <w:p w14:paraId="322617B6" w14:textId="3BBC336E" w:rsidR="00863DF5" w:rsidRPr="006F3B00" w:rsidRDefault="00DE62D9" w:rsidP="00862691">
      <w:pPr>
        <w:pStyle w:val="Heading2"/>
        <w:rPr>
          <w:rFonts w:ascii="Times New Roman" w:hAnsi="Times New Roman" w:cs="Times New Roman"/>
          <w:color w:val="auto"/>
          <w:sz w:val="24"/>
          <w:szCs w:val="24"/>
          <w:u w:val="single"/>
        </w:rPr>
      </w:pPr>
      <w:bookmarkStart w:id="70" w:name="_Toc23243799"/>
      <w:r>
        <w:rPr>
          <w:rFonts w:ascii="Times New Roman" w:hAnsi="Times New Roman" w:cs="Times New Roman"/>
          <w:color w:val="auto"/>
          <w:sz w:val="24"/>
          <w:szCs w:val="24"/>
          <w:u w:val="single"/>
        </w:rPr>
        <w:lastRenderedPageBreak/>
        <w:t>3.6</w:t>
      </w:r>
      <w:r w:rsidR="00862691" w:rsidRPr="006F3B00">
        <w:rPr>
          <w:rFonts w:ascii="Times New Roman" w:hAnsi="Times New Roman" w:cs="Times New Roman"/>
          <w:color w:val="auto"/>
          <w:sz w:val="24"/>
          <w:szCs w:val="24"/>
          <w:u w:val="single"/>
        </w:rPr>
        <w:t xml:space="preserve"> </w:t>
      </w:r>
      <w:r w:rsidR="00863DF5" w:rsidRPr="006F3B00">
        <w:rPr>
          <w:rFonts w:ascii="Times New Roman" w:hAnsi="Times New Roman" w:cs="Times New Roman"/>
          <w:color w:val="auto"/>
          <w:sz w:val="24"/>
          <w:szCs w:val="24"/>
          <w:u w:val="single"/>
        </w:rPr>
        <w:t>Discussion</w:t>
      </w:r>
      <w:bookmarkEnd w:id="70"/>
    </w:p>
    <w:p w14:paraId="7A6876C2" w14:textId="77777777" w:rsidR="00862691" w:rsidRPr="006F3B00" w:rsidRDefault="00862691" w:rsidP="00862691">
      <w:pPr>
        <w:rPr>
          <w:rFonts w:ascii="Times New Roman" w:hAnsi="Times New Roman" w:cs="Times New Roman"/>
          <w:sz w:val="24"/>
          <w:szCs w:val="24"/>
          <w:lang w:val="en-GB"/>
        </w:rPr>
      </w:pPr>
    </w:p>
    <w:p w14:paraId="14A0E1EC" w14:textId="3BC900A1"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As described in the literature </w:t>
      </w:r>
      <w:r w:rsidRPr="0024083B">
        <w:rPr>
          <w:rFonts w:ascii="Times New Roman" w:hAnsi="Times New Roman" w:cs="Times New Roman"/>
          <w:sz w:val="24"/>
          <w:szCs w:val="24"/>
        </w:rPr>
        <w:t>review (</w:t>
      </w:r>
      <w:r w:rsidR="0024083B" w:rsidRPr="0024083B">
        <w:rPr>
          <w:rFonts w:ascii="Times New Roman" w:hAnsi="Times New Roman" w:cs="Times New Roman"/>
          <w:sz w:val="24"/>
          <w:szCs w:val="24"/>
        </w:rPr>
        <w:t>Chapter 1, section 1.1.5</w:t>
      </w:r>
      <w:r w:rsidRPr="0024083B">
        <w:rPr>
          <w:rFonts w:ascii="Times New Roman" w:hAnsi="Times New Roman" w:cs="Times New Roman"/>
          <w:sz w:val="24"/>
          <w:szCs w:val="24"/>
        </w:rPr>
        <w:t xml:space="preserve">), the </w:t>
      </w:r>
      <w:r w:rsidRPr="006F3B00">
        <w:rPr>
          <w:rFonts w:ascii="Times New Roman" w:hAnsi="Times New Roman" w:cs="Times New Roman"/>
          <w:sz w:val="24"/>
          <w:szCs w:val="24"/>
        </w:rPr>
        <w:t>“utility of assessment” describes the “usefulness” of any assessment and how it is derived in a multiplicative manner from its reliability, validity, educational impact, acceptability and cost</w:t>
      </w:r>
      <w:r w:rsidR="006F7276">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{"citationItems":[{"id":"ITEM-1","itemData":{"DOI":"10.1007/BF00596229","ISBN":"1382-4996","ISSN":"1382-4996, 1573-1677","PMID":"24178994","abstract":"Overzicht van de geschiedenis en belangrijkste research bevindingen van de laatste decennia plus implicaties voor verder onderzoek en onderwijs.","author":[{"dropping-particle":"Van Der","family":"Vleuten","given":"C. P. M.","non-dropping-particle":"","parse-names":false,"suffix":""}],"container-title":"Advances in Health Sciences Education","id":"ITEM-1","issue":"1","issued":{"date-parts":[["1996"]]},"page":"41-67","title":"The assessment of professional competence: Developments, research and practical implications","type":"article-journal","volume":"1"},"uris":["http://www.mendeley.com/documents/?uuid=a20fa592-ca1a-444e-ae7d-9c4146054b33"]}],"mendeley":{"formattedCitation":"(Vleuten, 1996)","plainTextFormattedCitation":"(Vleuten, 1996)","previouslyFormattedCitation":"(Vleuten 1996)"},"properties":{"noteIndex":0},"schema":"https://github.com/citation-style-language/schema/raw/master/csl-citation.json"}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F123DD">
        <w:rPr>
          <w:rFonts w:ascii="Times New Roman" w:hAnsi="Times New Roman" w:cs="Times New Roman"/>
          <w:noProof/>
          <w:sz w:val="24"/>
          <w:szCs w:val="24"/>
        </w:rPr>
        <w:t>van der Vleuten</w:t>
      </w:r>
      <w:r w:rsidR="00BE3B6C" w:rsidRPr="00BE3B6C">
        <w:rPr>
          <w:rFonts w:ascii="Times New Roman" w:hAnsi="Times New Roman" w:cs="Times New Roman"/>
          <w:noProof/>
          <w:sz w:val="24"/>
          <w:szCs w:val="24"/>
        </w:rPr>
        <w:t xml:space="preserve"> 1996)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Given the </w:t>
      </w:r>
      <w:r w:rsidR="00AA1495">
        <w:rPr>
          <w:rFonts w:ascii="Times New Roman" w:hAnsi="Times New Roman" w:cs="Times New Roman"/>
          <w:sz w:val="24"/>
          <w:szCs w:val="24"/>
        </w:rPr>
        <w:t xml:space="preserve">involvement </w:t>
      </w:r>
      <w:r w:rsidR="006F7276">
        <w:rPr>
          <w:rFonts w:ascii="Times New Roman" w:hAnsi="Times New Roman" w:cs="Times New Roman"/>
          <w:sz w:val="24"/>
          <w:szCs w:val="24"/>
        </w:rPr>
        <w:t xml:space="preserve">of </w:t>
      </w:r>
      <w:r w:rsidRPr="006F3B00">
        <w:rPr>
          <w:rFonts w:ascii="Times New Roman" w:hAnsi="Times New Roman" w:cs="Times New Roman"/>
          <w:sz w:val="24"/>
          <w:szCs w:val="24"/>
        </w:rPr>
        <w:t>PMETB in setting the standards of post-graduate education (including WBAs), and that it adopted the “utility of assessment” in its document “Developing and maintaining an assessment system-a PMETB guide to good practice”</w:t>
      </w:r>
      <w:r w:rsidR="00F123D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{"citationItems":[{"id":"ITEM-1","itemData":{"abstract":"This guide explains some of the challenges which face anyone devising an assessment system in response to the Principles for an assessment system for postgraduate medical training laid out by PMETB (1). The original principles have not needed any fundamental changes since they were written and serve to highlight the issues which should be addressed to ensure transparency and fairness for trainees, and encourage curricular designers to ensure a proper duty of care to trainers and trainees alike. Most importantly, the principles assure the general public that trainees who undergo professional accreditation will be assessed properly and only those who have achieved the required level of competence are allowed to progress. In producing this document we wish to acknowledge that most colleges and many committed individuals, usually as volunteers, have considerable expertise in the area of assessment. Where possible we have drawn on that expertise and we hope this is reflected in the text. What we wish to do is to provide a long term framework for continuing to improve assessments for all parties, from trainees to patients. Educational trends change but principles do not and by providing this document PMETB wishes to set a benchmark against which a programme of continuing quality improvement can progress. A full glossary of terms related to assessment in the context of medical education can be found on page 46. In particular, to ensure consistency with other PMETB guidance, we largely refer to ‘assessment systems’ rather than ‘assessment programmes’ and ‘quality management’ rather than ‘quality control’. The term ‘assessor’ should be assumed to encompass examiners for formal exams as well as those undertaking assessments in other contexts, including the workplace. ‘Assessment instrument’ is used throughout to refer to individual assessment methods. The guide is a reference document rather than a narrative and it is anticipated that it will help organisations collate all the information likely to be asked of them by PMETB in any quality assurance activity.","author":[{"dropping-particle":"","family":"PMETB Assessment Working Group","given":"","non-dropping-particle":"","parse-names":false,"suffix":""}],"container-title":"Guidline Royal College","id":"ITEM-1","issue":"January","issued":{"date-parts":[["2007"]]},"number-of-pages":"5","title":"Developing and maintaining an assessment system - a PMETB guide to good practice","type":"report"},"uris":["http://www.mendeley.com/documents/?uuid=f22dce57-142b-4690-8fb2-701a4864f861"]}],"mendeley":{"formattedCitation":"(PMETB Assessment Working Group, 2007)","plainTextFormattedCitation":"(PMETB Assessment Working Group, 2007)","previouslyFormattedCitation":"(PMETB Assessment Working Group 2007)"},"properties":{"noteIndex":0},"schema":"https://github.com/citation-style-language/schema/raw/master/csl-citation.json"}</w:instrText>
      </w:r>
      <w:r w:rsidRPr="006F3B00">
        <w:rPr>
          <w:rFonts w:ascii="Times New Roman" w:hAnsi="Times New Roman" w:cs="Times New Roman"/>
          <w:sz w:val="24"/>
          <w:szCs w:val="24"/>
        </w:rPr>
        <w:fldChar w:fldCharType="separate"/>
      </w:r>
      <w:r w:rsidR="00666DB0">
        <w:rPr>
          <w:rFonts w:ascii="Times New Roman" w:hAnsi="Times New Roman" w:cs="Times New Roman"/>
          <w:noProof/>
          <w:sz w:val="24"/>
          <w:szCs w:val="24"/>
        </w:rPr>
        <w:t>(</w:t>
      </w:r>
      <w:r w:rsidR="00666DB0">
        <w:rPr>
          <w:rFonts w:ascii="Times New Roman" w:hAnsi="Times New Roman" w:cs="Times New Roman"/>
          <w:sz w:val="24"/>
          <w:szCs w:val="24"/>
        </w:rPr>
        <w:t xml:space="preserve">Oliver </w:t>
      </w:r>
      <w:r w:rsidR="00BE3B6C" w:rsidRPr="00BE3B6C">
        <w:rPr>
          <w:rFonts w:ascii="Times New Roman" w:hAnsi="Times New Roman" w:cs="Times New Roman"/>
          <w:noProof/>
          <w:sz w:val="24"/>
          <w:szCs w:val="24"/>
        </w:rPr>
        <w:t>2007)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 results will be discussed with references to these parameters.</w:t>
      </w:r>
    </w:p>
    <w:p w14:paraId="7B07CE82" w14:textId="77777777" w:rsidR="00863DF5" w:rsidRPr="006F3B00" w:rsidRDefault="00863DF5" w:rsidP="00863DF5">
      <w:pPr>
        <w:spacing w:after="0" w:line="480" w:lineRule="auto"/>
        <w:rPr>
          <w:rFonts w:ascii="Times New Roman" w:hAnsi="Times New Roman" w:cs="Times New Roman"/>
          <w:sz w:val="24"/>
          <w:szCs w:val="24"/>
        </w:rPr>
      </w:pPr>
    </w:p>
    <w:p w14:paraId="758A3EC5" w14:textId="2CA0539B"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first question which asked assessors and trainees if WBAs are useful in training was integral to the survey and served as an overall measure of the “utility” of these tools in histopathology. Interestingly there appears to be a negative perception of their usefulness particularly among trainees.   Whereas 46% of assessors thought WBAs were useful in training only 35% of trainees thought so and conversely 44% trainees disagreed or strongly disagreed they were useful compared with 33% of assessors. Although this difference between the groups is relatively small and does not reach statistical significance there is supporting evidence from the results of Q8 that it may be real. More than 50% of trainees compared with only 36% of assessors strongly disagreed/disagreed with the statement that ‘Current WBAs are acceptable to you as an assessor/trainee’. User acceptability of WBAs has been shown to be a major problem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{"citationItems":[{"id":"ITEM-1","itemData":{"DOI":"10.1007/s10459-015-9614-0","ISSN":"1382-4996","PMID":"26003590","abstract":"Workplace based assessments (WBAs) are now commonplace in postgraduate medical training. User acceptability and engagement is essential to the success of any medical education innovation. To this end, possessing an insight into trainee and trainer perceptions towards WBAs will help identify the major problems, permitting strategies to be introduced to improve WBA implementation. A review of literature was performed to identify studies examining trainee and trainer perceptions towards WBAs. Studies were excluded if non-English or sampling a non-medical/dental population. The identified literature was synthesised for the purpose of this critical narrative review. It is clear that there is widespread negativity towards WBAs in the workplace. This has negatively impacted on the effectiveness of WBA tools as learning aids. This negativity exists in trainees but also to an extent in their trainers. Insight gained from the literature reveals three dominant problems with WBA implementation: poor understanding as to the purpose of WBAs; insufficient time available for undertaking these assessments; and inadequate training of trainers. Approaches to addressing these three problems with WBA implementation are discussed. It is likely that a variety of solutions will be required. The prevalence of negativity towards WBAs is substantial in both trainees and trainers, eroding the effectiveness of learning that is consequent upon them. The educational community must now listen to the concerns being raised by the users and consider the range of strategies being proposed to improve the experiences of trainees, and their trainers.","author":[{"dropping-particle":"","family":"Massie","given":"Jonathan","non-dropping-particle":"","parse-names":false,"suffix":""},{"dropping-particle":"","family":"Ali","given":"Jason M.","non-dropping-particle":"","parse-names":false,"suffix":""}],"container-title":"Advances in Health Sciences Education","id":"ITEM-1","issued":{"date-parts":[["2015"]]},"page":"EarlyOnline","title":"Workplace-based assessment: a review of user perceptions and strategies to address the identified shortcomings","type":"article-journal"},"uris":["http://www.mendeley.com/documents/?uuid=cbc01e63-6cf3-4edd-90ef-228459242c69"]}],"mendeley":{"formattedCitation":"(Massie and Ali, 2015)","plainTextFormattedCitation":"(Massie and Ali, 2015)","previouslyFormattedCitation":"(Massie and Ali 2015)"},"properties":{"noteIndex":0},"schema":"https://github.com/citation-style-language/schema/raw/master/csl-citation.json"}</w:instrText>
      </w:r>
      <w:r w:rsidRPr="006F3B00">
        <w:rPr>
          <w:rFonts w:ascii="Times New Roman" w:hAnsi="Times New Roman" w:cs="Times New Roman"/>
          <w:sz w:val="24"/>
          <w:szCs w:val="24"/>
        </w:rPr>
        <w:fldChar w:fldCharType="separate"/>
      </w:r>
      <w:r w:rsidR="00F123DD">
        <w:rPr>
          <w:rFonts w:ascii="Times New Roman" w:hAnsi="Times New Roman" w:cs="Times New Roman"/>
          <w:noProof/>
          <w:sz w:val="24"/>
          <w:szCs w:val="24"/>
        </w:rPr>
        <w:t>(Massie and Ali</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is particularly disappointing because WBAs are meant to be designed for the benefit trainees by fostering development, yet half of trainees in this study judged them to be unacceptable assessments.  It is not clear why trainees in particular appear to have a negative opinion of the usefulness or acceptability of WBAs. </w:t>
      </w:r>
      <w:r w:rsidR="009D54A5">
        <w:rPr>
          <w:rFonts w:ascii="Times New Roman" w:hAnsi="Times New Roman" w:cs="Times New Roman"/>
          <w:sz w:val="24"/>
          <w:szCs w:val="24"/>
        </w:rPr>
        <w:t>Indeed, i</w:t>
      </w:r>
      <w:r w:rsidRPr="006F3B00">
        <w:rPr>
          <w:rFonts w:ascii="Times New Roman" w:hAnsi="Times New Roman" w:cs="Times New Roman"/>
          <w:sz w:val="24"/>
          <w:szCs w:val="24"/>
        </w:rPr>
        <w:t xml:space="preserve">t cannot be </w:t>
      </w:r>
      <w:r w:rsidRPr="006F3B00">
        <w:rPr>
          <w:rFonts w:ascii="Times New Roman" w:hAnsi="Times New Roman" w:cs="Times New Roman"/>
          <w:sz w:val="24"/>
          <w:szCs w:val="24"/>
        </w:rPr>
        <w:lastRenderedPageBreak/>
        <w:t>explained by the results of questions which looked at the purpose of the WBAs since the majority of trainees and a similar proportion of assessors (roughly two thirds) did not think WBAs identify diagnostic competence (Q4), identify trainees in difficulty (Q5) or accurately reflect trainee progress (Q6). One possibility may be that trainees think WBAs are part of the curriculum for regulatory rather than educational reasons, something that also been expressed by surgical trainees</w:t>
      </w:r>
      <w:r w:rsidR="006F7276">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{"citationItems":[{"id":"ITEM-1","itemData":{"DOI":"10.1308/003588414X13814021678754","ISSN":"1478-7083","PMID":"24780812","abstract":"The London Postgraduate School of Surgery has increased its minimum requirement for workplace-based assessments (WBAs) from 40 to 80 per annum. Specialty trainees were alerted to this increase by email in March 2012. This has been the requirement for core trainees since October 2011. In response to this increase for specialty trainees, an online survey was carried out to ascertain trainee and trainer opinion.","author":[{"dropping-particle":"","family":"Powell","given":"HRF","non-dropping-particle":"","parse-names":false,"suffix":""},{"dropping-particle":"","family":"DiMarco","given":"AN","non-dropping-particle":"","parse-names":false,"suffix":""},{"dropping-particle":"","family":"Saeed","given":"SR","non-dropping-particle":"","parse-names":false,"suffix":""}],"container-title":"Bulletin of The Royal College of Surgeons of England","id":"ITEM-1","issue":"5","issued":{"date-parts":[["2014"]]},"page":"160-162","title":"Trainee and trainer opinion on increasing numbers of workplace-based assessments","type":"article-journal","volume":"96"},"uris":["http://www.mendeley.com/documents/?uuid=f7080e32-3939-47b8-805a-7b22571eb85d"]}],"mendeley":{"formattedCitation":"(Powell, DiMarco and Saeed, 2014)","plainTextFormattedCitation":"(Powell, DiMarco and Saeed, 2014)","previouslyFormattedCitation":"(Powell, DiMarco, and Saeed 2014)"},"properties":{"noteIndex":0},"schema":"https://github.com/citation-style-language/schema/raw/master/csl-citation.json"}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(Powell, DiMarco and Saeed, 2014)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In Q7 trainees and assessors were asked why they thought WBAs were part of the curriculum. Almost </w:t>
      </w:r>
      <w:r w:rsidR="00AF0335">
        <w:rPr>
          <w:rFonts w:ascii="Times New Roman" w:hAnsi="Times New Roman" w:cs="Times New Roman"/>
          <w:sz w:val="24"/>
          <w:szCs w:val="24"/>
        </w:rPr>
        <w:t>75% of trainees compared with 56</w:t>
      </w:r>
      <w:r w:rsidRPr="006F3B00">
        <w:rPr>
          <w:rFonts w:ascii="Times New Roman" w:hAnsi="Times New Roman" w:cs="Times New Roman"/>
          <w:sz w:val="24"/>
          <w:szCs w:val="24"/>
        </w:rPr>
        <w:t xml:space="preserve">% of assessors thought they were to provide evidence for the ARCP or the RCPath and only 23% of trainees and </w:t>
      </w:r>
      <w:r w:rsidR="00AF0335">
        <w:rPr>
          <w:rFonts w:ascii="Times New Roman" w:hAnsi="Times New Roman" w:cs="Times New Roman"/>
          <w:sz w:val="24"/>
          <w:szCs w:val="24"/>
        </w:rPr>
        <w:t>39</w:t>
      </w:r>
      <w:r w:rsidRPr="006F3B00">
        <w:rPr>
          <w:rFonts w:ascii="Times New Roman" w:hAnsi="Times New Roman" w:cs="Times New Roman"/>
          <w:sz w:val="24"/>
          <w:szCs w:val="24"/>
        </w:rPr>
        <w:t>% of assessors thought they were to help monitor trainee progress or provide structured feedback to trainees. These responses may explain why a large number of trainees do not find WBAs useful-as there is little perceived educational benefit. However</w:t>
      </w:r>
      <w:r w:rsidR="002B63D7">
        <w:rPr>
          <w:rFonts w:ascii="Times New Roman" w:hAnsi="Times New Roman" w:cs="Times New Roman"/>
          <w:sz w:val="24"/>
          <w:szCs w:val="24"/>
        </w:rPr>
        <w:t>,</w:t>
      </w:r>
      <w:r w:rsidRPr="006F3B00">
        <w:rPr>
          <w:rFonts w:ascii="Times New Roman" w:hAnsi="Times New Roman" w:cs="Times New Roman"/>
          <w:sz w:val="24"/>
          <w:szCs w:val="24"/>
        </w:rPr>
        <w:t xml:space="preserve"> it could be argued that the term “useful” has different meaning to assessors and trainees. For instance, a trainee might interpret “useful” from the perspective of a WBA being able to identify their weaknesses and guide their development. An assessor, however, might interpret this question differently, interpreting “useful” as a means to provide evidence to the ARCP panel (whether that evidence be accurate or otherwise). </w:t>
      </w:r>
    </w:p>
    <w:p w14:paraId="5396FAFC" w14:textId="77777777" w:rsidR="00863DF5" w:rsidRPr="006F3B00" w:rsidRDefault="00863DF5" w:rsidP="00863DF5">
      <w:pPr>
        <w:spacing w:after="0" w:line="480" w:lineRule="auto"/>
        <w:rPr>
          <w:rFonts w:ascii="Times New Roman" w:hAnsi="Times New Roman" w:cs="Times New Roman"/>
          <w:sz w:val="24"/>
          <w:szCs w:val="24"/>
        </w:rPr>
      </w:pPr>
    </w:p>
    <w:p w14:paraId="62277348" w14:textId="6A3E33DB"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Analysis of free-text comments provide further insight into this, but of note, a number of assessors also commented on the perceived regulatory nature of WBAs. Comments included </w:t>
      </w:r>
      <w:r w:rsidRPr="006F3B00">
        <w:rPr>
          <w:rFonts w:ascii="Times New Roman" w:hAnsi="Times New Roman" w:cs="Times New Roman"/>
          <w:i/>
          <w:sz w:val="24"/>
          <w:szCs w:val="24"/>
        </w:rPr>
        <w:t>“These assessments are box ticking, educationalists' nonsense”</w:t>
      </w:r>
      <w:r w:rsidRPr="006F3B00">
        <w:rPr>
          <w:rFonts w:ascii="Times New Roman" w:hAnsi="Times New Roman" w:cs="Times New Roman"/>
          <w:sz w:val="24"/>
          <w:szCs w:val="24"/>
        </w:rPr>
        <w:t xml:space="preserve">; </w:t>
      </w:r>
      <w:r w:rsidRPr="006F3B00">
        <w:rPr>
          <w:rFonts w:ascii="Times New Roman" w:hAnsi="Times New Roman" w:cs="Times New Roman"/>
          <w:i/>
          <w:sz w:val="24"/>
          <w:szCs w:val="24"/>
        </w:rPr>
        <w:t>“just another set of hoops to jump through”</w:t>
      </w:r>
      <w:r w:rsidRPr="006F3B00">
        <w:rPr>
          <w:rFonts w:ascii="Times New Roman" w:hAnsi="Times New Roman" w:cs="Times New Roman"/>
          <w:sz w:val="24"/>
          <w:szCs w:val="24"/>
        </w:rPr>
        <w:t xml:space="preserve"> and an </w:t>
      </w:r>
      <w:r w:rsidRPr="006F3B00">
        <w:rPr>
          <w:rFonts w:ascii="Times New Roman" w:hAnsi="Times New Roman" w:cs="Times New Roman"/>
          <w:i/>
          <w:sz w:val="24"/>
          <w:szCs w:val="24"/>
        </w:rPr>
        <w:t>“obsession with documentation which does nothing to improve training or identify issues”.</w:t>
      </w:r>
      <w:r w:rsidRPr="006F3B00">
        <w:rPr>
          <w:rFonts w:ascii="Times New Roman" w:hAnsi="Times New Roman" w:cs="Times New Roman"/>
          <w:sz w:val="24"/>
          <w:szCs w:val="24"/>
        </w:rPr>
        <w:t xml:space="preserve"> Until assessors and trainees are more accepting of WBAs or any future iteration, then the educational value of these tools will suffer.  One way of improving user acceptability may be to change the assessments so that </w:t>
      </w:r>
      <w:r w:rsidRPr="006F3B00">
        <w:rPr>
          <w:rFonts w:ascii="Times New Roman" w:hAnsi="Times New Roman" w:cs="Times New Roman"/>
          <w:sz w:val="24"/>
          <w:szCs w:val="24"/>
        </w:rPr>
        <w:lastRenderedPageBreak/>
        <w:t>trainees in particular feel that they have something to gain by doing them-whether that be improved feedback or by altering the forms themselves, so the descriptors of performance are more “valid” and better geared towards histopathology. It is important to note that irrespective of the perceived purpose and acceptability of WBAs, junior doctors are reported to be under more stress of late with low morale</w:t>
      </w:r>
      <w:r w:rsidR="006F7276">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{"citationItems":[{"id":"ITEM-1","itemData":{"DOI":"10.1136/bmj.i6493","ISSN":"17561833","abstract":"Patient safety is suffering as a result of poor staff morale and excessive stress, a survey of junior doctors has found.\n\nOn Thursday 1 December the Royal College of Physicians (RCP) published a report, Being a junior doctor. Experiences from the front line of the NHS , based on a survey of 498 junior doctors.1\n\nThe report said that junior doctors were experiencing high levels of stress because of rota gaps, poor access to basic facilities, and a growing workload. “One in four junior doctors say that their role has had a serious …","author":[{"dropping-particle":"","family":"Rimmer","given":"Abi","non-dropping-particle":"","parse-names":false,"suffix":""}],"container-title":"BMJ (Clinical research ed.)","id":"ITEM-1","issued":{"date-parts":[["2016"]]},"page":"i6493","title":"Junior doctors' low morale is putting patients at risk, Royal College of Physicians warns","type":"article","volume":"355"},"uris":["http://www.mendeley.com/documents/?uuid=8d03a6d0-b7c9-4c22-9147-93e49d5353ae"]}],"mendeley":{"formattedCitation":"(Rimmer, 2016)","plainTextFormattedCitation":"(Rimmer, 2016)","previouslyFormattedCitation":"(Rimmer 2016)"},"properties":{"noteIndex":0},"schema":"https://github.com/citation-style-language/schema/raw/master/csl-citation.json"}</w:instrText>
      </w:r>
      <w:r w:rsidRPr="006F3B00">
        <w:rPr>
          <w:rFonts w:ascii="Times New Roman" w:hAnsi="Times New Roman" w:cs="Times New Roman"/>
          <w:sz w:val="24"/>
          <w:szCs w:val="24"/>
        </w:rPr>
        <w:fldChar w:fldCharType="separate"/>
      </w:r>
      <w:r w:rsidR="00F123DD">
        <w:rPr>
          <w:rFonts w:ascii="Times New Roman" w:hAnsi="Times New Roman" w:cs="Times New Roman"/>
          <w:noProof/>
          <w:sz w:val="24"/>
          <w:szCs w:val="24"/>
        </w:rPr>
        <w:t>(Rimmer</w:t>
      </w:r>
      <w:r w:rsidR="00BE3B6C" w:rsidRPr="00BE3B6C">
        <w:rPr>
          <w:rFonts w:ascii="Times New Roman" w:hAnsi="Times New Roman" w:cs="Times New Roman"/>
          <w:noProof/>
          <w:sz w:val="24"/>
          <w:szCs w:val="24"/>
        </w:rPr>
        <w:t xml:space="preserve"> 2016)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This may be having a negative effect on how they currently perceive WBAs.</w:t>
      </w:r>
    </w:p>
    <w:p w14:paraId="1E7E73EA" w14:textId="77777777" w:rsidR="00863DF5" w:rsidRPr="006F3B00" w:rsidRDefault="00863DF5" w:rsidP="00863DF5">
      <w:pPr>
        <w:spacing w:after="0" w:line="480" w:lineRule="auto"/>
        <w:rPr>
          <w:rFonts w:ascii="Times New Roman" w:hAnsi="Times New Roman" w:cs="Times New Roman"/>
          <w:sz w:val="24"/>
          <w:szCs w:val="24"/>
        </w:rPr>
      </w:pPr>
    </w:p>
    <w:p w14:paraId="74319AEA" w14:textId="38CB044E" w:rsidR="00863DF5" w:rsidRPr="001477BD"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Looking at the issue of feedback first, 49% of assessors felt they had been given sufficient training to complete WBAs (Q9) but approximately equal numbers had no opinion or disagreed. Ideally, all assessors should feel they have had enough training so that each trainee is assessed similarly to his peers and the feedback provided to the trainee is useful. Studies exploring why feedback may have limited impact on a trainee and how the trainee processes the feedback is a growing area of interest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{"citationItems":[{"id":"ITEM-1","itemData":{"DOI":"10.1111/j.1365-2923.2011.04137.x","ISBN":"0308-0110","ISSN":"03080110","PMID":"22239334","abstract":"CONTEXT: Performance-based workplace assessments are increasingly important in clinical training. Given the inaccuracy of self-assessment, the provision of external feedback to residents about their clinical skills is necessary for the development of expertise. However, little is known about the processes used by faculty members in giving feedback to residents after observing them with patients. This study explores the factors that underpin faculty members' decisions regarding the feedback they give to residents after directly observing them with patients and the factors that influence how feedback is delivered.\\n\\nMETHODS: In 2009, 44 general internal medicine faculty staff responsible for out-patient resident teaching from 16 internal medicine residency programmes watched four videotaped scenarios and two live scenarios of standardised residents (SRs) with standardised patients and rated the SRs using the mini-clinical evaluation exercise (mini-CEX) format. Faculty staff also provided feedback to the SRs after the live encounters. After each encounter, faculty staff were individually interviewed using a semi-structured interview. Interviews were videotaped, transcribed and analysed using grounded theory methods.\\n\\nRESULTS: Two broad themes were identified in faculty members' descriptions of the feedback process: variability in feedback techniques, and the factors that influence how faculty staff think and feel about delivering feedback. Multiple approaches to feedback delivery were observed. Faculty members' tensions in balancing positive and negative feedback, their own perceived self-efficacy, their perceptions of the resident's insight, receptivity, skill and potential, the faculty member-resident relationship and contextual factors impacted the feedback process.\\n\\nCONCLUSIONS: The provision of feedback by faculty staff to residents after observing resident-patient interactions is a complex and dynamic process and is influenced by many factors. Understanding these cognitive and affective factors may provide insight into potential new approaches to faculty development to improve faculty staff's feedback skills and the effectiveness of their feedback.","author":[{"dropping-particle":"","family":"Kogan","given":"Jennifer R.","non-dropping-particle":"","parse-names":false,"suffix":""},{"dropping-particle":"","family":"Conforti","given":"Lisa N.","non-dropping-particle":"","parse-names":false,"suffix":""},{"dropping-particle":"","family":"Bernabeo","given":"Elizabeth C.","non-dropping-particle":"","parse-names":false,"suffix":""},{"dropping-particle":"","family":"Durning","given":"Steven J.","non-dropping-particle":"","parse-names":false,"suffix":""},{"dropping-particle":"","family":"Hauer","given":"Karen E.","non-dropping-particle":"","parse-names":false,"suffix":""},{"dropping-particle":"","family":"Holmboe","given":"Eric S.","non-dropping-particle":"","parse-names":false,"suffix":""}],"container-title":"Medical Education","id":"ITEM-1","issue":"2","issued":{"date-parts":[["2012"]]},"page":"201-215","title":"Faculty staff perceptions of feedback to residents after direct observation of clinical skills","type":"article-journal","volume":"46"},"uris":["http://www.mendeley.com/documents/?uuid=092f7b1c-1eb7-4f56-870a-135d08de7f2f"]},{"id":"ITEM-2","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Teacher","id":"ITEM-2","issued":{"date-parts":[["2011"]]},"page":"919-927","title":"Trainee doctors’ views on workplace-based assessments: Are they just a tick box exercise?","type":"article-journal","volume":"33"},"uris":["http://www.mendeley.com/documents/?uuid=0cf9d153-6e01-4ac8-856e-d3f58aea7621"]}],"mendeley":{"formattedCitation":"(Bindal, Wall and Goodyear, 2011; Kogan &lt;i&gt;et al.&lt;/i&gt;, 2012)","plainTextFormattedCitation":"(Bindal, Wall and Goodyear, 2011; Kogan et al., 2012)","previouslyFormattedCitation":"(Kogan et al. 2012; Bindal, Wall, and Goodyear 2011)"},"properties":{"noteIndex":0},"schema":"https://github.com/citation-style-language/schema/raw/master/csl-citation.json"}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(Bindal, Wall and Goodye</w:t>
      </w:r>
      <w:r w:rsidR="00F123DD">
        <w:rPr>
          <w:rFonts w:ascii="Times New Roman" w:hAnsi="Times New Roman" w:cs="Times New Roman"/>
          <w:noProof/>
          <w:sz w:val="24"/>
          <w:szCs w:val="24"/>
        </w:rPr>
        <w:t>ar</w:t>
      </w:r>
      <w:r w:rsidR="00BE3B6C" w:rsidRPr="00BE3B6C">
        <w:rPr>
          <w:rFonts w:ascii="Times New Roman" w:hAnsi="Times New Roman" w:cs="Times New Roman"/>
          <w:noProof/>
          <w:sz w:val="24"/>
          <w:szCs w:val="24"/>
        </w:rPr>
        <w:t xml:space="preserve"> 2011; Koga</w:t>
      </w:r>
      <w:r w:rsidR="00BE3B6C" w:rsidRPr="00F123DD">
        <w:rPr>
          <w:rFonts w:ascii="Times New Roman" w:hAnsi="Times New Roman" w:cs="Times New Roman"/>
          <w:noProof/>
          <w:sz w:val="24"/>
          <w:szCs w:val="24"/>
        </w:rPr>
        <w:t>n et al.</w:t>
      </w:r>
      <w:r w:rsidR="00BE3B6C" w:rsidRPr="00BE3B6C">
        <w:rPr>
          <w:rFonts w:ascii="Times New Roman" w:hAnsi="Times New Roman" w:cs="Times New Roman"/>
          <w:noProof/>
          <w:sz w:val="24"/>
          <w:szCs w:val="24"/>
        </w:rPr>
        <w:t xml:space="preserve"> 2012)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Trainers may feel they have insufficient time and expertise to foster development in their trainees while trainees sometimes view WBAs as a chore with little respect for their importance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{"citationItems":[{"id":"ITEM-1","itemData":{"DOI":"10.1111/j.1365-2923.2011.04137.x","ISBN":"0308-0110","ISSN":"03080110","PMID":"22239334","abstract":"CONTEXT: Performance-based workplace assessments are increasingly important in clinical training. Given the inaccuracy of self-assessment, the provision of external feedback to residents about their clinical skills is necessary for the development of expertise. However, little is known about the processes used by faculty members in giving feedback to residents after observing them with patients. This study explores the factors that underpin faculty members' decisions regarding the feedback they give to residents after directly observing them with patients and the factors that influence how feedback is delivered.\\n\\nMETHODS: In 2009, 44 general internal medicine faculty staff responsible for out-patient resident teaching from 16 internal medicine residency programmes watched four videotaped scenarios and two live scenarios of standardised residents (SRs) with standardised patients and rated the SRs using the mini-clinical evaluation exercise (mini-CEX) format. Faculty staff also provided feedback to the SRs after the live encounters. After each encounter, faculty staff were individually interviewed using a semi-structured interview. Interviews were videotaped, transcribed and analysed using grounded theory methods.\\n\\nRESULTS: Two broad themes were identified in faculty members' descriptions of the feedback process: variability in feedback techniques, and the factors that influence how faculty staff think and feel about delivering feedback. Multiple approaches to feedback delivery were observed. Faculty members' tensions in balancing positive and negative feedback, their own perceived self-efficacy, their perceptions of the resident's insight, receptivity, skill and potential, the faculty member-resident relationship and contextual factors impacted the feedback process.\\n\\nCONCLUSIONS: The provision of feedback by faculty staff to residents after observing resident-patient interactions is a complex and dynamic process and is influenced by many factors. Understanding these cognitive and affective factors may provide insight into potential new approaches to faculty development to improve faculty staff's feedback skills and the effectiveness of their feedback.","author":[{"dropping-particle":"","family":"Kogan","given":"Jennifer R.","non-dropping-particle":"","parse-names":false,"suffix":""},{"dropping-particle":"","family":"Conforti","given":"Lisa N.","non-dropping-particle":"","parse-names":false,"suffix":""},{"dropping-particle":"","family":"Bernabeo","given":"Elizabeth C.","non-dropping-particle":"","parse-names":false,"suffix":""},{"dropping-particle":"","family":"Durning","given":"Steven J.","non-dropping-particle":"","parse-names":false,"suffix":""},{"dropping-particle":"","family":"Hauer","given":"Karen E.","non-dropping-particle":"","parse-names":false,"suffix":""},{"dropping-particle":"","family":"Holmboe","given":"Eric S.","non-dropping-particle":"","parse-names":false,"suffix":""}],"container-title":"Medical Education","id":"ITEM-1","issue":"2","issued":{"date-parts":[["2012"]]},"page":"201-215","title":"Faculty staff perceptions of feedback to residents after direct observation of clinical skills","type":"article-journal","volume":"46"},"uris":["http://www.mendeley.com/documents/?uuid=092f7b1c-1eb7-4f56-870a-135d08de7f2f"]},{"id":"ITEM-2","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Teacher","id":"ITEM-2","issued":{"date-parts":[["2011"]]},"page":"919-927","title":"Trainee doctors’ views on workplace-based assessments: Are they just a tick box exercise?","type":"article-journal","volume":"33"},"uris":["http://www.mendeley.com/documents/?uuid=0cf9d153-6e01-4ac8-856e-d3f58aea7621"]}],"mendeley":{"formattedCitation":"(Bindal, Wall and Goodyear, 2011; Kogan &lt;i&gt;et al.&lt;/i&gt;, 2012)","plainTextFormattedCitation":"(Bindal, Wall and Goodyear, 2011; Kogan et al., 2012)","previouslyFormattedCitation":"(Kogan et al. 2012; Bindal, Wall, and Goodyear 2011)"},"properties":{"noteIndex":0},"schema":"https://github.com/citation-style-language/schema/raw/master/csl-citation.json"}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(Bindal, Wall and Goodyear</w:t>
      </w:r>
      <w:r w:rsidR="00BE3B6C" w:rsidRPr="00BE3B6C">
        <w:rPr>
          <w:rFonts w:ascii="Times New Roman" w:hAnsi="Times New Roman" w:cs="Times New Roman"/>
          <w:noProof/>
          <w:sz w:val="24"/>
          <w:szCs w:val="24"/>
        </w:rPr>
        <w:t xml:space="preserve"> 2011; Kogan </w:t>
      </w:r>
      <w:r w:rsidR="00BE3B6C" w:rsidRPr="001477BD">
        <w:rPr>
          <w:rFonts w:ascii="Times New Roman" w:hAnsi="Times New Roman" w:cs="Times New Roman"/>
          <w:noProof/>
          <w:sz w:val="24"/>
          <w:szCs w:val="24"/>
        </w:rPr>
        <w:t>et al.</w:t>
      </w:r>
      <w:r w:rsidR="00BE3B6C" w:rsidRPr="00BE3B6C">
        <w:rPr>
          <w:rFonts w:ascii="Times New Roman" w:hAnsi="Times New Roman" w:cs="Times New Roman"/>
          <w:noProof/>
          <w:sz w:val="24"/>
          <w:szCs w:val="24"/>
        </w:rPr>
        <w:t xml:space="preserve"> 2012)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Appropriate guidance and training is also important to ensure WBAs are utilised how they were intended and so deliver the outcomes they are meant to </w:t>
      </w:r>
      <w:r w:rsidRPr="001477BD">
        <w:rPr>
          <w:rFonts w:ascii="Times New Roman" w:hAnsi="Times New Roman" w:cs="Times New Roman"/>
          <w:sz w:val="24"/>
          <w:szCs w:val="24"/>
        </w:rPr>
        <w:t>assess</w:t>
      </w:r>
      <w:r w:rsidR="00A40270" w:rsidRPr="001477BD">
        <w:rPr>
          <w:rFonts w:ascii="Times New Roman" w:hAnsi="Times New Roman" w:cs="Times New Roman"/>
          <w:sz w:val="24"/>
          <w:szCs w:val="24"/>
        </w:rPr>
        <w:t xml:space="preserve"> </w:t>
      </w:r>
      <w:r w:rsidRPr="001477BD">
        <w:rPr>
          <w:rFonts w:ascii="Times New Roman" w:hAnsi="Times New Roman" w:cs="Times New Roman"/>
          <w:sz w:val="24"/>
          <w:szCs w:val="24"/>
        </w:rPr>
        <w:fldChar w:fldCharType="begin" w:fldLock="1"/>
      </w:r>
      <w:r w:rsidR="00BE3B6C" w:rsidRPr="001477BD">
        <w:rPr>
          <w:rFonts w:ascii="Times New Roman" w:hAnsi="Times New Roman" w:cs="Times New Roman"/>
          <w:sz w:val="24"/>
          <w:szCs w:val="24"/>
        </w:rPr>
        <w:instrText>ADDIN CSL_CITATION {"citationItems":[{"id":"ITEM-1","itemData":{"DOI":"10.1038/sj.bdj.2013.302","ISBN":"1476-5373 (Electronic)\\n0007-0610 (Linking)","ISSN":"1476-5373","PMID":"23518981","abstract":"A questionnaire study was undertaken with trainers and trainees from 12 deaneries in England and Northern Ireland in June 2010 to evaluate workplace-based assessments (WPBAs) in foundation training. From the sample consisting of 741 trainers and 643 foundation trainees, experience of WPBAs was positive overall, playing an important role in trainees' learning during foundation training and building confidence. However, there is a need for comprehensive training in the WPBA tools used to ensure their efficacy.","author":[{"dropping-particle":"","family":"Kirton","given":"J. a","non-dropping-particle":"","parse-names":false,"suffix":""},{"dropping-particle":"","family":"Palmer","given":"N. O. a","non-dropping-particle":"","parse-names":false,"suffix":""},{"dropping-particle":"","family":"Grieveson","given":"B.","non-dropping-particle":"","parse-names":false,"suffix":""},{"dropping-particle":"","family":"Balmer","given":"M. C","non-dropping-particle":"","parse-names":false,"suffix":""}],"container-title":"British Dental Journal","id":"ITEM-1","issue":"6","issued":{"date-parts":[["2013"]]},"page":"305-309","title":"A national evaluation of workplace-based assessment tools (WPBAs) in foundation dental training: a UK study. Effective and useful but do they provide an equitable training experience?","type":"article-journal","volume":"214"},"uris":["http://www.mendeley.com/documents/?uuid=a84297a9-5970-47f6-9d0d-a802ff983e3c"]},{"id":"ITEM-2","itemData":{"ISBN":"1470-2118","ISSN":"1470-2118","PMID":"16956144","abstract":"A study was conducted between August 2004 and August 2005 to explore the experiences of Foundation year 2 (F2) trainees who used the learning portfolio on the Mersey Deanery pilot scheme. Seventy-three trainees (77%) reported receiving their portfolio during their induction. In their first four-month placement, 90 trainees (96%) completed the two case-based discussions, 80 (87%) the three mini clinical examinations and 92 (97%) the two direct observation of practical procedures. The number of trainees who felt there was an opportunity to make a record of and analyse clinical critical incidents and critical incidents related to professional behaviour was only 32 (35%) and 13 (15%) respectively. Free text responses suggested that trainees appreciate the portfolio but that an understanding of its content and purpose, particularly by educational supervisors, is paramount to its success.","author":[{"dropping-particle":"","family":"Ryland","given":"I","non-dropping-particle":"","parse-names":false,"suffix":""},{"dropping-particle":"","family":"Brown","given":"J","non-dropping-particle":"","parse-names":false,"suffix":""},{"dropping-particle":"","family":"O'Brien","given":"M","non-dropping-particle":"","parse-names":false,"suffix":""},{"dropping-particle":"","family":"Graham","given":"D","non-dropping-particle":"","parse-names":false,"suffix":""},{"dropping-particle":"","family":"Gillies","given":"R","non-dropping-particle":"","parse-names":false,"suffix":""},{"dropping-particle":"","family":"Chapman","given":"T","non-dropping-particle":"","parse-names":false,"suffix":""},{"dropping-particle":"","family":"Shaw","given":"N","non-dropping-particle":"","parse-names":false,"suffix":""}],"container-title":"Clinical medicine (London, England)","id":"ITEM-2","issue":"4","issued":{"date-parts":[["2006"]]},"page":"378-80","title":"The portfolio: how was it for you? Views of F2 doctors from the Mersey Deanery Foundation Pilot.","type":"article-journal","volume":"6"},"uris":["http://www.mendeley.com/documents/?uuid=a8a13295-633c-4933-9cc5-1188db007bab"]}],"mendeley":{"formattedCitation":"(Ryland &lt;i&gt;et al.&lt;/i&gt;, 2006; Kirton &lt;i&gt;et al.&lt;/i&gt;, 2013)","plainTextFormattedCitation":"(Ryland et al., 2006; Kirton et al., 2013)","previouslyFormattedCitation":"(Kirton et al. 2013; Ryland et al. 2006)"},"properties":{"noteIndex":0},"schema":"https://github.com/citation-style-language/schema/raw/master/csl-citation.json"}</w:instrText>
      </w:r>
      <w:r w:rsidRPr="001477BD">
        <w:rPr>
          <w:rFonts w:ascii="Times New Roman" w:hAnsi="Times New Roman" w:cs="Times New Roman"/>
          <w:sz w:val="24"/>
          <w:szCs w:val="24"/>
        </w:rPr>
        <w:fldChar w:fldCharType="separate"/>
      </w:r>
      <w:r w:rsidR="00BE3B6C" w:rsidRPr="001477BD">
        <w:rPr>
          <w:rFonts w:ascii="Times New Roman" w:hAnsi="Times New Roman" w:cs="Times New Roman"/>
          <w:noProof/>
          <w:sz w:val="24"/>
          <w:szCs w:val="24"/>
        </w:rPr>
        <w:t>(Ryland et al. 2006; Kirton et al. 2013)</w:t>
      </w:r>
      <w:r w:rsidRPr="001477BD">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confusion in utilisation is illustrated by trainees commenting that some assessors </w:t>
      </w:r>
      <w:r w:rsidRPr="006F3B00">
        <w:rPr>
          <w:rFonts w:ascii="Times New Roman" w:hAnsi="Times New Roman" w:cs="Times New Roman"/>
          <w:i/>
          <w:sz w:val="24"/>
          <w:szCs w:val="24"/>
        </w:rPr>
        <w:t>“signed it (WBA) off with no useful feedback at all”</w:t>
      </w:r>
      <w:r w:rsidRPr="006F3B00">
        <w:rPr>
          <w:rFonts w:ascii="Times New Roman" w:hAnsi="Times New Roman" w:cs="Times New Roman"/>
          <w:sz w:val="24"/>
          <w:szCs w:val="24"/>
        </w:rPr>
        <w:t xml:space="preserve"> while an assessor acknowledged that </w:t>
      </w:r>
      <w:r w:rsidRPr="006F3B00">
        <w:rPr>
          <w:rFonts w:ascii="Times New Roman" w:hAnsi="Times New Roman" w:cs="Times New Roman"/>
          <w:i/>
          <w:sz w:val="24"/>
          <w:szCs w:val="24"/>
        </w:rPr>
        <w:t xml:space="preserve">“on occasions trainees don't get structured, constructive feedback other than when doing WBAs, and even worse to see WBAs completed with no feedback from the trainer”. </w:t>
      </w:r>
      <w:r w:rsidRPr="006F3B00">
        <w:rPr>
          <w:rFonts w:ascii="Times New Roman" w:hAnsi="Times New Roman" w:cs="Times New Roman"/>
          <w:sz w:val="24"/>
          <w:szCs w:val="24"/>
        </w:rPr>
        <w:t xml:space="preserve">This threatens not only the educational value of these assessments but also their reliability and validity. For example, the RCPath guidelines on WBAs show that their purpose is both summative and formative </w:t>
      </w:r>
      <w:r w:rsidRPr="006F3B00">
        <w:rPr>
          <w:rFonts w:ascii="Times New Roman" w:hAnsi="Times New Roman" w:cs="Times New Roman"/>
          <w:sz w:val="24"/>
          <w:szCs w:val="24"/>
        </w:rPr>
        <w:lastRenderedPageBreak/>
        <w:t xml:space="preserve">which is reflected in the scales on the forms to rate trainee performance (summative) and also a free-text box at the bottom of the form intended for feedback (formative). This dual purpose may give rise to confusion when completing forms and help to explain a trainee comment that they </w:t>
      </w:r>
      <w:r w:rsidRPr="006F3B00">
        <w:rPr>
          <w:rFonts w:ascii="Times New Roman" w:hAnsi="Times New Roman" w:cs="Times New Roman"/>
          <w:i/>
          <w:sz w:val="24"/>
          <w:szCs w:val="24"/>
        </w:rPr>
        <w:t>“…think assessors are not consistent when completing WBAs and seem to have different understandings of how to complete them”.</w:t>
      </w:r>
      <w:r w:rsidRPr="006F3B00">
        <w:rPr>
          <w:rFonts w:ascii="Times New Roman" w:hAnsi="Times New Roman" w:cs="Times New Roman"/>
          <w:sz w:val="24"/>
          <w:szCs w:val="24"/>
        </w:rPr>
        <w:t xml:space="preserve"> Related to this, it has been shown that staff can be reluctant to document unprofessional behaviour for </w:t>
      </w:r>
      <w:r w:rsidRPr="001477BD">
        <w:rPr>
          <w:rFonts w:ascii="Times New Roman" w:hAnsi="Times New Roman" w:cs="Times New Roman"/>
          <w:sz w:val="24"/>
          <w:szCs w:val="24"/>
        </w:rPr>
        <w:t xml:space="preserve">various reasons, which can stem from internal conflict between their mentor and assessor roles </w:t>
      </w:r>
      <w:r w:rsidRPr="001477BD">
        <w:rPr>
          <w:rFonts w:ascii="Times New Roman" w:hAnsi="Times New Roman" w:cs="Times New Roman"/>
          <w:sz w:val="24"/>
          <w:szCs w:val="24"/>
        </w:rPr>
        <w:fldChar w:fldCharType="begin" w:fldLock="1"/>
      </w:r>
      <w:r w:rsidR="00BE3B6C" w:rsidRPr="001477BD">
        <w:rPr>
          <w:rFonts w:ascii="Times New Roman" w:hAnsi="Times New Roman" w:cs="Times New Roman"/>
          <w:sz w:val="24"/>
          <w:szCs w:val="24"/>
        </w:rPr>
        <w:instrText>ADDIN CSL_CITATION {"citationItems":[{"id":"ITEM-1","itemData":{"DOI":"10.1080/01421590500069983","ISBN":"0142159050","ISSN":"0142-159X","PMID":"16147796","abstract":"The purpose of this study is (1) to evaluate whether an educational program for preclinical students has an effect on the knowledge of professional behaviour for clerks and (2) to study how preclinical students compare with advanced clinical students concerning this knowledge. The authors used an observer-rated test consisting of vignettes describing a dilemma concerning professional behaviour. Students' description of proposed behaviour was scored in one of three categories: unacceptable, acceptable or excellent. Preclinical students were compared with clinical students and the effect of an educational session on student scores on this test was assessed. The educational programme had a positive effect on student scores. However, the knowledge of professional behaviour did not generalize to situations that had not been the explicit topic of the session. A difference was found between preclinical and clinical students in two of the four vignettes: in one vignette clinical students had better scores, in another vignette they had worse scores. It is concluded that the educational programme had a positive effect on student knowledge of professional behaviour but there was no generalization. For more generic rules to sink in, probably many cases need to be discussed, with explicit attention paid to the rationales of these rules. Students who were advanced in their clerkships held different views on professional behaviour compared with preclinical students, possibly due to a socialization process.","author":[{"dropping-particle":"","family":"Boenink","given":"Annette D","non-dropping-particle":"","parse-names":false,"suffix":""},{"dropping-particle":"","family":"Jonge","given":"Peter","non-dropping-particle":"de","parse-names":false,"suffix":""},{"dropping-particle":"","family":"Smal","given":"Ko","non-dropping-particle":"","parse-names":false,"suffix":""},{"dropping-particle":"","family":"Oderwald","given":"Arko","non-dropping-particle":"","parse-names":false,"suffix":""},{"dropping-particle":"","family":"Tilburg","given":"Willem","non-dropping-particle":"van","parse-names":false,"suffix":""}],"container-title":"Medical teacher","id":"ITEM-1","issue":"5","issued":{"date-parts":[["2005"]]},"page":"429-432","title":"The effects of teaching medical professionalism by means of vignettes: an exploratory study.","type":"article-journal","volume":"27"},"uris":["http://www.mendeley.com/documents/?uuid=2d88b545-5693-43b5-9f14-433210e7608b"]},{"id":"ITEM-2","itemData":{"DOI":"10.1111/j.1365-2923.2007.02849.x","ISBN":"0308-0110 (Print)\\r0308-0110 (Linking)","ISSN":"03080110","PMID":"17727525","abstract":"CONTEXT: We addressed the assessment of professional behaviour in tutorial groups by investigating students' perceptions of the frequency and impact of critical incidents that impede this assessment and 5 factors underlying these critical incidents. METHODS: A questionnaire asking students to rate the frequency and impact of 40 critical incidents relating to effective assessment of professional behaviour on a 5-point Likert scale was developed and sent to all undergraduate medical students in Years 2-4 of a 6-year undergraduate curriculum. RESULTS: The response rate was 70% (n = 393). Important factors underlying critical incidents are: lack of effective interaction; lack of thoroughness; tutors' failure to confront students with unprofessional behaviour; lack of effort to find solutions, and lack of student motivation. Confirmatory factor analysis showed a good model fit. Because the relationship between frequency of occurrence and degree of impediment varies, the best information about the true impact of critical incidents and the underlying factors is provided by the product of frequency and degree of impediment. Frequency of occurrence remains stable and degree of impediment increases in Years 2-4. CONCLUSIONS: The results of this study can be used to design and improve faculty development programmes aimed at improving assessment of professional behaviour. Training programmes should motivate tutors by providing background information as to why and how sound assessment of professional behaviour is to be performed and encourage tutors to confront students with and discuss all aspects of professional behaviour, as well as provide appropriate feedback.","author":[{"dropping-particle":"","family":"Mook","given":"Walther N K A","non-dropping-particle":"Van","parse-names":false,"suffix":""},{"dropping-particle":"","family":"Grave","given":"Willem S.","non-dropping-particle":"De","parse-names":false,"suffix":""},{"dropping-particle":"","family":"Huijssen-Huisman","given":"Elise","non-dropping-particle":"","parse-names":false,"suffix":""},{"dropping-particle":"","family":"Witt-Luth","given":"Marianne","non-dropping-particle":"De","parse-names":false,"suffix":""},{"dropping-particle":"","family":"Dolmans","given":"Diana H J M","non-dropping-particle":"","parse-names":false,"suffix":""},{"dropping-particle":"","family":"Muijtjens","given":"Arno M M","non-dropping-particle":"","parse-names":false,"suffix":""},{"dropping-particle":"","family":"Schuwirth","given":"Lambert W.","non-dropping-particle":"","parse-names":false,"suffix":""},{"dropping-particle":"","family":"Vleuten","given":"Cees P M","non-dropping-particle":"Van Der","parse-names":false,"suffix":""}],"container-title":"Medical Education","id":"ITEM-2","issue":"9","issued":{"date-parts":[["2007"]]},"page":"849-856","title":"Factors inhibiting assessment of students' professional behaviour in the tutorial group during problem-based learning","type":"article-journal","volume":"41"},"uris":["http://www.mendeley.com/documents/?uuid=d2434e12-8953-4775-933b-5dd578ed9742"]}],"mendeley":{"formattedCitation":"(Boenink &lt;i&gt;et al.&lt;/i&gt;, 2005; Van Mook &lt;i&gt;et al.&lt;/i&gt;, 2007)","plainTextFormattedCitation":"(Boenink et al., 2005; Van Mook et al., 2007)","previouslyFormattedCitation":"(Boenink et al. 2005; Van Mook et al. 2007)"},"properties":{"noteIndex":0},"schema":"https://github.com/citation-style-language/schema/raw/master/csl-citation.json"}</w:instrText>
      </w:r>
      <w:r w:rsidRPr="001477BD">
        <w:rPr>
          <w:rFonts w:ascii="Times New Roman" w:hAnsi="Times New Roman" w:cs="Times New Roman"/>
          <w:sz w:val="24"/>
          <w:szCs w:val="24"/>
        </w:rPr>
        <w:fldChar w:fldCharType="separate"/>
      </w:r>
      <w:r w:rsidR="00BE3B6C" w:rsidRPr="001477BD">
        <w:rPr>
          <w:rFonts w:ascii="Times New Roman" w:hAnsi="Times New Roman" w:cs="Times New Roman"/>
          <w:noProof/>
          <w:sz w:val="24"/>
          <w:szCs w:val="24"/>
        </w:rPr>
        <w:t>(Boenink et al. 2005; Van Mook et al. 2007)</w:t>
      </w:r>
      <w:r w:rsidRPr="001477BD">
        <w:rPr>
          <w:rFonts w:ascii="Times New Roman" w:hAnsi="Times New Roman" w:cs="Times New Roman"/>
          <w:sz w:val="24"/>
          <w:szCs w:val="24"/>
        </w:rPr>
        <w:fldChar w:fldCharType="end"/>
      </w:r>
      <w:r w:rsidRPr="001477BD">
        <w:rPr>
          <w:rFonts w:ascii="Times New Roman" w:hAnsi="Times New Roman" w:cs="Times New Roman"/>
          <w:sz w:val="24"/>
          <w:szCs w:val="24"/>
        </w:rPr>
        <w:t xml:space="preserve">. </w:t>
      </w:r>
      <w:r w:rsidRPr="001477BD">
        <w:rPr>
          <w:rFonts w:ascii="Times New Roman" w:eastAsia="Times New Roman" w:hAnsi="Times New Roman" w:cs="Times New Roman"/>
          <w:sz w:val="24"/>
          <w:szCs w:val="24"/>
          <w:lang w:eastAsia="en-GB"/>
        </w:rPr>
        <w:t xml:space="preserve">Subjective feedback such as this will clearly affect the assessment’s validity. </w:t>
      </w:r>
    </w:p>
    <w:p w14:paraId="2E110B14" w14:textId="77777777" w:rsidR="00863DF5" w:rsidRPr="006F3B00" w:rsidRDefault="00863DF5" w:rsidP="00863DF5">
      <w:pPr>
        <w:spacing w:after="0" w:line="480" w:lineRule="auto"/>
        <w:rPr>
          <w:rFonts w:ascii="Times New Roman" w:hAnsi="Times New Roman" w:cs="Times New Roman"/>
          <w:sz w:val="24"/>
          <w:szCs w:val="24"/>
        </w:rPr>
      </w:pPr>
    </w:p>
    <w:p w14:paraId="1393B58C" w14:textId="4A3A9BA5" w:rsidR="001477BD"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An assessment is only valid so long as the way it is administered and the inferences made from that assessment are appropriate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{"citationItems":[{"id":"ITEM-1","itemData":{"author":[{"dropping-particle":"","family":"Kane","given":"MT","non-dropping-particle":"","parse-names":false,"suffix":""}],"container-title":"Educational Measurement","edition":"4th","editor":[{"dropping-particle":"","family":"Brennan","given":"RL","non-dropping-particle":"","parse-names":false,"suffix":""}],"id":"ITEM-1","issued":{"date-parts":[["2006"]]},"page":"17-64","publisher":"Praeger","publisher-place":"Westport, CT","title":"Validation","type":"chapter"},"uris":["http://www.mendeley.com/documents/?uuid=d7900797-7c4f-4a94-9adb-8d0b4b57d403"]}],"mendeley":{"formattedCitation":"(Kane, 2006)","plainTextFormattedCitation":"(Kane, 2006)","previouslyFormattedCitation":"(Kane 2006)"},"properties":{"noteIndex":0},"schema":"https://github.com/citation-style-language/schema/raw/master/csl-citation.json"}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(Kane</w:t>
      </w:r>
      <w:r w:rsidR="00BE3B6C" w:rsidRPr="00BE3B6C">
        <w:rPr>
          <w:rFonts w:ascii="Times New Roman" w:hAnsi="Times New Roman" w:cs="Times New Roman"/>
          <w:noProof/>
          <w:sz w:val="24"/>
          <w:szCs w:val="24"/>
        </w:rPr>
        <w:t xml:space="preserve"> 2006)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 recent review found a widespread negativity towards WBAs as learning aids with one of the main issues that needed to be resolved being a perceived lack of purpose for WBAs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{"citationItems":[{"id":"ITEM-1","itemData":{"DOI":"10.1007/s10459-015-9614-0","ISSN":"1382-4996","PMID":"26003590","abstract":"Workplace based assessments (WBAs) are now commonplace in postgraduate medical training. User acceptability and engagement is essential to the success of any medical education innovation. To this end, possessing an insight into trainee and trainer perceptions towards WBAs will help identify the major problems, permitting strategies to be introduced to improve WBA implementation. A review of literature was performed to identify studies examining trainee and trainer perceptions towards WBAs. Studies were excluded if non-English or sampling a non-medical/dental population. The identified literature was synthesised for the purpose of this critical narrative review. It is clear that there is widespread negativity towards WBAs in the workplace. This has negatively impacted on the effectiveness of WBA tools as learning aids. This negativity exists in trainees but also to an extent in their trainers. Insight gained from the literature reveals three dominant problems with WBA implementation: poor understanding as to the purpose of WBAs; insufficient time available for undertaking these assessments; and inadequate training of trainers. Approaches to addressing these three problems with WBA implementation are discussed. It is likely that a variety of solutions will be required. The prevalence of negativity towards WBAs is substantial in both trainees and trainers, eroding the effectiveness of learning that is consequent upon them. The educational community must now listen to the concerns being raised by the users and consider the range of strategies being proposed to improve the experiences of trainees, and their trainers.","author":[{"dropping-particle":"","family":"Massie","given":"Jonathan","non-dropping-particle":"","parse-names":false,"suffix":""},{"dropping-particle":"","family":"Ali","given":"Jason M.","non-dropping-particle":"","parse-names":false,"suffix":""}],"container-title":"Advances in Health Sciences Education","id":"ITEM-1","issued":{"date-parts":[["2015"]]},"page":"EarlyOnline","title":"Workplace-based assessment: a review of user perceptions and strategies to address the identified shortcomings","type":"article-journal"},"uris":["http://www.mendeley.com/documents/?uuid=cbc01e63-6cf3-4edd-90ef-228459242c69"]}],"mendeley":{"formattedCitation":"(Massie and Ali, 2015)","plainTextFormattedCitation":"(Massie and Ali, 2015)","previouslyFormattedCitation":"(Massie and Ali 2015)"},"properties":{"noteIndex":0},"schema":"https://github.com/citation-style-language/schema/raw/master/csl-citation.json"}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(Massie and Ali</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 point which </w:t>
      </w:r>
      <w:r w:rsidR="002B63D7">
        <w:rPr>
          <w:rFonts w:ascii="Times New Roman" w:hAnsi="Times New Roman" w:cs="Times New Roman"/>
          <w:sz w:val="24"/>
          <w:szCs w:val="24"/>
        </w:rPr>
        <w:t>was</w:t>
      </w:r>
      <w:r w:rsidRPr="006F3B00">
        <w:rPr>
          <w:rFonts w:ascii="Times New Roman" w:hAnsi="Times New Roman" w:cs="Times New Roman"/>
          <w:sz w:val="24"/>
          <w:szCs w:val="24"/>
        </w:rPr>
        <w:t xml:space="preserve"> also highlighted in our results.  If WBAs in histopathology are intended to be formative, then one might argue that there is no reason to have a certain number completed and available at an ARCP. This is supported by a respondent comment that </w:t>
      </w:r>
      <w:r w:rsidRPr="006F3B00">
        <w:rPr>
          <w:rFonts w:ascii="Times New Roman" w:hAnsi="Times New Roman" w:cs="Times New Roman"/>
          <w:i/>
          <w:sz w:val="24"/>
          <w:szCs w:val="24"/>
        </w:rPr>
        <w:t xml:space="preserve">“it's more important to do fewer but more worthwhile assessments”. </w:t>
      </w:r>
      <w:r w:rsidRPr="006F3B00">
        <w:rPr>
          <w:rFonts w:ascii="Times New Roman" w:hAnsi="Times New Roman" w:cs="Times New Roman"/>
          <w:sz w:val="24"/>
          <w:szCs w:val="24"/>
        </w:rPr>
        <w:t xml:space="preserve">One systematic </w:t>
      </w:r>
      <w:r w:rsidR="001477BD">
        <w:rPr>
          <w:rFonts w:ascii="Times New Roman" w:hAnsi="Times New Roman" w:cs="Times New Roman"/>
          <w:sz w:val="24"/>
          <w:szCs w:val="24"/>
        </w:rPr>
        <w:t>review also questioned the impact these assessments have on performance:</w:t>
      </w:r>
    </w:p>
    <w:p w14:paraId="4B5597BC" w14:textId="77777777" w:rsidR="001477BD" w:rsidRDefault="001477BD" w:rsidP="00863DF5">
      <w:pPr>
        <w:spacing w:after="0" w:line="480" w:lineRule="auto"/>
        <w:rPr>
          <w:rFonts w:ascii="Times New Roman" w:hAnsi="Times New Roman" w:cs="Times New Roman"/>
          <w:sz w:val="24"/>
          <w:szCs w:val="24"/>
        </w:rPr>
      </w:pPr>
    </w:p>
    <w:p w14:paraId="5EE2D2B5" w14:textId="36A5155B" w:rsidR="00863DF5" w:rsidRPr="006F3B00" w:rsidRDefault="001477BD" w:rsidP="001477BD">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C</w:t>
      </w:r>
      <w:r w:rsidR="00863DF5" w:rsidRPr="006F3B00">
        <w:rPr>
          <w:rFonts w:ascii="Times New Roman" w:hAnsi="Times New Roman" w:cs="Times New Roman"/>
          <w:sz w:val="24"/>
          <w:szCs w:val="24"/>
        </w:rPr>
        <w:t>onsidering the emphasis placed on workplace-based assessment as a method of formative assessment, there are few published articles exploring its impact on doc</w:t>
      </w:r>
      <w:r>
        <w:rPr>
          <w:rFonts w:ascii="Times New Roman" w:hAnsi="Times New Roman" w:cs="Times New Roman"/>
          <w:sz w:val="24"/>
          <w:szCs w:val="24"/>
        </w:rPr>
        <w:t xml:space="preserve">tors’ education and performance </w:t>
      </w:r>
      <w:r w:rsidR="00863DF5"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{"citationItems":[{"id":"ITEM-1","itemData":{"DOI":"10.1136/bmj.c5064","ISBN":"1468-5833 (Electronic)\\r0959-535X (Linking)","ISSN":"0959-8138","PMID":"20870696","abstract":"OBJECTIVE: To investigate the literature for evidence that workplace based assessment affects doctors' education and performance. DESIGN: Systematic review. DATA SOURCES: The primary data sources were the databases Journals@Ovid, Medline, Embase, CINAHL, PsycINFO, and ERIC. Evidence based reviews (Bandolier, Cochrane Library, DARE, HTA Database, and NHS EED) were accessed and searched via the Health Information Resources website. Reference lists of relevant studies and bibliographies of review articles were also searched. Review methods Studies of any design that attempted to evaluate either the educational impact of workplace based assessment, or the effect of workplace based assessment on doctors' performance, were included. Studies were excluded if the sampled population was non-medical or the study was performed with medical students. Review articles, commentaries, and letters were also excluded. The final exclusion criterion was the use of simulated patients or models rather than real life clinical encounters. RESULTS: Sixteen studies were included. Fifteen of these were non-comparative descriptive or observational studies; the other was a randomised controlled trial. Study quality was mixed. Eight studies examined multisource feedback with mixed results; most doctors felt that multisource feedback had educational value, although the evidence for practice change was conflicting. Some junior doctors and surgeons displayed little willingness to change in response to multisource feedback, whereas family physicians might be more prepared to initiate change. Performance changes were more likely to occur when feedback was credible and accurate or when coaching was provided to help subjects identify their strengths and weaknesses. Four studies examined the mini-clinical evaluation exercise, one looked at direct observation of procedural skills, and three were concerned with multiple assessment methods: all these studies reported positive results for the educational impact of workplace based assessment tools. However, there was no objective evidence of improved performance with these tools. CONCLUSIONS: Considering the emphasis placed on workplace based assessment as a method of formative performance assessment, there are few published articles exploring its impact on doctors' education and performance. This review shows that multisource feedback can lead to performance improvement, although individual factors, the context of the feedback, and the presence…","author":[{"dropping-particle":"","family":"Miller","given":"Alice","non-dropping-particle":"","parse-names":false,"suffix":""},{"dropping-particle":"","family":"Archer","given":"Julian","non-dropping-particle":"","parse-names":false,"suffix":""}],"container-title":"BMJ (Clinical research ed.)","id":"ITEM-1","issued":{"date-parts":[["2010"]]},"page":"c5064","title":"Impact of workplace based assessment on doctors' education and performance: a systematic review.","type":"article-journal","volume":"341"},"uris":["http://www.mendeley.com/documents/?uuid=5e467429-f82f-4917-86e6-acac1998e2e3"]}],"mendeley":{"formattedCitation":"(Miller and Archer, 2010)","plainTextFormattedCitation":"(Miller and Archer, 2010)","previouslyFormattedCitation":"(A. Miller and Archer 2010)"},"properties":{"noteIndex":0},"schema":"https://github.com/citation-style-language/schema/raw/master/csl-citation.json"}</w:instrText>
      </w:r>
      <w:r w:rsidR="00863DF5" w:rsidRPr="006F3B00">
        <w:rPr>
          <w:rFonts w:ascii="Times New Roman" w:hAnsi="Times New Roman" w:cs="Times New Roman"/>
          <w:sz w:val="24"/>
          <w:szCs w:val="24"/>
        </w:rPr>
        <w:fldChar w:fldCharType="separate"/>
      </w:r>
      <w:r>
        <w:rPr>
          <w:rFonts w:ascii="Times New Roman" w:hAnsi="Times New Roman" w:cs="Times New Roman"/>
          <w:noProof/>
          <w:sz w:val="24"/>
          <w:szCs w:val="24"/>
        </w:rPr>
        <w:t>(Miller and Archer</w:t>
      </w:r>
      <w:r w:rsidR="00BE3B6C" w:rsidRPr="00BE3B6C">
        <w:rPr>
          <w:rFonts w:ascii="Times New Roman" w:hAnsi="Times New Roman" w:cs="Times New Roman"/>
          <w:noProof/>
          <w:sz w:val="24"/>
          <w:szCs w:val="24"/>
        </w:rPr>
        <w:t xml:space="preserve"> 2010</w:t>
      </w:r>
      <w:r>
        <w:rPr>
          <w:rFonts w:ascii="Times New Roman" w:hAnsi="Times New Roman" w:cs="Times New Roman"/>
          <w:noProof/>
          <w:sz w:val="24"/>
          <w:szCs w:val="24"/>
        </w:rPr>
        <w:t>, p. 1</w:t>
      </w:r>
      <w:r w:rsidR="00BE3B6C" w:rsidRPr="00BE3B6C">
        <w:rPr>
          <w:rFonts w:ascii="Times New Roman" w:hAnsi="Times New Roman" w:cs="Times New Roman"/>
          <w:noProof/>
          <w:sz w:val="24"/>
          <w:szCs w:val="24"/>
        </w:rPr>
        <w:t>)</w:t>
      </w:r>
      <w:r w:rsidR="00863DF5" w:rsidRPr="006F3B00">
        <w:rPr>
          <w:rFonts w:ascii="Times New Roman" w:hAnsi="Times New Roman" w:cs="Times New Roman"/>
          <w:sz w:val="24"/>
          <w:szCs w:val="24"/>
        </w:rPr>
        <w:fldChar w:fldCharType="end"/>
      </w:r>
      <w:r w:rsidR="00863DF5" w:rsidRPr="006F3B00">
        <w:rPr>
          <w:rFonts w:ascii="Times New Roman" w:hAnsi="Times New Roman" w:cs="Times New Roman"/>
          <w:sz w:val="24"/>
          <w:szCs w:val="24"/>
        </w:rPr>
        <w:t xml:space="preserve">. </w:t>
      </w:r>
    </w:p>
    <w:p w14:paraId="3EBA5ECB" w14:textId="77777777" w:rsidR="00863DF5" w:rsidRPr="006F3B00" w:rsidRDefault="00863DF5" w:rsidP="00863DF5">
      <w:pPr>
        <w:spacing w:after="0" w:line="480" w:lineRule="auto"/>
        <w:rPr>
          <w:rFonts w:ascii="Times New Roman" w:hAnsi="Times New Roman" w:cs="Times New Roman"/>
          <w:sz w:val="24"/>
          <w:szCs w:val="24"/>
        </w:rPr>
      </w:pPr>
    </w:p>
    <w:p w14:paraId="0ED360F3" w14:textId="3EA3978C" w:rsidR="00863DF5" w:rsidRPr="006F3B00" w:rsidRDefault="00863DF5" w:rsidP="00863DF5">
      <w:pPr>
        <w:spacing w:after="0" w:line="480" w:lineRule="auto"/>
        <w:rPr>
          <w:rFonts w:ascii="Times New Roman" w:hAnsi="Times New Roman" w:cs="Times New Roman"/>
          <w:color w:val="FF0000"/>
          <w:sz w:val="24"/>
          <w:szCs w:val="24"/>
        </w:rPr>
      </w:pPr>
      <w:r w:rsidRPr="006F3B00">
        <w:rPr>
          <w:rFonts w:ascii="Times New Roman" w:hAnsi="Times New Roman" w:cs="Times New Roman"/>
          <w:sz w:val="24"/>
          <w:szCs w:val="24"/>
        </w:rPr>
        <w:lastRenderedPageBreak/>
        <w:t>If WBAs are intended to be summative (which the curriculum also suggests), the results from this survey suggest the outcomes assessed are problematic. For example, if WBAs are not perceived to identify diagnostic competence (Q4), it is not surprising that respondents also felt that they won’t be able to identify struggling trainees or reflect trainee progress (Q5 and Q6) either. That is because competence is linked, in part, to these outcomes too. The literature shows that some trainees feel WBAs are not a true reflection of their capabilities which is echoed in a systematic review concluding that there is a paucity of evidence to show WBAs can identify competence in surgical trainees</w:t>
      </w:r>
      <w:r w:rsidR="00A4027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Teacher","id":"ITEM-1","issued":{"date-parts":[["2011"]]},"page":"919-927","title":"Trainee doctors’ views on workplace-based assessments: Are they just a tick box exercise?","type":"article-journal","volume":"33"},"uris":["http://www.mendeley.com/documents/?uuid=0cf9d153-6e01-4ac8-856e-d3f58aea7621"]},{"id":"ITEM-2","itemData":{"DOI":"10.1007/s00268-014-2875-6","ISBN":"0364-2313","ISSN":"14322323","PMID":"25403889","abstract":"INTRODUCTION: The assessment of higher surgical training has changed in the last decade or two, with a greater emphasis on work-based assessments (WBAs) to prove competency. The aim of this study was to determine the evidence underpinning the use and number of WBAs in surgical training., METHODS: In July 2013, a systematic electronic literature review was undertaken using PubMed (Medline), Embase, Google Scholar and the Cochrane library., RESULTS: A total of 27 studies met the inclusion criteria of which 25 were observational studies and only five assessed WBAs in a surgical setting. Validity and feasibility in surgical training were assessed in two studies, respectively, with the results suggesting that WBAs maybe neither feasible nor valid in surgical training. The number required to achieve reliability in surgical training was demonstrated to be three in two separate studies. The evidence for the reliability, feasibility and validity of WBAs in other non-surgical fields was conflicting., CONCLUSION: There is a paucity of evidence supporting the use of WBAs as a tool to determine competency in surgical training, and as such, they should only have a limited role in training until more evidence is available. There appears to be no justification or evidence underpinning the use of a specific number of WBAs to determine surgical competency.","author":[{"dropping-particle":"","family":"Torsney","given":"K. M.","non-dropping-particle":"","parse-names":false,"suffix":""},{"dropping-particle":"","family":"Cocker","given":"D. M.","non-dropping-particle":"","parse-names":false,"suffix":""},{"dropping-particle":"","family":"Slesser","given":"A. A.P.","non-dropping-particle":"","parse-names":false,"suffix":""}],"container-title":"World Journal of Surgery","id":"ITEM-2","issue":"3","issued":{"date-parts":[["2015"]]},"page":"623-633","title":"The modern surgeon and competency assessment: Are the workplace-based assessments evidence-based?","type":"article-journal","volume":"39"},"uris":["http://www.mendeley.com/documents/?uuid=485f301a-bfc3-48ce-91bf-b7252b07cbac"]}],"mendeley":{"formattedCitation":"(Bindal, Wall and Goodyear, 2011; Torsney, Cocker and Slesser, 2015)","plainTextFormattedCitation":"(Bindal, Wall and Goodyear, 2011; Torsney, Cocker and Slesser, 2015)","previouslyFormattedCitation":"(Bindal, Wall, and Goodyear 2011; Torsney, Cocker, and Slesser 2015)"},"properties":{"noteIndex":0},"schema":"https://github.com/citation-style-language/schema/raw/master/csl-citation.json"}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(Bindal, Wall and Goodyear</w:t>
      </w:r>
      <w:r w:rsidR="00BE3B6C" w:rsidRPr="00BE3B6C">
        <w:rPr>
          <w:rFonts w:ascii="Times New Roman" w:hAnsi="Times New Roman" w:cs="Times New Roman"/>
          <w:noProof/>
          <w:sz w:val="24"/>
          <w:szCs w:val="24"/>
        </w:rPr>
        <w:t xml:space="preserve"> 2011; Torsney, Cocker and</w:t>
      </w:r>
      <w:r w:rsidR="001477BD">
        <w:rPr>
          <w:rFonts w:ascii="Times New Roman" w:hAnsi="Times New Roman" w:cs="Times New Roman"/>
          <w:noProof/>
          <w:sz w:val="24"/>
          <w:szCs w:val="24"/>
        </w:rPr>
        <w:t xml:space="preserve"> Slesser</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Regarding struggling trainees, one study found that 16.6% of struggling trainees were identified using  WBAs while the remainder were merely identified by trainer observations</w:t>
      </w:r>
      <w:r w:rsidR="00A4027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{"citationItems":[{"id":"ITEM-1","itemData":{"abstract":"A  key component of any  organised medical training  programme should be  systems and processes to identify  doctors in difﬁculty, and a clear  understanding of the issues and  resources for interventions to  mitigate later problems. Although  difﬁculties can occur at any stage  of a doctor’s career, they often  appear early: for example, unpro-  fessional behaviour in medical  school predicts disciplinary action  later in a doctor’s career.","author":[{"dropping-particle":"","family":"Black","given":"D","non-dropping-particle":"","parse-names":false,"suffix":""},{"dropping-particle":"","family":"Welch","given":"J","non-dropping-particle":"","parse-names":false,"suffix":""}],"container-title":"The clinical teacher","id":"ITEM-1","issue":"2","issued":{"date-parts":[["2009"]]},"page":"79-82","title":"The under-preforming trainee - concerns and challenges for medical educators","type":"article-journal","volume":"6"},"uris":["http://www.mendeley.com/documents/?uuid=9a22321e-34dd-4981-9252-da3e7fbaf2b6"]}],"mendeley":{"formattedCitation":"(Black and Welch, 2009)","plainTextFormattedCitation":"(Black and Welch, 2009)","previouslyFormattedCitation":"(D Black and Welch 2009)"},"properties":{"noteIndex":0},"schema":"https://github.com/citation-style-language/schema/raw/master/csl-citation.json"}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(Black and Welch</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It might be argued that the number of WBAs undertaken during each year of training is not enough as they act as mere snapshots of performance. That is because performance with one patient (or diagnosis) does not necessarily indicate performance on other cases</w:t>
      </w:r>
      <w:r w:rsidR="00A4027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{"citationItems":[{"id":"ITEM-1","itemData":{"DOI":"10.1006/pmed.1994.1040","ISBN":"0091-7435 (Print)\\r0091-7435 (Linking)","ISSN":"00917435","PMID":"8078848","abstract":"Physicians often fail to provide nationally recommended preventive services for their patients. Addressing this, we have reviewed selected literature on changing physician behavior using the organizational construct of the‗readiness for change‘transtheoretical model. This model suggests that behavior evolves through stages from precontemplation, to contemplation, to preparation, to initiation, and to maintenance of change. Traditional continuing medical education may affect knowledge and beliefs, but rarely results in behavior change. However, motivational strategies such as practice feedback reports and influential peers can foster stage change. Successful interventions aimed at physicians preparing for change frequently use an office-system approach that targets not only physicians, but office staff and patients as well. Illustrating how the readiness to change model can guide the design and implementation of interventions, we describe strategies being used in a statewide randomized controlled trial to improve cancer prevention counseling and early detection by primary care physicians. The multistage interventions of Partners for Prevention include support from a medical liability carrier, a motivational videotape, a task-delineated office manual, chart flowsheets, patient activation forms, practice feedback reports, a designated prevention coordinator within each practice and regular telephone calls and office visits by project staff. © 1994 Academic Press, Inc.","author":[{"dropping-particle":"","family":"Cohen","given":"Stuart J.","non-dropping-particle":"","parse-names":false,"suffix":""},{"dropping-particle":"","family":"Halvorson","given":"Holly W.","non-dropping-particle":"","parse-names":false,"suffix":""},{"dropping-particle":"","family":"Gosselink","given":"Carol A.","non-dropping-particle":"","parse-names":false,"suffix":""}],"container-title":"Preventive Medicine","id":"ITEM-1","issue":"3","issued":{"date-parts":[["1994"]]},"page":"284-291","title":"Changing physician behavior to improve disease prevention","type":"article-journal","volume":"23"},"uris":["http://www.mendeley.com/documents/?uuid=9d3e075a-7ced-4294-8a17-26e7ad70a925","http://www.mendeley.com/documents/?uuid=7a793d77-6229-4936-87e4-72397b7a8855"]}],"mendeley":{"formattedCitation":"(Cohen, Halvorson and Gosselink, 1994)","plainTextFormattedCitation":"(Cohen, Halvorson and Gosselink, 1994)","previouslyFormattedCitation":"(Cohen, Halvorson, and Gosselink 1994)"},"properties":{"noteIndex":0},"schema":"https://github.com/citation-style-language/schema/raw/master/csl-citation.json"}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(Cohen, Halvorson and Gosselink</w:t>
      </w:r>
      <w:r w:rsidR="00BE3B6C" w:rsidRPr="00BE3B6C">
        <w:rPr>
          <w:rFonts w:ascii="Times New Roman" w:hAnsi="Times New Roman" w:cs="Times New Roman"/>
          <w:noProof/>
          <w:sz w:val="24"/>
          <w:szCs w:val="24"/>
        </w:rPr>
        <w:t xml:space="preserve"> 1994)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and consistency of performance is particularly important in pathology, where errors in diagnosis could harm patients. However, it is important to note that WBAs are not the only tool intended to identify diagnostic competency, struggling trainees and trainee progress and the curriculum does state that the educational supervisor’s report and exam performance are taken into account. However, given that the outcomes of WBAs will inform the educational supervisors report and that there are only three exams during training, in reality WBAs are currently the main source of evidence to document these outcomes.</w:t>
      </w:r>
    </w:p>
    <w:p w14:paraId="5E3AFD87" w14:textId="77777777" w:rsidR="00863DF5" w:rsidRPr="006F3B00" w:rsidRDefault="00863DF5" w:rsidP="00863DF5">
      <w:pPr>
        <w:spacing w:after="0" w:line="480" w:lineRule="auto"/>
        <w:rPr>
          <w:rFonts w:ascii="Times New Roman" w:hAnsi="Times New Roman" w:cs="Times New Roman"/>
          <w:sz w:val="24"/>
          <w:szCs w:val="24"/>
        </w:rPr>
      </w:pPr>
    </w:p>
    <w:p w14:paraId="181D072D" w14:textId="073332CC"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It is not clear why WBAs do not identify diagnostic competence but, a possible explanation is that the forms do not reflect the knowledge, skills and attitudes that are most relevant to competency in histopathology. This is supported by comments such as WBAs are incorrectly </w:t>
      </w:r>
      <w:r w:rsidRPr="006F3B00">
        <w:rPr>
          <w:rFonts w:ascii="Times New Roman" w:hAnsi="Times New Roman" w:cs="Times New Roman"/>
          <w:i/>
          <w:sz w:val="24"/>
          <w:szCs w:val="24"/>
        </w:rPr>
        <w:t>“orientated to frontline hospital medicine”</w:t>
      </w:r>
      <w:r w:rsidRPr="006F3B00">
        <w:rPr>
          <w:rFonts w:ascii="Times New Roman" w:hAnsi="Times New Roman" w:cs="Times New Roman"/>
          <w:sz w:val="24"/>
          <w:szCs w:val="24"/>
        </w:rPr>
        <w:t xml:space="preserve"> and </w:t>
      </w:r>
      <w:r w:rsidRPr="006F3B00">
        <w:rPr>
          <w:rFonts w:ascii="Times New Roman" w:hAnsi="Times New Roman" w:cs="Times New Roman"/>
          <w:i/>
          <w:sz w:val="24"/>
          <w:szCs w:val="24"/>
        </w:rPr>
        <w:t xml:space="preserve">“that they should be modified for each specialty to make them more relevant.”  </w:t>
      </w:r>
      <w:r w:rsidRPr="006F3B00">
        <w:rPr>
          <w:rFonts w:ascii="Times New Roman" w:hAnsi="Times New Roman" w:cs="Times New Roman"/>
          <w:sz w:val="24"/>
          <w:szCs w:val="24"/>
        </w:rPr>
        <w:t xml:space="preserve">The fact that these questions received such negative perceptions is concerning as WBAs are taken to the ARCP (alongside other relevant information) in order to help assess these outcomes. This in turn may explain why some respondents from the questionnaire viewed WBAs as a </w:t>
      </w:r>
      <w:r w:rsidRPr="006F3B00">
        <w:rPr>
          <w:rFonts w:ascii="Times New Roman" w:hAnsi="Times New Roman" w:cs="Times New Roman"/>
          <w:i/>
          <w:sz w:val="24"/>
          <w:szCs w:val="24"/>
        </w:rPr>
        <w:t xml:space="preserve">“tick-box exercise” </w:t>
      </w:r>
      <w:r w:rsidRPr="006F3B00">
        <w:rPr>
          <w:rFonts w:ascii="Times New Roman" w:hAnsi="Times New Roman" w:cs="Times New Roman"/>
          <w:sz w:val="24"/>
          <w:szCs w:val="24"/>
        </w:rPr>
        <w:t xml:space="preserve">which further consolidates the perception that WBAs are not useful. Analysis of </w:t>
      </w:r>
      <w:r w:rsidR="00DC4289">
        <w:rPr>
          <w:rFonts w:ascii="Times New Roman" w:hAnsi="Times New Roman" w:cs="Times New Roman"/>
          <w:sz w:val="24"/>
          <w:szCs w:val="24"/>
        </w:rPr>
        <w:t>the free text comments (Figure 3.14</w:t>
      </w:r>
      <w:r w:rsidRPr="006F3B00">
        <w:rPr>
          <w:rFonts w:ascii="Times New Roman" w:hAnsi="Times New Roman" w:cs="Times New Roman"/>
          <w:sz w:val="24"/>
          <w:szCs w:val="24"/>
        </w:rPr>
        <w:t xml:space="preserve">) also identified that the design, value and utilisation of WBAs are problematic-themes that relate mostly to an assessment’s validity and purpose. Tooke’s report on medical education in general also expressed a similar stance on WBAs, suggesting there is confusion as to their intended role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{"citationItems":[{"id":"ITEM-1","itemData":{"abstract":"Tooke J. Aspiring to excellence: final report of the independent inquiry into Modernising Medical Careers. London: MMC Inquiry, 2008. www.mmcinquiry.org.uk.","author":[{"dropping-particle":"","family":"Tooke","given":"J","non-dropping-particle":"","parse-names":false,"suffix":""}],"container-title":"http://www.mmcinquiry.org.uk/Final_8_Jan_08_MMC_all.pdf","id":"ITEM-1","issued":{"date-parts":[["2008"]]},"title":"Aspiring to excellence: final report of the independent inquiry into Modernising Medical Careers","type":"article"},"uris":["http://www.mendeley.com/documents/?uuid=41f13f70-b8c4-4796-9313-9e0e073ef6d4"]}],"mendeley":{"formattedCitation":"(Tooke, 2008)","plainTextFormattedCitation":"(Tooke, 2008)","previouslyFormattedCitation":"(Tooke 2008)"},"properties":{"noteIndex":0},"schema":"https://github.com/citation-style-language/schema/raw/master/csl-citation.json"}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w:t>
      </w:r>
      <w:r w:rsidR="00BE3B6C" w:rsidRPr="00BE3B6C">
        <w:rPr>
          <w:rFonts w:ascii="Times New Roman" w:hAnsi="Times New Roman" w:cs="Times New Roman"/>
          <w:noProof/>
          <w:sz w:val="24"/>
          <w:szCs w:val="24"/>
        </w:rPr>
        <w:t>2008)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r w:rsidR="001477BD">
        <w:rPr>
          <w:rFonts w:ascii="Times New Roman" w:hAnsi="Times New Roman" w:cs="Times New Roman"/>
          <w:color w:val="FF0000"/>
          <w:sz w:val="24"/>
          <w:szCs w:val="24"/>
        </w:rPr>
        <w:t xml:space="preserve"> </w:t>
      </w:r>
      <w:r w:rsidRPr="006F3B00">
        <w:rPr>
          <w:rFonts w:ascii="Times New Roman" w:hAnsi="Times New Roman" w:cs="Times New Roman"/>
          <w:sz w:val="24"/>
          <w:szCs w:val="24"/>
        </w:rPr>
        <w:t>In histopathology, this is particularly relevant as pathologists work quite differently to their surgical colleagues and have a unique set of skills. It could be argued that surgical specialties have clearer defined tasks which lend themselves to observation whereas the art of histopathological diagnosis is not as easily observed as it mostly occurs inside one’s head.  It is difficult to design a WBA for histopathology when there is no evidence in the literature clearly describing the competencies or steps involved in diagnosis.</w:t>
      </w:r>
      <w:r w:rsidR="00010E8C">
        <w:rPr>
          <w:rFonts w:ascii="Times New Roman" w:hAnsi="Times New Roman" w:cs="Times New Roman"/>
          <w:sz w:val="24"/>
          <w:szCs w:val="24"/>
        </w:rPr>
        <w:t xml:space="preserve"> This might also explain why assessors and trainees had a negative opinion</w:t>
      </w:r>
      <w:r w:rsidRPr="006F3B00">
        <w:rPr>
          <w:rFonts w:ascii="Times New Roman" w:hAnsi="Times New Roman" w:cs="Times New Roman"/>
          <w:sz w:val="24"/>
          <w:szCs w:val="24"/>
        </w:rPr>
        <w:t xml:space="preserve"> on WBA being able to identify diagnostic competence</w:t>
      </w:r>
      <w:r w:rsidR="00010E8C">
        <w:rPr>
          <w:rFonts w:ascii="Times New Roman" w:hAnsi="Times New Roman" w:cs="Times New Roman"/>
          <w:sz w:val="24"/>
          <w:szCs w:val="24"/>
        </w:rPr>
        <w:t>.</w:t>
      </w:r>
      <w:r w:rsidRPr="006F3B00">
        <w:rPr>
          <w:rFonts w:ascii="Times New Roman" w:hAnsi="Times New Roman" w:cs="Times New Roman"/>
          <w:sz w:val="24"/>
          <w:szCs w:val="24"/>
        </w:rPr>
        <w:t xml:space="preserve"> </w:t>
      </w:r>
    </w:p>
    <w:p w14:paraId="2CA908BD" w14:textId="77777777" w:rsidR="00863DF5" w:rsidRPr="006F3B00" w:rsidRDefault="00863DF5" w:rsidP="00863DF5">
      <w:pPr>
        <w:spacing w:after="0" w:line="480" w:lineRule="auto"/>
        <w:rPr>
          <w:rFonts w:ascii="Times New Roman" w:hAnsi="Times New Roman" w:cs="Times New Roman"/>
          <w:sz w:val="24"/>
          <w:szCs w:val="24"/>
        </w:rPr>
      </w:pPr>
    </w:p>
    <w:p w14:paraId="6BC107C2" w14:textId="2E3A9FDC"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Q2 asked if the number of WBA per stage of training is appropriate with no clear cut results as approximately the same numbers of assessors and trainees were divided equally between the options </w:t>
      </w:r>
      <w:r w:rsidRPr="0024083B">
        <w:rPr>
          <w:rFonts w:ascii="Times New Roman" w:hAnsi="Times New Roman" w:cs="Times New Roman"/>
          <w:sz w:val="24"/>
          <w:szCs w:val="24"/>
        </w:rPr>
        <w:t>available (</w:t>
      </w:r>
      <w:r w:rsidR="00DC4289">
        <w:rPr>
          <w:rFonts w:ascii="Times New Roman" w:hAnsi="Times New Roman" w:cs="Times New Roman"/>
          <w:sz w:val="24"/>
          <w:szCs w:val="24"/>
        </w:rPr>
        <w:t>see Figure 3.3 and Table 3.2</w:t>
      </w:r>
      <w:r w:rsidRPr="0024083B">
        <w:rPr>
          <w:rFonts w:ascii="Times New Roman" w:hAnsi="Times New Roman" w:cs="Times New Roman"/>
          <w:sz w:val="24"/>
          <w:szCs w:val="24"/>
        </w:rPr>
        <w:t xml:space="preserve">). It is </w:t>
      </w:r>
      <w:r w:rsidRPr="006F3B00">
        <w:rPr>
          <w:rFonts w:ascii="Times New Roman" w:hAnsi="Times New Roman" w:cs="Times New Roman"/>
          <w:sz w:val="24"/>
          <w:szCs w:val="24"/>
        </w:rPr>
        <w:t xml:space="preserve">not possible to </w:t>
      </w:r>
      <w:r w:rsidRPr="006F3B00">
        <w:rPr>
          <w:rFonts w:ascii="Times New Roman" w:hAnsi="Times New Roman" w:cs="Times New Roman"/>
          <w:sz w:val="24"/>
          <w:szCs w:val="24"/>
        </w:rPr>
        <w:lastRenderedPageBreak/>
        <w:t xml:space="preserve">draw any clear conclusions from this, but perhaps assessors and trainees feel less polarised in their opinion because the underlying validity of the assessments is the bigger issue.  However, research in surgical specialties has already questioned the prescribed number of WBAs for each trainee, suggesting lower quotas may be just as reliable for determining trainee aptitude in a given area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{"citationItems":[{"id":"ITEM-1","itemData":{"DOI":"10.1002/bjs.7342","ISBN":"1365-2168 (Electronic)\\n0007-1323 (Linking)","ISSN":"00071323","PMID":"21254025","abstract":"Procedure-based assessment (PBA) is used within most UK surgical training programmes for assessing trainees' procedural skills in the operating theatre. All postgraduate assessment methods require evidence to support their implementation. The aims were to evaluate the validity, reliability and acceptability of PBA.","author":[{"dropping-particle":"","family":"Marriott","given":"J.","non-dropping-particle":"","parse-names":false,"suffix":""},{"dropping-particle":"","family":"Purdie","given":"H.","non-dropping-particle":"","parse-names":false,"suffix":""},{"dropping-particle":"","family":"Crossley","given":"J.","non-dropping-particle":"","parse-names":false,"suffix":""},{"dropping-particle":"","family":"Beard","given":"J. D.","non-dropping-particle":"","parse-names":false,"suffix":""}],"container-title":"British Journal of Surgery","id":"ITEM-1","issued":{"date-parts":[["2011"]]},"page":"450-457","title":"Evaluation of procedure-based assessment for assessing trainees skills in the operating theatre","type":"article-journal","volume":"98"},"uris":["http://www.mendeley.com/documents/?uuid=9d2dce1d-bf65-45c6-8f4f-9aa3f42e0e63"]},{"id":"ITEM-2","itemData":{"DOI":"10.1308/003588408X286017","ISBN":"1478-7083 (Electronic)","ISSN":"1478-7083","PMID":"18492389","abstract":"Surgical training and assessment in the UK has been criticised in the past for lacking transparency, reliability and validity. The new Intercollegiate Surgical Curriculum Programme (ISCP) has a well-defined, competence-based syllabus and a system of workplace-based assessments and examinations that map to the syllabus. The main aims of workplace-based assessment are to aid learning through objective feedback and to provide evidence that the competencies required to progress to the next level of training have been achieved. Reduction in surgical experience means that more training will need to be undertaken on simulations, although experience and assessment in the operating room must remains the 'gold-standard'. Simulation training will require the provision of properly resourced surgical skills facilities in every hospital. The key to reliable assessment and constructive feedback is well-trained trainers. Training is a skill that must be learned, and assessment and feedback techniques form part of this. In surgery, it has been assumed that all consultants are trainers but this is clearly not the case. Surgeons will need to follow the example of primary care, where trainers are selected from experienced general practitioners who demonstrate enthusiasm and ability. The reward for the trainer should be protected time for training. The reward for the National Health Service will be better trained surgeons.","author":[{"dropping-particle":"","family":"Beard","given":"Jonathan D","non-dropping-particle":"","parse-names":false,"suffix":""}],"container-title":"Annals of the Royal College of Surgeons of England","id":"ITEM-2","issue":"4","issued":{"date-parts":[["2008"]]},"page":"282-5","title":"Assessment of surgical skills of trainees in the UK.","type":"article-journal","volume":"90"},"uris":["http://www.mendeley.com/documents/?uuid=a2cf6845-8190-441b-97a9-272db4f30b4e"]}],"mendeley":{"formattedCitation":"(Beard, 2008; Marriott &lt;i&gt;et al.&lt;/i&gt;, 2011)","plainTextFormattedCitation":"(Beard, 2008; Marriott et al., 2011)","previouslyFormattedCitation":"(Marriott et al. 2011; Beard 2008)"},"properties":{"noteIndex":0},"schema":"https://github.com/citation-style-language/schema/raw/master/csl-citation.json"}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(Beard</w:t>
      </w:r>
      <w:r w:rsidR="00BE3B6C" w:rsidRPr="00BE3B6C">
        <w:rPr>
          <w:rFonts w:ascii="Times New Roman" w:hAnsi="Times New Roman" w:cs="Times New Roman"/>
          <w:noProof/>
          <w:sz w:val="24"/>
          <w:szCs w:val="24"/>
        </w:rPr>
        <w:t xml:space="preserve"> 2008; Marriott </w:t>
      </w:r>
      <w:r w:rsidR="00BE3B6C" w:rsidRPr="001477BD">
        <w:rPr>
          <w:rFonts w:ascii="Times New Roman" w:hAnsi="Times New Roman" w:cs="Times New Roman"/>
          <w:noProof/>
          <w:sz w:val="24"/>
          <w:szCs w:val="24"/>
        </w:rPr>
        <w:t>et al.</w:t>
      </w:r>
      <w:r w:rsidR="00BE3B6C" w:rsidRPr="00BE3B6C">
        <w:rPr>
          <w:rFonts w:ascii="Times New Roman" w:hAnsi="Times New Roman" w:cs="Times New Roman"/>
          <w:noProof/>
          <w:sz w:val="24"/>
          <w:szCs w:val="24"/>
        </w:rPr>
        <w:t xml:space="preserve"> 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Studies have found that WBAs can become tiresome for trainees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{"citationItems":[{"id":"ITEM-1","itemData":{"DOI":"10.1258/jrsm.2009.080398","ISBN":"1758-1095; 0141-0768","ISSN":"0141-0768","PMID":"19734525","abstract":"Summary: Objectives: An online workplace-based assessment tool, the Intercollegiate Surgical Curriculum Programme (ISCP), has become mandatory for all British surgical trainees appointed since August 2007. A compulsory £125 annual trainee fee has also been introduced to fund its running costs. The study sought to evaluate user satisfaction with the ISCP. Design and setting: A total of 539 users across all surgical specialties (including 122 surgeons acting as assessors) were surveyed in late 2008 by online questionnaire regarding their experiences with the ISCP. Results: Sixty-seven percent had used the tool for at least one year. It was rated above average by only 6% for its registration process and only 11% for recording meetings and objectives. Forty-nine percent described its online assessments as poor or very poor, only 9% considering them good or very good. Seventy-nine percent rated the website's user friendliness as average or worse, as did 72% its peer-assessment tool and 61% its logbook of procedures. Seventy-six percent of respondents had carried out paper assessments due to difficulties using the website. Six percent stated that the ISCP had impacted negatively on their training opportunities, 41% reporting a negative impact overall upon their training; only 6% reported a positive impact. Ninety-four percent did not consider the trainee fee good value, only 2% believing it should be paid by the trainee. Conclusions: The performance of the ISCP leaves large numbers of British surgeons unsatisfied. Its assessments lack appropriate evidence of validity and its introduction has been problematic. With reducing training hours, the increased online bureaucratic burden exacerbates low morale of trainees and trainers, adversely impacting potentially upon both competency and productivity.","author":[{"dropping-particle":"","family":"Pereira","given":"Erlick AC","non-dropping-particle":"","parse-names":false,"suffix":""},{"dropping-particle":"","family":"Dean","given":"Benjamin JF","non-dropping-particle":"","parse-names":false,"suffix":""}],"container-title":"Journal of the Royal Society of Medicine","id":"ITEM-1","issued":{"date-parts":[["2009"]]},"page":"357-358","title":"British surgeons' experiences of mandatory online workplace-based assessment--reply to authors.","type":"article-journal","volume":"102"},"uris":["http://www.mendeley.com/documents/?uuid=d8a3d5b6-e91c-45ce-9526-1a6e3f940eb6"]}],"mendeley":{"formattedCitation":"(Pereira and Dean, 2009)","plainTextFormattedCitation":"(Pereira and Dean, 2009)","previouslyFormattedCitation":"(Pereira and Dean 2009)"},"properties":{"noteIndex":0},"schema":"https://github.com/citation-style-language/schema/raw/master/csl-citation.json"}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(Pereira and Dean</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which may result in trainees selecting cases retrospectively when a suitable period of “free time” arises. A trainee</w:t>
      </w:r>
      <w:r w:rsidRPr="006F3B00">
        <w:rPr>
          <w:rFonts w:ascii="Times New Roman" w:hAnsi="Times New Roman" w:cs="Times New Roman"/>
          <w:i/>
          <w:sz w:val="24"/>
          <w:szCs w:val="24"/>
        </w:rPr>
        <w:t xml:space="preserve"> </w:t>
      </w:r>
      <w:r w:rsidRPr="006F3B00">
        <w:rPr>
          <w:rFonts w:ascii="Times New Roman" w:hAnsi="Times New Roman" w:cs="Times New Roman"/>
          <w:sz w:val="24"/>
          <w:szCs w:val="24"/>
        </w:rPr>
        <w:t>questioned the need to</w:t>
      </w:r>
      <w:r w:rsidRPr="006F3B00">
        <w:rPr>
          <w:rFonts w:ascii="Times New Roman" w:hAnsi="Times New Roman" w:cs="Times New Roman"/>
          <w:i/>
          <w:sz w:val="24"/>
          <w:szCs w:val="24"/>
        </w:rPr>
        <w:t xml:space="preserve"> “have to reach an arbitrary minimum number” </w:t>
      </w:r>
      <w:r w:rsidRPr="006F3B00">
        <w:rPr>
          <w:rFonts w:ascii="Times New Roman" w:hAnsi="Times New Roman" w:cs="Times New Roman"/>
          <w:sz w:val="24"/>
          <w:szCs w:val="24"/>
        </w:rPr>
        <w:t xml:space="preserve">of WBAs. Although it could be argued doing ‘more’ may increase the reliability of WBAs this comment suggests the educational value is considered more important by trainees. Minimum numbers are also usually linked to summative assessment, which further illustrates the conflict with others respondents thinking WBAs are formative in nature. Training of assessors can increase reliability and so can utilising a range of assessors. To increase the reliability further, WBAs should be viewed with other items of evidence at the ARCP, so that the trainee’s performance can be triangulated.  This is also recommended in the histopathology curriculum, but it may be argued that triangulation by itself does not increase reliability, if the pieces of evidence collated (such as WBAs) are not valid in the first place. </w:t>
      </w:r>
    </w:p>
    <w:p w14:paraId="0D4DD3F7" w14:textId="5F84D60D" w:rsidR="00863DF5"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results from Q3 suggest the time needed to complete WBAs is not a major area of concern in histopathology as it has been suggested for other disciplines in the healthcare literature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{"citationItems":[{"id":"ITEM-1","itemData":{"DOI":"10.1007/s10459-015-9614-0","ISSN":"1382-4996","PMID":"26003590","abstract":"Workplace based assessments (WBAs) are now commonplace in postgraduate medical training. User acceptability and engagement is essential to the success of any medical education innovation. To this end, possessing an insight into trainee and trainer perceptions towards WBAs will help identify the major problems, permitting strategies to be introduced to improve WBA implementation. A review of literature was performed to identify studies examining trainee and trainer perceptions towards WBAs. Studies were excluded if non-English or sampling a non-medical/dental population. The identified literature was synthesised for the purpose of this critical narrative review. It is clear that there is widespread negativity towards WBAs in the workplace. This has negatively impacted on the effectiveness of WBA tools as learning aids. This negativity exists in trainees but also to an extent in their trainers. Insight gained from the literature reveals three dominant problems with WBA implementation: poor understanding as to the purpose of WBAs; insufficient time available for undertaking these assessments; and inadequate training of trainers. Approaches to addressing these three problems with WBA implementation are discussed. It is likely that a variety of solutions will be required. The prevalence of negativity towards WBAs is substantial in both trainees and trainers, eroding the effectiveness of learning that is consequent upon them. The educational community must now listen to the concerns being raised by the users and consider the range of strategies being proposed to improve the experiences of trainees, and their trainers.","author":[{"dropping-particle":"","family":"Massie","given":"Jonathan","non-dropping-particle":"","parse-names":false,"suffix":""},{"dropping-particle":"","family":"Ali","given":"Jason M.","non-dropping-particle":"","parse-names":false,"suffix":""}],"container-title":"Advances in Health Sciences Education","id":"ITEM-1","issued":{"date-parts":[["2015"]]},"page":"EarlyOnline","title":"Workplace-based assessment: a review of user perceptions and strategies to address the identified shortcomings","type":"article-journal"},"uris":["http://www.mendeley.com/documents/?uuid=cbc01e63-6cf3-4edd-90ef-228459242c69"]},{"id":"ITEM-2","itemData":{"DOI":"10.3109/0142159X.2011.558140","ISBN":"1466-187X","ISSN":"0142-159X","PMID":"22022902","abstract":"BACKGROUND: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Teacher","id":"ITEM-2","issued":{"date-parts":[["2011"]]},"page":"919-927","title":"Trainee doctors’ views on workplace-based assessments: Are they just a tick box exercise?","type":"article-journal","volume":"33"},"uris":["http://www.mendeley.com/documents/?uuid=0cf9d153-6e01-4ac8-856e-d3f58aea7621"]}],"mendeley":{"formattedCitation":"(Bindal, Wall and Goodyear, 2011; Massie and Ali, 2015)","plainTextFormattedCitation":"(Bindal, Wall and Goodyear, 2011; Massie and Ali, 2015)","previouslyFormattedCitation":"(Massie and Ali 2015; Bindal, Wall, and Goodyear 2011)"},"properties":{"noteIndex":0},"schema":"https://github.com/citation-style-language/schema/raw/master/csl-citation.json"}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(Bindal, Wall and Goodyear 2011; Massie and Ali</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might be because histopathology cases are provisionally reported by trainees and then the overseeing consultant checks the case, often with the trainee in attendance. These one-on-one sessions are ideal scenarios for assessors to give feedback to their trainees and unlike a lot of other medical specialties, the discussion can be unrestricted as patients are </w:t>
      </w:r>
      <w:r w:rsidRPr="006F3B00">
        <w:rPr>
          <w:rFonts w:ascii="Times New Roman" w:hAnsi="Times New Roman" w:cs="Times New Roman"/>
          <w:sz w:val="24"/>
          <w:szCs w:val="24"/>
        </w:rPr>
        <w:lastRenderedPageBreak/>
        <w:t>not present.  Nevertheless, even if there is less time pressure in histopathology, the actual “cost” in time will be far greater if the underlying validity and educationa</w:t>
      </w:r>
      <w:r w:rsidR="00373028">
        <w:rPr>
          <w:rFonts w:ascii="Times New Roman" w:hAnsi="Times New Roman" w:cs="Times New Roman"/>
          <w:sz w:val="24"/>
          <w:szCs w:val="24"/>
        </w:rPr>
        <w:t>l impact is not being achieved.</w:t>
      </w:r>
    </w:p>
    <w:p w14:paraId="06149C8C" w14:textId="77777777" w:rsidR="001477BD" w:rsidRPr="006F3B00" w:rsidRDefault="001477BD" w:rsidP="00863DF5">
      <w:pPr>
        <w:spacing w:after="0" w:line="480" w:lineRule="auto"/>
        <w:rPr>
          <w:rFonts w:ascii="Times New Roman" w:hAnsi="Times New Roman" w:cs="Times New Roman"/>
          <w:sz w:val="24"/>
          <w:szCs w:val="24"/>
        </w:rPr>
      </w:pPr>
    </w:p>
    <w:p w14:paraId="7DC95FA0" w14:textId="38D365EF" w:rsidR="00863DF5" w:rsidRPr="001477BD"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Most assessors also felt their trainees chose appropriate cases (Q10). Linked to this, most trainees also felt their assessors were accessible (Q9), engaged and helpful (Q10) when completing WBAs which is encouraging given that many assessors have significant clinical and/or academic commitments.   It therefore seems that there is </w:t>
      </w:r>
      <w:proofErr w:type="gramStart"/>
      <w:r w:rsidRPr="006F3B00">
        <w:rPr>
          <w:rFonts w:ascii="Times New Roman" w:hAnsi="Times New Roman" w:cs="Times New Roman"/>
          <w:sz w:val="24"/>
          <w:szCs w:val="24"/>
        </w:rPr>
        <w:t>a disconnect</w:t>
      </w:r>
      <w:proofErr w:type="gramEnd"/>
      <w:r w:rsidRPr="006F3B00">
        <w:rPr>
          <w:rFonts w:ascii="Times New Roman" w:hAnsi="Times New Roman" w:cs="Times New Roman"/>
          <w:sz w:val="24"/>
          <w:szCs w:val="24"/>
        </w:rPr>
        <w:t xml:space="preserve"> between having what appears to be regular and useful training episodes between trainee and assessor and then translating that on to the WBA. Perhaps assessors already know if a trainee is competent or making sufficient progress but the WBA merely facilitates somewhere to document it, rather than the WBA aiding this judgement process by having suitable performance anchor statements. However, our survey suggests there may be issues with how WBAs are administered as well. For instance, an assessor may know from interacting with the trainee on a day to day basis whether they are making sufficient progress and performing well. Some respondents may argue that the WBA merely asks the assessor to form a judgement of performance on cases that are not representative of true performance. One assessor commented that WBAs are </w:t>
      </w:r>
      <w:r w:rsidRPr="006F3B00">
        <w:rPr>
          <w:rFonts w:ascii="Times New Roman" w:hAnsi="Times New Roman" w:cs="Times New Roman"/>
          <w:i/>
          <w:sz w:val="24"/>
          <w:szCs w:val="24"/>
        </w:rPr>
        <w:t>“specially selected which prove absolutely nothing”</w:t>
      </w:r>
      <w:r w:rsidRPr="006F3B00">
        <w:rPr>
          <w:rFonts w:ascii="Times New Roman" w:hAnsi="Times New Roman" w:cs="Times New Roman"/>
          <w:sz w:val="24"/>
          <w:szCs w:val="24"/>
        </w:rPr>
        <w:t xml:space="preserve"> and another commented that “</w:t>
      </w:r>
      <w:r w:rsidRPr="006F3B00">
        <w:rPr>
          <w:rFonts w:ascii="Times New Roman" w:eastAsia="Times New Roman" w:hAnsi="Times New Roman" w:cs="Times New Roman"/>
          <w:i/>
          <w:sz w:val="24"/>
          <w:szCs w:val="24"/>
          <w:lang w:eastAsia="en-GB"/>
        </w:rPr>
        <w:t>I often observe of trainees completing the majority during the last month prior to submission of ARCP paperwork”</w:t>
      </w:r>
      <w:r w:rsidRPr="006F3B00">
        <w:rPr>
          <w:rFonts w:ascii="Times New Roman" w:eastAsia="Times New Roman" w:hAnsi="Times New Roman" w:cs="Times New Roman"/>
          <w:sz w:val="24"/>
          <w:szCs w:val="24"/>
          <w:lang w:eastAsia="en-GB"/>
        </w:rPr>
        <w:t>.</w:t>
      </w:r>
      <w:r w:rsidRPr="006F3B00">
        <w:rPr>
          <w:rFonts w:ascii="Times New Roman" w:hAnsi="Times New Roman" w:cs="Times New Roman"/>
          <w:sz w:val="24"/>
          <w:szCs w:val="24"/>
        </w:rPr>
        <w:t xml:space="preserve"> In line with the literature, there is therefore a need to monitor WBAs and to ensure trainees do not manipulate who and on what they are assessed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{"citationItems":[{"id":"ITEM-1","itemData":{"DOI":"10.1007/s10459-008-9104-8","ISBN":"1382-4996","ISSN":"13824996","PMID":"18306052","abstract":"To investigate the reliability and feasibility of six potential workplace-based assessment methods in general practice training: criterion audit, multi-source feedback from clinical and non-clinical colleagues, patient feedback (the CARE Measure), referral letters, significant event analysis, and video analysis of consultations. Performance of GP registrars (trainees) was evaluated with each tool to assess the reliabilities of the tools and feasibility, given raters and number of assessments needed. Participant experience of process determined by questionnaire. 171 GP registrars and their trainers, drawn from nine deaneries (representing all four countries in the UK), participated. The ability of each tool to differentiate between doctors (reliability) was assessed using generalisability theory. Decision studies were then conducted to determine the number of observations required to achieve an acceptably high reliability for \"high-stakes assessment\" using each instrument. Finally, descriptive statistics were used to summarise participants' ratings of their experience using these tools. Multi-source feedback from colleagues and patient feedback on consultations emerged as the two methods most likely to offer a reliable and feasible opinion of workplace performance. Reliability co-efficients of 0.8 were attainable with 41 CARE Measure patient questionnaires and six clinical and/or five non-clinical colleagues per doctor when assessed on two occasions. For the other four methods tested, 10 or more assessors were required per doctor in order to achieve a reliable assessment, making the feasibility of their use in high-stakes assessment extremely low. Participant feedback did not raise any major concerns regarding the acceptability, feasibility, or educational impact of the tools. The combination of patient and colleague views of doctors' performance, coupled with reliable competence measures, may offer a suitable evidence-base on which to monitor progress and completion of doctors' training in general practice.","author":[{"dropping-particle":"","family":"Murphy DJ","given":"","non-dropping-particle":"","parse-names":false,"suffix":""},{"dropping-particle":"","family":"Bruce DA","given":"","non-dropping-particle":"","parse-names":false,"suffix":""},{"dropping-particle":"","family":"Mercer SW","given":"","non-dropping-particle":"","parse-names":false,"suffix":""},{"dropping-particle":"","family":"Eva KW.","given":"","non-dropping-particle":"","parse-names":false,"suffix":""},{"dropping-particle":"","family":"Murphy","given":"Douglas J.","non-dropping-particle":"","parse-names":false,"suffix":""},{"dropping-particle":"","family":"Bruce","given":"David a.","non-dropping-particle":"","parse-names":false,"suffix":""},{"dropping-particle":"","family":"Mercer","given":"Stewart W.","non-dropping-particle":"","parse-names":false,"suffix":""},{"dropping-particle":"","family":"Eva","given":"Kevin W.","non-dropping-particle":"","parse-names":false,"suffix":""}],"container-title":"Advances in Health Sciences Education","id":"ITEM-1","issue":"2","issued":{"date-parts":[["2009"]]},"page":"219-232","title":"The reliability of workplace-based assessment in postgraduate medical education and training: A national evaluation in general practice in the United Kingdom","type":"article-journal","volume":"14"},"uris":["http://www.mendeley.com/documents/?uuid=9e7200b4-51d3-4f22-a4b2-89e6ec39126e"]}],"mendeley":{"formattedCitation":"(Murphy DJ &lt;i&gt;et al.&lt;/i&gt;, 2009)","plainTextFormattedCitation":"(Murphy DJ et al., 2009)","previouslyFormattedCitation":"(Murphy DJ et al. 2009)"},"properties":{"noteIndex":0},"schema":"https://github.com/citation-style-language/schema/raw/master/csl-citation.json"}</w:instrText>
      </w:r>
      <w:r w:rsidRPr="006F3B00">
        <w:rPr>
          <w:rFonts w:ascii="Times New Roman" w:hAnsi="Times New Roman" w:cs="Times New Roman"/>
          <w:sz w:val="24"/>
          <w:szCs w:val="24"/>
        </w:rPr>
        <w:fldChar w:fldCharType="separate"/>
      </w:r>
      <w:r w:rsidR="001477BD">
        <w:rPr>
          <w:rFonts w:ascii="Times New Roman" w:hAnsi="Times New Roman" w:cs="Times New Roman"/>
          <w:noProof/>
          <w:sz w:val="24"/>
          <w:szCs w:val="24"/>
        </w:rPr>
        <w:t>(Murphy</w:t>
      </w:r>
      <w:r w:rsidR="00BE3B6C" w:rsidRPr="001477BD">
        <w:rPr>
          <w:rFonts w:ascii="Times New Roman" w:hAnsi="Times New Roman" w:cs="Times New Roman"/>
          <w:noProof/>
          <w:sz w:val="24"/>
          <w:szCs w:val="24"/>
        </w:rPr>
        <w:t xml:space="preserve"> et al.</w:t>
      </w:r>
      <w:r w:rsidR="001477BD">
        <w:rPr>
          <w:rFonts w:ascii="Times New Roman" w:hAnsi="Times New Roman" w:cs="Times New Roman"/>
          <w:noProof/>
          <w:sz w:val="24"/>
          <w:szCs w:val="24"/>
        </w:rPr>
        <w:t xml:space="preserve"> </w:t>
      </w:r>
      <w:r w:rsidR="00BE3B6C" w:rsidRPr="00BE3B6C">
        <w:rPr>
          <w:rFonts w:ascii="Times New Roman" w:hAnsi="Times New Roman" w:cs="Times New Roman"/>
          <w:noProof/>
          <w:sz w:val="24"/>
          <w:szCs w:val="24"/>
        </w:rPr>
        <w:t>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For instance, a trainee who never picks challenging or unfamiliar cases will always be well-prepared and not have their true learning needs addressed. It has been shown in other studies that trainees sometimes “select” cases for discussion and avoid difficult cases </w:t>
      </w:r>
      <w:r w:rsidRPr="001477BD">
        <w:rPr>
          <w:rFonts w:ascii="Times New Roman" w:hAnsi="Times New Roman" w:cs="Times New Roman"/>
          <w:sz w:val="24"/>
          <w:szCs w:val="24"/>
        </w:rPr>
        <w:lastRenderedPageBreak/>
        <w:fldChar w:fldCharType="begin" w:fldLock="1"/>
      </w:r>
      <w:r w:rsidR="00BE3B6C" w:rsidRPr="001477BD">
        <w:rPr>
          <w:rFonts w:ascii="Times New Roman" w:hAnsi="Times New Roman" w:cs="Times New Roman"/>
          <w:sz w:val="24"/>
          <w:szCs w:val="24"/>
        </w:rPr>
        <w:instrText>ADDIN CSL_CITATION {"citationItems":[{"id":"ITEM-1","itemData":{"DOI":"10.1111/j.1365-2923.2011.04056.x","ISBN":"1365-2923 (Electronic) 0308-0110 (Linking)","ISSN":"03080110","PMID":"21995509","abstract":"OBJECTIVES: Workplace-based assessment (WPBA) is an increasingly important part of postgraduate medical training and its results may be used as evidence of professional competence. This study evaluates the ability of WPBA to distinguish UK Foundation Programme (FP) doctors with training difficulties and its effectiveness as a surrogate marker for deficiencies in professional competence.\\n\\nMETHODS: We conducted a retrospective observational study using anonymised records for 1646 trainees in a single UK postgraduate deanery. Data for WPBAs conducted from August 2005 to April 2009 were extracted from the e-portfolio database. These data included all scores submitted by trainees in FP years 1 and 2 on mini-clinical evaluation exercise (mini-CEX), case-based discussion (CbD), direct observation of procedural skills (DOPS) and mini-peer assessment tool (mini-PAT) assessments. Records of trainees in difficulty, as identified by their educational supervisors, were tagged as index cases. Main outcome measures were odds ratios (ORs) for associations between mean WPBA scores and training difficulties. Further analyses by the reported aetiology of the training difficulty (health-, conduct- or performance-related) were performed.\\n\\nRESULTS: Of the 1646 trainees, 92 had been identified as being in difficulty. Mean CbD and mini-CEX scores were lower for trainees in difficulty and an association was found between identified training difficulties and average scores on the mini-CEX (OR = 0.54; p = 0.034) and CbD (OR = 0.39; p = 0.002). A receiver operator characteristic curve analysis of mean WPBA scores for diagnosing 'in difficulty' status yielded an area under the curve of 0.64, indicating weak predictive value. There was no statistical evidence that mean scores on DOPS and mini-PAT assessments differed between the two groups.\\n\\nCONCLUSIONS: Analysis of a large dataset of WPBA scores revealed significant associations between training difficulties and lower mean scores on both the mini-CEX and CbD. Models show that using WPBA scores is, however, not a valid way of screening for trainees in difficulty. Workplace-based assessments have value as formative assessments that prompt supervision, feedback and reflection. They should not be relied upon to certify competence and their use for such ends may reduce their effectiveness in training. Their results should be interpreted in the context of multiple other methods of assessment, with the aim of achieving a genuinely h…","author":[{"dropping-particle":"","family":"Mitchell","given":"Colin","non-dropping-particle":"","parse-names":false,"suffix":""},{"dropping-particle":"","family":"Bhat","given":"Sarita","non-dropping-particle":"","parse-names":false,"suffix":""},{"dropping-particle":"","family":"Herbert","given":"Anne","non-dropping-particle":"","parse-names":false,"suffix":""},{"dropping-particle":"","family":"Baker","given":"Paul","non-dropping-particle":"","parse-names":false,"suffix":""}],"container-title":"Medical Education","id":"ITEM-1","issue":"12","issued":{"date-parts":[["2011"]]},"page":"1190-1198","title":"Workplace-based assessments of junior doctors: Do scores predict training difficulties?","type":"article-journal","volume":"45"},"uris":["http://www.mendeley.com/documents/?uuid=902e1dc3-fb86-4244-b9bb-b72fbb801ef0"]}],"mendeley":{"formattedCitation":"(Mitchell &lt;i&gt;et al.&lt;/i&gt;, 2011)","plainTextFormattedCitation":"(Mitchell et al., 2011)","previouslyFormattedCitation":"(Mitchell et al. 2011)"},"properties":{"noteIndex":0},"schema":"https://github.com/citation-style-language/schema/raw/master/csl-citation.json"}</w:instrText>
      </w:r>
      <w:r w:rsidRPr="001477BD">
        <w:rPr>
          <w:rFonts w:ascii="Times New Roman" w:hAnsi="Times New Roman" w:cs="Times New Roman"/>
          <w:sz w:val="24"/>
          <w:szCs w:val="24"/>
        </w:rPr>
        <w:fldChar w:fldCharType="separate"/>
      </w:r>
      <w:r w:rsidR="00BE3B6C" w:rsidRPr="001477BD">
        <w:rPr>
          <w:rFonts w:ascii="Times New Roman" w:hAnsi="Times New Roman" w:cs="Times New Roman"/>
          <w:noProof/>
          <w:sz w:val="24"/>
          <w:szCs w:val="24"/>
        </w:rPr>
        <w:t>(Mitchell et al. 2011)</w:t>
      </w:r>
      <w:r w:rsidRPr="001477BD">
        <w:rPr>
          <w:rFonts w:ascii="Times New Roman" w:hAnsi="Times New Roman" w:cs="Times New Roman"/>
          <w:sz w:val="24"/>
          <w:szCs w:val="24"/>
        </w:rPr>
        <w:fldChar w:fldCharType="end"/>
      </w:r>
      <w:r w:rsidRPr="001477BD">
        <w:rPr>
          <w:rFonts w:ascii="Times New Roman" w:hAnsi="Times New Roman" w:cs="Times New Roman"/>
          <w:sz w:val="24"/>
          <w:szCs w:val="24"/>
        </w:rPr>
        <w:t xml:space="preserve">.  Not only will this affect the educational impact of the encounter, but it will be a waste of time and resources </w:t>
      </w:r>
      <w:r w:rsidR="00AA1495" w:rsidRPr="001477BD">
        <w:rPr>
          <w:rFonts w:ascii="Times New Roman" w:hAnsi="Times New Roman" w:cs="Times New Roman"/>
          <w:sz w:val="24"/>
          <w:szCs w:val="24"/>
        </w:rPr>
        <w:t xml:space="preserve">(e.g. cost) </w:t>
      </w:r>
      <w:r w:rsidRPr="001477BD">
        <w:rPr>
          <w:rFonts w:ascii="Times New Roman" w:hAnsi="Times New Roman" w:cs="Times New Roman"/>
          <w:sz w:val="24"/>
          <w:szCs w:val="24"/>
        </w:rPr>
        <w:t>for the assessor and trainee</w:t>
      </w:r>
      <w:r w:rsidR="00AA1495" w:rsidRPr="001477BD">
        <w:rPr>
          <w:rFonts w:ascii="Times New Roman" w:hAnsi="Times New Roman" w:cs="Times New Roman"/>
          <w:sz w:val="24"/>
          <w:szCs w:val="24"/>
        </w:rPr>
        <w:t xml:space="preserve">. </w:t>
      </w:r>
      <w:r w:rsidRPr="001477BD">
        <w:rPr>
          <w:rFonts w:ascii="Times New Roman" w:hAnsi="Times New Roman" w:cs="Times New Roman"/>
          <w:sz w:val="24"/>
          <w:szCs w:val="24"/>
        </w:rPr>
        <w:t xml:space="preserve">Here, the acceptability of the assessment tool to the trainee has had a direct effect on its validity.  </w:t>
      </w:r>
    </w:p>
    <w:p w14:paraId="31668678" w14:textId="77777777" w:rsidR="00863DF5" w:rsidRPr="001477BD" w:rsidRDefault="00863DF5" w:rsidP="00863DF5">
      <w:pPr>
        <w:spacing w:after="0" w:line="480" w:lineRule="auto"/>
        <w:rPr>
          <w:rFonts w:ascii="Times New Roman" w:hAnsi="Times New Roman" w:cs="Times New Roman"/>
          <w:sz w:val="24"/>
          <w:szCs w:val="24"/>
        </w:rPr>
      </w:pPr>
    </w:p>
    <w:p w14:paraId="4541817C" w14:textId="0A69731E" w:rsidR="00863DF5" w:rsidRPr="006F3B00" w:rsidRDefault="00863DF5" w:rsidP="00863DF5">
      <w:pPr>
        <w:spacing w:after="0" w:line="480" w:lineRule="auto"/>
        <w:rPr>
          <w:rFonts w:ascii="Times New Roman" w:hAnsi="Times New Roman" w:cs="Times New Roman"/>
          <w:sz w:val="24"/>
          <w:szCs w:val="24"/>
        </w:rPr>
      </w:pPr>
      <w:r w:rsidRPr="001477BD">
        <w:rPr>
          <w:rFonts w:ascii="Times New Roman" w:hAnsi="Times New Roman" w:cs="Times New Roman"/>
          <w:sz w:val="24"/>
          <w:szCs w:val="24"/>
        </w:rPr>
        <w:t>Given that only half of assessors believed they have had sufficient guidance to complete WBAs (Q9), this could impact on how assessors are engaging with WBAs and their trainees. In particular, the assessment’s validity will be reduced if assessors are</w:t>
      </w:r>
      <w:r w:rsidR="00A96094" w:rsidRPr="001477BD">
        <w:rPr>
          <w:rFonts w:ascii="Times New Roman" w:hAnsi="Times New Roman" w:cs="Times New Roman"/>
          <w:sz w:val="24"/>
          <w:szCs w:val="24"/>
        </w:rPr>
        <w:t xml:space="preserve"> not </w:t>
      </w:r>
      <w:r w:rsidRPr="001477BD">
        <w:rPr>
          <w:rFonts w:ascii="Times New Roman" w:hAnsi="Times New Roman" w:cs="Times New Roman"/>
          <w:sz w:val="24"/>
          <w:szCs w:val="24"/>
        </w:rPr>
        <w:t>clear on what they</w:t>
      </w:r>
      <w:r w:rsidR="00A96094" w:rsidRPr="001477BD">
        <w:rPr>
          <w:rFonts w:ascii="Times New Roman" w:hAnsi="Times New Roman" w:cs="Times New Roman"/>
          <w:sz w:val="24"/>
          <w:szCs w:val="24"/>
        </w:rPr>
        <w:t xml:space="preserve"> are</w:t>
      </w:r>
      <w:r w:rsidRPr="001477BD">
        <w:rPr>
          <w:rFonts w:ascii="Times New Roman" w:hAnsi="Times New Roman" w:cs="Times New Roman"/>
          <w:sz w:val="24"/>
          <w:szCs w:val="24"/>
        </w:rPr>
        <w:t xml:space="preserve"> meant to be assessing. Studies have shown that appropriate guidance for assessors was essential for successful WBA implementation and comprehensive training is required for both trainees and trainers </w:t>
      </w:r>
      <w:r w:rsidRPr="001477BD">
        <w:rPr>
          <w:rFonts w:ascii="Times New Roman" w:hAnsi="Times New Roman" w:cs="Times New Roman"/>
          <w:sz w:val="24"/>
          <w:szCs w:val="24"/>
        </w:rPr>
        <w:fldChar w:fldCharType="begin" w:fldLock="1"/>
      </w:r>
      <w:r w:rsidR="00BE3B6C" w:rsidRPr="001477BD">
        <w:rPr>
          <w:rFonts w:ascii="Times New Roman" w:hAnsi="Times New Roman" w:cs="Times New Roman"/>
          <w:sz w:val="24"/>
          <w:szCs w:val="24"/>
        </w:rPr>
        <w:instrText>ADDIN CSL_CITATION {"citationItems":[{"id":"ITEM-1","itemData":{"DOI":"10.1038/sj.bdj.2013.302","ISBN":"1476-5373 (Electronic)\\n0007-0610 (Linking)","ISSN":"1476-5373","PMID":"23518981","abstract":"A questionnaire study was undertaken with trainers and trainees from 12 deaneries in England and Northern Ireland in June 2010 to evaluate workplace-based assessments (WPBAs) in foundation training. From the sample consisting of 741 trainers and 643 foundation trainees, experience of WPBAs was positive overall, playing an important role in trainees' learning during foundation training and building confidence. However, there is a need for comprehensive training in the WPBA tools used to ensure their efficacy.","author":[{"dropping-particle":"","family":"Kirton","given":"J. a","non-dropping-particle":"","parse-names":false,"suffix":""},{"dropping-particle":"","family":"Palmer","given":"N. O. a","non-dropping-particle":"","parse-names":false,"suffix":""},{"dropping-particle":"","family":"Grieveson","given":"B.","non-dropping-particle":"","parse-names":false,"suffix":""},{"dropping-particle":"","family":"Balmer","given":"M. C","non-dropping-particle":"","parse-names":false,"suffix":""}],"container-title":"British Dental Journal","id":"ITEM-1","issue":"6","issued":{"date-parts":[["2013"]]},"page":"305-309","title":"A national evaluation of workplace-based assessment tools (WPBAs) in foundation dental training: a UK study. Effective and useful but do they provide an equitable training experience?","type":"article-journal","volume":"214"},"uris":["http://www.mendeley.com/documents/?uuid=a84297a9-5970-47f6-9d0d-a802ff983e3c"]},{"id":"ITEM-2","itemData":{"ISBN":"1470-2118","ISSN":"1470-2118","PMID":"16956144","abstract":"A study was conducted between August 2004 and August 2005 to explore the experiences of Foundation year 2 (F2) trainees who used the learning portfolio on the Mersey Deanery pilot scheme. Seventy-three trainees (77%) reported receiving their portfolio during their induction. In their first four-month placement, 90 trainees (96%) completed the two case-based discussions, 80 (87%) the three mini clinical examinations and 92 (97%) the two direct observation of practical procedures. The number of trainees who felt there was an opportunity to make a record of and analyse clinical critical incidents and critical incidents related to professional behaviour was only 32 (35%) and 13 (15%) respectively. Free text responses suggested that trainees appreciate the portfolio but that an understanding of its content and purpose, particularly by educational supervisors, is paramount to its success.","author":[{"dropping-particle":"","family":"Ryland","given":"I","non-dropping-particle":"","parse-names":false,"suffix":""},{"dropping-particle":"","family":"Brown","given":"J","non-dropping-particle":"","parse-names":false,"suffix":""},{"dropping-particle":"","family":"O'Brien","given":"M","non-dropping-particle":"","parse-names":false,"suffix":""},{"dropping-particle":"","family":"Graham","given":"D","non-dropping-particle":"","parse-names":false,"suffix":""},{"dropping-particle":"","family":"Gillies","given":"R","non-dropping-particle":"","parse-names":false,"suffix":""},{"dropping-particle":"","family":"Chapman","given":"T","non-dropping-particle":"","parse-names":false,"suffix":""},{"dropping-particle":"","family":"Shaw","given":"N","non-dropping-particle":"","parse-names":false,"suffix":""}],"container-title":"Clinical medicine (London, England)","id":"ITEM-2","issue":"4","issued":{"date-parts":[["2006"]]},"page":"378-80","title":"The portfolio: how was it for you? Views of F2 doctors from the Mersey Deanery Foundation Pilot.","type":"article-journal","volume":"6"},"uris":["http://www.mendeley.com/documents/?uuid=a8a13295-633c-4933-9cc5-1188db007bab"]}],"mendeley":{"formattedCitation":"(Ryland &lt;i&gt;et al.&lt;/i&gt;, 2006; Kirton &lt;i&gt;et al.&lt;/i&gt;, 2013)","plainTextFormattedCitation":"(Ryland et al., 2006; Kirton et al., 2013)","previouslyFormattedCitation":"(Kirton et al. 2013; Ryland et al. 2006)"},"properties":{"noteIndex":0},"schema":"https://github.com/citation-style-language/schema/raw/master/csl-citation.json"}</w:instrText>
      </w:r>
      <w:r w:rsidRPr="001477BD">
        <w:rPr>
          <w:rFonts w:ascii="Times New Roman" w:hAnsi="Times New Roman" w:cs="Times New Roman"/>
          <w:sz w:val="24"/>
          <w:szCs w:val="24"/>
        </w:rPr>
        <w:fldChar w:fldCharType="separate"/>
      </w:r>
      <w:r w:rsidR="00BE3B6C" w:rsidRPr="001477BD">
        <w:rPr>
          <w:rFonts w:ascii="Times New Roman" w:hAnsi="Times New Roman" w:cs="Times New Roman"/>
          <w:noProof/>
          <w:sz w:val="24"/>
          <w:szCs w:val="24"/>
        </w:rPr>
        <w:t>(Ryland et al. 2006; Kirton et al. 2013)</w:t>
      </w:r>
      <w:r w:rsidRPr="001477BD">
        <w:rPr>
          <w:rFonts w:ascii="Times New Roman" w:hAnsi="Times New Roman" w:cs="Times New Roman"/>
          <w:sz w:val="24"/>
          <w:szCs w:val="24"/>
        </w:rPr>
        <w:fldChar w:fldCharType="end"/>
      </w:r>
      <w:r w:rsidRPr="001477BD">
        <w:rPr>
          <w:rFonts w:ascii="Times New Roman" w:hAnsi="Times New Roman" w:cs="Times New Roman"/>
          <w:sz w:val="24"/>
          <w:szCs w:val="24"/>
        </w:rPr>
        <w:t xml:space="preserve">. This </w:t>
      </w:r>
      <w:r w:rsidRPr="006F3B00">
        <w:rPr>
          <w:rFonts w:ascii="Times New Roman" w:hAnsi="Times New Roman" w:cs="Times New Roman"/>
          <w:sz w:val="24"/>
          <w:szCs w:val="24"/>
        </w:rPr>
        <w:t>may be particularly important when assessors have had limited training on completing WBAs for trainees and are unsure about how to provide useful feedback. Poor quality feedback would therefore reduce the educational impact of the encounter. For instance, WBAs in histopathology use phrases such as “meets expectations” when rating performance. Clearly, without proper training, the word “expectations” has many connotations and could be interpreted a number of ways. For example, is the expectation related to the year of training, how the individual compares to his peers or does it stem from one’s own personal expectations?</w:t>
      </w:r>
    </w:p>
    <w:p w14:paraId="7D114E5B" w14:textId="77777777" w:rsidR="00863DF5" w:rsidRPr="006F3B00" w:rsidRDefault="00863DF5" w:rsidP="00863DF5">
      <w:pPr>
        <w:spacing w:after="0" w:line="480" w:lineRule="auto"/>
        <w:rPr>
          <w:rFonts w:ascii="Times New Roman" w:hAnsi="Times New Roman" w:cs="Times New Roman"/>
          <w:sz w:val="24"/>
          <w:szCs w:val="24"/>
        </w:rPr>
      </w:pPr>
    </w:p>
    <w:p w14:paraId="1BF7F0DF" w14:textId="484CDEF7" w:rsidR="00863DF5"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Thus the data from this survey is commensurate with the findings from other specialities, and suggests that current WBA’s used in histopathology do not always meet the criteria of a useful test.  They are perceived as being applied variably, produce results with questionable validity and have little apparent educational value.</w:t>
      </w:r>
    </w:p>
    <w:p w14:paraId="7283AA2B" w14:textId="77777777" w:rsidR="00682629" w:rsidRPr="006F3B00" w:rsidRDefault="00682629" w:rsidP="00682629">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There appears to be a negative perception of WBAs especially with regard to their capability in identifying diagnostic competence, struggling trainees or trainee progress. Our data shows that WBAs are viewed as being regulatory with their purpose and validity questioned. These opinions are shared by both assessors and trainees. There are conflicting opinions from this study which illustrate that the perception of WBAs is a complex issue which needs further exploration. In concordance with the literature our data shows that designing WBAs which are robust, feasible and challenging is difficult as they must satisfy a range of parameters and </w:t>
      </w:r>
      <w:r w:rsidRPr="0008532C">
        <w:rPr>
          <w:rFonts w:ascii="Times New Roman" w:hAnsi="Times New Roman" w:cs="Times New Roman"/>
          <w:sz w:val="24"/>
          <w:szCs w:val="24"/>
        </w:rPr>
        <w:t xml:space="preserve">users </w:t>
      </w:r>
      <w:r w:rsidRPr="0008532C">
        <w:rPr>
          <w:rFonts w:ascii="Times New Roman" w:hAnsi="Times New Roman" w:cs="Times New Roman"/>
          <w:sz w:val="24"/>
          <w:szCs w:val="24"/>
        </w:rPr>
        <w:fldChar w:fldCharType="begin" w:fldLock="1"/>
      </w:r>
      <w:r w:rsidRPr="0008532C">
        <w:rPr>
          <w:rFonts w:ascii="Times New Roman" w:hAnsi="Times New Roman" w:cs="Times New Roman"/>
          <w:sz w:val="24"/>
          <w:szCs w:val="24"/>
        </w:rPr>
        <w:instrText>ADDIN CSL_CITATION {"citationItems":[{"id":"ITEM-1","itemData":{"DOI":"10.1046/j.1365-2923.2002.01099.x","ISBN":"1365-2923","ISSN":"0308-0110","PMID":"11849528","abstract":"CONTEXT: The evaluation of competence in the health professions is of great importance to the public and professionals alike. Recent efforts to design dependable and accurate systems of assessment for demanding clinical roles are increasingly attempting to focus on all-round competence of practitioners. Many challenges are faced in this field as a balance between robust assessment methodology and feasibility in practice is crucial to implementation and adoption.\\n\\nOBJECTIVES: The authors discuss some of the challenges faced by educators and clinicians involved in the development of systems of assessment for the health professions, and describe a method which aims to address these issues in the assessment of postgraduate dental training in Scotland.\\n\\nDISCUSSION: Three of the major challenges facing educators and clinicians involved in the design of competency-based systems of assessment are considered: the requirement for evaluation in different areas of competence; the importance of association of assessment with the training objectives, and the types and focus of the assessment introduced. Issues around the use of formative and summative assessment, and the perception that these must always remain completely separate, are discussed in detail.\\n\\nSOLUTIONS: A proposal is made for the introduction of a method of assessment which has been designed keeping these challenges in mind. The rationale behind this assessment method is described.","author":[{"dropping-particle":"","family":"Prescott","given":"L E","non-dropping-particle":"","parse-names":false,"suffix":""},{"dropping-particle":"","family":"Norcini","given":"J J","non-dropping-particle":"","parse-names":false,"suffix":""},{"dropping-particle":"","family":"McKinlay","given":"P","non-dropping-particle":"","parse-names":false,"suffix":""},{"dropping-particle":"","family":"Rennie","given":"J S","non-dropping-particle":"","parse-names":false,"suffix":""}],"container-title":"Medical education","id":"ITEM-1","issue":"1","issued":{"date-parts":[["2002"]]},"page":"92-7","title":"Facing the challenges of competency-based assessment of postgraduate dental training: Longitudinal Evaluation of Performance (LEP).","type":"article-journal","volume":"36"},"uris":["http://www.mendeley.com/documents/?uuid=7fe0c137-77f6-448f-8d8b-efea2aa29329"]}],"mendeley":{"formattedCitation":"(Prescott &lt;i&gt;et al.&lt;/i&gt;, 2002)","plainTextFormattedCitation":"(Prescott et al., 2002)","previouslyFormattedCitation":"(Prescott et al. 2002)"},"properties":{"noteIndex":0},"schema":"https://github.com/citation-style-language/schema/raw/master/csl-citation.json"}</w:instrText>
      </w:r>
      <w:r w:rsidRPr="0008532C">
        <w:rPr>
          <w:rFonts w:ascii="Times New Roman" w:hAnsi="Times New Roman" w:cs="Times New Roman"/>
          <w:sz w:val="24"/>
          <w:szCs w:val="24"/>
        </w:rPr>
        <w:fldChar w:fldCharType="separate"/>
      </w:r>
      <w:r w:rsidRPr="0008532C">
        <w:rPr>
          <w:rFonts w:ascii="Times New Roman" w:hAnsi="Times New Roman" w:cs="Times New Roman"/>
          <w:noProof/>
          <w:sz w:val="24"/>
          <w:szCs w:val="24"/>
        </w:rPr>
        <w:t>(Prescott et al. 2002)</w:t>
      </w:r>
      <w:r w:rsidRPr="0008532C">
        <w:rPr>
          <w:rFonts w:ascii="Times New Roman" w:hAnsi="Times New Roman" w:cs="Times New Roman"/>
          <w:sz w:val="24"/>
          <w:szCs w:val="24"/>
        </w:rPr>
        <w:fldChar w:fldCharType="end"/>
      </w:r>
      <w:r w:rsidRPr="006F3B00">
        <w:rPr>
          <w:rFonts w:ascii="Times New Roman" w:hAnsi="Times New Roman" w:cs="Times New Roman"/>
          <w:sz w:val="24"/>
          <w:szCs w:val="24"/>
        </w:rPr>
        <w:t>.  Engaging with assessors and trainees when designing and implementing future WBAs therefore seems a pragmatic approach to try and deal with these issues.</w:t>
      </w:r>
    </w:p>
    <w:p w14:paraId="48127CFA" w14:textId="24F5D0E5" w:rsidR="00682629" w:rsidRPr="006F3B00" w:rsidRDefault="00682629" w:rsidP="00682629">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Given the current emphasis placed on using WBAs during training, these results suggest that further work on this topic is required to unravel the issues raised. In particular, the validity of the current WBAs needs to be researched so assessors and trainees know what the assessment is and is</w:t>
      </w:r>
      <w:r>
        <w:rPr>
          <w:rFonts w:ascii="Times New Roman" w:hAnsi="Times New Roman" w:cs="Times New Roman"/>
          <w:sz w:val="24"/>
          <w:szCs w:val="24"/>
        </w:rPr>
        <w:t xml:space="preserve"> not </w:t>
      </w:r>
      <w:r w:rsidRPr="006F3B00">
        <w:rPr>
          <w:rFonts w:ascii="Times New Roman" w:hAnsi="Times New Roman" w:cs="Times New Roman"/>
          <w:sz w:val="24"/>
          <w:szCs w:val="24"/>
        </w:rPr>
        <w:t>testing. To this end, most assessors and trainees believe WBAs do not identify diagnostic competence, which in turn, explains to some extent why they also thought they could</w:t>
      </w:r>
      <w:r>
        <w:rPr>
          <w:rFonts w:ascii="Times New Roman" w:hAnsi="Times New Roman" w:cs="Times New Roman"/>
          <w:sz w:val="24"/>
          <w:szCs w:val="24"/>
        </w:rPr>
        <w:t xml:space="preserve"> not</w:t>
      </w:r>
      <w:r w:rsidRPr="006F3B00">
        <w:rPr>
          <w:rFonts w:ascii="Times New Roman" w:hAnsi="Times New Roman" w:cs="Times New Roman"/>
          <w:sz w:val="24"/>
          <w:szCs w:val="24"/>
        </w:rPr>
        <w:t xml:space="preserve"> identify struggling trainees or identify trainee progress. Given</w:t>
      </w:r>
      <w:r>
        <w:rPr>
          <w:rFonts w:ascii="Times New Roman" w:hAnsi="Times New Roman" w:cs="Times New Roman"/>
          <w:sz w:val="24"/>
          <w:szCs w:val="24"/>
        </w:rPr>
        <w:t xml:space="preserve"> that the literature review in c</w:t>
      </w:r>
      <w:r w:rsidRPr="006F3B00">
        <w:rPr>
          <w:rFonts w:ascii="Times New Roman" w:hAnsi="Times New Roman" w:cs="Times New Roman"/>
          <w:sz w:val="24"/>
          <w:szCs w:val="24"/>
        </w:rPr>
        <w:t>hapter 1 was unable to define diagnostic competence or how consultants judge it in their trainees, perhaps it is not surprising that the questionnaire also reflects that WBAs are not perceived to be able to identify it</w:t>
      </w:r>
      <w:r>
        <w:rPr>
          <w:rFonts w:ascii="Times New Roman" w:hAnsi="Times New Roman" w:cs="Times New Roman"/>
          <w:sz w:val="24"/>
          <w:szCs w:val="24"/>
        </w:rPr>
        <w:t>.</w:t>
      </w:r>
    </w:p>
    <w:p w14:paraId="11E05F93" w14:textId="77777777" w:rsidR="00863DF5" w:rsidRPr="006F3B00" w:rsidRDefault="00863DF5" w:rsidP="00863DF5">
      <w:pPr>
        <w:spacing w:after="0" w:line="480" w:lineRule="auto"/>
        <w:rPr>
          <w:rFonts w:ascii="Times New Roman" w:hAnsi="Times New Roman" w:cs="Times New Roman"/>
          <w:sz w:val="24"/>
          <w:szCs w:val="24"/>
        </w:rPr>
      </w:pPr>
    </w:p>
    <w:p w14:paraId="67BF4598" w14:textId="308E66A8" w:rsidR="00863DF5" w:rsidRPr="006F3B00" w:rsidRDefault="00DE62D9" w:rsidP="00862691">
      <w:pPr>
        <w:pStyle w:val="Heading2"/>
        <w:rPr>
          <w:rFonts w:ascii="Times New Roman" w:hAnsi="Times New Roman" w:cs="Times New Roman"/>
          <w:color w:val="auto"/>
          <w:sz w:val="24"/>
          <w:szCs w:val="24"/>
        </w:rPr>
      </w:pPr>
      <w:bookmarkStart w:id="71" w:name="_Toc23243800"/>
      <w:r>
        <w:rPr>
          <w:rFonts w:ascii="Times New Roman" w:hAnsi="Times New Roman" w:cs="Times New Roman"/>
          <w:color w:val="auto"/>
          <w:sz w:val="24"/>
          <w:szCs w:val="24"/>
        </w:rPr>
        <w:t>3.7</w:t>
      </w:r>
      <w:r w:rsidR="00862691"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Limitations of study</w:t>
      </w:r>
      <w:bookmarkEnd w:id="71"/>
    </w:p>
    <w:p w14:paraId="2FDDC517" w14:textId="77777777" w:rsidR="00862691" w:rsidRPr="006F3B00" w:rsidRDefault="00862691" w:rsidP="00862691">
      <w:pPr>
        <w:rPr>
          <w:rFonts w:ascii="Times New Roman" w:hAnsi="Times New Roman" w:cs="Times New Roman"/>
          <w:sz w:val="24"/>
          <w:szCs w:val="24"/>
          <w:lang w:val="en-GB"/>
        </w:rPr>
      </w:pPr>
    </w:p>
    <w:p w14:paraId="69DEDA45" w14:textId="155D2F1F"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Only a limited range of questions were included in the questionnaire.  Further questions may have been able to offer more insight but the research team were aware that more </w:t>
      </w:r>
      <w:r w:rsidRPr="006F3B00">
        <w:rPr>
          <w:rFonts w:ascii="Times New Roman" w:hAnsi="Times New Roman" w:cs="Times New Roman"/>
          <w:sz w:val="24"/>
          <w:szCs w:val="24"/>
        </w:rPr>
        <w:lastRenderedPageBreak/>
        <w:t xml:space="preserve">questions could have deterred responses, and given </w:t>
      </w:r>
      <w:r w:rsidR="00A96094">
        <w:rPr>
          <w:rFonts w:ascii="Times New Roman" w:hAnsi="Times New Roman" w:cs="Times New Roman"/>
          <w:sz w:val="24"/>
          <w:szCs w:val="24"/>
        </w:rPr>
        <w:t xml:space="preserve">the </w:t>
      </w:r>
      <w:r w:rsidRPr="006F3B00">
        <w:rPr>
          <w:rFonts w:ascii="Times New Roman" w:hAnsi="Times New Roman" w:cs="Times New Roman"/>
          <w:sz w:val="24"/>
          <w:szCs w:val="24"/>
        </w:rPr>
        <w:t xml:space="preserve">fairly low response rates, this may have been justified. </w:t>
      </w:r>
    </w:p>
    <w:p w14:paraId="25687DE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conclusions drawn from the free text comments and questionnaire cannot be generalised to any great extent. Although many issues were raised, the low response rate may have introduced responder bias by selecting a group of respondents that had a greater interest in WBAs (either a positive or negative opinion). Those individuals who were apathetic to WBAs may not have responded. However, the questionnaire does offer insight into the issues of using WBAs and begins to form a context in which competency is judged in histopathology. </w:t>
      </w:r>
    </w:p>
    <w:p w14:paraId="2BEC65AC" w14:textId="417C3B45" w:rsidR="00863DF5" w:rsidRPr="00DE62D9"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Finally, the free text comments are not ideal for qualitative analysis where more thorough lines of enquiry and interpretation are required to explore key issues. For instance, focus groups and/or interviews with trainees and consultants would generate much richer data to achiev</w:t>
      </w:r>
      <w:r w:rsidR="00485EFB" w:rsidRPr="006F3B00">
        <w:rPr>
          <w:rFonts w:ascii="Times New Roman" w:hAnsi="Times New Roman" w:cs="Times New Roman"/>
          <w:sz w:val="24"/>
          <w:szCs w:val="24"/>
        </w:rPr>
        <w:t xml:space="preserve">e this-something that will be </w:t>
      </w:r>
      <w:r w:rsidR="0008532C">
        <w:rPr>
          <w:rFonts w:ascii="Times New Roman" w:hAnsi="Times New Roman" w:cs="Times New Roman"/>
          <w:sz w:val="24"/>
          <w:szCs w:val="24"/>
        </w:rPr>
        <w:t>used</w:t>
      </w:r>
      <w:r w:rsidR="00EE7383">
        <w:rPr>
          <w:rFonts w:ascii="Times New Roman" w:hAnsi="Times New Roman" w:cs="Times New Roman"/>
          <w:sz w:val="24"/>
          <w:szCs w:val="24"/>
        </w:rPr>
        <w:t xml:space="preserve"> in the next chapter (C</w:t>
      </w:r>
      <w:r w:rsidRPr="006F3B00">
        <w:rPr>
          <w:rFonts w:ascii="Times New Roman" w:hAnsi="Times New Roman" w:cs="Times New Roman"/>
          <w:sz w:val="24"/>
          <w:szCs w:val="24"/>
        </w:rPr>
        <w:t>hapter</w:t>
      </w:r>
      <w:r w:rsidR="00EE7383">
        <w:rPr>
          <w:rFonts w:ascii="Times New Roman" w:hAnsi="Times New Roman" w:cs="Times New Roman"/>
          <w:sz w:val="24"/>
          <w:szCs w:val="24"/>
        </w:rPr>
        <w:t xml:space="preserve"> </w:t>
      </w:r>
      <w:r w:rsidR="00DE62D9">
        <w:rPr>
          <w:rFonts w:ascii="Times New Roman" w:hAnsi="Times New Roman" w:cs="Times New Roman"/>
          <w:sz w:val="24"/>
          <w:szCs w:val="24"/>
        </w:rPr>
        <w:t>4).</w:t>
      </w:r>
    </w:p>
    <w:p w14:paraId="27053321" w14:textId="5F0E00FE" w:rsidR="00863DF5" w:rsidRPr="006F3B00" w:rsidRDefault="00DE62D9" w:rsidP="00862691">
      <w:pPr>
        <w:pStyle w:val="Heading2"/>
        <w:rPr>
          <w:rFonts w:ascii="Times New Roman" w:hAnsi="Times New Roman" w:cs="Times New Roman"/>
          <w:color w:val="auto"/>
          <w:sz w:val="24"/>
          <w:szCs w:val="24"/>
        </w:rPr>
      </w:pPr>
      <w:bookmarkStart w:id="72" w:name="_Toc23243801"/>
      <w:r>
        <w:rPr>
          <w:rFonts w:ascii="Times New Roman" w:hAnsi="Times New Roman" w:cs="Times New Roman"/>
          <w:color w:val="auto"/>
          <w:sz w:val="24"/>
          <w:szCs w:val="24"/>
        </w:rPr>
        <w:t>3.8</w:t>
      </w:r>
      <w:r w:rsidR="00862691"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Conclusion</w:t>
      </w:r>
      <w:bookmarkEnd w:id="72"/>
    </w:p>
    <w:p w14:paraId="0D8742F2" w14:textId="77777777" w:rsidR="00862691" w:rsidRPr="006F3B00" w:rsidRDefault="00862691" w:rsidP="00862691">
      <w:pPr>
        <w:rPr>
          <w:rFonts w:ascii="Times New Roman" w:hAnsi="Times New Roman" w:cs="Times New Roman"/>
          <w:sz w:val="24"/>
          <w:szCs w:val="24"/>
          <w:lang w:val="en-GB"/>
        </w:rPr>
      </w:pPr>
    </w:p>
    <w:p w14:paraId="191FFC1B" w14:textId="22CE2A04" w:rsidR="00863DF5" w:rsidRPr="006F3B00" w:rsidRDefault="00863DF5" w:rsidP="00863DF5">
      <w:pPr>
        <w:spacing w:line="480" w:lineRule="auto"/>
        <w:rPr>
          <w:rFonts w:ascii="Times New Roman" w:eastAsia="Times New Roman" w:hAnsi="Times New Roman" w:cs="Times New Roman"/>
          <w:sz w:val="24"/>
          <w:szCs w:val="24"/>
          <w:lang w:eastAsia="en-GB"/>
        </w:rPr>
      </w:pPr>
      <w:r w:rsidRPr="006F3B00">
        <w:rPr>
          <w:rFonts w:ascii="Times New Roman" w:hAnsi="Times New Roman" w:cs="Times New Roman"/>
          <w:sz w:val="24"/>
          <w:szCs w:val="24"/>
        </w:rPr>
        <w:t>The GMC has stated that WBAs are a summative tool used to assess “competency” and they are  u</w:t>
      </w:r>
      <w:r w:rsidR="0008532C">
        <w:rPr>
          <w:rFonts w:ascii="Times New Roman" w:hAnsi="Times New Roman" w:cs="Times New Roman"/>
          <w:sz w:val="24"/>
          <w:szCs w:val="24"/>
        </w:rPr>
        <w:t>sed</w:t>
      </w:r>
      <w:r w:rsidRPr="006F3B00">
        <w:rPr>
          <w:rFonts w:ascii="Times New Roman" w:hAnsi="Times New Roman" w:cs="Times New Roman"/>
          <w:sz w:val="24"/>
          <w:szCs w:val="24"/>
        </w:rPr>
        <w:t>, in part, for the same purpose in histopathology training</w:t>
      </w:r>
      <w:r w:rsidR="00A96094">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{"citationItems":[{"id":"ITEM-1","itemData":{"abstract":"issue and outcome Assessment is a key component of learning in the clinical environment. It is necessary in the first place to help trainees learn and develop, and secondly to provide evidence for their progression in the competencies required. Proposals for discussion in this paper include the introduction of new terminology to distinguish between two purposes of assessment. The first is assessment used for feeding back on progress (formative) through Supervised Learning Events (SLEs). The second is assessment used to determine progress (summative) which would be referred to as Assessments of Performance (AoPs). This discussion document presents themes for discussion and future development of assessment. It suggests a direction of travel and intends to prompt discussion. Meanwhile the GMC's regulatory standards remain those set out in Tomorrow's Doctors, The Trainee Doctor and Standards for Curricula and Assessment Systems. By 2013, the GMC will begin a fundamental review of our standards to ensure that they are fit for purpose.","author":[{"dropping-particle":"","family":"The General Medical Council","given":"","non-dropping-particle":"","parse-names":false,"suffix":""}],"container-title":"The General Medical Council","id":"ITEM-1","issue":"November","issued":{"date-parts":[["2011"]]},"title":"Learning and assessment in the clinical environment: the way forward – November 2011","type":"article-journal"},"uris":["http://www.mendeley.com/documents/?uuid=db053de8-ca89-4608-9a46-94ca8bdb0ac9"]},{"id":"ITEM-2","itemData":{"URL":"https://www.rcpath.org/uploads/assets/uploaded/f8695439-ce47-4046-b13c1f6202fd8468.pdf","accessed":{"date-parts":[["2011","8","20"]]},"author":[{"dropping-particle":"","family":"Pathologists","given":"The Royal College of","non-dropping-particle":"","parse-names":false,"suffix":""}],"id":"ITEM-2","issued":{"date-parts":[["2015"]]},"title":"CURRICULUM FOR SPECIALTY TRAINING IN HISTOPATHOLOGY","type":"webpage"},"uris":["http://www.mendeley.com/documents/?uuid=a01fada6-0b1d-4988-844f-820c81a74765"]}],"mendeley":{"formattedCitation":"(The General Medical Council, 2011; Pathologists, 2015)","plainTextFormattedCitation":"(The General Medical Council, 2011; Pathologists, 2015)","previouslyFormattedCitation":"(The General Medical Council 2011; Pathologists 2015)"},"properties":{"noteIndex":0},"schema":"https://github.com/citation-style-language/schema/raw/master/csl-citation.json"}</w:instrText>
      </w:r>
      <w:r w:rsidRPr="006F3B00">
        <w:rPr>
          <w:rFonts w:ascii="Times New Roman" w:hAnsi="Times New Roman" w:cs="Times New Roman"/>
          <w:sz w:val="24"/>
          <w:szCs w:val="24"/>
        </w:rPr>
        <w:fldChar w:fldCharType="separate"/>
      </w:r>
      <w:r w:rsidR="0008532C">
        <w:rPr>
          <w:rFonts w:ascii="Times New Roman" w:hAnsi="Times New Roman" w:cs="Times New Roman"/>
          <w:noProof/>
          <w:sz w:val="24"/>
          <w:szCs w:val="24"/>
        </w:rPr>
        <w:t>(</w:t>
      </w:r>
      <w:r w:rsidR="00BE3B6C" w:rsidRPr="00BE3B6C">
        <w:rPr>
          <w:rFonts w:ascii="Times New Roman" w:hAnsi="Times New Roman" w:cs="Times New Roman"/>
          <w:noProof/>
          <w:sz w:val="24"/>
          <w:szCs w:val="24"/>
        </w:rPr>
        <w:t>General Medical Co</w:t>
      </w:r>
      <w:r w:rsidR="0008532C">
        <w:rPr>
          <w:rFonts w:ascii="Times New Roman" w:hAnsi="Times New Roman" w:cs="Times New Roman"/>
          <w:noProof/>
          <w:sz w:val="24"/>
          <w:szCs w:val="24"/>
        </w:rPr>
        <w:t>uncil</w:t>
      </w:r>
      <w:r w:rsidR="00BE3B6C" w:rsidRPr="00BE3B6C">
        <w:rPr>
          <w:rFonts w:ascii="Times New Roman" w:hAnsi="Times New Roman" w:cs="Times New Roman"/>
          <w:noProof/>
          <w:sz w:val="24"/>
          <w:szCs w:val="24"/>
        </w:rPr>
        <w:t xml:space="preserve"> 2011; </w:t>
      </w:r>
      <w:r w:rsidR="0008532C">
        <w:rPr>
          <w:rFonts w:ascii="Times New Roman" w:hAnsi="Times New Roman" w:cs="Times New Roman"/>
          <w:noProof/>
          <w:sz w:val="24"/>
          <w:szCs w:val="24"/>
        </w:rPr>
        <w:t>The Royal College of Pathologists</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However, the wider literature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{"citationItems":[{"id":"ITEM-1","itemData":{"DOI":"10.3109/0142159X.2011.558140","ISBN":"1466-187X","ISSN":"0142-159X","PMID":"22022902","abstract":"BACKGROUND: In August 2007, run-through specialty training and workplace-based assessments (WBAs) were introduced for UK junior doctors. Aim: This study explores whether WBAs have been successfully integrated into paediatric training programmes.\\n\\nMETHOD: A 20-item questionnaire was distributed to regional paediatric trainees.\\n\\nRESULTS: Eighty seven per cent (130/150) trainees responded. Reliability of the study was good (Cronbach's alpha 0.813); 92% (119/130) trainees knew how to conduct WBAs (scoring ≥ 4 on the six-point Likert scale). However, they were ambivalent about WBAs being a true reflection of their capabilities (mean Likert score 3.46). A common problem was finding assessors with 40% of trainees stating that staff had refused to do assessments. Almost half of the assessments were done retrospectively. Trainees did receive feedback but advice on future improvement was not always given (highest mean Likert score 4.00). Free text comments analysis mostly centred on difficulties in getting WBAs done.\\n\\nCONCLUSIONS: A cultural change is needed for trainees to feel that WBAs are not just a tick box exercise, but a useful educational tool for learning. Ongoing work on implementation needs to include additional training, especially on the value of WBAs for formative assessment and consultants having protected time in their job plans for training.","author":[{"dropping-particle":"","family":"Bindal","given":"Taruna","non-dropping-particle":"","parse-names":false,"suffix":""},{"dropping-particle":"","family":"Wall","given":"David","non-dropping-particle":"","parse-names":false,"suffix":""},{"dropping-particle":"","family":"Goodyear","given":"Helen M.","non-dropping-particle":"","parse-names":false,"suffix":""}],"container-title":"Medical Teacher","id":"ITEM-1","issued":{"date-parts":[["2011"]]},"page":"919-927","title":"Trainee doctors’ views on workplace-based assessments: Are they just a tick box exercise?","type":"article-journal","volume":"33"},"uris":["http://www.mendeley.com/documents/?uuid=0cf9d153-6e01-4ac8-856e-d3f58aea7621"]}],"mendeley":{"formattedCitation":"(Bindal, Wall and Goodyear, 2011)","plainTextFormattedCitation":"(Bindal, Wall and Goodyear, 2011)","previouslyFormattedCitation":"(Bindal, Wall, and Goodyear 2011)"},"properties":{"noteIndex":0},"schema":"https://github.com/citation-style-language/schema/raw/master/csl-citation.json"}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(Bind</w:t>
      </w:r>
      <w:r w:rsidR="0008532C">
        <w:rPr>
          <w:rFonts w:ascii="Times New Roman" w:hAnsi="Times New Roman" w:cs="Times New Roman"/>
          <w:noProof/>
          <w:sz w:val="24"/>
          <w:szCs w:val="24"/>
        </w:rPr>
        <w:t>al, Wall and Goodyear</w:t>
      </w:r>
      <w:r w:rsidR="00BE3B6C" w:rsidRPr="00BE3B6C">
        <w:rPr>
          <w:rFonts w:ascii="Times New Roman" w:hAnsi="Times New Roman" w:cs="Times New Roman"/>
          <w:noProof/>
          <w:sz w:val="24"/>
          <w:szCs w:val="24"/>
        </w:rPr>
        <w:t xml:space="preserve"> 2011)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and the results from this questionnaire suggest that their effectiveness, educational value and the numbers required to demonstrate competency, requires further evaluation.</w:t>
      </w:r>
      <w:r w:rsidRPr="006F3B00">
        <w:rPr>
          <w:rFonts w:ascii="Times New Roman" w:eastAsia="Times New Roman" w:hAnsi="Times New Roman" w:cs="Times New Roman"/>
          <w:sz w:val="24"/>
          <w:szCs w:val="24"/>
          <w:lang w:eastAsia="en-GB"/>
        </w:rPr>
        <w:t xml:space="preserve"> </w:t>
      </w:r>
    </w:p>
    <w:p w14:paraId="4C110EC1" w14:textId="1A9BBBBB" w:rsidR="00863DF5" w:rsidRPr="006F3B00" w:rsidRDefault="00863DF5" w:rsidP="00863DF5">
      <w:pPr>
        <w:spacing w:line="480" w:lineRule="auto"/>
        <w:jc w:val="both"/>
        <w:rPr>
          <w:rFonts w:ascii="Times New Roman" w:hAnsi="Times New Roman" w:cs="Times New Roman"/>
          <w:sz w:val="24"/>
          <w:szCs w:val="24"/>
        </w:rPr>
      </w:pPr>
      <w:r w:rsidRPr="006F3B00">
        <w:rPr>
          <w:rFonts w:ascii="Times New Roman" w:hAnsi="Times New Roman" w:cs="Times New Roman"/>
          <w:sz w:val="24"/>
          <w:szCs w:val="24"/>
        </w:rPr>
        <w:t xml:space="preserve">It seems reasonable to assume that a good starting point for improving the perception of the current WBAs is to understand the underlying qualities (knowledge, skills behaviours) which are relevant to diagnostic competence and the context in which they are </w:t>
      </w:r>
      <w:r w:rsidR="006E44EF">
        <w:rPr>
          <w:rFonts w:ascii="Times New Roman" w:hAnsi="Times New Roman" w:cs="Times New Roman"/>
          <w:sz w:val="24"/>
          <w:szCs w:val="24"/>
        </w:rPr>
        <w:t>judged</w:t>
      </w:r>
      <w:r w:rsidRPr="006F3B00">
        <w:rPr>
          <w:rFonts w:ascii="Times New Roman" w:hAnsi="Times New Roman" w:cs="Times New Roman"/>
          <w:sz w:val="24"/>
          <w:szCs w:val="24"/>
        </w:rPr>
        <w:t xml:space="preserve">. </w:t>
      </w:r>
      <w:r w:rsidRPr="006F3B00">
        <w:rPr>
          <w:rFonts w:ascii="Times New Roman" w:hAnsi="Times New Roman" w:cs="Times New Roman"/>
          <w:sz w:val="24"/>
          <w:szCs w:val="24"/>
        </w:rPr>
        <w:lastRenderedPageBreak/>
        <w:t xml:space="preserve">Qualitative research techniques are being used increasingly in healthcare to elicit people’s understanding and the unique meaning they attach to their experiences and actions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{"citationItems":[{"id":"ITEM-1","itemData":{"DOI":"10.1136/bmj.315.7110.740","ISBN":"0959813814685833","ISSN":"0959-8138, 1468-5833","PMID":"9314762","abstract":"Qualitative methods aim to make sense of, or interpret, phenomena in terms of the meanings people bring to them. Qualitative research may define preliminary questions which can then be addressed in quantitative studies. A good qualitative study will address a clinical problem through a clearly formulated question and using more than one research method (triangulation). Analysis of qualitative data can and should be done using explicit, systematic, and reproducible methods","author":[{"dropping-particle":"","family":"Greenhalgh","given":"Trisha","non-dropping-particle":"","parse-names":false,"suffix":""},{"dropping-particle":"","family":"Taylor","given":"Rod","non-dropping-particle":"","parse-names":false,"suffix":""}],"container-title":"British Medical Journal","id":"ITEM-1","issued":{"date-parts":[["1997"]]},"page":"740-743","title":"How to read a paper: Papers that go beyond numbers (qualitative research)","type":"article-journal","volume":"315"},"uris":["http://www.mendeley.com/documents/?uuid=9942017a-0a01-4be7-8241-7f316e8b891b","http://www.mendeley.com/documents/?uuid=436f1c39-d678-45a3-9e7b-d77174a1cb30","http://www.mendeley.com/documents/?uuid=cf8e8124-8c2e-499f-b9da-d0d965e83dfe"]}],"mendeley":{"formattedCitation":"(Greenhalgh and Taylor, 1997)","plainTextFormattedCitation":"(Greenhalgh and Taylor, 1997)","previouslyFormattedCitation":"(Greenhalgh and Taylor 1997)"},"properties":{"noteIndex":0},"schema":"https://github.com/citation-style-language/schema/raw/master/csl-citation.json"}</w:instrText>
      </w:r>
      <w:r w:rsidRPr="006F3B00">
        <w:rPr>
          <w:rFonts w:ascii="Times New Roman" w:hAnsi="Times New Roman" w:cs="Times New Roman"/>
          <w:sz w:val="24"/>
          <w:szCs w:val="24"/>
        </w:rPr>
        <w:fldChar w:fldCharType="separate"/>
      </w:r>
      <w:r w:rsidR="0008532C">
        <w:rPr>
          <w:rFonts w:ascii="Times New Roman" w:hAnsi="Times New Roman" w:cs="Times New Roman"/>
          <w:noProof/>
          <w:sz w:val="24"/>
          <w:szCs w:val="24"/>
        </w:rPr>
        <w:t>(Greenhalgh and Taylor</w:t>
      </w:r>
      <w:r w:rsidR="00BE3B6C" w:rsidRPr="00BE3B6C">
        <w:rPr>
          <w:rFonts w:ascii="Times New Roman" w:hAnsi="Times New Roman" w:cs="Times New Roman"/>
          <w:noProof/>
          <w:sz w:val="24"/>
          <w:szCs w:val="24"/>
        </w:rPr>
        <w:t xml:space="preserve"> 1997)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Qualitative research is exploratory in nature and can be used to elicit what qualities are relevant to diagnostic competence and the nature of the judgement ecology which underpins how </w:t>
      </w:r>
      <w:r w:rsidR="00A96094" w:rsidRPr="006F3B00">
        <w:rPr>
          <w:rFonts w:ascii="Times New Roman" w:hAnsi="Times New Roman" w:cs="Times New Roman"/>
          <w:sz w:val="24"/>
          <w:szCs w:val="24"/>
        </w:rPr>
        <w:t>consultants</w:t>
      </w:r>
      <w:r w:rsidRPr="006F3B00">
        <w:rPr>
          <w:rFonts w:ascii="Times New Roman" w:hAnsi="Times New Roman" w:cs="Times New Roman"/>
          <w:sz w:val="24"/>
          <w:szCs w:val="24"/>
        </w:rPr>
        <w:t xml:space="preserve"> determine competency in trainees. To this end, although the questionnaire has begun to conceptualise the “judgemental problem” and part of the “judgement ecology”, qualitative methods are needed to fully explore diagnostic competence and will be utilised in the next chapter of this study. </w:t>
      </w:r>
    </w:p>
    <w:p w14:paraId="456FDF8D" w14:textId="77777777" w:rsidR="00863DF5" w:rsidRPr="006F3B00" w:rsidRDefault="00863DF5" w:rsidP="00863DF5">
      <w:pPr>
        <w:spacing w:after="120" w:line="480" w:lineRule="auto"/>
        <w:rPr>
          <w:rFonts w:ascii="Times New Roman" w:hAnsi="Times New Roman" w:cs="Times New Roman"/>
          <w:sz w:val="24"/>
          <w:szCs w:val="24"/>
        </w:rPr>
      </w:pPr>
      <w:r w:rsidRPr="006F3B00">
        <w:rPr>
          <w:rFonts w:ascii="Times New Roman" w:hAnsi="Times New Roman" w:cs="Times New Roman"/>
          <w:sz w:val="24"/>
          <w:szCs w:val="24"/>
        </w:rPr>
        <w:t xml:space="preserve"> </w:t>
      </w:r>
    </w:p>
    <w:p w14:paraId="6FDFEB1A" w14:textId="77777777" w:rsidR="00863DF5" w:rsidRPr="006F3B00" w:rsidRDefault="00863DF5"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7C4B3E33" w14:textId="77777777" w:rsidR="00863DF5" w:rsidRPr="006F3B00" w:rsidRDefault="00863DF5"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6D9E312C"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68D14E8E"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40BF9B3E"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11B36474"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2A218232"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628C79A6"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448145BD" w14:textId="77777777" w:rsidR="0025315F" w:rsidRDefault="0025315F" w:rsidP="00135047">
      <w:pPr>
        <w:pStyle w:val="Heading1"/>
        <w:jc w:val="center"/>
        <w:rPr>
          <w:rFonts w:ascii="Times New Roman" w:hAnsi="Times New Roman" w:cs="Times New Roman"/>
          <w:b/>
          <w:bCs/>
          <w:color w:val="auto"/>
          <w:sz w:val="72"/>
          <w:szCs w:val="72"/>
        </w:rPr>
      </w:pPr>
    </w:p>
    <w:p w14:paraId="496FDAE4" w14:textId="77777777" w:rsidR="0025315F" w:rsidRDefault="0025315F" w:rsidP="00135047">
      <w:pPr>
        <w:pStyle w:val="Heading1"/>
        <w:jc w:val="center"/>
        <w:rPr>
          <w:rFonts w:ascii="Times New Roman" w:hAnsi="Times New Roman" w:cs="Times New Roman"/>
          <w:b/>
          <w:bCs/>
          <w:color w:val="auto"/>
          <w:sz w:val="72"/>
          <w:szCs w:val="72"/>
        </w:rPr>
      </w:pPr>
    </w:p>
    <w:p w14:paraId="4223CC11" w14:textId="733EC09A" w:rsidR="00B65B60" w:rsidRPr="006F3B00" w:rsidRDefault="00B65B60" w:rsidP="00135047">
      <w:pPr>
        <w:pStyle w:val="Heading1"/>
        <w:jc w:val="center"/>
        <w:rPr>
          <w:rFonts w:ascii="Times New Roman" w:hAnsi="Times New Roman" w:cs="Times New Roman"/>
          <w:b/>
          <w:bCs/>
          <w:color w:val="auto"/>
          <w:sz w:val="72"/>
          <w:szCs w:val="72"/>
        </w:rPr>
      </w:pPr>
      <w:bookmarkStart w:id="73" w:name="_Toc23243802"/>
      <w:r w:rsidRPr="006F3B00">
        <w:rPr>
          <w:rFonts w:ascii="Times New Roman" w:hAnsi="Times New Roman" w:cs="Times New Roman"/>
          <w:b/>
          <w:bCs/>
          <w:color w:val="auto"/>
          <w:sz w:val="72"/>
          <w:szCs w:val="72"/>
        </w:rPr>
        <w:t>Chapter 4</w:t>
      </w:r>
      <w:bookmarkEnd w:id="73"/>
    </w:p>
    <w:p w14:paraId="72587E31" w14:textId="77777777" w:rsidR="00B65B60" w:rsidRPr="006F3B00" w:rsidRDefault="00B65B60" w:rsidP="00B65B60">
      <w:pPr>
        <w:pStyle w:val="Heading1"/>
        <w:jc w:val="center"/>
        <w:rPr>
          <w:rFonts w:ascii="Times New Roman" w:hAnsi="Times New Roman" w:cs="Times New Roman"/>
          <w:b/>
          <w:bCs/>
          <w:color w:val="auto"/>
          <w:sz w:val="72"/>
          <w:szCs w:val="72"/>
        </w:rPr>
      </w:pPr>
      <w:bookmarkStart w:id="74" w:name="_Toc23243803"/>
      <w:r w:rsidRPr="006F3B00">
        <w:rPr>
          <w:rFonts w:ascii="Times New Roman" w:hAnsi="Times New Roman" w:cs="Times New Roman"/>
          <w:b/>
          <w:bCs/>
          <w:color w:val="auto"/>
          <w:sz w:val="72"/>
          <w:szCs w:val="72"/>
        </w:rPr>
        <w:t>A qualitative interview study using Framework Method to explore diagnostic competence in histopathology</w:t>
      </w:r>
      <w:bookmarkEnd w:id="74"/>
    </w:p>
    <w:p w14:paraId="47EE0BB8"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12447DAB"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6895CB35"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55A19209"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326C3EAF"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7DAD8A20"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0598E391"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555EE18E" w14:textId="77777777" w:rsidR="00B65B60" w:rsidRPr="006F3B00" w:rsidRDefault="00B65B60" w:rsidP="00863DF5">
      <w:pPr>
        <w:widowControl w:val="0"/>
        <w:autoSpaceDE w:val="0"/>
        <w:autoSpaceDN w:val="0"/>
        <w:adjustRightInd w:val="0"/>
        <w:spacing w:line="480" w:lineRule="auto"/>
        <w:ind w:left="480" w:hanging="480"/>
        <w:rPr>
          <w:rFonts w:ascii="Times New Roman" w:hAnsi="Times New Roman" w:cs="Times New Roman"/>
          <w:sz w:val="24"/>
          <w:szCs w:val="24"/>
        </w:rPr>
      </w:pPr>
    </w:p>
    <w:p w14:paraId="502B9632" w14:textId="77777777" w:rsidR="00AA1495" w:rsidRDefault="00AA1495" w:rsidP="00BA15D3">
      <w:pPr>
        <w:jc w:val="center"/>
        <w:rPr>
          <w:rFonts w:ascii="Times New Roman" w:hAnsi="Times New Roman" w:cs="Times New Roman"/>
          <w:b/>
          <w:bCs/>
          <w:sz w:val="24"/>
          <w:szCs w:val="24"/>
          <w:u w:val="single"/>
        </w:rPr>
      </w:pPr>
    </w:p>
    <w:p w14:paraId="2337B2D4" w14:textId="3511C8B0" w:rsidR="00485EFB" w:rsidRPr="0025315F" w:rsidRDefault="00863DF5" w:rsidP="0025315F">
      <w:pPr>
        <w:jc w:val="center"/>
        <w:rPr>
          <w:rFonts w:ascii="Times New Roman" w:hAnsi="Times New Roman" w:cs="Times New Roman"/>
          <w:b/>
          <w:bCs/>
          <w:sz w:val="24"/>
          <w:szCs w:val="24"/>
          <w:u w:val="single"/>
        </w:rPr>
      </w:pPr>
      <w:r w:rsidRPr="006F3B00">
        <w:rPr>
          <w:rFonts w:ascii="Times New Roman" w:hAnsi="Times New Roman" w:cs="Times New Roman"/>
          <w:b/>
          <w:bCs/>
          <w:sz w:val="24"/>
          <w:szCs w:val="24"/>
          <w:u w:val="single"/>
        </w:rPr>
        <w:lastRenderedPageBreak/>
        <w:t>Chapter 4: A quali</w:t>
      </w:r>
      <w:r w:rsidR="00485EFB" w:rsidRPr="006F3B00">
        <w:rPr>
          <w:rFonts w:ascii="Times New Roman" w:hAnsi="Times New Roman" w:cs="Times New Roman"/>
          <w:b/>
          <w:bCs/>
          <w:sz w:val="24"/>
          <w:szCs w:val="24"/>
          <w:u w:val="single"/>
        </w:rPr>
        <w:t>tative interview study using</w:t>
      </w:r>
      <w:r w:rsidRPr="006F3B00">
        <w:rPr>
          <w:rFonts w:ascii="Times New Roman" w:hAnsi="Times New Roman" w:cs="Times New Roman"/>
          <w:b/>
          <w:bCs/>
          <w:sz w:val="24"/>
          <w:szCs w:val="24"/>
          <w:u w:val="single"/>
        </w:rPr>
        <w:t xml:space="preserve"> Framework Method to explore diagnost</w:t>
      </w:r>
      <w:r w:rsidR="0025315F">
        <w:rPr>
          <w:rFonts w:ascii="Times New Roman" w:hAnsi="Times New Roman" w:cs="Times New Roman"/>
          <w:b/>
          <w:bCs/>
          <w:sz w:val="24"/>
          <w:szCs w:val="24"/>
          <w:u w:val="single"/>
        </w:rPr>
        <w:t>ic competence in histopathology</w:t>
      </w:r>
    </w:p>
    <w:p w14:paraId="2AD4329A" w14:textId="77777777" w:rsidR="00485EFB" w:rsidRPr="006F3B00" w:rsidRDefault="00485EFB" w:rsidP="00485EFB">
      <w:pPr>
        <w:pStyle w:val="Heading2"/>
        <w:rPr>
          <w:rFonts w:ascii="Times New Roman" w:hAnsi="Times New Roman" w:cs="Times New Roman"/>
          <w:color w:val="auto"/>
          <w:sz w:val="24"/>
          <w:szCs w:val="24"/>
        </w:rPr>
      </w:pPr>
      <w:bookmarkStart w:id="75" w:name="_Toc23243804"/>
      <w:r w:rsidRPr="006F3B00">
        <w:rPr>
          <w:rFonts w:ascii="Times New Roman" w:hAnsi="Times New Roman" w:cs="Times New Roman"/>
          <w:bCs w:val="0"/>
          <w:color w:val="auto"/>
          <w:sz w:val="24"/>
          <w:szCs w:val="24"/>
        </w:rPr>
        <w:t xml:space="preserve">4.1 </w:t>
      </w:r>
      <w:r w:rsidR="00863DF5" w:rsidRPr="006F3B00">
        <w:rPr>
          <w:rFonts w:ascii="Times New Roman" w:hAnsi="Times New Roman" w:cs="Times New Roman"/>
          <w:color w:val="auto"/>
          <w:sz w:val="24"/>
          <w:szCs w:val="24"/>
        </w:rPr>
        <w:t>Background</w:t>
      </w:r>
      <w:bookmarkEnd w:id="75"/>
    </w:p>
    <w:p w14:paraId="29A611A4" w14:textId="77777777" w:rsidR="003031EF" w:rsidRPr="006F3B00" w:rsidRDefault="003031EF" w:rsidP="003031EF">
      <w:pPr>
        <w:rPr>
          <w:rFonts w:ascii="Times New Roman" w:hAnsi="Times New Roman" w:cs="Times New Roman"/>
          <w:sz w:val="24"/>
          <w:szCs w:val="24"/>
          <w:lang w:val="en-GB"/>
        </w:rPr>
      </w:pPr>
    </w:p>
    <w:p w14:paraId="62FF964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the previous chapter, the questionnaire results showed that the majority of assessors and trainees felt that the current WBAs do not identify diagnostic competence in trainees. This is potentially problematic as WBAs are taken to the ARCP (alongside other evidence) </w:t>
      </w:r>
      <w:r w:rsidR="00D943FB">
        <w:rPr>
          <w:rFonts w:ascii="Times New Roman" w:hAnsi="Times New Roman" w:cs="Times New Roman"/>
          <w:sz w:val="24"/>
          <w:szCs w:val="24"/>
        </w:rPr>
        <w:t>to determine trainee competency</w:t>
      </w:r>
      <w:r w:rsidRPr="006F3B00">
        <w:rPr>
          <w:rFonts w:ascii="Times New Roman" w:hAnsi="Times New Roman" w:cs="Times New Roman"/>
          <w:sz w:val="24"/>
          <w:szCs w:val="24"/>
        </w:rPr>
        <w:t>. It is not clear why WBAs do not identify diagnostic competence but a possible explanation is that the forms do not reflect the knowledge, skills and attitudes that are most relevant to competency in histopathology.</w:t>
      </w:r>
    </w:p>
    <w:p w14:paraId="0235B3A9" w14:textId="02CCDE7D"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Understanding what diagnostic competence encompasses and the judgement ecology which pertains to this might help to create an evidence base to design future assessment tools. The literature review </w:t>
      </w:r>
      <w:r w:rsidR="00A96094">
        <w:rPr>
          <w:rFonts w:ascii="Times New Roman" w:hAnsi="Times New Roman" w:cs="Times New Roman"/>
          <w:sz w:val="24"/>
          <w:szCs w:val="24"/>
        </w:rPr>
        <w:t>(</w:t>
      </w:r>
      <w:r w:rsidR="00AA1495">
        <w:rPr>
          <w:rFonts w:ascii="Times New Roman" w:hAnsi="Times New Roman" w:cs="Times New Roman"/>
          <w:sz w:val="24"/>
          <w:szCs w:val="24"/>
        </w:rPr>
        <w:t>Chapter 1</w:t>
      </w:r>
      <w:r w:rsidR="00A96094">
        <w:rPr>
          <w:rFonts w:ascii="Times New Roman" w:hAnsi="Times New Roman" w:cs="Times New Roman"/>
          <w:sz w:val="24"/>
          <w:szCs w:val="24"/>
        </w:rPr>
        <w:t xml:space="preserve">) </w:t>
      </w:r>
      <w:r w:rsidRPr="006F3B00">
        <w:rPr>
          <w:rFonts w:ascii="Times New Roman" w:hAnsi="Times New Roman" w:cs="Times New Roman"/>
          <w:sz w:val="24"/>
          <w:szCs w:val="24"/>
        </w:rPr>
        <w:t>showed that there is no definition or clear description of what “diagnostic competence” involves, but the wider literature suggests medical competence in general can have many meanings, perspectives, interpretations and implications</w:t>
      </w:r>
      <w:r w:rsidR="00A96094">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{"citationItems":[{"id":"ITEM-1","itemData":{"DOI":"10.1080/0260293970220304","ISBN":"0260293970","ISSN":"0260-2938","abstract":"Assessing individuals as failures in education and training is rarely something that is done lightly or without misgivings. Related to this, the challenges of setting clear threshold or passing standards, are considerable. Assessors' affective responses during fail scenarios in professional training were explored during focused interviews with 30 academic and practice staff. The pattern of feelings reported at each stage of the decision-making process, factors which influence judgements and the reactions of others are described. The strength and spread of feelings stand out as an important sources of evidence. Understanding more about these affective responses may assist assessors as they make critical judgements at the margins of professional competence.","author":[{"dropping-particle":"","family":"Ilott","given":"Irene","non-dropping-particle":"","parse-names":false,"suffix":""},{"dropping-particle":"","family":"Murphy","given":"Roger","non-dropping-particle":"","parse-names":false,"suffix":""}],"container-title":"Assessment &amp; Evaluation in Higher Education","id":"ITEM-1","issue":"3","issued":{"date-parts":[["1997"]]},"page":"307-316","title":"Feelings and Failing in Professional Training: the assessor's dilemma","type":"article-journal","volume":"22"},"uris":["http://www.mendeley.com/documents/?uuid=59723d5e-516d-451b-9d49-6f8d515fa565"]}],"mendeley":{"formattedCitation":"(Ilott and Murphy, 1997)","plainTextFormattedCitation":"(Ilott and Murphy, 1997)","previouslyFormattedCitation":"(Ilott and Murphy 1997)"},"properties":{"noteIndex":0},"schema":"https://github.com/citation-style-language/schema/raw/master/csl-citation.json"}</w:instrText>
      </w:r>
      <w:r w:rsidRPr="006F3B00">
        <w:rPr>
          <w:rFonts w:ascii="Times New Roman" w:hAnsi="Times New Roman" w:cs="Times New Roman"/>
          <w:sz w:val="24"/>
          <w:szCs w:val="24"/>
        </w:rPr>
        <w:fldChar w:fldCharType="separate"/>
      </w:r>
      <w:r w:rsidR="0042453E">
        <w:rPr>
          <w:rFonts w:ascii="Times New Roman" w:hAnsi="Times New Roman" w:cs="Times New Roman"/>
          <w:noProof/>
          <w:sz w:val="24"/>
          <w:szCs w:val="24"/>
        </w:rPr>
        <w:t>(Ilott and Murphy</w:t>
      </w:r>
      <w:r w:rsidR="00BE3B6C" w:rsidRPr="00BE3B6C">
        <w:rPr>
          <w:rFonts w:ascii="Times New Roman" w:hAnsi="Times New Roman" w:cs="Times New Roman"/>
          <w:noProof/>
          <w:sz w:val="24"/>
          <w:szCs w:val="24"/>
        </w:rPr>
        <w:t xml:space="preserve"> 1997)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Qualitative research methods are for exploring these complexities as they provide descriptive </w:t>
      </w:r>
      <w:r w:rsidRPr="0042453E">
        <w:rPr>
          <w:rFonts w:ascii="Times New Roman" w:hAnsi="Times New Roman" w:cs="Times New Roman"/>
          <w:sz w:val="24"/>
          <w:szCs w:val="24"/>
        </w:rPr>
        <w:t xml:space="preserve">information which can be interpreted to aid conceptualisation and understanding of phenomena </w:t>
      </w:r>
      <w:r w:rsidRPr="0042453E">
        <w:rPr>
          <w:rFonts w:ascii="Times New Roman" w:hAnsi="Times New Roman" w:cs="Times New Roman"/>
          <w:sz w:val="24"/>
          <w:szCs w:val="24"/>
        </w:rPr>
        <w:fldChar w:fldCharType="begin" w:fldLock="1"/>
      </w:r>
      <w:r w:rsidR="00BE3B6C" w:rsidRPr="0042453E">
        <w:rPr>
          <w:rFonts w:ascii="Times New Roman" w:hAnsi="Times New Roman" w:cs="Times New Roman"/>
          <w:sz w:val="24"/>
          <w:szCs w:val="24"/>
        </w:rPr>
        <w:instrText>ADDIN CSL_CITATION {"citationItems":[{"id":"ITEM-1","itemData":{"DOI":"10.3310/hta2160","ISBN":"1366-5278","ISSN":"13665278","PMID":"23","abstract":"Executive summary available for free by visiting the document URL listed with this record.","author":[{"dropping-particle":"","family":"Murphy","given":"E.","non-dropping-particle":"","parse-names":false,"suffix":""},{"dropping-particle":"","family":"Dingwall","given":"R.","non-dropping-particle":"","parse-names":false,"suffix":""},{"dropping-particle":"","family":"Greatbatch","given":"D.","non-dropping-particle":"","parse-names":false,"suffix":""},{"dropping-particle":"","family":"Parker","given":"S.","non-dropping-particle":"","parse-names":false,"suffix":""},{"dropping-particle":"","family":"Watson","given":"P.","non-dropping-particle":"","parse-names":false,"suffix":""}],"container-title":"Health Technology Assessment","id":"ITEM-1","issue":"16","issued":{"date-parts":[["1998"]]},"title":"Qualitative research methods in health technology assessment: A review of the literature","type":"article","volume":"2"},"uris":["http://www.mendeley.com/documents/?uuid=e8e58e98-176a-45e5-9197-d08163c71734"]}],"mendeley":{"formattedCitation":"(E. Murphy &lt;i&gt;et al.&lt;/i&gt;, 1998)","plainTextFormattedCitation":"(E. Murphy et al., 1998)","previouslyFormattedCitation":"(E. Murphy et al. 1998)"},"properties":{"noteIndex":0},"schema":"https://github.com/citation-style-language/schema/raw/master/csl-citation.json"}</w:instrText>
      </w:r>
      <w:r w:rsidRPr="0042453E">
        <w:rPr>
          <w:rFonts w:ascii="Times New Roman" w:hAnsi="Times New Roman" w:cs="Times New Roman"/>
          <w:sz w:val="24"/>
          <w:szCs w:val="24"/>
        </w:rPr>
        <w:fldChar w:fldCharType="separate"/>
      </w:r>
      <w:r w:rsidR="0042453E" w:rsidRPr="0042453E">
        <w:rPr>
          <w:rFonts w:ascii="Times New Roman" w:hAnsi="Times New Roman" w:cs="Times New Roman"/>
          <w:noProof/>
          <w:sz w:val="24"/>
          <w:szCs w:val="24"/>
        </w:rPr>
        <w:t>(</w:t>
      </w:r>
      <w:r w:rsidR="00BE3B6C" w:rsidRPr="0042453E">
        <w:rPr>
          <w:rFonts w:ascii="Times New Roman" w:hAnsi="Times New Roman" w:cs="Times New Roman"/>
          <w:noProof/>
          <w:sz w:val="24"/>
          <w:szCs w:val="24"/>
        </w:rPr>
        <w:t>Murphy et al. 1998</w:t>
      </w:r>
      <w:r w:rsidR="0042453E">
        <w:rPr>
          <w:rFonts w:ascii="Times New Roman" w:hAnsi="Times New Roman" w:cs="Times New Roman"/>
          <w:noProof/>
          <w:sz w:val="24"/>
          <w:szCs w:val="24"/>
        </w:rPr>
        <w:t>a</w:t>
      </w:r>
      <w:r w:rsidR="00BE3B6C" w:rsidRPr="0042453E">
        <w:rPr>
          <w:rFonts w:ascii="Times New Roman" w:hAnsi="Times New Roman" w:cs="Times New Roman"/>
          <w:noProof/>
          <w:sz w:val="24"/>
          <w:szCs w:val="24"/>
        </w:rPr>
        <w:t>)</w:t>
      </w:r>
      <w:r w:rsidRPr="0042453E">
        <w:rPr>
          <w:rFonts w:ascii="Times New Roman" w:hAnsi="Times New Roman" w:cs="Times New Roman"/>
          <w:sz w:val="24"/>
          <w:szCs w:val="24"/>
        </w:rPr>
        <w:fldChar w:fldCharType="end"/>
      </w:r>
      <w:r w:rsidRPr="006F3B00">
        <w:rPr>
          <w:rFonts w:ascii="Times New Roman" w:hAnsi="Times New Roman" w:cs="Times New Roman"/>
          <w:sz w:val="24"/>
          <w:szCs w:val="24"/>
        </w:rPr>
        <w:t xml:space="preserve">. Unlike quantitative research, categories and theory emerge from the data rather than numbers and averages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{"citationItems":[{"id":"ITEM-1","itemData":{"abstract":"Bryman A (2008) Qualitative data analysis, pp537-563 in . 3rd edition. OUP: Oxford","author":[{"dropping-particle":"","family":"Bryman","given":"A","non-dropping-particle":"","parse-names":false,"suffix":""}],"container-title":"Social Research Methods","id":"ITEM-1","issued":{"date-parts":[["2008"]]},"page":"537-563","title":"Qualitative data analysis","type":"chapter"},"uris":["http://www.mendeley.com/documents/?uuid=9d4cb490-146f-4b41-abcd-a0eee77e46d4"]}],"mendeley":{"formattedCitation":"(Bryman, 2008)","plainTextFormattedCitation":"(Bryman, 2008)","previouslyFormattedCitation":"(Bryman 2008)"},"properties":{"noteIndex":0},"schema":"https://github.com/citation-style-language/schema/raw/master/csl-citation.json"}</w:instrText>
      </w:r>
      <w:r w:rsidRPr="006F3B00">
        <w:rPr>
          <w:rFonts w:ascii="Times New Roman" w:hAnsi="Times New Roman" w:cs="Times New Roman"/>
          <w:sz w:val="24"/>
          <w:szCs w:val="24"/>
        </w:rPr>
        <w:fldChar w:fldCharType="separate"/>
      </w:r>
      <w:r w:rsidR="007C23E0">
        <w:rPr>
          <w:rFonts w:ascii="Times New Roman" w:hAnsi="Times New Roman" w:cs="Times New Roman"/>
          <w:noProof/>
          <w:sz w:val="24"/>
          <w:szCs w:val="24"/>
        </w:rPr>
        <w:t>(Bryman</w:t>
      </w:r>
      <w:r w:rsidR="00BE3B6C" w:rsidRPr="00BE3B6C">
        <w:rPr>
          <w:rFonts w:ascii="Times New Roman" w:hAnsi="Times New Roman" w:cs="Times New Roman"/>
          <w:noProof/>
          <w:sz w:val="24"/>
          <w:szCs w:val="24"/>
        </w:rPr>
        <w:t xml:space="preserve"> 2008)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type of interpretation helps to make the world more visible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{"citationItems":[{"id":"ITEM-1","itemData":{"DOI":"qualitative methoden; interpretative methoden; interpretatives paradigma;","ISBN":"0761915125","ISSN":"14735903","PMID":"11894292","abstract":"Denzin, N. K., &amp; Lincoln, Y. S. (2000). The Discipline and Practice of Qualitative Research. In Denzin, N. K. &amp; Lincoln, Y. S. (eds.) Handbook of qualitative research (2nd ed.). Retrieved January 1, 2014, from http://www.sagepub.com/upm-data/40425_Chapter1.pdf","author":[{"dropping-particle":"","family":"Denzin","given":"Norman K","non-dropping-particle":"","parse-names":false,"suffix":""},{"dropping-particle":"","family":"Lincoln","given":"Yvonna S","non-dropping-particle":"","parse-names":false,"suffix":""}],"container-title":"Handbook of Qualitative Research","id":"ITEM-1","issued":{"date-parts":[["2000"]]},"page":"1-20","title":"The Discipline and Practice of Qualitative Research","type":"chapter"},"uris":["http://www.mendeley.com/documents/?uuid=41016aec-7f55-468e-b711-0305bb4c8c12"]}],"mendeley":{"formattedCitation":"(Denzin and Lincoln, 2000)","plainTextFormattedCitation":"(Denzin and Lincoln, 2000)","previouslyFormattedCitation":"(Denzin and Lincoln 2000)"},"properties":{"noteIndex":0},"schema":"https://github.com/citation-style-language/schema/raw/master/csl-citation.json"}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7C23E0">
        <w:rPr>
          <w:rFonts w:ascii="Times New Roman" w:hAnsi="Times New Roman" w:cs="Times New Roman"/>
          <w:noProof/>
          <w:sz w:val="24"/>
          <w:szCs w:val="24"/>
        </w:rPr>
        <w:t>Denzin and Lincoln</w:t>
      </w:r>
      <w:r w:rsidR="00BE3B6C" w:rsidRPr="00BE3B6C">
        <w:rPr>
          <w:rFonts w:ascii="Times New Roman" w:hAnsi="Times New Roman" w:cs="Times New Roman"/>
          <w:noProof/>
          <w:sz w:val="24"/>
          <w:szCs w:val="24"/>
        </w:rPr>
        <w:t xml:space="preserve"> 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613A09E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chapter 2, the theoretical background for this study was discussed, including the need to fully understand the judgement ecology and cues that underpin diagnostic competence. As such, to understand “diagnostic competence” the underlying concepts should be explored with a suitable method. To this end, semi-structured qualitative </w:t>
      </w:r>
      <w:r w:rsidRPr="006F3B00">
        <w:rPr>
          <w:rFonts w:ascii="Times New Roman" w:hAnsi="Times New Roman" w:cs="Times New Roman"/>
          <w:sz w:val="24"/>
          <w:szCs w:val="24"/>
        </w:rPr>
        <w:lastRenderedPageBreak/>
        <w:t>interviews have been chosen as their explorative nature should help to unearth these concepts.  They will also, alongside the questionnaire, help to achieve the first three objectives in Cooksey’s framework which steers this study:</w:t>
      </w:r>
    </w:p>
    <w:p w14:paraId="0A9A9C8B"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Conceptualise the judgemental problem</w:t>
      </w:r>
    </w:p>
    <w:p w14:paraId="68743EC2"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Understand the judgement ecology</w:t>
      </w:r>
    </w:p>
    <w:p w14:paraId="4E989681"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Identify relevant cues</w:t>
      </w:r>
    </w:p>
    <w:p w14:paraId="4ED2C0A2"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Sample cue profiles</w:t>
      </w:r>
    </w:p>
    <w:p w14:paraId="0634E4AA"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Sample participating judges</w:t>
      </w:r>
    </w:p>
    <w:p w14:paraId="3635111F"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Obtain judgements</w:t>
      </w:r>
    </w:p>
    <w:p w14:paraId="2CDE910E" w14:textId="77777777" w:rsidR="00863DF5" w:rsidRPr="006F3B00" w:rsidRDefault="00863DF5" w:rsidP="001A1FF3">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Capture individual judgement policy</w:t>
      </w:r>
    </w:p>
    <w:p w14:paraId="716F81CD" w14:textId="6D9BB173" w:rsidR="00863DF5" w:rsidRDefault="003031EF" w:rsidP="003031EF">
      <w:pPr>
        <w:pStyle w:val="Heading2"/>
        <w:rPr>
          <w:rFonts w:ascii="Times New Roman" w:hAnsi="Times New Roman" w:cs="Times New Roman"/>
          <w:color w:val="auto"/>
          <w:sz w:val="24"/>
          <w:szCs w:val="24"/>
        </w:rPr>
      </w:pPr>
      <w:bookmarkStart w:id="76" w:name="_Toc23243805"/>
      <w:r w:rsidRPr="006F3B00">
        <w:rPr>
          <w:rFonts w:ascii="Times New Roman" w:hAnsi="Times New Roman" w:cs="Times New Roman"/>
          <w:color w:val="auto"/>
          <w:sz w:val="24"/>
          <w:szCs w:val="24"/>
        </w:rPr>
        <w:t xml:space="preserve">4.2 </w:t>
      </w:r>
      <w:r w:rsidR="00863DF5" w:rsidRPr="006F3B00">
        <w:rPr>
          <w:rFonts w:ascii="Times New Roman" w:hAnsi="Times New Roman" w:cs="Times New Roman"/>
          <w:color w:val="auto"/>
          <w:sz w:val="24"/>
          <w:szCs w:val="24"/>
        </w:rPr>
        <w:t>Aim</w:t>
      </w:r>
      <w:r w:rsidR="008C32A1">
        <w:rPr>
          <w:rFonts w:ascii="Times New Roman" w:hAnsi="Times New Roman" w:cs="Times New Roman"/>
          <w:color w:val="auto"/>
          <w:sz w:val="24"/>
          <w:szCs w:val="24"/>
        </w:rPr>
        <w:t xml:space="preserve"> and objectives</w:t>
      </w:r>
      <w:bookmarkEnd w:id="76"/>
    </w:p>
    <w:p w14:paraId="08F37E91" w14:textId="00127723" w:rsidR="004E4460" w:rsidRDefault="004E4460" w:rsidP="004E4460">
      <w:pPr>
        <w:rPr>
          <w:lang w:val="en-GB"/>
        </w:rPr>
      </w:pPr>
    </w:p>
    <w:p w14:paraId="5F712FBD" w14:textId="65138FAA" w:rsidR="004E4460" w:rsidRPr="004E4460" w:rsidRDefault="004E4460" w:rsidP="0025315F">
      <w:pPr>
        <w:spacing w:line="240" w:lineRule="auto"/>
        <w:rPr>
          <w:rFonts w:ascii="Times New Roman" w:hAnsi="Times New Roman" w:cs="Times New Roman"/>
          <w:b/>
          <w:sz w:val="24"/>
          <w:szCs w:val="24"/>
          <w:lang w:val="en-GB"/>
        </w:rPr>
      </w:pPr>
      <w:r w:rsidRPr="004E4460">
        <w:rPr>
          <w:rFonts w:ascii="Times New Roman" w:hAnsi="Times New Roman" w:cs="Times New Roman"/>
          <w:b/>
          <w:sz w:val="24"/>
          <w:szCs w:val="24"/>
          <w:lang w:val="en-GB"/>
        </w:rPr>
        <w:t>Aim</w:t>
      </w:r>
    </w:p>
    <w:p w14:paraId="17CBCEE9" w14:textId="074CBB02" w:rsidR="00863DF5" w:rsidRPr="006F3B00" w:rsidRDefault="00863DF5" w:rsidP="007C23E0">
      <w:pPr>
        <w:spacing w:line="480" w:lineRule="auto"/>
        <w:rPr>
          <w:rFonts w:ascii="Times New Roman" w:hAnsi="Times New Roman" w:cs="Times New Roman"/>
          <w:sz w:val="24"/>
          <w:szCs w:val="24"/>
        </w:rPr>
      </w:pPr>
      <w:r w:rsidRPr="006F3B00">
        <w:rPr>
          <w:rFonts w:ascii="Times New Roman" w:hAnsi="Times New Roman" w:cs="Times New Roman"/>
          <w:bCs/>
          <w:sz w:val="24"/>
          <w:szCs w:val="24"/>
        </w:rPr>
        <w:t>To explore diagnostic competence in histopathology by means of a qualitative interview</w:t>
      </w:r>
      <w:r w:rsidR="00EE7383">
        <w:rPr>
          <w:rFonts w:ascii="Times New Roman" w:hAnsi="Times New Roman" w:cs="Times New Roman"/>
          <w:bCs/>
          <w:sz w:val="24"/>
          <w:szCs w:val="24"/>
        </w:rPr>
        <w:t xml:space="preserve"> study</w:t>
      </w:r>
      <w:r w:rsidR="00AF3286">
        <w:rPr>
          <w:rFonts w:ascii="Times New Roman" w:hAnsi="Times New Roman" w:cs="Times New Roman"/>
          <w:bCs/>
          <w:sz w:val="24"/>
          <w:szCs w:val="24"/>
        </w:rPr>
        <w:t>.</w:t>
      </w:r>
      <w:r w:rsidR="00EE7383">
        <w:rPr>
          <w:rFonts w:ascii="Times New Roman" w:hAnsi="Times New Roman" w:cs="Times New Roman"/>
          <w:bCs/>
          <w:sz w:val="24"/>
          <w:szCs w:val="24"/>
        </w:rPr>
        <w:t xml:space="preserve"> </w:t>
      </w:r>
    </w:p>
    <w:p w14:paraId="4522E068" w14:textId="77777777" w:rsidR="0025315F" w:rsidRDefault="00FB10F9" w:rsidP="0025315F">
      <w:pPr>
        <w:spacing w:line="240" w:lineRule="auto"/>
        <w:rPr>
          <w:rFonts w:ascii="Times New Roman" w:hAnsi="Times New Roman" w:cs="Times New Roman"/>
          <w:b/>
          <w:sz w:val="24"/>
          <w:szCs w:val="24"/>
        </w:rPr>
      </w:pPr>
      <w:r w:rsidRPr="00FB10F9">
        <w:rPr>
          <w:rFonts w:ascii="Times New Roman" w:hAnsi="Times New Roman" w:cs="Times New Roman"/>
          <w:b/>
          <w:sz w:val="24"/>
          <w:szCs w:val="24"/>
        </w:rPr>
        <w:t>Objectives</w:t>
      </w:r>
    </w:p>
    <w:p w14:paraId="0AA5FF08" w14:textId="58560980" w:rsidR="00863DF5" w:rsidRDefault="00863DF5" w:rsidP="0025315F">
      <w:pPr>
        <w:spacing w:line="240" w:lineRule="auto"/>
        <w:rPr>
          <w:rFonts w:ascii="Times New Roman" w:hAnsi="Times New Roman" w:cs="Times New Roman"/>
          <w:sz w:val="24"/>
          <w:szCs w:val="24"/>
        </w:rPr>
      </w:pPr>
      <w:r w:rsidRPr="006F3B00">
        <w:rPr>
          <w:rFonts w:ascii="Times New Roman" w:hAnsi="Times New Roman" w:cs="Times New Roman"/>
          <w:sz w:val="24"/>
          <w:szCs w:val="24"/>
        </w:rPr>
        <w:t xml:space="preserve">To </w:t>
      </w:r>
      <w:r w:rsidR="00AF3286">
        <w:rPr>
          <w:rFonts w:ascii="Times New Roman" w:hAnsi="Times New Roman" w:cs="Times New Roman"/>
          <w:sz w:val="24"/>
          <w:szCs w:val="24"/>
        </w:rPr>
        <w:t xml:space="preserve">use a Framework Method to </w:t>
      </w:r>
      <w:r w:rsidRPr="006F3B00">
        <w:rPr>
          <w:rFonts w:ascii="Times New Roman" w:hAnsi="Times New Roman" w:cs="Times New Roman"/>
          <w:sz w:val="24"/>
          <w:szCs w:val="24"/>
        </w:rPr>
        <w:t>explore and understand:</w:t>
      </w:r>
    </w:p>
    <w:p w14:paraId="77B74F5C" w14:textId="77777777" w:rsidR="007C23E0" w:rsidRPr="00FB10F9" w:rsidRDefault="007C23E0" w:rsidP="0025315F">
      <w:pPr>
        <w:spacing w:line="240" w:lineRule="auto"/>
        <w:rPr>
          <w:rFonts w:ascii="Times New Roman" w:hAnsi="Times New Roman" w:cs="Times New Roman"/>
          <w:b/>
          <w:sz w:val="24"/>
          <w:szCs w:val="24"/>
        </w:rPr>
      </w:pPr>
    </w:p>
    <w:p w14:paraId="1D3583C4" w14:textId="3B7CE262" w:rsidR="00863DF5" w:rsidRPr="008C32A1" w:rsidRDefault="00863DF5" w:rsidP="008C32A1">
      <w:pPr>
        <w:pStyle w:val="ListParagraph"/>
        <w:numPr>
          <w:ilvl w:val="0"/>
          <w:numId w:val="56"/>
        </w:numPr>
        <w:spacing w:line="480" w:lineRule="auto"/>
        <w:rPr>
          <w:rFonts w:ascii="Times New Roman" w:hAnsi="Times New Roman" w:cs="Times New Roman"/>
          <w:sz w:val="24"/>
          <w:szCs w:val="24"/>
        </w:rPr>
      </w:pPr>
      <w:r w:rsidRPr="008C32A1">
        <w:rPr>
          <w:rFonts w:ascii="Times New Roman" w:hAnsi="Times New Roman" w:cs="Times New Roman"/>
          <w:sz w:val="24"/>
          <w:szCs w:val="24"/>
        </w:rPr>
        <w:t>What diagnostic competence encompasses in histopathology</w:t>
      </w:r>
    </w:p>
    <w:p w14:paraId="290CAFF9" w14:textId="57FDCBEF" w:rsidR="00863DF5" w:rsidRPr="008C32A1" w:rsidRDefault="00863DF5" w:rsidP="008C32A1">
      <w:pPr>
        <w:pStyle w:val="ListParagraph"/>
        <w:numPr>
          <w:ilvl w:val="0"/>
          <w:numId w:val="56"/>
        </w:numPr>
        <w:spacing w:line="480" w:lineRule="auto"/>
        <w:rPr>
          <w:rFonts w:ascii="Times New Roman" w:hAnsi="Times New Roman" w:cs="Times New Roman"/>
          <w:sz w:val="24"/>
          <w:szCs w:val="24"/>
        </w:rPr>
      </w:pPr>
      <w:r w:rsidRPr="008C32A1">
        <w:rPr>
          <w:rFonts w:ascii="Times New Roman" w:hAnsi="Times New Roman" w:cs="Times New Roman"/>
          <w:sz w:val="24"/>
          <w:szCs w:val="24"/>
        </w:rPr>
        <w:t xml:space="preserve"> The cues consultants look for in their trainees when determining diagnostic competence</w:t>
      </w:r>
    </w:p>
    <w:p w14:paraId="66C7BF04" w14:textId="3ED4F615" w:rsidR="00863DF5" w:rsidRDefault="00863DF5" w:rsidP="008C32A1">
      <w:pPr>
        <w:pStyle w:val="ListParagraph"/>
        <w:numPr>
          <w:ilvl w:val="0"/>
          <w:numId w:val="56"/>
        </w:num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 The judgement ecology which pertains to determining diagnostic competency in trainees</w:t>
      </w:r>
    </w:p>
    <w:p w14:paraId="0AF164AA" w14:textId="0D064720" w:rsidR="007C23E0" w:rsidRDefault="007C23E0" w:rsidP="007C23E0">
      <w:pPr>
        <w:pStyle w:val="ListParagraph"/>
        <w:spacing w:line="480" w:lineRule="auto"/>
        <w:ind w:left="786"/>
        <w:rPr>
          <w:rFonts w:ascii="Times New Roman" w:hAnsi="Times New Roman" w:cs="Times New Roman"/>
          <w:sz w:val="24"/>
          <w:szCs w:val="24"/>
        </w:rPr>
      </w:pPr>
    </w:p>
    <w:p w14:paraId="44E35604" w14:textId="77777777" w:rsidR="007C23E0" w:rsidRPr="006F3B00" w:rsidRDefault="007C23E0" w:rsidP="007C23E0">
      <w:pPr>
        <w:pStyle w:val="ListParagraph"/>
        <w:spacing w:line="480" w:lineRule="auto"/>
        <w:ind w:left="786"/>
        <w:rPr>
          <w:rFonts w:ascii="Times New Roman" w:hAnsi="Times New Roman" w:cs="Times New Roman"/>
          <w:sz w:val="24"/>
          <w:szCs w:val="24"/>
        </w:rPr>
      </w:pPr>
    </w:p>
    <w:p w14:paraId="17F7FB4F" w14:textId="1DDBC2A9" w:rsidR="003031EF" w:rsidRPr="006F3B00" w:rsidRDefault="00FB10F9" w:rsidP="003031EF">
      <w:pPr>
        <w:pStyle w:val="Heading2"/>
        <w:rPr>
          <w:rFonts w:ascii="Times New Roman" w:hAnsi="Times New Roman" w:cs="Times New Roman"/>
          <w:color w:val="auto"/>
          <w:sz w:val="24"/>
          <w:szCs w:val="24"/>
        </w:rPr>
      </w:pPr>
      <w:bookmarkStart w:id="77" w:name="_Toc23243806"/>
      <w:r>
        <w:rPr>
          <w:rFonts w:ascii="Times New Roman" w:hAnsi="Times New Roman" w:cs="Times New Roman"/>
          <w:color w:val="auto"/>
          <w:sz w:val="24"/>
          <w:szCs w:val="24"/>
        </w:rPr>
        <w:lastRenderedPageBreak/>
        <w:t>4.3</w:t>
      </w:r>
      <w:r w:rsidR="003031EF" w:rsidRPr="006F3B00">
        <w:rPr>
          <w:rFonts w:ascii="Times New Roman" w:hAnsi="Times New Roman" w:cs="Times New Roman"/>
          <w:color w:val="auto"/>
          <w:sz w:val="24"/>
          <w:szCs w:val="24"/>
        </w:rPr>
        <w:t xml:space="preserve"> Method</w:t>
      </w:r>
      <w:bookmarkEnd w:id="77"/>
    </w:p>
    <w:p w14:paraId="1F70CD09" w14:textId="77777777" w:rsidR="003031EF" w:rsidRPr="006F3B00" w:rsidRDefault="003031EF" w:rsidP="003031EF">
      <w:pPr>
        <w:pStyle w:val="ListParagraph"/>
        <w:rPr>
          <w:rFonts w:ascii="Times New Roman" w:hAnsi="Times New Roman" w:cs="Times New Roman"/>
          <w:sz w:val="24"/>
          <w:szCs w:val="24"/>
        </w:rPr>
      </w:pPr>
    </w:p>
    <w:p w14:paraId="457682C0" w14:textId="553ACDE5" w:rsidR="00863DF5" w:rsidRPr="006F3B00" w:rsidRDefault="00863DF5" w:rsidP="00863DF5">
      <w:pPr>
        <w:spacing w:line="480" w:lineRule="auto"/>
        <w:rPr>
          <w:rFonts w:ascii="Times New Roman" w:hAnsi="Times New Roman" w:cs="Times New Roman"/>
          <w:b/>
          <w:sz w:val="24"/>
          <w:szCs w:val="24"/>
          <w:u w:val="single"/>
        </w:rPr>
      </w:pPr>
      <w:r w:rsidRPr="006F3B00">
        <w:rPr>
          <w:rFonts w:ascii="Times New Roman" w:hAnsi="Times New Roman" w:cs="Times New Roman"/>
          <w:sz w:val="24"/>
          <w:szCs w:val="24"/>
        </w:rPr>
        <w:t>The Framewo</w:t>
      </w:r>
      <w:r w:rsidR="007C23E0">
        <w:rPr>
          <w:rFonts w:ascii="Times New Roman" w:hAnsi="Times New Roman" w:cs="Times New Roman"/>
          <w:sz w:val="24"/>
          <w:szCs w:val="24"/>
        </w:rPr>
        <w:t>rk Method by Ritchie and Lewis</w:t>
      </w:r>
      <w:r w:rsidR="00BB5080">
        <w:rPr>
          <w:rFonts w:ascii="Times New Roman" w:hAnsi="Times New Roman" w:cs="Times New Roman"/>
          <w:sz w:val="24"/>
          <w:szCs w:val="24"/>
        </w:rPr>
        <w:t xml:space="preserve"> </w:t>
      </w:r>
      <w:r w:rsidR="00BB5080" w:rsidRPr="007C23E0">
        <w:rPr>
          <w:rFonts w:ascii="Times New Roman" w:hAnsi="Times New Roman" w:cs="Times New Roman"/>
          <w:sz w:val="24"/>
          <w:szCs w:val="24"/>
        </w:rPr>
        <w:t>(</w:t>
      </w:r>
      <w:r w:rsidR="007C23E0">
        <w:rPr>
          <w:rFonts w:ascii="Times New Roman" w:hAnsi="Times New Roman" w:cs="Times New Roman"/>
          <w:sz w:val="24"/>
          <w:szCs w:val="24"/>
        </w:rPr>
        <w:t>2003</w:t>
      </w:r>
      <w:r w:rsidR="007C23E0" w:rsidRPr="007C23E0">
        <w:rPr>
          <w:rFonts w:ascii="Times New Roman" w:hAnsi="Times New Roman" w:cs="Times New Roman"/>
          <w:sz w:val="24"/>
          <w:szCs w:val="24"/>
        </w:rPr>
        <w:t xml:space="preserve">) </w:t>
      </w:r>
      <w:r w:rsidRPr="006F3B00">
        <w:rPr>
          <w:rFonts w:ascii="Times New Roman" w:hAnsi="Times New Roman" w:cs="Times New Roman"/>
          <w:sz w:val="24"/>
          <w:szCs w:val="24"/>
        </w:rPr>
        <w:t>broadly fits into the technique of thematic analysis where codes are identified within interview transcripts and organised into themes or categories</w:t>
      </w:r>
      <w:r w:rsidR="007C23E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{"citationItems":[{"id":"ITEM-1","itemData":{"author":[{"dropping-particle":"","family":"Ritchie","given":"J. Spencer L.","non-dropping-particle":"","parse-names":false,"suffix":""}],"container-title":"Analyzing qualitative data","editor":[{"dropping-particle":"","family":"Bryman","given":"A.","non-dropping-particle":"","parse-names":false,"suffix":""},{"dropping-particle":"","family":"Burgess","given":"R.G.","non-dropping-particle":"","parse-names":false,"suffix":""}],"id":"ITEM-1","issued":{"date-parts":[["1994"]]},"page":"173-194","title":"Qualitative data analysis for applied policy research","type":"chapter"},"uris":["http://www.mendeley.com/documents/?uuid=4db16208-d7ab-4af2-b016-2fce49bd2278"]}],"mendeley":{"formattedCitation":"(Ritchie, 1994)","plainTextFormattedCitation":"(Ritchie, 1994)","previouslyFormattedCitation":"(J. S. L. Ritchie 1994)"},"properties":{"noteIndex":0},"schema":"https://github.com/citation-style-language/schema/raw/master/csl-citation.json"}</w:instrText>
      </w:r>
      <w:r w:rsidRPr="006F3B00">
        <w:rPr>
          <w:rFonts w:ascii="Times New Roman" w:hAnsi="Times New Roman" w:cs="Times New Roman"/>
          <w:sz w:val="24"/>
          <w:szCs w:val="24"/>
        </w:rPr>
        <w:fldChar w:fldCharType="separate"/>
      </w:r>
      <w:r w:rsidR="007C23E0">
        <w:rPr>
          <w:rFonts w:ascii="Times New Roman" w:hAnsi="Times New Roman" w:cs="Times New Roman"/>
          <w:noProof/>
          <w:sz w:val="24"/>
          <w:szCs w:val="24"/>
        </w:rPr>
        <w:t>(Ritchie</w:t>
      </w:r>
      <w:r w:rsidR="00BE3B6C" w:rsidRPr="00BE3B6C">
        <w:rPr>
          <w:rFonts w:ascii="Times New Roman" w:hAnsi="Times New Roman" w:cs="Times New Roman"/>
          <w:noProof/>
          <w:sz w:val="24"/>
          <w:szCs w:val="24"/>
        </w:rPr>
        <w:t xml:space="preserve"> 1994)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It was developed at the UK National Centre for Social Research and is particularly utilised in applied social policy research. </w:t>
      </w:r>
    </w:p>
    <w:p w14:paraId="6E82C73B" w14:textId="75D90A3C"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Semi-structured, open-ended interviews were chosen to use alongside the framework method as they provide a useful balance in covering “necessary topics” that are relevant to the construct, while giving participants flexibility in their responses to offer their own insight into it. The “necessary topics” included elements from the literature </w:t>
      </w:r>
      <w:r w:rsidR="00C238D4">
        <w:rPr>
          <w:rFonts w:ascii="Times New Roman" w:hAnsi="Times New Roman" w:cs="Times New Roman"/>
          <w:sz w:val="24"/>
          <w:szCs w:val="24"/>
        </w:rPr>
        <w:t xml:space="preserve">review </w:t>
      </w:r>
      <w:r w:rsidRPr="00494018">
        <w:rPr>
          <w:rFonts w:ascii="Times New Roman" w:hAnsi="Times New Roman" w:cs="Times New Roman"/>
          <w:sz w:val="24"/>
          <w:szCs w:val="24"/>
        </w:rPr>
        <w:t xml:space="preserve">which </w:t>
      </w:r>
      <w:r w:rsidRPr="006F3B00">
        <w:rPr>
          <w:rFonts w:ascii="Times New Roman" w:hAnsi="Times New Roman" w:cs="Times New Roman"/>
          <w:sz w:val="24"/>
          <w:szCs w:val="24"/>
        </w:rPr>
        <w:t>were believed to relate to diagnostic competence and could be explored in the interviews. These were</w:t>
      </w:r>
      <w:r w:rsidR="007C23E0">
        <w:rPr>
          <w:rFonts w:ascii="Times New Roman" w:hAnsi="Times New Roman" w:cs="Times New Roman"/>
          <w:sz w:val="24"/>
          <w:szCs w:val="24"/>
        </w:rPr>
        <w:t>:</w:t>
      </w:r>
      <w:r w:rsidRPr="006F3B00">
        <w:rPr>
          <w:rFonts w:ascii="Times New Roman" w:hAnsi="Times New Roman" w:cs="Times New Roman"/>
          <w:sz w:val="24"/>
          <w:szCs w:val="24"/>
        </w:rPr>
        <w:t xml:space="preserve"> </w:t>
      </w:r>
    </w:p>
    <w:p w14:paraId="2A220737" w14:textId="3BD17284"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1) </w:t>
      </w:r>
      <w:proofErr w:type="gramStart"/>
      <w:r w:rsidRPr="006F3B00">
        <w:rPr>
          <w:rFonts w:ascii="Times New Roman" w:hAnsi="Times New Roman" w:cs="Times New Roman"/>
          <w:sz w:val="24"/>
          <w:szCs w:val="24"/>
        </w:rPr>
        <w:t>comp</w:t>
      </w:r>
      <w:r w:rsidR="00C238D4">
        <w:rPr>
          <w:rFonts w:ascii="Times New Roman" w:hAnsi="Times New Roman" w:cs="Times New Roman"/>
          <w:sz w:val="24"/>
          <w:szCs w:val="24"/>
        </w:rPr>
        <w:t>etency</w:t>
      </w:r>
      <w:proofErr w:type="gramEnd"/>
      <w:r w:rsidR="00C238D4">
        <w:rPr>
          <w:rFonts w:ascii="Times New Roman" w:hAnsi="Times New Roman" w:cs="Times New Roman"/>
          <w:sz w:val="24"/>
          <w:szCs w:val="24"/>
        </w:rPr>
        <w:t xml:space="preserve"> is assessed in stages (Chapter 1, section 1.2.9)</w:t>
      </w:r>
    </w:p>
    <w:p w14:paraId="767B884B" w14:textId="0A5B76C8"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2) </w:t>
      </w:r>
      <w:proofErr w:type="gramStart"/>
      <w:r w:rsidRPr="006F3B00">
        <w:rPr>
          <w:rFonts w:ascii="Times New Roman" w:hAnsi="Times New Roman" w:cs="Times New Roman"/>
          <w:sz w:val="24"/>
          <w:szCs w:val="24"/>
        </w:rPr>
        <w:t>competency</w:t>
      </w:r>
      <w:proofErr w:type="gramEnd"/>
      <w:r w:rsidRPr="006F3B00">
        <w:rPr>
          <w:rFonts w:ascii="Times New Roman" w:hAnsi="Times New Roman" w:cs="Times New Roman"/>
          <w:sz w:val="24"/>
          <w:szCs w:val="24"/>
        </w:rPr>
        <w:t xml:space="preserve"> involves being accurate in diagnosis. </w:t>
      </w:r>
      <w:r w:rsidR="00C238D4">
        <w:rPr>
          <w:rFonts w:ascii="Times New Roman" w:hAnsi="Times New Roman" w:cs="Times New Roman"/>
          <w:sz w:val="24"/>
          <w:szCs w:val="24"/>
        </w:rPr>
        <w:t>(Chapter 1, section 1.2.10.2)</w:t>
      </w:r>
    </w:p>
    <w:p w14:paraId="5BA0A74E" w14:textId="46461213" w:rsidR="00C238D4" w:rsidRPr="006F3B00" w:rsidRDefault="00C238D4"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competency</w:t>
      </w:r>
      <w:proofErr w:type="gramEnd"/>
      <w:r>
        <w:rPr>
          <w:rFonts w:ascii="Times New Roman" w:hAnsi="Times New Roman" w:cs="Times New Roman"/>
          <w:sz w:val="24"/>
          <w:szCs w:val="24"/>
        </w:rPr>
        <w:t xml:space="preserve"> involved a diagnostic process (Chapter 1, section 1.2.10.3)</w:t>
      </w:r>
    </w:p>
    <w:p w14:paraId="7C2891BD" w14:textId="2001CF0B"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Framework method involves creating a chart or matrix, with rows (cases) and columns (codes). This allows the researcher to see the individual views across the different themes, but also how each participant contributed to each theme. This allows for comparison and contrasting across cases and within individual cases. It is fairly structured and systematic in the way data is organised which makes the analysis explicit and capable of being assessed by others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{"citationItems":[{"id":"ITEM-1","itemData":{"DOI":"10.4324/9780203413081_chapter_9","ISBN":"1446238725","ISSN":"0160-5682","PMID":"10625273","abstract":"High quality analysis of qualitative data depends on the skill, vision, and integrity of the researcher; it should not be left to the novice","author":[{"dropping-particle":"","family":"Pope","given":"Catherine","non-dropping-particle":"","parse-names":false,"suffix":""},{"dropping-particle":"","family":"Ziebland","given":"Sue","non-dropping-particle":"","parse-names":false,"suffix":""},{"dropping-particle":"","family":"Mays","given":"Nicholas","non-dropping-particle":"","parse-names":false,"suffix":""}],"container-title":"BMJ","id":"ITEM-1","issued":{"date-parts":[["2000"]]},"page":"114-6","title":"Analysing qualitative data","type":"article-journal","volume":"320"},"uris":["http://www.mendeley.com/documents/?uuid=0e3d7daa-1ea0-462b-960d-c51bc65b2ad6"]}],"mendeley":{"formattedCitation":"(Pope, Ziebland and Mays, 2000)","plainTextFormattedCitation":"(Pope, Ziebland and Mays, 2000)","previouslyFormattedCitation":"(Pope, Ziebland, and Mays 2000)"},"properties":{"noteIndex":0},"schema":"https://github.com/citation-style-language/schema/raw/master/csl-citation.json"}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(Pope, Ziebland and Mays</w:t>
      </w:r>
      <w:r w:rsidR="00BE3B6C" w:rsidRPr="00BE3B6C">
        <w:rPr>
          <w:rFonts w:ascii="Times New Roman" w:hAnsi="Times New Roman" w:cs="Times New Roman"/>
          <w:noProof/>
          <w:sz w:val="24"/>
          <w:szCs w:val="24"/>
        </w:rPr>
        <w:t xml:space="preserve"> 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However, the researcher must also show flexibility and openness with the data, without trying to quantify it, so that the analysis still reflects the original accounts and observations of the people studied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{"citationItems":[{"id":"ITEM-1","itemData":{"author":[{"dropping-particle":"","family":"Ritchie","given":"J. Spencer L.","non-dropping-particle":"","parse-names":false,"suffix":""}],"container-title":"Analyzing qualitative data","editor":[{"dropping-particle":"","family":"Bryman","given":"A.","non-dropping-particle":"","parse-names":false,"suffix":""},{"dropping-particle":"","family":"Burgess","given":"R.G.","non-dropping-particle":"","parse-names":false,"suffix":""}],"id":"ITEM-1","issued":{"date-parts":[["1994"]]},"page":"173-194","title":"Qualitative data analysis for applied policy research","type":"chapter"},"uris":["http://www.mendeley.com/documents/?uuid=4db16208-d7ab-4af2-b016-2fce49bd2278"]}],"mendeley":{"formattedCitation":"(Ritchie, 1994)","plainTextFormattedCitation":"(Ritchie, 1994)","previouslyFormattedCitation":"(J. S. L. Ritchie 1994)"},"properties":{"noteIndex":0},"schema":"https://github.com/citation-style-language/schema/raw/master/csl-citation.json"}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(Ritchie</w:t>
      </w:r>
      <w:r w:rsidR="00BE3B6C" w:rsidRPr="00BE3B6C">
        <w:rPr>
          <w:rFonts w:ascii="Times New Roman" w:hAnsi="Times New Roman" w:cs="Times New Roman"/>
          <w:noProof/>
          <w:sz w:val="24"/>
          <w:szCs w:val="24"/>
        </w:rPr>
        <w:t xml:space="preserve"> 1994)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3B6C007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Thematic analysis is performed through the process of coding in six phases; familiarization with data, generating initial codes, searching for themes among codes, reviewing themes, defining and naming themes and producing a final report.</w:t>
      </w:r>
    </w:p>
    <w:p w14:paraId="395A9200" w14:textId="54ACC871" w:rsidR="00863DF5" w:rsidRPr="006F3B00" w:rsidRDefault="00863DF5" w:rsidP="00863DF5">
      <w:pPr>
        <w:spacing w:line="480" w:lineRule="auto"/>
        <w:rPr>
          <w:rFonts w:ascii="Times New Roman" w:eastAsia="Times New Roman" w:hAnsi="Times New Roman" w:cs="Times New Roman"/>
          <w:sz w:val="24"/>
          <w:szCs w:val="24"/>
        </w:rPr>
      </w:pPr>
      <w:r w:rsidRPr="006F3B00">
        <w:rPr>
          <w:rFonts w:ascii="Times New Roman" w:hAnsi="Times New Roman" w:cs="Times New Roman"/>
          <w:sz w:val="24"/>
          <w:szCs w:val="24"/>
        </w:rPr>
        <w:t>A theme represents an element of the data which is relevant to the research question, often something that keeps recurring or gives meaning to the data</w:t>
      </w:r>
      <w:r w:rsidR="00AF3286">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{"citationItems":[{"id":"ITEM-1","itemData":{"DOI":"10.1191/1478088706qp063oa","ISBN":"1478-0887\\n1478-0895","ISSN":"1478-0887","PMID":"223135521","abstract":"Thematic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author":[{"dropping-particle":"","family":"Braun","given":"V.","non-dropping-particle":"","parse-names":false,"suffix":""},{"dropping-particle":"","family":"Clarke","given":"V.","non-dropping-particle":"","parse-names":false,"suffix":""}],"container-title":"Qualitative Research in Psychology","id":"ITEM-1","issued":{"date-parts":[["2006"]]},"page":"77-101","title":"Using thematic analysis in psychology","type":"article-journal","volume":"3"},"uris":["http://www.mendeley.com/documents/?uuid=6d67c790-d0fe-4a47-bdd0-a04662722475"]}],"mendeley":{"formattedCitation":"(Braun and Clarke, 2006)","plainTextFormattedCitation":"(Braun and Clarke, 2006)","previouslyFormattedCitation":"(Braun and Clarke 2006)"},"properties":{"noteIndex":0},"schema":"https://github.com/citation-style-language/schema/raw/master/csl-citation.json"}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(Braun and Clarke</w:t>
      </w:r>
      <w:r w:rsidR="00BE3B6C" w:rsidRPr="00BE3B6C">
        <w:rPr>
          <w:rFonts w:ascii="Times New Roman" w:hAnsi="Times New Roman" w:cs="Times New Roman"/>
          <w:noProof/>
          <w:sz w:val="24"/>
          <w:szCs w:val="24"/>
        </w:rPr>
        <w:t xml:space="preserve"> 2006)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r w:rsidRPr="006F3B00">
        <w:rPr>
          <w:rFonts w:ascii="Times New Roman" w:eastAsia="Times New Roman" w:hAnsi="Times New Roman" w:cs="Times New Roman"/>
          <w:sz w:val="24"/>
          <w:szCs w:val="24"/>
        </w:rPr>
        <w:t xml:space="preserve">Ideally, a theme will be present a number of times within the dataset, but more instances does not equate to that theme being more crucial </w:t>
      </w:r>
      <w:r w:rsidRPr="006F3B00">
        <w:rPr>
          <w:rFonts w:ascii="Times New Roman" w:eastAsia="Times New Roman" w:hAnsi="Times New Roman" w:cs="Times New Roman"/>
          <w:sz w:val="24"/>
          <w:szCs w:val="24"/>
        </w:rPr>
        <w:fldChar w:fldCharType="begin" w:fldLock="1"/>
      </w:r>
      <w:r w:rsidR="00BE3B6C">
        <w:rPr>
          <w:rFonts w:ascii="Times New Roman" w:eastAsia="Times New Roman" w:hAnsi="Times New Roman" w:cs="Times New Roman"/>
          <w:sz w:val="24"/>
          <w:szCs w:val="24"/>
        </w:rPr>
        <w:instrText>ADDIN CSL_CITATION {"citationItems":[{"id":"ITEM-1","itemData":{"DOI":"10.1191/1478088706qp063oa","ISBN":"1478-0887\\n1478-0895","ISSN":"1478-0887","PMID":"223135521","abstract":"Thematic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author":[{"dropping-particle":"","family":"Braun","given":"V.","non-dropping-particle":"","parse-names":false,"suffix":""},{"dropping-particle":"","family":"Clarke","given":"V.","non-dropping-particle":"","parse-names":false,"suffix":""}],"container-title":"Qualitative Research in Psychology","id":"ITEM-1","issued":{"date-parts":[["2006"]]},"page":"77-101","title":"Using thematic analysis in psychology","type":"article-journal","volume":"3"},"uris":["http://www.mendeley.com/documents/?uuid=6d67c790-d0fe-4a47-bdd0-a04662722475"]}],"mendeley":{"formattedCitation":"(Braun and Clarke, 2006)","plainTextFormattedCitation":"(Braun and Clarke, 2006)","previouslyFormattedCitation":"(Braun and Clarke 2006)"},"properties":{"noteIndex":0},"schema":"https://github.com/citation-style-language/schema/raw/master/csl-citation.json"}</w:instrText>
      </w:r>
      <w:r w:rsidRPr="006F3B00">
        <w:rPr>
          <w:rFonts w:ascii="Times New Roman" w:eastAsia="Times New Roman" w:hAnsi="Times New Roman" w:cs="Times New Roman"/>
          <w:sz w:val="24"/>
          <w:szCs w:val="24"/>
        </w:rPr>
        <w:fldChar w:fldCharType="separate"/>
      </w:r>
      <w:r w:rsidR="00B24F58">
        <w:rPr>
          <w:rFonts w:ascii="Times New Roman" w:eastAsia="Times New Roman" w:hAnsi="Times New Roman" w:cs="Times New Roman"/>
          <w:noProof/>
          <w:sz w:val="24"/>
          <w:szCs w:val="24"/>
        </w:rPr>
        <w:t>(Braun and Clarke</w:t>
      </w:r>
      <w:r w:rsidR="00BE3B6C" w:rsidRPr="00BE3B6C">
        <w:rPr>
          <w:rFonts w:ascii="Times New Roman" w:eastAsia="Times New Roman" w:hAnsi="Times New Roman" w:cs="Times New Roman"/>
          <w:noProof/>
          <w:sz w:val="24"/>
          <w:szCs w:val="24"/>
        </w:rPr>
        <w:t xml:space="preserve"> 2006)</w:t>
      </w:r>
      <w:r w:rsidRPr="006F3B00">
        <w:rPr>
          <w:rFonts w:ascii="Times New Roman" w:eastAsia="Times New Roman" w:hAnsi="Times New Roman" w:cs="Times New Roman"/>
          <w:sz w:val="24"/>
          <w:szCs w:val="24"/>
        </w:rPr>
        <w:fldChar w:fldCharType="end"/>
      </w:r>
      <w:r w:rsidRPr="006F3B00">
        <w:rPr>
          <w:rFonts w:ascii="Times New Roman" w:eastAsia="Times New Roman" w:hAnsi="Times New Roman" w:cs="Times New Roman"/>
          <w:sz w:val="24"/>
          <w:szCs w:val="24"/>
        </w:rPr>
        <w:t xml:space="preserve">. </w:t>
      </w:r>
      <w:r w:rsidRPr="006F3B00">
        <w:rPr>
          <w:rFonts w:ascii="Times New Roman" w:hAnsi="Times New Roman" w:cs="Times New Roman"/>
          <w:sz w:val="24"/>
          <w:szCs w:val="24"/>
        </w:rPr>
        <w:t xml:space="preserve">Linked to this, the “keyness” of themes is also worthy of explanation. Keyness may capture an important element that is clearly relevant to the research question even if it is only mentioned once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{"citationItems":[{"id":"ITEM-1","itemData":{"DOI":"10.1191/1478088706qp063oa","ISBN":"1478-0887\\n1478-0895","ISSN":"1478-0887","PMID":"223135521","abstract":"Thematic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author":[{"dropping-particle":"","family":"Braun","given":"V.","non-dropping-particle":"","parse-names":false,"suffix":""},{"dropping-particle":"","family":"Clarke","given":"V.","non-dropping-particle":"","parse-names":false,"suffix":""}],"container-title":"Qualitative Research in Psychology","id":"ITEM-1","issued":{"date-parts":[["2006"]]},"page":"77-101","title":"Using thematic analysis in psychology","type":"article-journal","volume":"3"},"uris":["http://www.mendeley.com/documents/?uuid=6d67c790-d0fe-4a47-bdd0-a04662722475"]}],"mendeley":{"formattedCitation":"(Braun and Clarke, 2006)","plainTextFormattedCitation":"(Braun and Clarke, 2006)","previouslyFormattedCitation":"(Braun and Clarke 2006)"},"properties":{"noteIndex":0},"schema":"https://github.com/citation-style-language/schema/raw/master/csl-citation.json"}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(Braun and Clarke</w:t>
      </w:r>
      <w:r w:rsidR="00BE3B6C" w:rsidRPr="00BE3B6C">
        <w:rPr>
          <w:rFonts w:ascii="Times New Roman" w:hAnsi="Times New Roman" w:cs="Times New Roman"/>
          <w:noProof/>
          <w:sz w:val="24"/>
          <w:szCs w:val="24"/>
        </w:rPr>
        <w:t xml:space="preserve"> 2006)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Hence, the final number of themes may not necessarily include those that were the most prevalent in the data but could also be those that had significant “keyness” or importance to warrant inclusion.</w:t>
      </w:r>
    </w:p>
    <w:p w14:paraId="629FC963" w14:textId="39C83FE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patterns in the data can be identified using a deductive or inductive approach. The latter approach does not stem from applying a particular theory (and its assumptions) but conclusions are derived from the data itself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{"citationItems":[{"id":"ITEM-1","itemData":{"DOI":"10.1002/nur.4770140111","ISBN":"0803937792","ISSN":"01606891","PMID":"18000076","abstract":"Patton, M. (1990). Qualitative evaluation and research methods (pp. 169-186). Beverly Hills, CA: Sage.","author":[{"dropping-particle":"","family":"Patton","given":"M. Q.","non-dropping-particle":"","parse-names":false,"suffix":""}],"container-title":"Qualitative evaluation and research methods","id":"ITEM-1","issued":{"date-parts":[["1990"]]},"page":"169-186","title":"Designing qualitative studies","type":"chapter"},"uris":["http://www.mendeley.com/documents/?uuid=dd112bfa-7a93-47ea-b6de-b998a3dd9e60"]}],"mendeley":{"formattedCitation":"(Patton, 1990)","plainTextFormattedCitation":"(Patton, 1990)","previouslyFormattedCitation":"(Patton 1990)"},"properties":{"noteIndex":0},"schema":"https://github.com/citation-style-language/schema/raw/master/csl-citation.json"}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(Patton</w:t>
      </w:r>
      <w:r w:rsidR="00BE3B6C" w:rsidRPr="00BE3B6C">
        <w:rPr>
          <w:rFonts w:ascii="Times New Roman" w:hAnsi="Times New Roman" w:cs="Times New Roman"/>
          <w:noProof/>
          <w:sz w:val="24"/>
          <w:szCs w:val="24"/>
        </w:rPr>
        <w:t xml:space="preserve"> 1990)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This may produce a richer description of the data as it is less open to personal biases or pre-conceived ideas.   A quasi-deductive approach was used in this study as the literature review suggested that diagnostic competency was, for example, likely to be assessed in stages according to RCPath guidelines and there were clear research questions to answer. However, an inductive approach was also utilised to explore the concept of diagnostic competence in order to permit unexpected themes to emerge from the data.</w:t>
      </w:r>
    </w:p>
    <w:p w14:paraId="26FDCE6E" w14:textId="2673AC9C" w:rsidR="00863DF5" w:rsidRPr="006F3B00" w:rsidRDefault="00C238D4" w:rsidP="001E1A25">
      <w:pPr>
        <w:pStyle w:val="Heading3"/>
        <w:rPr>
          <w:rFonts w:ascii="Times New Roman" w:hAnsi="Times New Roman" w:cs="Times New Roman"/>
          <w:bCs w:val="0"/>
          <w:color w:val="auto"/>
          <w:sz w:val="24"/>
          <w:szCs w:val="24"/>
        </w:rPr>
      </w:pPr>
      <w:bookmarkStart w:id="78" w:name="_Toc23243807"/>
      <w:r>
        <w:rPr>
          <w:rFonts w:ascii="Times New Roman" w:hAnsi="Times New Roman" w:cs="Times New Roman"/>
          <w:bCs w:val="0"/>
          <w:color w:val="auto"/>
          <w:sz w:val="24"/>
          <w:szCs w:val="24"/>
        </w:rPr>
        <w:t>4.3</w:t>
      </w:r>
      <w:r w:rsidR="001E1A25" w:rsidRPr="006F3B00">
        <w:rPr>
          <w:rFonts w:ascii="Times New Roman" w:hAnsi="Times New Roman" w:cs="Times New Roman"/>
          <w:bCs w:val="0"/>
          <w:color w:val="auto"/>
          <w:sz w:val="24"/>
          <w:szCs w:val="24"/>
        </w:rPr>
        <w:t>.1</w:t>
      </w:r>
      <w:r w:rsidR="003031EF" w:rsidRPr="006F3B00">
        <w:rPr>
          <w:rFonts w:ascii="Times New Roman" w:hAnsi="Times New Roman" w:cs="Times New Roman"/>
          <w:bCs w:val="0"/>
          <w:color w:val="auto"/>
          <w:sz w:val="24"/>
          <w:szCs w:val="24"/>
        </w:rPr>
        <w:t xml:space="preserve"> </w:t>
      </w:r>
      <w:r w:rsidR="00863DF5" w:rsidRPr="006F3B00">
        <w:rPr>
          <w:rFonts w:ascii="Times New Roman" w:hAnsi="Times New Roman" w:cs="Times New Roman"/>
          <w:bCs w:val="0"/>
          <w:color w:val="auto"/>
          <w:sz w:val="24"/>
          <w:szCs w:val="24"/>
        </w:rPr>
        <w:t>Participants</w:t>
      </w:r>
      <w:bookmarkEnd w:id="78"/>
    </w:p>
    <w:p w14:paraId="71E52847" w14:textId="77777777" w:rsidR="003031EF" w:rsidRPr="006F3B00" w:rsidRDefault="003031EF" w:rsidP="003031EF">
      <w:pPr>
        <w:rPr>
          <w:rFonts w:ascii="Times New Roman" w:hAnsi="Times New Roman" w:cs="Times New Roman"/>
          <w:sz w:val="24"/>
          <w:szCs w:val="24"/>
          <w:lang w:val="en-GB"/>
        </w:rPr>
      </w:pPr>
    </w:p>
    <w:p w14:paraId="7F470F38"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target population were consultant histopathologists who had experience using WBAs and training trainees. These individuals were chosen as they complete the </w:t>
      </w:r>
      <w:r w:rsidRPr="006F3B00">
        <w:rPr>
          <w:rFonts w:ascii="Times New Roman" w:hAnsi="Times New Roman" w:cs="Times New Roman"/>
          <w:sz w:val="24"/>
          <w:szCs w:val="24"/>
        </w:rPr>
        <w:lastRenderedPageBreak/>
        <w:t xml:space="preserve">majority of WBAs (where aspects of competency are judged), and may also be involved in appraising trainees and determining ARCP outcomes. The participants, therefore, were initially purposively sampled from an opportunistic sample of consultants who worked within Sheffield Teaching Hospitals NHS Trust. Several consultants from outside the region and two trainees were also interviewed towards the latter end of the process to ensure saturation and triangulation of emerging concepts. </w:t>
      </w:r>
    </w:p>
    <w:p w14:paraId="641FD90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sample was chosen to encompass as wide a view as possible in order to fully understand the concepts being explored. Therefore, the sample included:</w:t>
      </w:r>
    </w:p>
    <w:p w14:paraId="34D66505" w14:textId="39CC9015" w:rsidR="00863DF5" w:rsidRPr="006F3B00" w:rsidRDefault="00863DF5" w:rsidP="001A1FF3">
      <w:pPr>
        <w:pStyle w:val="ListParagraph"/>
        <w:numPr>
          <w:ilvl w:val="0"/>
          <w:numId w:val="38"/>
        </w:numPr>
        <w:spacing w:line="480" w:lineRule="auto"/>
        <w:rPr>
          <w:rFonts w:ascii="Times New Roman" w:hAnsi="Times New Roman" w:cs="Times New Roman"/>
          <w:sz w:val="24"/>
          <w:szCs w:val="24"/>
        </w:rPr>
      </w:pPr>
      <w:r w:rsidRPr="006F3B00">
        <w:rPr>
          <w:rFonts w:ascii="Times New Roman" w:hAnsi="Times New Roman" w:cs="Times New Roman"/>
          <w:sz w:val="24"/>
          <w:szCs w:val="24"/>
        </w:rPr>
        <w:t>newly qualified consultants (&lt;3 years</w:t>
      </w:r>
      <w:r w:rsidR="00AF3286">
        <w:rPr>
          <w:rFonts w:ascii="Times New Roman" w:hAnsi="Times New Roman" w:cs="Times New Roman"/>
          <w:sz w:val="24"/>
          <w:szCs w:val="24"/>
        </w:rPr>
        <w:t>’</w:t>
      </w:r>
      <w:r w:rsidRPr="006F3B00">
        <w:rPr>
          <w:rFonts w:ascii="Times New Roman" w:hAnsi="Times New Roman" w:cs="Times New Roman"/>
          <w:sz w:val="24"/>
          <w:szCs w:val="24"/>
        </w:rPr>
        <w:t xml:space="preserve"> experience) who had recent exposure to the training environment</w:t>
      </w:r>
    </w:p>
    <w:p w14:paraId="1FEE4B7B" w14:textId="67BE615E" w:rsidR="00863DF5" w:rsidRPr="006F3B00" w:rsidRDefault="00863DF5" w:rsidP="001A1FF3">
      <w:pPr>
        <w:pStyle w:val="ListParagraph"/>
        <w:numPr>
          <w:ilvl w:val="0"/>
          <w:numId w:val="38"/>
        </w:numPr>
        <w:spacing w:line="480" w:lineRule="auto"/>
        <w:rPr>
          <w:rFonts w:ascii="Times New Roman" w:hAnsi="Times New Roman" w:cs="Times New Roman"/>
          <w:sz w:val="24"/>
          <w:szCs w:val="24"/>
        </w:rPr>
      </w:pPr>
      <w:r w:rsidRPr="006F3B00">
        <w:rPr>
          <w:rFonts w:ascii="Times New Roman" w:hAnsi="Times New Roman" w:cs="Times New Roman"/>
          <w:sz w:val="24"/>
          <w:szCs w:val="24"/>
        </w:rPr>
        <w:t>experienced consultants (&gt;3 years and some with 20+ years</w:t>
      </w:r>
      <w:r w:rsidR="00AF3286">
        <w:rPr>
          <w:rFonts w:ascii="Times New Roman" w:hAnsi="Times New Roman" w:cs="Times New Roman"/>
          <w:sz w:val="24"/>
          <w:szCs w:val="24"/>
        </w:rPr>
        <w:t>’</w:t>
      </w:r>
      <w:r w:rsidRPr="006F3B00">
        <w:rPr>
          <w:rFonts w:ascii="Times New Roman" w:hAnsi="Times New Roman" w:cs="Times New Roman"/>
          <w:sz w:val="24"/>
          <w:szCs w:val="24"/>
        </w:rPr>
        <w:t xml:space="preserve"> experience) who trained in a different era and whose perspective might differ</w:t>
      </w:r>
    </w:p>
    <w:p w14:paraId="13D27F49" w14:textId="77777777" w:rsidR="00863DF5" w:rsidRPr="006F3B00" w:rsidRDefault="00863DF5" w:rsidP="001A1FF3">
      <w:pPr>
        <w:pStyle w:val="ListParagraph"/>
        <w:numPr>
          <w:ilvl w:val="0"/>
          <w:numId w:val="38"/>
        </w:numPr>
        <w:spacing w:line="480" w:lineRule="auto"/>
        <w:rPr>
          <w:rFonts w:ascii="Times New Roman" w:hAnsi="Times New Roman" w:cs="Times New Roman"/>
          <w:sz w:val="24"/>
          <w:szCs w:val="24"/>
        </w:rPr>
      </w:pPr>
      <w:r w:rsidRPr="006F3B00">
        <w:rPr>
          <w:rFonts w:ascii="Times New Roman" w:hAnsi="Times New Roman" w:cs="Times New Roman"/>
          <w:sz w:val="24"/>
          <w:szCs w:val="24"/>
        </w:rPr>
        <w:t>current or previous training programme directors who had breadth of experience and knowledge of the ARCP process</w:t>
      </w:r>
    </w:p>
    <w:p w14:paraId="0D69BF95" w14:textId="77777777" w:rsidR="00863DF5" w:rsidRPr="006F3B00" w:rsidRDefault="00863DF5" w:rsidP="001A1FF3">
      <w:pPr>
        <w:pStyle w:val="ListParagraph"/>
        <w:numPr>
          <w:ilvl w:val="0"/>
          <w:numId w:val="38"/>
        </w:numPr>
        <w:spacing w:line="480" w:lineRule="auto"/>
        <w:rPr>
          <w:rFonts w:ascii="Times New Roman" w:hAnsi="Times New Roman" w:cs="Times New Roman"/>
          <w:sz w:val="24"/>
          <w:szCs w:val="24"/>
        </w:rPr>
      </w:pPr>
      <w:r w:rsidRPr="006F3B00">
        <w:rPr>
          <w:rFonts w:ascii="Times New Roman" w:hAnsi="Times New Roman" w:cs="Times New Roman"/>
          <w:sz w:val="24"/>
          <w:szCs w:val="24"/>
        </w:rPr>
        <w:t>current or previous educational supervisors who had experience of assessing trainees and gathering evidence for the ARCP</w:t>
      </w:r>
    </w:p>
    <w:p w14:paraId="2CE7631D" w14:textId="77777777" w:rsidR="00863DF5" w:rsidRPr="006F3B00" w:rsidRDefault="00863DF5" w:rsidP="001A1FF3">
      <w:pPr>
        <w:pStyle w:val="ListParagraph"/>
        <w:numPr>
          <w:ilvl w:val="0"/>
          <w:numId w:val="38"/>
        </w:numPr>
        <w:spacing w:line="480" w:lineRule="auto"/>
        <w:rPr>
          <w:rFonts w:ascii="Times New Roman" w:hAnsi="Times New Roman" w:cs="Times New Roman"/>
          <w:sz w:val="24"/>
          <w:szCs w:val="24"/>
        </w:rPr>
      </w:pPr>
      <w:r w:rsidRPr="006F3B00">
        <w:rPr>
          <w:rFonts w:ascii="Times New Roman" w:hAnsi="Times New Roman" w:cs="Times New Roman"/>
          <w:sz w:val="24"/>
          <w:szCs w:val="24"/>
        </w:rPr>
        <w:t>NHS and academic consultants to offer insight into clinical and academic qualities that might be part of diagnostic competence</w:t>
      </w:r>
    </w:p>
    <w:p w14:paraId="43D21AEA" w14:textId="77777777" w:rsidR="00863DF5" w:rsidRPr="006F3B00" w:rsidRDefault="00863DF5" w:rsidP="001A1FF3">
      <w:pPr>
        <w:pStyle w:val="ListParagraph"/>
        <w:numPr>
          <w:ilvl w:val="0"/>
          <w:numId w:val="38"/>
        </w:numPr>
        <w:spacing w:line="480" w:lineRule="auto"/>
        <w:rPr>
          <w:rFonts w:ascii="Times New Roman" w:hAnsi="Times New Roman" w:cs="Times New Roman"/>
          <w:sz w:val="24"/>
          <w:szCs w:val="24"/>
        </w:rPr>
      </w:pPr>
      <w:r w:rsidRPr="006F3B00">
        <w:rPr>
          <w:rFonts w:ascii="Times New Roman" w:hAnsi="Times New Roman" w:cs="Times New Roman"/>
          <w:sz w:val="24"/>
          <w:szCs w:val="24"/>
        </w:rPr>
        <w:t>histopathology trainees (for further insight into the judgement ecology)</w:t>
      </w:r>
    </w:p>
    <w:p w14:paraId="6E5F5281" w14:textId="62352663"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ensured that participants represented a range of demographic factors and the perspectives of all stakeholders</w:t>
      </w:r>
      <w:r w:rsidR="00AF3286">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{"citationItems":[{"id":"ITEM-1","itemData":{"abstract":"11 Reporting and Presenting Qualitative Data Clarissa White, Kandy Woodfield and Jane Ritchie Challenges facing the qualitative reporter 288 Forms of research outputs 290 Writing a qualitative research report 293 Displaying","author":[{"dropping-particle":"","family":"Ritchie","given":"J.","non-dropping-particle":"","parse-names":false,"suffix":""},{"dropping-particle":"","family":"Lewis","given":"J.","non-dropping-particle":"","parse-names":false,"suffix":""}],"container-title":"SAGE Publications","id":"ITEM-1","issued":{"date-parts":[["2003"]]},"title":"Qualitative Research Practice: A Guide for Social Science Students and Researchers","type":"book"},"uris":["http://www.mendeley.com/documents/?uuid=730d5ac6-b58a-4909-a4d1-68032bca1c57"]}],"mendeley":{"formattedCitation":"(Ritchie and Lewis, 2003)","plainTextFormattedCitation":"(Ritchie and Lewis, 2003)","previouslyFormattedCitation":"(J. Ritchie and Lewis 2003)"},"properties":{"noteIndex":0},"schema":"https://github.com/citation-style-language/schema/raw/master/csl-citation.json"}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(Ritchie and Lewis</w:t>
      </w:r>
      <w:r w:rsidR="00BE3B6C" w:rsidRPr="00BE3B6C">
        <w:rPr>
          <w:rFonts w:ascii="Times New Roman" w:hAnsi="Times New Roman" w:cs="Times New Roman"/>
          <w:noProof/>
          <w:sz w:val="24"/>
          <w:szCs w:val="24"/>
        </w:rPr>
        <w:t xml:space="preserve"> 2003)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59ED1459" w14:textId="15FFD93F" w:rsidR="00863DF5" w:rsidRPr="006F3B00" w:rsidRDefault="00863DF5" w:rsidP="00863DF5">
      <w:pPr>
        <w:spacing w:line="480" w:lineRule="auto"/>
        <w:jc w:val="both"/>
        <w:rPr>
          <w:rFonts w:ascii="Times New Roman" w:hAnsi="Times New Roman" w:cs="Times New Roman"/>
          <w:sz w:val="24"/>
          <w:szCs w:val="24"/>
        </w:rPr>
      </w:pPr>
      <w:r w:rsidRPr="006F3B00">
        <w:rPr>
          <w:rFonts w:ascii="Times New Roman" w:hAnsi="Times New Roman" w:cs="Times New Roman"/>
          <w:sz w:val="24"/>
          <w:szCs w:val="24"/>
        </w:rPr>
        <w:t>The study had ethical approval from the University of Sheffield Ethics Committee (ref. 008042) Recruitment of participants was via email from the researcher, introducing the project and attachment of a participant information sheet (</w:t>
      </w:r>
      <w:r w:rsidR="00D5243C" w:rsidRPr="006F3B00">
        <w:rPr>
          <w:rFonts w:ascii="Times New Roman" w:hAnsi="Times New Roman" w:cs="Times New Roman"/>
          <w:sz w:val="24"/>
          <w:szCs w:val="24"/>
        </w:rPr>
        <w:t xml:space="preserve">see </w:t>
      </w:r>
      <w:r w:rsidR="00AF3286">
        <w:rPr>
          <w:rFonts w:ascii="Times New Roman" w:hAnsi="Times New Roman" w:cs="Times New Roman"/>
          <w:sz w:val="24"/>
          <w:szCs w:val="24"/>
        </w:rPr>
        <w:t>A</w:t>
      </w:r>
      <w:r w:rsidR="00D5243C" w:rsidRPr="006F3B00">
        <w:rPr>
          <w:rFonts w:ascii="Times New Roman" w:hAnsi="Times New Roman" w:cs="Times New Roman"/>
          <w:sz w:val="24"/>
          <w:szCs w:val="24"/>
        </w:rPr>
        <w:t>ppendi</w:t>
      </w:r>
      <w:r w:rsidR="00AF3286">
        <w:rPr>
          <w:rFonts w:ascii="Times New Roman" w:hAnsi="Times New Roman" w:cs="Times New Roman"/>
          <w:sz w:val="24"/>
          <w:szCs w:val="24"/>
        </w:rPr>
        <w:t>ces</w:t>
      </w:r>
      <w:r w:rsidR="00CA4D9B">
        <w:rPr>
          <w:rFonts w:ascii="Times New Roman" w:hAnsi="Times New Roman" w:cs="Times New Roman"/>
          <w:sz w:val="24"/>
          <w:szCs w:val="24"/>
        </w:rPr>
        <w:t xml:space="preserve"> 3 and 4</w:t>
      </w:r>
      <w:r w:rsidRPr="006F3B00">
        <w:rPr>
          <w:rFonts w:ascii="Times New Roman" w:hAnsi="Times New Roman" w:cs="Times New Roman"/>
          <w:sz w:val="24"/>
          <w:szCs w:val="24"/>
        </w:rPr>
        <w:t xml:space="preserve">). A </w:t>
      </w:r>
      <w:r w:rsidRPr="006F3B00">
        <w:rPr>
          <w:rFonts w:ascii="Times New Roman" w:hAnsi="Times New Roman" w:cs="Times New Roman"/>
          <w:sz w:val="24"/>
          <w:szCs w:val="24"/>
        </w:rPr>
        <w:lastRenderedPageBreak/>
        <w:t xml:space="preserve">cooling off period between receiving information on the study and providing consent was used to ensure voluntary participation. A meeting was held with those participants who were willing to be interviewed, so any questions could be answered. They were reminded that participation was voluntary. </w:t>
      </w:r>
    </w:p>
    <w:p w14:paraId="7732935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Anyone who declined to be interviewed or did not provide informed consent was excluded from the study. </w:t>
      </w:r>
    </w:p>
    <w:p w14:paraId="6A4B57DB" w14:textId="23289FF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study was eventually composed of 13 par</w:t>
      </w:r>
      <w:r w:rsidR="00686222">
        <w:rPr>
          <w:rFonts w:ascii="Times New Roman" w:hAnsi="Times New Roman" w:cs="Times New Roman"/>
          <w:sz w:val="24"/>
          <w:szCs w:val="24"/>
        </w:rPr>
        <w:t>ticipants, summarised in Table 4.1</w:t>
      </w:r>
      <w:r w:rsidRPr="006F3B00">
        <w:rPr>
          <w:rFonts w:ascii="Times New Roman" w:hAnsi="Times New Roman" w:cs="Times New Roman"/>
          <w:sz w:val="24"/>
          <w:szCs w:val="24"/>
        </w:rPr>
        <w:t xml:space="preserv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340"/>
        <w:gridCol w:w="2649"/>
      </w:tblGrid>
      <w:tr w:rsidR="00863DF5" w:rsidRPr="006F3B00" w14:paraId="130F2B3A" w14:textId="77777777" w:rsidTr="0025315F">
        <w:tc>
          <w:tcPr>
            <w:tcW w:w="3595" w:type="dxa"/>
            <w:shd w:val="clear" w:color="auto" w:fill="D9D9D9" w:themeFill="background1" w:themeFillShade="D9"/>
          </w:tcPr>
          <w:p w14:paraId="6776521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Gender</w:t>
            </w:r>
          </w:p>
        </w:tc>
        <w:tc>
          <w:tcPr>
            <w:tcW w:w="2340" w:type="dxa"/>
          </w:tcPr>
          <w:p w14:paraId="4137F48D"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8 males</w:t>
            </w:r>
          </w:p>
        </w:tc>
        <w:tc>
          <w:tcPr>
            <w:tcW w:w="2649" w:type="dxa"/>
          </w:tcPr>
          <w:p w14:paraId="1AADA7E8"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5 females</w:t>
            </w:r>
          </w:p>
        </w:tc>
      </w:tr>
      <w:tr w:rsidR="00863DF5" w:rsidRPr="006F3B00" w14:paraId="3B35E04D" w14:textId="77777777" w:rsidTr="0025315F">
        <w:tc>
          <w:tcPr>
            <w:tcW w:w="3595" w:type="dxa"/>
            <w:shd w:val="clear" w:color="auto" w:fill="D9D9D9" w:themeFill="background1" w:themeFillShade="D9"/>
          </w:tcPr>
          <w:p w14:paraId="47FA0F8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Age range</w:t>
            </w:r>
          </w:p>
        </w:tc>
        <w:tc>
          <w:tcPr>
            <w:tcW w:w="4989" w:type="dxa"/>
            <w:gridSpan w:val="2"/>
          </w:tcPr>
          <w:p w14:paraId="5F32CED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30-63 years</w:t>
            </w:r>
          </w:p>
        </w:tc>
      </w:tr>
      <w:tr w:rsidR="00863DF5" w:rsidRPr="006F3B00" w14:paraId="2F47532A" w14:textId="77777777" w:rsidTr="0025315F">
        <w:trPr>
          <w:trHeight w:val="278"/>
        </w:trPr>
        <w:tc>
          <w:tcPr>
            <w:tcW w:w="3595" w:type="dxa"/>
            <w:vMerge w:val="restart"/>
            <w:shd w:val="clear" w:color="auto" w:fill="D9D9D9" w:themeFill="background1" w:themeFillShade="D9"/>
          </w:tcPr>
          <w:p w14:paraId="1CEACDC8"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Background</w:t>
            </w:r>
          </w:p>
          <w:p w14:paraId="76E52308" w14:textId="77777777" w:rsidR="00863DF5" w:rsidRPr="006F3B00" w:rsidRDefault="00863DF5" w:rsidP="00863DF5">
            <w:pPr>
              <w:spacing w:line="480" w:lineRule="auto"/>
              <w:rPr>
                <w:rFonts w:ascii="Times New Roman" w:hAnsi="Times New Roman" w:cs="Times New Roman"/>
                <w:sz w:val="24"/>
                <w:szCs w:val="24"/>
              </w:rPr>
            </w:pPr>
          </w:p>
          <w:p w14:paraId="4F7DDEA5" w14:textId="77777777" w:rsidR="00863DF5" w:rsidRPr="006F3B00" w:rsidRDefault="00863DF5" w:rsidP="00863DF5">
            <w:pPr>
              <w:spacing w:line="480" w:lineRule="auto"/>
              <w:rPr>
                <w:rFonts w:ascii="Times New Roman" w:hAnsi="Times New Roman" w:cs="Times New Roman"/>
                <w:sz w:val="24"/>
                <w:szCs w:val="24"/>
              </w:rPr>
            </w:pPr>
          </w:p>
          <w:p w14:paraId="2AD339C8" w14:textId="77777777" w:rsidR="00863DF5" w:rsidRPr="006F3B00" w:rsidRDefault="00863DF5" w:rsidP="00863DF5">
            <w:pPr>
              <w:spacing w:line="480" w:lineRule="auto"/>
              <w:rPr>
                <w:rFonts w:ascii="Times New Roman" w:hAnsi="Times New Roman" w:cs="Times New Roman"/>
                <w:sz w:val="24"/>
                <w:szCs w:val="24"/>
              </w:rPr>
            </w:pPr>
          </w:p>
          <w:p w14:paraId="045C7F55" w14:textId="77777777" w:rsidR="00863DF5" w:rsidRPr="006F3B00" w:rsidRDefault="00863DF5" w:rsidP="00863DF5">
            <w:pPr>
              <w:spacing w:line="480" w:lineRule="auto"/>
              <w:rPr>
                <w:rFonts w:ascii="Times New Roman" w:hAnsi="Times New Roman" w:cs="Times New Roman"/>
                <w:sz w:val="24"/>
                <w:szCs w:val="24"/>
              </w:rPr>
            </w:pPr>
          </w:p>
          <w:p w14:paraId="6B8D92E7" w14:textId="77777777" w:rsidR="00863DF5" w:rsidRPr="006F3B00" w:rsidRDefault="00863DF5" w:rsidP="00863DF5">
            <w:pPr>
              <w:spacing w:line="480" w:lineRule="auto"/>
              <w:rPr>
                <w:rFonts w:ascii="Times New Roman" w:hAnsi="Times New Roman" w:cs="Times New Roman"/>
                <w:sz w:val="24"/>
                <w:szCs w:val="24"/>
              </w:rPr>
            </w:pPr>
          </w:p>
        </w:tc>
        <w:tc>
          <w:tcPr>
            <w:tcW w:w="2340" w:type="dxa"/>
          </w:tcPr>
          <w:p w14:paraId="31499C8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11 consultants</w:t>
            </w:r>
          </w:p>
        </w:tc>
        <w:tc>
          <w:tcPr>
            <w:tcW w:w="2649" w:type="dxa"/>
          </w:tcPr>
          <w:p w14:paraId="7005F2FA"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2 trainees</w:t>
            </w:r>
          </w:p>
        </w:tc>
      </w:tr>
      <w:tr w:rsidR="00863DF5" w:rsidRPr="006F3B00" w14:paraId="61C0EBD0" w14:textId="77777777" w:rsidTr="0025315F">
        <w:trPr>
          <w:trHeight w:val="277"/>
        </w:trPr>
        <w:tc>
          <w:tcPr>
            <w:tcW w:w="3595" w:type="dxa"/>
            <w:vMerge/>
            <w:shd w:val="clear" w:color="auto" w:fill="D9D9D9" w:themeFill="background1" w:themeFillShade="D9"/>
          </w:tcPr>
          <w:p w14:paraId="5E4E2CED" w14:textId="77777777" w:rsidR="00863DF5" w:rsidRPr="006F3B00" w:rsidRDefault="00863DF5" w:rsidP="00863DF5">
            <w:pPr>
              <w:spacing w:line="480" w:lineRule="auto"/>
              <w:rPr>
                <w:rFonts w:ascii="Times New Roman" w:hAnsi="Times New Roman" w:cs="Times New Roman"/>
                <w:sz w:val="24"/>
                <w:szCs w:val="24"/>
              </w:rPr>
            </w:pPr>
          </w:p>
        </w:tc>
        <w:tc>
          <w:tcPr>
            <w:tcW w:w="2340" w:type="dxa"/>
          </w:tcPr>
          <w:p w14:paraId="781E628D"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5 past or current TPDs</w:t>
            </w:r>
          </w:p>
        </w:tc>
        <w:tc>
          <w:tcPr>
            <w:tcW w:w="2649" w:type="dxa"/>
          </w:tcPr>
          <w:p w14:paraId="40B7AEFD" w14:textId="77777777" w:rsidR="00863DF5" w:rsidRPr="006F3B00" w:rsidRDefault="00863DF5" w:rsidP="00863DF5">
            <w:pPr>
              <w:spacing w:line="480" w:lineRule="auto"/>
              <w:rPr>
                <w:rFonts w:ascii="Times New Roman" w:hAnsi="Times New Roman" w:cs="Times New Roman"/>
                <w:sz w:val="24"/>
                <w:szCs w:val="24"/>
              </w:rPr>
            </w:pPr>
          </w:p>
        </w:tc>
      </w:tr>
      <w:tr w:rsidR="00863DF5" w:rsidRPr="006F3B00" w14:paraId="5A7FF9D0" w14:textId="77777777" w:rsidTr="0025315F">
        <w:trPr>
          <w:trHeight w:val="277"/>
        </w:trPr>
        <w:tc>
          <w:tcPr>
            <w:tcW w:w="3595" w:type="dxa"/>
            <w:vMerge/>
            <w:shd w:val="clear" w:color="auto" w:fill="D9D9D9" w:themeFill="background1" w:themeFillShade="D9"/>
          </w:tcPr>
          <w:p w14:paraId="4123647A" w14:textId="77777777" w:rsidR="00863DF5" w:rsidRPr="006F3B00" w:rsidRDefault="00863DF5" w:rsidP="00863DF5">
            <w:pPr>
              <w:spacing w:line="480" w:lineRule="auto"/>
              <w:rPr>
                <w:rFonts w:ascii="Times New Roman" w:hAnsi="Times New Roman" w:cs="Times New Roman"/>
                <w:sz w:val="24"/>
                <w:szCs w:val="24"/>
              </w:rPr>
            </w:pPr>
          </w:p>
        </w:tc>
        <w:tc>
          <w:tcPr>
            <w:tcW w:w="2340" w:type="dxa"/>
          </w:tcPr>
          <w:p w14:paraId="05D274F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11 past or current ESs</w:t>
            </w:r>
          </w:p>
        </w:tc>
        <w:tc>
          <w:tcPr>
            <w:tcW w:w="2649" w:type="dxa"/>
          </w:tcPr>
          <w:p w14:paraId="75DDD6A2" w14:textId="77777777" w:rsidR="00863DF5" w:rsidRPr="006F3B00" w:rsidRDefault="00863DF5" w:rsidP="00863DF5">
            <w:pPr>
              <w:spacing w:line="480" w:lineRule="auto"/>
              <w:rPr>
                <w:rFonts w:ascii="Times New Roman" w:hAnsi="Times New Roman" w:cs="Times New Roman"/>
                <w:sz w:val="24"/>
                <w:szCs w:val="24"/>
              </w:rPr>
            </w:pPr>
          </w:p>
        </w:tc>
      </w:tr>
      <w:tr w:rsidR="00863DF5" w:rsidRPr="006F3B00" w14:paraId="70B9B059" w14:textId="77777777" w:rsidTr="0025315F">
        <w:trPr>
          <w:trHeight w:val="277"/>
        </w:trPr>
        <w:tc>
          <w:tcPr>
            <w:tcW w:w="3595" w:type="dxa"/>
            <w:vMerge/>
            <w:shd w:val="clear" w:color="auto" w:fill="D9D9D9" w:themeFill="background1" w:themeFillShade="D9"/>
          </w:tcPr>
          <w:p w14:paraId="7A9F8F3A" w14:textId="77777777" w:rsidR="00863DF5" w:rsidRPr="006F3B00" w:rsidRDefault="00863DF5" w:rsidP="00863DF5">
            <w:pPr>
              <w:spacing w:line="480" w:lineRule="auto"/>
              <w:rPr>
                <w:rFonts w:ascii="Times New Roman" w:hAnsi="Times New Roman" w:cs="Times New Roman"/>
                <w:sz w:val="24"/>
                <w:szCs w:val="24"/>
              </w:rPr>
            </w:pPr>
          </w:p>
        </w:tc>
        <w:tc>
          <w:tcPr>
            <w:tcW w:w="4989" w:type="dxa"/>
            <w:gridSpan w:val="2"/>
          </w:tcPr>
          <w:p w14:paraId="5646AF23"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Mixture of OMFP and general pathologists</w:t>
            </w:r>
          </w:p>
        </w:tc>
      </w:tr>
      <w:tr w:rsidR="00863DF5" w:rsidRPr="006F3B00" w14:paraId="2492C19C" w14:textId="77777777" w:rsidTr="0025315F">
        <w:trPr>
          <w:trHeight w:val="277"/>
        </w:trPr>
        <w:tc>
          <w:tcPr>
            <w:tcW w:w="3595" w:type="dxa"/>
            <w:vMerge/>
            <w:shd w:val="clear" w:color="auto" w:fill="D9D9D9" w:themeFill="background1" w:themeFillShade="D9"/>
          </w:tcPr>
          <w:p w14:paraId="1EAF2FFC" w14:textId="77777777" w:rsidR="00863DF5" w:rsidRPr="006F3B00" w:rsidRDefault="00863DF5" w:rsidP="00863DF5">
            <w:pPr>
              <w:spacing w:line="480" w:lineRule="auto"/>
              <w:rPr>
                <w:rFonts w:ascii="Times New Roman" w:hAnsi="Times New Roman" w:cs="Times New Roman"/>
                <w:sz w:val="24"/>
                <w:szCs w:val="24"/>
              </w:rPr>
            </w:pPr>
          </w:p>
        </w:tc>
        <w:tc>
          <w:tcPr>
            <w:tcW w:w="4989" w:type="dxa"/>
            <w:gridSpan w:val="2"/>
          </w:tcPr>
          <w:p w14:paraId="41D08E8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Years as a consultant</w:t>
            </w:r>
          </w:p>
          <w:p w14:paraId="78F8521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Range: 1-29 years</w:t>
            </w:r>
          </w:p>
          <w:p w14:paraId="69722B0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&lt;3 years, n= 3</w:t>
            </w:r>
          </w:p>
          <w:p w14:paraId="5BE969F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&gt;3 years, n = 8</w:t>
            </w:r>
          </w:p>
        </w:tc>
      </w:tr>
      <w:tr w:rsidR="00863DF5" w:rsidRPr="006F3B00" w14:paraId="31F0B8A8" w14:textId="77777777" w:rsidTr="0025315F">
        <w:tc>
          <w:tcPr>
            <w:tcW w:w="3595" w:type="dxa"/>
            <w:shd w:val="clear" w:color="auto" w:fill="D9D9D9" w:themeFill="background1" w:themeFillShade="D9"/>
          </w:tcPr>
          <w:p w14:paraId="2D1A3CD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Geographic spread</w:t>
            </w:r>
          </w:p>
        </w:tc>
        <w:tc>
          <w:tcPr>
            <w:tcW w:w="4989" w:type="dxa"/>
            <w:gridSpan w:val="2"/>
          </w:tcPr>
          <w:p w14:paraId="629CBC4D" w14:textId="1505D291"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Participants were from throughout the UK</w:t>
            </w:r>
          </w:p>
        </w:tc>
      </w:tr>
    </w:tbl>
    <w:p w14:paraId="121ECD99" w14:textId="5504A46C" w:rsidR="00396E8F" w:rsidRPr="00B24F58" w:rsidRDefault="00863DF5" w:rsidP="00B24F58">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 xml:space="preserve">Table </w:t>
      </w:r>
      <w:r w:rsidR="00686222">
        <w:rPr>
          <w:rFonts w:ascii="Times New Roman" w:hAnsi="Times New Roman" w:cs="Times New Roman"/>
          <w:b/>
          <w:sz w:val="24"/>
          <w:szCs w:val="24"/>
        </w:rPr>
        <w:t>4.</w:t>
      </w:r>
      <w:r w:rsidR="002349DF">
        <w:rPr>
          <w:rFonts w:ascii="Times New Roman" w:hAnsi="Times New Roman" w:cs="Times New Roman"/>
          <w:b/>
          <w:sz w:val="24"/>
          <w:szCs w:val="24"/>
        </w:rPr>
        <w:t>1.</w:t>
      </w:r>
      <w:r w:rsidRPr="006F3B00">
        <w:rPr>
          <w:rFonts w:ascii="Times New Roman" w:hAnsi="Times New Roman" w:cs="Times New Roman"/>
          <w:b/>
          <w:sz w:val="24"/>
          <w:szCs w:val="24"/>
        </w:rPr>
        <w:t xml:space="preserve"> Summary of participants who took part in the study</w:t>
      </w:r>
    </w:p>
    <w:p w14:paraId="17108B4F" w14:textId="77777777" w:rsidR="00396E8F" w:rsidRPr="00396E8F" w:rsidRDefault="00396E8F" w:rsidP="00396E8F">
      <w:pPr>
        <w:rPr>
          <w:lang w:val="en-GB"/>
        </w:rPr>
      </w:pPr>
    </w:p>
    <w:p w14:paraId="06D822AB" w14:textId="513FA80D" w:rsidR="00863DF5" w:rsidRPr="006F3B00" w:rsidRDefault="00C238D4" w:rsidP="001E1A25">
      <w:pPr>
        <w:pStyle w:val="Heading3"/>
        <w:rPr>
          <w:rFonts w:ascii="Times New Roman" w:hAnsi="Times New Roman" w:cs="Times New Roman"/>
          <w:bCs w:val="0"/>
          <w:color w:val="auto"/>
          <w:sz w:val="24"/>
          <w:szCs w:val="24"/>
        </w:rPr>
      </w:pPr>
      <w:bookmarkStart w:id="79" w:name="_Toc23243808"/>
      <w:r>
        <w:rPr>
          <w:rFonts w:ascii="Times New Roman" w:hAnsi="Times New Roman" w:cs="Times New Roman"/>
          <w:bCs w:val="0"/>
          <w:color w:val="auto"/>
          <w:sz w:val="24"/>
          <w:szCs w:val="24"/>
        </w:rPr>
        <w:lastRenderedPageBreak/>
        <w:t>4.3</w:t>
      </w:r>
      <w:r w:rsidR="001E1A25" w:rsidRPr="006F3B00">
        <w:rPr>
          <w:rFonts w:ascii="Times New Roman" w:hAnsi="Times New Roman" w:cs="Times New Roman"/>
          <w:bCs w:val="0"/>
          <w:color w:val="auto"/>
          <w:sz w:val="24"/>
          <w:szCs w:val="24"/>
        </w:rPr>
        <w:t>.2</w:t>
      </w:r>
      <w:r w:rsidR="003031EF" w:rsidRPr="006F3B00">
        <w:rPr>
          <w:rFonts w:ascii="Times New Roman" w:hAnsi="Times New Roman" w:cs="Times New Roman"/>
          <w:bCs w:val="0"/>
          <w:color w:val="auto"/>
          <w:sz w:val="24"/>
          <w:szCs w:val="24"/>
        </w:rPr>
        <w:t xml:space="preserve"> </w:t>
      </w:r>
      <w:r w:rsidR="00863DF5" w:rsidRPr="006F3B00">
        <w:rPr>
          <w:rFonts w:ascii="Times New Roman" w:hAnsi="Times New Roman" w:cs="Times New Roman"/>
          <w:bCs w:val="0"/>
          <w:color w:val="auto"/>
          <w:sz w:val="24"/>
          <w:szCs w:val="24"/>
        </w:rPr>
        <w:t>Interview guide</w:t>
      </w:r>
      <w:bookmarkEnd w:id="79"/>
    </w:p>
    <w:p w14:paraId="2FA7E43B" w14:textId="1D815AA8" w:rsidR="003031EF" w:rsidRPr="00396E8F" w:rsidRDefault="003031EF" w:rsidP="00B24F58">
      <w:pPr>
        <w:rPr>
          <w:rFonts w:ascii="Times New Roman" w:hAnsi="Times New Roman" w:cs="Times New Roman"/>
          <w:sz w:val="24"/>
          <w:szCs w:val="24"/>
          <w:lang w:val="en-GB"/>
        </w:rPr>
      </w:pPr>
    </w:p>
    <w:p w14:paraId="7714B96A" w14:textId="55CCB3E4"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semi-structured interview guide was used to ensure key areas were covered during the interview whilst ensuring participant’s views were accurately reflected in the data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{"citationItems":[{"id":"ITEM-1","itemData":{"author":[{"dropping-particle":"","family":"Ritchie","given":"J. Spencer L.","non-dropping-particle":"","parse-names":false,"suffix":""}],"container-title":"Analyzing qualitative data","editor":[{"dropping-particle":"","family":"Bryman","given":"A.","non-dropping-particle":"","parse-names":false,"suffix":""},{"dropping-particle":"","family":"Burgess","given":"R.G.","non-dropping-particle":"","parse-names":false,"suffix":""}],"id":"ITEM-1","issued":{"date-parts":[["1994"]]},"page":"173-194","title":"Qualitative data analysis for applied policy research","type":"chapter"},"uris":["http://www.mendeley.com/documents/?uuid=4db16208-d7ab-4af2-b016-2fce49bd2278"]}],"mendeley":{"formattedCitation":"(Ritchie, 1994)","plainTextFormattedCitation":"(Ritchie, 1994)","previouslyFormattedCitation":"(J. S. L. Ritchie 1994)"},"properties":{"noteIndex":0},"schema":"https://github.com/citation-style-language/schema/raw/master/csl-citation.json"}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(Ritchie</w:t>
      </w:r>
      <w:r w:rsidR="00BE3B6C" w:rsidRPr="00BE3B6C">
        <w:rPr>
          <w:rFonts w:ascii="Times New Roman" w:hAnsi="Times New Roman" w:cs="Times New Roman"/>
          <w:noProof/>
          <w:sz w:val="24"/>
          <w:szCs w:val="24"/>
        </w:rPr>
        <w:t xml:space="preserve"> 1994)</w:t>
      </w:r>
      <w:r w:rsidRPr="006F3B00">
        <w:rPr>
          <w:rFonts w:ascii="Times New Roman" w:hAnsi="Times New Roman" w:cs="Times New Roman"/>
          <w:sz w:val="24"/>
          <w:szCs w:val="24"/>
        </w:rPr>
        <w:fldChar w:fldCharType="end"/>
      </w:r>
      <w:r w:rsidR="00D5243C" w:rsidRPr="006F3B00">
        <w:rPr>
          <w:rFonts w:ascii="Times New Roman" w:hAnsi="Times New Roman" w:cs="Times New Roman"/>
          <w:sz w:val="24"/>
          <w:szCs w:val="24"/>
        </w:rPr>
        <w:t>,</w:t>
      </w:r>
      <w:r w:rsidR="00CA4D9B">
        <w:rPr>
          <w:rFonts w:ascii="Times New Roman" w:hAnsi="Times New Roman" w:cs="Times New Roman"/>
          <w:sz w:val="24"/>
          <w:szCs w:val="24"/>
        </w:rPr>
        <w:t xml:space="preserve"> (Appendix 5</w:t>
      </w:r>
      <w:r w:rsidRPr="006F3B00">
        <w:rPr>
          <w:rFonts w:ascii="Times New Roman" w:hAnsi="Times New Roman" w:cs="Times New Roman"/>
          <w:sz w:val="24"/>
          <w:szCs w:val="24"/>
        </w:rPr>
        <w:t>). The interview guide was tested in a pilot interview to ensure its efficacy but no modifications were suggested.  During the interviews that followed, the guide was amended using constant comparative analysis to explore new leads or themes that had emerged</w:t>
      </w:r>
      <w:r w:rsidR="00AF3286">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{"citationItems":[{"id":"ITEM-1","itemData":{"author":[{"dropping-particle":"","family":"Glaser, B. G., Strauss","given":"A. L. T","non-dropping-particle":"","parse-names":false,"suffix":""}],"id":"ITEM-1","issued":{"date-parts":[["1967"]]},"publisher":"Aldine De Gruyter","publisher-place":"New York, NY","title":"The discovery of grounded theory: Strategies for qualitative research.","type":"book"},"uris":["http://www.mendeley.com/documents/?uuid=caf4eb1b-9a65-414a-aa64-fd12322644ea"]}],"mendeley":{"formattedCitation":"(Glaser, B. G., Strauss, 1967)","plainTextFormattedCitation":"(Glaser, B. G., Strauss, 1967)","previouslyFormattedCitation":"(Glaser, B. G., Strauss 1967)"},"properties":{"noteIndex":0},"schema":"https://github.com/citation-style-language/schema/raw/master/csl-citation.json"}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(Glaser and Strauss</w:t>
      </w:r>
      <w:r w:rsidR="00BE3B6C" w:rsidRPr="00BE3B6C">
        <w:rPr>
          <w:rFonts w:ascii="Times New Roman" w:hAnsi="Times New Roman" w:cs="Times New Roman"/>
          <w:noProof/>
          <w:sz w:val="24"/>
          <w:szCs w:val="24"/>
        </w:rPr>
        <w:t xml:space="preserve"> 1967)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711A15FC" w14:textId="4627F575" w:rsidR="00863DF5" w:rsidRPr="006F3B00" w:rsidRDefault="00C238D4" w:rsidP="001E1A25">
      <w:pPr>
        <w:pStyle w:val="Heading3"/>
        <w:rPr>
          <w:rFonts w:ascii="Times New Roman" w:hAnsi="Times New Roman" w:cs="Times New Roman"/>
          <w:bCs w:val="0"/>
          <w:color w:val="auto"/>
          <w:sz w:val="24"/>
          <w:szCs w:val="24"/>
        </w:rPr>
      </w:pPr>
      <w:bookmarkStart w:id="80" w:name="_Toc23243809"/>
      <w:r>
        <w:rPr>
          <w:rFonts w:ascii="Times New Roman" w:hAnsi="Times New Roman" w:cs="Times New Roman"/>
          <w:bCs w:val="0"/>
          <w:color w:val="auto"/>
          <w:sz w:val="24"/>
          <w:szCs w:val="24"/>
        </w:rPr>
        <w:t>4.3</w:t>
      </w:r>
      <w:r w:rsidR="001E1A25" w:rsidRPr="006F3B00">
        <w:rPr>
          <w:rFonts w:ascii="Times New Roman" w:hAnsi="Times New Roman" w:cs="Times New Roman"/>
          <w:bCs w:val="0"/>
          <w:color w:val="auto"/>
          <w:sz w:val="24"/>
          <w:szCs w:val="24"/>
        </w:rPr>
        <w:t>.3</w:t>
      </w:r>
      <w:r w:rsidR="003031EF" w:rsidRPr="006F3B00">
        <w:rPr>
          <w:rFonts w:ascii="Times New Roman" w:hAnsi="Times New Roman" w:cs="Times New Roman"/>
          <w:bCs w:val="0"/>
          <w:color w:val="auto"/>
          <w:sz w:val="24"/>
          <w:szCs w:val="24"/>
        </w:rPr>
        <w:t xml:space="preserve"> </w:t>
      </w:r>
      <w:r w:rsidR="00863DF5" w:rsidRPr="006F3B00">
        <w:rPr>
          <w:rFonts w:ascii="Times New Roman" w:hAnsi="Times New Roman" w:cs="Times New Roman"/>
          <w:bCs w:val="0"/>
          <w:color w:val="auto"/>
          <w:sz w:val="24"/>
          <w:szCs w:val="24"/>
        </w:rPr>
        <w:t>Procedure</w:t>
      </w:r>
      <w:bookmarkEnd w:id="80"/>
    </w:p>
    <w:p w14:paraId="10CA55C4" w14:textId="77777777" w:rsidR="003031EF" w:rsidRPr="006F3B00" w:rsidRDefault="003031EF" w:rsidP="003031EF">
      <w:pPr>
        <w:rPr>
          <w:rFonts w:ascii="Times New Roman" w:hAnsi="Times New Roman" w:cs="Times New Roman"/>
          <w:sz w:val="24"/>
          <w:szCs w:val="24"/>
          <w:lang w:val="en-GB"/>
        </w:rPr>
      </w:pPr>
    </w:p>
    <w:p w14:paraId="3D49055D" w14:textId="7B8DF671"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Interviews were conducted in quiet room chosen by the participant, usually their office. Telephones were temporarily switched off and a “Do not disturb” sign fixed to the door ensured no interruptions occurred. Participants s</w:t>
      </w:r>
      <w:r w:rsidR="004C31E4" w:rsidRPr="006F3B00">
        <w:rPr>
          <w:rFonts w:ascii="Times New Roman" w:hAnsi="Times New Roman" w:cs="Times New Roman"/>
          <w:sz w:val="24"/>
          <w:szCs w:val="24"/>
        </w:rPr>
        <w:t>igned a consent form (</w:t>
      </w:r>
      <w:r w:rsidR="00AF3286">
        <w:rPr>
          <w:rFonts w:ascii="Times New Roman" w:hAnsi="Times New Roman" w:cs="Times New Roman"/>
          <w:sz w:val="24"/>
          <w:szCs w:val="24"/>
        </w:rPr>
        <w:t>A</w:t>
      </w:r>
      <w:r w:rsidR="00CA4D9B">
        <w:rPr>
          <w:rFonts w:ascii="Times New Roman" w:hAnsi="Times New Roman" w:cs="Times New Roman"/>
          <w:sz w:val="24"/>
          <w:szCs w:val="24"/>
        </w:rPr>
        <w:t>ppendix 6</w:t>
      </w:r>
      <w:r w:rsidRPr="006F3B00">
        <w:rPr>
          <w:rFonts w:ascii="Times New Roman" w:hAnsi="Times New Roman" w:cs="Times New Roman"/>
          <w:sz w:val="24"/>
          <w:szCs w:val="24"/>
        </w:rPr>
        <w:t>) confirming they were happy to be part of the research study and to be interviewed. Each recording and transcription was given a reference number, stated at the start of each recording. The key to these reference numbers was stored in a locked drawer to which only the researcher had access. Participants were not identifiable from either the recordings or subsequent transcriptions. Transcriptions were fully anonymised.</w:t>
      </w:r>
    </w:p>
    <w:p w14:paraId="355F8D5D"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Interviews were recorded on a digital Dictaphone and field notes were written on the interview guide as lines of enquiry or interesting points were raised during each interview.</w:t>
      </w:r>
    </w:p>
    <w:p w14:paraId="2DBEF4B0"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Dictaphone and field notes were stored in a locked drawer. Digital recordings were stored on a password protected computer and backed up on an encrypted USB stick. All passwords were only known by the researcher.</w:t>
      </w:r>
    </w:p>
    <w:p w14:paraId="11BDDDDB" w14:textId="77777777" w:rsidR="00863DF5" w:rsidRPr="006F3B00" w:rsidRDefault="00863DF5" w:rsidP="00863DF5">
      <w:pPr>
        <w:spacing w:line="480" w:lineRule="auto"/>
        <w:jc w:val="both"/>
        <w:rPr>
          <w:rFonts w:ascii="Times New Roman" w:hAnsi="Times New Roman" w:cs="Times New Roman"/>
          <w:sz w:val="24"/>
          <w:szCs w:val="24"/>
        </w:rPr>
      </w:pPr>
      <w:r w:rsidRPr="006F3B00">
        <w:rPr>
          <w:rFonts w:ascii="Times New Roman" w:hAnsi="Times New Roman" w:cs="Times New Roman"/>
          <w:sz w:val="24"/>
          <w:szCs w:val="24"/>
        </w:rPr>
        <w:lastRenderedPageBreak/>
        <w:t xml:space="preserve">Participants were reminded that they could withdraw from the study at any point as detailed on the consent form. Participants were also given contact details (including name, email and telephone number) on the information sheets should they wish to complain or seek further information about any part of the study.  </w:t>
      </w:r>
    </w:p>
    <w:p w14:paraId="3BF4CCD6" w14:textId="0E7BE273"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Interviews were undertaken until saturation occurred. Put simply, this is the point where the most recent interviews offer no further insight and produce no new data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{"citationItems":[{"id":"ITEM-1","itemData":{"abstract":"Bryman A (2008) Qualitative data analysis, pp537-563 in . 3rd edition. OUP: Oxford","author":[{"dropping-particle":"","family":"Bryman","given":"A","non-dropping-particle":"","parse-names":false,"suffix":""}],"container-title":"Social Research Methods","id":"ITEM-1","issued":{"date-parts":[["2008"]]},"page":"537-563","title":"Qualitative data analysis","type":"chapter"},"uris":["http://www.mendeley.com/documents/?uuid=9d4cb490-146f-4b41-abcd-a0eee77e46d4"]}],"mendeley":{"formattedCitation":"(Bryman, 2008)","plainTextFormattedCitation":"(Bryman, 2008)","previouslyFormattedCitation":"(Bryman 2008)"},"properties":{"noteIndex":0},"schema":"https://github.com/citation-style-language/schema/raw/master/csl-citation.json"}</w:instrText>
      </w:r>
      <w:r w:rsidRPr="006F3B00">
        <w:rPr>
          <w:rFonts w:ascii="Times New Roman" w:hAnsi="Times New Roman" w:cs="Times New Roman"/>
          <w:sz w:val="24"/>
          <w:szCs w:val="24"/>
        </w:rPr>
        <w:fldChar w:fldCharType="separate"/>
      </w:r>
      <w:r w:rsidR="00B24F58">
        <w:rPr>
          <w:rFonts w:ascii="Times New Roman" w:hAnsi="Times New Roman" w:cs="Times New Roman"/>
          <w:noProof/>
          <w:sz w:val="24"/>
          <w:szCs w:val="24"/>
        </w:rPr>
        <w:t>(Bryman 2012</w:t>
      </w:r>
      <w:r w:rsidR="00BE3B6C" w:rsidRPr="00BE3B6C">
        <w:rPr>
          <w:rFonts w:ascii="Times New Roman" w:hAnsi="Times New Roman" w:cs="Times New Roman"/>
          <w:noProof/>
          <w:sz w:val="24"/>
          <w:szCs w:val="24"/>
        </w:rPr>
        <w:t>)</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39630303" w14:textId="18B6C4A3" w:rsidR="00863DF5" w:rsidRPr="006F3B00" w:rsidRDefault="00C238D4" w:rsidP="001E1A25">
      <w:pPr>
        <w:pStyle w:val="Heading3"/>
        <w:rPr>
          <w:rFonts w:ascii="Times New Roman" w:hAnsi="Times New Roman" w:cs="Times New Roman"/>
          <w:bCs w:val="0"/>
          <w:color w:val="auto"/>
          <w:sz w:val="24"/>
          <w:szCs w:val="24"/>
        </w:rPr>
      </w:pPr>
      <w:bookmarkStart w:id="81" w:name="_Toc23243810"/>
      <w:r>
        <w:rPr>
          <w:rFonts w:ascii="Times New Roman" w:hAnsi="Times New Roman" w:cs="Times New Roman"/>
          <w:bCs w:val="0"/>
          <w:color w:val="auto"/>
          <w:sz w:val="24"/>
          <w:szCs w:val="24"/>
        </w:rPr>
        <w:t>4.3</w:t>
      </w:r>
      <w:r w:rsidR="001E1A25" w:rsidRPr="006F3B00">
        <w:rPr>
          <w:rFonts w:ascii="Times New Roman" w:hAnsi="Times New Roman" w:cs="Times New Roman"/>
          <w:bCs w:val="0"/>
          <w:color w:val="auto"/>
          <w:sz w:val="24"/>
          <w:szCs w:val="24"/>
        </w:rPr>
        <w:t>.4</w:t>
      </w:r>
      <w:r w:rsidR="003031EF" w:rsidRPr="006F3B00">
        <w:rPr>
          <w:rFonts w:ascii="Times New Roman" w:hAnsi="Times New Roman" w:cs="Times New Roman"/>
          <w:bCs w:val="0"/>
          <w:color w:val="auto"/>
          <w:sz w:val="24"/>
          <w:szCs w:val="24"/>
        </w:rPr>
        <w:t xml:space="preserve"> </w:t>
      </w:r>
      <w:r w:rsidR="00863DF5" w:rsidRPr="006F3B00">
        <w:rPr>
          <w:rFonts w:ascii="Times New Roman" w:hAnsi="Times New Roman" w:cs="Times New Roman"/>
          <w:bCs w:val="0"/>
          <w:color w:val="auto"/>
          <w:sz w:val="24"/>
          <w:szCs w:val="24"/>
        </w:rPr>
        <w:t>Transcription</w:t>
      </w:r>
      <w:bookmarkEnd w:id="81"/>
    </w:p>
    <w:p w14:paraId="267758B1" w14:textId="77777777" w:rsidR="003031EF" w:rsidRPr="006F3B00" w:rsidRDefault="003031EF" w:rsidP="003031EF">
      <w:pPr>
        <w:rPr>
          <w:rFonts w:ascii="Times New Roman" w:hAnsi="Times New Roman" w:cs="Times New Roman"/>
          <w:sz w:val="24"/>
          <w:szCs w:val="24"/>
          <w:lang w:val="en-GB"/>
        </w:rPr>
      </w:pPr>
    </w:p>
    <w:p w14:paraId="4B924688" w14:textId="5F6B4CAD"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Interview recordings and field notes were transcribed verbatim as quickly as possible following each interview</w:t>
      </w:r>
      <w:r w:rsidR="00446CE4">
        <w:rPr>
          <w:rFonts w:ascii="Times New Roman" w:hAnsi="Times New Roman" w:cs="Times New Roman"/>
          <w:sz w:val="24"/>
          <w:szCs w:val="24"/>
        </w:rPr>
        <w:t xml:space="preserve"> by the primary researcher (Daniel Brierley)</w:t>
      </w:r>
      <w:r w:rsidRPr="006F3B00">
        <w:rPr>
          <w:rFonts w:ascii="Times New Roman" w:hAnsi="Times New Roman" w:cs="Times New Roman"/>
          <w:sz w:val="24"/>
          <w:szCs w:val="24"/>
        </w:rPr>
        <w:t xml:space="preserve">. This meant the data </w:t>
      </w:r>
      <w:r w:rsidR="003031EF" w:rsidRPr="006F3B00">
        <w:rPr>
          <w:rFonts w:ascii="Times New Roman" w:hAnsi="Times New Roman" w:cs="Times New Roman"/>
          <w:sz w:val="24"/>
          <w:szCs w:val="24"/>
        </w:rPr>
        <w:t xml:space="preserve">was analysed contemporaneously </w:t>
      </w:r>
      <w:r w:rsidRPr="006F3B00">
        <w:rPr>
          <w:rFonts w:ascii="Times New Roman" w:hAnsi="Times New Roman" w:cs="Times New Roman"/>
          <w:sz w:val="24"/>
          <w:szCs w:val="24"/>
        </w:rPr>
        <w:t>with emergent themes fresh in the memory.</w:t>
      </w:r>
    </w:p>
    <w:p w14:paraId="45A8AD24"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Transcription was undertaken according to the data governance and ethical protocols described by the University of Sheffield Ethics committee. This ensured probity of the research and the protection of the participants.</w:t>
      </w:r>
    </w:p>
    <w:p w14:paraId="730720D5" w14:textId="2AB95315" w:rsidR="00863DF5" w:rsidRPr="006F3B00" w:rsidRDefault="00607ADD" w:rsidP="001E1A25">
      <w:pPr>
        <w:pStyle w:val="Heading3"/>
        <w:rPr>
          <w:rFonts w:ascii="Times New Roman" w:hAnsi="Times New Roman" w:cs="Times New Roman"/>
          <w:bCs w:val="0"/>
          <w:color w:val="auto"/>
          <w:sz w:val="24"/>
          <w:szCs w:val="24"/>
        </w:rPr>
      </w:pPr>
      <w:bookmarkStart w:id="82" w:name="_Toc23243811"/>
      <w:r>
        <w:rPr>
          <w:rFonts w:ascii="Times New Roman" w:hAnsi="Times New Roman" w:cs="Times New Roman"/>
          <w:bCs w:val="0"/>
          <w:color w:val="auto"/>
          <w:sz w:val="24"/>
          <w:szCs w:val="24"/>
        </w:rPr>
        <w:t>4.3</w:t>
      </w:r>
      <w:r w:rsidR="001E1A25" w:rsidRPr="006F3B00">
        <w:rPr>
          <w:rFonts w:ascii="Times New Roman" w:hAnsi="Times New Roman" w:cs="Times New Roman"/>
          <w:bCs w:val="0"/>
          <w:color w:val="auto"/>
          <w:sz w:val="24"/>
          <w:szCs w:val="24"/>
        </w:rPr>
        <w:t>.5</w:t>
      </w:r>
      <w:r w:rsidR="003031EF" w:rsidRPr="006F3B00">
        <w:rPr>
          <w:rFonts w:ascii="Times New Roman" w:hAnsi="Times New Roman" w:cs="Times New Roman"/>
          <w:bCs w:val="0"/>
          <w:color w:val="auto"/>
          <w:sz w:val="24"/>
          <w:szCs w:val="24"/>
        </w:rPr>
        <w:t xml:space="preserve"> </w:t>
      </w:r>
      <w:r w:rsidR="00863DF5" w:rsidRPr="006F3B00">
        <w:rPr>
          <w:rFonts w:ascii="Times New Roman" w:hAnsi="Times New Roman" w:cs="Times New Roman"/>
          <w:bCs w:val="0"/>
          <w:color w:val="auto"/>
          <w:sz w:val="24"/>
          <w:szCs w:val="24"/>
        </w:rPr>
        <w:t>Analysis</w:t>
      </w:r>
      <w:bookmarkEnd w:id="82"/>
    </w:p>
    <w:p w14:paraId="738374A6" w14:textId="77777777" w:rsidR="003031EF" w:rsidRPr="006F3B00" w:rsidRDefault="003031EF" w:rsidP="003031EF">
      <w:pPr>
        <w:rPr>
          <w:rFonts w:ascii="Times New Roman" w:hAnsi="Times New Roman" w:cs="Times New Roman"/>
          <w:sz w:val="24"/>
          <w:szCs w:val="24"/>
          <w:lang w:val="en-GB"/>
        </w:rPr>
      </w:pPr>
    </w:p>
    <w:p w14:paraId="151F0C74" w14:textId="2878680D"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Transcripts were organised into question and answer pairs within a table to aid labelling of information and analysis. A very brief framework was created from knowledge gained from the literature review and RCP</w:t>
      </w:r>
      <w:r w:rsidR="00354FE9">
        <w:rPr>
          <w:rFonts w:ascii="Times New Roman" w:hAnsi="Times New Roman" w:cs="Times New Roman"/>
          <w:sz w:val="24"/>
          <w:szCs w:val="24"/>
        </w:rPr>
        <w:t>ath</w:t>
      </w:r>
      <w:r w:rsidRPr="006F3B00">
        <w:rPr>
          <w:rFonts w:ascii="Times New Roman" w:hAnsi="Times New Roman" w:cs="Times New Roman"/>
          <w:sz w:val="24"/>
          <w:szCs w:val="24"/>
        </w:rPr>
        <w:t xml:space="preserve"> guidelines on trainin</w:t>
      </w:r>
      <w:r w:rsidR="00607ADD">
        <w:rPr>
          <w:rFonts w:ascii="Times New Roman" w:hAnsi="Times New Roman" w:cs="Times New Roman"/>
          <w:sz w:val="24"/>
          <w:szCs w:val="24"/>
        </w:rPr>
        <w:t>g. The initial framework had three</w:t>
      </w:r>
      <w:r w:rsidRPr="006F3B00">
        <w:rPr>
          <w:rFonts w:ascii="Times New Roman" w:hAnsi="Times New Roman" w:cs="Times New Roman"/>
          <w:sz w:val="24"/>
          <w:szCs w:val="24"/>
        </w:rPr>
        <w:t xml:space="preserve"> major themes: “Stage of training” and “Diagnostic </w:t>
      </w:r>
      <w:r w:rsidRPr="00607ADD">
        <w:rPr>
          <w:rFonts w:ascii="Times New Roman" w:hAnsi="Times New Roman" w:cs="Times New Roman"/>
          <w:sz w:val="24"/>
          <w:szCs w:val="24"/>
        </w:rPr>
        <w:t>accuracy”</w:t>
      </w:r>
      <w:r w:rsidR="00607ADD" w:rsidRPr="00607ADD">
        <w:rPr>
          <w:rFonts w:ascii="Times New Roman" w:hAnsi="Times New Roman" w:cs="Times New Roman"/>
          <w:sz w:val="24"/>
          <w:szCs w:val="24"/>
        </w:rPr>
        <w:t xml:space="preserve"> and “Process”.</w:t>
      </w:r>
    </w:p>
    <w:p w14:paraId="632D7343" w14:textId="739724A0"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Thematic Framework Analysis was then conducted in five stages as per the des</w:t>
      </w:r>
      <w:r w:rsidR="00B24F58">
        <w:rPr>
          <w:rFonts w:ascii="Times New Roman" w:hAnsi="Times New Roman" w:cs="Times New Roman"/>
          <w:sz w:val="24"/>
          <w:szCs w:val="24"/>
        </w:rPr>
        <w:t>criptions by Ritchie and Lewis</w:t>
      </w:r>
      <w:r w:rsidRPr="006F3B00">
        <w:rPr>
          <w:rFonts w:ascii="Times New Roman" w:hAnsi="Times New Roman" w:cs="Times New Roman"/>
          <w:sz w:val="24"/>
          <w:szCs w:val="24"/>
        </w:rPr>
        <w:t xml:space="preserve">: familiarization, identifying a framework, indexing, charting, and mapping and interpretation </w:t>
      </w:r>
      <w:r w:rsidR="00B24F58">
        <w:rPr>
          <w:rFonts w:ascii="Times New Roman" w:hAnsi="Times New Roman" w:cs="Times New Roman"/>
          <w:sz w:val="24"/>
          <w:szCs w:val="24"/>
        </w:rPr>
        <w:t>(2003).</w:t>
      </w:r>
    </w:p>
    <w:p w14:paraId="61ABC93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Stage 1: Familiarisation:  the transcripts and field notes were read multiple times to identify key concepts and recurrent themes. </w:t>
      </w:r>
    </w:p>
    <w:p w14:paraId="1653818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Stage 2: Identifying a framework involved organising the data in a meaningful and manageable way so that the later stages of analysis were possible. The framework evolved as themes emerged from the data, partly through the previous familiarisation stage and with a degree of trial and error.</w:t>
      </w:r>
    </w:p>
    <w:p w14:paraId="1C9CC82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Stage 3: Indexing involved systematically applying the framework to each transcript</w:t>
      </w:r>
    </w:p>
    <w:p w14:paraId="45B724CF"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Stage 4: Charting involved summarising the indexed data for each category followed by organising these summaries into chart form. This format facilitated the data analysis that followed in stage five.</w:t>
      </w:r>
    </w:p>
    <w:p w14:paraId="1E0BEC3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Stage 5: Mapping and interpretation:  patterns were identified and sense made of the data from the perspectives of the research questions. This concerned exploring the relationships between the themes to build a framework which explained the data. </w:t>
      </w:r>
    </w:p>
    <w:p w14:paraId="4A720413"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analysis was a dynamic and continuous process which took data from the most recent interview transcripts to help explore any new emergent themes in subsequent interviews. </w:t>
      </w:r>
    </w:p>
    <w:p w14:paraId="13131DAE" w14:textId="262C7D27" w:rsidR="00863DF5" w:rsidRPr="006F3B00" w:rsidRDefault="00607ADD" w:rsidP="001E1A25">
      <w:pPr>
        <w:pStyle w:val="Heading3"/>
        <w:rPr>
          <w:rFonts w:ascii="Times New Roman" w:hAnsi="Times New Roman" w:cs="Times New Roman"/>
          <w:bCs w:val="0"/>
          <w:color w:val="auto"/>
          <w:sz w:val="24"/>
          <w:szCs w:val="24"/>
        </w:rPr>
      </w:pPr>
      <w:bookmarkStart w:id="83" w:name="_Toc23243812"/>
      <w:r>
        <w:rPr>
          <w:rFonts w:ascii="Times New Roman" w:hAnsi="Times New Roman" w:cs="Times New Roman"/>
          <w:bCs w:val="0"/>
          <w:color w:val="auto"/>
          <w:sz w:val="24"/>
          <w:szCs w:val="24"/>
        </w:rPr>
        <w:t>4.3</w:t>
      </w:r>
      <w:r w:rsidR="001E1A25" w:rsidRPr="006F3B00">
        <w:rPr>
          <w:rFonts w:ascii="Times New Roman" w:hAnsi="Times New Roman" w:cs="Times New Roman"/>
          <w:bCs w:val="0"/>
          <w:color w:val="auto"/>
          <w:sz w:val="24"/>
          <w:szCs w:val="24"/>
        </w:rPr>
        <w:t>.6</w:t>
      </w:r>
      <w:r w:rsidR="004B0D1B" w:rsidRPr="006F3B00">
        <w:rPr>
          <w:rFonts w:ascii="Times New Roman" w:hAnsi="Times New Roman" w:cs="Times New Roman"/>
          <w:bCs w:val="0"/>
          <w:color w:val="auto"/>
          <w:sz w:val="24"/>
          <w:szCs w:val="24"/>
        </w:rPr>
        <w:t xml:space="preserve"> </w:t>
      </w:r>
      <w:r w:rsidR="00863DF5" w:rsidRPr="006F3B00">
        <w:rPr>
          <w:rFonts w:ascii="Times New Roman" w:hAnsi="Times New Roman" w:cs="Times New Roman"/>
          <w:bCs w:val="0"/>
          <w:color w:val="auto"/>
          <w:sz w:val="24"/>
          <w:szCs w:val="24"/>
        </w:rPr>
        <w:t>Reflexivity</w:t>
      </w:r>
      <w:bookmarkEnd w:id="83"/>
    </w:p>
    <w:p w14:paraId="5F664858" w14:textId="77777777" w:rsidR="004B0D1B" w:rsidRPr="006F3B00" w:rsidRDefault="004B0D1B" w:rsidP="004B0D1B">
      <w:pPr>
        <w:rPr>
          <w:rFonts w:ascii="Times New Roman" w:hAnsi="Times New Roman" w:cs="Times New Roman"/>
          <w:sz w:val="24"/>
          <w:szCs w:val="24"/>
          <w:lang w:val="en-GB"/>
        </w:rPr>
      </w:pPr>
    </w:p>
    <w:p w14:paraId="71F23148" w14:textId="098B7CF5" w:rsidR="00863DF5" w:rsidRPr="006F3B00" w:rsidRDefault="00863DF5" w:rsidP="00863DF5">
      <w:pPr>
        <w:spacing w:line="480" w:lineRule="auto"/>
        <w:rPr>
          <w:rFonts w:ascii="Times New Roman" w:hAnsi="Times New Roman" w:cs="Times New Roman"/>
          <w:b/>
          <w:bCs/>
          <w:sz w:val="24"/>
          <w:szCs w:val="24"/>
        </w:rPr>
      </w:pPr>
      <w:r w:rsidRPr="006F3B00">
        <w:rPr>
          <w:rFonts w:ascii="Times New Roman" w:hAnsi="Times New Roman" w:cs="Times New Roman"/>
          <w:sz w:val="24"/>
          <w:szCs w:val="24"/>
        </w:rPr>
        <w:t>The researcher had been a specialist trainee in oral and maxillofacial pathology so had considerable experience of the training process. The researcher attended a</w:t>
      </w:r>
      <w:r w:rsidR="000D27BB">
        <w:rPr>
          <w:rFonts w:ascii="Times New Roman" w:hAnsi="Times New Roman" w:cs="Times New Roman"/>
          <w:sz w:val="24"/>
          <w:szCs w:val="24"/>
        </w:rPr>
        <w:t xml:space="preserve"> one day</w:t>
      </w:r>
      <w:r w:rsidRPr="006F3B00">
        <w:rPr>
          <w:rFonts w:ascii="Times New Roman" w:hAnsi="Times New Roman" w:cs="Times New Roman"/>
          <w:sz w:val="24"/>
          <w:szCs w:val="24"/>
        </w:rPr>
        <w:t xml:space="preserve"> qualitative interview training course before data collection to improve interview technique.</w:t>
      </w:r>
      <w:r w:rsidR="000D27BB">
        <w:rPr>
          <w:rFonts w:ascii="Times New Roman" w:hAnsi="Times New Roman" w:cs="Times New Roman"/>
          <w:sz w:val="24"/>
          <w:szCs w:val="24"/>
        </w:rPr>
        <w:t xml:space="preserve"> The course was run by experts in qualitative research and organized by the Social Research Association.</w:t>
      </w:r>
      <w:r w:rsidRPr="006F3B00">
        <w:rPr>
          <w:rFonts w:ascii="Times New Roman" w:hAnsi="Times New Roman" w:cs="Times New Roman"/>
          <w:sz w:val="24"/>
          <w:szCs w:val="24"/>
        </w:rPr>
        <w:t xml:space="preserve"> All transcripts were also read and analysed by the whole research team for further input and amendment where appropriate.</w:t>
      </w:r>
    </w:p>
    <w:p w14:paraId="735984C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The interview guides and subsequent alterations were checked by a more experienced member of the research team (SZS). To ensure breadth and depth of perspectives were reflected in the data, the participants were purposively sampled and reviewed after every third interview.</w:t>
      </w:r>
    </w:p>
    <w:p w14:paraId="4C47963E" w14:textId="4345A6E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research team met after every 2-3 interviews to check the transcripts and interpretation of the emergent themes and sub-themes, as this exercise helped to validate the data analysis. For example,  as different individuals may see different things in the data or change their perception of the data as themes emerge,  these discussion can encourage thoroughness and interrogation of the data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{"citationItems":[{"id":"ITEM-1","itemData":{"DOI":"10.1136/bmj.322.7294.1115","ISBN":"0959-535X","ISSN":"09598138","PMID":"11337448","abstract":"Checklists can be useful improving qualitative research methods, but overzealous and uncritical use can be counterproductive\\n\\n\\n\\n\\n\\n\\n\\nReducing qualitative research to a list of technical procedures (such as purposive sampling, grounded theory, multiple coding, triangulation, and respondent validation) is overly prescriptive and results in “the tail wagging the dog”\\n\\n\\n\\n\\n\\n\\n\\nNone of these “technical fixes” in itself confers rigour; they can strengthen the rigour of qualitative research only if embedded in a broader understanding of qualitative research design and data analysis\\n\\n\\n\\n\\n\\n\\n\\nOtherwise we risk compromising the unique contribution that systematic qualitative research can make to health services research.","author":[{"dropping-particle":"","family":"Barbour","given":"R. S","non-dropping-particle":"","parse-names":false,"suffix":""}],"container-title":"BMJ","id":"ITEM-1","issue":"7294","issued":{"date-parts":[["2001"]]},"page":"1115-1117","title":"Checklists for improving rigour in qualitative research: a case of the tail wagging the dog?","type":"article-journal","volume":"322"},"uris":["http://www.mendeley.com/documents/?uuid=f8259be2-241e-4cc4-8ac9-377e157c1a3d"]}],"mendeley":{"formattedCitation":"(Barbour, 2001)","plainTextFormattedCitation":"(Barbour, 2001)","previouslyFormattedCitation":"(Barbour 2001)"},"properties":{"noteIndex":0},"schema":"https://github.com/citation-style-language/schema/raw/master/csl-citation.json"}</w:instrText>
      </w:r>
      <w:r w:rsidRPr="006F3B00">
        <w:rPr>
          <w:rFonts w:ascii="Times New Roman" w:hAnsi="Times New Roman" w:cs="Times New Roman"/>
          <w:sz w:val="24"/>
          <w:szCs w:val="24"/>
        </w:rPr>
        <w:fldChar w:fldCharType="separate"/>
      </w:r>
      <w:r w:rsidR="000854B6">
        <w:rPr>
          <w:rFonts w:ascii="Times New Roman" w:hAnsi="Times New Roman" w:cs="Times New Roman"/>
          <w:noProof/>
          <w:sz w:val="24"/>
          <w:szCs w:val="24"/>
        </w:rPr>
        <w:t>(Barbour</w:t>
      </w:r>
      <w:r w:rsidR="00BE3B6C" w:rsidRPr="00BE3B6C">
        <w:rPr>
          <w:rFonts w:ascii="Times New Roman" w:hAnsi="Times New Roman" w:cs="Times New Roman"/>
          <w:noProof/>
          <w:sz w:val="24"/>
          <w:szCs w:val="24"/>
        </w:rPr>
        <w:t xml:space="preserve"> 2001)</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715B9B2B" w14:textId="29BCDE3E" w:rsidR="00863DF5" w:rsidRPr="0025315F" w:rsidRDefault="00607ADD" w:rsidP="004B0D1B">
      <w:pPr>
        <w:pStyle w:val="Heading2"/>
        <w:rPr>
          <w:rFonts w:ascii="Times New Roman" w:hAnsi="Times New Roman" w:cs="Times New Roman"/>
          <w:color w:val="auto"/>
          <w:sz w:val="24"/>
          <w:szCs w:val="24"/>
        </w:rPr>
      </w:pPr>
      <w:bookmarkStart w:id="84" w:name="_Toc23243813"/>
      <w:r w:rsidRPr="0025315F">
        <w:rPr>
          <w:rFonts w:ascii="Times New Roman" w:hAnsi="Times New Roman" w:cs="Times New Roman"/>
          <w:color w:val="auto"/>
          <w:sz w:val="24"/>
          <w:szCs w:val="24"/>
        </w:rPr>
        <w:t>4.4</w:t>
      </w:r>
      <w:r w:rsidR="004B0D1B" w:rsidRPr="0025315F">
        <w:rPr>
          <w:rFonts w:ascii="Times New Roman" w:hAnsi="Times New Roman" w:cs="Times New Roman"/>
          <w:color w:val="auto"/>
          <w:sz w:val="24"/>
          <w:szCs w:val="24"/>
        </w:rPr>
        <w:t xml:space="preserve"> </w:t>
      </w:r>
      <w:r w:rsidR="00863DF5" w:rsidRPr="0025315F">
        <w:rPr>
          <w:rFonts w:ascii="Times New Roman" w:hAnsi="Times New Roman" w:cs="Times New Roman"/>
          <w:color w:val="auto"/>
          <w:sz w:val="24"/>
          <w:szCs w:val="24"/>
        </w:rPr>
        <w:t>Results</w:t>
      </w:r>
      <w:bookmarkEnd w:id="84"/>
    </w:p>
    <w:p w14:paraId="625CA7DF" w14:textId="77777777" w:rsidR="004B0D1B" w:rsidRPr="006F3B00" w:rsidRDefault="004B0D1B" w:rsidP="004B0D1B">
      <w:pPr>
        <w:rPr>
          <w:rFonts w:ascii="Times New Roman" w:hAnsi="Times New Roman" w:cs="Times New Roman"/>
          <w:sz w:val="24"/>
          <w:szCs w:val="24"/>
          <w:lang w:val="en-GB"/>
        </w:rPr>
      </w:pPr>
    </w:p>
    <w:p w14:paraId="17A0FB8B" w14:textId="09F1A8C1" w:rsidR="00135047" w:rsidRDefault="00AF3286" w:rsidP="00863DF5">
      <w:pPr>
        <w:spacing w:line="480" w:lineRule="auto"/>
        <w:rPr>
          <w:rFonts w:ascii="Times New Roman" w:hAnsi="Times New Roman" w:cs="Times New Roman"/>
          <w:sz w:val="24"/>
          <w:szCs w:val="24"/>
        </w:rPr>
      </w:pPr>
      <w:r>
        <w:rPr>
          <w:rFonts w:ascii="Times New Roman" w:hAnsi="Times New Roman" w:cs="Times New Roman"/>
          <w:sz w:val="24"/>
          <w:szCs w:val="24"/>
        </w:rPr>
        <w:t>Thirteen</w:t>
      </w:r>
      <w:r w:rsidR="00275368" w:rsidRPr="006F3B00">
        <w:rPr>
          <w:rFonts w:ascii="Times New Roman" w:hAnsi="Times New Roman" w:cs="Times New Roman"/>
          <w:sz w:val="24"/>
          <w:szCs w:val="24"/>
        </w:rPr>
        <w:t xml:space="preserve"> interviews were conducted. No new t</w:t>
      </w:r>
      <w:r w:rsidR="00BB5080">
        <w:rPr>
          <w:rFonts w:ascii="Times New Roman" w:hAnsi="Times New Roman" w:cs="Times New Roman"/>
          <w:sz w:val="24"/>
          <w:szCs w:val="24"/>
        </w:rPr>
        <w:t>hemes emerged after interview ten</w:t>
      </w:r>
      <w:r w:rsidR="00275368" w:rsidRPr="006F3B00">
        <w:rPr>
          <w:rFonts w:ascii="Times New Roman" w:hAnsi="Times New Roman" w:cs="Times New Roman"/>
          <w:sz w:val="24"/>
          <w:szCs w:val="24"/>
        </w:rPr>
        <w:t xml:space="preserve">. </w:t>
      </w:r>
      <w:r w:rsidR="00863DF5" w:rsidRPr="006F3B00">
        <w:rPr>
          <w:rFonts w:ascii="Times New Roman" w:hAnsi="Times New Roman" w:cs="Times New Roman"/>
          <w:sz w:val="24"/>
          <w:szCs w:val="24"/>
        </w:rPr>
        <w:t xml:space="preserve">The initial framework was changed several times as data were analysed and through an iterative process, all versions were recorded. To ensure consistency, transcripts were re-read and cross-checked each time a modification was made. The transcripts were shared and discussed at each stage of the analysis with the research team to ensure validity of the framework. </w:t>
      </w:r>
      <w:r w:rsidR="008C32A1">
        <w:rPr>
          <w:rFonts w:ascii="Times New Roman" w:hAnsi="Times New Roman" w:cs="Times New Roman"/>
          <w:sz w:val="24"/>
          <w:szCs w:val="24"/>
        </w:rPr>
        <w:t>The raw data and framework are provided on disc 1.</w:t>
      </w:r>
    </w:p>
    <w:p w14:paraId="15DEBBB2" w14:textId="3B4A0D3F"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two initial themes identified fro</w:t>
      </w:r>
      <w:r w:rsidR="00E74DCC">
        <w:rPr>
          <w:rFonts w:ascii="Times New Roman" w:hAnsi="Times New Roman" w:cs="Times New Roman"/>
          <w:sz w:val="24"/>
          <w:szCs w:val="24"/>
        </w:rPr>
        <w:t>m the literature review (“C</w:t>
      </w:r>
      <w:r w:rsidRPr="006F3B00">
        <w:rPr>
          <w:rFonts w:ascii="Times New Roman" w:hAnsi="Times New Roman" w:cs="Times New Roman"/>
          <w:sz w:val="24"/>
          <w:szCs w:val="24"/>
        </w:rPr>
        <w:t>ompeten</w:t>
      </w:r>
      <w:r w:rsidR="00607ADD">
        <w:rPr>
          <w:rFonts w:ascii="Times New Roman" w:hAnsi="Times New Roman" w:cs="Times New Roman"/>
          <w:sz w:val="24"/>
          <w:szCs w:val="24"/>
        </w:rPr>
        <w:t>cy is assessed in stages”,</w:t>
      </w:r>
      <w:r w:rsidR="00E74DCC">
        <w:rPr>
          <w:rFonts w:ascii="Times New Roman" w:hAnsi="Times New Roman" w:cs="Times New Roman"/>
          <w:sz w:val="24"/>
          <w:szCs w:val="24"/>
        </w:rPr>
        <w:t xml:space="preserve"> “C</w:t>
      </w:r>
      <w:r w:rsidRPr="006F3B00">
        <w:rPr>
          <w:rFonts w:ascii="Times New Roman" w:hAnsi="Times New Roman" w:cs="Times New Roman"/>
          <w:sz w:val="24"/>
          <w:szCs w:val="24"/>
        </w:rPr>
        <w:t>ompetency involves being accurate in diagnosis”</w:t>
      </w:r>
      <w:r w:rsidR="00607ADD">
        <w:rPr>
          <w:rFonts w:ascii="Times New Roman" w:hAnsi="Times New Roman" w:cs="Times New Roman"/>
          <w:sz w:val="24"/>
          <w:szCs w:val="24"/>
        </w:rPr>
        <w:t xml:space="preserve"> and “Competency involves a process”</w:t>
      </w:r>
      <w:r w:rsidRPr="006F3B00">
        <w:rPr>
          <w:rFonts w:ascii="Times New Roman" w:hAnsi="Times New Roman" w:cs="Times New Roman"/>
          <w:sz w:val="24"/>
          <w:szCs w:val="24"/>
        </w:rPr>
        <w:t xml:space="preserve">) became 22 sub-headings following 6 interviews </w:t>
      </w:r>
      <w:r w:rsidR="00AF3286">
        <w:rPr>
          <w:rFonts w:ascii="Times New Roman" w:hAnsi="Times New Roman" w:cs="Times New Roman"/>
          <w:sz w:val="24"/>
          <w:szCs w:val="24"/>
        </w:rPr>
        <w:t xml:space="preserve">arranged </w:t>
      </w:r>
      <w:r w:rsidRPr="006F3B00">
        <w:rPr>
          <w:rFonts w:ascii="Times New Roman" w:hAnsi="Times New Roman" w:cs="Times New Roman"/>
          <w:sz w:val="24"/>
          <w:szCs w:val="24"/>
        </w:rPr>
        <w:t>under eight categories:</w:t>
      </w:r>
    </w:p>
    <w:p w14:paraId="1CD357FC" w14:textId="563119F9" w:rsidR="00863DF5" w:rsidRPr="006F3B00" w:rsidRDefault="00863DF5" w:rsidP="001A1FF3">
      <w:pPr>
        <w:pStyle w:val="ListParagraph"/>
        <w:numPr>
          <w:ilvl w:val="0"/>
          <w:numId w:val="39"/>
        </w:numPr>
        <w:spacing w:line="480" w:lineRule="auto"/>
        <w:rPr>
          <w:rFonts w:ascii="Times New Roman" w:hAnsi="Times New Roman" w:cs="Times New Roman"/>
          <w:sz w:val="24"/>
          <w:szCs w:val="24"/>
        </w:rPr>
      </w:pPr>
      <w:r w:rsidRPr="006F3B00">
        <w:rPr>
          <w:rFonts w:ascii="Times New Roman" w:hAnsi="Times New Roman" w:cs="Times New Roman"/>
          <w:sz w:val="24"/>
          <w:szCs w:val="24"/>
        </w:rPr>
        <w:t>“</w:t>
      </w:r>
      <w:r w:rsidR="00B127C7">
        <w:rPr>
          <w:rFonts w:ascii="Times New Roman" w:hAnsi="Times New Roman" w:cs="Times New Roman"/>
          <w:sz w:val="24"/>
          <w:szCs w:val="24"/>
        </w:rPr>
        <w:t>R</w:t>
      </w:r>
      <w:r w:rsidRPr="006F3B00">
        <w:rPr>
          <w:rFonts w:ascii="Times New Roman" w:hAnsi="Times New Roman" w:cs="Times New Roman"/>
          <w:sz w:val="24"/>
          <w:szCs w:val="24"/>
        </w:rPr>
        <w:t>epeated measures”,</w:t>
      </w:r>
    </w:p>
    <w:p w14:paraId="72E31A7D" w14:textId="752D55BF" w:rsidR="00863DF5" w:rsidRPr="006F3B00" w:rsidRDefault="008C32A1" w:rsidP="001A1FF3">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“T</w:t>
      </w:r>
      <w:r w:rsidR="00863DF5" w:rsidRPr="006F3B00">
        <w:rPr>
          <w:rFonts w:ascii="Times New Roman" w:hAnsi="Times New Roman" w:cs="Times New Roman"/>
          <w:sz w:val="24"/>
          <w:szCs w:val="24"/>
        </w:rPr>
        <w:t xml:space="preserve">he patient”, </w:t>
      </w:r>
    </w:p>
    <w:p w14:paraId="0D7C133E" w14:textId="0E670ACE" w:rsidR="00863DF5" w:rsidRPr="006F3B00" w:rsidRDefault="008C32A1" w:rsidP="001A1FF3">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“T</w:t>
      </w:r>
      <w:r w:rsidR="00863DF5" w:rsidRPr="006F3B00">
        <w:rPr>
          <w:rFonts w:ascii="Times New Roman" w:hAnsi="Times New Roman" w:cs="Times New Roman"/>
          <w:sz w:val="24"/>
          <w:szCs w:val="24"/>
        </w:rPr>
        <w:t>he individual”,</w:t>
      </w:r>
    </w:p>
    <w:p w14:paraId="6BFADF4D" w14:textId="4AEF6D5F" w:rsidR="00863DF5" w:rsidRPr="006F3B00" w:rsidRDefault="008C32A1" w:rsidP="001A1FF3">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 xml:space="preserve"> “S</w:t>
      </w:r>
      <w:r w:rsidR="00863DF5" w:rsidRPr="006F3B00">
        <w:rPr>
          <w:rFonts w:ascii="Times New Roman" w:hAnsi="Times New Roman" w:cs="Times New Roman"/>
          <w:sz w:val="24"/>
          <w:szCs w:val="24"/>
        </w:rPr>
        <w:t xml:space="preserve">tage of training”, </w:t>
      </w:r>
    </w:p>
    <w:p w14:paraId="12558C81" w14:textId="4AA7C4E3" w:rsidR="00863DF5" w:rsidRPr="006F3B00" w:rsidRDefault="008C32A1" w:rsidP="001A1FF3">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w:t>
      </w:r>
      <w:r w:rsidR="00863DF5" w:rsidRPr="006F3B00">
        <w:rPr>
          <w:rFonts w:ascii="Times New Roman" w:hAnsi="Times New Roman" w:cs="Times New Roman"/>
          <w:sz w:val="24"/>
          <w:szCs w:val="24"/>
        </w:rPr>
        <w:t xml:space="preserve">orming a diagnosis”, </w:t>
      </w:r>
    </w:p>
    <w:p w14:paraId="76FBEA55" w14:textId="5EAADE2B" w:rsidR="00863DF5" w:rsidRPr="006F3B00" w:rsidRDefault="008C32A1" w:rsidP="001A1FF3">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“A</w:t>
      </w:r>
      <w:r w:rsidR="00863DF5" w:rsidRPr="006F3B00">
        <w:rPr>
          <w:rFonts w:ascii="Times New Roman" w:hAnsi="Times New Roman" w:cs="Times New Roman"/>
          <w:sz w:val="24"/>
          <w:szCs w:val="24"/>
        </w:rPr>
        <w:t>ssimilating the evidence”,</w:t>
      </w:r>
    </w:p>
    <w:p w14:paraId="3959A4EF" w14:textId="4B974967" w:rsidR="00863DF5" w:rsidRPr="006F3B00" w:rsidRDefault="008C32A1" w:rsidP="001A1FF3">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 xml:space="preserve"> “R</w:t>
      </w:r>
      <w:r w:rsidR="00863DF5" w:rsidRPr="006F3B00">
        <w:rPr>
          <w:rFonts w:ascii="Times New Roman" w:hAnsi="Times New Roman" w:cs="Times New Roman"/>
          <w:sz w:val="24"/>
          <w:szCs w:val="24"/>
        </w:rPr>
        <w:t>eflection” and</w:t>
      </w:r>
    </w:p>
    <w:p w14:paraId="3F192796" w14:textId="4BF8C28A" w:rsidR="00863DF5" w:rsidRPr="006F3B00" w:rsidRDefault="008C32A1" w:rsidP="001A1FF3">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 xml:space="preserve"> “A</w:t>
      </w:r>
      <w:r w:rsidR="00863DF5" w:rsidRPr="006F3B00">
        <w:rPr>
          <w:rFonts w:ascii="Times New Roman" w:hAnsi="Times New Roman" w:cs="Times New Roman"/>
          <w:sz w:val="24"/>
          <w:szCs w:val="24"/>
        </w:rPr>
        <w:t>cting like a consultant” (Figure</w:t>
      </w:r>
      <w:r w:rsidR="00A50523">
        <w:rPr>
          <w:rFonts w:ascii="Times New Roman" w:hAnsi="Times New Roman" w:cs="Times New Roman"/>
          <w:sz w:val="24"/>
          <w:szCs w:val="24"/>
        </w:rPr>
        <w:t xml:space="preserve"> 4.</w:t>
      </w:r>
      <w:r w:rsidR="00863DF5" w:rsidRPr="006F3B00">
        <w:rPr>
          <w:rFonts w:ascii="Times New Roman" w:hAnsi="Times New Roman" w:cs="Times New Roman"/>
          <w:sz w:val="24"/>
          <w:szCs w:val="24"/>
        </w:rPr>
        <w:t xml:space="preserve">1). </w:t>
      </w:r>
    </w:p>
    <w:p w14:paraId="43107943" w14:textId="77777777" w:rsidR="00863DF5" w:rsidRPr="006F3B00" w:rsidRDefault="00863DF5" w:rsidP="00863DF5">
      <w:pPr>
        <w:spacing w:line="480" w:lineRule="auto"/>
        <w:rPr>
          <w:rFonts w:ascii="Times New Roman" w:hAnsi="Times New Roman" w:cs="Times New Roman"/>
          <w:sz w:val="24"/>
          <w:szCs w:val="24"/>
        </w:rPr>
      </w:pPr>
    </w:p>
    <w:p w14:paraId="6A08DC06" w14:textId="77777777" w:rsidR="00863DF5" w:rsidRDefault="00863DF5" w:rsidP="00863DF5">
      <w:pPr>
        <w:spacing w:line="480" w:lineRule="auto"/>
        <w:rPr>
          <w:rFonts w:ascii="Times New Roman" w:hAnsi="Times New Roman" w:cs="Times New Roman"/>
          <w:sz w:val="24"/>
          <w:szCs w:val="24"/>
        </w:rPr>
      </w:pPr>
    </w:p>
    <w:p w14:paraId="70EDC677" w14:textId="77777777" w:rsidR="00135047" w:rsidRDefault="00135047" w:rsidP="00863DF5">
      <w:pPr>
        <w:spacing w:line="480" w:lineRule="auto"/>
        <w:rPr>
          <w:rFonts w:ascii="Times New Roman" w:hAnsi="Times New Roman" w:cs="Times New Roman"/>
          <w:sz w:val="24"/>
          <w:szCs w:val="24"/>
        </w:rPr>
      </w:pPr>
    </w:p>
    <w:p w14:paraId="6CE3BFD5" w14:textId="77777777" w:rsidR="00135047" w:rsidRPr="006F3B00" w:rsidRDefault="00135047" w:rsidP="00863DF5">
      <w:pPr>
        <w:spacing w:line="480" w:lineRule="auto"/>
        <w:rPr>
          <w:rFonts w:ascii="Times New Roman" w:hAnsi="Times New Roman" w:cs="Times New Roman"/>
          <w:sz w:val="24"/>
          <w:szCs w:val="24"/>
        </w:rPr>
      </w:pPr>
    </w:p>
    <w:p w14:paraId="78435147" w14:textId="77777777" w:rsidR="00863DF5" w:rsidRDefault="00863DF5" w:rsidP="00863DF5">
      <w:pPr>
        <w:spacing w:line="480" w:lineRule="auto"/>
        <w:rPr>
          <w:rFonts w:ascii="Times New Roman" w:hAnsi="Times New Roman" w:cs="Times New Roman"/>
          <w:sz w:val="24"/>
          <w:szCs w:val="24"/>
        </w:rPr>
      </w:pPr>
    </w:p>
    <w:p w14:paraId="4991F738" w14:textId="77777777" w:rsidR="00135047" w:rsidRDefault="00135047" w:rsidP="00863DF5">
      <w:pPr>
        <w:spacing w:line="480" w:lineRule="auto"/>
        <w:rPr>
          <w:rFonts w:ascii="Times New Roman" w:hAnsi="Times New Roman" w:cs="Times New Roman"/>
          <w:sz w:val="24"/>
          <w:szCs w:val="24"/>
        </w:rPr>
      </w:pPr>
    </w:p>
    <w:p w14:paraId="7FC604DE" w14:textId="77777777" w:rsidR="00135047" w:rsidRDefault="00135047" w:rsidP="00863DF5">
      <w:pPr>
        <w:spacing w:line="480" w:lineRule="auto"/>
        <w:rPr>
          <w:rFonts w:ascii="Times New Roman" w:hAnsi="Times New Roman" w:cs="Times New Roman"/>
          <w:sz w:val="24"/>
          <w:szCs w:val="24"/>
        </w:rPr>
      </w:pPr>
    </w:p>
    <w:p w14:paraId="6AB5BD92" w14:textId="77777777" w:rsidR="00135047" w:rsidRDefault="00135047" w:rsidP="00863DF5">
      <w:pPr>
        <w:spacing w:line="480" w:lineRule="auto"/>
        <w:rPr>
          <w:rFonts w:ascii="Times New Roman" w:hAnsi="Times New Roman" w:cs="Times New Roman"/>
          <w:sz w:val="24"/>
          <w:szCs w:val="24"/>
        </w:rPr>
      </w:pPr>
    </w:p>
    <w:p w14:paraId="59366CDE" w14:textId="77777777" w:rsidR="00135047" w:rsidRDefault="00135047" w:rsidP="00863DF5">
      <w:pPr>
        <w:spacing w:line="480" w:lineRule="auto"/>
        <w:rPr>
          <w:rFonts w:ascii="Times New Roman" w:hAnsi="Times New Roman" w:cs="Times New Roman"/>
          <w:sz w:val="24"/>
          <w:szCs w:val="24"/>
        </w:rPr>
      </w:pPr>
    </w:p>
    <w:p w14:paraId="7C7D8F53" w14:textId="5365E474" w:rsidR="00135047" w:rsidRDefault="00135047" w:rsidP="00863DF5">
      <w:pPr>
        <w:spacing w:line="480" w:lineRule="auto"/>
        <w:rPr>
          <w:rFonts w:ascii="Times New Roman" w:hAnsi="Times New Roman" w:cs="Times New Roman"/>
          <w:sz w:val="24"/>
          <w:szCs w:val="24"/>
        </w:rPr>
      </w:pPr>
    </w:p>
    <w:p w14:paraId="77F054AA" w14:textId="77777777" w:rsidR="00135047" w:rsidRDefault="00135047" w:rsidP="00863DF5">
      <w:pPr>
        <w:spacing w:line="480" w:lineRule="auto"/>
        <w:rPr>
          <w:rFonts w:ascii="Times New Roman" w:hAnsi="Times New Roman" w:cs="Times New Roman"/>
          <w:sz w:val="24"/>
          <w:szCs w:val="24"/>
        </w:rPr>
      </w:pPr>
    </w:p>
    <w:p w14:paraId="59ED0527" w14:textId="77777777" w:rsidR="00135047" w:rsidRDefault="00135047" w:rsidP="00863DF5">
      <w:pPr>
        <w:spacing w:line="480" w:lineRule="auto"/>
        <w:rPr>
          <w:rFonts w:ascii="Times New Roman" w:hAnsi="Times New Roman" w:cs="Times New Roman"/>
          <w:sz w:val="24"/>
          <w:szCs w:val="24"/>
        </w:rPr>
        <w:sectPr w:rsidR="00135047" w:rsidSect="00602D3C">
          <w:pgSz w:w="11906" w:h="16838" w:code="9"/>
          <w:pgMar w:top="1440" w:right="1152" w:bottom="1440" w:left="2160" w:header="706" w:footer="706" w:gutter="0"/>
          <w:cols w:space="708"/>
          <w:docGrid w:linePitch="360"/>
        </w:sectPr>
      </w:pPr>
    </w:p>
    <w:p w14:paraId="74EB8BB2" w14:textId="64B4A8C4" w:rsidR="007D3649" w:rsidRPr="007D3649" w:rsidRDefault="008C32A1" w:rsidP="007D3649">
      <w:pPr>
        <w:spacing w:line="480" w:lineRule="auto"/>
        <w:jc w:val="center"/>
        <w:rPr>
          <w:rFonts w:ascii="Times New Roman" w:hAnsi="Times New Roman" w:cs="Times New Roman"/>
          <w:b/>
          <w:sz w:val="24"/>
          <w:szCs w:val="24"/>
        </w:rPr>
        <w:sectPr w:rsidR="007D3649" w:rsidRPr="007D3649" w:rsidSect="00922E2D">
          <w:pgSz w:w="16838" w:h="11906" w:orient="landscape" w:code="9"/>
          <w:pgMar w:top="2160" w:right="1152" w:bottom="1152" w:left="1152" w:header="706" w:footer="706" w:gutter="0"/>
          <w:cols w:space="708"/>
          <w:docGrid w:linePitch="360"/>
        </w:sectPr>
      </w:pPr>
      <w:r w:rsidRPr="008C32A1">
        <w:rPr>
          <w:rFonts w:ascii="Times New Roman" w:hAnsi="Times New Roman" w:cs="Times New Roman"/>
          <w:b/>
          <w:noProof/>
          <w:sz w:val="24"/>
          <w:szCs w:val="24"/>
        </w:rPr>
        <w:lastRenderedPageBreak/>
        <mc:AlternateContent>
          <mc:Choice Requires="wps">
            <w:drawing>
              <wp:anchor distT="45720" distB="45720" distL="114300" distR="114300" simplePos="0" relativeHeight="251682816" behindDoc="0" locked="0" layoutInCell="1" allowOverlap="1" wp14:anchorId="0D285716" wp14:editId="3E7444A7">
                <wp:simplePos x="0" y="0"/>
                <wp:positionH relativeFrom="column">
                  <wp:posOffset>2625090</wp:posOffset>
                </wp:positionH>
                <wp:positionV relativeFrom="paragraph">
                  <wp:posOffset>5101590</wp:posOffset>
                </wp:positionV>
                <wp:extent cx="4114800" cy="314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14325"/>
                        </a:xfrm>
                        <a:prstGeom prst="rect">
                          <a:avLst/>
                        </a:prstGeom>
                        <a:solidFill>
                          <a:srgbClr val="FFFFFF"/>
                        </a:solidFill>
                        <a:ln w="9525">
                          <a:solidFill>
                            <a:srgbClr val="000000"/>
                          </a:solidFill>
                          <a:miter lim="800000"/>
                          <a:headEnd/>
                          <a:tailEnd/>
                        </a:ln>
                      </wps:spPr>
                      <wps:txbx>
                        <w:txbxContent>
                          <w:p w14:paraId="5AF4A55C" w14:textId="33790081" w:rsidR="00D35C1E" w:rsidRDefault="00D35C1E" w:rsidP="00C35940">
                            <w:pPr>
                              <w:spacing w:line="480" w:lineRule="auto"/>
                              <w:jc w:val="center"/>
                              <w:rPr>
                                <w:rFonts w:ascii="Times New Roman" w:hAnsi="Times New Roman" w:cs="Times New Roman"/>
                                <w:sz w:val="24"/>
                                <w:szCs w:val="24"/>
                              </w:rPr>
                            </w:pPr>
                            <w:r w:rsidRPr="006F3B00">
                              <w:rPr>
                                <w:rFonts w:ascii="Times New Roman" w:hAnsi="Times New Roman" w:cs="Times New Roman"/>
                                <w:b/>
                                <w:sz w:val="24"/>
                                <w:szCs w:val="24"/>
                              </w:rPr>
                              <w:t xml:space="preserve">Figure </w:t>
                            </w:r>
                            <w:r>
                              <w:rPr>
                                <w:rFonts w:ascii="Times New Roman" w:hAnsi="Times New Roman" w:cs="Times New Roman"/>
                                <w:b/>
                                <w:sz w:val="24"/>
                                <w:szCs w:val="24"/>
                              </w:rPr>
                              <w:t>4.1.</w:t>
                            </w:r>
                            <w:r w:rsidRPr="006F3B00">
                              <w:rPr>
                                <w:rFonts w:ascii="Times New Roman" w:hAnsi="Times New Roman" w:cs="Times New Roman"/>
                                <w:b/>
                                <w:sz w:val="24"/>
                                <w:szCs w:val="24"/>
                              </w:rPr>
                              <w:t xml:space="preserve"> Categories and sub-headings after six inte</w:t>
                            </w:r>
                            <w:r>
                              <w:rPr>
                                <w:rFonts w:ascii="Times New Roman" w:hAnsi="Times New Roman" w:cs="Times New Roman"/>
                                <w:b/>
                                <w:sz w:val="24"/>
                                <w:szCs w:val="24"/>
                              </w:rPr>
                              <w:t>rviews</w:t>
                            </w:r>
                          </w:p>
                          <w:p w14:paraId="6A5CA412" w14:textId="3321D1C3" w:rsidR="00D35C1E" w:rsidRDefault="00D35C1E" w:rsidP="00C3594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85716" id="_x0000_s1065" type="#_x0000_t202" style="position:absolute;left:0;text-align:left;margin-left:206.7pt;margin-top:401.7pt;width:324pt;height:24.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a3JwIAAE4EAAAOAAAAZHJzL2Uyb0RvYy54bWysVNtu2zAMfR+wfxD0vvhSpxcjTtGlyzCg&#10;uwDtPkCW5ViYJGqSErv7+lJKmmYX7GGYHwRSpA7JQ9KL60krshPOSzANLWY5JcJw6KTZNPTrw/rN&#10;JSU+MNMxBUY09FF4er18/Wox2lqUMIDqhCMIYnw92oYOIdg6yzwfhGZ+BlYYNPbgNAuouk3WOTYi&#10;ulZZmefn2Qiusw648B5vb/dGukz4fS94+Nz3XgSiGoq5hXS6dLbxzJYLVm8cs4PkhzTYP2ShmTQY&#10;9Ah1ywIjWyd/g9KSO/DQhxkHnUHfSy5SDVhNkf9Szf3ArEi1IDneHmny/w+Wf9p9cUR2DS2LC0oM&#10;09ikBzEF8hYmUkZ+RutrdLu36BgmvMY+p1q9vQP+zRMDq4GZjbhxDsZBsA7zK+LL7OTpHsdHkHb8&#10;CB2GYdsACWjqnY7kIR0E0bFPj8fexFQ4XlZFUV3maOJoOyuqs3KeQrD6+bV1PrwXoEkUGuqw9wmd&#10;7e58iNmw+tklBvOgZLeWSiXFbdqVcmTHcE7W6Tug/+SmDBkbejXH2H+HyNP3JwgtAw68krqhWA5+&#10;0YnVkbZ3pktyYFLtZUxZmQOPkbo9iWFqp9Sy4jw+jiS30D0isw72A44LicIA7gclIw53Q/33LXOC&#10;EvXBYHeuiqqK25CUan5RouJOLe2phRmOUA0NlOzFVUgbFPM2cINd7GUi+CWTQ844tIn3w4LFrTjV&#10;k9fLb2D5BAAA//8DAFBLAwQUAAYACAAAACEAyN0BNuAAAAAMAQAADwAAAGRycy9kb3ducmV2Lnht&#10;bEyPwU7DMBBE70j8g7VIXFBrpw2hDXEqhASiN2gRXN14m0TEdrDdNPw9mxPcZndGs2+LzWg6NqAP&#10;rbMSkrkAhrZyurW1hPf902wFLERlteqcRQk/GGBTXl4UKtfubN9w2MWaUYkNuZLQxNjnnIeqQaPC&#10;3PVoyTs6b1Sk0ddce3WmctPxhRAZN6q1dKFRPT42WH3tTkbCKn0ZPsN2+fpRZcduHW/uhudvL+X1&#10;1fhwDyziGP/CMOETOpTEdHAnqwPrJKTJMqUolYlJTAmRJaQOtLpdrIGXBf//RPkLAAD//wMAUEsB&#10;Ai0AFAAGAAgAAAAhALaDOJL+AAAA4QEAABMAAAAAAAAAAAAAAAAAAAAAAFtDb250ZW50X1R5cGVz&#10;XS54bWxQSwECLQAUAAYACAAAACEAOP0h/9YAAACUAQAACwAAAAAAAAAAAAAAAAAvAQAAX3JlbHMv&#10;LnJlbHNQSwECLQAUAAYACAAAACEAbvcGtycCAABOBAAADgAAAAAAAAAAAAAAAAAuAgAAZHJzL2Uy&#10;b0RvYy54bWxQSwECLQAUAAYACAAAACEAyN0BNuAAAAAMAQAADwAAAAAAAAAAAAAAAACBBAAAZHJz&#10;L2Rvd25yZXYueG1sUEsFBgAAAAAEAAQA8wAAAI4FAAAAAA==&#10;">
                <v:textbox>
                  <w:txbxContent>
                    <w:p w14:paraId="5AF4A55C" w14:textId="33790081" w:rsidR="00D35C1E" w:rsidRDefault="00D35C1E" w:rsidP="00C35940">
                      <w:pPr>
                        <w:spacing w:line="480" w:lineRule="auto"/>
                        <w:jc w:val="center"/>
                        <w:rPr>
                          <w:rFonts w:ascii="Times New Roman" w:hAnsi="Times New Roman" w:cs="Times New Roman"/>
                          <w:sz w:val="24"/>
                          <w:szCs w:val="24"/>
                        </w:rPr>
                      </w:pPr>
                      <w:r w:rsidRPr="006F3B00">
                        <w:rPr>
                          <w:rFonts w:ascii="Times New Roman" w:hAnsi="Times New Roman" w:cs="Times New Roman"/>
                          <w:b/>
                          <w:sz w:val="24"/>
                          <w:szCs w:val="24"/>
                        </w:rPr>
                        <w:t xml:space="preserve">Figure </w:t>
                      </w:r>
                      <w:r>
                        <w:rPr>
                          <w:rFonts w:ascii="Times New Roman" w:hAnsi="Times New Roman" w:cs="Times New Roman"/>
                          <w:b/>
                          <w:sz w:val="24"/>
                          <w:szCs w:val="24"/>
                        </w:rPr>
                        <w:t>4.1.</w:t>
                      </w:r>
                      <w:r w:rsidRPr="006F3B00">
                        <w:rPr>
                          <w:rFonts w:ascii="Times New Roman" w:hAnsi="Times New Roman" w:cs="Times New Roman"/>
                          <w:b/>
                          <w:sz w:val="24"/>
                          <w:szCs w:val="24"/>
                        </w:rPr>
                        <w:t xml:space="preserve"> Categories and sub-headings after six inte</w:t>
                      </w:r>
                      <w:r>
                        <w:rPr>
                          <w:rFonts w:ascii="Times New Roman" w:hAnsi="Times New Roman" w:cs="Times New Roman"/>
                          <w:b/>
                          <w:sz w:val="24"/>
                          <w:szCs w:val="24"/>
                        </w:rPr>
                        <w:t>rviews</w:t>
                      </w:r>
                    </w:p>
                    <w:p w14:paraId="6A5CA412" w14:textId="3321D1C3" w:rsidR="00D35C1E" w:rsidRDefault="00D35C1E" w:rsidP="00C35940">
                      <w:pPr>
                        <w:jc w:val="center"/>
                      </w:pPr>
                    </w:p>
                  </w:txbxContent>
                </v:textbox>
                <w10:wrap type="square"/>
              </v:shape>
            </w:pict>
          </mc:Fallback>
        </mc:AlternateContent>
      </w:r>
      <w:r w:rsidR="007D3649">
        <w:rPr>
          <w:noProof/>
        </w:rPr>
        <w:drawing>
          <wp:inline distT="0" distB="0" distL="0" distR="0" wp14:anchorId="6D142A64" wp14:editId="386A09F6">
            <wp:extent cx="7122795" cy="5029200"/>
            <wp:effectExtent l="0" t="0" r="190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081" t="17442" r="16120" b="5199"/>
                    <a:stretch/>
                  </pic:blipFill>
                  <pic:spPr bwMode="auto">
                    <a:xfrm>
                      <a:off x="0" y="0"/>
                      <a:ext cx="7122795" cy="5029200"/>
                    </a:xfrm>
                    <a:prstGeom prst="rect">
                      <a:avLst/>
                    </a:prstGeom>
                    <a:ln>
                      <a:noFill/>
                    </a:ln>
                    <a:extLst>
                      <a:ext uri="{53640926-AAD7-44D8-BBD7-CCE9431645EC}">
                        <a14:shadowObscured xmlns:a14="http://schemas.microsoft.com/office/drawing/2010/main"/>
                      </a:ext>
                    </a:extLst>
                  </pic:spPr>
                </pic:pic>
              </a:graphicData>
            </a:graphic>
          </wp:inline>
        </w:drawing>
      </w:r>
    </w:p>
    <w:p w14:paraId="0B5B2666" w14:textId="1957B4C6" w:rsidR="00863DF5" w:rsidRPr="006F3B00" w:rsidRDefault="007D3649" w:rsidP="00863DF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w:t>
      </w:r>
      <w:r w:rsidR="00863DF5" w:rsidRPr="006F3B00">
        <w:rPr>
          <w:rFonts w:ascii="Times New Roman" w:hAnsi="Times New Roman" w:cs="Times New Roman"/>
          <w:sz w:val="24"/>
          <w:szCs w:val="24"/>
        </w:rPr>
        <w:t>ollowing discussion with the research team, the 8 categories were reorganised to 6 and th</w:t>
      </w:r>
      <w:r>
        <w:rPr>
          <w:rFonts w:ascii="Times New Roman" w:hAnsi="Times New Roman" w:cs="Times New Roman"/>
          <w:sz w:val="24"/>
          <w:szCs w:val="24"/>
        </w:rPr>
        <w:t>e 22 sub-headings reduced to 19</w:t>
      </w:r>
      <w:r w:rsidR="00863DF5" w:rsidRPr="006F3B00">
        <w:rPr>
          <w:rFonts w:ascii="Times New Roman" w:hAnsi="Times New Roman" w:cs="Times New Roman"/>
          <w:sz w:val="24"/>
          <w:szCs w:val="24"/>
        </w:rPr>
        <w:t xml:space="preserve"> (Figure </w:t>
      </w:r>
      <w:r w:rsidR="00A50523">
        <w:rPr>
          <w:rFonts w:ascii="Times New Roman" w:hAnsi="Times New Roman" w:cs="Times New Roman"/>
          <w:sz w:val="24"/>
          <w:szCs w:val="24"/>
        </w:rPr>
        <w:t>4.</w:t>
      </w:r>
      <w:r w:rsidR="00863DF5" w:rsidRPr="006F3B00">
        <w:rPr>
          <w:rFonts w:ascii="Times New Roman" w:hAnsi="Times New Roman" w:cs="Times New Roman"/>
          <w:sz w:val="24"/>
          <w:szCs w:val="24"/>
        </w:rPr>
        <w:t xml:space="preserve">2). </w:t>
      </w:r>
    </w:p>
    <w:p w14:paraId="42DCDEE9" w14:textId="278B06D4"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six categories were</w:t>
      </w:r>
      <w:r w:rsidR="00E74DCC">
        <w:rPr>
          <w:rFonts w:ascii="Times New Roman" w:hAnsi="Times New Roman" w:cs="Times New Roman"/>
          <w:sz w:val="24"/>
          <w:szCs w:val="24"/>
        </w:rPr>
        <w:t>:</w:t>
      </w:r>
      <w:r w:rsidRPr="006F3B00">
        <w:rPr>
          <w:rFonts w:ascii="Times New Roman" w:hAnsi="Times New Roman" w:cs="Times New Roman"/>
          <w:sz w:val="24"/>
          <w:szCs w:val="24"/>
        </w:rPr>
        <w:t xml:space="preserve"> </w:t>
      </w:r>
    </w:p>
    <w:p w14:paraId="2E6071E7" w14:textId="27CEA754"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t>
      </w:r>
      <w:r w:rsidR="00B127C7">
        <w:rPr>
          <w:rFonts w:ascii="Times New Roman" w:hAnsi="Times New Roman" w:cs="Times New Roman"/>
          <w:sz w:val="24"/>
          <w:szCs w:val="24"/>
        </w:rPr>
        <w:t>S</w:t>
      </w:r>
      <w:r w:rsidR="00E74DCC">
        <w:rPr>
          <w:rFonts w:ascii="Times New Roman" w:hAnsi="Times New Roman" w:cs="Times New Roman"/>
          <w:sz w:val="24"/>
          <w:szCs w:val="24"/>
        </w:rPr>
        <w:t>tage of training”</w:t>
      </w:r>
    </w:p>
    <w:p w14:paraId="44FE7BEA" w14:textId="76D0E7B4" w:rsidR="00863DF5" w:rsidRPr="006F3B00" w:rsidRDefault="00E74DCC" w:rsidP="00863DF5">
      <w:pPr>
        <w:spacing w:line="480" w:lineRule="auto"/>
        <w:rPr>
          <w:rFonts w:ascii="Times New Roman" w:hAnsi="Times New Roman" w:cs="Times New Roman"/>
          <w:sz w:val="24"/>
          <w:szCs w:val="24"/>
        </w:rPr>
      </w:pPr>
      <w:r>
        <w:rPr>
          <w:rFonts w:ascii="Times New Roman" w:hAnsi="Times New Roman" w:cs="Times New Roman"/>
          <w:sz w:val="24"/>
          <w:szCs w:val="24"/>
        </w:rPr>
        <w:t>“F</w:t>
      </w:r>
      <w:r w:rsidR="00863DF5" w:rsidRPr="006F3B00">
        <w:rPr>
          <w:rFonts w:ascii="Times New Roman" w:hAnsi="Times New Roman" w:cs="Times New Roman"/>
          <w:sz w:val="24"/>
          <w:szCs w:val="24"/>
        </w:rPr>
        <w:t>orming a diagnosis”,</w:t>
      </w:r>
    </w:p>
    <w:p w14:paraId="71E4A768" w14:textId="21BED212" w:rsidR="00863DF5" w:rsidRPr="006F3B00" w:rsidRDefault="00E74DCC"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 “R</w:t>
      </w:r>
      <w:r w:rsidR="00863DF5" w:rsidRPr="006F3B00">
        <w:rPr>
          <w:rFonts w:ascii="Times New Roman" w:hAnsi="Times New Roman" w:cs="Times New Roman"/>
          <w:sz w:val="24"/>
          <w:szCs w:val="24"/>
        </w:rPr>
        <w:t>eflection”,</w:t>
      </w:r>
    </w:p>
    <w:p w14:paraId="6BF73418" w14:textId="7797104E" w:rsidR="00863DF5" w:rsidRPr="006F3B00" w:rsidRDefault="00E74DCC"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 “T</w:t>
      </w:r>
      <w:r w:rsidR="00863DF5" w:rsidRPr="006F3B00">
        <w:rPr>
          <w:rFonts w:ascii="Times New Roman" w:hAnsi="Times New Roman" w:cs="Times New Roman"/>
          <w:sz w:val="24"/>
          <w:szCs w:val="24"/>
        </w:rPr>
        <w:t xml:space="preserve">rust”, </w:t>
      </w:r>
    </w:p>
    <w:p w14:paraId="05966B8B" w14:textId="3374C5B6" w:rsidR="00863DF5" w:rsidRPr="006F3B00" w:rsidRDefault="00E74DCC" w:rsidP="00863DF5">
      <w:pPr>
        <w:spacing w:line="480" w:lineRule="auto"/>
        <w:rPr>
          <w:rFonts w:ascii="Times New Roman" w:hAnsi="Times New Roman" w:cs="Times New Roman"/>
          <w:sz w:val="24"/>
          <w:szCs w:val="24"/>
        </w:rPr>
      </w:pPr>
      <w:r>
        <w:rPr>
          <w:rFonts w:ascii="Times New Roman" w:hAnsi="Times New Roman" w:cs="Times New Roman"/>
          <w:sz w:val="24"/>
          <w:szCs w:val="24"/>
        </w:rPr>
        <w:t>“T</w:t>
      </w:r>
      <w:r w:rsidR="00863DF5" w:rsidRPr="006F3B00">
        <w:rPr>
          <w:rFonts w:ascii="Times New Roman" w:hAnsi="Times New Roman" w:cs="Times New Roman"/>
          <w:sz w:val="24"/>
          <w:szCs w:val="24"/>
        </w:rPr>
        <w:t xml:space="preserve">he patient” and </w:t>
      </w:r>
    </w:p>
    <w:p w14:paraId="76A8597B" w14:textId="22C2E5F2" w:rsidR="00863DF5" w:rsidRDefault="00E74DCC" w:rsidP="00863DF5">
      <w:pPr>
        <w:spacing w:line="480" w:lineRule="auto"/>
        <w:rPr>
          <w:rFonts w:ascii="Times New Roman" w:hAnsi="Times New Roman" w:cs="Times New Roman"/>
          <w:sz w:val="24"/>
          <w:szCs w:val="24"/>
        </w:rPr>
      </w:pPr>
      <w:r>
        <w:rPr>
          <w:rFonts w:ascii="Times New Roman" w:hAnsi="Times New Roman" w:cs="Times New Roman"/>
          <w:sz w:val="24"/>
          <w:szCs w:val="24"/>
        </w:rPr>
        <w:t>“P</w:t>
      </w:r>
      <w:r w:rsidR="00863DF5" w:rsidRPr="006F3B00">
        <w:rPr>
          <w:rFonts w:ascii="Times New Roman" w:hAnsi="Times New Roman" w:cs="Times New Roman"/>
          <w:sz w:val="24"/>
          <w:szCs w:val="24"/>
        </w:rPr>
        <w:t xml:space="preserve">rofessionalism”. </w:t>
      </w:r>
    </w:p>
    <w:p w14:paraId="337DC769" w14:textId="77777777" w:rsidR="00186275" w:rsidRPr="006F3B00" w:rsidRDefault="00186275" w:rsidP="0018627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categories were reduced from 8 to 6 because it was felt two categories were conceptually linked and could be merged. To explain:</w:t>
      </w:r>
    </w:p>
    <w:p w14:paraId="7B57C734" w14:textId="1DC3CB95" w:rsidR="00186275" w:rsidRPr="006F3B00" w:rsidRDefault="00E74DCC" w:rsidP="00186275">
      <w:pPr>
        <w:pStyle w:val="ListParagraph"/>
        <w:numPr>
          <w:ilvl w:val="0"/>
          <w:numId w:val="40"/>
        </w:numPr>
        <w:spacing w:line="480" w:lineRule="auto"/>
        <w:rPr>
          <w:rFonts w:ascii="Times New Roman" w:hAnsi="Times New Roman" w:cs="Times New Roman"/>
          <w:sz w:val="24"/>
          <w:szCs w:val="24"/>
        </w:rPr>
      </w:pPr>
      <w:r>
        <w:rPr>
          <w:rFonts w:ascii="Times New Roman" w:hAnsi="Times New Roman" w:cs="Times New Roman"/>
          <w:sz w:val="24"/>
          <w:szCs w:val="24"/>
        </w:rPr>
        <w:t>The category of “R</w:t>
      </w:r>
      <w:r w:rsidR="00186275" w:rsidRPr="006F3B00">
        <w:rPr>
          <w:rFonts w:ascii="Times New Roman" w:hAnsi="Times New Roman" w:cs="Times New Roman"/>
          <w:sz w:val="24"/>
          <w:szCs w:val="24"/>
        </w:rPr>
        <w:t>epeated measures” present in the first iterat</w:t>
      </w:r>
      <w:r>
        <w:rPr>
          <w:rFonts w:ascii="Times New Roman" w:hAnsi="Times New Roman" w:cs="Times New Roman"/>
          <w:sz w:val="24"/>
          <w:szCs w:val="24"/>
        </w:rPr>
        <w:t>ion included the sub-headings “Day-to-day work” and “C</w:t>
      </w:r>
      <w:r w:rsidR="00186275" w:rsidRPr="006F3B00">
        <w:rPr>
          <w:rFonts w:ascii="Times New Roman" w:hAnsi="Times New Roman" w:cs="Times New Roman"/>
          <w:sz w:val="24"/>
          <w:szCs w:val="24"/>
        </w:rPr>
        <w:t>orrect diagnosis is consistently given”. Essentially, these related to trainees consistently getting diagnoses correct in their day-to-day work. These two sub-headings were therefore m</w:t>
      </w:r>
      <w:r>
        <w:rPr>
          <w:rFonts w:ascii="Times New Roman" w:hAnsi="Times New Roman" w:cs="Times New Roman"/>
          <w:sz w:val="24"/>
          <w:szCs w:val="24"/>
        </w:rPr>
        <w:t>erged to form the sub-heading “C</w:t>
      </w:r>
      <w:r w:rsidR="00186275" w:rsidRPr="006F3B00">
        <w:rPr>
          <w:rFonts w:ascii="Times New Roman" w:hAnsi="Times New Roman" w:cs="Times New Roman"/>
          <w:sz w:val="24"/>
          <w:szCs w:val="24"/>
        </w:rPr>
        <w:t>onsistency of day-to-day work”.  This new sub-heading was move</w:t>
      </w:r>
      <w:r>
        <w:rPr>
          <w:rFonts w:ascii="Times New Roman" w:hAnsi="Times New Roman" w:cs="Times New Roman"/>
          <w:sz w:val="24"/>
          <w:szCs w:val="24"/>
        </w:rPr>
        <w:t>d under the category “F</w:t>
      </w:r>
      <w:r w:rsidR="00186275" w:rsidRPr="006F3B00">
        <w:rPr>
          <w:rFonts w:ascii="Times New Roman" w:hAnsi="Times New Roman" w:cs="Times New Roman"/>
          <w:sz w:val="24"/>
          <w:szCs w:val="24"/>
        </w:rPr>
        <w:t xml:space="preserve">orming </w:t>
      </w:r>
      <w:r>
        <w:rPr>
          <w:rFonts w:ascii="Times New Roman" w:hAnsi="Times New Roman" w:cs="Times New Roman"/>
          <w:sz w:val="24"/>
          <w:szCs w:val="24"/>
        </w:rPr>
        <w:t>a diagnosis”. The category of ‘R</w:t>
      </w:r>
      <w:r w:rsidR="00186275" w:rsidRPr="006F3B00">
        <w:rPr>
          <w:rFonts w:ascii="Times New Roman" w:hAnsi="Times New Roman" w:cs="Times New Roman"/>
          <w:sz w:val="24"/>
          <w:szCs w:val="24"/>
        </w:rPr>
        <w:t xml:space="preserve">epeated measures’ was removed.  </w:t>
      </w:r>
    </w:p>
    <w:p w14:paraId="718221B4" w14:textId="64318610" w:rsidR="00186275" w:rsidRPr="006F3B00" w:rsidRDefault="00E74DCC" w:rsidP="00186275">
      <w:pPr>
        <w:pStyle w:val="ListParagraph"/>
        <w:numPr>
          <w:ilvl w:val="0"/>
          <w:numId w:val="40"/>
        </w:numPr>
        <w:spacing w:line="480" w:lineRule="auto"/>
        <w:rPr>
          <w:rFonts w:ascii="Times New Roman" w:hAnsi="Times New Roman" w:cs="Times New Roman"/>
          <w:sz w:val="24"/>
          <w:szCs w:val="24"/>
        </w:rPr>
      </w:pPr>
      <w:r>
        <w:rPr>
          <w:rFonts w:ascii="Times New Roman" w:hAnsi="Times New Roman" w:cs="Times New Roman"/>
          <w:sz w:val="24"/>
          <w:szCs w:val="24"/>
        </w:rPr>
        <w:t>The category of “A</w:t>
      </w:r>
      <w:r w:rsidR="00186275" w:rsidRPr="006F3B00">
        <w:rPr>
          <w:rFonts w:ascii="Times New Roman" w:hAnsi="Times New Roman" w:cs="Times New Roman"/>
          <w:sz w:val="24"/>
          <w:szCs w:val="24"/>
        </w:rPr>
        <w:t>ssimilating the eviden</w:t>
      </w:r>
      <w:r>
        <w:rPr>
          <w:rFonts w:ascii="Times New Roman" w:hAnsi="Times New Roman" w:cs="Times New Roman"/>
          <w:sz w:val="24"/>
          <w:szCs w:val="24"/>
        </w:rPr>
        <w:t>ce” included the sub-headings “Trust” and “O</w:t>
      </w:r>
      <w:r w:rsidR="00186275" w:rsidRPr="006F3B00">
        <w:rPr>
          <w:rFonts w:ascii="Times New Roman" w:hAnsi="Times New Roman" w:cs="Times New Roman"/>
          <w:sz w:val="24"/>
          <w:szCs w:val="24"/>
        </w:rPr>
        <w:t>verall impression”. On reflection it was decided these headings had similarit</w:t>
      </w:r>
      <w:r>
        <w:rPr>
          <w:rFonts w:ascii="Times New Roman" w:hAnsi="Times New Roman" w:cs="Times New Roman"/>
          <w:sz w:val="24"/>
          <w:szCs w:val="24"/>
        </w:rPr>
        <w:t>ies with the category “A</w:t>
      </w:r>
      <w:r w:rsidR="00186275" w:rsidRPr="006F3B00">
        <w:rPr>
          <w:rFonts w:ascii="Times New Roman" w:hAnsi="Times New Roman" w:cs="Times New Roman"/>
          <w:sz w:val="24"/>
          <w:szCs w:val="24"/>
        </w:rPr>
        <w:t>cting like a consultant</w:t>
      </w:r>
      <w:r>
        <w:rPr>
          <w:rFonts w:ascii="Times New Roman" w:hAnsi="Times New Roman" w:cs="Times New Roman"/>
          <w:sz w:val="24"/>
          <w:szCs w:val="24"/>
        </w:rPr>
        <w:t>” which included sub-headings “Working independently” and “K</w:t>
      </w:r>
      <w:r w:rsidR="00186275" w:rsidRPr="006F3B00">
        <w:rPr>
          <w:rFonts w:ascii="Times New Roman" w:hAnsi="Times New Roman" w:cs="Times New Roman"/>
          <w:sz w:val="24"/>
          <w:szCs w:val="24"/>
        </w:rPr>
        <w:t>nows when to seek a second opinion”</w:t>
      </w:r>
      <w:r>
        <w:rPr>
          <w:rFonts w:ascii="Times New Roman" w:hAnsi="Times New Roman" w:cs="Times New Roman"/>
          <w:sz w:val="24"/>
          <w:szCs w:val="24"/>
        </w:rPr>
        <w:t>. To simplify, the categories “Assimilating the evidence” and “A</w:t>
      </w:r>
      <w:r w:rsidR="00186275" w:rsidRPr="006F3B00">
        <w:rPr>
          <w:rFonts w:ascii="Times New Roman" w:hAnsi="Times New Roman" w:cs="Times New Roman"/>
          <w:sz w:val="24"/>
          <w:szCs w:val="24"/>
        </w:rPr>
        <w:t xml:space="preserve">cting like a </w:t>
      </w:r>
      <w:r w:rsidR="00186275" w:rsidRPr="006F3B00">
        <w:rPr>
          <w:rFonts w:ascii="Times New Roman" w:hAnsi="Times New Roman" w:cs="Times New Roman"/>
          <w:sz w:val="24"/>
          <w:szCs w:val="24"/>
        </w:rPr>
        <w:lastRenderedPageBreak/>
        <w:t>consultant” were removed and their sub-headings were now placed under the category “Trust” which unified the concepts.</w:t>
      </w:r>
    </w:p>
    <w:p w14:paraId="2853F47F" w14:textId="365E5CBE" w:rsidR="00186275" w:rsidRPr="006F3B00" w:rsidRDefault="00E74DCC" w:rsidP="00186275">
      <w:pPr>
        <w:pStyle w:val="ListParagraph"/>
        <w:numPr>
          <w:ilvl w:val="0"/>
          <w:numId w:val="40"/>
        </w:numPr>
        <w:spacing w:line="480" w:lineRule="auto"/>
        <w:rPr>
          <w:rFonts w:ascii="Times New Roman" w:hAnsi="Times New Roman" w:cs="Times New Roman"/>
          <w:sz w:val="24"/>
          <w:szCs w:val="24"/>
        </w:rPr>
      </w:pPr>
      <w:r>
        <w:rPr>
          <w:rFonts w:ascii="Times New Roman" w:hAnsi="Times New Roman" w:cs="Times New Roman"/>
          <w:sz w:val="24"/>
          <w:szCs w:val="24"/>
        </w:rPr>
        <w:t>The category “T</w:t>
      </w:r>
      <w:r w:rsidR="00186275" w:rsidRPr="006F3B00">
        <w:rPr>
          <w:rFonts w:ascii="Times New Roman" w:hAnsi="Times New Roman" w:cs="Times New Roman"/>
          <w:sz w:val="24"/>
          <w:szCs w:val="24"/>
        </w:rPr>
        <w:t>he individ</w:t>
      </w:r>
      <w:r>
        <w:rPr>
          <w:rFonts w:ascii="Times New Roman" w:hAnsi="Times New Roman" w:cs="Times New Roman"/>
          <w:sz w:val="24"/>
          <w:szCs w:val="24"/>
        </w:rPr>
        <w:t>ual” was re-conceptualised as “P</w:t>
      </w:r>
      <w:r w:rsidR="00186275" w:rsidRPr="006F3B00">
        <w:rPr>
          <w:rFonts w:ascii="Times New Roman" w:hAnsi="Times New Roman" w:cs="Times New Roman"/>
          <w:sz w:val="24"/>
          <w:szCs w:val="24"/>
        </w:rPr>
        <w:t>rofessionalism” because it w</w:t>
      </w:r>
      <w:r>
        <w:rPr>
          <w:rFonts w:ascii="Times New Roman" w:hAnsi="Times New Roman" w:cs="Times New Roman"/>
          <w:sz w:val="24"/>
          <w:szCs w:val="24"/>
        </w:rPr>
        <w:t>as felt that the sub-headings “Teamwork” and “O</w:t>
      </w:r>
      <w:r w:rsidR="00186275" w:rsidRPr="006F3B00">
        <w:rPr>
          <w:rFonts w:ascii="Times New Roman" w:hAnsi="Times New Roman" w:cs="Times New Roman"/>
          <w:sz w:val="24"/>
          <w:szCs w:val="24"/>
        </w:rPr>
        <w:t>rganisational skills” were aspects of professionalism</w:t>
      </w:r>
      <w:r>
        <w:rPr>
          <w:rFonts w:ascii="Times New Roman" w:hAnsi="Times New Roman" w:cs="Times New Roman"/>
          <w:sz w:val="24"/>
          <w:szCs w:val="24"/>
        </w:rPr>
        <w:t>. In addition the sub-heading “A</w:t>
      </w:r>
      <w:r w:rsidR="00186275" w:rsidRPr="006F3B00">
        <w:rPr>
          <w:rFonts w:ascii="Times New Roman" w:hAnsi="Times New Roman" w:cs="Times New Roman"/>
          <w:sz w:val="24"/>
          <w:szCs w:val="24"/>
        </w:rPr>
        <w:t>ttitud</w:t>
      </w:r>
      <w:r>
        <w:rPr>
          <w:rFonts w:ascii="Times New Roman" w:hAnsi="Times New Roman" w:cs="Times New Roman"/>
          <w:sz w:val="24"/>
          <w:szCs w:val="24"/>
        </w:rPr>
        <w:t>e and motivation” (within the “R</w:t>
      </w:r>
      <w:r w:rsidR="00186275" w:rsidRPr="006F3B00">
        <w:rPr>
          <w:rFonts w:ascii="Times New Roman" w:hAnsi="Times New Roman" w:cs="Times New Roman"/>
          <w:sz w:val="24"/>
          <w:szCs w:val="24"/>
        </w:rPr>
        <w:t>eflectio</w:t>
      </w:r>
      <w:r>
        <w:rPr>
          <w:rFonts w:ascii="Times New Roman" w:hAnsi="Times New Roman" w:cs="Times New Roman"/>
          <w:sz w:val="24"/>
          <w:szCs w:val="24"/>
        </w:rPr>
        <w:t>n” category) was moved to the “P</w:t>
      </w:r>
      <w:r w:rsidR="00186275" w:rsidRPr="006F3B00">
        <w:rPr>
          <w:rFonts w:ascii="Times New Roman" w:hAnsi="Times New Roman" w:cs="Times New Roman"/>
          <w:sz w:val="24"/>
          <w:szCs w:val="24"/>
        </w:rPr>
        <w:t>rofessionalism” category.</w:t>
      </w:r>
    </w:p>
    <w:p w14:paraId="37D77A96" w14:textId="7826D0ED" w:rsidR="00186275" w:rsidRDefault="00E74DCC" w:rsidP="00186275">
      <w:pPr>
        <w:pStyle w:val="ListParagraph"/>
        <w:numPr>
          <w:ilvl w:val="0"/>
          <w:numId w:val="40"/>
        </w:numPr>
        <w:spacing w:line="480" w:lineRule="auto"/>
        <w:rPr>
          <w:rFonts w:ascii="Times New Roman" w:hAnsi="Times New Roman" w:cs="Times New Roman"/>
          <w:sz w:val="24"/>
          <w:szCs w:val="24"/>
        </w:rPr>
      </w:pPr>
      <w:r>
        <w:rPr>
          <w:rFonts w:ascii="Times New Roman" w:hAnsi="Times New Roman" w:cs="Times New Roman"/>
          <w:sz w:val="24"/>
          <w:szCs w:val="24"/>
        </w:rPr>
        <w:t>The sub-headings “Correct diagnosis” and “E</w:t>
      </w:r>
      <w:r w:rsidR="00186275" w:rsidRPr="006F3B00">
        <w:rPr>
          <w:rFonts w:ascii="Times New Roman" w:hAnsi="Times New Roman" w:cs="Times New Roman"/>
          <w:sz w:val="24"/>
          <w:szCs w:val="24"/>
        </w:rPr>
        <w:t>rrors and missing details” were m</w:t>
      </w:r>
      <w:r>
        <w:rPr>
          <w:rFonts w:ascii="Times New Roman" w:hAnsi="Times New Roman" w:cs="Times New Roman"/>
          <w:sz w:val="24"/>
          <w:szCs w:val="24"/>
        </w:rPr>
        <w:t>erged to form one sub-heading “A</w:t>
      </w:r>
      <w:r w:rsidR="00186275" w:rsidRPr="006F3B00">
        <w:rPr>
          <w:rFonts w:ascii="Times New Roman" w:hAnsi="Times New Roman" w:cs="Times New Roman"/>
          <w:sz w:val="24"/>
          <w:szCs w:val="24"/>
        </w:rPr>
        <w:t>ccuracy and errors in diagnosis” as they were felt to represent the same idea, just expressed in a different way. They remained in the category “Forming a diagnosis”.</w:t>
      </w:r>
    </w:p>
    <w:p w14:paraId="042A0252" w14:textId="31D9D43D" w:rsidR="00C35940" w:rsidRDefault="00C35940" w:rsidP="00C35940">
      <w:pPr>
        <w:pStyle w:val="ListParagraph"/>
        <w:spacing w:line="480" w:lineRule="auto"/>
        <w:rPr>
          <w:rFonts w:ascii="Times New Roman" w:hAnsi="Times New Roman" w:cs="Times New Roman"/>
          <w:sz w:val="24"/>
          <w:szCs w:val="24"/>
        </w:rPr>
      </w:pPr>
    </w:p>
    <w:p w14:paraId="0CAFF112" w14:textId="6ED94533" w:rsidR="00C35940" w:rsidRDefault="00C35940" w:rsidP="00C35940">
      <w:pPr>
        <w:pStyle w:val="ListParagraph"/>
        <w:spacing w:line="480" w:lineRule="auto"/>
        <w:rPr>
          <w:rFonts w:ascii="Times New Roman" w:hAnsi="Times New Roman" w:cs="Times New Roman"/>
          <w:sz w:val="24"/>
          <w:szCs w:val="24"/>
        </w:rPr>
      </w:pPr>
    </w:p>
    <w:p w14:paraId="7B1566B0" w14:textId="094E5BA4" w:rsidR="00C35940" w:rsidRPr="00C35940" w:rsidRDefault="00C35940" w:rsidP="00C35940">
      <w:pPr>
        <w:spacing w:line="480" w:lineRule="auto"/>
        <w:rPr>
          <w:rFonts w:ascii="Times New Roman" w:hAnsi="Times New Roman" w:cs="Times New Roman"/>
          <w:sz w:val="24"/>
          <w:szCs w:val="24"/>
        </w:rPr>
        <w:sectPr w:rsidR="00C35940" w:rsidRPr="00C35940" w:rsidSect="00602D3C">
          <w:pgSz w:w="11906" w:h="16838" w:code="9"/>
          <w:pgMar w:top="1440" w:right="1152" w:bottom="1440" w:left="2160" w:header="706" w:footer="706" w:gutter="0"/>
          <w:cols w:space="708"/>
          <w:docGrid w:linePitch="360"/>
        </w:sectPr>
      </w:pPr>
    </w:p>
    <w:p w14:paraId="7DCC8AA9" w14:textId="3B3B8B9E" w:rsidR="005642BD" w:rsidRDefault="00C35940" w:rsidP="00C35940">
      <w:pPr>
        <w:spacing w:line="480" w:lineRule="auto"/>
        <w:jc w:val="center"/>
        <w:rPr>
          <w:rFonts w:ascii="Times New Roman" w:hAnsi="Times New Roman" w:cs="Times New Roman"/>
          <w:sz w:val="24"/>
          <w:szCs w:val="24"/>
        </w:rPr>
      </w:pPr>
      <w:r>
        <w:rPr>
          <w:noProof/>
        </w:rPr>
        <w:lastRenderedPageBreak/>
        <w:drawing>
          <wp:inline distT="0" distB="0" distL="0" distR="0" wp14:anchorId="5648E6C2" wp14:editId="4FD36B40">
            <wp:extent cx="7807325" cy="48006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949" t="17644" r="14810" b="5441"/>
                    <a:stretch/>
                  </pic:blipFill>
                  <pic:spPr bwMode="auto">
                    <a:xfrm>
                      <a:off x="0" y="0"/>
                      <a:ext cx="7931217" cy="48767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6371AE3" wp14:editId="0B0F3183">
            <wp:extent cx="4877435" cy="3905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7435" cy="390525"/>
                    </a:xfrm>
                    <a:prstGeom prst="rect">
                      <a:avLst/>
                    </a:prstGeom>
                    <a:noFill/>
                  </pic:spPr>
                </pic:pic>
              </a:graphicData>
            </a:graphic>
          </wp:inline>
        </w:drawing>
      </w:r>
    </w:p>
    <w:p w14:paraId="0F27C31F" w14:textId="54C6D793" w:rsidR="00C35940" w:rsidRDefault="00C35940" w:rsidP="00C35940">
      <w:pPr>
        <w:spacing w:line="480" w:lineRule="auto"/>
        <w:rPr>
          <w:rFonts w:ascii="Times New Roman" w:hAnsi="Times New Roman" w:cs="Times New Roman"/>
          <w:sz w:val="24"/>
          <w:szCs w:val="24"/>
        </w:rPr>
        <w:sectPr w:rsidR="00C35940" w:rsidSect="00922E2D">
          <w:pgSz w:w="16838" w:h="11906" w:orient="landscape" w:code="9"/>
          <w:pgMar w:top="2160" w:right="1152" w:bottom="1152" w:left="1152" w:header="706" w:footer="706" w:gutter="0"/>
          <w:cols w:space="708"/>
          <w:docGrid w:linePitch="360"/>
        </w:sectPr>
      </w:pPr>
    </w:p>
    <w:p w14:paraId="2AF065B7" w14:textId="08484C8D" w:rsidR="005642BD" w:rsidRPr="006F3B00" w:rsidRDefault="00284E2F" w:rsidP="00E41ED0">
      <w:pPr>
        <w:spacing w:line="480" w:lineRule="auto"/>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700224" behindDoc="0" locked="0" layoutInCell="1" allowOverlap="1" wp14:anchorId="69E3CED6" wp14:editId="155C3DE5">
            <wp:simplePos x="0" y="0"/>
            <wp:positionH relativeFrom="column">
              <wp:posOffset>227634</wp:posOffset>
            </wp:positionH>
            <wp:positionV relativeFrom="paragraph">
              <wp:posOffset>5108575</wp:posOffset>
            </wp:positionV>
            <wp:extent cx="4466833" cy="357808"/>
            <wp:effectExtent l="0" t="0" r="0" b="444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6833" cy="357808"/>
                    </a:xfrm>
                    <a:prstGeom prst="rect">
                      <a:avLst/>
                    </a:prstGeom>
                    <a:noFill/>
                  </pic:spPr>
                </pic:pic>
              </a:graphicData>
            </a:graphic>
            <wp14:sizeRelV relativeFrom="margin">
              <wp14:pctHeight>0</wp14:pctHeight>
            </wp14:sizeRelV>
          </wp:anchor>
        </w:drawing>
      </w:r>
      <w:r w:rsidR="007D3649" w:rsidRPr="007D3649">
        <w:rPr>
          <w:rFonts w:ascii="Times New Roman" w:hAnsi="Times New Roman" w:cs="Times New Roman"/>
          <w:sz w:val="24"/>
          <w:szCs w:val="24"/>
        </w:rPr>
        <w:t xml:space="preserve">Finally, after 13 interviews, the data was re-examined in order to determine how the different categories related to one another and if they naturally formed certain groups (Figure </w:t>
      </w:r>
      <w:r w:rsidR="00A50523">
        <w:rPr>
          <w:rFonts w:ascii="Times New Roman" w:hAnsi="Times New Roman" w:cs="Times New Roman"/>
          <w:sz w:val="24"/>
          <w:szCs w:val="24"/>
        </w:rPr>
        <w:t>4.</w:t>
      </w:r>
      <w:r w:rsidR="007D3649" w:rsidRPr="007D3649">
        <w:rPr>
          <w:rFonts w:ascii="Times New Roman" w:hAnsi="Times New Roman" w:cs="Times New Roman"/>
          <w:sz w:val="24"/>
          <w:szCs w:val="24"/>
        </w:rPr>
        <w:t xml:space="preserve">3). </w:t>
      </w:r>
      <w:r w:rsidR="00E41ED0">
        <w:rPr>
          <w:noProof/>
        </w:rPr>
        <w:drawing>
          <wp:inline distT="0" distB="0" distL="0" distR="0" wp14:anchorId="3653C211" wp14:editId="291EBA75">
            <wp:extent cx="8684895" cy="4571365"/>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385" t="16703" r="8448" b="5418"/>
                    <a:stretch/>
                  </pic:blipFill>
                  <pic:spPr bwMode="auto">
                    <a:xfrm>
                      <a:off x="0" y="0"/>
                      <a:ext cx="8798043" cy="4630921"/>
                    </a:xfrm>
                    <a:prstGeom prst="rect">
                      <a:avLst/>
                    </a:prstGeom>
                    <a:ln>
                      <a:noFill/>
                    </a:ln>
                    <a:extLst>
                      <a:ext uri="{53640926-AAD7-44D8-BBD7-CCE9431645EC}">
                        <a14:shadowObscured xmlns:a14="http://schemas.microsoft.com/office/drawing/2010/main"/>
                      </a:ext>
                    </a:extLst>
                  </pic:spPr>
                </pic:pic>
              </a:graphicData>
            </a:graphic>
          </wp:inline>
        </w:drawing>
      </w:r>
    </w:p>
    <w:p w14:paraId="637ADBBE" w14:textId="2CEA09E5" w:rsidR="005642BD" w:rsidRPr="005642BD" w:rsidRDefault="005642BD" w:rsidP="00C35940">
      <w:pPr>
        <w:spacing w:line="480" w:lineRule="auto"/>
        <w:jc w:val="center"/>
        <w:rPr>
          <w:rFonts w:ascii="Times New Roman" w:hAnsi="Times New Roman" w:cs="Times New Roman"/>
          <w:b/>
          <w:sz w:val="24"/>
          <w:szCs w:val="24"/>
        </w:rPr>
        <w:sectPr w:rsidR="005642BD" w:rsidRPr="005642BD" w:rsidSect="00922E2D">
          <w:pgSz w:w="16838" w:h="11906" w:orient="landscape" w:code="9"/>
          <w:pgMar w:top="2160" w:right="1152" w:bottom="1152" w:left="1152" w:header="706" w:footer="706" w:gutter="0"/>
          <w:cols w:space="708"/>
          <w:docGrid w:linePitch="360"/>
        </w:sectPr>
      </w:pPr>
    </w:p>
    <w:p w14:paraId="7B4D060D" w14:textId="46DC472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This resulted in 5 major themes as described below.</w:t>
      </w:r>
    </w:p>
    <w:p w14:paraId="54EE0E7E"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 xml:space="preserve"> The Process</w:t>
      </w:r>
    </w:p>
    <w:p w14:paraId="4BAED5A8" w14:textId="346F7D78"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i</w:t>
      </w:r>
      <w:r w:rsidR="00E74DCC">
        <w:rPr>
          <w:rFonts w:ascii="Times New Roman" w:hAnsi="Times New Roman" w:cs="Times New Roman"/>
          <w:sz w:val="24"/>
          <w:szCs w:val="24"/>
        </w:rPr>
        <w:t>ncorporated the categories of “Forming a diagnosis” and “T</w:t>
      </w:r>
      <w:r w:rsidRPr="006F3B00">
        <w:rPr>
          <w:rFonts w:ascii="Times New Roman" w:hAnsi="Times New Roman" w:cs="Times New Roman"/>
          <w:sz w:val="24"/>
          <w:szCs w:val="24"/>
        </w:rPr>
        <w:t>he patient”. These two categories were conceptualised under “The Process” as forming a correct diagnosis was related to ensuring patients received the correct treatment. Therefore, ‘The Process’ essentially involved taking the necessary steps to ensure errors were minimised and correct diagnoses were consistently given for the benefit of the patient.</w:t>
      </w:r>
    </w:p>
    <w:p w14:paraId="0D477EBA"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 xml:space="preserve">The Person </w:t>
      </w:r>
    </w:p>
    <w:p w14:paraId="0AD5603E" w14:textId="59DF095D"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sz w:val="24"/>
          <w:szCs w:val="24"/>
        </w:rPr>
        <w:t>This i</w:t>
      </w:r>
      <w:r w:rsidR="00E74DCC">
        <w:rPr>
          <w:rFonts w:ascii="Times New Roman" w:hAnsi="Times New Roman" w:cs="Times New Roman"/>
          <w:sz w:val="24"/>
          <w:szCs w:val="24"/>
        </w:rPr>
        <w:t>ncorporated the categories of “Reflection” and “P</w:t>
      </w:r>
      <w:r w:rsidRPr="006F3B00">
        <w:rPr>
          <w:rFonts w:ascii="Times New Roman" w:hAnsi="Times New Roman" w:cs="Times New Roman"/>
          <w:sz w:val="24"/>
          <w:szCs w:val="24"/>
        </w:rPr>
        <w:t>rofessionalism”. These two categor</w:t>
      </w:r>
      <w:r w:rsidR="00E74DCC">
        <w:rPr>
          <w:rFonts w:ascii="Times New Roman" w:hAnsi="Times New Roman" w:cs="Times New Roman"/>
          <w:sz w:val="24"/>
          <w:szCs w:val="24"/>
        </w:rPr>
        <w:t>ies were conceptualised under “T</w:t>
      </w:r>
      <w:r w:rsidRPr="006F3B00">
        <w:rPr>
          <w:rFonts w:ascii="Times New Roman" w:hAnsi="Times New Roman" w:cs="Times New Roman"/>
          <w:sz w:val="24"/>
          <w:szCs w:val="24"/>
        </w:rPr>
        <w:t>he person” as they both related to personal qualities which, although partly linke</w:t>
      </w:r>
      <w:r w:rsidR="00E74DCC">
        <w:rPr>
          <w:rFonts w:ascii="Times New Roman" w:hAnsi="Times New Roman" w:cs="Times New Roman"/>
          <w:sz w:val="24"/>
          <w:szCs w:val="24"/>
        </w:rPr>
        <w:t>d to other categories such as “F</w:t>
      </w:r>
      <w:r w:rsidRPr="006F3B00">
        <w:rPr>
          <w:rFonts w:ascii="Times New Roman" w:hAnsi="Times New Roman" w:cs="Times New Roman"/>
          <w:sz w:val="24"/>
          <w:szCs w:val="24"/>
        </w:rPr>
        <w:t>orming a diagnosis”, they also incorporated more general aspects of professionalism and reflection which would help trainees to improve and learn from their mistakes and act in a professional manner.</w:t>
      </w:r>
    </w:p>
    <w:p w14:paraId="36D9E69E"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Trust</w:t>
      </w:r>
    </w:p>
    <w:p w14:paraId="607108CC" w14:textId="3DE67514"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Trust was present within the previous coding but also represented a major theme within the data. Trust was built as consultants spent time with their trainees; time needed to observe the “person” and “process”. It was often exemplified by consultants delegating tasks and allowing trainees to independently report. Trust had significant </w:t>
      </w:r>
      <w:r w:rsidR="00B127C7">
        <w:rPr>
          <w:rFonts w:ascii="Times New Roman" w:hAnsi="Times New Roman" w:cs="Times New Roman"/>
          <w:sz w:val="24"/>
          <w:szCs w:val="24"/>
        </w:rPr>
        <w:t>‘</w:t>
      </w:r>
      <w:r w:rsidRPr="006F3B00">
        <w:rPr>
          <w:rFonts w:ascii="Times New Roman" w:hAnsi="Times New Roman" w:cs="Times New Roman"/>
          <w:sz w:val="24"/>
          <w:szCs w:val="24"/>
        </w:rPr>
        <w:t>keyness</w:t>
      </w:r>
      <w:r w:rsidR="00B127C7">
        <w:rPr>
          <w:rFonts w:ascii="Times New Roman" w:hAnsi="Times New Roman" w:cs="Times New Roman"/>
          <w:sz w:val="24"/>
          <w:szCs w:val="24"/>
        </w:rPr>
        <w:t>’</w:t>
      </w:r>
      <w:r w:rsidRPr="006F3B00">
        <w:rPr>
          <w:rFonts w:ascii="Times New Roman" w:hAnsi="Times New Roman" w:cs="Times New Roman"/>
          <w:sz w:val="24"/>
          <w:szCs w:val="24"/>
        </w:rPr>
        <w:t xml:space="preserve"> to warrant it being a standalone theme rather than being incorporated into professionalism.</w:t>
      </w:r>
    </w:p>
    <w:p w14:paraId="6B6B6C4C"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 xml:space="preserve"> Stage of training</w:t>
      </w:r>
    </w:p>
    <w:p w14:paraId="132698EC" w14:textId="4BB8CB94" w:rsidR="00863DF5" w:rsidRPr="006F3B00" w:rsidRDefault="00E74DCC" w:rsidP="00863DF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w:t>
      </w:r>
      <w:r w:rsidR="00863DF5" w:rsidRPr="006F3B00">
        <w:rPr>
          <w:rFonts w:ascii="Times New Roman" w:hAnsi="Times New Roman" w:cs="Times New Roman"/>
          <w:sz w:val="24"/>
          <w:szCs w:val="24"/>
        </w:rPr>
        <w:t>Stage of training</w:t>
      </w:r>
      <w:r>
        <w:rPr>
          <w:rFonts w:ascii="Times New Roman" w:hAnsi="Times New Roman" w:cs="Times New Roman"/>
          <w:sz w:val="24"/>
          <w:szCs w:val="24"/>
        </w:rPr>
        <w:t>”</w:t>
      </w:r>
      <w:r w:rsidR="00863DF5" w:rsidRPr="006F3B00">
        <w:rPr>
          <w:rFonts w:ascii="Times New Roman" w:hAnsi="Times New Roman" w:cs="Times New Roman"/>
          <w:sz w:val="24"/>
          <w:szCs w:val="24"/>
        </w:rPr>
        <w:t xml:space="preserve"> also formed a category within the previous coding but also represented a major theme within the data. Decisions about “process” and “person” were dependent on the stage of training, such that diagnostic competency was stage-dependent</w:t>
      </w:r>
    </w:p>
    <w:p w14:paraId="4AC54C35"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Time</w:t>
      </w:r>
    </w:p>
    <w:p w14:paraId="0E09691F" w14:textId="7916B9E2" w:rsidR="00863DF5" w:rsidRPr="006F3B00" w:rsidRDefault="00E74DCC" w:rsidP="00863DF5">
      <w:pPr>
        <w:spacing w:line="480" w:lineRule="auto"/>
        <w:rPr>
          <w:rFonts w:ascii="Times New Roman" w:hAnsi="Times New Roman" w:cs="Times New Roman"/>
          <w:sz w:val="24"/>
          <w:szCs w:val="24"/>
        </w:rPr>
      </w:pPr>
      <w:r>
        <w:rPr>
          <w:rFonts w:ascii="Times New Roman" w:hAnsi="Times New Roman" w:cs="Times New Roman"/>
          <w:sz w:val="24"/>
          <w:szCs w:val="24"/>
        </w:rPr>
        <w:t>“</w:t>
      </w:r>
      <w:r w:rsidR="00863DF5" w:rsidRPr="006F3B00">
        <w:rPr>
          <w:rFonts w:ascii="Times New Roman" w:hAnsi="Times New Roman" w:cs="Times New Roman"/>
          <w:sz w:val="24"/>
          <w:szCs w:val="24"/>
        </w:rPr>
        <w:t>Time</w:t>
      </w:r>
      <w:r>
        <w:rPr>
          <w:rFonts w:ascii="Times New Roman" w:hAnsi="Times New Roman" w:cs="Times New Roman"/>
          <w:sz w:val="24"/>
          <w:szCs w:val="24"/>
        </w:rPr>
        <w:t>”</w:t>
      </w:r>
      <w:r w:rsidR="00863DF5" w:rsidRPr="006F3B00">
        <w:rPr>
          <w:rFonts w:ascii="Times New Roman" w:hAnsi="Times New Roman" w:cs="Times New Roman"/>
          <w:sz w:val="24"/>
          <w:szCs w:val="24"/>
        </w:rPr>
        <w:t xml:space="preserve"> emerged as a major theme only after the four aforementioned themes were examined.  For example, interviewees did not state that time was part of diagnostic competency itself, nor was it specifically coded within the data, yet it was actually manifested in all of the previous sub-heading and categories and helped to harmonise the data. Essentially, the judgement of diagnostic competency was longitudinal in nature as time was needed to assess its many elements.</w:t>
      </w:r>
    </w:p>
    <w:p w14:paraId="1A1271E7" w14:textId="354C21A6"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themes were further conceptualised into a proper framework to explain the judgement ecology (Figure 4</w:t>
      </w:r>
      <w:r w:rsidR="00A50523">
        <w:rPr>
          <w:rFonts w:ascii="Times New Roman" w:hAnsi="Times New Roman" w:cs="Times New Roman"/>
          <w:sz w:val="24"/>
          <w:szCs w:val="24"/>
        </w:rPr>
        <w:t>.4</w:t>
      </w:r>
      <w:r w:rsidRPr="006F3B00">
        <w:rPr>
          <w:rFonts w:ascii="Times New Roman" w:hAnsi="Times New Roman" w:cs="Times New Roman"/>
          <w:sz w:val="24"/>
          <w:szCs w:val="24"/>
        </w:rPr>
        <w:t xml:space="preserve">). The individual </w:t>
      </w:r>
      <w:r w:rsidRPr="00BE35A3">
        <w:rPr>
          <w:rFonts w:ascii="Times New Roman" w:hAnsi="Times New Roman" w:cs="Times New Roman"/>
          <w:sz w:val="24"/>
          <w:szCs w:val="24"/>
        </w:rPr>
        <w:t xml:space="preserve">codes shown in </w:t>
      </w:r>
      <w:r w:rsidR="00E74DCC" w:rsidRPr="00BE35A3">
        <w:rPr>
          <w:rFonts w:ascii="Times New Roman" w:hAnsi="Times New Roman" w:cs="Times New Roman"/>
          <w:sz w:val="24"/>
          <w:szCs w:val="24"/>
        </w:rPr>
        <w:t>Figure 4.3</w:t>
      </w:r>
      <w:r w:rsidRPr="00BE35A3">
        <w:rPr>
          <w:rFonts w:ascii="Times New Roman" w:hAnsi="Times New Roman" w:cs="Times New Roman"/>
          <w:sz w:val="24"/>
          <w:szCs w:val="24"/>
        </w:rPr>
        <w:t xml:space="preserve"> have been removed from Figure 4</w:t>
      </w:r>
      <w:r w:rsidR="00E74DCC" w:rsidRPr="00BE35A3">
        <w:rPr>
          <w:rFonts w:ascii="Times New Roman" w:hAnsi="Times New Roman" w:cs="Times New Roman"/>
          <w:sz w:val="24"/>
          <w:szCs w:val="24"/>
        </w:rPr>
        <w:t>.4</w:t>
      </w:r>
      <w:r w:rsidRPr="00BE35A3">
        <w:rPr>
          <w:rFonts w:ascii="Times New Roman" w:hAnsi="Times New Roman" w:cs="Times New Roman"/>
          <w:sz w:val="24"/>
          <w:szCs w:val="24"/>
        </w:rPr>
        <w:t xml:space="preserve"> so the framework is not visually over-complicated. However, they are describe</w:t>
      </w:r>
      <w:r w:rsidR="00494018" w:rsidRPr="00BE35A3">
        <w:rPr>
          <w:rFonts w:ascii="Times New Roman" w:hAnsi="Times New Roman" w:cs="Times New Roman"/>
          <w:sz w:val="24"/>
          <w:szCs w:val="24"/>
        </w:rPr>
        <w:t xml:space="preserve">d further in </w:t>
      </w:r>
      <w:r w:rsidR="00BE35A3">
        <w:rPr>
          <w:rFonts w:ascii="Times New Roman" w:hAnsi="Times New Roman" w:cs="Times New Roman"/>
          <w:sz w:val="24"/>
          <w:szCs w:val="24"/>
        </w:rPr>
        <w:t>sections 4.4</w:t>
      </w:r>
      <w:r w:rsidR="00494018" w:rsidRPr="00BE35A3">
        <w:rPr>
          <w:rFonts w:ascii="Times New Roman" w:hAnsi="Times New Roman" w:cs="Times New Roman"/>
          <w:sz w:val="24"/>
          <w:szCs w:val="24"/>
        </w:rPr>
        <w:t>.1</w:t>
      </w:r>
      <w:r w:rsidR="00BE35A3">
        <w:rPr>
          <w:rFonts w:ascii="Times New Roman" w:hAnsi="Times New Roman" w:cs="Times New Roman"/>
          <w:sz w:val="24"/>
          <w:szCs w:val="24"/>
        </w:rPr>
        <w:t xml:space="preserve"> to 4.4.5.</w:t>
      </w:r>
      <w:r w:rsidRPr="00BE35A3">
        <w:rPr>
          <w:rFonts w:ascii="Times New Roman" w:hAnsi="Times New Roman" w:cs="Times New Roman"/>
          <w:sz w:val="24"/>
          <w:szCs w:val="24"/>
        </w:rPr>
        <w:t xml:space="preserve"> </w:t>
      </w:r>
    </w:p>
    <w:p w14:paraId="736F9E34" w14:textId="77777777" w:rsidR="00B10C6B" w:rsidRDefault="00863DF5" w:rsidP="00B10C6B">
      <w:pPr>
        <w:spacing w:line="480" w:lineRule="auto"/>
        <w:rPr>
          <w:rFonts w:ascii="Times New Roman" w:hAnsi="Times New Roman" w:cs="Times New Roman"/>
          <w:sz w:val="24"/>
          <w:szCs w:val="24"/>
        </w:rPr>
      </w:pPr>
      <w:r w:rsidRPr="006F3B00">
        <w:rPr>
          <w:rFonts w:ascii="Times New Roman" w:hAnsi="Times New Roman" w:cs="Times New Roman"/>
          <w:noProof/>
          <w:sz w:val="24"/>
          <w:szCs w:val="24"/>
        </w:rPr>
        <w:lastRenderedPageBreak/>
        <w:drawing>
          <wp:inline distT="0" distB="0" distL="0" distR="0" wp14:anchorId="6DE87F1B" wp14:editId="21E0EA29">
            <wp:extent cx="5490210" cy="4185814"/>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465" t="13413" r="5658" b="11488"/>
                    <a:stretch/>
                  </pic:blipFill>
                  <pic:spPr bwMode="auto">
                    <a:xfrm>
                      <a:off x="0" y="0"/>
                      <a:ext cx="5508050" cy="4199415"/>
                    </a:xfrm>
                    <a:prstGeom prst="rect">
                      <a:avLst/>
                    </a:prstGeom>
                    <a:ln>
                      <a:noFill/>
                    </a:ln>
                    <a:extLst>
                      <a:ext uri="{53640926-AAD7-44D8-BBD7-CCE9431645EC}">
                        <a14:shadowObscured xmlns:a14="http://schemas.microsoft.com/office/drawing/2010/main"/>
                      </a:ext>
                    </a:extLst>
                  </pic:spPr>
                </pic:pic>
              </a:graphicData>
            </a:graphic>
          </wp:inline>
        </w:drawing>
      </w:r>
    </w:p>
    <w:p w14:paraId="66BB748B" w14:textId="10A05F2B" w:rsidR="00863DF5" w:rsidRPr="00B10C6B" w:rsidRDefault="00863DF5" w:rsidP="00B10C6B">
      <w:pPr>
        <w:spacing w:line="240" w:lineRule="auto"/>
        <w:rPr>
          <w:rFonts w:ascii="Times New Roman" w:hAnsi="Times New Roman" w:cs="Times New Roman"/>
          <w:sz w:val="24"/>
          <w:szCs w:val="24"/>
        </w:rPr>
      </w:pPr>
      <w:r w:rsidRPr="006F3B00">
        <w:rPr>
          <w:rFonts w:ascii="Times New Roman" w:hAnsi="Times New Roman" w:cs="Times New Roman"/>
          <w:b/>
          <w:sz w:val="24"/>
          <w:szCs w:val="24"/>
        </w:rPr>
        <w:t xml:space="preserve">Figure </w:t>
      </w:r>
      <w:r w:rsidR="00A50523">
        <w:rPr>
          <w:rFonts w:ascii="Times New Roman" w:hAnsi="Times New Roman" w:cs="Times New Roman"/>
          <w:b/>
          <w:sz w:val="24"/>
          <w:szCs w:val="24"/>
        </w:rPr>
        <w:t>4.4.</w:t>
      </w:r>
      <w:r w:rsidRPr="006F3B00">
        <w:rPr>
          <w:rFonts w:ascii="Times New Roman" w:hAnsi="Times New Roman" w:cs="Times New Roman"/>
          <w:b/>
          <w:sz w:val="24"/>
          <w:szCs w:val="24"/>
        </w:rPr>
        <w:t xml:space="preserve"> Conceptual framework </w:t>
      </w:r>
      <w:r w:rsidR="00E74DCC">
        <w:rPr>
          <w:rFonts w:ascii="Times New Roman" w:hAnsi="Times New Roman" w:cs="Times New Roman"/>
          <w:b/>
          <w:sz w:val="24"/>
          <w:szCs w:val="24"/>
        </w:rPr>
        <w:t>derived from analysis of interview data</w:t>
      </w:r>
      <w:r w:rsidR="00B127C7">
        <w:rPr>
          <w:rFonts w:ascii="Times New Roman" w:hAnsi="Times New Roman" w:cs="Times New Roman"/>
          <w:b/>
          <w:sz w:val="24"/>
          <w:szCs w:val="24"/>
        </w:rPr>
        <w:t xml:space="preserve"> </w:t>
      </w:r>
      <w:r w:rsidRPr="006F3B00">
        <w:rPr>
          <w:rFonts w:ascii="Times New Roman" w:hAnsi="Times New Roman" w:cs="Times New Roman"/>
          <w:b/>
          <w:sz w:val="24"/>
          <w:szCs w:val="24"/>
        </w:rPr>
        <w:t>to explain how consultants judge diagnostic competence in trainees.</w:t>
      </w:r>
    </w:p>
    <w:p w14:paraId="443D32C8" w14:textId="77777777" w:rsidR="00C35940" w:rsidRDefault="00C35940" w:rsidP="00863DF5">
      <w:pPr>
        <w:spacing w:line="480" w:lineRule="auto"/>
        <w:rPr>
          <w:rFonts w:ascii="Times New Roman" w:hAnsi="Times New Roman" w:cs="Times New Roman"/>
          <w:b/>
          <w:sz w:val="24"/>
          <w:szCs w:val="24"/>
        </w:rPr>
      </w:pPr>
    </w:p>
    <w:p w14:paraId="10DF14B3" w14:textId="39210EAF"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To summarise, diagnostic competence emerged from the data as a complex concept, constructed from many different elements which had significant interplay.  In order to make a judgement of diagnostic competence, a suitable period of time must be spent with a trainee; along with a period of interaction in which the trainee must demonstrate both processing and personal characteristics which are relevant to the art of histopathology. As trainees progress through training, there is an expectation that their diagnostic competence improves, such that by the end of training, a consultant can trust their trainee to be an independent practitioner.</w:t>
      </w:r>
    </w:p>
    <w:p w14:paraId="5929DDC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longitudinal nature of judging diagnostic competence links to both the personal and processing qualities and how they develop during training. Ultimately, the trainee should </w:t>
      </w:r>
      <w:r w:rsidRPr="006F3B00">
        <w:rPr>
          <w:rFonts w:ascii="Times New Roman" w:hAnsi="Times New Roman" w:cs="Times New Roman"/>
          <w:sz w:val="24"/>
          <w:szCs w:val="24"/>
        </w:rPr>
        <w:lastRenderedPageBreak/>
        <w:t>reach a level of diagnostic competence in which they can be “trusted” to act like a consultant.</w:t>
      </w:r>
    </w:p>
    <w:p w14:paraId="02151710" w14:textId="2AAEA4DC" w:rsidR="00863DF5" w:rsidRPr="00BE35A3" w:rsidRDefault="00863DF5" w:rsidP="00BE35A3">
      <w:pPr>
        <w:spacing w:line="480" w:lineRule="auto"/>
        <w:rPr>
          <w:rFonts w:ascii="Times New Roman" w:hAnsi="Times New Roman" w:cs="Times New Roman"/>
          <w:sz w:val="24"/>
          <w:szCs w:val="24"/>
        </w:rPr>
      </w:pPr>
      <w:r w:rsidRPr="006F3B00">
        <w:rPr>
          <w:rFonts w:ascii="Times New Roman" w:hAnsi="Times New Roman" w:cs="Times New Roman"/>
          <w:sz w:val="24"/>
          <w:szCs w:val="24"/>
        </w:rPr>
        <w:t>The framework and anonymised quotes from the interviews will be used to detail this further.</w:t>
      </w:r>
      <w:r w:rsidR="0013289A">
        <w:rPr>
          <w:rFonts w:ascii="Times New Roman" w:hAnsi="Times New Roman" w:cs="Times New Roman"/>
          <w:sz w:val="24"/>
          <w:szCs w:val="24"/>
        </w:rPr>
        <w:t xml:space="preserve"> A bracket after each quote is provided to show which interviewee it relat</w:t>
      </w:r>
      <w:r w:rsidR="0011232C">
        <w:rPr>
          <w:rFonts w:ascii="Times New Roman" w:hAnsi="Times New Roman" w:cs="Times New Roman"/>
          <w:sz w:val="24"/>
          <w:szCs w:val="24"/>
        </w:rPr>
        <w:t>es to. To this end, participants</w:t>
      </w:r>
      <w:r w:rsidR="0013289A">
        <w:rPr>
          <w:rFonts w:ascii="Times New Roman" w:hAnsi="Times New Roman" w:cs="Times New Roman"/>
          <w:sz w:val="24"/>
          <w:szCs w:val="24"/>
        </w:rPr>
        <w:t xml:space="preserve"> are numbered 1-13, with the number after the decimal place indicating the exact position that quote can be found in the original interview transcript. </w:t>
      </w:r>
    </w:p>
    <w:p w14:paraId="7E227C3A" w14:textId="2D23736C" w:rsidR="00863DF5" w:rsidRPr="006F3B00" w:rsidRDefault="00BE35A3" w:rsidP="001E1A25">
      <w:pPr>
        <w:pStyle w:val="Heading3"/>
        <w:rPr>
          <w:rFonts w:ascii="Times New Roman" w:hAnsi="Times New Roman" w:cs="Times New Roman"/>
          <w:color w:val="auto"/>
          <w:sz w:val="24"/>
          <w:szCs w:val="24"/>
        </w:rPr>
      </w:pPr>
      <w:bookmarkStart w:id="85" w:name="_Toc23243814"/>
      <w:r>
        <w:rPr>
          <w:rFonts w:ascii="Times New Roman" w:hAnsi="Times New Roman" w:cs="Times New Roman"/>
          <w:color w:val="auto"/>
          <w:sz w:val="24"/>
          <w:szCs w:val="24"/>
        </w:rPr>
        <w:t>4.4</w:t>
      </w:r>
      <w:r w:rsidR="001E1A25" w:rsidRPr="006F3B00">
        <w:rPr>
          <w:rFonts w:ascii="Times New Roman" w:hAnsi="Times New Roman" w:cs="Times New Roman"/>
          <w:color w:val="auto"/>
          <w:sz w:val="24"/>
          <w:szCs w:val="24"/>
        </w:rPr>
        <w:t xml:space="preserve">.1 </w:t>
      </w:r>
      <w:r w:rsidR="00863DF5" w:rsidRPr="006F3B00">
        <w:rPr>
          <w:rFonts w:ascii="Times New Roman" w:hAnsi="Times New Roman" w:cs="Times New Roman"/>
          <w:color w:val="auto"/>
          <w:sz w:val="24"/>
          <w:szCs w:val="24"/>
        </w:rPr>
        <w:t>The Person</w:t>
      </w:r>
      <w:bookmarkEnd w:id="85"/>
    </w:p>
    <w:p w14:paraId="0C04BEDA" w14:textId="77777777" w:rsidR="004B0D1B" w:rsidRPr="006F3B00" w:rsidRDefault="004B0D1B" w:rsidP="004B0D1B">
      <w:pPr>
        <w:rPr>
          <w:rFonts w:ascii="Times New Roman" w:hAnsi="Times New Roman" w:cs="Times New Roman"/>
          <w:sz w:val="24"/>
          <w:szCs w:val="24"/>
          <w:lang w:val="en-GB"/>
        </w:rPr>
      </w:pPr>
    </w:p>
    <w:p w14:paraId="2D1A6C7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analysis of the data showed that there are several personal qualities which are important to diagnostic competence. These can be clustered into two sub-themes:</w:t>
      </w:r>
    </w:p>
    <w:p w14:paraId="69BFDEB4" w14:textId="77777777" w:rsidR="00863DF5" w:rsidRPr="006F3B00" w:rsidRDefault="00863DF5" w:rsidP="001A1FF3">
      <w:pPr>
        <w:pStyle w:val="ListParagraph"/>
        <w:numPr>
          <w:ilvl w:val="0"/>
          <w:numId w:val="37"/>
        </w:numPr>
        <w:spacing w:line="480" w:lineRule="auto"/>
        <w:rPr>
          <w:rFonts w:ascii="Times New Roman" w:hAnsi="Times New Roman" w:cs="Times New Roman"/>
          <w:sz w:val="24"/>
          <w:szCs w:val="24"/>
        </w:rPr>
      </w:pPr>
      <w:r w:rsidRPr="006F3B00">
        <w:rPr>
          <w:rFonts w:ascii="Times New Roman" w:hAnsi="Times New Roman" w:cs="Times New Roman"/>
          <w:sz w:val="24"/>
          <w:szCs w:val="24"/>
        </w:rPr>
        <w:t>Reflection (comprising the codes “aware of limitations”, “learns from mistakes” and “evidence of reflection”).</w:t>
      </w:r>
    </w:p>
    <w:p w14:paraId="00CF988E" w14:textId="77777777" w:rsidR="00863DF5" w:rsidRPr="006F3B00" w:rsidRDefault="00863DF5" w:rsidP="001A1FF3">
      <w:pPr>
        <w:pStyle w:val="ListParagraph"/>
        <w:numPr>
          <w:ilvl w:val="0"/>
          <w:numId w:val="37"/>
        </w:numPr>
        <w:spacing w:line="480" w:lineRule="auto"/>
        <w:rPr>
          <w:rFonts w:ascii="Times New Roman" w:hAnsi="Times New Roman" w:cs="Times New Roman"/>
          <w:sz w:val="24"/>
          <w:szCs w:val="24"/>
        </w:rPr>
      </w:pPr>
      <w:r w:rsidRPr="006F3B00">
        <w:rPr>
          <w:rFonts w:ascii="Times New Roman" w:hAnsi="Times New Roman" w:cs="Times New Roman"/>
          <w:sz w:val="24"/>
          <w:szCs w:val="24"/>
        </w:rPr>
        <w:t>Professionalism (comprising the codes “organisational skills”, “team player” and “attitude and motivation”).</w:t>
      </w:r>
    </w:p>
    <w:p w14:paraId="371C280C" w14:textId="77777777" w:rsidR="00863DF5" w:rsidRPr="006F3B00" w:rsidRDefault="00863DF5" w:rsidP="00863DF5">
      <w:pPr>
        <w:spacing w:line="480" w:lineRule="auto"/>
        <w:rPr>
          <w:rFonts w:ascii="Times New Roman" w:hAnsi="Times New Roman" w:cs="Times New Roman"/>
          <w:sz w:val="24"/>
          <w:szCs w:val="24"/>
          <w:u w:val="single"/>
        </w:rPr>
      </w:pPr>
      <w:r w:rsidRPr="006F3B00">
        <w:rPr>
          <w:rFonts w:ascii="Times New Roman" w:hAnsi="Times New Roman" w:cs="Times New Roman"/>
          <w:sz w:val="24"/>
          <w:szCs w:val="24"/>
          <w:u w:val="single"/>
        </w:rPr>
        <w:t>Reflection</w:t>
      </w:r>
    </w:p>
    <w:p w14:paraId="4E39317F"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reflective process began with consultants looking to see that their trainee was “aware of their limitations’: </w:t>
      </w:r>
    </w:p>
    <w:p w14:paraId="032CB1F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“…and they will also hopefully become aware of what it was that actually led them coming to an erroneous conclusion” (7.21)</w:t>
      </w:r>
    </w:p>
    <w:p w14:paraId="64B4795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“Having an element of insight, a degree of insight, is a very important quality in a pathologist”. (9.15)</w:t>
      </w:r>
    </w:p>
    <w:p w14:paraId="7A9F0CC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“It's having the courage to not know something.  So when I want to, so when I think a trainee is competent is when I know that they've got the courage or confidence to admit when they don't know.” (8.21)</w:t>
      </w:r>
    </w:p>
    <w:p w14:paraId="42BA959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meant trainees would know when to refer or report safely, which links reflection to theme of “acting like a consultant” and “professionalism”:</w:t>
      </w:r>
    </w:p>
    <w:p w14:paraId="0B09DDE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might not be able to reach a diagnosis. So I suppose competence would also be erm sort of having an awareness that you're not going to be able to reach the diagnosis yourself and handing it over someone else in a different specialty or something like that?” (11.5)</w:t>
      </w:r>
    </w:p>
    <w:p w14:paraId="1493DB0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“Knowing again, it's coming down to knowing your limitations, knowing that they pick up a case and knowing that they find that sort of case difficult and appreciating that they don’t have to report it there”. (13.22)</w:t>
      </w:r>
    </w:p>
    <w:p w14:paraId="0745DCF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ability to reflect on your performance was important so trainees “learnt from their mistakes”, which was also part of being “professional”:</w:t>
      </w:r>
    </w:p>
    <w:p w14:paraId="1E3B495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do something once is acceptable, do something twice is careless, doing something three times is negligent.” (7.20)</w:t>
      </w:r>
    </w:p>
    <w:p w14:paraId="6378BB3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link between “reflection” and” professionalism” was also highlighted elsewhere:</w:t>
      </w:r>
    </w:p>
    <w:p w14:paraId="29B2DA1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look to their reaction to the criticism to whether they are listening to it and taking it seriously…” (3.39)</w:t>
      </w:r>
    </w:p>
    <w:p w14:paraId="4D65652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is further supported by comments which suggest there is an expectation that trainees take ownership of their learning:</w:t>
      </w:r>
    </w:p>
    <w:p w14:paraId="45E7010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“I'm a believer of self-directed study.  That is how it is designed, that is what I encourage…we are not in primary school anymore.” (4.27)</w:t>
      </w:r>
    </w:p>
    <w:p w14:paraId="4A1F64A6"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lastRenderedPageBreak/>
        <w:t xml:space="preserve"> “They will go away and they will be self-directed” (2.26).</w:t>
      </w:r>
    </w:p>
    <w:p w14:paraId="31651ED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most productive times of my life are times when I have had time to think on my own.” (3.32)</w:t>
      </w:r>
    </w:p>
    <w:p w14:paraId="0F5D764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When trainees showed “evidence of reflection” it helped to build “trust” between the consultant and trainee:</w:t>
      </w:r>
    </w:p>
    <w:p w14:paraId="0F8F368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you know that so when you get to that point you can say "right you can go and report on your own now". (8.87)</w:t>
      </w:r>
    </w:p>
    <w:p w14:paraId="042C478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“Evidence of reflection” was part of what constituted safe practice:</w:t>
      </w:r>
    </w:p>
    <w:p w14:paraId="31C15931"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 xml:space="preserve">“I think </w:t>
      </w:r>
      <w:proofErr w:type="gramStart"/>
      <w:r w:rsidRPr="006F3B00">
        <w:rPr>
          <w:rFonts w:ascii="Times New Roman" w:hAnsi="Times New Roman" w:cs="Times New Roman"/>
          <w:i/>
          <w:sz w:val="24"/>
          <w:szCs w:val="24"/>
        </w:rPr>
        <w:t>it’s</w:t>
      </w:r>
      <w:proofErr w:type="gramEnd"/>
      <w:r w:rsidRPr="006F3B00">
        <w:rPr>
          <w:rFonts w:ascii="Times New Roman" w:hAnsi="Times New Roman" w:cs="Times New Roman"/>
          <w:i/>
          <w:sz w:val="24"/>
          <w:szCs w:val="24"/>
        </w:rPr>
        <w:t xml:space="preserve"> part of developing as a safe practitioner” (7.43)</w:t>
      </w:r>
    </w:p>
    <w:p w14:paraId="61878165" w14:textId="77777777" w:rsidR="00863DF5" w:rsidRPr="006F3B00" w:rsidRDefault="00863DF5" w:rsidP="00863DF5">
      <w:pPr>
        <w:spacing w:line="480" w:lineRule="auto"/>
        <w:ind w:left="720" w:firstLine="60"/>
        <w:rPr>
          <w:rFonts w:ascii="Times New Roman" w:hAnsi="Times New Roman" w:cs="Times New Roman"/>
          <w:i/>
          <w:sz w:val="24"/>
          <w:szCs w:val="24"/>
        </w:rPr>
      </w:pPr>
      <w:r w:rsidRPr="006F3B00">
        <w:rPr>
          <w:rFonts w:ascii="Times New Roman" w:hAnsi="Times New Roman" w:cs="Times New Roman"/>
          <w:i/>
          <w:sz w:val="24"/>
          <w:szCs w:val="24"/>
        </w:rPr>
        <w:t>“I remember somebody saying to me that actually you don't need to be particularly good unless you know when to refer” (5.31)</w:t>
      </w:r>
    </w:p>
    <w:p w14:paraId="267BDC4E" w14:textId="77777777" w:rsidR="00863DF5" w:rsidRPr="006F3B00" w:rsidRDefault="00863DF5" w:rsidP="00863DF5">
      <w:pPr>
        <w:spacing w:line="480" w:lineRule="auto"/>
        <w:ind w:left="720" w:firstLine="60"/>
        <w:rPr>
          <w:rFonts w:ascii="Times New Roman" w:hAnsi="Times New Roman" w:cs="Times New Roman"/>
          <w:i/>
          <w:sz w:val="24"/>
          <w:szCs w:val="24"/>
        </w:rPr>
      </w:pPr>
      <w:r w:rsidRPr="006F3B00">
        <w:rPr>
          <w:rFonts w:ascii="Times New Roman" w:hAnsi="Times New Roman" w:cs="Times New Roman"/>
          <w:i/>
          <w:sz w:val="24"/>
          <w:szCs w:val="24"/>
        </w:rPr>
        <w:t>“I think generally a lack of self-awareness then leads into a lack of safety in your reporting”. (13.18)</w:t>
      </w:r>
    </w:p>
    <w:p w14:paraId="78BF634A"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Reflection then helped to influence diagnosis-making and how it was expressed:</w:t>
      </w:r>
    </w:p>
    <w:p w14:paraId="61510E9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also having the insight to be able to recognize when I can't make a diagnosis or when there's a grey area and I have to be able to express that ambiguity”. (13.4)</w:t>
      </w:r>
    </w:p>
    <w:p w14:paraId="7DAA52E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also important for the pathologist themselves to feel like they're working within their own kind of realms of what they're, what they're comfortable reporting and what they're comfortable giving an opinion on”. (13.15)</w:t>
      </w:r>
    </w:p>
    <w:p w14:paraId="0A3B7F2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“I think it's a spectrum of… of how… how confident you are. So, so part of that competency comes down to confidence and having the confidence to know that </w:t>
      </w:r>
      <w:r w:rsidRPr="006F3B00">
        <w:rPr>
          <w:rFonts w:ascii="Times New Roman" w:hAnsi="Times New Roman" w:cs="Times New Roman"/>
          <w:i/>
          <w:sz w:val="24"/>
          <w:szCs w:val="24"/>
        </w:rPr>
        <w:lastRenderedPageBreak/>
        <w:t>you are right or that you're probably right. You need some immunohistochemistry to help or that you might be like to show it to a colleague or that you actually don't know what this is at all. So I think there's this spectrum of confidence and I think that's… that's what kind of ties into this. This idea of ambiguity and then how… how confident you are around those areas”. (13.11)</w:t>
      </w:r>
    </w:p>
    <w:p w14:paraId="2788B76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This cycle of reflection and improvement was considered highly valuable: </w:t>
      </w:r>
    </w:p>
    <w:p w14:paraId="42EFEC6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challenges and the mistakes are the things that we can actually gain the most from”. (7.58)</w:t>
      </w:r>
    </w:p>
    <w:p w14:paraId="094C7E3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not something to penalise them for to be honest…you know, I've made mistakes and from that I've learned a lot.  You learn a lot from your mistakes”. (6.46).</w:t>
      </w:r>
    </w:p>
    <w:p w14:paraId="5693AFB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I've definitely learned more from cases that I remember because I got it very wrong or I completely missed the point of what was going on” (13.12).</w:t>
      </w:r>
    </w:p>
    <w:p w14:paraId="7AC808B7" w14:textId="77777777" w:rsidR="00863DF5" w:rsidRPr="006F3B00" w:rsidRDefault="00863DF5" w:rsidP="00863DF5">
      <w:pPr>
        <w:spacing w:line="480" w:lineRule="auto"/>
        <w:ind w:left="720"/>
        <w:rPr>
          <w:rFonts w:ascii="Times New Roman" w:hAnsi="Times New Roman" w:cs="Times New Roman"/>
          <w:sz w:val="24"/>
          <w:szCs w:val="24"/>
        </w:rPr>
      </w:pPr>
      <w:r w:rsidRPr="006F3B00">
        <w:rPr>
          <w:rFonts w:ascii="Times New Roman" w:hAnsi="Times New Roman" w:cs="Times New Roman"/>
          <w:sz w:val="24"/>
          <w:szCs w:val="24"/>
        </w:rPr>
        <w:t xml:space="preserve">And the fact that following qualification, reflection ensured that you remained a safe practitioner: </w:t>
      </w:r>
    </w:p>
    <w:p w14:paraId="6703588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 has got a role in maintaining that competence because medicine changes all the time.  The types of biopsies that we get in histopathology are constantly evolving” (3.33). </w:t>
      </w:r>
    </w:p>
    <w:p w14:paraId="066728CE"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not that you know everything or you can make every diagnosis. But also it’s knowing what you don’t know and also being able to refer err difficult cases…” (1.5)</w:t>
      </w:r>
    </w:p>
    <w:p w14:paraId="3E95157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 think that is a safe part of anybody's practice, you know, an understanding of your limitations and where you reach the end of your diagnostic competence (7.43)</w:t>
      </w:r>
    </w:p>
    <w:p w14:paraId="3F2262CB" w14:textId="64CC2D64" w:rsidR="00863DF5" w:rsidRPr="006F3B00" w:rsidRDefault="00863DF5" w:rsidP="00C35940">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“I think without that </w:t>
      </w:r>
      <w:r w:rsidRPr="006F3B00">
        <w:rPr>
          <w:rFonts w:ascii="Times New Roman" w:hAnsi="Times New Roman" w:cs="Times New Roman"/>
          <w:sz w:val="24"/>
          <w:szCs w:val="24"/>
        </w:rPr>
        <w:t>(reflection)</w:t>
      </w:r>
      <w:r w:rsidRPr="006F3B00">
        <w:rPr>
          <w:rFonts w:ascii="Times New Roman" w:hAnsi="Times New Roman" w:cs="Times New Roman"/>
          <w:i/>
          <w:sz w:val="24"/>
          <w:szCs w:val="24"/>
        </w:rPr>
        <w:t xml:space="preserve"> there's the risk that you reach a level of competence. Probably defined by having your part 2 and getting your CC</w:t>
      </w:r>
      <w:r w:rsidR="00354FE9">
        <w:rPr>
          <w:rFonts w:ascii="Times New Roman" w:hAnsi="Times New Roman" w:cs="Times New Roman"/>
          <w:i/>
          <w:sz w:val="24"/>
          <w:szCs w:val="24"/>
        </w:rPr>
        <w:t>S</w:t>
      </w:r>
      <w:r w:rsidRPr="006F3B00">
        <w:rPr>
          <w:rFonts w:ascii="Times New Roman" w:hAnsi="Times New Roman" w:cs="Times New Roman"/>
          <w:i/>
          <w:sz w:val="24"/>
          <w:szCs w:val="24"/>
        </w:rPr>
        <w:t>T…and then potentially just staying at th</w:t>
      </w:r>
      <w:r w:rsidR="00C35940">
        <w:rPr>
          <w:rFonts w:ascii="Times New Roman" w:hAnsi="Times New Roman" w:cs="Times New Roman"/>
          <w:i/>
          <w:sz w:val="24"/>
          <w:szCs w:val="24"/>
        </w:rPr>
        <w:t>at level of competence”</w:t>
      </w:r>
      <w:proofErr w:type="gramStart"/>
      <w:r w:rsidR="00C35940">
        <w:rPr>
          <w:rFonts w:ascii="Times New Roman" w:hAnsi="Times New Roman" w:cs="Times New Roman"/>
          <w:i/>
          <w:sz w:val="24"/>
          <w:szCs w:val="24"/>
        </w:rPr>
        <w:t>.(</w:t>
      </w:r>
      <w:proofErr w:type="gramEnd"/>
      <w:r w:rsidR="00C35940">
        <w:rPr>
          <w:rFonts w:ascii="Times New Roman" w:hAnsi="Times New Roman" w:cs="Times New Roman"/>
          <w:i/>
          <w:sz w:val="24"/>
          <w:szCs w:val="24"/>
        </w:rPr>
        <w:t>13.21)</w:t>
      </w:r>
    </w:p>
    <w:p w14:paraId="2534E1FC" w14:textId="77777777" w:rsidR="00863DF5" w:rsidRPr="006F3B00" w:rsidRDefault="00863DF5" w:rsidP="00863DF5">
      <w:pPr>
        <w:spacing w:line="480" w:lineRule="auto"/>
        <w:rPr>
          <w:rFonts w:ascii="Times New Roman" w:hAnsi="Times New Roman" w:cs="Times New Roman"/>
          <w:sz w:val="24"/>
          <w:szCs w:val="24"/>
          <w:u w:val="single"/>
        </w:rPr>
      </w:pPr>
      <w:r w:rsidRPr="006F3B00">
        <w:rPr>
          <w:rFonts w:ascii="Times New Roman" w:hAnsi="Times New Roman" w:cs="Times New Roman"/>
          <w:sz w:val="24"/>
          <w:szCs w:val="24"/>
          <w:u w:val="single"/>
        </w:rPr>
        <w:t>Personality characteristics linked to professionalism</w:t>
      </w:r>
    </w:p>
    <w:p w14:paraId="78CE4B0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Analysis of the data revealed several personality traits which clustered around professionalism. Sometimes the word “professionalism” was directly used:</w:t>
      </w:r>
    </w:p>
    <w:p w14:paraId="1D21142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“To sign off a trainee, not only do they have to pass the exam, they have to pass their competences and show their professionalism”. (4.40)</w:t>
      </w:r>
    </w:p>
    <w:p w14:paraId="190ED01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In other instances, professionalism related to certain behaviours that were described, such as “organisational skills”:</w:t>
      </w:r>
    </w:p>
    <w:p w14:paraId="6851FDD6"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look at the approach to cut up, in how they have prepared, how they have dressed, how they have protected themselves, how they've read the data, prepared themselves before they have looked at any tissue”. (3.34)</w:t>
      </w:r>
    </w:p>
    <w:p w14:paraId="2C83E1C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“Well then there is the organisation of the surgical work and the slides - getting them into a good order”. (3.37) </w:t>
      </w:r>
    </w:p>
    <w:p w14:paraId="5A79130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also working with a clean workstation where everything has been double-checked so when you look at a microscope slide you know that slide correlates to that piece of paper which correlates to that patient, so everything joins up. (8.103)</w:t>
      </w:r>
    </w:p>
    <w:p w14:paraId="71DC439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“Organisational skills” involved being efficient and prioritising workload:</w:t>
      </w:r>
    </w:p>
    <w:p w14:paraId="2A1AEE3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“So I am looking for people who get the complex cases and prioritise them towards the front”. (3.35)</w:t>
      </w:r>
    </w:p>
    <w:p w14:paraId="6630E049"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 xml:space="preserve"> “And how proactive they are”. (10.21)</w:t>
      </w:r>
    </w:p>
    <w:p w14:paraId="7C192E7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know, have you thought about the fact that perhaps you did have that sat on your desk for a couple of days longer and did not finish it off”. (7.57)</w:t>
      </w:r>
    </w:p>
    <w:p w14:paraId="6D18F5F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“Well, no, it's not just that they can diagnose it but have they done that in a suitable time frame as well”. (12.35)</w:t>
      </w:r>
    </w:p>
    <w:p w14:paraId="71A17B2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it's… it's not just about being able to get the work done to the right level of correctness. I think it's about being able to get enough of that work done in a given time period as well. (13.13)</w:t>
      </w:r>
    </w:p>
    <w:p w14:paraId="5AFF0A7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Being a “team-player” was also described:</w:t>
      </w:r>
    </w:p>
    <w:p w14:paraId="054276F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“There are people who are diagnostically competent who move job many, many times due to falling out with their colleagues.” (3.15)</w:t>
      </w:r>
    </w:p>
    <w:p w14:paraId="61D9B5FE"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“Because they will fall out with all their consultant colleagues because they have no mechanism for resolving disagreements or conflict. (3.16)</w:t>
      </w:r>
    </w:p>
    <w:p w14:paraId="7827C52F"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“You know, being able to work within a team.” (9.36)</w:t>
      </w:r>
    </w:p>
    <w:p w14:paraId="28C49C3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 think teamwork and ability to work with people is pretty important.  If you can't work in a team and you can't trust and respect your colleagues it means that you're probably going to hide errors. (8.127)</w:t>
      </w:r>
    </w:p>
    <w:p w14:paraId="19A941BF"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Having the right “attitude and motivation” were important personality characteristics that consultants looked for:</w:t>
      </w:r>
    </w:p>
    <w:p w14:paraId="0D4C017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“I’m probably looking more for enthusiasm and drive and interest, and engagement”. (10.35)</w:t>
      </w:r>
    </w:p>
    <w:p w14:paraId="37E1449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“I think </w:t>
      </w:r>
      <w:proofErr w:type="gramStart"/>
      <w:r w:rsidRPr="006F3B00">
        <w:rPr>
          <w:rFonts w:ascii="Times New Roman" w:hAnsi="Times New Roman" w:cs="Times New Roman"/>
          <w:i/>
          <w:sz w:val="24"/>
          <w:szCs w:val="24"/>
        </w:rPr>
        <w:t>it's</w:t>
      </w:r>
      <w:proofErr w:type="gramEnd"/>
      <w:r w:rsidRPr="006F3B00">
        <w:rPr>
          <w:rFonts w:ascii="Times New Roman" w:hAnsi="Times New Roman" w:cs="Times New Roman"/>
          <w:i/>
          <w:sz w:val="24"/>
          <w:szCs w:val="24"/>
        </w:rPr>
        <w:t xml:space="preserve"> things like someone’s passion, their drive, their enthusiasm about a particular speciality. How much they're willing to apply themselves to a certain speciality.” (9.12)</w:t>
      </w:r>
    </w:p>
    <w:p w14:paraId="58103EB3" w14:textId="77777777" w:rsidR="00863DF5" w:rsidRPr="006F3B00" w:rsidRDefault="00863DF5" w:rsidP="00863DF5">
      <w:pPr>
        <w:spacing w:line="480" w:lineRule="auto"/>
        <w:ind w:left="720" w:firstLine="60"/>
        <w:rPr>
          <w:rFonts w:ascii="Times New Roman" w:hAnsi="Times New Roman" w:cs="Times New Roman"/>
          <w:i/>
          <w:sz w:val="24"/>
          <w:szCs w:val="24"/>
        </w:rPr>
      </w:pPr>
      <w:r w:rsidRPr="006F3B00">
        <w:rPr>
          <w:rFonts w:ascii="Times New Roman" w:hAnsi="Times New Roman" w:cs="Times New Roman"/>
          <w:i/>
          <w:sz w:val="24"/>
          <w:szCs w:val="24"/>
        </w:rPr>
        <w:t>“It's obviously the dedication, the aptitude and how much they are going to put into their day to day work”. (6.3).</w:t>
      </w:r>
    </w:p>
    <w:p w14:paraId="0242329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Conversely negative “attitudes and motivation” which related to professionalism were also given, such as avoidance behaviours:</w:t>
      </w:r>
    </w:p>
    <w:p w14:paraId="409AC0D6"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 xml:space="preserve">“The traits that you tend to see in them is a bit of avoidance”. (7.22) </w:t>
      </w:r>
    </w:p>
    <w:p w14:paraId="0BE4BB9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“They will not necessarily be happy just to sit round a microscope and actually have their direct thoughts on a particular diagnosis that they have made challenged”. (7.22)</w:t>
      </w:r>
    </w:p>
    <w:p w14:paraId="60FE8020"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Or, individuals who responded poorly to feedback:</w:t>
      </w:r>
    </w:p>
    <w:p w14:paraId="1E8642C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problem is not with actual diagnostic ability; it is to do with taking criticism and being able to modulate their own behaviour”.  (5.29)</w:t>
      </w:r>
    </w:p>
    <w:p w14:paraId="1FBC055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“And they won't listen to others, their opinion or the way they are thinking.  I think that's a difficult trait to deal with and we have had people who have done that and they won't change from what they think is right”. (6.58)</w:t>
      </w:r>
    </w:p>
    <w:p w14:paraId="0B258D8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“Where you explain that what they've done is inaccurate or in cut up, if the blocks taken are not high enough quality and they don't seem to understand, that and don't want to understand how to improve then that would be a red flag in terms of competence”. (13.52)</w:t>
      </w:r>
    </w:p>
    <w:p w14:paraId="3AB46E3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This sometimes resulted from a lack of reflection, affecting both professionalism and diagnostic accuracy:</w:t>
      </w:r>
    </w:p>
    <w:p w14:paraId="36F4B72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“And I think that is one of the most important areas of competence, the, the unsafe trainee is one who confidently makes a diagnosis on virtually every case”. (8.22)</w:t>
      </w:r>
    </w:p>
    <w:p w14:paraId="6522389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“I think being able to take feedback on board and reflect on it and to act on that feedback is a good important part of professionalism because again it goes back to what we were talking about, insight…then there's a lack of insight in there which affects your professionalism which could become patient safety issue”.  (9.22) </w:t>
      </w:r>
    </w:p>
    <w:p w14:paraId="6CE1DD42"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“If you see a trainee is disorganised and got it all over the place that affects their diagnostic ability because they couldn't put things in order” (4.6).</w:t>
      </w:r>
    </w:p>
    <w:p w14:paraId="2FF2161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suppose that's because you're then starting to understand that person doesn't necessarily have a kind of learning mentality and how are you supposed to improve if you're not willing to learn”. (13.52)</w:t>
      </w:r>
    </w:p>
    <w:p w14:paraId="7546B74A"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was particularly evident in comments which described how personality characteristics affected the ability of the trainee to follow the correct diagnostic approach:</w:t>
      </w:r>
    </w:p>
    <w:p w14:paraId="34F2758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you know when you…get them coming together in terms of the process that you see somebody developing through years as a diagnostician, it is these particular personality traits that I think are brought together that would make that process as efficient as possible.” (7.90)</w:t>
      </w:r>
    </w:p>
    <w:p w14:paraId="5493F91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And how this affected trust between consultants and trainees:</w:t>
      </w:r>
    </w:p>
    <w:p w14:paraId="4BC7A58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“If somebody won't take advice or criticism then they won't, they'll carry on making the same mistakes…you'll always worry that the higher up they go that they will be independently reporting things which they don't have the competence to independently report”. (5.30)</w:t>
      </w:r>
    </w:p>
    <w:p w14:paraId="4526BC8F" w14:textId="056CC2B2" w:rsidR="00863DF5" w:rsidRPr="006F3B00" w:rsidRDefault="00BE35A3" w:rsidP="001E1A25">
      <w:pPr>
        <w:pStyle w:val="Heading3"/>
        <w:rPr>
          <w:rFonts w:ascii="Times New Roman" w:hAnsi="Times New Roman" w:cs="Times New Roman"/>
          <w:color w:val="auto"/>
          <w:sz w:val="24"/>
          <w:szCs w:val="24"/>
        </w:rPr>
      </w:pPr>
      <w:bookmarkStart w:id="86" w:name="_Toc23243815"/>
      <w:r>
        <w:rPr>
          <w:rFonts w:ascii="Times New Roman" w:hAnsi="Times New Roman" w:cs="Times New Roman"/>
          <w:color w:val="auto"/>
          <w:sz w:val="24"/>
          <w:szCs w:val="24"/>
        </w:rPr>
        <w:t>4.4</w:t>
      </w:r>
      <w:r w:rsidR="001E1A25" w:rsidRPr="006F3B00">
        <w:rPr>
          <w:rFonts w:ascii="Times New Roman" w:hAnsi="Times New Roman" w:cs="Times New Roman"/>
          <w:color w:val="auto"/>
          <w:sz w:val="24"/>
          <w:szCs w:val="24"/>
        </w:rPr>
        <w:t>.2</w:t>
      </w:r>
      <w:r w:rsidR="004B0D1B"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The process</w:t>
      </w:r>
      <w:bookmarkEnd w:id="86"/>
    </w:p>
    <w:p w14:paraId="7A1C8579" w14:textId="77777777" w:rsidR="004B0D1B" w:rsidRPr="006F3B00" w:rsidRDefault="004B0D1B" w:rsidP="004B0D1B">
      <w:pPr>
        <w:rPr>
          <w:rFonts w:ascii="Times New Roman" w:hAnsi="Times New Roman" w:cs="Times New Roman"/>
          <w:sz w:val="24"/>
          <w:szCs w:val="24"/>
          <w:lang w:val="en-GB"/>
        </w:rPr>
      </w:pPr>
    </w:p>
    <w:p w14:paraId="333976C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Analysis of the data showed that diagnostic competence revolved around a process in which trainees demonstrated:</w:t>
      </w:r>
    </w:p>
    <w:p w14:paraId="3E8DB76F" w14:textId="77777777" w:rsidR="00863DF5" w:rsidRPr="006F3B00" w:rsidRDefault="00863DF5" w:rsidP="001A1FF3">
      <w:pPr>
        <w:pStyle w:val="ListParagraph"/>
        <w:numPr>
          <w:ilvl w:val="0"/>
          <w:numId w:val="36"/>
        </w:numPr>
        <w:spacing w:line="480" w:lineRule="auto"/>
        <w:rPr>
          <w:rFonts w:ascii="Times New Roman" w:hAnsi="Times New Roman" w:cs="Times New Roman"/>
          <w:sz w:val="24"/>
          <w:szCs w:val="24"/>
        </w:rPr>
      </w:pPr>
      <w:r w:rsidRPr="006F3B00">
        <w:rPr>
          <w:rFonts w:ascii="Times New Roman" w:hAnsi="Times New Roman" w:cs="Times New Roman"/>
          <w:sz w:val="24"/>
          <w:szCs w:val="24"/>
        </w:rPr>
        <w:t>The ability to form a diagnosis (comprising the codes “knowledge”, “the approach”, “innate ability”, “accuracy and errors in diagnosis” and “consistency of day-to-day work”)</w:t>
      </w:r>
    </w:p>
    <w:p w14:paraId="5DC2F7B0" w14:textId="77777777" w:rsidR="00863DF5" w:rsidRPr="006F3B00" w:rsidRDefault="00863DF5" w:rsidP="001A1FF3">
      <w:pPr>
        <w:pStyle w:val="ListParagraph"/>
        <w:numPr>
          <w:ilvl w:val="0"/>
          <w:numId w:val="36"/>
        </w:numPr>
        <w:spacing w:line="480" w:lineRule="auto"/>
        <w:rPr>
          <w:rFonts w:ascii="Times New Roman" w:hAnsi="Times New Roman" w:cs="Times New Roman"/>
          <w:sz w:val="24"/>
          <w:szCs w:val="24"/>
        </w:rPr>
      </w:pPr>
      <w:r w:rsidRPr="006F3B00">
        <w:rPr>
          <w:rFonts w:ascii="Times New Roman" w:hAnsi="Times New Roman" w:cs="Times New Roman"/>
          <w:sz w:val="24"/>
          <w:szCs w:val="24"/>
        </w:rPr>
        <w:t>An awareness of how their diagnosis and report can affect patient care (comprising the codes “sound communication”, “correct treatment outcome for patient” and “report is useful to clinician”.</w:t>
      </w:r>
    </w:p>
    <w:p w14:paraId="1BA4F707" w14:textId="77777777" w:rsidR="00863DF5" w:rsidRPr="006F3B00" w:rsidRDefault="00863DF5" w:rsidP="00863DF5">
      <w:pPr>
        <w:spacing w:line="480" w:lineRule="auto"/>
        <w:rPr>
          <w:rFonts w:ascii="Times New Roman" w:hAnsi="Times New Roman" w:cs="Times New Roman"/>
          <w:sz w:val="24"/>
          <w:szCs w:val="24"/>
          <w:u w:val="single"/>
        </w:rPr>
      </w:pPr>
      <w:r w:rsidRPr="006F3B00">
        <w:rPr>
          <w:rFonts w:ascii="Times New Roman" w:hAnsi="Times New Roman" w:cs="Times New Roman"/>
          <w:sz w:val="24"/>
          <w:szCs w:val="24"/>
          <w:u w:val="single"/>
        </w:rPr>
        <w:t>Forming a diagnosis</w:t>
      </w:r>
    </w:p>
    <w:p w14:paraId="22A5841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 important part of forming a diagnosis was “accuracy and errors in diagnosis”. Sometimes the “accuracy” was stressed:</w:t>
      </w:r>
    </w:p>
    <w:p w14:paraId="42C910D7"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“I guess if I had to define it, one, that they get the diagnosis right”. (10.6)</w:t>
      </w:r>
    </w:p>
    <w:p w14:paraId="3697E192"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“The ability to derive a correct diagnosis…and accurate manner”. (2.3)</w:t>
      </w:r>
    </w:p>
    <w:p w14:paraId="7BB5733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short answer is getting it right and actually being able to define what the entity that you're looking at is.” (7.5)</w:t>
      </w:r>
    </w:p>
    <w:p w14:paraId="7B128C6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“Well I suppose pathology is about diagnosis, isn't it? So the aim would be to get the diagnosis right not wrong” (11.5)</w:t>
      </w:r>
    </w:p>
    <w:p w14:paraId="11A22451"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But sometimes the need to minimise “errors in diagnosis” was described, although the net effect was similar:</w:t>
      </w:r>
    </w:p>
    <w:p w14:paraId="1457EE80"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“Erm, also the amount of the changes you're making to the report” (10.24)</w:t>
      </w:r>
    </w:p>
    <w:p w14:paraId="0C656B6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the the (syc) amount of error we're allowed in our job as histopathologists is actually almost none.” (1.7)</w:t>
      </w:r>
    </w:p>
    <w:p w14:paraId="29D56200"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Part of “accuracy” also related to being in line with your peers’ diagnoses:</w:t>
      </w:r>
    </w:p>
    <w:p w14:paraId="7A1D53D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“I guess it's important because that's how we are assessed as consultant as well, so when you become a consultant and you're doing your EQA, that's how your competence is assessed.” (10.14)</w:t>
      </w:r>
    </w:p>
    <w:p w14:paraId="5226680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“Whether you are in consensus with a reasonable body of, erm, experts or peers in that particular area where you practice.” (9.5)</w:t>
      </w:r>
    </w:p>
    <w:p w14:paraId="26709C7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Accuracy didn’t always mean getting an exact diagnosis:</w:t>
      </w:r>
    </w:p>
    <w:p w14:paraId="492E901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“Having the sort of the skills to accurately reach either a definitive diagnosis or erm a good working diagnosis of a disease category or a condition”. (12.4)</w:t>
      </w:r>
    </w:p>
    <w:p w14:paraId="1A5A918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 suppose my short answer is I don't think diagnostic competence is about getting it right all the time.” (13.4)</w:t>
      </w:r>
    </w:p>
    <w:p w14:paraId="1F8ECE34"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“approach” was sometimes considered more important than getting the diagnosis correct:</w:t>
      </w:r>
    </w:p>
    <w:p w14:paraId="44895DA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“At least they've got the right approach, erm, what sort of things they are going to do or investigations they might actually use to get to the right answer.” (10.6)</w:t>
      </w:r>
    </w:p>
    <w:p w14:paraId="64DADBC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“So I want to understand how they got there. I don't mind whether they do it heuristically or whether they do it by gestalt reasoning so they can do it by wallpaper matching…but they have got to enunciate it to me”. (3.7).</w:t>
      </w:r>
    </w:p>
    <w:p w14:paraId="3B2E7B1F"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“approach” sometimes was described using explicit criteria, such as the right ordering tests or information garnered from the macroscopic dissection of the case:</w:t>
      </w:r>
    </w:p>
    <w:p w14:paraId="01362A95"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“The ability to order appropriate special tests.” (8.69)</w:t>
      </w:r>
    </w:p>
    <w:p w14:paraId="160C533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“Yes, yes it is because you can't make a diagnosis without dissecting something properly and so how have they taken on board the data, have they done the dissection competently”. (3.35)</w:t>
      </w:r>
    </w:p>
    <w:p w14:paraId="71E0806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might get to the right answer you probably would in the end but you'd want to sort of narrow it down and erm sort of take a more logical approach to sort of choosing what tests extra tests - you're doing things like that”. (11.9)</w:t>
      </w:r>
    </w:p>
    <w:p w14:paraId="4CABC41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“I'm thinking more trimming and sort of physical cut up stuff managing my macro, knowing block selection what's important, how that's going to relate to your reports and things.(11.22)</w:t>
      </w:r>
    </w:p>
    <w:p w14:paraId="748E19D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Sometimes the “approach” involved clinico-pathological correlation:</w:t>
      </w:r>
    </w:p>
    <w:p w14:paraId="0A824080" w14:textId="56843FB8"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“Importance of clinical fin</w:t>
      </w:r>
      <w:r w:rsidR="00275368">
        <w:rPr>
          <w:rFonts w:ascii="Times New Roman" w:hAnsi="Times New Roman" w:cs="Times New Roman"/>
          <w:i/>
          <w:sz w:val="24"/>
          <w:szCs w:val="24"/>
        </w:rPr>
        <w:t>dings in the diagnostic process”</w:t>
      </w:r>
      <w:r w:rsidRPr="006F3B00">
        <w:rPr>
          <w:rFonts w:ascii="Times New Roman" w:hAnsi="Times New Roman" w:cs="Times New Roman"/>
          <w:i/>
          <w:sz w:val="24"/>
          <w:szCs w:val="24"/>
        </w:rPr>
        <w:t>.</w:t>
      </w:r>
      <w:r w:rsidR="00275368">
        <w:rPr>
          <w:rFonts w:ascii="Times New Roman" w:hAnsi="Times New Roman" w:cs="Times New Roman"/>
          <w:i/>
          <w:sz w:val="24"/>
          <w:szCs w:val="24"/>
        </w:rPr>
        <w:t xml:space="preserve"> </w:t>
      </w:r>
      <w:r w:rsidRPr="006F3B00">
        <w:rPr>
          <w:rFonts w:ascii="Times New Roman" w:hAnsi="Times New Roman" w:cs="Times New Roman"/>
          <w:i/>
          <w:sz w:val="24"/>
          <w:szCs w:val="24"/>
        </w:rPr>
        <w:t>(8.24)</w:t>
      </w:r>
    </w:p>
    <w:p w14:paraId="41F1177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“If it is a breast report, have they looked at the mammogram, are they looking for calcification or not, have they read the request form, have they understood the data?” (3.34)</w:t>
      </w:r>
    </w:p>
    <w:p w14:paraId="591ED79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red flags for me would be for example missing clinically relevant findings”. (1.20)</w:t>
      </w:r>
    </w:p>
    <w:p w14:paraId="0F41E37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“You look for the ability to integrate clinical data, the macroscopic interpretation of the information available” (2.5)</w:t>
      </w:r>
    </w:p>
    <w:p w14:paraId="6DC05918"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clinical information often helped inform the range of possible diagnoses:</w:t>
      </w:r>
    </w:p>
    <w:p w14:paraId="0726DA2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“They may be more limited in what they're considering a diagnosis could be so I think they perhaps… the breadth of differential diagnosis will be much less and there is I guess the potential that you could miss a diagnosis if you haven't thought about it in your differential then you're not very likely to diagnose it”. (12.1)</w:t>
      </w:r>
    </w:p>
    <w:p w14:paraId="788B6A9F"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Yet sometimes it was difficult to describe certain elements of the “approach”</w:t>
      </w:r>
    </w:p>
    <w:p w14:paraId="178643E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I find it very difficult to quantify what that actually is (7.73)</w:t>
      </w:r>
    </w:p>
    <w:p w14:paraId="14E7F5B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“There are certain things that I would just pick up on a slide that almost never reach cortex, and that's difficult from a training point of view because you know I've got to try and vocalise stuff that just tends to go on in my head underneath the surface”. (7.65)</w:t>
      </w:r>
    </w:p>
    <w:p w14:paraId="21CA76E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These intangible elements were sometimes correlated to “innate ability”:</w:t>
      </w:r>
    </w:p>
    <w:p w14:paraId="6F403456"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“Sometimes those at the top end aren't actually very knowledgeable, don't work very hard but they are just capable of doing it, </w:t>
      </w:r>
      <w:proofErr w:type="gramStart"/>
      <w:r w:rsidRPr="006F3B00">
        <w:rPr>
          <w:rFonts w:ascii="Times New Roman" w:hAnsi="Times New Roman" w:cs="Times New Roman"/>
          <w:i/>
          <w:sz w:val="24"/>
          <w:szCs w:val="24"/>
        </w:rPr>
        <w:t>so</w:t>
      </w:r>
      <w:proofErr w:type="gramEnd"/>
      <w:r w:rsidRPr="006F3B00">
        <w:rPr>
          <w:rFonts w:ascii="Times New Roman" w:hAnsi="Times New Roman" w:cs="Times New Roman"/>
          <w:i/>
          <w:sz w:val="24"/>
          <w:szCs w:val="24"/>
        </w:rPr>
        <w:t xml:space="preserve"> they have got a talent for it”. (3.18) </w:t>
      </w:r>
    </w:p>
    <w:p w14:paraId="0D24BED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“When someone's got the eye for it or they've got the right approach it's very difficult to define or record but you know it when you see it”. (8.97)</w:t>
      </w:r>
    </w:p>
    <w:p w14:paraId="55B9A0F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“Because they couldn't interpret… for everything there is also a dimensional issue where understanding how something that's three-dimensional ends up as a two-dimensional image in different colours on a slide. They just couldn't actually </w:t>
      </w:r>
      <w:r w:rsidRPr="006F3B00">
        <w:rPr>
          <w:rFonts w:ascii="Times New Roman" w:hAnsi="Times New Roman" w:cs="Times New Roman"/>
          <w:i/>
          <w:sz w:val="24"/>
          <w:szCs w:val="24"/>
        </w:rPr>
        <w:lastRenderedPageBreak/>
        <w:t>erm sort of acquire the basic level skills despite additional help and remedies and they agreed that they, they just... it wasn't for them and they have left...so I think not everyone can do it”. (12.15)</w:t>
      </w:r>
    </w:p>
    <w:p w14:paraId="4D60BDF4"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Linked to this, the way a trainee or consultant examines a slide was part of their approach:</w:t>
      </w:r>
    </w:p>
    <w:p w14:paraId="1364298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“How you approach looking at slide, I think so, I don't think it's necessarily done consciously by most people but if I look at most consultants and most experienced consultants, they do a lot of their worker very low power”. (13.13)</w:t>
      </w:r>
    </w:p>
    <w:p w14:paraId="04994156"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I think looking at a first-year trainee versus a consultant in their approach to how they physically interact with a slide is very, very different and maybe you could do that sequentially over someone's training and if by ST3 someone still wasn't developing that ability to zoom out and think then that allows a targeted training opportunity to make them consciously change a little bit”. (13.14)</w:t>
      </w:r>
    </w:p>
    <w:p w14:paraId="066C434F"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And the ability to identify patterns on slides as a means to refine diagnoses:</w:t>
      </w:r>
    </w:p>
    <w:p w14:paraId="025ED09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I think very much pattern is quite important and I think it's recognizing that pattern as well as individual cell features, there are architectural features. There's a pattern”. (12.13)</w:t>
      </w:r>
    </w:p>
    <w:p w14:paraId="0A76099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spend a lot of time looking at the details, maybe not seeing the wood for the trees and then over time that gradually zoom out if you like and learn to do more of your work at lower power.  One thing that I consciously did that another trainee taught me was if you identified a feature at a high magnification like x40, then go back to x 2 and see if you can still spot it. So I consciously trained myself to try and look for details”. (13.13)</w:t>
      </w:r>
    </w:p>
    <w:p w14:paraId="6D5B285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 think some people will never get it because it's a visual special pattern recognition thing”. (3.18)</w:t>
      </w:r>
    </w:p>
    <w:p w14:paraId="5D28A3A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“And my ability at a low power magnification to say “I think it fits into this basket”. So I was almost using like, trying to consciously develop this heuristic approach at low power. “What are the 10 things I need to be thinking about” rather than there are two hundred things”. (13.11)</w:t>
      </w:r>
    </w:p>
    <w:p w14:paraId="7B1B6F5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“approach” appeared to facilitate a diagnosis:</w:t>
      </w:r>
    </w:p>
    <w:p w14:paraId="668A9054"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“To derive an answer and then putting it together”. (2.6)</w:t>
      </w:r>
    </w:p>
    <w:p w14:paraId="6CCFC3F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“Well to reach a diagnosis you have to develop obviously a way and the mechanism to reach it”. (4.7)</w:t>
      </w:r>
    </w:p>
    <w:p w14:paraId="799D2E8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“I think, there are, there is a process behind that…” (7.7) </w:t>
      </w:r>
    </w:p>
    <w:p w14:paraId="1E0E9E3A"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Consultants examined this “approach” in trainees to gauge their understanding of cases:</w:t>
      </w:r>
    </w:p>
    <w:p w14:paraId="31D8DEEE"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will then begin to test them in terms of the basics to see whether they have issues in terms of reasoning or interpretation or even just recognising pathological items”. (2.24)</w:t>
      </w:r>
    </w:p>
    <w:p w14:paraId="67ED0B5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“Whether their approach to something is systematic enough so that they could actually stand up and say you know, when I report a neck dissection, I do this so I know I have confidence”. (7.59)</w:t>
      </w:r>
    </w:p>
    <w:p w14:paraId="0BD9730F"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It appeared to help consultants understand how “errors” might have occurred and how they may be addressed:</w:t>
      </w:r>
    </w:p>
    <w:p w14:paraId="301FC77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“Now, if they get the diagnosis wrong, which may happen, but they base their diagnosis on the evidence seen, then we can correct it”. (4.13)</w:t>
      </w:r>
    </w:p>
    <w:p w14:paraId="4E34D35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 xml:space="preserve">“Even if they say oh I thought this looked malignant and it's not, then you say well why </w:t>
      </w:r>
      <w:proofErr w:type="gramStart"/>
      <w:r w:rsidRPr="006F3B00">
        <w:rPr>
          <w:rFonts w:ascii="Times New Roman" w:hAnsi="Times New Roman" w:cs="Times New Roman"/>
          <w:i/>
          <w:sz w:val="24"/>
          <w:szCs w:val="24"/>
        </w:rPr>
        <w:t>did you think</w:t>
      </w:r>
      <w:proofErr w:type="gramEnd"/>
      <w:r w:rsidRPr="006F3B00">
        <w:rPr>
          <w:rFonts w:ascii="Times New Roman" w:hAnsi="Times New Roman" w:cs="Times New Roman"/>
          <w:i/>
          <w:sz w:val="24"/>
          <w:szCs w:val="24"/>
        </w:rPr>
        <w:t xml:space="preserve"> it looked malignant, well it's got mitotic figures.  Well can you get mitotic figures in inflammation or other features of inflammation”. (5.26)</w:t>
      </w:r>
    </w:p>
    <w:p w14:paraId="5B9D5F2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color w:val="000000"/>
          <w:sz w:val="24"/>
          <w:szCs w:val="24"/>
        </w:rPr>
        <w:t>“Now, if they get the diagnosis wrong, which may happen, but they base their diagnosis on the evidence seen, then we can correct it.  But if they get the diagnosis wrong because they didn't take into account anything, then it is very obvious that they haven't studied correctly that stage…in which case they are incompetent”. (4.13)</w:t>
      </w:r>
    </w:p>
    <w:p w14:paraId="3F58B9E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Enunciating the “approach” ensured correct diagnoses did not stem from guessing:</w:t>
      </w:r>
    </w:p>
    <w:p w14:paraId="49E1B9F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“Some people can arrive at the correct diagnosis and can't explain why and have arrived there by guessing.” (3.6)</w:t>
      </w:r>
    </w:p>
    <w:p w14:paraId="73A86F7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 depends on whether they got it right just by fluke or whether they were actually thinking along the right lines, erm, what's the sort of approach and how they got to the answer”. (10.65)</w:t>
      </w:r>
    </w:p>
    <w:p w14:paraId="1FC99C5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“Knowledge” was considered important and was needed to form a diagnosis:</w:t>
      </w:r>
    </w:p>
    <w:p w14:paraId="147FD41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knowledge too I think is important because I think, particularly in terms of disease process, you can't gain everything from just looking at the slides.” (7.75)</w:t>
      </w:r>
    </w:p>
    <w:p w14:paraId="06F7E3A1"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was sometimes described as basic or core knowledge:</w:t>
      </w:r>
    </w:p>
    <w:p w14:paraId="6EE43B3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can clearly see the trainee who does not have the biomedical knowledge of course”. (4.34)</w:t>
      </w:r>
    </w:p>
    <w:p w14:paraId="44C1129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to start off with you should have a very good basic understanding of general…if you know the normal you can do the abnormal, you know that's the basics of what you need to understand”. (6.1)</w:t>
      </w:r>
    </w:p>
    <w:p w14:paraId="3DF1E6C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Or, new developments and guidelines that should be synthesised into histology reports:</w:t>
      </w:r>
    </w:p>
    <w:p w14:paraId="042EDFD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really you have to be pretty well up on the literature in terms of classification and current techniques for reaching a diagnosis”. (8.24)</w:t>
      </w:r>
    </w:p>
    <w:p w14:paraId="154E37DD"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Aspects of professionalism, such as a lack of care, sometimes affected the ability to form a diagnosis:</w:t>
      </w:r>
    </w:p>
    <w:p w14:paraId="74C1DD5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mindset where errors are virtually eliminated through care and attention.” (10.3)</w:t>
      </w:r>
    </w:p>
    <w:p w14:paraId="4C5469EE" w14:textId="77777777" w:rsidR="00863DF5" w:rsidRPr="006F3B00" w:rsidRDefault="00863DF5" w:rsidP="00863DF5">
      <w:pPr>
        <w:spacing w:line="480" w:lineRule="auto"/>
        <w:ind w:left="720" w:firstLine="60"/>
        <w:rPr>
          <w:rFonts w:ascii="Times New Roman" w:hAnsi="Times New Roman" w:cs="Times New Roman"/>
          <w:i/>
          <w:sz w:val="24"/>
          <w:szCs w:val="24"/>
        </w:rPr>
      </w:pPr>
      <w:r w:rsidRPr="006F3B00">
        <w:rPr>
          <w:rFonts w:ascii="Times New Roman" w:hAnsi="Times New Roman" w:cs="Times New Roman"/>
          <w:i/>
          <w:sz w:val="24"/>
          <w:szCs w:val="24"/>
        </w:rPr>
        <w:t>“Perhaps there is no one right way to look at a slide but at least you can see whether the coverage is meticulous”. (3.35)</w:t>
      </w:r>
    </w:p>
    <w:p w14:paraId="5D70B2E4"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Thus, forming a diagnosis was hindered if trainees lacked the right approach and reflective qualities to improve their approach:</w:t>
      </w:r>
    </w:p>
    <w:p w14:paraId="478BB01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“First of all they don't appreciate the importance of clinical findings and even after you've told them, repeatedly, they still don't do it”. (8.109) </w:t>
      </w:r>
    </w:p>
    <w:p w14:paraId="54EF455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Forming a diagnosis also meant being “consistent in day-to-day work” as accurate diagnoses had to be given consistency to be competent:</w:t>
      </w:r>
    </w:p>
    <w:p w14:paraId="7A43CC0E"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“When I was doing them as a trainee I just felt like I just got lucky with a few because I only knew so much, but that doesn't make me competent”. (10.12)</w:t>
      </w:r>
    </w:p>
    <w:p w14:paraId="15F830C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experience, are…are looking and seeing the correct features for yourself and seeing it repeatedly over time and in slightly different cases”. (12.12)</w:t>
      </w:r>
    </w:p>
    <w:p w14:paraId="6D74B16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there's that the consistency of their competency, it's not a one-off competency. They need to be consistently competent”. (12.22)</w:t>
      </w:r>
    </w:p>
    <w:p w14:paraId="30C61468"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To this end, comments related to WBAs and exams only examining distinct points in time and to assess competency one needed a more longitudinal, representative approach to monitor for “consistency”:</w:t>
      </w:r>
    </w:p>
    <w:p w14:paraId="3A09B3E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 guess more like a long-term thing and these assessments are just like a snap-shot in time so I'm not really sure how representative they are of competence at that time, exact sort of instant. (10.11)</w:t>
      </w:r>
    </w:p>
    <w:p w14:paraId="21482BE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 is an artificial environment you are working under pressure; you're not necessarily practicing what would you would do normally.” (9.31)</w:t>
      </w:r>
    </w:p>
    <w:p w14:paraId="68C99F46"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the day to day work that you do and that's reflected in your performance… not from any pieces of paper stuck in your file to say, “Oh yes, you've done that” so you've been ticked off for that competence”. (6.55)</w:t>
      </w:r>
    </w:p>
    <w:p w14:paraId="19F0368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“Exams that are external validations provide the snap shot but then on an exam environment, you're adding on the performance of the day which is not necessarily reflecting the trainee's abilities and competences”. (4.23)</w:t>
      </w:r>
    </w:p>
    <w:p w14:paraId="2F6849F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chances of coming across the same case, having that same assessment and consultant… so much confounding that I don't think you really get that progression documented in them”. (13.32)</w:t>
      </w:r>
    </w:p>
    <w:p w14:paraId="4EEB0ED4"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idea of consistency of competence was also reflected in comments that criticised trainees for selecting cases for WBAs which might not represent their true competence:</w:t>
      </w:r>
    </w:p>
    <w:p w14:paraId="2AA4C36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weaknesses of the system (WBAs) are the trainee often looks at things that are sort of guaranteed to give a positive response”. (2.9)</w:t>
      </w:r>
    </w:p>
    <w:p w14:paraId="0DE8AE2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“I think the main changes (to WBAs) would be, I guess there is no hindrance to us implementing it in this way it is actually trainer led rather than trainee led and </w:t>
      </w:r>
      <w:r w:rsidRPr="006F3B00">
        <w:rPr>
          <w:rFonts w:ascii="Times New Roman" w:hAnsi="Times New Roman" w:cs="Times New Roman"/>
          <w:i/>
          <w:sz w:val="24"/>
          <w:szCs w:val="24"/>
        </w:rPr>
        <w:lastRenderedPageBreak/>
        <w:t>that then would allow us just to avoid that level of  pre-selection the trainees have…” (7.39)</w:t>
      </w:r>
    </w:p>
    <w:p w14:paraId="326D7A9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“They would very rarely choose a case which may result in a negative outcome.  Would they?” (8.48)</w:t>
      </w:r>
    </w:p>
    <w:p w14:paraId="2D05A337" w14:textId="77777777" w:rsidR="00863DF5" w:rsidRPr="006F3B00" w:rsidRDefault="00863DF5" w:rsidP="00863DF5">
      <w:pPr>
        <w:spacing w:line="480" w:lineRule="auto"/>
        <w:rPr>
          <w:rFonts w:ascii="Times New Roman" w:hAnsi="Times New Roman" w:cs="Times New Roman"/>
          <w:sz w:val="24"/>
          <w:szCs w:val="24"/>
          <w:u w:val="single"/>
        </w:rPr>
      </w:pPr>
      <w:r w:rsidRPr="006F3B00">
        <w:rPr>
          <w:rFonts w:ascii="Times New Roman" w:hAnsi="Times New Roman" w:cs="Times New Roman"/>
          <w:sz w:val="24"/>
          <w:szCs w:val="24"/>
          <w:u w:val="single"/>
        </w:rPr>
        <w:t>An awareness of how the diagnosis and report affect patient care</w:t>
      </w:r>
    </w:p>
    <w:p w14:paraId="4C534813"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There was an acknowledgement regarding the pivotal role pathologists have in patient care and hence it is important that the patient receives the “correct treatment and outcome”:</w:t>
      </w:r>
    </w:p>
    <w:p w14:paraId="3200EB9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“Because the buck stops with you then and you've got to be sure that it's benign, not 95%, not 98%, you've got to be 100% sure that it's benign”. (5.24) </w:t>
      </w:r>
    </w:p>
    <w:p w14:paraId="685B3F9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also there's a patient, patient safety overarches everything anyway”. (9.18)</w:t>
      </w:r>
    </w:p>
    <w:p w14:paraId="0FA3A37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“Pressing the button, well you could send something out which is wrong (with errors in) and that could have an impact on the patient. So it's important.” (11.69)</w:t>
      </w:r>
    </w:p>
    <w:p w14:paraId="13C26EF0"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diagnosis clearly had an effect on the “treatment and patient outcome”, whether explicitly said:</w:t>
      </w:r>
    </w:p>
    <w:p w14:paraId="25269FD7"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“Allow or facilitate, err, the correct or optimal treatment for the patient. (1.5)</w:t>
      </w:r>
    </w:p>
    <w:p w14:paraId="55CECCD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“Absolutely, what the impact of their reports and what they have done is on the overall management of the patient”. (6.21)</w:t>
      </w:r>
    </w:p>
    <w:p w14:paraId="7995A78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mean the key factor is if it changes the treatment plan for the patient”. (10.7)</w:t>
      </w:r>
    </w:p>
    <w:p w14:paraId="7D49BCB0"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Or, even if the patient wasn’t mentioned, a risk to the patient was implied:</w:t>
      </w:r>
    </w:p>
    <w:p w14:paraId="10D89E82"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“Incompletely excised BCCs, missing positive margins, grossly over calling or under calling melanocytic lesions I would consider serious concerns.” (1.20)</w:t>
      </w:r>
    </w:p>
    <w:p w14:paraId="61458A5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ability to derive a correct diagnosis in a timely fashion.” (2.3)</w:t>
      </w:r>
    </w:p>
    <w:p w14:paraId="43D9E0E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However, the diagnosis at the end of the report was not the only area of importance. The message conveyed in the report had to be “useful to the clinician”</w:t>
      </w:r>
    </w:p>
    <w:p w14:paraId="18961D4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“They need to convey the information in a useful way to the clinician”. (1.15)</w:t>
      </w:r>
    </w:p>
    <w:p w14:paraId="51EE8722"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“Some trainees have the propensity to produce overly long reports with too much complicated terminology which is of no clinical relevance”. (1.15)</w:t>
      </w:r>
    </w:p>
    <w:p w14:paraId="46C308B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getting the message across as well so whether they can diagnose it is one thing but can they write it in a way as well so the users actually realise what they're trying to tell”. (10.66)</w:t>
      </w:r>
    </w:p>
    <w:p w14:paraId="4332BE8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“Sound communication” was recognised as a facilitator to good patient care:</w:t>
      </w:r>
    </w:p>
    <w:p w14:paraId="0CC5388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point of the report is to communicate”. (2.21)</w:t>
      </w:r>
    </w:p>
    <w:p w14:paraId="0515B4C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also how you communicate that diagnosis to your colleagues and often times it’s not a black and white diagnosis sometimes there are degrees and layers of what we do and how can you convey that message.” (9.27)</w:t>
      </w:r>
    </w:p>
    <w:p w14:paraId="2CC5498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“Communication is... it's a very important part because essentially we're communicating our diagnosis via a report. It's not a histopathology report going out it's a diagnosis”. (12.41)</w:t>
      </w:r>
    </w:p>
    <w:p w14:paraId="27A296F6"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communication is probably the key attribute in terms of practicing safely”. (13.21)</w:t>
      </w:r>
    </w:p>
    <w:p w14:paraId="238629D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In particular, language within “sound communication” was deemed important when conveying diagnoses:</w:t>
      </w:r>
    </w:p>
    <w:p w14:paraId="6CFF179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know, a lot of people I've known have failed it and then passed. It's been a language problem.” (5.66)</w:t>
      </w:r>
    </w:p>
    <w:p w14:paraId="1138951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am looking for quality of presentation of the report and language”. (3.41)</w:t>
      </w:r>
    </w:p>
    <w:p w14:paraId="42BD0EE4"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It was acknowledged that the surgeon must “find the pathology report useful” as it is their interpretation that impacts on patient care:</w:t>
      </w:r>
    </w:p>
    <w:p w14:paraId="69F111C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like practical situations like taking a senior trainee to an MDT meeting and seeing how they present the cases, to see whether they have got an empathy with the clinicians”. (3.20)</w:t>
      </w:r>
    </w:p>
    <w:p w14:paraId="6042D32E"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want a hierarchy of information so that if there is a piece of major information that has to be conveyed, it's not buried in an essay… that's a failure of empathy with the surgeon”. (3.24)</w:t>
      </w:r>
    </w:p>
    <w:p w14:paraId="7EAC832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“What matters is what you communicate to the surgeon and you need to know what that means that they are going to do”. (5.40)</w:t>
      </w:r>
    </w:p>
    <w:p w14:paraId="3B3010D0"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There was a strong link between the sub-themes “forming a diagnosis” and “the patient” as illustrated by comments such as:</w:t>
      </w:r>
    </w:p>
    <w:p w14:paraId="3E01C478"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 xml:space="preserve">“Does the approach show that what they are doing is </w:t>
      </w:r>
      <w:proofErr w:type="gramStart"/>
      <w:r w:rsidRPr="006F3B00">
        <w:rPr>
          <w:rFonts w:ascii="Times New Roman" w:hAnsi="Times New Roman" w:cs="Times New Roman"/>
          <w:i/>
          <w:sz w:val="24"/>
          <w:szCs w:val="24"/>
        </w:rPr>
        <w:t>safe.</w:t>
      </w:r>
      <w:proofErr w:type="gramEnd"/>
      <w:r w:rsidRPr="006F3B00">
        <w:rPr>
          <w:rFonts w:ascii="Times New Roman" w:hAnsi="Times New Roman" w:cs="Times New Roman"/>
          <w:i/>
          <w:sz w:val="24"/>
          <w:szCs w:val="24"/>
        </w:rPr>
        <w:t>” (8.77)</w:t>
      </w:r>
    </w:p>
    <w:p w14:paraId="64DAFF5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look at how they've set out the report. I look at how they explain it and how they explain how they prioritise what they have put in”. (3.34)</w:t>
      </w:r>
    </w:p>
    <w:p w14:paraId="4081AA7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“Because ultimately there's a patient at the end of what we're doing. So I think I think safety and probably accuracy goes hand-in-hand with safety I think you're </w:t>
      </w:r>
      <w:r w:rsidRPr="006F3B00">
        <w:rPr>
          <w:rFonts w:ascii="Times New Roman" w:hAnsi="Times New Roman" w:cs="Times New Roman"/>
          <w:i/>
          <w:sz w:val="24"/>
          <w:szCs w:val="24"/>
        </w:rPr>
        <w:lastRenderedPageBreak/>
        <w:t>getting a diagnosis right or giving a report that conveys the right level of ambiguity are both safe approaches to reporting a slide or reporting a case”. (13.15)</w:t>
      </w:r>
    </w:p>
    <w:p w14:paraId="497510C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Hence, the need for “accuracy” particularly related to whether the “error” would affect “patient treatment and outcome”</w:t>
      </w:r>
    </w:p>
    <w:p w14:paraId="2B11D76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“For example, pleomorphic adenoma and myoepithelioma maybe doesn't make massive difference, but whether it's a pleomorphic adenoma or a carcinoma in pleomorphic adenoma does make a big difference”. (10.10)</w:t>
      </w:r>
    </w:p>
    <w:p w14:paraId="66811881"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Sometimes “patient treatment and outcome” was correlated to “professionalism”, as trainees acknowledged their role in patient care:</w:t>
      </w:r>
    </w:p>
    <w:p w14:paraId="0195EC6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if you are aware of that early on and you don't become kind of working in this silo where you feel that you're constantly protected by your seniors…then it drums home very early on that there's a patient at the end of what you're doing…you're responsible for your pathology report”. (9.35)</w:t>
      </w:r>
    </w:p>
    <w:p w14:paraId="6F9ACF3B" w14:textId="68A3AC27" w:rsidR="00863DF5" w:rsidRPr="006F3B00" w:rsidRDefault="00BE35A3" w:rsidP="001E1A25">
      <w:pPr>
        <w:pStyle w:val="Heading3"/>
        <w:rPr>
          <w:rFonts w:ascii="Times New Roman" w:hAnsi="Times New Roman" w:cs="Times New Roman"/>
          <w:color w:val="auto"/>
          <w:sz w:val="24"/>
          <w:szCs w:val="24"/>
        </w:rPr>
      </w:pPr>
      <w:bookmarkStart w:id="87" w:name="_Toc23243816"/>
      <w:r>
        <w:rPr>
          <w:rFonts w:ascii="Times New Roman" w:hAnsi="Times New Roman" w:cs="Times New Roman"/>
          <w:color w:val="auto"/>
          <w:sz w:val="24"/>
          <w:szCs w:val="24"/>
        </w:rPr>
        <w:t>4.4</w:t>
      </w:r>
      <w:r w:rsidR="001E1A25" w:rsidRPr="006F3B00">
        <w:rPr>
          <w:rFonts w:ascii="Times New Roman" w:hAnsi="Times New Roman" w:cs="Times New Roman"/>
          <w:color w:val="auto"/>
          <w:sz w:val="24"/>
          <w:szCs w:val="24"/>
        </w:rPr>
        <w:t>.3</w:t>
      </w:r>
      <w:r w:rsidR="004B0D1B"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Stage of training</w:t>
      </w:r>
      <w:bookmarkEnd w:id="87"/>
    </w:p>
    <w:p w14:paraId="210D03E5" w14:textId="77777777" w:rsidR="004B0D1B" w:rsidRPr="006F3B00" w:rsidRDefault="004B0D1B" w:rsidP="004B0D1B">
      <w:pPr>
        <w:rPr>
          <w:rFonts w:ascii="Times New Roman" w:hAnsi="Times New Roman" w:cs="Times New Roman"/>
          <w:sz w:val="24"/>
          <w:szCs w:val="24"/>
          <w:lang w:val="en-GB"/>
        </w:rPr>
      </w:pPr>
    </w:p>
    <w:p w14:paraId="0B5B382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analysis of the data showed that expectations of diagnostic competence vary depending on the stage of training. Stage comprised the codes “individuals develop at different rates” and “competency in stages according to guidelines/standards”.</w:t>
      </w:r>
    </w:p>
    <w:p w14:paraId="45858FA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There was an appreciation that “individuals develop at different rates”:</w:t>
      </w:r>
    </w:p>
    <w:p w14:paraId="2FE4B397" w14:textId="77777777" w:rsidR="00863DF5" w:rsidRPr="006F3B00" w:rsidRDefault="00863DF5" w:rsidP="00863DF5">
      <w:pPr>
        <w:spacing w:line="480" w:lineRule="auto"/>
        <w:ind w:left="720" w:firstLine="60"/>
        <w:rPr>
          <w:rFonts w:ascii="Times New Roman" w:hAnsi="Times New Roman" w:cs="Times New Roman"/>
          <w:i/>
          <w:sz w:val="24"/>
          <w:szCs w:val="24"/>
        </w:rPr>
      </w:pPr>
      <w:r w:rsidRPr="006F3B00">
        <w:rPr>
          <w:rFonts w:ascii="Times New Roman" w:hAnsi="Times New Roman" w:cs="Times New Roman"/>
          <w:i/>
          <w:sz w:val="24"/>
          <w:szCs w:val="24"/>
        </w:rPr>
        <w:t>“People develop at different stages”. (1.26)</w:t>
      </w:r>
    </w:p>
    <w:p w14:paraId="73CA6AF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trainees move at different paces, that they move at different paces in different arenas”. (2.13)</w:t>
      </w:r>
    </w:p>
    <w:p w14:paraId="37776286"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 “So someone progressing slowly, we have had people who progress very, very slowly and in the end they become very useful consultants”. (3.18)</w:t>
      </w:r>
    </w:p>
    <w:p w14:paraId="7A0B76D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However, there was a general expectation that trainees should improve with time:</w:t>
      </w:r>
    </w:p>
    <w:p w14:paraId="24DAC68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“No, I think I'd look for more as they go through. So you'd want to see it evolve in certain ways because obviously in the beginning somebody's not going to know what they're doing at all really”. (11.31)</w:t>
      </w:r>
    </w:p>
    <w:p w14:paraId="77FE504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again depending on the sort of the year of traineeship…I think… I think the expectations will increase erm as you work through training and become a more senior trainee”. (12.6)</w:t>
      </w:r>
    </w:p>
    <w:p w14:paraId="72599E1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expectation was influenced by “guidelines/standards” within the RCPath curricula:</w:t>
      </w:r>
    </w:p>
    <w:p w14:paraId="73128F2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“Well it's a big difficult to define, but to be able to err be competent in the job at a particular level or standard that has been set by the training bodies involved and the regulators.” (9.4)</w:t>
      </w:r>
    </w:p>
    <w:p w14:paraId="2A09B67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 suppose to measure competence, one way of measuring competence is to say you have a gold standard so it's their ability to reach a definitive diagnosis against the gold standard”. (8.11)</w:t>
      </w:r>
    </w:p>
    <w:p w14:paraId="51A8AB3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“And if you're ST1 and you miss something complicated then they're not going to dress you down for that. They're going to talk to you about it. Whereas if you're a senior trainee and you miss something that I really think you should have gotten they're going to explain to you that, you know, that's not really acceptable”. (13.7)</w:t>
      </w:r>
    </w:p>
    <w:p w14:paraId="4EBE717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“My own opinion with EQA schemes is that all trainees should do them. Maybe not right from the start, maybe from Stage D”. (13.32)</w:t>
      </w:r>
    </w:p>
    <w:p w14:paraId="7B12E8E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And also objective evidence such as exam results and WBA outcomes:</w:t>
      </w:r>
    </w:p>
    <w:p w14:paraId="1F7E7CA7" w14:textId="77777777" w:rsidR="00863DF5" w:rsidRPr="006F3B00" w:rsidRDefault="00863DF5" w:rsidP="00863DF5">
      <w:pPr>
        <w:spacing w:line="480" w:lineRule="auto"/>
        <w:ind w:left="720"/>
        <w:rPr>
          <w:rFonts w:ascii="Times New Roman" w:hAnsi="Times New Roman" w:cs="Times New Roman"/>
          <w:i/>
          <w:color w:val="000000"/>
          <w:sz w:val="24"/>
          <w:szCs w:val="24"/>
        </w:rPr>
      </w:pPr>
      <w:r w:rsidRPr="006F3B00">
        <w:rPr>
          <w:rFonts w:ascii="Times New Roman" w:hAnsi="Times New Roman" w:cs="Times New Roman"/>
          <w:i/>
          <w:color w:val="000000"/>
          <w:sz w:val="24"/>
          <w:szCs w:val="24"/>
        </w:rPr>
        <w:t>“There are the exams that keep the goal posts throughout the training and there are also the WBAs which may take the form of a summative assessment but they may be descriptive as well. We use the WBAs to see where about the trainee is in the training and we ask them to produce six of each so we can have eighteen per stage that they can give us that information. ”. (4.5)</w:t>
      </w:r>
    </w:p>
    <w:p w14:paraId="5280E11E"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color w:val="000000"/>
          <w:sz w:val="24"/>
          <w:szCs w:val="24"/>
        </w:rPr>
        <w:t>“The second tool we use is the end of placement assessments and they give a lot of information because they are more descriptive”. (4.5)</w:t>
      </w:r>
    </w:p>
    <w:p w14:paraId="35491C8F" w14:textId="77777777" w:rsidR="00863DF5" w:rsidRPr="006F3B00" w:rsidRDefault="00863DF5" w:rsidP="00863DF5">
      <w:pPr>
        <w:spacing w:line="480" w:lineRule="auto"/>
        <w:rPr>
          <w:rFonts w:ascii="Times New Roman" w:hAnsi="Times New Roman" w:cs="Times New Roman"/>
          <w:i/>
          <w:sz w:val="24"/>
          <w:szCs w:val="24"/>
        </w:rPr>
      </w:pPr>
      <w:r w:rsidRPr="006F3B00">
        <w:rPr>
          <w:rFonts w:ascii="Times New Roman" w:hAnsi="Times New Roman" w:cs="Times New Roman"/>
          <w:sz w:val="24"/>
          <w:szCs w:val="24"/>
        </w:rPr>
        <w:t>But consultants agreed the need for flexibility when judging diagnostic competency:</w:t>
      </w:r>
    </w:p>
    <w:p w14:paraId="50D9599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you have to look at each trainee as an individual and you have to adapt to the trainee rather than assume that everyone is the same”. (2.7).</w:t>
      </w:r>
    </w:p>
    <w:p w14:paraId="3D4DCB52"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may have a first year trainee actually perform better than a second year trainee.  In which case I admit they are more advanced and as the training comes is individualised so the trainee may sit an exam earlier than another one depending on where they stand and they may start independent reporting earlier”. (4.4)</w:t>
      </w:r>
    </w:p>
    <w:p w14:paraId="6C7DD2BE" w14:textId="1FF086A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don't think you can pin a definitive timeframe on it and it depends on the individual as well. I think some people perhaps pick things up more readily and become more confident more quickly than others.</w:t>
      </w:r>
      <w:r w:rsidR="00420BD3">
        <w:rPr>
          <w:rFonts w:ascii="Times New Roman" w:hAnsi="Times New Roman" w:cs="Times New Roman"/>
          <w:i/>
          <w:sz w:val="24"/>
          <w:szCs w:val="24"/>
        </w:rPr>
        <w:t xml:space="preserve"> Someone may need to see 10 fibro</w:t>
      </w:r>
      <w:r w:rsidR="002C7B14">
        <w:rPr>
          <w:rFonts w:ascii="Times New Roman" w:hAnsi="Times New Roman" w:cs="Times New Roman"/>
          <w:i/>
          <w:sz w:val="24"/>
          <w:szCs w:val="24"/>
        </w:rPr>
        <w:t>-</w:t>
      </w:r>
      <w:r w:rsidR="00420BD3">
        <w:rPr>
          <w:rFonts w:ascii="Times New Roman" w:hAnsi="Times New Roman" w:cs="Times New Roman"/>
          <w:i/>
          <w:sz w:val="24"/>
          <w:szCs w:val="24"/>
        </w:rPr>
        <w:t>epithelial polyps</w:t>
      </w:r>
      <w:r w:rsidRPr="006F3B00">
        <w:rPr>
          <w:rFonts w:ascii="Times New Roman" w:hAnsi="Times New Roman" w:cs="Times New Roman"/>
          <w:i/>
          <w:sz w:val="24"/>
          <w:szCs w:val="24"/>
        </w:rPr>
        <w:t xml:space="preserve">  and yeah, I know what that is, I can recognize that or whereas someone may still need to see 20 befor</w:t>
      </w:r>
      <w:r w:rsidR="00420BD3">
        <w:rPr>
          <w:rFonts w:ascii="Times New Roman" w:hAnsi="Times New Roman" w:cs="Times New Roman"/>
          <w:i/>
          <w:sz w:val="24"/>
          <w:szCs w:val="24"/>
        </w:rPr>
        <w:t xml:space="preserve">e they reach the same state so I don't think it's </w:t>
      </w:r>
      <w:r w:rsidRPr="006F3B00">
        <w:rPr>
          <w:rFonts w:ascii="Times New Roman" w:hAnsi="Times New Roman" w:cs="Times New Roman"/>
          <w:i/>
          <w:sz w:val="24"/>
          <w:szCs w:val="24"/>
        </w:rPr>
        <w:t>a one fit all type. (12.19)</w:t>
      </w:r>
    </w:p>
    <w:p w14:paraId="320AA794"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Markers of reaching “standards”, such as passing exams, appeared to sometimes influence when responsibilities were given to trainees:</w:t>
      </w:r>
    </w:p>
    <w:p w14:paraId="5DCBA99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the safest time to independently report is after FRCPath so at least you’ve got some documentary evidence. (1.22)</w:t>
      </w:r>
    </w:p>
    <w:p w14:paraId="6936C57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I think post FRCPath in order to err well we have a list of cases pre-CCST types cases that they can report according to Royal College guidelines” (1.6)</w:t>
      </w:r>
    </w:p>
    <w:p w14:paraId="754394B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“They would prefer trainees not to be writing up reports until they’ve reached a level of err competence which they define by exam”. (2.29)</w:t>
      </w:r>
    </w:p>
    <w:p w14:paraId="3CAC384C"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Having stages in training with prescribed “guidelines and standards” correlated with protecting the patient:</w:t>
      </w:r>
    </w:p>
    <w:p w14:paraId="35F887F6" w14:textId="77777777" w:rsidR="00863DF5" w:rsidRPr="006F3B00" w:rsidRDefault="00863DF5" w:rsidP="00863DF5">
      <w:pPr>
        <w:spacing w:line="480" w:lineRule="auto"/>
        <w:ind w:left="720" w:firstLine="60"/>
        <w:rPr>
          <w:rFonts w:ascii="Times New Roman" w:hAnsi="Times New Roman" w:cs="Times New Roman"/>
          <w:i/>
          <w:sz w:val="24"/>
          <w:szCs w:val="24"/>
        </w:rPr>
      </w:pPr>
      <w:r w:rsidRPr="006F3B00">
        <w:rPr>
          <w:rFonts w:ascii="Times New Roman" w:hAnsi="Times New Roman" w:cs="Times New Roman"/>
          <w:i/>
          <w:sz w:val="24"/>
          <w:szCs w:val="24"/>
        </w:rPr>
        <w:t>“For patients' safety you have to have some sort of process behind it whereby if an issue arises you are able to say well we did this and this, so there is some process rather than such and such a person had a feeling that this would be alright”. (7.52)</w:t>
      </w:r>
    </w:p>
    <w:p w14:paraId="1A84C5B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medico legally it is quite useful to have Part 2 as the, as the sort of barrier”. (8.18)</w:t>
      </w:r>
    </w:p>
    <w:p w14:paraId="72A256D8"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was also reflected in comments suggesting a need to have objective criteria when making judgements of competency:</w:t>
      </w:r>
    </w:p>
    <w:p w14:paraId="58EA9A59" w14:textId="77777777" w:rsidR="00863DF5" w:rsidRPr="006F3B00" w:rsidRDefault="00863DF5" w:rsidP="00863DF5">
      <w:pPr>
        <w:spacing w:line="480" w:lineRule="auto"/>
        <w:ind w:left="720" w:firstLine="60"/>
        <w:rPr>
          <w:rFonts w:ascii="Times New Roman" w:hAnsi="Times New Roman" w:cs="Times New Roman"/>
          <w:i/>
          <w:sz w:val="24"/>
          <w:szCs w:val="24"/>
        </w:rPr>
      </w:pPr>
      <w:r w:rsidRPr="006F3B00">
        <w:rPr>
          <w:rFonts w:ascii="Times New Roman" w:hAnsi="Times New Roman" w:cs="Times New Roman"/>
          <w:i/>
          <w:sz w:val="24"/>
          <w:szCs w:val="24"/>
        </w:rPr>
        <w:t>“But I think that it helps to have a form where you have objective criteria to look at”. (9.21)</w:t>
      </w:r>
    </w:p>
    <w:p w14:paraId="3B30282A" w14:textId="77777777" w:rsidR="00863DF5" w:rsidRPr="006F3B00" w:rsidRDefault="00863DF5" w:rsidP="00C35940">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don't believe in gut feelings.  I think they are the products of the evidence” (4.45).</w:t>
      </w:r>
    </w:p>
    <w:p w14:paraId="4181B94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“You know when you are signing off that someone is capable against the standards set in that curriculum, you actually do need to have some way of actually objectively showing that”.  (7.49)</w:t>
      </w:r>
    </w:p>
    <w:p w14:paraId="28AEF4AD" w14:textId="676C2C23" w:rsidR="00863DF5" w:rsidRPr="006F3B00" w:rsidRDefault="00BE35A3" w:rsidP="001E1A25">
      <w:pPr>
        <w:pStyle w:val="Heading3"/>
        <w:rPr>
          <w:rFonts w:ascii="Times New Roman" w:hAnsi="Times New Roman" w:cs="Times New Roman"/>
          <w:color w:val="auto"/>
          <w:sz w:val="24"/>
          <w:szCs w:val="24"/>
        </w:rPr>
      </w:pPr>
      <w:bookmarkStart w:id="88" w:name="_Toc23243817"/>
      <w:r>
        <w:rPr>
          <w:rFonts w:ascii="Times New Roman" w:hAnsi="Times New Roman" w:cs="Times New Roman"/>
          <w:color w:val="auto"/>
          <w:sz w:val="24"/>
          <w:szCs w:val="24"/>
        </w:rPr>
        <w:t>4.4</w:t>
      </w:r>
      <w:r w:rsidR="001E1A25" w:rsidRPr="006F3B00">
        <w:rPr>
          <w:rFonts w:ascii="Times New Roman" w:hAnsi="Times New Roman" w:cs="Times New Roman"/>
          <w:color w:val="auto"/>
          <w:sz w:val="24"/>
          <w:szCs w:val="24"/>
        </w:rPr>
        <w:t>.4</w:t>
      </w:r>
      <w:r w:rsidR="004B0D1B"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Trust</w:t>
      </w:r>
      <w:bookmarkEnd w:id="88"/>
    </w:p>
    <w:p w14:paraId="5AED56AE" w14:textId="77777777" w:rsidR="004B0D1B" w:rsidRPr="006F3B00" w:rsidRDefault="004B0D1B" w:rsidP="004B0D1B">
      <w:pPr>
        <w:rPr>
          <w:rFonts w:ascii="Times New Roman" w:hAnsi="Times New Roman" w:cs="Times New Roman"/>
          <w:sz w:val="24"/>
          <w:szCs w:val="24"/>
          <w:lang w:val="en-GB"/>
        </w:rPr>
      </w:pPr>
    </w:p>
    <w:p w14:paraId="5E233623"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Analysis of the data showed that the judgement of diagnostic competence centred </w:t>
      </w:r>
      <w:proofErr w:type="gramStart"/>
      <w:r w:rsidRPr="006F3B00">
        <w:rPr>
          <w:rFonts w:ascii="Times New Roman" w:hAnsi="Times New Roman" w:cs="Times New Roman"/>
          <w:sz w:val="24"/>
          <w:szCs w:val="24"/>
        </w:rPr>
        <w:t>around</w:t>
      </w:r>
      <w:proofErr w:type="gramEnd"/>
      <w:r w:rsidRPr="006F3B00">
        <w:rPr>
          <w:rFonts w:ascii="Times New Roman" w:hAnsi="Times New Roman" w:cs="Times New Roman"/>
          <w:sz w:val="24"/>
          <w:szCs w:val="24"/>
        </w:rPr>
        <w:t xml:space="preserve"> consultants trusting their trainee and comprised the codes “overall impression”, “works independently/acting like a consultant”, “knows when to seek second opinion” and “trust”.</w:t>
      </w:r>
    </w:p>
    <w:p w14:paraId="07E0D04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theme of” trust” tended to be described as a gradual process which developed through training:</w:t>
      </w:r>
    </w:p>
    <w:p w14:paraId="56A22AE6"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it’s a case of slowly letting go rather like teaching a child to ride a bike. You run with them alongside, you've taught them how to push the pedals, you've taught them how to steer, you run with them alongside, eventually you let go of the handle bars and you either fall over or they cycle off into the sunset. (2.30)</w:t>
      </w:r>
    </w:p>
    <w:p w14:paraId="265498D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“Trust” appeared central to training:</w:t>
      </w:r>
    </w:p>
    <w:p w14:paraId="167931E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“Because if you did not trust them you would not be able to give them work”. (6.18)</w:t>
      </w:r>
    </w:p>
    <w:p w14:paraId="427D0A31"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“You've got to trust them”. (3.51)</w:t>
      </w:r>
    </w:p>
    <w:p w14:paraId="51FCE36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“What I have seen around histopathology and around medicine in general is that people who can't be trusted either in the workplace or in life in general, there is a generalisation of failure of trust”. (3.50)</w:t>
      </w:r>
    </w:p>
    <w:p w14:paraId="6DABB11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However, “trust” tended to be fully realised towards the end of training when an “overall impression” had been built up:</w:t>
      </w:r>
    </w:p>
    <w:p w14:paraId="6EB5A9A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“You're looking for a safe pair of hands, then you know if they have been through Part 2, then you know they've been over rare cases, they've read the books properly, they've looked at all the black boxes.”(5.22)</w:t>
      </w:r>
    </w:p>
    <w:p w14:paraId="4A3B4875"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 xml:space="preserve">“What do we assess competence by: they've done the </w:t>
      </w:r>
      <w:proofErr w:type="gramStart"/>
      <w:r w:rsidRPr="006F3B00">
        <w:rPr>
          <w:rFonts w:ascii="Times New Roman" w:hAnsi="Times New Roman" w:cs="Times New Roman"/>
          <w:i/>
          <w:sz w:val="24"/>
          <w:szCs w:val="24"/>
        </w:rPr>
        <w:t>job.</w:t>
      </w:r>
      <w:proofErr w:type="gramEnd"/>
      <w:r w:rsidRPr="006F3B00">
        <w:rPr>
          <w:rFonts w:ascii="Times New Roman" w:hAnsi="Times New Roman" w:cs="Times New Roman"/>
          <w:i/>
          <w:sz w:val="24"/>
          <w:szCs w:val="24"/>
        </w:rPr>
        <w:t>”(9.17)</w:t>
      </w:r>
    </w:p>
    <w:p w14:paraId="5F579F06"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“It’s the overall impression, I don’t think you can use only one thing”. (2.27)</w:t>
      </w:r>
    </w:p>
    <w:p w14:paraId="3F7C7FF2"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it's not just the diagnosis it's the whole erm, right from the specimen arriving to the report going out. So it's the whole thing. It's a different aspect it's not the same as diagnosis but it is... part of their all-round competence I'd say. (12.39)</w:t>
      </w:r>
    </w:p>
    <w:p w14:paraId="26454DC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when you've been in the department for a while consultants get to know you, they know what you're good at. They know what areas you like and what areas you don't and they can take that in context”. (13.8)</w:t>
      </w:r>
    </w:p>
    <w:p w14:paraId="4BC62748"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And when trainees began “acting like consultants”:</w:t>
      </w:r>
    </w:p>
    <w:p w14:paraId="0BDDDA6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“If they can identify hidden traps in terms of making a diagnosis and other information that may be relevant which is not automatically being sought”. (2.6)</w:t>
      </w:r>
    </w:p>
    <w:p w14:paraId="590FCAA6" w14:textId="141793B0"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“Reproducibility co</w:t>
      </w:r>
      <w:r w:rsidR="00FD51A3">
        <w:rPr>
          <w:rFonts w:ascii="Times New Roman" w:hAnsi="Times New Roman" w:cs="Times New Roman"/>
          <w:i/>
          <w:sz w:val="24"/>
          <w:szCs w:val="24"/>
        </w:rPr>
        <w:t>mes as they approach consultant</w:t>
      </w:r>
      <w:r w:rsidRPr="006F3B00">
        <w:rPr>
          <w:rFonts w:ascii="Times New Roman" w:hAnsi="Times New Roman" w:cs="Times New Roman"/>
          <w:i/>
          <w:sz w:val="24"/>
          <w:szCs w:val="24"/>
        </w:rPr>
        <w:t xml:space="preserve"> level”. (4.8)  </w:t>
      </w:r>
    </w:p>
    <w:p w14:paraId="4DDE357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“To see them be able to handle a case from start to end, sort of independently. Erm be able to make all those decisions with; do you need extra levels, deepers, full face, which test you need and why and then come to their own conclusion and write a full report as a consultant would”. (11.32)</w:t>
      </w:r>
    </w:p>
    <w:p w14:paraId="60B61D6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Or, by consultants feeling that no harm would come to patients:</w:t>
      </w:r>
    </w:p>
    <w:p w14:paraId="4592C5F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 think trust in terms of competence is actually you relying or thinking that the trainee is again, safe.” (10.53)</w:t>
      </w:r>
    </w:p>
    <w:p w14:paraId="2AC194DC"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But” trust” also related to feelings consultant’s had about trainees:</w:t>
      </w:r>
    </w:p>
    <w:p w14:paraId="5F7886A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“Quite often people do have a feeling but they cannot pin it down to something”. (4.44)</w:t>
      </w:r>
    </w:p>
    <w:p w14:paraId="2DD185A3"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Hence, trust sometimes involved combining objective evidence with feelings to come to a judgement on a trainee’s competency:</w:t>
      </w:r>
    </w:p>
    <w:p w14:paraId="5A008C1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need to take everything into consideration. Yes. Everything”. (4.43)</w:t>
      </w:r>
    </w:p>
    <w:p w14:paraId="620A3773" w14:textId="77777777" w:rsidR="00863DF5" w:rsidRPr="006F3B00" w:rsidRDefault="00863DF5" w:rsidP="00863DF5">
      <w:pPr>
        <w:spacing w:line="480" w:lineRule="auto"/>
        <w:ind w:left="720"/>
        <w:rPr>
          <w:rFonts w:ascii="Times New Roman" w:hAnsi="Times New Roman" w:cs="Times New Roman"/>
          <w:i/>
          <w:sz w:val="24"/>
          <w:szCs w:val="24"/>
        </w:rPr>
      </w:pPr>
    </w:p>
    <w:p w14:paraId="3CFE175C"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“Trust” was embodied in certain actions such as allowing trainees to “independently report” or requiring less supervision (“acting like a consultant”):</w:t>
      </w:r>
    </w:p>
    <w:p w14:paraId="7AD3036D"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“In order to trust someone to report independently you have to have faith”. (1.7)</w:t>
      </w:r>
    </w:p>
    <w:p w14:paraId="0C37791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the fact that they're able to handle more difficult cases with less and less supervision. Less input from me. I'm there to actually just guide but actually hold their hand and take them to the answer”. (10.44)</w:t>
      </w:r>
    </w:p>
    <w:p w14:paraId="472D310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“Yeah, to independently report…does that have a role, </w:t>
      </w:r>
      <w:proofErr w:type="gramStart"/>
      <w:r w:rsidRPr="006F3B00">
        <w:rPr>
          <w:rFonts w:ascii="Times New Roman" w:hAnsi="Times New Roman" w:cs="Times New Roman"/>
          <w:i/>
          <w:sz w:val="24"/>
          <w:szCs w:val="24"/>
        </w:rPr>
        <w:t>trust.</w:t>
      </w:r>
      <w:proofErr w:type="gramEnd"/>
      <w:r w:rsidRPr="006F3B00">
        <w:rPr>
          <w:rFonts w:ascii="Times New Roman" w:hAnsi="Times New Roman" w:cs="Times New Roman"/>
          <w:i/>
          <w:sz w:val="24"/>
          <w:szCs w:val="24"/>
        </w:rPr>
        <w:t xml:space="preserve"> Absolutely. I think if you know a consultant trusts you to do something then you feel that they feel that you are competent if you see what I mean”. (13.54)</w:t>
      </w:r>
    </w:p>
    <w:p w14:paraId="2BBE08C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“Acting like a consultant” also related to trainees mirroring consultant behaviours such as having confidence in their diagnoses:</w:t>
      </w:r>
    </w:p>
    <w:p w14:paraId="34634EC0" w14:textId="6FABD984" w:rsidR="00863DF5" w:rsidRPr="006F3B00" w:rsidRDefault="00863DF5" w:rsidP="00C35940">
      <w:pPr>
        <w:spacing w:line="480" w:lineRule="auto"/>
        <w:ind w:left="720" w:firstLine="60"/>
        <w:rPr>
          <w:rFonts w:ascii="Times New Roman" w:hAnsi="Times New Roman" w:cs="Times New Roman"/>
          <w:i/>
          <w:sz w:val="24"/>
          <w:szCs w:val="24"/>
        </w:rPr>
      </w:pPr>
      <w:r w:rsidRPr="006F3B00">
        <w:rPr>
          <w:rFonts w:ascii="Times New Roman" w:hAnsi="Times New Roman" w:cs="Times New Roman"/>
          <w:i/>
          <w:sz w:val="24"/>
          <w:szCs w:val="24"/>
        </w:rPr>
        <w:t>“Whether they can actually stick with their clear reasoning to a diagnosis”. (2.18)</w:t>
      </w:r>
    </w:p>
    <w:p w14:paraId="60D0E5C7"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 make people completely commit to what they would have sent out”. (3.45)</w:t>
      </w:r>
    </w:p>
    <w:p w14:paraId="490BEED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“Someone who is offered as a consultant to trust, if people don't believe in them, they are probably not going to succeed”. (3.20)</w:t>
      </w:r>
    </w:p>
    <w:p w14:paraId="69D59480"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I think I would expect somebody who is competent to have confidence with the majority of the stuff they're doing or a lot of the stuff”. (11.47)</w:t>
      </w:r>
    </w:p>
    <w:p w14:paraId="41AEE4C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“There's no point in being right if you can’t explain why and you can’t kind of influence others decisions if they’re not agreeing with you”. (13.38)</w:t>
      </w:r>
    </w:p>
    <w:p w14:paraId="6D8B0D1D"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And being efficient with clinical resources and time:</w:t>
      </w:r>
    </w:p>
    <w:p w14:paraId="0A83108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“There's a cost element that is, you know, if you're going to order more tests, you've got to sit down and analyze the results you burn. Somebody's got pay for them all”. (11.17)</w:t>
      </w:r>
    </w:p>
    <w:p w14:paraId="611E537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“Because the reality is there is an amount of work you have to turn around if you have to spend 20 minutes looking at every slide at high power and crawling over every cell then you're not going to be diagnostically competent because I would argue if you can only report one case in a day then you're no you're not diagnostically competent. Because you're not able to function how a consultant needs to function in the unit”. (13.13)</w:t>
      </w:r>
    </w:p>
    <w:p w14:paraId="637544E3"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“If you're reporting, say, a normal duodenal biopsy, if you've been spending five times as long to come to the same relatively simple conclusion then I would say that your diagnostic competence isn't as developed as the person who’s found that balance between quality, safety, and speed”. (13.25)</w:t>
      </w:r>
    </w:p>
    <w:p w14:paraId="24E0A2F1"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“Trust” was also manifested in the way some consultants interacted with their trainees:</w:t>
      </w:r>
    </w:p>
    <w:p w14:paraId="58D7AF4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 xml:space="preserve"> “I think you would see that the manner of communication would probably be quite different…in many ways these interactions would be far more trainee led I think”. (7.80).</w:t>
      </w:r>
    </w:p>
    <w:p w14:paraId="656CD5D7"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“And we sit round a microscope and I'm almost incidental to it”. (7.80)</w:t>
      </w:r>
    </w:p>
    <w:p w14:paraId="1B54942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mean part of the feedback is you agreeing the report and signing it out is the actual confidence that you're giving the trainee that you're happy with what they've done and that it's good enough for your name to go on it” 10.24)</w:t>
      </w:r>
    </w:p>
    <w:p w14:paraId="16C3E64C"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 “Trust” involved consultants seeing that their trainee knew “when to seek a second opinion” which is also related to the sub-theme of “reflection”:</w:t>
      </w:r>
    </w:p>
    <w:p w14:paraId="7466B47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“Then your job is can I report this independently or not and you want to know that they are not over confident in that way”. (5.22)</w:t>
      </w:r>
    </w:p>
    <w:p w14:paraId="2325542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“If they don't tell you when they've had uncertainties or diagnostic quandaries about certain aspects of the slide, then how can you trust them to independently report something if you can't see inside their thought processes”. (5.57) </w:t>
      </w:r>
    </w:p>
    <w:p w14:paraId="6A1A34CE"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“They have to be able to ask.  Even consultants can get to that point”. (4.37)</w:t>
      </w:r>
    </w:p>
    <w:p w14:paraId="0A68BE7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Without seeing this, consultants struggled to “trust” trainees to “independently report”:</w:t>
      </w:r>
    </w:p>
    <w:p w14:paraId="6F5FD03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“So if you've got a nagging, you've always got a sort of nagging uncertainty that they would ask you for help when they are unsure, then it's difficult to let go of the reins”. (5.58)</w:t>
      </w:r>
    </w:p>
    <w:p w14:paraId="49C2D66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Consultants appeared to want to hand responsibilities to senior trainees (such as “independent reporting”), and this acted as a surrogate marker for “trust”: </w:t>
      </w:r>
    </w:p>
    <w:p w14:paraId="52A7BE6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“Even if it's independent reporting that is checked by a consultant, like Nadine now, she is bringing me stuff that she says, you know, she's done a report or even if you're doing that, that's a higher level of stress and then you need, you need that”. (5.24)</w:t>
      </w:r>
    </w:p>
    <w:p w14:paraId="08413E5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know, if you throw somebody in at the deep end, you learn to swim, you learn to do your own thing, you learn to take responsibility”. (6.63)</w:t>
      </w:r>
      <w:r w:rsidRPr="006F3B00">
        <w:rPr>
          <w:rFonts w:ascii="Times New Roman" w:hAnsi="Times New Roman" w:cs="Times New Roman"/>
          <w:i/>
          <w:sz w:val="24"/>
          <w:szCs w:val="24"/>
        </w:rPr>
        <w:tab/>
      </w:r>
    </w:p>
    <w:p w14:paraId="4A01EBF8"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will be actually signing out reports with your own name on the bottom of it, that process you know, you have to get used to that sort of pressure”. (7.32)</w:t>
      </w:r>
    </w:p>
    <w:p w14:paraId="46C66AC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“And then there's slow ramping down of the amount of input that consultants would have to…to my reports. So that's a very graded approach to signing things out independently, which I suppose is an assessment of my competence”. (13.47)</w:t>
      </w:r>
    </w:p>
    <w:p w14:paraId="44FC0EE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was deemed important as the training environment was sometimes unauthentic:</w:t>
      </w:r>
    </w:p>
    <w:p w14:paraId="14D51C0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“In other words, training doesn't replicate working as a consultant because it is a highly supervised environment”. (3.12)</w:t>
      </w:r>
    </w:p>
    <w:p w14:paraId="4EA1C78F"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And upon qualification, trainees needed to be used to “act like a consultant”</w:t>
      </w:r>
    </w:p>
    <w:p w14:paraId="2F719291"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“They need you to be a consultant up and running”. (6.63)</w:t>
      </w:r>
    </w:p>
    <w:p w14:paraId="33108172"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putting all of the responsibility on you and it's sort of making you… making you step up”. (13.49)</w:t>
      </w:r>
    </w:p>
    <w:p w14:paraId="1B42B1CE" w14:textId="4D1DF88B" w:rsidR="00863DF5" w:rsidRPr="006F3B00" w:rsidRDefault="00BE35A3" w:rsidP="001E1A25">
      <w:pPr>
        <w:pStyle w:val="Heading3"/>
        <w:rPr>
          <w:rFonts w:ascii="Times New Roman" w:hAnsi="Times New Roman" w:cs="Times New Roman"/>
          <w:color w:val="auto"/>
          <w:sz w:val="24"/>
          <w:szCs w:val="24"/>
        </w:rPr>
      </w:pPr>
      <w:bookmarkStart w:id="89" w:name="_Toc23243818"/>
      <w:r>
        <w:rPr>
          <w:rFonts w:ascii="Times New Roman" w:hAnsi="Times New Roman" w:cs="Times New Roman"/>
          <w:color w:val="auto"/>
          <w:sz w:val="24"/>
          <w:szCs w:val="24"/>
        </w:rPr>
        <w:t>4.4.</w:t>
      </w:r>
      <w:r w:rsidR="001E1A25" w:rsidRPr="006F3B00">
        <w:rPr>
          <w:rFonts w:ascii="Times New Roman" w:hAnsi="Times New Roman" w:cs="Times New Roman"/>
          <w:color w:val="auto"/>
          <w:sz w:val="24"/>
          <w:szCs w:val="24"/>
        </w:rPr>
        <w:t>5</w:t>
      </w:r>
      <w:r w:rsidR="004B0D1B"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Time</w:t>
      </w:r>
      <w:bookmarkEnd w:id="89"/>
    </w:p>
    <w:p w14:paraId="68ABF8EF" w14:textId="77777777" w:rsidR="004B0D1B" w:rsidRPr="006F3B00" w:rsidRDefault="004B0D1B" w:rsidP="004B0D1B">
      <w:pPr>
        <w:rPr>
          <w:rFonts w:ascii="Times New Roman" w:hAnsi="Times New Roman" w:cs="Times New Roman"/>
          <w:sz w:val="24"/>
          <w:szCs w:val="24"/>
          <w:lang w:val="en-GB"/>
        </w:rPr>
      </w:pPr>
    </w:p>
    <w:p w14:paraId="2879E58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Although time was not separately coded within the transcripts, through designing a conceptual model of diagnostic competency, it became apparent that it tied many of the </w:t>
      </w:r>
      <w:r w:rsidRPr="006F3B00">
        <w:rPr>
          <w:rFonts w:ascii="Times New Roman" w:hAnsi="Times New Roman" w:cs="Times New Roman"/>
          <w:sz w:val="24"/>
          <w:szCs w:val="24"/>
        </w:rPr>
        <w:lastRenderedPageBreak/>
        <w:t xml:space="preserve">elements of competency together.  As such, it was manifested in the themes and sub-themes previously described, such as the person, process, stage of training and trust. </w:t>
      </w:r>
    </w:p>
    <w:p w14:paraId="6766694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For instance, reflection was strongly linked to the theme of time as “time” is needed for reflection to occur:</w:t>
      </w:r>
    </w:p>
    <w:p w14:paraId="5EE23D82" w14:textId="77777777" w:rsidR="00863DF5" w:rsidRPr="006F3B00" w:rsidRDefault="00863DF5" w:rsidP="00C35940">
      <w:pPr>
        <w:pStyle w:val="ListParagraph"/>
        <w:spacing w:line="480" w:lineRule="auto"/>
        <w:rPr>
          <w:rFonts w:ascii="Times New Roman" w:hAnsi="Times New Roman" w:cs="Times New Roman"/>
          <w:i/>
          <w:sz w:val="24"/>
          <w:szCs w:val="24"/>
        </w:rPr>
      </w:pPr>
      <w:r w:rsidRPr="006F3B00">
        <w:rPr>
          <w:rFonts w:ascii="Times New Roman" w:hAnsi="Times New Roman" w:cs="Times New Roman"/>
          <w:i/>
          <w:sz w:val="24"/>
          <w:szCs w:val="24"/>
        </w:rPr>
        <w:t>“It is then down to the trainee to sit down and read.  It is quite obvious if they haven't read it the next time you see them (4.27)</w:t>
      </w:r>
    </w:p>
    <w:p w14:paraId="285E8735"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Reflection was also used by consultant to check if errors were minimised in future interactions with the trainee. This demonstrates the interplay between “reflection”, “time” and “errors”:</w:t>
      </w:r>
    </w:p>
    <w:p w14:paraId="4D75D412"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and the next time that situation arises that if they have been reflective, if they've gone away and done the necessary building blocks of knowledge that that, the particular issue which has arisen will not arise again” (7.87)</w:t>
      </w:r>
    </w:p>
    <w:p w14:paraId="3C558BE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“Time” was also required by consultants to properly judge whether trainees followed the correct diagnostic approach:</w:t>
      </w:r>
    </w:p>
    <w:p w14:paraId="38E432A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that is a process that you actually only really get an understanding of it get an insight into it, if you actually spend time with a junior pathologist round a microscope”. (7.9)</w:t>
      </w:r>
    </w:p>
    <w:p w14:paraId="2578B49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if someone reaches the final diagnosis without synthesising what they have seen in different stages then that worries me”. (4.32)</w:t>
      </w:r>
    </w:p>
    <w:p w14:paraId="22B50955"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think it's quite useful to have a similar dialogue and not just sort of a one sided conversation- a dynamic sort of relationship when working on a case.” (10.18)</w:t>
      </w:r>
    </w:p>
    <w:p w14:paraId="1633BAC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“You have to spend time with your trainees... it is down to the discussion, it's being able to actually discuss cases round a microscope” (7.69).</w:t>
      </w:r>
    </w:p>
    <w:p w14:paraId="59902C6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The “time” needed to review the diagnostic “approach” was closely linked to ensuring the trainee didn’t put patients at risk:</w:t>
      </w:r>
    </w:p>
    <w:p w14:paraId="0B04E87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“In the few where he doesn't know the answer, he's referring appropriately i.e. either asking the trainer or showing it round the department, so I'm pretty confident that 100% of the time, I'm confident that that person is safe”</w:t>
      </w:r>
    </w:p>
    <w:p w14:paraId="56566CFA"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Sometimes “time” was needed as a means for the trainee to generate experience. Experience, in turn, fed into reflective practice and having the correct “approach”:</w:t>
      </w:r>
    </w:p>
    <w:p w14:paraId="4C9F8D8F"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“But gradually with experience you can exclude the ones that it is not likely to be.”(8.9)</w:t>
      </w:r>
    </w:p>
    <w:p w14:paraId="20067F84"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“Bringing experience to bear on it”. (7.71)</w:t>
      </w:r>
    </w:p>
    <w:p w14:paraId="3456B94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“For example nevoid melanomas is well known as a catch and it’s often difficult to spot so unless you’ve got experience you may easily miss something like”. (1.22).</w:t>
      </w:r>
    </w:p>
    <w:p w14:paraId="7E0DC555"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“There is experience to go into that” (7.7)</w:t>
      </w:r>
    </w:p>
    <w:p w14:paraId="71583C19"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 definitely felt myself getting more competent and that was looking at slides, that was just experience and it was looking at slides getting almost instant feedback from teaching sets where I would have the answer or from an online resource where there might be a differential explanation, but it was that it was that cycle of looking at cases getting something wrong or right reading about that, going back doing it again. So it was that repetitive cycle of to use a pathology phrase “shifting glass””. (13.11)</w:t>
      </w:r>
    </w:p>
    <w:p w14:paraId="61066C6A"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By spending “time” with trainees, “trust” was allowed to develop:</w:t>
      </w:r>
    </w:p>
    <w:p w14:paraId="4E79F68C" w14:textId="6C85D91D"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“I think the reason it (independent reporting) doesn't happen in every case before the actual consultant</w:t>
      </w:r>
      <w:r w:rsidR="00420BD3">
        <w:rPr>
          <w:rFonts w:ascii="Times New Roman" w:hAnsi="Times New Roman" w:cs="Times New Roman"/>
          <w:i/>
          <w:sz w:val="24"/>
          <w:szCs w:val="24"/>
        </w:rPr>
        <w:t xml:space="preserve"> appointment especially in a district general hospital</w:t>
      </w:r>
      <w:r w:rsidRPr="006F3B00">
        <w:rPr>
          <w:rFonts w:ascii="Times New Roman" w:hAnsi="Times New Roman" w:cs="Times New Roman"/>
          <w:i/>
          <w:sz w:val="24"/>
          <w:szCs w:val="24"/>
        </w:rPr>
        <w:t xml:space="preserve"> is for that exact reason that the consultants don't know the trainees well enough”. (8.88)</w:t>
      </w:r>
    </w:p>
    <w:p w14:paraId="37F4431C"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“But different people are trained differently, different people erm, approach things differently, so I would like that, sort of, peace of mind thing, spending some time with them before I could actually, I would be comfortable with them signing my reports out.” (10.60)</w:t>
      </w:r>
    </w:p>
    <w:p w14:paraId="30BF526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 “I think I would have to have sufficient time for, and this I guess comes back into more feeling than paperwork, that you have spent sufficient time to actually understand the acumen, you know the range of mistakes, you know where their weaknesses are”. (7.52)</w:t>
      </w:r>
    </w:p>
    <w:p w14:paraId="36C8187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“Time” was also needed to assess trainee “professionalism” as time was needed to build a picture of someone’s behaviour:</w:t>
      </w:r>
    </w:p>
    <w:p w14:paraId="355FAD8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obviously the dedication, the aptitude and how much they are going to put into their day to day work.  You can actually see every day who are hard-working and who are not.  Erm, who would cut corners and you know try and get answers from others”. (6.3)</w:t>
      </w:r>
    </w:p>
    <w:p w14:paraId="328FF5A5" w14:textId="77777777" w:rsidR="00863DF5" w:rsidRPr="006F3B00" w:rsidRDefault="00863DF5" w:rsidP="00863DF5">
      <w:pPr>
        <w:spacing w:line="480" w:lineRule="auto"/>
        <w:rPr>
          <w:rFonts w:ascii="Times New Roman" w:hAnsi="Times New Roman" w:cs="Times New Roman"/>
          <w:color w:val="FF0000"/>
          <w:sz w:val="24"/>
          <w:szCs w:val="24"/>
        </w:rPr>
      </w:pPr>
      <w:r w:rsidRPr="006F3B00">
        <w:rPr>
          <w:rFonts w:ascii="Times New Roman" w:hAnsi="Times New Roman" w:cs="Times New Roman"/>
          <w:sz w:val="24"/>
          <w:szCs w:val="24"/>
        </w:rPr>
        <w:t>“Time” was needed to triangulate feelings and evidence in order to determine if trainees were progressing through the “stages of training” appropriately:</w:t>
      </w:r>
    </w:p>
    <w:p w14:paraId="57CF953B"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just asking the right questions really and I think if they're not showing any progression with time that tells me that they're probably not doing very well” (10.44).</w:t>
      </w:r>
    </w:p>
    <w:p w14:paraId="519CCD8D"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lastRenderedPageBreak/>
        <w:t>“They failed to make any progress really; their feedback on every placement was sub-standard repeatedly”. (1.27)</w:t>
      </w:r>
    </w:p>
    <w:p w14:paraId="07868141" w14:textId="06D15820"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 xml:space="preserve">“Sometimes it is a lack of confidence and you probe and you push a little bit you get there and that's good and other times you just very quickly come to the idea "you really don't know </w:t>
      </w:r>
      <w:r w:rsidR="00420BD3">
        <w:rPr>
          <w:rFonts w:ascii="Times New Roman" w:hAnsi="Times New Roman" w:cs="Times New Roman"/>
          <w:i/>
          <w:sz w:val="24"/>
          <w:szCs w:val="24"/>
        </w:rPr>
        <w:t>what you're looking at do you?"”</w:t>
      </w:r>
      <w:r w:rsidRPr="006F3B00">
        <w:rPr>
          <w:rFonts w:ascii="Times New Roman" w:hAnsi="Times New Roman" w:cs="Times New Roman"/>
          <w:i/>
          <w:sz w:val="24"/>
          <w:szCs w:val="24"/>
        </w:rPr>
        <w:t>(7.87)</w:t>
      </w:r>
    </w:p>
    <w:p w14:paraId="4E1944B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Time was needed to assess the “consistency” of “accurate diagnoses”:</w:t>
      </w:r>
    </w:p>
    <w:p w14:paraId="3A6E4A32"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the ability to arrive at the correct diagnosis in a reasoned and reproducible way”. (3.5)</w:t>
      </w:r>
    </w:p>
    <w:p w14:paraId="3421239A" w14:textId="13BCFAB4"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“The ability to derive a correct diagnosis…in a consistent fashion.</w:t>
      </w:r>
      <w:r w:rsidR="00420BD3">
        <w:rPr>
          <w:rFonts w:ascii="Times New Roman" w:hAnsi="Times New Roman" w:cs="Times New Roman"/>
          <w:i/>
          <w:sz w:val="24"/>
          <w:szCs w:val="24"/>
        </w:rPr>
        <w:t xml:space="preserve"> </w:t>
      </w:r>
      <w:r w:rsidRPr="006F3B00">
        <w:rPr>
          <w:rFonts w:ascii="Times New Roman" w:hAnsi="Times New Roman" w:cs="Times New Roman"/>
          <w:i/>
          <w:sz w:val="24"/>
          <w:szCs w:val="24"/>
        </w:rPr>
        <w:t>(2.3)</w:t>
      </w:r>
    </w:p>
    <w:p w14:paraId="765F90B3" w14:textId="77777777" w:rsidR="00863DF5" w:rsidRPr="006F3B00" w:rsidRDefault="00863DF5" w:rsidP="00863DF5">
      <w:pPr>
        <w:spacing w:line="480" w:lineRule="auto"/>
        <w:ind w:firstLine="720"/>
        <w:rPr>
          <w:rFonts w:ascii="Times New Roman" w:hAnsi="Times New Roman" w:cs="Times New Roman"/>
          <w:i/>
          <w:sz w:val="24"/>
          <w:szCs w:val="24"/>
        </w:rPr>
      </w:pPr>
      <w:r w:rsidRPr="006F3B00">
        <w:rPr>
          <w:rFonts w:ascii="Times New Roman" w:hAnsi="Times New Roman" w:cs="Times New Roman"/>
          <w:i/>
          <w:sz w:val="24"/>
          <w:szCs w:val="24"/>
        </w:rPr>
        <w:t xml:space="preserve"> “Report those accurately 100% of the time”. (8.14)</w:t>
      </w:r>
    </w:p>
    <w:p w14:paraId="4B3F275A"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“Yes, you want to be sure that you know they will look at it and get it right and get it right and get it right again”. (7.60)</w:t>
      </w:r>
    </w:p>
    <w:p w14:paraId="50D57924" w14:textId="77777777" w:rsidR="00863DF5" w:rsidRPr="006F3B00" w:rsidRDefault="00863DF5" w:rsidP="00863DF5">
      <w:pPr>
        <w:pStyle w:val="NormalWeb"/>
        <w:spacing w:line="480" w:lineRule="auto"/>
        <w:ind w:left="720"/>
        <w:rPr>
          <w:i/>
        </w:rPr>
      </w:pPr>
      <w:r w:rsidRPr="006F3B00">
        <w:rPr>
          <w:i/>
        </w:rPr>
        <w:t>“I want to see them sort of repeatedly getting to the point where you can, they can have the slide and come and say “yes, this is what I think this is” and have their diagnosis and do that you know, repeatedly over a period of time where they... even if they haven't seen something for several weeks and next time we do get the same lesion they can still recognize that diagnosis”. (12.21)</w:t>
      </w:r>
    </w:p>
    <w:p w14:paraId="289544ED"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“Consistency”, in turn, related to the fact that a pathologist can have little “error”:</w:t>
      </w:r>
    </w:p>
    <w:p w14:paraId="018212B1" w14:textId="77777777" w:rsidR="00863DF5" w:rsidRPr="006F3B00" w:rsidRDefault="00863DF5" w:rsidP="00863DF5">
      <w:pPr>
        <w:spacing w:line="480" w:lineRule="auto"/>
        <w:ind w:left="720"/>
        <w:rPr>
          <w:rFonts w:ascii="Times New Roman" w:hAnsi="Times New Roman" w:cs="Times New Roman"/>
          <w:i/>
          <w:sz w:val="24"/>
          <w:szCs w:val="24"/>
        </w:rPr>
      </w:pPr>
      <w:r w:rsidRPr="006F3B00">
        <w:rPr>
          <w:rFonts w:ascii="Times New Roman" w:hAnsi="Times New Roman" w:cs="Times New Roman"/>
          <w:i/>
          <w:sz w:val="24"/>
          <w:szCs w:val="24"/>
        </w:rPr>
        <w:t>“It's not the sort of job where you say “Well erm, yeah, I’m not having a very good day today so I'm just going to blitz through these cases”, it's, you just can't do that, so you have to maintain a certain standard, absolutely. (9.30)</w:t>
      </w:r>
    </w:p>
    <w:p w14:paraId="7613B490" w14:textId="722CCBE6"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The analysis of the transcripts has shown that diagnostic competence is a longitudinal judgement, encompassing both “process” and “person” (Figure 4).  Expectations of competence are, to some extent, stage-dependent and guided by </w:t>
      </w:r>
      <w:r w:rsidR="00420BD3">
        <w:rPr>
          <w:rFonts w:ascii="Times New Roman" w:hAnsi="Times New Roman" w:cs="Times New Roman"/>
          <w:sz w:val="24"/>
          <w:szCs w:val="24"/>
        </w:rPr>
        <w:t xml:space="preserve">RCPath </w:t>
      </w:r>
      <w:r w:rsidRPr="006F3B00">
        <w:rPr>
          <w:rFonts w:ascii="Times New Roman" w:hAnsi="Times New Roman" w:cs="Times New Roman"/>
          <w:sz w:val="24"/>
          <w:szCs w:val="24"/>
        </w:rPr>
        <w:t>guidelines. However, the judgement is complex, incorporating both evidence and feelings about trainees. Diagnostic competence appears to manifest in consultants “trusting” their trainees to be independent practit</w:t>
      </w:r>
      <w:r w:rsidR="004B0D1B" w:rsidRPr="006F3B00">
        <w:rPr>
          <w:rFonts w:ascii="Times New Roman" w:hAnsi="Times New Roman" w:cs="Times New Roman"/>
          <w:sz w:val="24"/>
          <w:szCs w:val="24"/>
        </w:rPr>
        <w:t xml:space="preserve">ioners. </w:t>
      </w:r>
    </w:p>
    <w:p w14:paraId="6D02F537" w14:textId="38FC7FBA" w:rsidR="00863DF5" w:rsidRPr="006F3B00" w:rsidRDefault="00BE35A3" w:rsidP="004B0D1B">
      <w:pPr>
        <w:pStyle w:val="Heading2"/>
        <w:rPr>
          <w:rFonts w:ascii="Times New Roman" w:hAnsi="Times New Roman" w:cs="Times New Roman"/>
          <w:color w:val="auto"/>
          <w:sz w:val="24"/>
          <w:szCs w:val="24"/>
        </w:rPr>
      </w:pPr>
      <w:bookmarkStart w:id="90" w:name="_Toc23243819"/>
      <w:r>
        <w:rPr>
          <w:rFonts w:ascii="Times New Roman" w:hAnsi="Times New Roman" w:cs="Times New Roman"/>
          <w:color w:val="auto"/>
          <w:sz w:val="24"/>
          <w:szCs w:val="24"/>
        </w:rPr>
        <w:t>4.5</w:t>
      </w:r>
      <w:r w:rsidR="004B0D1B"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Discussion</w:t>
      </w:r>
      <w:bookmarkEnd w:id="90"/>
    </w:p>
    <w:p w14:paraId="258642EE" w14:textId="77777777" w:rsidR="004B0D1B" w:rsidRPr="006F3B00" w:rsidRDefault="004B0D1B" w:rsidP="004B0D1B">
      <w:pPr>
        <w:rPr>
          <w:rFonts w:ascii="Times New Roman" w:hAnsi="Times New Roman" w:cs="Times New Roman"/>
          <w:sz w:val="24"/>
          <w:szCs w:val="24"/>
          <w:lang w:val="en-GB"/>
        </w:rPr>
      </w:pPr>
    </w:p>
    <w:p w14:paraId="2AC2795B" w14:textId="4DF375B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Although competence in medicine has been difficult to define, it is important to explore and understand as it is of value to trainees, educators, regulatory bodies and the public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{"citationItems":[{"id":"ITEM-1","itemData":{"DOI":"10.3109/01421598209034750","ISSN":"0142159X","author":[{"dropping-particle":"","family":"Burg","given":"Fredric D.","non-dropping-particle":"","parse-names":false,"suffix":""},{"dropping-particle":"","family":"Lloyd","given":"John S.","non-dropping-particle":"","parse-names":false,"suffix":""},{"dropping-particle":"","family":"Templeton","given":"Bryce","non-dropping-particle":"","parse-names":false,"suffix":""}],"container-title":"Medical Teacher","id":"ITEM-1","issue":"2","issued":{"date-parts":[["1982"]]},"page":"60-64","title":"Competence in medicine","type":"article-journal","volume":"4"},"uris":["http://www.mendeley.com/documents/?uuid=a9f0f53a-467f-44f2-a061-147dc936c0e2","http://www.mendeley.com/documents/?uuid=ece45214-2f00-45df-94fb-7ff1f39be470"]}],"mendeley":{"formattedCitation":"(Burg, Lloyd and Templeton, 1982)","plainTextFormattedCitation":"(Burg, Lloyd and Templeton, 1982)","previouslyFormattedCitation":"(Burg, Lloyd, and Templeton 1982)"},"properties":{"noteIndex":0},"schema":"https://github.com/citation-style-language/schema/raw/master/csl-citation.json"}</w:instrText>
      </w:r>
      <w:r w:rsidRPr="006F3B00">
        <w:rPr>
          <w:rFonts w:ascii="Times New Roman" w:hAnsi="Times New Roman" w:cs="Times New Roman"/>
          <w:sz w:val="24"/>
          <w:szCs w:val="24"/>
        </w:rPr>
        <w:fldChar w:fldCharType="separate"/>
      </w:r>
      <w:r w:rsidR="00FB558D">
        <w:rPr>
          <w:rFonts w:ascii="Times New Roman" w:hAnsi="Times New Roman" w:cs="Times New Roman"/>
          <w:noProof/>
          <w:sz w:val="24"/>
          <w:szCs w:val="24"/>
        </w:rPr>
        <w:t>(Burg, Lloyd and Templeton</w:t>
      </w:r>
      <w:r w:rsidR="00BE3B6C" w:rsidRPr="00BE3B6C">
        <w:rPr>
          <w:rFonts w:ascii="Times New Roman" w:hAnsi="Times New Roman" w:cs="Times New Roman"/>
          <w:noProof/>
          <w:sz w:val="24"/>
          <w:szCs w:val="24"/>
        </w:rPr>
        <w:t xml:space="preserve"> 1982)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ensures competency is transparent to all parties involved and should be made explicit in each medical or dental speciality where differences in competency may exist. Currently, the literature does not make it clear what diagnostic competence incorporates in histopathology or how consultants determine diagnostic competence in trainees. Despite this, WBAs are frequently used to assess competency in histopathology. Consultants must therefore spend a lot of time with their trainees, especially as up to 18 WBAs are required per year. Consultants also oversee all trainee work regardless of assessment targets. The interaction between a consultant and trainee can hence potentially offer significant insight into the judgement of </w:t>
      </w:r>
      <w:r w:rsidRPr="001904EB">
        <w:rPr>
          <w:rFonts w:ascii="Times New Roman" w:hAnsi="Times New Roman" w:cs="Times New Roman"/>
          <w:sz w:val="24"/>
          <w:szCs w:val="24"/>
        </w:rPr>
        <w:t>diagnostic competence. This was particularly important given that the results from the questionnaire (</w:t>
      </w:r>
      <w:r w:rsidR="00BE35A3">
        <w:rPr>
          <w:rFonts w:ascii="Times New Roman" w:hAnsi="Times New Roman" w:cs="Times New Roman"/>
          <w:sz w:val="24"/>
          <w:szCs w:val="24"/>
        </w:rPr>
        <w:t>see Chapter 3, section 3.4</w:t>
      </w:r>
      <w:r w:rsidRPr="001904EB">
        <w:rPr>
          <w:rFonts w:ascii="Times New Roman" w:hAnsi="Times New Roman" w:cs="Times New Roman"/>
          <w:sz w:val="24"/>
          <w:szCs w:val="24"/>
        </w:rPr>
        <w:t xml:space="preserve">) </w:t>
      </w:r>
      <w:r w:rsidRPr="006F3B00">
        <w:rPr>
          <w:rFonts w:ascii="Times New Roman" w:hAnsi="Times New Roman" w:cs="Times New Roman"/>
          <w:sz w:val="24"/>
          <w:szCs w:val="24"/>
        </w:rPr>
        <w:t xml:space="preserve">suggest the current WBAs are not able to identify it. The purpose of this study, therefore, was to understand and explore the cues which underpin how consultant’s judge diagnostic competency in trainees. </w:t>
      </w:r>
    </w:p>
    <w:p w14:paraId="01B66A2F" w14:textId="66273BF2"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Our data suggest there appear to be many “cues” which underpin how consultant</w:t>
      </w:r>
      <w:r w:rsidR="002C7B14">
        <w:rPr>
          <w:rFonts w:ascii="Times New Roman" w:hAnsi="Times New Roman" w:cs="Times New Roman"/>
          <w:sz w:val="24"/>
          <w:szCs w:val="24"/>
        </w:rPr>
        <w:t>s</w:t>
      </w:r>
      <w:r w:rsidRPr="006F3B00">
        <w:rPr>
          <w:rFonts w:ascii="Times New Roman" w:hAnsi="Times New Roman" w:cs="Times New Roman"/>
          <w:sz w:val="24"/>
          <w:szCs w:val="24"/>
        </w:rPr>
        <w:t xml:space="preserve"> judge diagnostic competency in their trainees. The judgement ecology indicates these cues are </w:t>
      </w:r>
      <w:r w:rsidRPr="006F3B00">
        <w:rPr>
          <w:rFonts w:ascii="Times New Roman" w:hAnsi="Times New Roman" w:cs="Times New Roman"/>
          <w:sz w:val="24"/>
          <w:szCs w:val="24"/>
        </w:rPr>
        <w:lastRenderedPageBreak/>
        <w:t xml:space="preserve">inter-related with each one having their part to play. This is mirrored in how interviewees think diagnostic competence should be assessed </w:t>
      </w:r>
      <w:r w:rsidRPr="006F3B00">
        <w:rPr>
          <w:rFonts w:ascii="Times New Roman" w:hAnsi="Times New Roman" w:cs="Times New Roman"/>
          <w:i/>
          <w:sz w:val="24"/>
          <w:szCs w:val="24"/>
        </w:rPr>
        <w:t xml:space="preserve">“the worst thing for diagnostic competence is having one piece of paper or one assessment that is your proof of diagnostic competence. I think it has to be approached from a number of angles”. </w:t>
      </w:r>
    </w:p>
    <w:p w14:paraId="4E14438C" w14:textId="7C392E53"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This indicates that exam results alone are not sufficient to assess diagnostic competence and this is in line with the curriculum that also lists other Stage D competencies which are expected before a trainee can be signed out of </w:t>
      </w:r>
      <w:r w:rsidRPr="00FD51A3">
        <w:rPr>
          <w:rFonts w:ascii="Times New Roman" w:hAnsi="Times New Roman" w:cs="Times New Roman"/>
          <w:sz w:val="24"/>
          <w:szCs w:val="24"/>
        </w:rPr>
        <w:t xml:space="preserve">training (see </w:t>
      </w:r>
      <w:r w:rsidR="00FD51A3" w:rsidRPr="00FD51A3">
        <w:rPr>
          <w:rFonts w:ascii="Times New Roman" w:hAnsi="Times New Roman" w:cs="Times New Roman"/>
          <w:sz w:val="24"/>
          <w:szCs w:val="24"/>
        </w:rPr>
        <w:t>Chapter 1, section 1.2.9</w:t>
      </w:r>
      <w:r w:rsidRPr="00FD51A3">
        <w:rPr>
          <w:rFonts w:ascii="Times New Roman" w:hAnsi="Times New Roman" w:cs="Times New Roman"/>
          <w:sz w:val="24"/>
          <w:szCs w:val="24"/>
        </w:rPr>
        <w:t xml:space="preserve">). Although </w:t>
      </w:r>
      <w:r w:rsidRPr="006F3B00">
        <w:rPr>
          <w:rFonts w:ascii="Times New Roman" w:hAnsi="Times New Roman" w:cs="Times New Roman"/>
          <w:sz w:val="24"/>
          <w:szCs w:val="24"/>
        </w:rPr>
        <w:t xml:space="preserve">participants were not definitive as to which “cues” or qualities were most important to diagnostic competence, when asked to define diagnostic competence, it appeared that the ability to form a diagnosis was one of the most important factors. This theme had the richest data with many related aspects described by participants including the pathological approach, accuracy, error, consistency and knowledge. The degree of accuracy needed in the diagnosis was moderated by the stage of training, such that expectations of accuracy and consistency of accuracy grew with training experience. This mirrors the competency-based framework of the pathology curriculum. However, throughout training, consultants wanted to see trainees having the right “approach” to diagnosis, as the approach supported sound diagnoses and could be developed and augmented with knowledge, skills and behaviours as trainees progressed. This “approach” was not only of academic interest to consultants, but it ensured patients were protected by trainees demonstrating they had interpreted relevant clinical information, blended it with their histological findings and then conveyed the diagnosis to the surgeon in an appropriately worded report. Over time, consultants entrusted tasks to trainees and decreased the amount of supervision, such that trainees were able to act more independently as they neared consultant status. Diagnostic competence was not </w:t>
      </w:r>
      <w:r w:rsidRPr="006F3B00">
        <w:rPr>
          <w:rFonts w:ascii="Times New Roman" w:hAnsi="Times New Roman" w:cs="Times New Roman"/>
          <w:sz w:val="24"/>
          <w:szCs w:val="24"/>
        </w:rPr>
        <w:lastRenderedPageBreak/>
        <w:t>conceptualised as a static achievement but something that had to be maintained throughout one’s career.</w:t>
      </w:r>
    </w:p>
    <w:p w14:paraId="7A702DB8" w14:textId="1CAEFF7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 It is important to note at this point, that within the theoretical framework, different consultants did appear to favour certain “cues” when forming their own personal judgement of diagnostic competency, even if they didn’t always explicitly state this. For instance, some consultants were less inclined to follow curricula and based their judgements on personal experience whereas other favoured evidence when making competency decisions. To explain, some consultants based their decisions based on exam results, WBA outcomes and similar objective measures. This illustrates that although this framework captures how consultants determine diagnostic competency in their trainees, in line with the literature review, judgements are often subjective and biases can exist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{"citationItems":[{"id":"ITEM-1","itemData":{"DOI":"10.1023/A:1015720302925","ISBN":"1382-4996 (Print)\\r1382-4996 (Linking)","ISSN":"13824996","PMID":"12075145","abstract":"Despite problems concerning generalisability of test results - largely due to limited sampling of the task domain - and questions about test efficiency, the popularity of OSCEs in medical education has motivated the use of similar assessment methods in other health care domains. Purpose of this study was to investigate reproducibility of scores on an OSCE-based test in the relatively narrow domain of midwifery, as compared to the broad medical domain. The influence of global rating scales and adoption of a mastery-oriented test perspective on reproducibility of test scores was investigated in order to explore possibilities to increase test efficiency.A 3-hr, 6-station performance based test was administered to third and fourth year students at Kerkrade Midwifery School (the Netherlands). Students' performance was recorded using a station specific checklist and a global rating scale. For the 3-hr OSCE the generalisability coefficient based on checklist scores is 0.48. Based on global ratings alone, the generalisability coefficient is 0.61. Adjusted dependability indices are 0.85 based on checklist scores and 0.95 for global ratings respectively. Results suggest that even for small domains the problem of case-specificity remains a major impediment to high stakes performance testing. Findings furthermore suggest that use of global rating scales and professional expert judgements in professional competence evaluation is to be preferred to task specific checklists for reasons of reproducibility and efficiency in test development and administration. Adoption of a mastery oriented test perspective may reduce testing time requirements even further.","author":[{"dropping-particle":"","family":"Govaerts","given":"Marjan J B","non-dropping-particle":"","parse-names":false,"suffix":""},{"dropping-particle":"","family":"Vleuten","given":"Cees P M","non-dropping-particle":"Van Der","parse-names":false,"suffix":""},{"dropping-particle":"","family":"Schuwirth","given":"Lambert W T","non-dropping-particle":"","parse-names":false,"suffix":""}],"container-title":"Advances in Health Sciences Education","id":"ITEM-1","issue":"2","issued":{"date-parts":[["2002"]]},"page":"133-145","title":"Optimising the reproducibility of a performance-based assessment test in midwifery education","type":"article-journal","volume":"7"},"uris":["http://www.mendeley.com/documents/?uuid=86966094-c2d8-456d-ba41-0c2e37d089b0"]}],"mendeley":{"formattedCitation":"(Govaerts, Van Der Vleuten and Schuwirth, 2002)","plainTextFormattedCitation":"(Govaerts, Van Der Vleuten and Schuwirth, 2002)","previouslyFormattedCitation":"(M. J. B. Govaerts, Van Der Vleuten, and Schuwirth 2002)"},"properties":{"noteIndex":0},"schema":"https://github.com/citation-style-language/schema/raw/master/csl-citation.json"}</w:instrText>
      </w:r>
      <w:r w:rsidRPr="006F3B00">
        <w:rPr>
          <w:rFonts w:ascii="Times New Roman" w:hAnsi="Times New Roman" w:cs="Times New Roman"/>
          <w:sz w:val="24"/>
          <w:szCs w:val="24"/>
        </w:rPr>
        <w:fldChar w:fldCharType="separate"/>
      </w:r>
      <w:r w:rsidR="00FB558D">
        <w:rPr>
          <w:rFonts w:ascii="Times New Roman" w:hAnsi="Times New Roman" w:cs="Times New Roman"/>
          <w:noProof/>
          <w:sz w:val="24"/>
          <w:szCs w:val="24"/>
        </w:rPr>
        <w:t>(Govaerts, van der Vleuten and Schuwirth</w:t>
      </w:r>
      <w:r w:rsidR="00BE3B6C" w:rsidRPr="00BE3B6C">
        <w:rPr>
          <w:rFonts w:ascii="Times New Roman" w:hAnsi="Times New Roman" w:cs="Times New Roman"/>
          <w:noProof/>
          <w:sz w:val="24"/>
          <w:szCs w:val="24"/>
        </w:rPr>
        <w:t xml:space="preserve"> 2002)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That is why a range of assessors should be utilised when determining competency and clearer guidance on what aspects are most appropriate to use is needed.</w:t>
      </w:r>
    </w:p>
    <w:p w14:paraId="3C96F736" w14:textId="7C3A1D90"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To summarise, the analysis revealed that diagnostic competence can be conceptualised within five main themes; 1) the person, 2) the process, 3) stage of training, 4) trust and 5) time. From its empirical base, this study forms a conceptual model (Figure 4</w:t>
      </w:r>
      <w:r w:rsidR="00A50523">
        <w:rPr>
          <w:rFonts w:ascii="Times New Roman" w:hAnsi="Times New Roman" w:cs="Times New Roman"/>
          <w:sz w:val="24"/>
          <w:szCs w:val="24"/>
        </w:rPr>
        <w:t>.4</w:t>
      </w:r>
      <w:r w:rsidRPr="006F3B00">
        <w:rPr>
          <w:rFonts w:ascii="Times New Roman" w:hAnsi="Times New Roman" w:cs="Times New Roman"/>
          <w:sz w:val="24"/>
          <w:szCs w:val="24"/>
        </w:rPr>
        <w:t xml:space="preserve">) to describe how consultants determine diagnostic competence in their trainees and the cues which underpin their judgements. The discussion which follows examines the judgement ecology, discusses the themes identified in the data and compares our findings with the literature and questionnaire where appropriate. </w:t>
      </w:r>
    </w:p>
    <w:p w14:paraId="0696A6C4" w14:textId="6014E984" w:rsidR="00863DF5" w:rsidRPr="006F3B00" w:rsidRDefault="00BE35A3" w:rsidP="004B0D1B">
      <w:pPr>
        <w:pStyle w:val="Heading3"/>
        <w:rPr>
          <w:rFonts w:ascii="Times New Roman" w:hAnsi="Times New Roman" w:cs="Times New Roman"/>
          <w:color w:val="auto"/>
          <w:sz w:val="24"/>
          <w:szCs w:val="24"/>
        </w:rPr>
      </w:pPr>
      <w:bookmarkStart w:id="91" w:name="_Toc23243820"/>
      <w:r>
        <w:rPr>
          <w:rFonts w:ascii="Times New Roman" w:hAnsi="Times New Roman" w:cs="Times New Roman"/>
          <w:color w:val="auto"/>
          <w:sz w:val="24"/>
          <w:szCs w:val="24"/>
        </w:rPr>
        <w:t>4.5</w:t>
      </w:r>
      <w:r w:rsidR="004B0D1B" w:rsidRPr="006F3B00">
        <w:rPr>
          <w:rFonts w:ascii="Times New Roman" w:hAnsi="Times New Roman" w:cs="Times New Roman"/>
          <w:color w:val="auto"/>
          <w:sz w:val="24"/>
          <w:szCs w:val="24"/>
        </w:rPr>
        <w:t xml:space="preserve">.1 </w:t>
      </w:r>
      <w:r w:rsidR="00863DF5" w:rsidRPr="006F3B00">
        <w:rPr>
          <w:rFonts w:ascii="Times New Roman" w:hAnsi="Times New Roman" w:cs="Times New Roman"/>
          <w:color w:val="auto"/>
          <w:sz w:val="24"/>
          <w:szCs w:val="24"/>
        </w:rPr>
        <w:t>The person</w:t>
      </w:r>
      <w:bookmarkEnd w:id="91"/>
    </w:p>
    <w:p w14:paraId="5C886001" w14:textId="77777777" w:rsidR="004B0D1B" w:rsidRPr="006F3B00" w:rsidRDefault="004B0D1B" w:rsidP="004B0D1B">
      <w:pPr>
        <w:rPr>
          <w:rFonts w:ascii="Times New Roman" w:hAnsi="Times New Roman" w:cs="Times New Roman"/>
          <w:sz w:val="24"/>
          <w:szCs w:val="24"/>
          <w:lang w:val="en-GB"/>
        </w:rPr>
      </w:pPr>
    </w:p>
    <w:p w14:paraId="76D7E60B"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Professionalism</w:t>
      </w:r>
    </w:p>
    <w:p w14:paraId="53A13279" w14:textId="2A2D2362"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There has been an increasing emphasis placed on professionalism in medical and dental training, which has probably stemmed from high-profile incidences of mal-practice </w:t>
      </w:r>
      <w:r w:rsidRPr="00FB558D">
        <w:rPr>
          <w:rFonts w:ascii="Times New Roman" w:hAnsi="Times New Roman" w:cs="Times New Roman"/>
          <w:sz w:val="24"/>
          <w:szCs w:val="24"/>
        </w:rPr>
        <w:t>presented in the media, changes in patient care philosophy, the availability of online medical advice and changes to regulatory bodies due to pressure from government policy</w:t>
      </w:r>
      <w:r w:rsidR="0066773B" w:rsidRPr="00FB558D">
        <w:rPr>
          <w:rFonts w:ascii="Times New Roman" w:hAnsi="Times New Roman" w:cs="Times New Roman"/>
          <w:sz w:val="24"/>
          <w:szCs w:val="24"/>
        </w:rPr>
        <w:t xml:space="preserve"> </w:t>
      </w:r>
      <w:r w:rsidRPr="00FB558D">
        <w:rPr>
          <w:rFonts w:ascii="Times New Roman" w:hAnsi="Times New Roman" w:cs="Times New Roman"/>
          <w:sz w:val="24"/>
          <w:szCs w:val="24"/>
        </w:rPr>
        <w:fldChar w:fldCharType="begin" w:fldLock="1"/>
      </w:r>
      <w:r w:rsidR="00BE3B6C" w:rsidRPr="00FB558D">
        <w:rPr>
          <w:rFonts w:ascii="Times New Roman" w:hAnsi="Times New Roman" w:cs="Times New Roman"/>
          <w:sz w:val="24"/>
          <w:szCs w:val="24"/>
        </w:rPr>
        <w:instrText>ADDIN CSL_CITATION {"citationItems":[{"id":"ITEM-1","itemData":{"DOI":"10.1136/bmj.314.7093.1540","ISBN":"0959-8138 (Print)\\n0959-535X (Linking)","ISSN":"0959-8138","PMID":"9183205","abstract":"The performance of doctors embraces attitudes to practice, knowledge, and skills. It is the outward and visible expression of our professionalism. In general, people think highly of the medical profession in Britain; rising expectations are a mark of our success. Nevertheless, self regulation, on which our professional independence and self respect depend, cannot be taken for granted. Sympathetic critics such as lay people, sociologists, and doctors reflect a wider public perception that we seem reluctant to assure doctors' competence and protect patients from poor practice. There are also criticisms that we are not addressing the widespread dissatisfaction with the attitude of some doctors, including their paternalism and poor communication with both patients and colleagues, and are failing to make self regulation demonstrably effective and responsive.","author":[{"dropping-particle":"","family":"Irvine","given":"Donald","non-dropping-particle":"","parse-names":false,"suffix":""}],"container-title":"BMJ (Clinical research ed.)","id":"ITEM-1","issue":"7093","issued":{"date-parts":[["1997"]]},"page":"1540-1542","title":"The performance of doctors. I: Professionalism and self regulation in a changing world","type":"article-journal","volume":"314"},"uris":["http://www.mendeley.com/documents/?uuid=bbf04c02-842b-4baf-81b7-66b038786828"]},{"id":"ITEM-2","itemData":{"DOI":"10.7861/clinmedicine.6-1-7","ISBN":"1 86016 256 8","ISSN":"1470-2118","PMID":"16408403","abstract":"Medicine bridges the gap between science and society. Indeed, the application of scientific knowledge to human health is a crucial aspect of clinical practice. Doctors are one important agent through which that scientific understanding is expressed. But medicine is more than the sum of our knowledge about disease. Medicine concerns the experiences, feelings, and interpretations of human beings in often extraordinary moments of fear, anxiety, and doubt. In this extremely vulnerable position, it is medical professionalism that underpins the trust the public has in doctors. This Working Party was established to define the nature and role of medical professionalism in modern society. Britain's health system is undergoing enormous change. The entry of multiple health providers, the wish for more equal engagement between patients and professionals, and the ever-greater contribution of science to advances in clinical practice all demand a clear statement of medicine's unifying purpose and doctors' common values. What is medical professionalism and does it matter to patients? Although evidence is lacking that more robust professionalism will inevitably lead to better health outcomes, patients certainly understand the meaning of poor professionalism and associate it with poor medical care. The public is well aware that an absence of professionalism is harmful to their interests. The Working Party's view, based on the evidence it has received, is that medical professionalism lies at the heart of being a good doctor. The values that doctors embrace set a standard for what patients expect from their medical practitioners. The practice of medicine is distinguished by the need for judgement in the face of uncertainty. Doctors take responsibility for these judgements and their consequences. A doctor's up-to-date knowledge and skill provide the explicit scientific and often tacit experiential basis for such judgements. But because so much of medicine's unpredictability calls for wisdom as well as technical ability, doctors are vulnerable to the charge that their decisions are neither transparent nor accountable. In an age where deference is dead and league tables are the norm, doctors must be clearer about what they do, and how and why they do it. We define medical professionalism as a set of values, behaviours, and relationships that underpin the trust the public has in doctors. We go on to describe what those values, behaviours, and relationships are, how they are ch…","author":[{"dropping-particle":"","family":"Physicians","given":"Working Party of the Royal College of","non-dropping-particle":"","parse-names":false,"suffix":""},{"dropping-particle":"","family":"Royal College of Physicians","given":"","non-dropping-particle":"","parse-names":false,"suffix":""},{"dropping-particle":"","family":"Wass","given":"Valerie","non-dropping-particle":"","parse-names":false,"suffix":""}],"container-title":"Technical suplllement to a Report of a Working Party of the Royal College of Physicians of London","id":"ITEM-2","issue":"December 2005","issued":{"date-parts":[["2005"]]},"page":"S5-40","title":"Doctors in society. Medical professionalism in a changing world.","type":"article-journal","volume":"6"},"uris":["http://www.mendeley.com/documents/?uuid=ce1d3704-fe1e-46c6-8b85-2cb292b723f7"]},{"id":"ITEM-3","itemData":{"DOI":"10.1016/j.ejim.2008.10.005","ISBN":"1879-0828 (Electronic) 0953-6205 (Linking)","ISSN":"09536205","PMID":"19524164","abstract":"The concept of professionalism has undergone major changes over the millennia in general and the last century specifically. This article, the first in a series of articles in this Journal on professionalism, attempts to provide the reader with a historical overview of the evolution of the concept of professionalism over time. As a result of these changes, medical school curricula, and contemporary specialist training programs are increasingly becoming competence based, with professionalism becoming an integral part of a resident's training and assessment program. © 2008 European Federation of Internal Medicine.","author":[{"dropping-particle":"","family":"Mook","given":"Walther N.K.A.","non-dropping-particle":"van","parse-names":false,"suffix":""},{"dropping-particle":"","family":"Grave","given":"Willem S.","non-dropping-particle":"de","parse-names":false,"suffix":""},{"dropping-particle":"","family":"Wass","given":"Valerie","non-dropping-particle":"","parse-names":false,"suffix":""},{"dropping-particle":"","family":"O'Sullivan","given":"Helen","non-dropping-particle":"","parse-names":false,"suffix":""},{"dropping-particle":"","family":"Zwaveling","given":"Jan Harm","non-dropping-particle":"","parse-names":false,"suffix":""},{"dropping-particle":"","family":"Schuwirth","given":"Lambert W.","non-dropping-particle":"","parse-names":false,"suffix":""},{"dropping-particle":"","family":"Vleuten","given":"Cees P.M.","non-dropping-particle":"van der","parse-names":false,"suffix":""}],"container-title":"European Journal of Internal Medicine","id":"ITEM-3","issue":"4","issued":{"date-parts":[["2009"]]},"title":"Professionalism: Evolution of the concept","type":"article-journal","volume":"20"},"uris":["http://www.mendeley.com/documents/?uuid=07ba8921-bead-4fc8-9fbf-eab9fd9f83ed"]}],"mendeley":{"formattedCitation":"(Irvine, 1997; Physicians, Royal College of Physicians and Wass, 2005; van Mook &lt;i&gt;et al.&lt;/i&gt;, 2009)","plainTextFormattedCitation":"(Irvine, 1997; Physicians, Royal College of Physicians and Wass, 2005; van Mook et al., 2009)","previouslyFormattedCitation":"(Irvine 1997; W. P. of the R. C. of Physicians, Royal College of Physicians, and Wass 2005; van Mook et al. 2009)"},"properties":{"noteIndex":0},"schema":"https://github.com/citation-style-language/schema/raw/master/csl-citation.json"}</w:instrText>
      </w:r>
      <w:r w:rsidRPr="00FB558D">
        <w:rPr>
          <w:rFonts w:ascii="Times New Roman" w:hAnsi="Times New Roman" w:cs="Times New Roman"/>
          <w:sz w:val="24"/>
          <w:szCs w:val="24"/>
        </w:rPr>
        <w:fldChar w:fldCharType="separate"/>
      </w:r>
      <w:r w:rsidR="00B65602">
        <w:rPr>
          <w:rFonts w:ascii="Times New Roman" w:hAnsi="Times New Roman" w:cs="Times New Roman"/>
          <w:noProof/>
          <w:sz w:val="24"/>
          <w:szCs w:val="24"/>
        </w:rPr>
        <w:t xml:space="preserve">(Irvine 1997; The </w:t>
      </w:r>
      <w:r w:rsidR="00BE3B6C" w:rsidRPr="00FB558D">
        <w:rPr>
          <w:rFonts w:ascii="Times New Roman" w:hAnsi="Times New Roman" w:cs="Times New Roman"/>
          <w:noProof/>
          <w:sz w:val="24"/>
          <w:szCs w:val="24"/>
        </w:rPr>
        <w:t>Royal College of Physicians</w:t>
      </w:r>
      <w:r w:rsidR="00B65602">
        <w:rPr>
          <w:rFonts w:ascii="Times New Roman" w:hAnsi="Times New Roman" w:cs="Times New Roman"/>
          <w:noProof/>
          <w:sz w:val="24"/>
          <w:szCs w:val="24"/>
        </w:rPr>
        <w:t xml:space="preserve"> 2005</w:t>
      </w:r>
      <w:r w:rsidR="00BE3B6C" w:rsidRPr="00FB558D">
        <w:rPr>
          <w:rFonts w:ascii="Times New Roman" w:hAnsi="Times New Roman" w:cs="Times New Roman"/>
          <w:noProof/>
          <w:sz w:val="24"/>
          <w:szCs w:val="24"/>
        </w:rPr>
        <w:t>; van Mook et al. 2009)</w:t>
      </w:r>
      <w:r w:rsidRPr="00FB558D">
        <w:rPr>
          <w:rFonts w:ascii="Times New Roman" w:hAnsi="Times New Roman" w:cs="Times New Roman"/>
          <w:sz w:val="24"/>
          <w:szCs w:val="24"/>
        </w:rPr>
        <w:fldChar w:fldCharType="end"/>
      </w:r>
      <w:r w:rsidRPr="00FB558D">
        <w:rPr>
          <w:rFonts w:ascii="Times New Roman" w:hAnsi="Times New Roman" w:cs="Times New Roman"/>
          <w:sz w:val="24"/>
          <w:szCs w:val="24"/>
        </w:rPr>
        <w:t>. This has filtered</w:t>
      </w:r>
      <w:r w:rsidRPr="006F3B00">
        <w:rPr>
          <w:rFonts w:ascii="Times New Roman" w:hAnsi="Times New Roman" w:cs="Times New Roman"/>
          <w:sz w:val="24"/>
          <w:szCs w:val="24"/>
        </w:rPr>
        <w:t xml:space="preserve"> down into medical and dental training programmes, such that professionalism is now considered an integral part of training curricula</w:t>
      </w:r>
      <w:r w:rsidR="0066773B">
        <w:rPr>
          <w:rFonts w:ascii="Times New Roman" w:hAnsi="Times New Roman" w:cs="Times New Roman"/>
          <w:sz w:val="24"/>
          <w:szCs w:val="24"/>
        </w:rPr>
        <w:t xml:space="preserve"> </w:t>
      </w:r>
      <w:r w:rsidR="00402004">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{"citationItems":[{"id":"ITEM-1","itemData":{"DOI":"10.1111/eje.12307","ISSN":"16000579","abstract":"With \" The Graduating European Dentist \" , ADEE provides a new approach that reflects best academic practice for European undergraduate dental education. The new suite of documents sees increased emphasis on important curriculum components such as patient safety, working as a team and patient-centred care. There is also an increased emphasis on teaching excellence, student satisfaction and student preparedness and support. Guidance relating to methods of teaching and learning, and assessment (educational measurement), is also provided. It is anticipated that this new format will further increase accessibility and utility for educators, institutions, societies and regulators, across the sector.","author":[{"dropping-particle":"","family":"Field","given":"J. C.","non-dropping-particle":"","parse-names":false,"suffix":""},{"dropping-particle":"","family":"Cowpe","given":"J. G.","non-dropping-particle":"","parse-names":false,"suffix":""},{"dropping-particle":"","family":"Walmsley","given":"A. D.","non-dropping-particle":"","parse-names":false,"suffix":""}],"container-title":"European Journal of Dental Education","id":"ITEM-1","issued":{"date-parts":[["2017"]]},"page":"2-10","title":"The Graduating European Dentist: A New Undergraduate Curriculum Framework","type":"article-magazine","volume":"21"},"uris":["http://www.mendeley.com/documents/?uuid=ef686c55-744b-4083-bc08-21a98386f058"]}],"mendeley":{"formattedCitation":"(Field, Cowpe and Walmsley, 2017)","plainTextFormattedCitation":"(Field, Cowpe and Walmsley, 2017)","previouslyFormattedCitation":"(Field, Cowpe, and Walmsley 2017)"},"properties":{"noteIndex":0},"schema":"https://github.com/citation-style-language/schema/raw/master/csl-citation.json"}</w:instrText>
      </w:r>
      <w:r w:rsidR="00402004">
        <w:rPr>
          <w:rFonts w:ascii="Times New Roman" w:hAnsi="Times New Roman" w:cs="Times New Roman"/>
          <w:sz w:val="24"/>
          <w:szCs w:val="24"/>
        </w:rPr>
        <w:fldChar w:fldCharType="separate"/>
      </w:r>
      <w:r w:rsidR="00B65602">
        <w:rPr>
          <w:rFonts w:ascii="Times New Roman" w:hAnsi="Times New Roman" w:cs="Times New Roman"/>
          <w:noProof/>
          <w:sz w:val="24"/>
          <w:szCs w:val="24"/>
        </w:rPr>
        <w:t>(Field, Cowpe and Walmsley</w:t>
      </w:r>
      <w:r w:rsidR="00BE3B6C" w:rsidRPr="00BE3B6C">
        <w:rPr>
          <w:rFonts w:ascii="Times New Roman" w:hAnsi="Times New Roman" w:cs="Times New Roman"/>
          <w:noProof/>
          <w:sz w:val="24"/>
          <w:szCs w:val="24"/>
        </w:rPr>
        <w:t xml:space="preserve"> 2017)</w:t>
      </w:r>
      <w:r w:rsidR="00402004">
        <w:rPr>
          <w:rFonts w:ascii="Times New Roman" w:hAnsi="Times New Roman" w:cs="Times New Roman"/>
          <w:sz w:val="24"/>
          <w:szCs w:val="24"/>
        </w:rPr>
        <w:fldChar w:fldCharType="end"/>
      </w:r>
      <w:r w:rsidRPr="006F3B00">
        <w:rPr>
          <w:rFonts w:ascii="Times New Roman" w:hAnsi="Times New Roman" w:cs="Times New Roman"/>
          <w:sz w:val="24"/>
          <w:szCs w:val="24"/>
        </w:rPr>
        <w:t>. It is therefore not surprising that participants commented on professionalism either directly, or by stating behaviours relating to professionalism, when describing diagnostic competence.  These different stances reflect the fact that professionalism can be explicitly or implicitly described in curricula as shown in the following discussion.</w:t>
      </w:r>
    </w:p>
    <w:p w14:paraId="349BAC63" w14:textId="77777777" w:rsidR="00B65602"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Medical professionalism has been defined as a set of values, behaviours and relationships</w:t>
      </w:r>
      <w:r w:rsidR="0066773B">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{"citationItems":[{"id":"ITEM-1","itemData":{"DOI":"10.7861/clinmedicine.6-1-7","ISBN":"1 86016 256 8","ISSN":"1470-2118","PMID":"16408403","abstract":"Medicine bridges the gap between science and society. Indeed, the application of scientific knowledge to human health is a crucial aspect of clinical practice. Doctors are one important agent through which that scientific understanding is expressed. But medicine is more than the sum of our knowledge about disease. Medicine concerns the experiences, feelings, and interpretations of human beings in often extraordinary moments of fear, anxiety, and doubt. In this extremely vulnerable position, it is medical professionalism that underpins the trust the public has in doctors. This Working Party was established to define the nature and role of medical professionalism in modern society. Britain's health system is undergoing enormous change. The entry of multiple health providers, the wish for more equal engagement between patients and professionals, and the ever-greater contribution of science to advances in clinical practice all demand a clear statement of medicine's unifying purpose and doctors' common values. What is medical professionalism and does it matter to patients? Although evidence is lacking that more robust professionalism will inevitably lead to better health outcomes, patients certainly understand the meaning of poor professionalism and associate it with poor medical care. The public is well aware that an absence of professionalism is harmful to their interests. The Working Party's view, based on the evidence it has received, is that medical professionalism lies at the heart of being a good doctor. The values that doctors embrace set a standard for what patients expect from their medical practitioners. The practice of medicine is distinguished by the need for judgement in the face of uncertainty. Doctors take responsibility for these judgements and their consequences. A doctor's up-to-date knowledge and skill provide the explicit scientific and often tacit experiential basis for such judgements. But because so much of medicine's unpredictability calls for wisdom as well as technical ability, doctors are vulnerable to the charge that their decisions are neither transparent nor accountable. In an age where deference is dead and league tables are the norm, doctors must be clearer about what they do, and how and why they do it. We define medical professionalism as a set of values, behaviours, and relationships that underpin the trust the public has in doctors. We go on to describe what those values, behaviours, and relationships are, how they are ch…","author":[{"dropping-particle":"","family":"Physicians","given":"Working Party of the Royal College of","non-dropping-particle":"","parse-names":false,"suffix":""},{"dropping-particle":"","family":"Royal College of Physicians","given":"","non-dropping-particle":"","parse-names":false,"suffix":""},{"dropping-particle":"","family":"Wass","given":"Valerie","non-dropping-particle":"","parse-names":false,"suffix":""}],"container-title":"Technical suplllement to a Report of a Working Party of the Royal College of Physicians of London","id":"ITEM-1","issue":"December 2005","issued":{"date-parts":[["2005"]]},"page":"S5-40","title":"Doctors in society. Medical professionalism in a changing world.","type":"article-journal","volume":"6"},"uris":["http://www.mendeley.com/documents/?uuid=ce1d3704-fe1e-46c6-8b85-2cb292b723f7"]}],"mendeley":{"formattedCitation":"(Physicians, Royal College of Physicians and Wass, 2005)","plainTextFormattedCitation":"(Physicians, Royal College of Physicians and Wass, 2005)","previouslyFormattedCitation":"(W. P. of the R. C. of Physicians, Royal College of Physicians, and Wass 2005)"},"properties":{"noteIndex":0},"schema":"https://github.com/citation-style-language/schema/raw/master/csl-citation.json"}</w:instrText>
      </w:r>
      <w:r w:rsidRPr="006F3B00">
        <w:rPr>
          <w:rFonts w:ascii="Times New Roman" w:hAnsi="Times New Roman" w:cs="Times New Roman"/>
          <w:sz w:val="24"/>
          <w:szCs w:val="24"/>
        </w:rPr>
        <w:fldChar w:fldCharType="separate"/>
      </w:r>
      <w:r w:rsidR="00B65602">
        <w:rPr>
          <w:rFonts w:ascii="Times New Roman" w:hAnsi="Times New Roman" w:cs="Times New Roman"/>
          <w:noProof/>
          <w:sz w:val="24"/>
          <w:szCs w:val="24"/>
        </w:rPr>
        <w:t xml:space="preserve">(The </w:t>
      </w:r>
      <w:r w:rsidR="00BE3B6C" w:rsidRPr="00BE3B6C">
        <w:rPr>
          <w:rFonts w:ascii="Times New Roman" w:hAnsi="Times New Roman" w:cs="Times New Roman"/>
          <w:noProof/>
          <w:sz w:val="24"/>
          <w:szCs w:val="24"/>
        </w:rPr>
        <w:t xml:space="preserve">Royal </w:t>
      </w:r>
      <w:r w:rsidR="00B65602">
        <w:rPr>
          <w:rFonts w:ascii="Times New Roman" w:hAnsi="Times New Roman" w:cs="Times New Roman"/>
          <w:noProof/>
          <w:sz w:val="24"/>
          <w:szCs w:val="24"/>
        </w:rPr>
        <w:t xml:space="preserve">College of Physicians </w:t>
      </w:r>
      <w:r w:rsidR="00BE3B6C" w:rsidRPr="00BE3B6C">
        <w:rPr>
          <w:rFonts w:ascii="Times New Roman" w:hAnsi="Times New Roman" w:cs="Times New Roman"/>
          <w:noProof/>
          <w:sz w:val="24"/>
          <w:szCs w:val="24"/>
        </w:rPr>
        <w:t>2005)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In particular this includes integrity, compassion, altruism, continuous improvement, excellence and working partnership with membe</w:t>
      </w:r>
      <w:r w:rsidR="00B65602">
        <w:rPr>
          <w:rFonts w:ascii="Times New Roman" w:hAnsi="Times New Roman" w:cs="Times New Roman"/>
          <w:sz w:val="24"/>
          <w:szCs w:val="24"/>
        </w:rPr>
        <w:t xml:space="preserve">rs of the wider healthcare team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{"citationItems":[{"id":"ITEM-1","itemData":{"DOI":"10.7861/clinmedicine.6-1-7","ISBN":"1 86016 256 8","ISSN":"1470-2118","PMID":"16408403","abstract":"Medicine bridges the gap between science and society. Indeed, the application of scientific knowledge to human health is a crucial aspect of clinical practice. Doctors are one important agent through which that scientific understanding is expressed. But medicine is more than the sum of our knowledge about disease. Medicine concerns the experiences, feelings, and interpretations of human beings in often extraordinary moments of fear, anxiety, and doubt. In this extremely vulnerable position, it is medical professionalism that underpins the trust the public has in doctors. This Working Party was established to define the nature and role of medical professionalism in modern society. Britain's health system is undergoing enormous change. The entry of multiple health providers, the wish for more equal engagement between patients and professionals, and the ever-greater contribution of science to advances in clinical practice all demand a clear statement of medicine's unifying purpose and doctors' common values. What is medical professionalism and does it matter to patients? Although evidence is lacking that more robust professionalism will inevitably lead to better health outcomes, patients certainly understand the meaning of poor professionalism and associate it with poor medical care. The public is well aware that an absence of professionalism is harmful to their interests. The Working Party's view, based on the evidence it has received, is that medical professionalism lies at the heart of being a good doctor. The values that doctors embrace set a standard for what patients expect from their medical practitioners. The practice of medicine is distinguished by the need for judgement in the face of uncertainty. Doctors take responsibility for these judgements and their consequences. A doctor's up-to-date knowledge and skill provide the explicit scientific and often tacit experiential basis for such judgements. But because so much of medicine's unpredictability calls for wisdom as well as technical ability, doctors are vulnerable to the charge that their decisions are neither transparent nor accountable. In an age where deference is dead and league tables are the norm, doctors must be clearer about what they do, and how and why they do it. We define medical professionalism as a set of values, behaviours, and relationships that underpin the trust the public has in doctors. We go on to describe what those values, behaviours, and relationships are, how they are ch…","author":[{"dropping-particle":"","family":"Physicians","given":"Working Party of the Royal College of","non-dropping-particle":"","parse-names":false,"suffix":""},{"dropping-particle":"","family":"Royal College of Physicians","given":"","non-dropping-particle":"","parse-names":false,"suffix":""},{"dropping-particle":"","family":"Wass","given":"Valerie","non-dropping-particle":"","parse-names":false,"suffix":""}],"container-title":"Technical suplllement to a Report of a Working Party of the Royal College of Physicians of London","id":"ITEM-1","issue":"December 2005","issued":{"date-parts":[["2005"]]},"page":"S5-40","title":"Doctors in society. Medical professionalism in a changing world.","type":"article-journal","volume":"6"},"uris":["http://www.mendeley.com/documents/?uuid=ce1d3704-fe1e-46c6-8b85-2cb292b723f7"]}],"mendeley":{"formattedCitation":"(Physicians, Royal College of Physicians and Wass, 2005)","manualFormatting":"(W. P. of the R. C. of  Physicians, Royal College of Physicians, and Wass 2005)","plainTextFormattedCitation":"(Physicians, Royal College of Physicians and Wass, 2005)","previouslyFormattedCitation":"(W. P. of the R. C. of Physicians, Royal College of Physicians, and Wass 2005)"},"properties":{"noteIndex":0},"schema":"https://github.com/citation-style-language/schema/raw/master/csl-citation.json"}</w:instrText>
      </w:r>
      <w:r w:rsidRPr="006F3B00">
        <w:rPr>
          <w:rFonts w:ascii="Times New Roman" w:hAnsi="Times New Roman" w:cs="Times New Roman"/>
          <w:sz w:val="24"/>
          <w:szCs w:val="24"/>
        </w:rPr>
        <w:fldChar w:fldCharType="separate"/>
      </w:r>
      <w:r w:rsidR="00DB0BC8" w:rsidRPr="00DB0BC8">
        <w:rPr>
          <w:rFonts w:ascii="Times New Roman" w:hAnsi="Times New Roman" w:cs="Times New Roman"/>
          <w:noProof/>
          <w:sz w:val="24"/>
          <w:szCs w:val="24"/>
        </w:rPr>
        <w:t>(</w:t>
      </w:r>
      <w:r w:rsidR="00B65602">
        <w:rPr>
          <w:rFonts w:ascii="Times New Roman" w:hAnsi="Times New Roman" w:cs="Times New Roman"/>
          <w:noProof/>
          <w:sz w:val="24"/>
          <w:szCs w:val="24"/>
        </w:rPr>
        <w:t>The</w:t>
      </w:r>
      <w:r w:rsidR="00DB0BC8" w:rsidRPr="00DB0BC8">
        <w:rPr>
          <w:rFonts w:ascii="Times New Roman" w:hAnsi="Times New Roman" w:cs="Times New Roman"/>
          <w:noProof/>
          <w:sz w:val="24"/>
          <w:szCs w:val="24"/>
        </w:rPr>
        <w:t xml:space="preserve"> Royal </w:t>
      </w:r>
      <w:r w:rsidR="00B65602">
        <w:rPr>
          <w:rFonts w:ascii="Times New Roman" w:hAnsi="Times New Roman" w:cs="Times New Roman"/>
          <w:noProof/>
          <w:sz w:val="24"/>
          <w:szCs w:val="24"/>
        </w:rPr>
        <w:t xml:space="preserve">College of Physicians </w:t>
      </w:r>
      <w:r w:rsidR="00DB0BC8" w:rsidRPr="00DB0BC8">
        <w:rPr>
          <w:rFonts w:ascii="Times New Roman" w:hAnsi="Times New Roman" w:cs="Times New Roman"/>
          <w:noProof/>
          <w:sz w:val="24"/>
          <w:szCs w:val="24"/>
        </w:rPr>
        <w:t>2005)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Here, the definition does not just describe behaviours such as “compassion” and “altruism” but also includes aspects of reflection such as “continuous improvement” and vaguer terms such as “excellence” which presumably relates to aspects of knowledge, skills and behaviour which deliver excellent patient care. </w:t>
      </w:r>
      <w:r w:rsidRPr="006F3B00">
        <w:rPr>
          <w:rFonts w:ascii="Times New Roman" w:eastAsia="Times New Roman" w:hAnsi="Times New Roman" w:cs="Times New Roman"/>
          <w:sz w:val="24"/>
          <w:szCs w:val="24"/>
          <w:shd w:val="clear" w:color="auto" w:fill="FFFFFF"/>
        </w:rPr>
        <w:t xml:space="preserve">In contrast, </w:t>
      </w:r>
      <w:r w:rsidR="00420BD3">
        <w:rPr>
          <w:rFonts w:ascii="Times New Roman" w:eastAsia="Times New Roman" w:hAnsi="Times New Roman" w:cs="Times New Roman"/>
          <w:sz w:val="24"/>
          <w:szCs w:val="24"/>
          <w:shd w:val="clear" w:color="auto" w:fill="FFFFFF"/>
        </w:rPr>
        <w:t>the</w:t>
      </w:r>
      <w:r w:rsidR="0003024B">
        <w:rPr>
          <w:rFonts w:ascii="Times New Roman" w:eastAsia="Times New Roman" w:hAnsi="Times New Roman" w:cs="Times New Roman"/>
          <w:sz w:val="24"/>
          <w:szCs w:val="24"/>
          <w:shd w:val="clear" w:color="auto" w:fill="FFFFFF"/>
        </w:rPr>
        <w:t xml:space="preserve"> </w:t>
      </w:r>
      <w:r w:rsidR="0003024B" w:rsidRPr="00AE147E">
        <w:rPr>
          <w:rFonts w:ascii="Times New Roman" w:hAnsi="Times New Roman" w:cs="Times New Roman"/>
          <w:sz w:val="24"/>
          <w:szCs w:val="24"/>
        </w:rPr>
        <w:t>Accreditation Council for Graduate Medical Education in America</w:t>
      </w:r>
      <w:r w:rsidR="00420BD3">
        <w:rPr>
          <w:rFonts w:ascii="Times New Roman" w:eastAsia="Times New Roman" w:hAnsi="Times New Roman" w:cs="Times New Roman"/>
          <w:sz w:val="24"/>
          <w:szCs w:val="24"/>
          <w:shd w:val="clear" w:color="auto" w:fill="FFFFFF"/>
        </w:rPr>
        <w:t xml:space="preserve"> </w:t>
      </w:r>
      <w:r w:rsidR="0003024B">
        <w:rPr>
          <w:rFonts w:ascii="Times New Roman" w:eastAsia="Times New Roman" w:hAnsi="Times New Roman" w:cs="Times New Roman"/>
          <w:sz w:val="24"/>
          <w:szCs w:val="24"/>
          <w:shd w:val="clear" w:color="auto" w:fill="FFFFFF"/>
        </w:rPr>
        <w:t>(</w:t>
      </w:r>
      <w:r w:rsidR="00420BD3">
        <w:rPr>
          <w:rFonts w:ascii="Times New Roman" w:eastAsia="Times New Roman" w:hAnsi="Times New Roman" w:cs="Times New Roman"/>
          <w:sz w:val="24"/>
          <w:szCs w:val="24"/>
          <w:shd w:val="clear" w:color="auto" w:fill="FFFFFF"/>
        </w:rPr>
        <w:t>ACGMEA</w:t>
      </w:r>
      <w:r w:rsidR="0003024B">
        <w:rPr>
          <w:rFonts w:ascii="Times New Roman" w:eastAsia="Times New Roman" w:hAnsi="Times New Roman" w:cs="Times New Roman"/>
          <w:sz w:val="24"/>
          <w:szCs w:val="24"/>
          <w:shd w:val="clear" w:color="auto" w:fill="FFFFFF"/>
        </w:rPr>
        <w:t>)</w:t>
      </w:r>
      <w:r w:rsidR="00420BD3">
        <w:rPr>
          <w:rFonts w:ascii="Times New Roman" w:eastAsia="Times New Roman" w:hAnsi="Times New Roman" w:cs="Times New Roman"/>
          <w:sz w:val="24"/>
          <w:szCs w:val="24"/>
          <w:shd w:val="clear" w:color="auto" w:fill="FFFFFF"/>
        </w:rPr>
        <w:t xml:space="preserve"> </w:t>
      </w:r>
      <w:r w:rsidRPr="006F3B00">
        <w:rPr>
          <w:rFonts w:ascii="Times New Roman" w:eastAsia="Times New Roman" w:hAnsi="Times New Roman" w:cs="Times New Roman"/>
          <w:sz w:val="24"/>
          <w:szCs w:val="24"/>
          <w:shd w:val="clear" w:color="auto" w:fill="FFFFFF"/>
        </w:rPr>
        <w:t>stated six core competencies for resident education (medical knowledge, patient care, professionalism, interpersonal and communication skills, practice-based learning, and systems-based practice)</w:t>
      </w:r>
      <w:r w:rsidR="00B65602">
        <w:rPr>
          <w:rFonts w:ascii="Times New Roman" w:eastAsia="Times New Roman" w:hAnsi="Times New Roman" w:cs="Times New Roman"/>
          <w:sz w:val="24"/>
          <w:szCs w:val="24"/>
          <w:shd w:val="clear" w:color="auto" w:fill="FFFFFF"/>
        </w:rPr>
        <w:t xml:space="preserve"> </w:t>
      </w:r>
      <w:r w:rsidRPr="006F3B00">
        <w:rPr>
          <w:rFonts w:ascii="Times New Roman" w:eastAsia="Times New Roman" w:hAnsi="Times New Roman" w:cs="Times New Roman"/>
          <w:sz w:val="24"/>
          <w:szCs w:val="24"/>
          <w:shd w:val="clear" w:color="auto" w:fill="FFFFFF"/>
        </w:rPr>
        <w:fldChar w:fldCharType="begin" w:fldLock="1"/>
      </w:r>
      <w:r w:rsidR="00BE3B6C">
        <w:rPr>
          <w:rFonts w:ascii="Times New Roman" w:eastAsia="Times New Roman" w:hAnsi="Times New Roman" w:cs="Times New Roman"/>
          <w:sz w:val="24"/>
          <w:szCs w:val="24"/>
          <w:shd w:val="clear" w:color="auto" w:fill="FFFFFF"/>
        </w:rPr>
        <w:instrText>ADDIN CSL_CITATION {"citationItems":[{"id":"ITEM-1","itemData":{"DOI":"10.1212/WNL.0000000000000646","ISBN":"0000000000000","ISSN":"1526632X","PMID":"24975860","abstract":"Current medical educational theory encourages the development of competency-based curricula. The Accreditation Council for Graduate Medical Education's 6 core competencies for resident education (medical knowledge, patient care, professionalism, interpersonal and communication skills, practice-based learning, and systems-based practice) have been embraced by medical schools as the building blocks necessary for becoming a competent licensed physician. Many medical schools are therefore changing their educational approach to an integrated model in which students demonstrate incremental acquisition and mastery of all competencies as they progress through medical school. Challenges to medical schools include integration of preclinical and clinical studies as well as development of learning objectives and assessment measures for each competency. The Undergraduate Education Subcommittee (UES) of the American Academy of Neurology (AAN) assembled a group of neuroscience educators to outline a longitudinal competency-based curriculum in medical neuroscience encompassing both preclinical and clinical coursework. In development of this curriculum, the committee reviewed United States Medical Licensing Examination content outlines, Liaison Committee on Medical Education requirements, prior AAN-mandated core curricula for basic neuroscience and clinical neurology, and survey responses from educators in US medical schools. The newly recommended curriculum provides an outline of learning objectives for each of the 6 competencies, listing each learning objective in active terms. Documentation of experiences is emphasized, and assessment measures are suggested to demonstrate adequate achievement in each competency. These guidelines, widely vetted and approved by the UES membership, aspire to be both useful as a stand-alone curriculum and also provide a framework for neuroscience educators who wish to develop a more detailed focus in certain areas of study.","author":[{"dropping-particle":"","family":"Merlin","given":"Lisa R.","non-dropping-particle":"","parse-names":false,"suffix":""},{"dropping-particle":"","family":"Horak","given":"Holli A.","non-dropping-particle":"","parse-names":false,"suffix":""},{"dropping-particle":"","family":"Milligan","given":"Tracey A.","non-dropping-particle":"","parse-names":false,"suffix":""},{"dropping-particle":"","family":"Kraakevik","given":"Jeff A.","non-dropping-particle":"","parse-names":false,"suffix":""},{"dropping-particle":"","family":"Ali","given":"Imran I.","non-dropping-particle":"","parse-names":false,"suffix":""}],"container-title":"Neurology","id":"ITEM-1","issue":"5","issued":{"date-parts":[["2014"]]},"page":"456-462","title":"A competency-based longitudinal core curriculum in medical neuroscience","type":"article-journal","volume":"83"},"uris":["http://www.mendeley.com/documents/?uuid=2c5ebd9c-5eb9-4078-8de4-533d00548caa","http://www.mendeley.com/documents/?uuid=2402a8a7-92ef-49e2-95b0-1cf288c368ed"]}],"mendeley":{"formattedCitation":"(Merlin &lt;i&gt;et al.&lt;/i&gt;, 2014)","plainTextFormattedCitation":"(Merlin et al., 2014)","previouslyFormattedCitation":"(Merlin et al. 2014)"},"properties":{"noteIndex":0},"schema":"https://github.com/citation-style-language/schema/raw/master/csl-citation.json"}</w:instrText>
      </w:r>
      <w:r w:rsidRPr="006F3B00">
        <w:rPr>
          <w:rFonts w:ascii="Times New Roman" w:eastAsia="Times New Roman" w:hAnsi="Times New Roman" w:cs="Times New Roman"/>
          <w:sz w:val="24"/>
          <w:szCs w:val="24"/>
          <w:shd w:val="clear" w:color="auto" w:fill="FFFFFF"/>
        </w:rPr>
        <w:fldChar w:fldCharType="separate"/>
      </w:r>
      <w:r w:rsidR="00BE3B6C" w:rsidRPr="00B65602">
        <w:rPr>
          <w:rFonts w:ascii="Times New Roman" w:eastAsia="Times New Roman" w:hAnsi="Times New Roman" w:cs="Times New Roman"/>
          <w:noProof/>
          <w:sz w:val="24"/>
          <w:szCs w:val="24"/>
          <w:shd w:val="clear" w:color="auto" w:fill="FFFFFF"/>
        </w:rPr>
        <w:t>(Merlin et al.</w:t>
      </w:r>
      <w:r w:rsidR="00BE3B6C" w:rsidRPr="00BE3B6C">
        <w:rPr>
          <w:rFonts w:ascii="Times New Roman" w:eastAsia="Times New Roman" w:hAnsi="Times New Roman" w:cs="Times New Roman"/>
          <w:noProof/>
          <w:sz w:val="24"/>
          <w:szCs w:val="24"/>
          <w:shd w:val="clear" w:color="auto" w:fill="FFFFFF"/>
        </w:rPr>
        <w:t xml:space="preserve"> 2014)</w:t>
      </w:r>
      <w:r w:rsidRPr="006F3B00">
        <w:rPr>
          <w:rFonts w:ascii="Times New Roman" w:eastAsia="Times New Roman" w:hAnsi="Times New Roman" w:cs="Times New Roman"/>
          <w:sz w:val="24"/>
          <w:szCs w:val="24"/>
          <w:shd w:val="clear" w:color="auto" w:fill="FFFFFF"/>
        </w:rPr>
        <w:fldChar w:fldCharType="end"/>
      </w:r>
      <w:r w:rsidRPr="006F3B00">
        <w:rPr>
          <w:rFonts w:ascii="Times New Roman" w:eastAsia="Times New Roman" w:hAnsi="Times New Roman" w:cs="Times New Roman"/>
          <w:sz w:val="24"/>
          <w:szCs w:val="24"/>
          <w:shd w:val="clear" w:color="auto" w:fill="FFFFFF"/>
        </w:rPr>
        <w:t xml:space="preserve">. Here, professionalism is considered a separate competency, distinct from the other competencies such as “communication” and “medical knowledge”. </w:t>
      </w:r>
      <w:r w:rsidRPr="006F3B00">
        <w:rPr>
          <w:rFonts w:ascii="Times New Roman" w:hAnsi="Times New Roman" w:cs="Times New Roman"/>
          <w:sz w:val="24"/>
          <w:szCs w:val="24"/>
        </w:rPr>
        <w:t xml:space="preserve">Confusion is </w:t>
      </w:r>
      <w:r w:rsidRPr="006F3B00">
        <w:rPr>
          <w:rFonts w:ascii="Times New Roman" w:hAnsi="Times New Roman" w:cs="Times New Roman"/>
          <w:sz w:val="24"/>
          <w:szCs w:val="24"/>
        </w:rPr>
        <w:lastRenderedPageBreak/>
        <w:t>compounded when the term “professional competence” is used, as this phrasing tends to incorporate aspect of competency and professionalism, such as</w:t>
      </w:r>
      <w:r w:rsidR="00B65602">
        <w:rPr>
          <w:rFonts w:ascii="Times New Roman" w:hAnsi="Times New Roman" w:cs="Times New Roman"/>
          <w:sz w:val="24"/>
          <w:szCs w:val="24"/>
        </w:rPr>
        <w:t>:</w:t>
      </w:r>
    </w:p>
    <w:p w14:paraId="17CD3BAD" w14:textId="098DA48C" w:rsidR="00B65602" w:rsidRPr="00B65602" w:rsidRDefault="00863DF5" w:rsidP="00B65602">
      <w:pPr>
        <w:spacing w:line="480" w:lineRule="auto"/>
        <w:ind w:left="720"/>
        <w:rPr>
          <w:rFonts w:ascii="Times New Roman" w:eastAsia="Times New Roman" w:hAnsi="Times New Roman" w:cs="Times New Roman"/>
          <w:iCs/>
          <w:sz w:val="24"/>
          <w:szCs w:val="24"/>
          <w:shd w:val="clear" w:color="auto" w:fill="FFFFFF"/>
        </w:rPr>
      </w:pPr>
      <w:r w:rsidRPr="00B65602">
        <w:rPr>
          <w:rFonts w:ascii="Times New Roman" w:eastAsia="Times New Roman" w:hAnsi="Times New Roman" w:cs="Times New Roman"/>
          <w:iCs/>
          <w:sz w:val="24"/>
          <w:szCs w:val="24"/>
          <w:shd w:val="clear" w:color="auto" w:fill="FFFFFF"/>
        </w:rPr>
        <w:t>Professional competence is the habitual and judicious use of communication, knowledge, technical skills, clinical reasoning, emotions, values, and reflection in daily practice for the benefit of the individual and community being served</w:t>
      </w:r>
      <w:r w:rsidR="00B65602" w:rsidRPr="00B65602">
        <w:rPr>
          <w:rFonts w:ascii="Times New Roman" w:eastAsia="Times New Roman" w:hAnsi="Times New Roman" w:cs="Times New Roman"/>
          <w:iCs/>
          <w:sz w:val="24"/>
          <w:szCs w:val="24"/>
          <w:shd w:val="clear" w:color="auto" w:fill="FFFFFF"/>
        </w:rPr>
        <w:t xml:space="preserve"> </w:t>
      </w:r>
      <w:r w:rsidRPr="00B65602">
        <w:rPr>
          <w:rFonts w:ascii="Times New Roman" w:eastAsia="Times New Roman" w:hAnsi="Times New Roman" w:cs="Times New Roman"/>
          <w:iCs/>
          <w:sz w:val="24"/>
          <w:szCs w:val="24"/>
          <w:shd w:val="clear" w:color="auto" w:fill="FFFFFF"/>
        </w:rPr>
        <w:fldChar w:fldCharType="begin" w:fldLock="1"/>
      </w:r>
      <w:r w:rsidR="00BE3B6C" w:rsidRPr="00B65602">
        <w:rPr>
          <w:rFonts w:ascii="Times New Roman" w:eastAsia="Times New Roman" w:hAnsi="Times New Roman" w:cs="Times New Roman"/>
          <w:iCs/>
          <w:sz w:val="24"/>
          <w:szCs w:val="24"/>
          <w:shd w:val="clear" w:color="auto" w:fill="FFFFFF"/>
        </w:rPr>
        <w:instrText>ADDIN CSL_CITATION {"citationItems":[{"id":"ITEM-1","itemData":{"DOI":"10.1001/jama.287.2.226","ISBN":"0098-7484 (Print)","ISSN":"0098-7484","PMID":"11779266","abstract":"Context Current assessment formats for physicians and trainees reliably test core knowl- edge and basic skills. However, they may underemphasize some important domains of professional medical practice, including interpersonal skills, lifelong learning, pro- fessionalism, and integration of core knowledge into clinical practice. Objectives To propose a definition of professional competence, to review current means for assessing it, and to suggest new approaches to assessment. Data Sources We searched the MEDLINE database from 1966 to 2001 and refer- ence lists of relevant articles for English-language studies of reliability or validity of measures of competence of physicians, medical students, and residents. Study Selection We excluded articles of a purely descriptive nature, duplicate re- ports, reviews, and opinions and position statements, which yielded 195 relevant ci- tations. Data Extraction Data were abstracted by 1 of us (R.M.E.). Quality criteria for in- clusion were broad, given the heterogeneity of interventions, complexity of outcome measures, and paucity of randomized or longitudinal study designs. Data Synthesis We generated an inclusive definition of competence: the habitual and judicious use of communication, knowledge, technical skills, clinical reasoning, emo- tions, values, and reflection in daily practice for the benefit of the individual and the community being served. Aside from protecting the public and limiting access to ad- vanced training, assessments should foster habits of learning and self-reflection and drive institutional change. Subjective, multiple-choice, and standardized patient as- sessments, although reliable, underemphasize important domains of professional com- petence: integration of knowledge and skills, context of care, information manage- ment, teamwork, health systems, and patient-physician relationships. Few assessments observe trainees in real-life situations, incorporate the perspectives of peers and pa- tients, or use measures that predict clinical outcomes. Conclusions In addition to assessments of basic skills, new formats that assess clini- cal reasoning, expert judgment, management of ambiguity, professionalism, time man- agement, learning strategies, and teamwork promise a multidimensional assessment while maintaining adequate reliability and validity. Institutional support, reflection, and mentoring must accompany the development of assessment programs.","author":[{"dropping-particle":"","family":"Epstein","given":"Ronald M","non-dropping-particle":"","parse-names":false,"suffix":""},{"dropping-particle":"","family":"Hundert","given":"Edward M","non-dropping-particle":"","parse-names":false,"suffix":""}],"container-title":"JAMA : the journal of the American Medical Association","id":"ITEM-1","issue":"2","issued":{"date-parts":[["2002"]]},"page":"226-235","title":"Defining and assessing professional competence","type":"article-journal","volume":"287"},"uris":["http://www.mendeley.com/documents/?uuid=693dadfb-d6e5-4adb-884e-ef0bad7dbf60"]}],"mendeley":{"formattedCitation":"(Epstein and Hundert, 2002)","plainTextFormattedCitation":"(Epstein and Hundert, 2002)","previouslyFormattedCitation":"(Epstein and Hundert 2002)"},"properties":{"noteIndex":0},"schema":"https://github.com/citation-style-language/schema/raw/master/csl-citation.json"}</w:instrText>
      </w:r>
      <w:r w:rsidRPr="00B65602">
        <w:rPr>
          <w:rFonts w:ascii="Times New Roman" w:eastAsia="Times New Roman" w:hAnsi="Times New Roman" w:cs="Times New Roman"/>
          <w:iCs/>
          <w:sz w:val="24"/>
          <w:szCs w:val="24"/>
          <w:shd w:val="clear" w:color="auto" w:fill="FFFFFF"/>
        </w:rPr>
        <w:fldChar w:fldCharType="separate"/>
      </w:r>
      <w:r w:rsidR="00B65602" w:rsidRPr="00B65602">
        <w:rPr>
          <w:rFonts w:ascii="Times New Roman" w:eastAsia="Times New Roman" w:hAnsi="Times New Roman" w:cs="Times New Roman"/>
          <w:iCs/>
          <w:noProof/>
          <w:sz w:val="24"/>
          <w:szCs w:val="24"/>
          <w:shd w:val="clear" w:color="auto" w:fill="FFFFFF"/>
        </w:rPr>
        <w:t>(Epstein and Hundert</w:t>
      </w:r>
      <w:r w:rsidR="00BE3B6C" w:rsidRPr="00B65602">
        <w:rPr>
          <w:rFonts w:ascii="Times New Roman" w:eastAsia="Times New Roman" w:hAnsi="Times New Roman" w:cs="Times New Roman"/>
          <w:iCs/>
          <w:noProof/>
          <w:sz w:val="24"/>
          <w:szCs w:val="24"/>
          <w:shd w:val="clear" w:color="auto" w:fill="FFFFFF"/>
        </w:rPr>
        <w:t xml:space="preserve"> 2002</w:t>
      </w:r>
      <w:r w:rsidR="00B65602" w:rsidRPr="00B65602">
        <w:rPr>
          <w:rFonts w:ascii="Times New Roman" w:eastAsia="Times New Roman" w:hAnsi="Times New Roman" w:cs="Times New Roman"/>
          <w:iCs/>
          <w:noProof/>
          <w:sz w:val="24"/>
          <w:szCs w:val="24"/>
          <w:shd w:val="clear" w:color="auto" w:fill="FFFFFF"/>
        </w:rPr>
        <w:t>, p. 226</w:t>
      </w:r>
      <w:r w:rsidR="00BE3B6C" w:rsidRPr="00B65602">
        <w:rPr>
          <w:rFonts w:ascii="Times New Roman" w:eastAsia="Times New Roman" w:hAnsi="Times New Roman" w:cs="Times New Roman"/>
          <w:iCs/>
          <w:noProof/>
          <w:sz w:val="24"/>
          <w:szCs w:val="24"/>
          <w:shd w:val="clear" w:color="auto" w:fill="FFFFFF"/>
        </w:rPr>
        <w:t>)</w:t>
      </w:r>
      <w:r w:rsidRPr="00B65602">
        <w:rPr>
          <w:rFonts w:ascii="Times New Roman" w:eastAsia="Times New Roman" w:hAnsi="Times New Roman" w:cs="Times New Roman"/>
          <w:iCs/>
          <w:sz w:val="24"/>
          <w:szCs w:val="24"/>
          <w:shd w:val="clear" w:color="auto" w:fill="FFFFFF"/>
        </w:rPr>
        <w:fldChar w:fldCharType="end"/>
      </w:r>
      <w:r w:rsidRPr="00B65602">
        <w:rPr>
          <w:rFonts w:ascii="Times New Roman" w:eastAsia="Times New Roman" w:hAnsi="Times New Roman" w:cs="Times New Roman"/>
          <w:iCs/>
          <w:sz w:val="24"/>
          <w:szCs w:val="24"/>
          <w:shd w:val="clear" w:color="auto" w:fill="FFFFFF"/>
        </w:rPr>
        <w:t>.</w:t>
      </w:r>
    </w:p>
    <w:p w14:paraId="6A1A3D2C" w14:textId="37F63526" w:rsidR="00863DF5" w:rsidRPr="006F3B00" w:rsidRDefault="00863DF5" w:rsidP="00B65602">
      <w:pPr>
        <w:spacing w:line="480" w:lineRule="auto"/>
        <w:rPr>
          <w:rFonts w:ascii="Times New Roman" w:hAnsi="Times New Roman" w:cs="Times New Roman"/>
          <w:sz w:val="24"/>
          <w:szCs w:val="24"/>
        </w:rPr>
      </w:pPr>
      <w:r w:rsidRPr="006F3B00">
        <w:rPr>
          <w:rFonts w:ascii="Times New Roman" w:eastAsia="Times New Roman" w:hAnsi="Times New Roman" w:cs="Times New Roman"/>
          <w:iCs/>
          <w:sz w:val="24"/>
          <w:szCs w:val="24"/>
          <w:shd w:val="clear" w:color="auto" w:fill="FFFFFF"/>
        </w:rPr>
        <w:t xml:space="preserve"> </w:t>
      </w:r>
      <w:r w:rsidRPr="006F3B00">
        <w:rPr>
          <w:rFonts w:ascii="Times New Roman" w:hAnsi="Times New Roman" w:cs="Times New Roman"/>
          <w:sz w:val="24"/>
          <w:szCs w:val="24"/>
        </w:rPr>
        <w:t>Given the complex nature of professionalism it is not surprising that it was sometimes difficult to understand when participant’s comments related to professionalism or another theme such as reflection. Indeed, professionalism has been described as a second-order competence and is manifested in all that we do and say</w:t>
      </w:r>
      <w:r w:rsidR="005C18A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{"citationItems":[{"id":"ITEM-1","itemData":{"DOI":"10.1038/sj.bdj.2013.1048","ISBN":"1476-5373 (Electronic)\\r0007-0610 (Linking)","ISSN":"17417503","PMID":"24201649","abstract":"OBJECTIVES: Professionalism is an essential competence for dental professionals. Dental educators require both a clear definition and an understanding of the scope of professionalism in order to teach and assess it. The aim of this study was to identify concepts of professionalism in dentistry and the themes within this construct.\\n\\nMETHOD: Semi-structured interviews with participants purposively sampled to ensure representation of relevant viewpoints. Qualitative framework analysis was used to induct themes.\\n\\nRESULTS: Four themes arose from the data: (i) professionalism as a second order competence, (ii) the expression of professionalism as dependent on context, (iii) reflection as a necessary component and (iv) professionalism encompasses both tacit and overt personal aspects. These results were then incorporated into a conceptual model of dental professionalism.\\n\\nCONCLUSIONS: Analysis of the interview data reveals that participants conceptualise professionalism as the manner in which one reflects on and reconciles different aspects of professional practice, which demonstrates acceptance of professional responsibility and accountability. It is manifested in the manner in which work is carried out. The definition and model conceptualise the construct of professionalism within dentistry that can be used to derive an educational and assessment system.","author":[{"dropping-particle":"","family":"Zijlstra-Shaw","given":"Sandra","non-dropping-particle":"","parse-names":false,"suffix":""},{"dropping-particle":"","family":"Roberts","given":"T. E.","non-dropping-particle":"","parse-names":false,"suffix":""},{"dropping-particle":"","family":"Robinson","given":"P. G.","non-dropping-particle":"","parse-names":false,"suffix":""}],"container-title":"British Dental Journal","id":"ITEM-1","issue":"9","issued":{"date-parts":[["2013"]]},"page":"E18-E18","title":"Perceptions of professionalism in dentistry -a qualitative study","type":"article-journal","volume":"215"},"uris":["http://www.mendeley.com/documents/?uuid=1d2ac73f-1ecc-4d7f-866b-e31aaad78547"]}],"mendeley":{"formattedCitation":"(Zijlstra-Shaw, Roberts and Robinson, 2013)","plainTextFormattedCitation":"(Zijlstra-Shaw, Roberts and Robinson, 2013)","previouslyFormattedCitation":"(Sandra Zijlstra-Shaw, Roberts, and Robinson 2013)"},"properties":{"noteIndex":0},"schema":"https://github.com/citation-style-language/schema/raw/master/csl-citation.json"}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(Zijl</w:t>
      </w:r>
      <w:r w:rsidR="00B65602">
        <w:rPr>
          <w:rFonts w:ascii="Times New Roman" w:hAnsi="Times New Roman" w:cs="Times New Roman"/>
          <w:noProof/>
          <w:sz w:val="24"/>
          <w:szCs w:val="24"/>
        </w:rPr>
        <w:t>stra-Shaw, Roberts and Robinson</w:t>
      </w:r>
      <w:r w:rsidR="00BE3B6C" w:rsidRPr="00BE3B6C">
        <w:rPr>
          <w:rFonts w:ascii="Times New Roman" w:hAnsi="Times New Roman" w:cs="Times New Roman"/>
          <w:noProof/>
          <w:sz w:val="24"/>
          <w:szCs w:val="24"/>
        </w:rPr>
        <w:t xml:space="preserve"> 2013)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Nonetheless, aspects of professionalism were certainly part of diagnostic competence, similar to other studies that have examined competence in medical education</w:t>
      </w:r>
      <w:r w:rsidR="005C18A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{"citationItems":[{"id":"ITEM-1","itemData":{"DOI":"10.1001/jama.287.2.226","ISBN":"0098-7484 (Print)","ISSN":"0098-7484","PMID":"11779266","abstract":"Context Current assessment formats for physicians and trainees reliably test core knowl- edge and basic skills. However, they may underemphasize some important domains of professional medical practice, including interpersonal skills, lifelong learning, pro- fessionalism, and integration of core knowledge into clinical practice. Objectives To propose a definition of professional competence, to review current means for assessing it, and to suggest new approaches to assessment. Data Sources We searched the MEDLINE database from 1966 to 2001 and refer- ence lists of relevant articles for English-language studies of reliability or validity of measures of competence of physicians, medical students, and residents. Study Selection We excluded articles of a purely descriptive nature, duplicate re- ports, reviews, and opinions and position statements, which yielded 195 relevant ci- tations. Data Extraction Data were abstracted by 1 of us (R.M.E.). Quality criteria for in- clusion were broad, given the heterogeneity of interventions, complexity of outcome measures, and paucity of randomized or longitudinal study designs. Data Synthesis We generated an inclusive definition of competence: the habitual and judicious use of communication, knowledge, technical skills, clinical reasoning, emo- tions, values, and reflection in daily practice for the benefit of the individual and the community being served. Aside from protecting the public and limiting access to ad- vanced training, assessments should foster habits of learning and self-reflection and drive institutional change. Subjective, multiple-choice, and standardized patient as- sessments, although reliable, underemphasize important domains of professional com- petence: integration of knowledge and skills, context of care, information manage- ment, teamwork, health systems, and patient-physician relationships. Few assessments observe trainees in real-life situations, incorporate the perspectives of peers and pa- tients, or use measures that predict clinical outcomes. Conclusions In addition to assessments of basic skills, new formats that assess clini- cal reasoning, expert judgment, management of ambiguity, professionalism, time man- agement, learning strategies, and teamwork promise a multidimensional assessment while maintaining adequate reliability and validity. Institutional support, reflection, and mentoring must accompany the development of assessment programs.","author":[{"dropping-particle":"","family":"Epstein","given":"Ronald M","non-dropping-particle":"","parse-names":false,"suffix":""},{"dropping-particle":"","family":"Hundert","given":"Edward M","non-dropping-particle":"","parse-names":false,"suffix":""}],"container-title":"JAMA : the journal of the American Medical Association","id":"ITEM-1","issue":"2","issued":{"date-parts":[["2002"]]},"page":"226-235","title":"Defining and assessing professional competence","type":"article-journal","volume":"287"},"uris":["http://www.mendeley.com/documents/?uuid=693dadfb-d6e5-4adb-884e-ef0bad7dbf60"]},{"id":"ITEM-2","itemData":{"DOI":"10.1111/j.1743-498X.2012.00539.x","ISBN":"1743-498X","ISSN":"17434971","PMID":"22405358","abstract":"BACKGROUND: In this article some definitions of competency and professionalism will be discussed, and an overview of existing methods that assess competency and professionalism in anaesthesia resident doctors (residents) is provided. In addition, we will discuss how progression to professionalism, education in anaesthesiology and other medical specialties may be improved using the adult skill acquisition model. The goal of this paper is to refine the definitions of professionalism and competency, and to propose a new approach to medical education. CONTEXT: The terms professionalism and competency are both used in the context of education, sometimes interchangeably, adding to the confusion surrounding their definitions and application. Competency, from our point of view, is the ability to perform a certain task required for a work situation. Professionalism includes competencies in addition to the specific behaviours required to successfully perform in a certain specialty. Areas in which progress in medical education may be achieved include: resident selection; teaching and testing of programs (e-education); better use of simulation for skills assessment; and teaching and assessment of non-technical skills during residency. Medical schools and teaching hospitals should work continuously on creating and maintaining a high level of professional culture. IMPLICATIONS: Medical knowledge, manual skills and non-technical skills should be used for the assessment of professionalism in medical specialties. The necessity to improve on the quality of medical care calls for changes in medical education.","author":[{"dropping-particle":"","family":"Matveevskii","given":"Alexander","non-dropping-particle":"","parse-names":false,"suffix":""},{"dropping-particle":"","family":"Moore","given":"David L.","non-dropping-particle":"","parse-names":false,"suffix":""},{"dropping-particle":"","family":"Samuels","given":"Paul J.","non-dropping-particle":"","parse-names":false,"suffix":""}],"container-title":"Clinical Teacher","id":"ITEM-2","issue":"2","issued":{"date-parts":[["2012"]]},"page":"75-79","title":"Competency and professionalism in medicine","type":"article-journal","volume":"9"},"uris":["http://www.mendeley.com/documents/?uuid=9cc60e55-410e-4d8a-b613-f92bc3abad1a"]},{"id":"ITEM-3","itemData":{"DOI":"10.3109/0142159X.2010.501190","ISBN":"1466-187X (Electronic)\\r0142-159X (Linking)","ISSN":"0142-159X","PMID":"20662574","abstract":"Although competency-based medical education (CBME) has attracted renewed interest in recent years among educators and policy-makers in the health care professions, there is little agreement on many aspects of this paradigm. We convened a unique partnership - the International CBME Collaborators - to examine conceptual issues and current debates in CBME. We engaged in a multi-stage group process and held a consensus conference with the aim of reviewing the scholarly literature of competency-based medical education, identifying controversies in need of clarification, proposing definitions and concepts that could be useful to educators across many jurisdictions, and exploring future directions for this approach to preparing health professionals. In this paper, we describe the evolution of CBME from the outcomes movement in the 20th century to a renewed approach that, focused on accountability and curricular outcomes and organized around competencies, promotes greater learner-centredness and de-emphasizes time-based curricular design. In this paradigm, competence and related terms are redefined to emphasize their multi-dimensional, dynamic, developmental, and contextual nature. CBME therefore has significant implications for the planning of medical curricula and will have an important impact in reshaping the enterprise of medical education. We elaborate on this emerging CBME approach and its related concepts, and invite medical educators everywhere to enter into further dialogue about the promise and the potential perils of competency-based medical curricula for the 21st century.","author":[{"dropping-particle":"","family":"Frank","given":"JR","non-dropping-particle":"","parse-names":false,"suffix":""},{"dropping-particle":"","family":"Snell","given":"LS","non-dropping-particle":"","parse-names":false,"suffix":""},{"dropping-particle":"","family":"Cate","given":"OT","non-dropping-particle":"","parse-names":false,"suffix":""},{"dropping-particle":"","family":"Holmboe","given":"ES","non-dropping-particle":"","parse-names":false,"suffix":""},{"dropping-particle":"","family":"Carraccio","given":"C","non-dropping-particle":"","parse-names":false,"suffix":""},{"dropping-particle":"","family":"Swing","given":"SR","non-dropping-particle":"","parse-names":false,"suffix":""},{"dropping-particle":"","family":"Harris","given":"P","non-dropping-particle":"","parse-names":false,"suffix":""},{"dropping-particle":"","family":"Glasgow","given":"NJ","non-dropping-particle":"","parse-names":false,"suffix":""},{"dropping-particle":"","family":"Campbell","given":"C","non-dropping-particle":"","parse-names":false,"suffix":""},{"dropping-particle":"","family":"Dath","given":"D","non-dropping-particle":"","parse-names":false,"suffix":""},{"dropping-particle":"","family":"Harden","given":"RM","non-dropping-particle":"","parse-names":false,"suffix":""},{"dropping-particle":"","family":"Iobst","given":"W","non-dropping-particle":"","parse-names":false,"suffix":""},{"dropping-particle":"","family":"Long","given":"DM","non-dropping-particle":"","parse-names":false,"suffix":""},{"dropping-particle":"","family":"Mungroo","given":"R","non-dropping-particle":"","parse-names":false,"suffix":""},{"dropping-particle":"","family":"Richardson","given":"DL","non-dropping-particle":"","parse-names":false,"suffix":""},{"dropping-particle":"","family":"Sherbino","given":"J","non-dropping-particle":"","parse-names":false,"suffix":""},{"dropping-particle":"","family":"Silver","given":"I","non-dropping-particle":"","parse-names":false,"suffix":""},{"dropping-particle":"","family":"Taber","given":"S","non-dropping-particle":"","parse-names":false,"suffix":""},{"dropping-particle":"","family":"Talbot","given":"M","non-dropping-particle":"","parse-names":false,"suffix":""},{"dropping-particle":"","family":"Harris","given":"KA","non-dropping-particle":"","parse-names":false,"suffix":""}],"container-title":"Medical teacher","id":"ITEM-3","issue":"8","issued":{"date-parts":[["2010"]]},"page":"638-45","title":"Competency-based medical education: theory to practice","type":"article-journal","volume":"32"},"uris":["http://www.mendeley.com/documents/?uuid=e038a1e5-7dc8-4ebc-9691-bee9535c79de"]}],"mendeley":{"formattedCitation":"(Epstein and Hundert, 2002; J. Frank &lt;i&gt;et al.&lt;/i&gt;, 2010; Matveevskii, Moore and Samuels, 2012)","plainTextFormattedCitation":"(Epstein and Hundert, 2002; J. Frank et al., 2010; Matveevskii, Moore and Samuels, 2012)","previouslyFormattedCitation":"(Epstein and Hundert 2002; Matveevskii, Moore, and Samuels 2012; J. Frank et al. 2010)"},"properties":{"noteIndex":0},"schema":"https://github.com/citation-style-language/schema/raw/master/csl-citation.json"}</w:instrText>
      </w:r>
      <w:r w:rsidRPr="006F3B00">
        <w:rPr>
          <w:rFonts w:ascii="Times New Roman" w:hAnsi="Times New Roman" w:cs="Times New Roman"/>
          <w:sz w:val="24"/>
          <w:szCs w:val="24"/>
        </w:rPr>
        <w:fldChar w:fldCharType="separate"/>
      </w:r>
      <w:r w:rsidR="00B65602">
        <w:rPr>
          <w:rFonts w:ascii="Times New Roman" w:hAnsi="Times New Roman" w:cs="Times New Roman"/>
          <w:noProof/>
          <w:sz w:val="24"/>
          <w:szCs w:val="24"/>
        </w:rPr>
        <w:t xml:space="preserve">(Epstein and Hundert 2002; </w:t>
      </w:r>
      <w:r w:rsidR="00BE3B6C" w:rsidRPr="00BE3B6C">
        <w:rPr>
          <w:rFonts w:ascii="Times New Roman" w:hAnsi="Times New Roman" w:cs="Times New Roman"/>
          <w:noProof/>
          <w:sz w:val="24"/>
          <w:szCs w:val="24"/>
        </w:rPr>
        <w:t xml:space="preserve">Frank </w:t>
      </w:r>
      <w:r w:rsidR="00BE3B6C" w:rsidRPr="00BE3B6C">
        <w:rPr>
          <w:rFonts w:ascii="Times New Roman" w:hAnsi="Times New Roman" w:cs="Times New Roman"/>
          <w:i/>
          <w:noProof/>
          <w:sz w:val="24"/>
          <w:szCs w:val="24"/>
        </w:rPr>
        <w:t>et al.</w:t>
      </w:r>
      <w:r w:rsidR="00BE3B6C" w:rsidRPr="00BE3B6C">
        <w:rPr>
          <w:rFonts w:ascii="Times New Roman" w:hAnsi="Times New Roman" w:cs="Times New Roman"/>
          <w:noProof/>
          <w:sz w:val="24"/>
          <w:szCs w:val="24"/>
        </w:rPr>
        <w:t xml:space="preserve"> 2010</w:t>
      </w:r>
      <w:r w:rsidR="00B65602">
        <w:rPr>
          <w:rFonts w:ascii="Times New Roman" w:hAnsi="Times New Roman" w:cs="Times New Roman"/>
          <w:noProof/>
          <w:sz w:val="24"/>
          <w:szCs w:val="24"/>
        </w:rPr>
        <w:t>b</w:t>
      </w:r>
      <w:r w:rsidR="00BE3B6C" w:rsidRPr="00BE3B6C">
        <w:rPr>
          <w:rFonts w:ascii="Times New Roman" w:hAnsi="Times New Roman" w:cs="Times New Roman"/>
          <w:noProof/>
          <w:sz w:val="24"/>
          <w:szCs w:val="24"/>
        </w:rPr>
        <w:t xml:space="preserve">; Matveevskii, Moore and </w:t>
      </w:r>
      <w:r w:rsidR="00B65602">
        <w:rPr>
          <w:rFonts w:ascii="Times New Roman" w:hAnsi="Times New Roman" w:cs="Times New Roman"/>
          <w:noProof/>
          <w:sz w:val="24"/>
          <w:szCs w:val="24"/>
        </w:rPr>
        <w:t>Samuels</w:t>
      </w:r>
      <w:r w:rsidR="00BE3B6C" w:rsidRPr="00BE3B6C">
        <w:rPr>
          <w:rFonts w:ascii="Times New Roman" w:hAnsi="Times New Roman" w:cs="Times New Roman"/>
          <w:noProof/>
          <w:sz w:val="24"/>
          <w:szCs w:val="24"/>
        </w:rPr>
        <w:t xml:space="preserve"> 2012)</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From an interpretative point of view, analysis of the data showed that participants appeared to segregate professionalism from other aspects of competency. For instance,</w:t>
      </w:r>
      <w:r w:rsidR="005C18AD">
        <w:rPr>
          <w:rFonts w:ascii="Times New Roman" w:hAnsi="Times New Roman" w:cs="Times New Roman"/>
          <w:sz w:val="24"/>
          <w:szCs w:val="24"/>
        </w:rPr>
        <w:t xml:space="preserve"> the </w:t>
      </w:r>
      <w:r w:rsidRPr="006F3B00">
        <w:rPr>
          <w:rFonts w:ascii="Times New Roman" w:hAnsi="Times New Roman" w:cs="Times New Roman"/>
          <w:sz w:val="24"/>
          <w:szCs w:val="24"/>
        </w:rPr>
        <w:t xml:space="preserve">theme such as </w:t>
      </w:r>
      <w:r w:rsidR="005C18AD">
        <w:rPr>
          <w:rFonts w:ascii="Times New Roman" w:hAnsi="Times New Roman" w:cs="Times New Roman"/>
          <w:sz w:val="24"/>
          <w:szCs w:val="24"/>
        </w:rPr>
        <w:t>‘</w:t>
      </w:r>
      <w:r w:rsidRPr="006F3B00">
        <w:rPr>
          <w:rFonts w:ascii="Times New Roman" w:hAnsi="Times New Roman" w:cs="Times New Roman"/>
          <w:sz w:val="24"/>
          <w:szCs w:val="24"/>
        </w:rPr>
        <w:t>reflection</w:t>
      </w:r>
      <w:r w:rsidR="005C18AD">
        <w:rPr>
          <w:rFonts w:ascii="Times New Roman" w:hAnsi="Times New Roman" w:cs="Times New Roman"/>
          <w:sz w:val="24"/>
          <w:szCs w:val="24"/>
        </w:rPr>
        <w:t>’</w:t>
      </w:r>
      <w:r w:rsidRPr="006F3B00">
        <w:rPr>
          <w:rFonts w:ascii="Times New Roman" w:hAnsi="Times New Roman" w:cs="Times New Roman"/>
          <w:sz w:val="24"/>
          <w:szCs w:val="24"/>
        </w:rPr>
        <w:t xml:space="preserve"> embodied enough complex ideas and richness to stand-alone as </w:t>
      </w:r>
      <w:r w:rsidR="005C18AD">
        <w:rPr>
          <w:rFonts w:ascii="Times New Roman" w:hAnsi="Times New Roman" w:cs="Times New Roman"/>
          <w:sz w:val="24"/>
          <w:szCs w:val="24"/>
        </w:rPr>
        <w:t xml:space="preserve">a </w:t>
      </w:r>
      <w:r w:rsidRPr="006F3B00">
        <w:rPr>
          <w:rFonts w:ascii="Times New Roman" w:hAnsi="Times New Roman" w:cs="Times New Roman"/>
          <w:sz w:val="24"/>
          <w:szCs w:val="24"/>
        </w:rPr>
        <w:t xml:space="preserve">separate theme. This is similarly true for the themes of </w:t>
      </w:r>
      <w:r w:rsidR="005C18AD">
        <w:rPr>
          <w:rFonts w:ascii="Times New Roman" w:hAnsi="Times New Roman" w:cs="Times New Roman"/>
          <w:sz w:val="24"/>
          <w:szCs w:val="24"/>
        </w:rPr>
        <w:t>‘</w:t>
      </w:r>
      <w:r w:rsidRPr="006F3B00">
        <w:rPr>
          <w:rFonts w:ascii="Times New Roman" w:hAnsi="Times New Roman" w:cs="Times New Roman"/>
          <w:sz w:val="24"/>
          <w:szCs w:val="24"/>
        </w:rPr>
        <w:t>the process</w:t>
      </w:r>
      <w:r w:rsidR="005C18AD">
        <w:rPr>
          <w:rFonts w:ascii="Times New Roman" w:hAnsi="Times New Roman" w:cs="Times New Roman"/>
          <w:sz w:val="24"/>
          <w:szCs w:val="24"/>
        </w:rPr>
        <w:t>’</w:t>
      </w:r>
      <w:r w:rsidRPr="006F3B00">
        <w:rPr>
          <w:rFonts w:ascii="Times New Roman" w:hAnsi="Times New Roman" w:cs="Times New Roman"/>
          <w:sz w:val="24"/>
          <w:szCs w:val="24"/>
        </w:rPr>
        <w:t xml:space="preserve">, </w:t>
      </w:r>
      <w:r w:rsidR="005C18AD">
        <w:rPr>
          <w:rFonts w:ascii="Times New Roman" w:hAnsi="Times New Roman" w:cs="Times New Roman"/>
          <w:sz w:val="24"/>
          <w:szCs w:val="24"/>
        </w:rPr>
        <w:t>‘</w:t>
      </w:r>
      <w:r w:rsidRPr="006F3B00">
        <w:rPr>
          <w:rFonts w:ascii="Times New Roman" w:hAnsi="Times New Roman" w:cs="Times New Roman"/>
          <w:sz w:val="24"/>
          <w:szCs w:val="24"/>
        </w:rPr>
        <w:t>the patient</w:t>
      </w:r>
      <w:r w:rsidR="005C18AD">
        <w:rPr>
          <w:rFonts w:ascii="Times New Roman" w:hAnsi="Times New Roman" w:cs="Times New Roman"/>
          <w:sz w:val="24"/>
          <w:szCs w:val="24"/>
        </w:rPr>
        <w:t>’</w:t>
      </w:r>
      <w:r w:rsidRPr="006F3B00">
        <w:rPr>
          <w:rFonts w:ascii="Times New Roman" w:hAnsi="Times New Roman" w:cs="Times New Roman"/>
          <w:sz w:val="24"/>
          <w:szCs w:val="24"/>
        </w:rPr>
        <w:t xml:space="preserve"> and </w:t>
      </w:r>
      <w:r w:rsidR="005C18AD">
        <w:rPr>
          <w:rFonts w:ascii="Times New Roman" w:hAnsi="Times New Roman" w:cs="Times New Roman"/>
          <w:sz w:val="24"/>
          <w:szCs w:val="24"/>
        </w:rPr>
        <w:t>‘</w:t>
      </w:r>
      <w:r w:rsidRPr="006F3B00">
        <w:rPr>
          <w:rFonts w:ascii="Times New Roman" w:hAnsi="Times New Roman" w:cs="Times New Roman"/>
          <w:sz w:val="24"/>
          <w:szCs w:val="24"/>
        </w:rPr>
        <w:t>trust</w:t>
      </w:r>
      <w:r w:rsidR="005C18AD">
        <w:rPr>
          <w:rFonts w:ascii="Times New Roman" w:hAnsi="Times New Roman" w:cs="Times New Roman"/>
          <w:sz w:val="24"/>
          <w:szCs w:val="24"/>
        </w:rPr>
        <w:t>’</w:t>
      </w:r>
      <w:r w:rsidRPr="006F3B00">
        <w:rPr>
          <w:rFonts w:ascii="Times New Roman" w:hAnsi="Times New Roman" w:cs="Times New Roman"/>
          <w:sz w:val="24"/>
          <w:szCs w:val="24"/>
        </w:rPr>
        <w:t xml:space="preserve">, which contained links to professionalism but had their own </w:t>
      </w:r>
      <w:r w:rsidR="005C18AD">
        <w:rPr>
          <w:rFonts w:ascii="Times New Roman" w:hAnsi="Times New Roman" w:cs="Times New Roman"/>
          <w:sz w:val="24"/>
          <w:szCs w:val="24"/>
        </w:rPr>
        <w:t>‘</w:t>
      </w:r>
      <w:r w:rsidRPr="006F3B00">
        <w:rPr>
          <w:rFonts w:ascii="Times New Roman" w:hAnsi="Times New Roman" w:cs="Times New Roman"/>
          <w:sz w:val="24"/>
          <w:szCs w:val="24"/>
        </w:rPr>
        <w:t>keyness</w:t>
      </w:r>
      <w:r w:rsidR="005C18AD">
        <w:rPr>
          <w:rFonts w:ascii="Times New Roman" w:hAnsi="Times New Roman" w:cs="Times New Roman"/>
          <w:sz w:val="24"/>
          <w:szCs w:val="24"/>
        </w:rPr>
        <w:t>’</w:t>
      </w:r>
      <w:r w:rsidRPr="006F3B00">
        <w:rPr>
          <w:rFonts w:ascii="Times New Roman" w:hAnsi="Times New Roman" w:cs="Times New Roman"/>
          <w:sz w:val="24"/>
          <w:szCs w:val="24"/>
        </w:rPr>
        <w:t xml:space="preserve"> to warrant a framework displaying these as separate themes. </w:t>
      </w:r>
    </w:p>
    <w:p w14:paraId="0BA9AC6F" w14:textId="3F9662B8"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Those cues that did cluster under professionalism included timeliness and organisation that </w:t>
      </w:r>
      <w:r w:rsidR="005C18AD">
        <w:rPr>
          <w:rFonts w:ascii="Times New Roman" w:hAnsi="Times New Roman" w:cs="Times New Roman"/>
          <w:sz w:val="24"/>
          <w:szCs w:val="24"/>
        </w:rPr>
        <w:t xml:space="preserve">may be </w:t>
      </w:r>
      <w:r w:rsidRPr="006F3B00">
        <w:rPr>
          <w:rFonts w:ascii="Times New Roman" w:hAnsi="Times New Roman" w:cs="Times New Roman"/>
          <w:sz w:val="24"/>
          <w:szCs w:val="24"/>
        </w:rPr>
        <w:t xml:space="preserve">  symptoms of other professional attributes described in the literature such as accountability, working with others and excellence</w:t>
      </w:r>
      <w:r w:rsidR="005C18A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 xml:space="preserve">ADDIN CSL_CITATION {"citationItems":[{"id":"ITEM-1","itemData":{"DOI":"10.1117/12.889178","abstract":"About this document This document sets out the standards of conduct, performance and ethics that govern you as a dental professional. It specifies the principles, standards and guidance which apply to all members of the dental team which includes: It also sets out what patients expect from their dental professionals. Principles: The core ethical principles of practice Patient expectations: What patients can expect from the dental team Standards: What registrants must do to ensure patient expectations are met Guidance: How registrants meet the standards There are nine principles registered dental professionals must keep to at all times. As a GDC registrant you must: </w:instrText>
      </w:r>
      <w:r w:rsidR="00BE3B6C">
        <w:rPr>
          <w:rFonts w:ascii="Times New Roman" w:hAnsi="Times New Roman" w:cs="Times New Roman"/>
          <w:sz w:val="24"/>
          <w:szCs w:val="24"/>
        </w:rPr>
        <w:instrText xml:space="preserve"> Put patients' interests first </w:instrText>
      </w:r>
      <w:r w:rsidR="00BE3B6C">
        <w:rPr>
          <w:rFonts w:ascii="Times New Roman" w:hAnsi="Times New Roman" w:cs="Times New Roman"/>
          <w:sz w:val="24"/>
          <w:szCs w:val="24"/>
        </w:rPr>
        <w:instrText xml:space="preserve"> Communicate effectively with patients </w:instrText>
      </w:r>
      <w:r w:rsidR="00BE3B6C">
        <w:rPr>
          <w:rFonts w:ascii="Times New Roman" w:hAnsi="Times New Roman" w:cs="Times New Roman"/>
          <w:sz w:val="24"/>
          <w:szCs w:val="24"/>
        </w:rPr>
        <w:instrText xml:space="preserve"> Obtain valid consent </w:instrText>
      </w:r>
      <w:r w:rsidR="00BE3B6C">
        <w:rPr>
          <w:rFonts w:ascii="Times New Roman" w:hAnsi="Times New Roman" w:cs="Times New Roman"/>
          <w:sz w:val="24"/>
          <w:szCs w:val="24"/>
        </w:rPr>
        <w:instrText xml:space="preserve"> Maintain and protect patients' information </w:instrText>
      </w:r>
      <w:r w:rsidR="00BE3B6C">
        <w:rPr>
          <w:rFonts w:ascii="Times New Roman" w:hAnsi="Times New Roman" w:cs="Times New Roman"/>
          <w:sz w:val="24"/>
          <w:szCs w:val="24"/>
        </w:rPr>
        <w:instrText xml:space="preserve"> Have a clear and effective complaints procedure </w:instrText>
      </w:r>
      <w:r w:rsidR="00BE3B6C">
        <w:rPr>
          <w:rFonts w:ascii="Times New Roman" w:hAnsi="Times New Roman" w:cs="Times New Roman"/>
          <w:sz w:val="24"/>
          <w:szCs w:val="24"/>
        </w:rPr>
        <w:instrText xml:space="preserve"> Work with colleagues in a way that is in patients' best interests </w:instrText>
      </w:r>
      <w:r w:rsidR="00BE3B6C">
        <w:rPr>
          <w:rFonts w:ascii="Times New Roman" w:hAnsi="Times New Roman" w:cs="Times New Roman"/>
          <w:sz w:val="24"/>
          <w:szCs w:val="24"/>
        </w:rPr>
        <w:instrText xml:space="preserve"> Maintain, develop and work within your professional knowledge and skills </w:instrText>
      </w:r>
      <w:r w:rsidR="00BE3B6C">
        <w:rPr>
          <w:rFonts w:ascii="Times New Roman" w:hAnsi="Times New Roman" w:cs="Times New Roman"/>
          <w:sz w:val="24"/>
          <w:szCs w:val="24"/>
        </w:rPr>
        <w:instrText xml:space="preserve"> Raise concerns if patients are at risk </w:instrText>
      </w:r>
      <w:r w:rsidR="00BE3B6C">
        <w:rPr>
          <w:rFonts w:ascii="Times New Roman" w:hAnsi="Times New Roman" w:cs="Times New Roman"/>
          <w:sz w:val="24"/>
          <w:szCs w:val="24"/>
        </w:rPr>
        <w:instrText xml:space="preserve"> Make sure your personal behaviour maintains patients' confidence in you and the dental profession The principles are all equally important and are not listed in order of priority. They are supplemented by additional guidance documents which can be found on our website at www.gdc-uk.org and which you must also follow. You have an individual responsibility to behave professionally and follow these principles at all times. </w:instrText>
      </w:r>
      <w:r w:rsidR="00BE3B6C">
        <w:rPr>
          <w:rFonts w:ascii="Times New Roman" w:hAnsi="Times New Roman" w:cs="Times New Roman"/>
          <w:sz w:val="24"/>
          <w:szCs w:val="24"/>
        </w:rPr>
        <w:instrText xml:space="preserve"> The standards set out what you must do. If you do not meet these standards, you may be removed from our register and not be able to work as a dental professional. </w:instrText>
      </w:r>
      <w:r w:rsidR="00BE3B6C">
        <w:rPr>
          <w:rFonts w:ascii="Times New Roman" w:hAnsi="Times New Roman" w:cs="Times New Roman"/>
          <w:sz w:val="24"/>
          <w:szCs w:val="24"/>
        </w:rPr>
        <w:instrText> The guidance is there to help you to meet the standards. You are expected to follow the guidance, to use your professional judgment, demonstrate insight at all times and be able to justify any decision that is not in line with the guidance. Serious or persistent failure to follow the guidance could see you removed from our register and not able to work as a dental professional. Throughout this document:","author":[{"dropping-particle":"","family":"General Dental Council","given":"","non-dropping-particle":"","parse-names":false,"suffix":""}],"container-title":"Standards for the Dental Team","id":"ITEM-1","issue":"June","issued":{"date-parts":[["2013"]]},"title":"Standards for the Dental Team www.gdc-uk.org","type":"article-journal"},"uris":["http://www.mendeley.com/documents/?uuid=04398bc4-6073-4a8f-a24e-5d4f56f6caef"]},{"id":"ITEM-2","itemData":{"DOI":"10.1038/sj.bdj.4801665","ISBN":"0007-0610 U6 - ctx_ver=Z39.88-2004&amp;ctx_enc=info%3Aofi%2Fenc%3AUTF-8&amp;rfr_id=info:sid/summon.serialssolutions.com&amp;rft_val_fmt=info:ofi/fmt:kev:mtx:journal&amp;rft.genre=article&amp;rft.atitle=Assessing+attitudes+in+dental+education%3A+Is+it+worthwhile%3F&amp;rft.jtitle=British+Dental+Journal&amp;rft.au=Rohlin%2C+M&amp;rft.au=Brown%2C+G&amp;rft.date=2002-12-21&amp;rft.pub=NATURE+PUBLISHING+GROUP&amp;rft.issn=0007-0610&amp;rft.volume=193&amp;rft.issue=12&amp;rft.spage=703&amp;rft.epage=707&amp;rft_id=info:doi/10.1038%2Fsj.bdj.4801665&amp;rft.externalDBID","ISSN":"00070610","PMID":"12529727","abstract":"An exploration is undertaken of the issues surrounding the assessment of attitudes in undergraduate dental programmes with a view to considering whether such an assessment is worthwhile. This paper addresses five questions: What are attitudes?; Why focus on them?; Can they be changed?; Can they be taught?; and How can they be assessed? The evidence and supporting arguments indicate that attitudes may be defined; there are cogent reasons for assessing them; they do change and they are taught; it is possible to assess them. The assessment of attitudes is not only worthwhile, it is essential.","author":[{"dropping-particle":"","family":"Brown","given":"G.","non-dropping-particle":"","parse-names":false,"suffix":""},{"dropping-particle":"","family":"Manogue","given":"M.","non-dropping-particle":"","parse-names":false,"suffix":""},{"dropping-particle":"","family":"Rohlin","given":"M.","non-dropping-particle":"","parse-names":false,"suffix":""}],"container-title":"British Dental Journal","id":"ITEM-2","issue":"12","issued":{"date-parts":[["2002"]]},"page":"703-707","title":"Assessing attitudes in dental education: Is it worthwhile?","type":"article-journal","volume":"193"},"uris":["http://www.mendeley.com/documents/?uuid=efa2fa10-fb92-4692-8449-30c4aaa345df"]},{"id":"ITEM-3","itemData":{"DOI":"10.1111/j.1600-0579.2009.00609.x","ISBN":"1396-5883","ISSN":"13965883","PMID":"20946246","abstract":"This paper presents the profile and competences for the European Dentist as approved by the General Assembly of the Association for Dental Education in Europe at its annual meeting held in Helsinki in August 2009. A new taskforce was convened to update the previous document published in 2005. The updated document was then sent to all European Dental Schools, ministries of health, national dental associations and dental specialty associations or societies in Europe. The feedback received was used to improve the document. European dental schools are expected to adhere to the profile and the 17 major competences but the supporting competences may vary in detail between schools. The document will be reviewed once again in 5 years time. Feedback to the newly published document is welcomed and all dental educators are encouraged to draw upon the content of the paper to assist them in harmonising the curriculum throughout Europe with the aim of improving the quality of the dental curriculum.","author":[{"dropping-particle":"","family":"Cowpe","given":"J.","non-dropping-particle":"","parse-names":false,"suffix":""},{"dropping-particle":"","family":"Plasschaert","given":"A.","non-dropping-particle":"","parse-names":false,"suffix":""},{"dropping-particle":"","family":"Harzer","given":"W.","non-dropping-particle":"","parse-names":false,"suffix":""},{"dropping-particle":"","family":"Vinkka-Puhakka","given":"H.","non-dropping-particle":"","parse-names":false,"suffix":""},{"dropping-particle":"","family":"Walmsley","given":"A. D.","non-dropping-particle":"","parse-names":false,"suffix":""}],"container-title":"European Journal of Dental Education","id":"ITEM-3","issue":"4","issued":{"date-parts":[["2010"]]},"page":"193-202","title":"Profile and competences for the graduating European dentist - update 2009","type":"article-journal","volume":"14"},"uris":["http://www.mendeley.com/documents/?uuid=c8d4454d-e71d-452c-979a-dc7a3775e12f"]},{"id":"ITEM-4","itemData":{"DOI":"10.7861/clinmedicine.6-1-7","ISBN":"1 86016 256 8","ISSN":"1470-2118","PMID":"16408403","abstract":"Medicine bridges the gap between science and society. Indeed, the application of scientific knowledge to human health is a crucial aspect of clinical practice. Doctors are one important agent through which that scientific understanding is expressed. But medicine is more than the sum of our knowledge about disease. Medicine concerns the experiences, feelings, and interpretations of human beings in often extraordinary moments of fear, anxiety, and doubt. In this extremely vulnerable position, it is medical professionalism that underpins the trust the public has in doctors. This Working Party was established to define the nature and role of medical professionalism in modern society. Britain's health system is undergoing enormous change. The entry of multiple health providers, the wish for more equal engagement between patients and professionals, and the ever-greater contribution of science to advances in clinical practice all demand a clear statement of medicine's unifying purpose and doctors' common values. What is medical professionalism and does it matter to patients? Although evidence is lacking that more robust professionalism will inevitably lead to better health outcomes, patients certainly understand the meaning of poor professionalism and associate it with poor medical care. The public is well aware that an absence of professionalism is harmful to their interests. The Working Party's view, based on the evidence it has received, is that medical professionalism lies at the heart of being a good doctor. The values that doctors embrace set a standard for what patients expect from their medical practitioners. The practice of medicine is distinguished by the need for judgement in the face of uncertainty. Doctors take responsibility for these judgements and their consequences. A doctor's up-to-date knowledge and skill provide the explicit scientific and often tacit experiential basis for such judgements. But because so much of medicine's unpredictability calls for wisdom as well as technical ability, doctors are vulnerable to the charge that their decisions are neither transparent nor accountable. In an age where deference is dead and league tables are the norm, doctors must be clearer about what they do, and how and why they do it. We define medical professionalism as a set of values, behaviours, and relationships that underpin the trust the public has in doctors. We go on to describe what those values, behaviours, and relationships are, how they are ch…","author":[{"dropping-particle":"","family":"Physicians","given":"Working Party of the Royal College of","non-dropping-particle":"","parse-names":false,"suffix":""},{"dropping-particle":"","family":"Royal College of Physicians","given":"","non-dropping-particle":"","parse-names":false,"suffix":""},{"dropping-particle":"","family":"Wass","given":"Valerie","non-dropping-particle":"","parse-names":false,"suffix":""}],"container-title":"Technical suplllement to a Report of a Working Party of the Royal College of Physicians of London","id":"ITEM-4","issue":"December 2005","issued":{"date-parts":[["2005"]]},"page":"S5-40","title":"Doctors in society. Medical professionalism in a changing world.","type":"article-journal","volume":"6"},"uris":["http://www.mendeley.com/documents/?uuid=ce1d3704-fe1e-46c6-8b85-2cb292b723f7"]},{"id":"ITEM-5","itemData":{"DOI":"10.1016/j.ejim.2008.10.005","ISBN":"1879-0828 (Electronic) 0953-6205 (Linking)","ISSN":"09536205","PMID":"19524164","abstract":"The concept of professionalism has undergone major changes over the millennia in general and the last century specifically. This article, the first in a series of articles in this Journal on professionalism, attempts to provide the reader with a historical overview of the evolution of the concept of professionalism over time. As a result of these changes, medical school curricula, and contemporary specialist training programs are increasingly becoming competence based, with professionalism becoming an integral part of a resident's training and assessment program. © 2008 European Federation of Internal Medicine.","author":[{"dropping-particle":"","family":"Mook","given":"Walther N.K.A.","non-dropping-particle":"van","parse-names":false,"suffix":""},{"dropping-particle":"","family":"Grave","given":"Willem S.","non-dropping-particle":"de","parse-names":false,"suffix":""},{"dropping-particle":"","family":"Wass","given":"Valerie","non-dropping-particle":"","parse-names":false,"suffix":""},{"dropping-particle":"","family":"O'Sullivan","given":"Helen","non-dropping-particle":"","parse-names":false,"suffix":""},{"dropping-particle":"","family":"Zwaveling","given":"Jan Harm","non-dropping-particle":"","parse-names":false,"suffix":""},{"dropping-particle":"","family":"Schuwirth","given":"Lambert W.","non-dropping-particle":"","parse-names":false,"suffix":""},{"dropping-particle":"","family":"Vleuten","given":"Cees P.M.","non-dropping-particle":"van der","parse-names":false,"suffix":""}],"container-title":"European Journal of Internal Medicine","id":"ITEM-5","issue":"4","issued":{"date-parts":[["2009"]]},"title":"Professionalism: Evolution of the concept","type":"article-journal","volume":"20"},"uris":["http://www.mendeley.com/documents/?uuid=07ba8921-bead-4fc8-9fbf-eab9fd9f83ed"]},{"id":"ITEM-6","itemData":{"DOI":"10.3402/jchimp.v4.24226","ISSN":"2000-9666","abstract":"In 1992, the American Board of Internal Medicine (ABIM) convened a committee, which produced a white paper entitled Project Professionalism. John Stobo, chairman of The Johns Hopkins University Department of Medicine, chaired the committee. The paper emphasized values and ethics standards that would be required for board certification. It also pointed out that suboptimal professional behavior negatively impacted patient care.   In 2002, the ABIM combined with the American College of Physicians (ACP) and the European Federation of Internal Medicine to put forth a charter on professionalism for a new millennium. With the dawn of the Accreditation Council for Graduate Medical Education (ACGME) new accreditation process in 2013, there has been an increased emphasis on the documentation and proof of satisfactory professionalism for all residents in approved training programs in the United States.   Citation: Journal of Community Hospital Internal Medicine Perspectives 2014, 4: 24226 - http://dx.doi.org/10.3402/jchimp.v4.24226","author":[{"dropping-particle":"","family":"Ferguson","given":"Robert P.","non-dropping-particle":"","parse-names":false,"suffix":""}],"container-title":"Journal of Community Hospital Internal Medicine Perspectives","id":"ITEM-6","issue":"2","issued":{"date-parts":[["2014"]]},"page":"24226","title":"Professionalism: hard to measure but you know it when you see it","type":"article-journal","volume":"4"},"uris":["http://www.mendeley.com/documents/?uuid=9184d55e-3ba0-4654-81ec-b27d49276e0c"]},{"id":"ITEM-7","itemData":{"DOI":"10.1136/bmj.315.7123.1671","ISBN":"1853153397","ISSN":"0959-8138","PMID":"9448537","abstract":"Oath commits doctors to an ethical code. New obligations may appear to conflict with first responsibility to care for patients. Modern healthcare is multidisciplinary in multiagency environments. Perhaps a pan-professional oath might be valid?","author":[{"dropping-particle":"","family":"Cruess","given":"Sylvia R","non-dropping-particle":"","parse-names":false,"suffix":""},{"dropping-particle":"","family":"Cruess","given":"Richard L","non-dropping-particle":"","parse-names":false,"suffix":""}],"container-title":"BMJ","id":"ITEM-7","issue":"7123","issued":{"date-parts":[["1997"]]},"page":"1674-1677","title":"Professionalism must be taught","type":"article-journal","volume":"315"},"uris":["http://www.mendeley.com/documents/?uuid=781d5790-8c94-47d7-9828-25d0b089412a"]},{"id":"ITEM-8","itemData":{"DOI":"10.1097/00001888-200206000-00006","ISBN":"1040-2446 (Print)","ISSN":"1040-2446","PMID":"12063194","abstract":"PURPOSE: The author interprets the state of the art of assessing professional behavior. She defines the concept of professionalism, reviews the psychometric properties of key approaches to assessing professionalism, conveys major findings that these approaches produced, and discusses recommendations to improve the assessment of professionalism. METHOD: The author reviewed professionalism literature from the last 30 years that had been identified through database searches; included in conference proceedings, bibliographies, and reference lists; and suggested by experts. The cited literature largely came from peer-reviewed journals, represented themes or novel approaches, reported qualitative or quantitative data about measurement instruments, or described pragmatic or theoretical approaches to assessing professionalism. RESULTS: A circumscribed concept of professionalism is available to serve as a foundation for next steps in assessing professional behavior. The current array of assessment tools is rich. However, their measurement properties should be strengthened. Accordingly, future research should explore rigorous qualitative techniques; refine quantitative assessments of competence, for example, through OSCEs; and evaluate separate elements of professionalism. It should test the hypothesis that assessment tools will be better if they define professionalism as behaviors expressive of value conflicts, investigate the resolution of these conflicts, and recognize the contextual nature of professional behaviors. Whether measurement tools should be tailored to the stage of a medical career and how the environment can support or sabotage the assessment of professional behavior are central issues. FINAL THOUGHT: Without solid assessment tools, questions about the efficacy of approaches to educating learners about professional behavior will not be effectively answered.","author":[{"dropping-particle":"","family":"Arnold","given":"Louise","non-dropping-particle":"","parse-names":false,"suffix":""}],"container-title":"Academic medicine : journal of the Association of American Medical Colleges","id":"ITEM-8","issue":"6","issued":{"date-parts":[["2002"]]},"page":"502-515","title":"Assessing professional behavior: yesterday, today, and tomorrow.","type":"article-journal","volume":"77"},"uris":["http://www.mendeley.com/documents/?uuid=42b7e3e1-1b5c-4c76-8791-c369c160dc45"]}],"mendeley":{"formattedCitation":"(Cruess and Cruess, 1997; Arnold, 2002; Brown, Manogue and Rohlin, 2002; Physicians, Royal College of Physicians and Wass, 2005; van Mook &lt;i&gt;et al.&lt;/i&gt;, 2009; Cowpe &lt;i&gt;et al.&lt;/i&gt;, 2010; General Dental Council, 2013; Ferguson, 2014)","plainTextFormattedCitation":"(Cruess and Cruess, 1997; Arnold, 2002; Brown, Manogue and Rohlin, 2002; Physicians, Royal College of Physicians and Wass, 2005; van Mook et al., 2009; Cowpe et al., 2010; General Dental Council, 2013; Ferguson, 2014)","previouslyFormattedCitation":"(General Dental Council 2013; Brown, Manogue, and Rohlin 2002; Cowpe et al. 2010; W. P. of the R. C. of Physicians, Royal College of Physicians, and Wass 2005; van Mook et al. 2009; Ferguson 2014; S. R. Cruess and Cruess 1997; Arnold 2002)"},"properties":{"noteIndex":0},"schema":"https://github.com/citation-style-language/schema/raw/master/csl-citation.json"}</w:instrText>
      </w:r>
      <w:r w:rsidRPr="006F3B00">
        <w:rPr>
          <w:rFonts w:ascii="Times New Roman" w:hAnsi="Times New Roman" w:cs="Times New Roman"/>
          <w:sz w:val="24"/>
          <w:szCs w:val="24"/>
        </w:rPr>
        <w:fldChar w:fldCharType="separate"/>
      </w:r>
      <w:r w:rsidR="00B65602">
        <w:rPr>
          <w:rFonts w:ascii="Times New Roman" w:hAnsi="Times New Roman" w:cs="Times New Roman"/>
          <w:noProof/>
          <w:sz w:val="24"/>
          <w:szCs w:val="24"/>
        </w:rPr>
        <w:t>(Cruess and Cruess 1997; Arnold</w:t>
      </w:r>
      <w:r w:rsidR="00BE3B6C" w:rsidRPr="00BE3B6C">
        <w:rPr>
          <w:rFonts w:ascii="Times New Roman" w:hAnsi="Times New Roman" w:cs="Times New Roman"/>
          <w:noProof/>
          <w:sz w:val="24"/>
          <w:szCs w:val="24"/>
        </w:rPr>
        <w:t xml:space="preserve"> </w:t>
      </w:r>
      <w:r w:rsidR="00B65602">
        <w:rPr>
          <w:rFonts w:ascii="Times New Roman" w:hAnsi="Times New Roman" w:cs="Times New Roman"/>
          <w:noProof/>
          <w:sz w:val="24"/>
          <w:szCs w:val="24"/>
        </w:rPr>
        <w:t xml:space="preserve">2002; Brown, Manogue and Rohlin 2002; The </w:t>
      </w:r>
      <w:r w:rsidR="00BE3B6C" w:rsidRPr="00BE3B6C">
        <w:rPr>
          <w:rFonts w:ascii="Times New Roman" w:hAnsi="Times New Roman" w:cs="Times New Roman"/>
          <w:noProof/>
          <w:sz w:val="24"/>
          <w:szCs w:val="24"/>
        </w:rPr>
        <w:t>Roya</w:t>
      </w:r>
      <w:r w:rsidR="00B65602">
        <w:rPr>
          <w:rFonts w:ascii="Times New Roman" w:hAnsi="Times New Roman" w:cs="Times New Roman"/>
          <w:noProof/>
          <w:sz w:val="24"/>
          <w:szCs w:val="24"/>
        </w:rPr>
        <w:t>l College of Physicians</w:t>
      </w:r>
      <w:r w:rsidR="00BE3B6C" w:rsidRPr="00BE3B6C">
        <w:rPr>
          <w:rFonts w:ascii="Times New Roman" w:hAnsi="Times New Roman" w:cs="Times New Roman"/>
          <w:noProof/>
          <w:sz w:val="24"/>
          <w:szCs w:val="24"/>
        </w:rPr>
        <w:t xml:space="preserve"> 2005; van </w:t>
      </w:r>
      <w:r w:rsidR="00BE3B6C" w:rsidRPr="00BE3B6C">
        <w:rPr>
          <w:rFonts w:ascii="Times New Roman" w:hAnsi="Times New Roman" w:cs="Times New Roman"/>
          <w:noProof/>
          <w:sz w:val="24"/>
          <w:szCs w:val="24"/>
        </w:rPr>
        <w:lastRenderedPageBreak/>
        <w:t>Mook</w:t>
      </w:r>
      <w:r w:rsidR="00BE3B6C" w:rsidRPr="00AC0FAA">
        <w:rPr>
          <w:rFonts w:ascii="Times New Roman" w:hAnsi="Times New Roman" w:cs="Times New Roman"/>
          <w:noProof/>
          <w:sz w:val="24"/>
          <w:szCs w:val="24"/>
        </w:rPr>
        <w:t xml:space="preserve"> et al. 2009; Cowpe et al.</w:t>
      </w:r>
      <w:r w:rsidR="00B65602" w:rsidRPr="00AC0FAA">
        <w:rPr>
          <w:rFonts w:ascii="Times New Roman" w:hAnsi="Times New Roman" w:cs="Times New Roman"/>
          <w:noProof/>
          <w:sz w:val="24"/>
          <w:szCs w:val="24"/>
        </w:rPr>
        <w:t xml:space="preserve"> 201</w:t>
      </w:r>
      <w:r w:rsidR="00B65602">
        <w:rPr>
          <w:rFonts w:ascii="Times New Roman" w:hAnsi="Times New Roman" w:cs="Times New Roman"/>
          <w:noProof/>
          <w:sz w:val="24"/>
          <w:szCs w:val="24"/>
        </w:rPr>
        <w:t>0; General Dental Council 2013; Ferguson</w:t>
      </w:r>
      <w:r w:rsidR="00BE3B6C" w:rsidRPr="00BE3B6C">
        <w:rPr>
          <w:rFonts w:ascii="Times New Roman" w:hAnsi="Times New Roman" w:cs="Times New Roman"/>
          <w:noProof/>
          <w:sz w:val="24"/>
          <w:szCs w:val="24"/>
        </w:rPr>
        <w:t xml:space="preserve"> 2014)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For instance, it was considered important to work to deadlines as the pathologist is accountable to the surgeon, patient and hospital trust to deliver accurate and timely histology reports. Disorganisation was linked to reports being delayed, which could affect professional relationships (teamwork) and directly affect patient care (excellence). Teamwork has often been described as being part of professionalism and this was demonstrated in our data</w:t>
      </w:r>
      <w:r w:rsidR="005C18A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 xml:space="preserve">ADDIN CSL_CITATION {"citationItems":[{"id":"ITEM-1","itemData":{"DOI":"10.1117/12.889178","abstract":"About this document This document sets out the standards of conduct, performance and ethics that govern you as a dental professional. It specifies the principles, standards and guidance which apply to all members of the dental team which includes: It also sets out what patients expect from their dental professionals. Principles: The core ethical principles of practice Patient expectations: What patients can expect from the dental team Standards: What registrants must do to ensure patient expectations are met Guidance: How registrants meet the standards There are nine principles registered dental professionals must keep to at all times. As a GDC registrant you must: </w:instrText>
      </w:r>
      <w:r w:rsidR="00BE3B6C">
        <w:rPr>
          <w:rFonts w:ascii="Times New Roman" w:hAnsi="Times New Roman" w:cs="Times New Roman"/>
          <w:sz w:val="24"/>
          <w:szCs w:val="24"/>
        </w:rPr>
        <w:instrText xml:space="preserve"> Put patients' interests first </w:instrText>
      </w:r>
      <w:r w:rsidR="00BE3B6C">
        <w:rPr>
          <w:rFonts w:ascii="Times New Roman" w:hAnsi="Times New Roman" w:cs="Times New Roman"/>
          <w:sz w:val="24"/>
          <w:szCs w:val="24"/>
        </w:rPr>
        <w:instrText xml:space="preserve"> Communicate effectively with patients </w:instrText>
      </w:r>
      <w:r w:rsidR="00BE3B6C">
        <w:rPr>
          <w:rFonts w:ascii="Times New Roman" w:hAnsi="Times New Roman" w:cs="Times New Roman"/>
          <w:sz w:val="24"/>
          <w:szCs w:val="24"/>
        </w:rPr>
        <w:instrText xml:space="preserve"> Obtain valid consent </w:instrText>
      </w:r>
      <w:r w:rsidR="00BE3B6C">
        <w:rPr>
          <w:rFonts w:ascii="Times New Roman" w:hAnsi="Times New Roman" w:cs="Times New Roman"/>
          <w:sz w:val="24"/>
          <w:szCs w:val="24"/>
        </w:rPr>
        <w:instrText xml:space="preserve"> Maintain and protect patients' information </w:instrText>
      </w:r>
      <w:r w:rsidR="00BE3B6C">
        <w:rPr>
          <w:rFonts w:ascii="Times New Roman" w:hAnsi="Times New Roman" w:cs="Times New Roman"/>
          <w:sz w:val="24"/>
          <w:szCs w:val="24"/>
        </w:rPr>
        <w:instrText xml:space="preserve"> Have a clear and effective complaints procedure </w:instrText>
      </w:r>
      <w:r w:rsidR="00BE3B6C">
        <w:rPr>
          <w:rFonts w:ascii="Times New Roman" w:hAnsi="Times New Roman" w:cs="Times New Roman"/>
          <w:sz w:val="24"/>
          <w:szCs w:val="24"/>
        </w:rPr>
        <w:instrText xml:space="preserve"> Work with colleagues in a way that is in patients' best interests </w:instrText>
      </w:r>
      <w:r w:rsidR="00BE3B6C">
        <w:rPr>
          <w:rFonts w:ascii="Times New Roman" w:hAnsi="Times New Roman" w:cs="Times New Roman"/>
          <w:sz w:val="24"/>
          <w:szCs w:val="24"/>
        </w:rPr>
        <w:instrText xml:space="preserve"> Maintain, develop and work within your professional knowledge and skills </w:instrText>
      </w:r>
      <w:r w:rsidR="00BE3B6C">
        <w:rPr>
          <w:rFonts w:ascii="Times New Roman" w:hAnsi="Times New Roman" w:cs="Times New Roman"/>
          <w:sz w:val="24"/>
          <w:szCs w:val="24"/>
        </w:rPr>
        <w:instrText xml:space="preserve"> Raise concerns if patients are at risk </w:instrText>
      </w:r>
      <w:r w:rsidR="00BE3B6C">
        <w:rPr>
          <w:rFonts w:ascii="Times New Roman" w:hAnsi="Times New Roman" w:cs="Times New Roman"/>
          <w:sz w:val="24"/>
          <w:szCs w:val="24"/>
        </w:rPr>
        <w:instrText xml:space="preserve"> Make sure your personal behaviour maintains patients' confidence in you and the dental profession The principles are all equally important and are not listed in order of priority. They are supplemented by additional guidance documents which can be found on our website at www.gdc-uk.org and which you must also follow. You have an individual responsibility to behave professionally and follow these principles at all times. </w:instrText>
      </w:r>
      <w:r w:rsidR="00BE3B6C">
        <w:rPr>
          <w:rFonts w:ascii="Times New Roman" w:hAnsi="Times New Roman" w:cs="Times New Roman"/>
          <w:sz w:val="24"/>
          <w:szCs w:val="24"/>
        </w:rPr>
        <w:instrText xml:space="preserve"> The standards set out what you must do. If you do not meet these standards, you may be removed from our register and not be able to work as a dental professional. </w:instrText>
      </w:r>
      <w:r w:rsidR="00BE3B6C">
        <w:rPr>
          <w:rFonts w:ascii="Times New Roman" w:hAnsi="Times New Roman" w:cs="Times New Roman"/>
          <w:sz w:val="24"/>
          <w:szCs w:val="24"/>
        </w:rPr>
        <w:instrText> The guidance is there to help you to meet the standards. You are expected to follow the guidance, to use your professional judgment, demonstrate insight at all times and be able to justify any decision that is not in line with the guidance. Serious or persistent failure to follow the guidance could see you removed from our register and not able to work as a dental professional. Throughout this document:","author":[{"dropping-particle":"","family":"General Dental Council","given":"","non-dropping-particle":"","parse-names":false,"suffix":""}],"container-title":"Standards for the Dental Team","id":"ITEM-1","issue":"June","issued":{"date-parts":[["2013"]]},"title":"Standards for the Dental Team www.gdc-uk.org","type":"article-journal"},"uris":["http://www.mendeley.com/documents/?uuid=04398bc4-6073-4a8f-a24e-5d4f56f6caef"]},{"id":"ITEM-2","itemData":{"DOI":"10.1111/j.1600-0579.2009.00609.x","ISBN":"1396-5883","ISSN":"13965883","PMID":"20946246","abstract":"This paper presents the profile and competences for the European Dentist as approved by the General Assembly of the Association for Dental Education in Europe at its annual meeting held in Helsinki in August 2009. A new taskforce was convened to update the previous document published in 2005. The updated document was then sent to all European Dental Schools, ministries of health, national dental associations and dental specialty associations or societies in Europe. The feedback received was used to improve the document. European dental schools are expected to adhere to the profile and the 17 major competences but the supporting competences may vary in detail between schools. The document will be reviewed once again in 5 years time. Feedback to the newly published document is welcomed and all dental educators are encouraged to draw upon the content of the paper to assist them in harmonising the curriculum throughout Europe with the aim of improving the quality of the dental curriculum.","author":[{"dropping-particle":"","family":"Cowpe","given":"J.","non-dropping-particle":"","parse-names":false,"suffix":""},{"dropping-particle":"","family":"Plasschaert","given":"A.","non-dropping-particle":"","parse-names":false,"suffix":""},{"dropping-particle":"","family":"Harzer","given":"W.","non-dropping-particle":"","parse-names":false,"suffix":""},{"dropping-particle":"","family":"Vinkka-Puhakka","given":"H.","non-dropping-particle":"","parse-names":false,"suffix":""},{"dropping-particle":"","family":"Walmsley","given":"A. D.","non-dropping-particle":"","parse-names":false,"suffix":""}],"container-title":"European Journal of Dental Education","id":"ITEM-2","issue":"4","issued":{"date-parts":[["2010"]]},"page":"193-202","title":"Profile and competences for the graduating European dentist - update 2009","type":"article-journal","volume":"14"},"uris":["http://www.mendeley.com/documents/?uuid=c8d4454d-e71d-452c-979a-dc7a3775e12f"]},{"id":"ITEM-3","itemData":{"DOI":"10.3402/jchimp.v4.24226","ISSN":"2000-9666","abstract":"In 1992, the American Board of Internal Medicine (ABIM) convened a committee, which produced a white paper entitled Project Professionalism. John Stobo, chairman of The Johns Hopkins University Department of Medicine, chaired the committee. The paper emphasized values and ethics standards that would be required for board certification. It also pointed out that suboptimal professional behavior negatively impacted patient care.   In 2002, the ABIM combined with the American College of Physicians (ACP) and the European Federation of Internal Medicine to put forth a charter on professionalism for a new millennium. With the dawn of the Accreditation Council for Graduate Medical Education (ACGME) new accreditation process in 2013, there has been an increased emphasis on the documentation and proof of satisfactory professionalism for all residents in approved training programs in the United States.   Citation: Journal of Community Hospital Internal Medicine Perspectives 2014, 4: 24226 - http://dx.doi.org/10.3402/jchimp.v4.24226","author":[{"dropping-particle":"","family":"Ferguson","given":"Robert P.","non-dropping-particle":"","parse-names":false,"suffix":""}],"container-title":"Journal of Community Hospital Internal Medicine Perspectives","id":"ITEM-3","issue":"2","issued":{"date-parts":[["2014"]]},"page":"24226","title":"Professionalism: hard to measure but you know it when you see it","type":"article-journal","volume":"4"},"uris":["http://www.mendeley.com/documents/?uuid=9184d55e-3ba0-4654-81ec-b27d49276e0c"]}],"mendeley":{"formattedCitation":"(Cowpe &lt;i&gt;et al.&lt;/i&gt;, 2010; General Dental Council, 2013; Ferguson, 2014)","plainTextFormattedCitation":"(Cowpe et al., 2010; General Dental Council, 2013; Ferguson, 2014)","previouslyFormattedCitation":"(General Dental Council 2013; Cowpe et al. 2010; Ferguson 2014)"},"properties":{"noteIndex":0},"schema":"https://github.com/citation-style-language/schema/raw/master/csl-citation.json"}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(Cowpe </w:t>
      </w:r>
      <w:r w:rsidR="00BE3B6C" w:rsidRPr="00AC0FAA">
        <w:rPr>
          <w:rFonts w:ascii="Times New Roman" w:hAnsi="Times New Roman" w:cs="Times New Roman"/>
          <w:noProof/>
          <w:sz w:val="24"/>
          <w:szCs w:val="24"/>
        </w:rPr>
        <w:t>et al.</w:t>
      </w:r>
      <w:r w:rsidR="00BE3B6C" w:rsidRPr="00BE3B6C">
        <w:rPr>
          <w:rFonts w:ascii="Times New Roman" w:hAnsi="Times New Roman" w:cs="Times New Roman"/>
          <w:noProof/>
          <w:sz w:val="24"/>
          <w:szCs w:val="24"/>
        </w:rPr>
        <w:t xml:space="preserve"> 2010; Gene</w:t>
      </w:r>
      <w:r w:rsidR="00AC0FAA">
        <w:rPr>
          <w:rFonts w:ascii="Times New Roman" w:hAnsi="Times New Roman" w:cs="Times New Roman"/>
          <w:noProof/>
          <w:sz w:val="24"/>
          <w:szCs w:val="24"/>
        </w:rPr>
        <w:t>ral Dental Council 2013; Ferguson</w:t>
      </w:r>
      <w:r w:rsidR="00BE3B6C" w:rsidRPr="00BE3B6C">
        <w:rPr>
          <w:rFonts w:ascii="Times New Roman" w:hAnsi="Times New Roman" w:cs="Times New Roman"/>
          <w:noProof/>
          <w:sz w:val="24"/>
          <w:szCs w:val="24"/>
        </w:rPr>
        <w:t xml:space="preserve"> 2014)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For example, certain personality types were linked to not being able to work part of a team such as </w:t>
      </w:r>
      <w:r w:rsidRPr="006F3B00">
        <w:rPr>
          <w:rFonts w:ascii="Times New Roman" w:hAnsi="Times New Roman" w:cs="Times New Roman"/>
          <w:i/>
          <w:sz w:val="24"/>
          <w:szCs w:val="24"/>
        </w:rPr>
        <w:t xml:space="preserve">“Because they will fall out with all their consultant colleagues because they have no mechanism for resolving disagreements or conflict”. </w:t>
      </w:r>
      <w:r w:rsidRPr="006F3B00">
        <w:rPr>
          <w:rFonts w:ascii="Times New Roman" w:hAnsi="Times New Roman" w:cs="Times New Roman"/>
          <w:sz w:val="24"/>
          <w:szCs w:val="24"/>
        </w:rPr>
        <w:t>Responding appropriately to feedback was also part of being professional and mostly related to taking the right course of action (reflection) and showing respect to those giving feedback, both of which appear in professionalism literature</w:t>
      </w:r>
      <w:r w:rsidR="005C18A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 xml:space="preserve">ADDIN CSL_CITATION {"citationItems":[{"id":"ITEM-1","itemData":{"DOI":"10.1117/12.889178","abstract":"About this document This document sets out the standards of conduct, performance and ethics that govern you as a dental professional. It specifies the principles, standards and guidance which apply to all members of the dental team which includes: It also sets out what patients expect from their dental professionals. Principles: The core ethical principles of practice Patient expectations: What patients can expect from the dental team Standards: What registrants must do to ensure patient expectations are met Guidance: How registrants meet the standards There are nine principles registered dental professionals must keep to at all times. As a GDC registrant you must: </w:instrText>
      </w:r>
      <w:r w:rsidR="00BE3B6C">
        <w:rPr>
          <w:rFonts w:ascii="Times New Roman" w:hAnsi="Times New Roman" w:cs="Times New Roman"/>
          <w:sz w:val="24"/>
          <w:szCs w:val="24"/>
        </w:rPr>
        <w:instrText xml:space="preserve"> Put patients' interests first </w:instrText>
      </w:r>
      <w:r w:rsidR="00BE3B6C">
        <w:rPr>
          <w:rFonts w:ascii="Times New Roman" w:hAnsi="Times New Roman" w:cs="Times New Roman"/>
          <w:sz w:val="24"/>
          <w:szCs w:val="24"/>
        </w:rPr>
        <w:instrText xml:space="preserve"> Communicate effectively with patients </w:instrText>
      </w:r>
      <w:r w:rsidR="00BE3B6C">
        <w:rPr>
          <w:rFonts w:ascii="Times New Roman" w:hAnsi="Times New Roman" w:cs="Times New Roman"/>
          <w:sz w:val="24"/>
          <w:szCs w:val="24"/>
        </w:rPr>
        <w:instrText xml:space="preserve"> Obtain valid consent </w:instrText>
      </w:r>
      <w:r w:rsidR="00BE3B6C">
        <w:rPr>
          <w:rFonts w:ascii="Times New Roman" w:hAnsi="Times New Roman" w:cs="Times New Roman"/>
          <w:sz w:val="24"/>
          <w:szCs w:val="24"/>
        </w:rPr>
        <w:instrText xml:space="preserve"> Maintain and protect patients' information </w:instrText>
      </w:r>
      <w:r w:rsidR="00BE3B6C">
        <w:rPr>
          <w:rFonts w:ascii="Times New Roman" w:hAnsi="Times New Roman" w:cs="Times New Roman"/>
          <w:sz w:val="24"/>
          <w:szCs w:val="24"/>
        </w:rPr>
        <w:instrText xml:space="preserve"> Have a clear and effective complaints procedure </w:instrText>
      </w:r>
      <w:r w:rsidR="00BE3B6C">
        <w:rPr>
          <w:rFonts w:ascii="Times New Roman" w:hAnsi="Times New Roman" w:cs="Times New Roman"/>
          <w:sz w:val="24"/>
          <w:szCs w:val="24"/>
        </w:rPr>
        <w:instrText xml:space="preserve"> Work with colleagues in a way that is in patients' best interests </w:instrText>
      </w:r>
      <w:r w:rsidR="00BE3B6C">
        <w:rPr>
          <w:rFonts w:ascii="Times New Roman" w:hAnsi="Times New Roman" w:cs="Times New Roman"/>
          <w:sz w:val="24"/>
          <w:szCs w:val="24"/>
        </w:rPr>
        <w:instrText xml:space="preserve"> Maintain, develop and work within your professional knowledge and skills </w:instrText>
      </w:r>
      <w:r w:rsidR="00BE3B6C">
        <w:rPr>
          <w:rFonts w:ascii="Times New Roman" w:hAnsi="Times New Roman" w:cs="Times New Roman"/>
          <w:sz w:val="24"/>
          <w:szCs w:val="24"/>
        </w:rPr>
        <w:instrText xml:space="preserve"> Raise concerns if patients are at risk </w:instrText>
      </w:r>
      <w:r w:rsidR="00BE3B6C">
        <w:rPr>
          <w:rFonts w:ascii="Times New Roman" w:hAnsi="Times New Roman" w:cs="Times New Roman"/>
          <w:sz w:val="24"/>
          <w:szCs w:val="24"/>
        </w:rPr>
        <w:instrText xml:space="preserve"> Make sure your personal behaviour maintains patients' confidence in you and the dental profession The principles are all equally important and are not listed in order of priority. They are supplemented by additional guidance documents which can be found on our website at www.gdc-uk.org and which you must also follow. You have an individual responsibility to behave professionally and follow these principles at all times. </w:instrText>
      </w:r>
      <w:r w:rsidR="00BE3B6C">
        <w:rPr>
          <w:rFonts w:ascii="Times New Roman" w:hAnsi="Times New Roman" w:cs="Times New Roman"/>
          <w:sz w:val="24"/>
          <w:szCs w:val="24"/>
        </w:rPr>
        <w:instrText xml:space="preserve"> The standards set out what you must do. If you do not meet these standards, you may be removed from our register and not be able to work as a dental professional. </w:instrText>
      </w:r>
      <w:r w:rsidR="00BE3B6C">
        <w:rPr>
          <w:rFonts w:ascii="Times New Roman" w:hAnsi="Times New Roman" w:cs="Times New Roman"/>
          <w:sz w:val="24"/>
          <w:szCs w:val="24"/>
        </w:rPr>
        <w:instrText> The guidance is there to help you to meet the standards. You are expected to follow the guidance, to use your professional judgment, demonstrate insight at all times and be able to justify any decision that is not in line with the guidance. Serious or persistent failure to follow the guidance could see you removed from our register and not able to work as a dental professional. Throughout this document:","author":[{"dropping-particle":"","family":"General Dental Council","given":"","non-dropping-particle":"","parse-names":false,"suffix":""}],"container-title":"Standards for the Dental Team","id":"ITEM-1","issue":"June","issued":{"date-parts":[["2013"]]},"title":"Standards for the Dental Team www.gdc-uk.org","type":"article-journal"},"uris":["http://www.mendeley.com/documents/?uuid=04398bc4-6073-4a8f-a24e-5d4f56f6caef"]},{"id":"ITEM-2","itemData":{"DOI":"10.1111/j.1600-0579.2009.00609.x","ISBN":"1396-5883","ISSN":"13965883","PMID":"20946246","abstract":"This paper presents the profile and competences for the European Dentist as approved by the General Assembly of the Association for Dental Education in Europe at its annual meeting held in Helsinki in August 2009. A new taskforce was convened to update the previous document published in 2005. The updated document was then sent to all European Dental Schools, ministries of health, national dental associations and dental specialty associations or societies in Europe. The feedback received was used to improve the document. European dental schools are expected to adhere to the profile and the 17 major competences but the supporting competences may vary in detail between schools. The document will be reviewed once again in 5 years time. Feedback to the newly published document is welcomed and all dental educators are encouraged to draw upon the content of the paper to assist them in harmonising the curriculum throughout Europe with the aim of improving the quality of the dental curriculum.","author":[{"dropping-particle":"","family":"Cowpe","given":"J.","non-dropping-particle":"","parse-names":false,"suffix":""},{"dropping-particle":"","family":"Plasschaert","given":"A.","non-dropping-particle":"","parse-names":false,"suffix":""},{"dropping-particle":"","family":"Harzer","given":"W.","non-dropping-particle":"","parse-names":false,"suffix":""},{"dropping-particle":"","family":"Vinkka-Puhakka","given":"H.","non-dropping-particle":"","parse-names":false,"suffix":""},{"dropping-particle":"","family":"Walmsley","given":"A. D.","non-dropping-particle":"","parse-names":false,"suffix":""}],"container-title":"European Journal of Dental Education","id":"ITEM-2","issue":"4","issued":{"date-parts":[["2010"]]},"page":"193-202","title":"Profile and competences for the graduating European dentist - update 2009","type":"article-journal","volume":"14"},"uris":["http://www.mendeley.com/documents/?uuid=c8d4454d-e71d-452c-979a-dc7a3775e12f"]},{"id":"ITEM-3","itemData":{"DOI":"10.7861/clinmedicine.6-1-7","ISBN":"1 86016 256 8","ISSN":"1470-2118","PMID":"16408403","abstract":"Medicine bridges the gap between science and society. Indeed, the application of scientific knowledge to human health is a crucial aspect of clinical practice. Doctors are one important agent through which that scientific understanding is expressed. But medicine is more than the sum of our knowledge about disease. Medicine concerns the experiences, feelings, and interpretations of human beings in often extraordinary moments of fear, anxiety, and doubt. In this extremely vulnerable position, it is medical professionalism that underpins the trust the public has in doctors. This Working Party was established to define the nature and role of medical professionalism in modern society. Britain's health system is undergoing enormous change. The entry of multiple health providers, the wish for more equal engagement between patients and professionals, and the ever-greater contribution of science to advances in clinical practice all demand a clear statement of medicine's unifying purpose and doctors' common values. What is medical professionalism and does it matter to patients? Although evidence is lacking that more robust professionalism will inevitably lead to better health outcomes, patients certainly understand the meaning of poor professionalism and associate it with poor medical care. The public is well aware that an absence of professionalism is harmful to their interests. The Working Party's view, based on the evidence it has received, is that medical professionalism lies at the heart of being a good doctor. The values that doctors embrace set a standard for what patients expect from their medical practitioners. The practice of medicine is distinguished by the need for judgement in the face of uncertainty. Doctors take responsibility for these judgements and their consequences. A doctor's up-to-date knowledge and skill provide the explicit scientific and often tacit experiential basis for such judgements. But because so much of medicine's unpredictability calls for wisdom as well as technical ability, doctors are vulnerable to the charge that their decisions are neither transparent nor accountable. In an age where deference is dead and league tables are the norm, doctors must be clearer about what they do, and how and why they do it. We define medical professionalism as a set of values, behaviours, and relationships that underpin the trust the public has in doctors. We go on to describe what those values, behaviours, and relationships are, how they are ch…","author":[{"dropping-particle":"","family":"Physicians","given":"Working Party of the Royal College of","non-dropping-particle":"","parse-names":false,"suffix":""},{"dropping-particle":"","family":"Royal College of Physicians","given":"","non-dropping-particle":"","parse-names":false,"suffix":""},{"dropping-particle":"","family":"Wass","given":"Valerie","non-dropping-particle":"","parse-names":false,"suffix":""}],"container-title":"Technical suplllement to a Report of a Working Party of the Royal College of Physicians of London","id":"ITEM-3","issue":"December 2005","issued":{"date-parts":[["2005"]]},"page":"S5-40","title":"Doctors in society. Medical professionalism in a changing world.","type":"article-journal","volume":"6"},"uris":["http://www.mendeley.com/documents/?uuid=ce1d3704-fe1e-46c6-8b85-2cb292b723f7"]},{"id":"ITEM-4","itemData":{"DOI":"10.1038/sj.bdj.2009.164","ISBN":"0007-0610","ISSN":"00070610","PMID":"19287419","abstract":"Professionalism has been identified as a core component of revalidation by the General Dental Council. However, analysis and debate over what it means to be a professional dentist is lacking in modern dentistry in the United Kingdom. The aim of this article is to open a debate on concepts of professionalism within dentistry, drawing on established thoughts in medicine and more limited material from the dental domain. The scope of discussion will extend to include definitions of professionalism, ethical issues within professionalism, professionalism in relation to revalidation and where all of these issues relate to dentistry perceived as a business. We can learn much from the medical community who have been driven to consider 'medical professionalism in a changing world', and in support of 'better patient care'. However, we can also contribute to the wider debate on professionalism by tackling the business angle, which has been largely ignored by our medical counterparts, and adding greater weight to the ethical implications of being a professional.","author":[{"dropping-particle":"","family":"Trathen","given":"A.","non-dropping-particle":"","parse-names":false,"suffix":""},{"dropping-particle":"","family":"Gallagher","given":"J. E.","non-dropping-particle":"","parse-names":false,"suffix":""}],"container-title":"British Dental Journal","id":"ITEM-4","issue":"5","issued":{"date-parts":[["2009"]]},"page":"249-253","title":"Dental professionalism: Definitions and debate","type":"article","volume":"206"},"uris":["http://www.mendeley.com/documents/?uuid=40b6b1a9-6029-4913-a056-c038ac90920b"]},{"id":"ITEM-5","itemData":{"DOI":"10.1136/jme.2006.017954","ISBN":"0306-6800 (Print)\r0306-6800 (Linking)","ISSN":"03066800","PMID":"17971471","abstract":"Residency training in the Netherlands is to be restructured over the coming years. To this end a general competence profile for medical specialists has been introduced. This profile is nearly the same as the Canadian CanMEDS 2000 model, which describes seven general areas of medical specialist competence, one of which is professionalism. In order to establish a training programme for residents and their instructors based on this competence, it is necessary to develop a vision that does justice to everyday medical practice. The two most prevailing views of professionalism--as personal, or as a behavioural characteristic--fall short of this. Only when professionalism is understood as reflective professionalism does it encompass the fundamental contextuality of medical treatment. This means that the focus of training and assessment must be shifted to accountability for treatment.","author":[{"dropping-particle":"","family":"Verkerk","given":"M. A.","non-dropping-particle":"","parse-names":false,"suffix":""},{"dropping-particle":"","family":"Bree","given":"M. J.","non-dropping-particle":"de","parse-names":false,"suffix":""},{"dropping-particle":"","family":"Mourits","given":"M. J.E.","non-dropping-particle":"","parse-names":false,"suffix":""}],"container-title":"Journal of Medical Ethics","id":"ITEM-5","issue":"11","issued":{"date-parts":[["2007"]]},"page":"663-666","title":"Reflective professionalism: Interpreting CanMEDS' \"professionalism\"","type":"article-journal","volume":"33"},"uris":["http://www.mendeley.com/documents/?uuid=bfabdc3b-30d3-4981-a2cc-bb6897d99ae3"]},{"id":"ITEM-6","itemData":{"DOI":"10.1080/01421590400019518","ISBN":"Taylor &amp;amp;&amp;quot;&amp;apos;&amp; Francis Health Sciences","ISSN":"0142159X","PMID":"15763872","abstract":"The aim of this study was to clarify which themes and elements constitute professionalism in medicine. Three consecutive steps were taken: (a) a systematic search of the literature to identify constituent elements of professionalism mentioned in definitions and descriptions of the concept; (b) analysis of these elements using the constant comparison technique to reveal possible themes covering these elements; and (c) validating the results using an expert panel. A total of 90 separate elements of professionalism were identified in the 57 articles included in our study. Three themes within professionalism were uncovered: (1) interpersonal professionalism; (2) public professionalism; and (3) intrapersonal professionalism. These themes were considered accurate by the expert panel which supports the validity of the results. Our findings show that the concept of professionalism is multidimensional and should be conceptualized as such.","author":[{"dropping-particle":"","family":"Camp","given":"Kalinka","non-dropping-particle":"van de","parse-names":false,"suffix":""},{"dropping-particle":"","family":"Vernooij-Dassen","given":"Myrra J.F.J.","non-dropping-particle":"","parse-names":false,"suffix":""},{"dropping-particle":"","family":"Grol","given":"Richard P.T.M.","non-dropping-particle":"","parse-names":false,"suffix":""},{"dropping-particle":"","family":"Bottema","given":"Ben J.A.M.","non-dropping-particle":"","parse-names":false,"suffix":""}],"container-title":"Medical Teacher","id":"ITEM-6","issue":"8","issued":{"date-parts":[["2004"]]},"page":"696-702","title":"How to conceptualize professionalism: A qualitative study","type":"article-journal","volume":"26"},"uris":["http://www.mendeley.com/documents/?uuid=94063ce6-37ab-411e-8b88-12a3322d3890"]}],"mendeley":{"formattedCitation":"(van de Camp &lt;i&gt;et al.&lt;/i&gt;, 2004; Physicians, Royal College of Physicians and Wass, 2005; Verkerk, de Bree and Mourits, 2007; Trathen and Gallagher, 2009; Cowpe &lt;i&gt;et al.&lt;/i&gt;, 2010; General Dental Council, 2013)","plainTextFormattedCitation":"(van de Camp et al., 2004; Physicians, Royal College of Physicians and Wass, 2005; Verkerk, de Bree and Mourits, 2007; Trathen and Gallagher, 2009; Cowpe et al., 2010; General Dental Council, 2013)","previouslyFormattedCitation":"(General Dental Council 2013; Cowpe et al. 2010; W. P. of the R. C. of Physicians, Royal College of Physicians, and Wass 2005; Trathen and Gallagher 2009; Verkerk, de Bree, and Mourits 2007; van de Camp et al. 2004)"},"properties":{"noteIndex":0},"schema":"https://github.com/citation-style-language/schema/raw/master/csl-citation.json"}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(v</w:t>
      </w:r>
      <w:r w:rsidR="00BE3B6C" w:rsidRPr="00AC0FAA">
        <w:rPr>
          <w:rFonts w:ascii="Times New Roman" w:hAnsi="Times New Roman" w:cs="Times New Roman"/>
          <w:noProof/>
          <w:sz w:val="24"/>
          <w:szCs w:val="24"/>
        </w:rPr>
        <w:t xml:space="preserve">an de Camp et al. 2004; </w:t>
      </w:r>
      <w:r w:rsidR="00AC0FAA">
        <w:rPr>
          <w:rFonts w:ascii="Times New Roman" w:hAnsi="Times New Roman" w:cs="Times New Roman"/>
          <w:noProof/>
          <w:sz w:val="24"/>
          <w:szCs w:val="24"/>
        </w:rPr>
        <w:t>The Royal College of Physicians</w:t>
      </w:r>
      <w:r w:rsidR="00BE3B6C" w:rsidRPr="00AC0FAA">
        <w:rPr>
          <w:rFonts w:ascii="Times New Roman" w:hAnsi="Times New Roman" w:cs="Times New Roman"/>
          <w:noProof/>
          <w:sz w:val="24"/>
          <w:szCs w:val="24"/>
        </w:rPr>
        <w:t xml:space="preserve"> 200</w:t>
      </w:r>
      <w:r w:rsidR="00AC0FAA">
        <w:rPr>
          <w:rFonts w:ascii="Times New Roman" w:hAnsi="Times New Roman" w:cs="Times New Roman"/>
          <w:noProof/>
          <w:sz w:val="24"/>
          <w:szCs w:val="24"/>
        </w:rPr>
        <w:t>5; Verkerk, de Bree and Mourits 2007; Trathen and Gallagher</w:t>
      </w:r>
      <w:r w:rsidR="00BE3B6C" w:rsidRPr="00AC0FAA">
        <w:rPr>
          <w:rFonts w:ascii="Times New Roman" w:hAnsi="Times New Roman" w:cs="Times New Roman"/>
          <w:noProof/>
          <w:sz w:val="24"/>
          <w:szCs w:val="24"/>
        </w:rPr>
        <w:t xml:space="preserve"> 2009; Cowpe et al. 2010; General Dental </w:t>
      </w:r>
      <w:r w:rsidR="00AC0FAA">
        <w:rPr>
          <w:rFonts w:ascii="Times New Roman" w:hAnsi="Times New Roman" w:cs="Times New Roman"/>
          <w:noProof/>
          <w:sz w:val="24"/>
          <w:szCs w:val="24"/>
        </w:rPr>
        <w:t>Council</w:t>
      </w:r>
      <w:r w:rsidR="00BE3B6C" w:rsidRPr="00AC0FAA">
        <w:rPr>
          <w:rFonts w:ascii="Times New Roman" w:hAnsi="Times New Roman" w:cs="Times New Roman"/>
          <w:noProof/>
          <w:sz w:val="24"/>
          <w:szCs w:val="24"/>
        </w:rPr>
        <w:t xml:space="preserve"> 2013)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is supported in our data with comments such as </w:t>
      </w:r>
      <w:r w:rsidR="00AC0FAA">
        <w:rPr>
          <w:rFonts w:ascii="Times New Roman" w:hAnsi="Times New Roman" w:cs="Times New Roman"/>
          <w:i/>
          <w:sz w:val="24"/>
          <w:szCs w:val="24"/>
        </w:rPr>
        <w:t>“</w:t>
      </w:r>
      <w:r w:rsidRPr="006F3B00">
        <w:rPr>
          <w:rFonts w:ascii="Times New Roman" w:hAnsi="Times New Roman" w:cs="Times New Roman"/>
          <w:i/>
          <w:sz w:val="24"/>
          <w:szCs w:val="24"/>
        </w:rPr>
        <w:t>I think being able to take feedback on board and reflect on it and to act on that feedback is a good important part of professionalism”.</w:t>
      </w:r>
      <w:r w:rsidRPr="006F3B00">
        <w:rPr>
          <w:rFonts w:ascii="Times New Roman" w:hAnsi="Times New Roman" w:cs="Times New Roman"/>
          <w:sz w:val="24"/>
          <w:szCs w:val="24"/>
        </w:rPr>
        <w:t xml:space="preserve"> Trainees who showed high levels of motivation and a willingness to learn were also valued by participants, and are positive traits which have been correlated to professionalism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 xml:space="preserve">ADDIN CSL_CITATION {"citationItems":[{"id":"ITEM-1","itemData":{"DOI":"10.1117/12.889178","abstract":"About this document This document sets out the standards of conduct, performance and ethics that govern you as a dental professional. It specifies the principles, standards and guidance which apply to all members of the dental team which includes: It also sets out what patients expect from their dental professionals. Principles: The core ethical principles of practice Patient expectations: What patients can expect from the dental team Standards: What registrants must do to ensure patient expectations are met Guidance: How registrants meet the standards There are nine principles registered dental professionals must keep to at all times. As a GDC registrant you must: </w:instrText>
      </w:r>
      <w:r w:rsidR="00BE3B6C">
        <w:rPr>
          <w:rFonts w:ascii="Times New Roman" w:hAnsi="Times New Roman" w:cs="Times New Roman"/>
          <w:sz w:val="24"/>
          <w:szCs w:val="24"/>
        </w:rPr>
        <w:instrText xml:space="preserve"> Put patients' interests first </w:instrText>
      </w:r>
      <w:r w:rsidR="00BE3B6C">
        <w:rPr>
          <w:rFonts w:ascii="Times New Roman" w:hAnsi="Times New Roman" w:cs="Times New Roman"/>
          <w:sz w:val="24"/>
          <w:szCs w:val="24"/>
        </w:rPr>
        <w:instrText xml:space="preserve"> Communicate effectively with patients </w:instrText>
      </w:r>
      <w:r w:rsidR="00BE3B6C">
        <w:rPr>
          <w:rFonts w:ascii="Times New Roman" w:hAnsi="Times New Roman" w:cs="Times New Roman"/>
          <w:sz w:val="24"/>
          <w:szCs w:val="24"/>
        </w:rPr>
        <w:instrText xml:space="preserve"> Obtain valid consent </w:instrText>
      </w:r>
      <w:r w:rsidR="00BE3B6C">
        <w:rPr>
          <w:rFonts w:ascii="Times New Roman" w:hAnsi="Times New Roman" w:cs="Times New Roman"/>
          <w:sz w:val="24"/>
          <w:szCs w:val="24"/>
        </w:rPr>
        <w:instrText xml:space="preserve"> Maintain and protect patients' information </w:instrText>
      </w:r>
      <w:r w:rsidR="00BE3B6C">
        <w:rPr>
          <w:rFonts w:ascii="Times New Roman" w:hAnsi="Times New Roman" w:cs="Times New Roman"/>
          <w:sz w:val="24"/>
          <w:szCs w:val="24"/>
        </w:rPr>
        <w:instrText xml:space="preserve"> Have a clear and effective complaints procedure </w:instrText>
      </w:r>
      <w:r w:rsidR="00BE3B6C">
        <w:rPr>
          <w:rFonts w:ascii="Times New Roman" w:hAnsi="Times New Roman" w:cs="Times New Roman"/>
          <w:sz w:val="24"/>
          <w:szCs w:val="24"/>
        </w:rPr>
        <w:instrText xml:space="preserve"> Work with colleagues in a way that is in patients' best interests </w:instrText>
      </w:r>
      <w:r w:rsidR="00BE3B6C">
        <w:rPr>
          <w:rFonts w:ascii="Times New Roman" w:hAnsi="Times New Roman" w:cs="Times New Roman"/>
          <w:sz w:val="24"/>
          <w:szCs w:val="24"/>
        </w:rPr>
        <w:instrText xml:space="preserve"> Maintain, develop and work within your professional knowledge and skills </w:instrText>
      </w:r>
      <w:r w:rsidR="00BE3B6C">
        <w:rPr>
          <w:rFonts w:ascii="Times New Roman" w:hAnsi="Times New Roman" w:cs="Times New Roman"/>
          <w:sz w:val="24"/>
          <w:szCs w:val="24"/>
        </w:rPr>
        <w:instrText xml:space="preserve"> Raise concerns if patients are at risk </w:instrText>
      </w:r>
      <w:r w:rsidR="00BE3B6C">
        <w:rPr>
          <w:rFonts w:ascii="Times New Roman" w:hAnsi="Times New Roman" w:cs="Times New Roman"/>
          <w:sz w:val="24"/>
          <w:szCs w:val="24"/>
        </w:rPr>
        <w:instrText xml:space="preserve"> Make sure your personal behaviour maintains patients' confidence in you and the dental profession The principles are all equally important and are not listed in order of priority. They are supplemented by additional guidance documents which can be found on our website at www.gdc-uk.org and which you must also follow. You have an individual responsibility to behave professionally and follow these principles at all times. </w:instrText>
      </w:r>
      <w:r w:rsidR="00BE3B6C">
        <w:rPr>
          <w:rFonts w:ascii="Times New Roman" w:hAnsi="Times New Roman" w:cs="Times New Roman"/>
          <w:sz w:val="24"/>
          <w:szCs w:val="24"/>
        </w:rPr>
        <w:instrText xml:space="preserve"> The standards set out what you must do. If you do not meet these standards, you may be removed from our register and not be able to work as a dental professional. </w:instrText>
      </w:r>
      <w:r w:rsidR="00BE3B6C">
        <w:rPr>
          <w:rFonts w:ascii="Times New Roman" w:hAnsi="Times New Roman" w:cs="Times New Roman"/>
          <w:sz w:val="24"/>
          <w:szCs w:val="24"/>
        </w:rPr>
        <w:instrText> The guidance is there to help you to meet the standards. You are expected to follow the guidance, to use your professional judgment, demonstrate insight at all times and be able to justify any decision that is not in line with the guidance. Serious or persistent failure to follow the guidance could see you removed from our register and not able to work as a dental professional. Throughout this document:","author":[{"dropping-particle":"","family":"General Dental Council","given":"","non-dropping-particle":"","parse-names":false,"suffix":""}],"container-title":"Standards for the Dental Team","id":"ITEM-1","issue":"June","issued":{"date-parts":[["2013"]]},"title":"Standards for the Dental Team www.gdc-uk.org","type":"article-journal"},"uris":["http://www.mendeley.com/documents/?uuid=04398bc4-6073-4a8f-a24e-5d4f56f6caef"]},{"id":"ITEM-2","itemData":{"DOI":"10.1111/j.1600-0579.2009.00609.x","ISBN":"1396-5883","ISSN":"13965883","PMID":"20946246","abstract":"This paper presents the profile and competences for the European Dentist as approved by the General Assembly of the Association for Dental Education in Europe at its annual meeting held in Helsinki in August 2009. A new taskforce was convened to update the previous document published in 2005. The updated document was then sent to all European Dental Schools, ministries of health, national dental associations and dental specialty associations or societies in Europe. The feedback received was used to improve the document. European dental schools are expected to adhere to the profile and the 17 major competences but the supporting competences may vary in detail between schools. The document will be reviewed once again in 5 years time. Feedback to the newly published document is welcomed and all dental educators are encouraged to draw upon the content of the paper to assist them in harmonising the curriculum throughout Europe with the aim of improving the quality of the dental curriculum.","author":[{"dropping-particle":"","family":"Cowpe","given":"J.","non-dropping-particle":"","parse-names":false,"suffix":""},{"dropping-particle":"","family":"Plasschaert","given":"A.","non-dropping-particle":"","parse-names":false,"suffix":""},{"dropping-particle":"","family":"Harzer","given":"W.","non-dropping-particle":"","parse-names":false,"suffix":""},{"dropping-particle":"","family":"Vinkka-Puhakka","given":"H.","non-dropping-particle":"","parse-names":false,"suffix":""},{"dropping-particle":"","family":"Walmsley","given":"A. D.","non-dropping-particle":"","parse-names":false,"suffix":""}],"container-title":"European Journal of Dental Education","id":"ITEM-2","issue":"4","issued":{"date-parts":[["2010"]]},"page":"193-202","title":"Profile and competences for the graduating European dentist - update 2009","type":"article-journal","volume":"14"},"uris":["http://www.mendeley.com/documents/?uuid=c8d4454d-e71d-452c-979a-dc7a3775e12f"]},{"id":"ITEM-3","itemData":{"DOI":"10.7861/clinmedicine.6-1-7","ISBN":"1 86016 256 8","ISSN":"1470-2118","PMID":"16408403","abstract":"Medicine bridges the gap between science and society. Indeed, the application of scientific knowledge to human health is a crucial aspect of clinical practice. Doctors are one important agent through which that scientific understanding is expressed. But medicine is more than the sum of our knowledge about disease. Medicine concerns the experiences, feelings, and interpretations of human beings in often extraordinary moments of fear, anxiety, and doubt. In this extremely vulnerable position, it is medical professionalism that underpins the trust the public has in doctors. This Working Party was established to define the nature and role of medical professionalism in modern society. Britain's health system is undergoing enormous change. The entry of multiple health providers, the wish for more equal engagement between patients and professionals, and the ever-greater contribution of science to advances in clinical practice all demand a clear statement of medicine's unifying purpose and doctors' common values. What is medical professionalism and does it matter to patients? Although evidence is lacking that more robust professionalism will inevitably lead to better health outcomes, patients certainly understand the meaning of poor professionalism and associate it with poor medical care. The public is well aware that an absence of professionalism is harmful to their interests. The Working Party's view, based on the evidence it has received, is that medical professionalism lies at the heart of being a good doctor. The values that doctors embrace set a standard for what patients expect from their medical practitioners. The practice of medicine is distinguished by the need for judgement in the face of uncertainty. Doctors take responsibility for these judgements and their consequences. A doctor's up-to-date knowledge and skill provide the explicit scientific and often tacit experiential basis for such judgements. But because so much of medicine's unpredictability calls for wisdom as well as technical ability, doctors are vulnerable to the charge that their decisions are neither transparent nor accountable. In an age where deference is dead and league tables are the norm, doctors must be clearer about what they do, and how and why they do it. We define medical professionalism as a set of values, behaviours, and relationships that underpin the trust the public has in doctors. We go on to describe what those values, behaviours, and relationships are, how they are ch…","author":[{"dropping-particle":"","family":"Physicians","given":"Working Party of the Royal College of","non-dropping-particle":"","parse-names":false,"suffix":""},{"dropping-particle":"","family":"Royal College of Physicians","given":"","non-dropping-particle":"","parse-names":false,"suffix":""},{"dropping-particle":"","family":"Wass","given":"Valerie","non-dropping-particle":"","parse-names":false,"suffix":""}],"container-title":"Technical suplllement to a Report of a Working Party of the Royal College of Physicians of London","id":"ITEM-3","issue":"December 2005","issued":{"date-parts":[["2005"]]},"page":"S5-40","title":"Doctors in society. Medical professionalism in a changing world.","type":"article-journal","volume":"6"},"uris":["http://www.mendeley.com/documents/?uuid=ce1d3704-fe1e-46c6-8b85-2cb292b723f7"]},{"id":"ITEM-4","itemData":{"DOI":"10.3402/jchimp.v4.24226","ISSN":"2000-9666","abstract":"In 1992, the American Board of Internal Medicine (ABIM) convened a committee, which produced a white paper entitled Project Professionalism. John Stobo, chairman of The Johns Hopkins University Department of Medicine, chaired the committee. The paper emphasized values and ethics standards that would be required for board certification. It also pointed out that suboptimal professional behavior negatively impacted patient care.   In 2002, the ABIM combined with the American College of Physicians (ACP) and the European Federation of Internal Medicine to put forth a charter on professionalism for a new millennium. With the dawn of the Accreditation Council for Graduate Medical Education (ACGME) new accreditation process in 2013, there has been an increased emphasis on the documentation and proof of satisfactory professionalism for all residents in approved training programs in the United States.   Citation: Journal of Community Hospital Internal Medicine Perspectives 2014, 4: 24226 - http://dx.doi.org/10.3402/jchimp.v4.24226","author":[{"dropping-particle":"","family":"Ferguson","given":"Robert P.","non-dropping-particle":"","parse-names":false,"suffix":""}],"container-title":"Journal of Community Hospital Internal Medicine Perspectives","id":"ITEM-4","issue":"2","issued":{"date-parts":[["2014"]]},"page":"24226","title":"Professionalism: hard to measure but you know it when you see it","type":"article-journal","volume":"4"},"uris":["http://www.mendeley.com/documents/?uuid=9184d55e-3ba0-4654-81ec-b27d49276e0c"]}],"mendeley":{"formattedCitation":"(Physicians, Royal College of Physicians and Wass, 2005; Cowpe &lt;i&gt;et al.&lt;/i&gt;, 2010; General Dental Council, 2013; Ferguson, 2014)","plainTextFormattedCitation":"(Physicians, Royal College of Physicians and Wass, 2005; Cowpe et al., 2010; General Dental Council, 2013; Ferguson, 2014)","previouslyFormattedCitation":"(General Dental Council 2013; Cowpe et al. 2010; W. P. of the R. C. of Physicians, Royal College of Physicians, and Wass 2005; Ferguson 2014)"},"properties":{"noteIndex":0},"schema":"https://github.com/citation-style-language/schema/raw/master/csl-citation.json"}</w:instrText>
      </w:r>
      <w:r w:rsidRPr="006F3B00">
        <w:rPr>
          <w:rFonts w:ascii="Times New Roman" w:hAnsi="Times New Roman" w:cs="Times New Roman"/>
          <w:sz w:val="24"/>
          <w:szCs w:val="24"/>
        </w:rPr>
        <w:fldChar w:fldCharType="separate"/>
      </w:r>
      <w:r w:rsidR="00AC0FAA">
        <w:rPr>
          <w:rFonts w:ascii="Times New Roman" w:hAnsi="Times New Roman" w:cs="Times New Roman"/>
          <w:noProof/>
          <w:sz w:val="24"/>
          <w:szCs w:val="24"/>
        </w:rPr>
        <w:t xml:space="preserve">(The </w:t>
      </w:r>
      <w:r w:rsidR="00BE3B6C" w:rsidRPr="00BE3B6C">
        <w:rPr>
          <w:rFonts w:ascii="Times New Roman" w:hAnsi="Times New Roman" w:cs="Times New Roman"/>
          <w:noProof/>
          <w:sz w:val="24"/>
          <w:szCs w:val="24"/>
        </w:rPr>
        <w:t>Royal</w:t>
      </w:r>
      <w:r w:rsidR="00AC0FAA">
        <w:rPr>
          <w:rFonts w:ascii="Times New Roman" w:hAnsi="Times New Roman" w:cs="Times New Roman"/>
          <w:noProof/>
          <w:sz w:val="24"/>
          <w:szCs w:val="24"/>
        </w:rPr>
        <w:t xml:space="preserve"> College of Physicians </w:t>
      </w:r>
      <w:r w:rsidR="00BE3B6C" w:rsidRPr="00BE3B6C">
        <w:rPr>
          <w:rFonts w:ascii="Times New Roman" w:hAnsi="Times New Roman" w:cs="Times New Roman"/>
          <w:noProof/>
          <w:sz w:val="24"/>
          <w:szCs w:val="24"/>
        </w:rPr>
        <w:t>2005; Cowp</w:t>
      </w:r>
      <w:r w:rsidR="00BE3B6C" w:rsidRPr="00AC0FAA">
        <w:rPr>
          <w:rFonts w:ascii="Times New Roman" w:hAnsi="Times New Roman" w:cs="Times New Roman"/>
          <w:noProof/>
          <w:sz w:val="24"/>
          <w:szCs w:val="24"/>
        </w:rPr>
        <w:t>e et al.</w:t>
      </w:r>
      <w:r w:rsidR="00AC0FAA">
        <w:rPr>
          <w:rFonts w:ascii="Times New Roman" w:hAnsi="Times New Roman" w:cs="Times New Roman"/>
          <w:noProof/>
          <w:sz w:val="24"/>
          <w:szCs w:val="24"/>
        </w:rPr>
        <w:t xml:space="preserve"> 2010; General Dental Council 2013; Ferguson</w:t>
      </w:r>
      <w:r w:rsidR="00BE3B6C" w:rsidRPr="00BE3B6C">
        <w:rPr>
          <w:rFonts w:ascii="Times New Roman" w:hAnsi="Times New Roman" w:cs="Times New Roman"/>
          <w:noProof/>
          <w:sz w:val="24"/>
          <w:szCs w:val="24"/>
        </w:rPr>
        <w:t xml:space="preserve"> 2014)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.Therefore, the aspects of professionalism that make up the theme of professionalism were not particularly specific or novel to histopathology.  However, it shows that professionalism is an integral part of histopathology, mirroring the wider dental and medical literature. Further, this study is the first to demonstrate that professionalism is an integral part of diagnostic competence. This is important to </w:t>
      </w:r>
      <w:r w:rsidRPr="006F3B00">
        <w:rPr>
          <w:rFonts w:ascii="Times New Roman" w:hAnsi="Times New Roman" w:cs="Times New Roman"/>
          <w:sz w:val="24"/>
          <w:szCs w:val="24"/>
        </w:rPr>
        <w:lastRenderedPageBreak/>
        <w:t xml:space="preserve">appreciate as one might consider that diagnostic competence relates to the “ability to make a diagnosis” and professionalism is a separate consideration. As described earlier, competency and professionalism are inexorably linked both in the literature and in the data. Assessments which measure diagnostic competence must therefore reflect this stance, incorporating professionalism descriptors. This is highlighted by one participant who explained </w:t>
      </w:r>
      <w:r w:rsidRPr="006F3B00">
        <w:rPr>
          <w:rFonts w:ascii="Times New Roman" w:hAnsi="Times New Roman" w:cs="Times New Roman"/>
          <w:i/>
          <w:sz w:val="24"/>
          <w:szCs w:val="24"/>
        </w:rPr>
        <w:t>“it's not just the diagnosis it's the whole…right from the specimen arriving to the report going out. So it's the whole thing. It's a different aspect, it's not the same as diagnosis but it is... part of their all-round competence I'd say”.</w:t>
      </w:r>
      <w:r w:rsidRPr="006F3B00">
        <w:rPr>
          <w:rFonts w:ascii="Times New Roman" w:hAnsi="Times New Roman" w:cs="Times New Roman"/>
          <w:sz w:val="24"/>
          <w:szCs w:val="24"/>
        </w:rPr>
        <w:t xml:space="preserve"> This is replicated in the conceptual framework as it is both the “person” and “process” that are needed to make a diagnosis. </w:t>
      </w:r>
    </w:p>
    <w:p w14:paraId="0748E3F0"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Reflection</w:t>
      </w:r>
    </w:p>
    <w:p w14:paraId="125D17DA" w14:textId="0F66B0C0" w:rsidR="00863DF5" w:rsidRPr="006F3B00" w:rsidRDefault="00863DF5" w:rsidP="00863DF5">
      <w:pPr>
        <w:spacing w:line="480" w:lineRule="auto"/>
        <w:rPr>
          <w:rFonts w:ascii="Times New Roman" w:hAnsi="Times New Roman" w:cs="Times New Roman"/>
          <w:sz w:val="24"/>
          <w:szCs w:val="24"/>
        </w:rPr>
      </w:pPr>
      <w:r w:rsidRPr="006F3B00">
        <w:rPr>
          <w:rFonts w:ascii="Times New Roman" w:eastAsia="Times New Roman" w:hAnsi="Times New Roman" w:cs="Times New Roman"/>
          <w:sz w:val="24"/>
          <w:szCs w:val="24"/>
        </w:rPr>
        <w:t xml:space="preserve">Reflection can be described as a metacognitive process that creates a greater understanding of both the self and the situation so that future actions can be informed by this understanding </w:t>
      </w:r>
      <w:r w:rsidRPr="006F3B00">
        <w:rPr>
          <w:rFonts w:ascii="Times New Roman" w:eastAsia="Times New Roman" w:hAnsi="Times New Roman" w:cs="Times New Roman"/>
          <w:sz w:val="24"/>
          <w:szCs w:val="24"/>
        </w:rPr>
        <w:fldChar w:fldCharType="begin" w:fldLock="1"/>
      </w:r>
      <w:r w:rsidR="00BE3B6C">
        <w:rPr>
          <w:rFonts w:ascii="Times New Roman" w:eastAsia="Times New Roman" w:hAnsi="Times New Roman" w:cs="Times New Roman"/>
          <w:sz w:val="24"/>
          <w:szCs w:val="24"/>
        </w:rPr>
        <w:instrText>ADDIN CSL_CITATION {"citationItems":[{"id":"ITEM-1","itemData":{"DOI":"10.1080/01421590903050374","ISBN":"1466-187X (Electronic)\\r0142-159X (Linking)","ISSN":"0142159X","PMID":"19811204","abstract":"Reflection is a metacognitive process that creates a greater understanding of both the self and the situation so that future actions can be informed by this understanding. Self-regulated and lifelong learning have reflection as an essential aspect, and it is also required to develop both a therapeutic relationship and professional expertise. There are a variety of educational approaches in undergraduate, postgraduate and continuing medical education that can be used to facilitate reflection, from text based reflective journals and critical incident reports to the creative use of digital media and storytelling. The choice of approach varies with the intended outcomes, but it should also be determined by the user since everyone has a preferred style. Guided reflection, with supportive challenge from a mentor or facilitator, is important so that underlying assumptions can be challenged and new perspectives considered. Feedback also has an important role to enhance reflection. There is little research evidence to suggest that reflection improves quality of care but the process of care can be enhanced.","author":[{"dropping-particle":"","family":"Sandars","given":"John","non-dropping-particle":"","parse-names":false,"suffix":""}],"container-title":"Medical Teacher","id":"ITEM-1","issue":"8","issued":{"date-parts":[["2009"]]},"page":"685-695","title":"The use of reflection in medical education: AMEE Guide No. 44","type":"article","volume":"31"},"uris":["http://www.mendeley.com/documents/?uuid=486f7f70-8613-4bfa-aca1-e19670efd1c7"]}],"mendeley":{"formattedCitation":"(Sandars, 2009)","plainTextFormattedCitation":"(Sandars, 2009)","previouslyFormattedCitation":"(Sandars 2009)"},"properties":{"noteIndex":0},"schema":"https://github.com/citation-style-language/schema/raw/master/csl-citation.json"}</w:instrText>
      </w:r>
      <w:r w:rsidRPr="006F3B00">
        <w:rPr>
          <w:rFonts w:ascii="Times New Roman" w:eastAsia="Times New Roman" w:hAnsi="Times New Roman" w:cs="Times New Roman"/>
          <w:sz w:val="24"/>
          <w:szCs w:val="24"/>
        </w:rPr>
        <w:fldChar w:fldCharType="separate"/>
      </w:r>
      <w:r w:rsidR="00AC0FAA">
        <w:rPr>
          <w:rFonts w:ascii="Times New Roman" w:eastAsia="Times New Roman" w:hAnsi="Times New Roman" w:cs="Times New Roman"/>
          <w:noProof/>
          <w:sz w:val="24"/>
          <w:szCs w:val="24"/>
        </w:rPr>
        <w:t>(Sandars</w:t>
      </w:r>
      <w:r w:rsidR="00BE3B6C" w:rsidRPr="00BE3B6C">
        <w:rPr>
          <w:rFonts w:ascii="Times New Roman" w:eastAsia="Times New Roman" w:hAnsi="Times New Roman" w:cs="Times New Roman"/>
          <w:noProof/>
          <w:sz w:val="24"/>
          <w:szCs w:val="24"/>
        </w:rPr>
        <w:t xml:space="preserve"> 2009)</w:t>
      </w:r>
      <w:r w:rsidRPr="006F3B00">
        <w:rPr>
          <w:rFonts w:ascii="Times New Roman" w:eastAsia="Times New Roman" w:hAnsi="Times New Roman" w:cs="Times New Roman"/>
          <w:sz w:val="24"/>
          <w:szCs w:val="24"/>
        </w:rPr>
        <w:fldChar w:fldCharType="end"/>
      </w:r>
      <w:r w:rsidRPr="006F3B00">
        <w:rPr>
          <w:rFonts w:ascii="Times New Roman" w:eastAsia="Times New Roman" w:hAnsi="Times New Roman" w:cs="Times New Roman"/>
          <w:sz w:val="24"/>
          <w:szCs w:val="24"/>
        </w:rPr>
        <w:t xml:space="preserve">. It has been extensively linked to being an integral part of professionalism as previously discussed </w:t>
      </w:r>
      <w:r w:rsidRPr="006F3B00">
        <w:rPr>
          <w:rFonts w:ascii="Times New Roman" w:eastAsia="Times New Roman" w:hAnsi="Times New Roman" w:cs="Times New Roman"/>
          <w:sz w:val="24"/>
          <w:szCs w:val="24"/>
        </w:rPr>
        <w:fldChar w:fldCharType="begin" w:fldLock="1"/>
      </w:r>
      <w:r w:rsidR="00BE3B6C">
        <w:rPr>
          <w:rFonts w:ascii="Times New Roman" w:eastAsia="Times New Roman" w:hAnsi="Times New Roman" w:cs="Times New Roman"/>
          <w:sz w:val="24"/>
          <w:szCs w:val="24"/>
        </w:rPr>
        <w:instrText>ADDIN CSL_CITATION {"citationItems":[{"id":"ITEM-1","itemData":{"author":[{"dropping-particle":"","family":"Schon DA","given":"","non-dropping-particle":"","parse-names":false,"suffix":""}],"id":"ITEM-1","issued":{"date-parts":[["1983"]]},"publisher":"Basic Books","publisher-place":"New York","title":"The reflective practitioner","type":"book"},"uris":["http://www.mendeley.com/documents/?uuid=dbb62fb6-373a-4635-91e1-4bd514a356d2"]},{"id":"ITEM-2","itemData":{"DOI":"10.1046/j.1365-2648.1993.18081188.x","ISBN":"0309-2402 (Print)\\r0309-2402 (Linking)","ISSN":"13652648","PMID":"8376656","abstract":"This paper is a review of the literature on reflection. The purpose was to unravel and make sense of the complex literature, and to identify the skills required to engage in reflection. An analysis of the literature revealed that differences between authors’ accounts of reflective processes are largely those of terminology, detail and the extent to which these processes are arranged in a hierarchy. Key stages of reflection are identified and represented by a model. Skills required to engage in reflection were found to be implicit in the literature and these are identified. Methodological issues related to empirical literature are discussed. It is suggested that reflection is an important learning tool in professional education and that the skills required for reflection need to be developed in professional courses.","author":[{"dropping-particle":"","family":"Atkins","given":"Sue","non-dropping-particle":"","parse-names":false,"suffix":""},{"dropping-particle":"","family":"Murphy","given":"Kathy","non-dropping-particle":"","parse-names":false,"suffix":""}],"container-title":"Journal of Advanced Nursing","id":"ITEM-2","issue":"8","issued":{"date-parts":[["1993"]]},"page":"1188-1192","title":"Reflection: a review of the literature","type":"article-journal","volume":"18"},"uris":["http://www.mendeley.com/documents/?uuid=bc13bbfd-1b9b-4945-96ab-acb1cd3f01cc"]},{"id":"ITEM-3","itemData":{"DOI":"9780203486016","ISBN":"0750703318","abstract":"This volume analyzes different types of knowledge and know-how used by practising professionals in their work and how these different kinds of knowledge are acquired by a combination of learning from books, learning from people and learning from personal experience.; Drawing on various examples, problems addressed include the way theory changes and is personalized in practice, and how individuals form generalizations out of their practice. Eraut considers the meaning of client-centredness and its implications, and to what extent professional knowledge is based on intuition, understanding and learning. He considers the issue of competence versus knowledge and the effect of lifelong learning on the quality of practice.","author":[{"dropping-particle":"","family":"Eraut","given":"Michael","non-dropping-particle":"","parse-names":false,"suffix":""}],"container-title":"Knowledge Creation Diffusion Utilization","id":"ITEM-3","issued":{"date-parts":[["1994"]]},"number-of-pages":"260","title":"Developing professional knowledge and competence","type":"book"},"uris":["http://www.mendeley.com/documents/?uuid=81cbacf2-c1a5-4277-9515-3b77c364f751"]}],"mendeley":{"formattedCitation":"(Schon DA, 1983; Atkins and Murphy, 1993; Eraut, 1994a)","plainTextFormattedCitation":"(Schon DA, 1983; Atkins and Murphy, 1993; Eraut, 1994a)","previouslyFormattedCitation":"(Schon DA 1983; Atkins and Murphy 1993; Eraut 1994a)"},"properties":{"noteIndex":0},"schema":"https://github.com/citation-style-language/schema/raw/master/csl-citation.json"}</w:instrText>
      </w:r>
      <w:r w:rsidRPr="006F3B00">
        <w:rPr>
          <w:rFonts w:ascii="Times New Roman" w:eastAsia="Times New Roman" w:hAnsi="Times New Roman" w:cs="Times New Roman"/>
          <w:sz w:val="24"/>
          <w:szCs w:val="24"/>
        </w:rPr>
        <w:fldChar w:fldCharType="separate"/>
      </w:r>
      <w:r w:rsidR="00AC0FAA">
        <w:rPr>
          <w:rFonts w:ascii="Times New Roman" w:eastAsia="Times New Roman" w:hAnsi="Times New Roman" w:cs="Times New Roman"/>
          <w:noProof/>
          <w:sz w:val="24"/>
          <w:szCs w:val="24"/>
        </w:rPr>
        <w:t>(Schon 1983; Atkins and Murphy 1993; Eraut 1994</w:t>
      </w:r>
      <w:r w:rsidR="00BE3B6C" w:rsidRPr="00BE3B6C">
        <w:rPr>
          <w:rFonts w:ascii="Times New Roman" w:eastAsia="Times New Roman" w:hAnsi="Times New Roman" w:cs="Times New Roman"/>
          <w:noProof/>
          <w:sz w:val="24"/>
          <w:szCs w:val="24"/>
        </w:rPr>
        <w:t>)</w:t>
      </w:r>
      <w:r w:rsidRPr="006F3B00">
        <w:rPr>
          <w:rFonts w:ascii="Times New Roman" w:eastAsia="Times New Roman" w:hAnsi="Times New Roman" w:cs="Times New Roman"/>
          <w:sz w:val="24"/>
          <w:szCs w:val="24"/>
        </w:rPr>
        <w:fldChar w:fldCharType="end"/>
      </w:r>
      <w:r w:rsidRPr="006F3B00">
        <w:rPr>
          <w:rFonts w:ascii="Times New Roman" w:eastAsia="Times New Roman" w:hAnsi="Times New Roman" w:cs="Times New Roman"/>
          <w:sz w:val="24"/>
          <w:szCs w:val="24"/>
        </w:rPr>
        <w:t xml:space="preserve">.  </w:t>
      </w:r>
      <w:r w:rsidRPr="006F3B00">
        <w:rPr>
          <w:rFonts w:ascii="Times New Roman" w:hAnsi="Times New Roman" w:cs="Times New Roman"/>
          <w:sz w:val="24"/>
          <w:szCs w:val="24"/>
        </w:rPr>
        <w:t>Reflection, either as part of professionalism, or as a stand-alone quality, is also an important part of clinical competence</w:t>
      </w:r>
      <w:r w:rsidR="005C18AD">
        <w:rPr>
          <w:rFonts w:ascii="Times New Roman" w:hAnsi="Times New Roman" w:cs="Times New Roman"/>
          <w:sz w:val="24"/>
          <w:szCs w:val="24"/>
        </w:rPr>
        <w:t xml:space="preserve"> </w:t>
      </w:r>
      <w:r w:rsidRPr="00AC0FAA">
        <w:rPr>
          <w:rFonts w:ascii="Times New Roman" w:hAnsi="Times New Roman" w:cs="Times New Roman"/>
          <w:sz w:val="24"/>
          <w:szCs w:val="24"/>
        </w:rPr>
        <w:fldChar w:fldCharType="begin" w:fldLock="1"/>
      </w:r>
      <w:r w:rsidR="00BE3B6C" w:rsidRPr="00AC0FAA">
        <w:rPr>
          <w:rFonts w:ascii="Times New Roman" w:hAnsi="Times New Roman" w:cs="Times New Roman"/>
          <w:sz w:val="24"/>
          <w:szCs w:val="24"/>
        </w:rPr>
        <w:instrText>ADDIN CSL_CITATION {"citationItems":[{"id":"ITEM-1","itemData":{"author":[{"dropping-particle":"","family":"Kaufman, DM, Mann","given":"KV.","non-dropping-particle":"","parse-names":false,"suffix":""}],"container-title":"Understanding Medical Education: Evidence, Theory and Practice","editor":[{"dropping-particle":"","family":"Swanwick","given":"T","non-dropping-particle":"","parse-names":false,"suffix":""}],"id":"ITEM-1","issued":{"date-parts":[["2010"]]},"page":"16-36","publisher":"Wiley-Blackwell","publisher-place":"Oxford, UK","title":"Teaching and learning in medical education: How theory can inform practice","type":"chapter"},"uris":["http://www.mendeley.com/documents/?uuid=12d54735-276b-4f03-bd2e-9866aee06934"]},{"id":"ITEM-2","itemData":{"DOI":"10.1001/jama.287.2.226","ISBN":"0098-7484 (Print)","ISSN":"0098-7484","PMID":"11779266","abstract":"Context Current assessment formats for physicians and trainees reliably test core knowl- edge and basic skills. However, they may underemphasize some important domains of professional medical practice, including interpersonal skills, lifelong learning, pro- fessionalism, and integration of core knowledge into clinical practice. Objectives To propose a definition of professional competence, to review current means for assessing it, and to suggest new approaches to assessment. Data Sources We searched the MEDLINE database from 1966 to 2001 and refer- ence lists of relevant articles for English-language studies of reliability or validity of measures of competence of physicians, medical students, and residents. Study Selection We excluded articles of a purely descriptive nature, duplicate re- ports, reviews, and opinions and position statements, which yielded 195 relevant ci- tations. Data Extraction Data were abstracted by 1 of us (R.M.E.). Quality criteria for in- clusion were broad, given the heterogeneity of interventions, complexity of outcome measures, and paucity of randomized or longitudinal study designs. Data Synthesis We generated an inclusive definition of competence: the habitual and judicious use of communication, knowledge, technical skills, clinical reasoning, emo- tions, values, and reflection in daily practice for the benefit of the individual and the community being served. Aside from protecting the public and limiting access to ad- vanced training, assessments should foster habits of learning and self-reflection and drive institutional change. Subjective, multiple-choice, and standardized patient as- sessments, although reliable, underemphasize important domains of professional com- petence: integration of knowledge and skills, context of care, information manage- ment, teamwork, health systems, and patient-physician relationships. Few assessments observe trainees in real-life situations, incorporate the perspectives of peers and pa- tients, or use measures that predict clinical outcomes. Conclusions In addition to assessments of basic skills, new formats that assess clini- cal reasoning, expert judgment, management of ambiguity, professionalism, time man- agement, learning strategies, and teamwork promise a multidimensional assessment while maintaining adequate reliability and validity. Institutional support, reflection, and mentoring must accompany the development of assessment programs.","author":[{"dropping-particle":"","family":"Epstein","given":"Ronald M","non-dropping-particle":"","parse-names":false,"suffix":""},{"dropping-particle":"","family":"Hundert","given":"Edward M","non-dropping-particle":"","parse-names":false,"suffix":""}],"container-title":"JAMA : the journal of the American Medical Association","id":"ITEM-2","issue":"2","issued":{"date-parts":[["2002"]]},"page":"226-235","title":"Defining and assessing professional competence","type":"article-journal","volume":"287"},"uris":["http://www.mendeley.com/documents/?uuid=693dadfb-d6e5-4adb-884e-ef0bad7dbf60"]},{"id":"ITEM-3","itemData":{"DOI":"10.1111/j.1365-2923.2011.04056.x","ISBN":"1365-2923 (Electronic) 0308-0110 (Linking)","ISSN":"03080110","PMID":"21995509","abstract":"OBJECTIVES: Workplace-based assessment (WPBA) is an increasingly important part of postgraduate medical training and its results may be used as evidence of professional competence. This study evaluates the ability of WPBA to distinguish UK Foundation Programme (FP) doctors with training difficulties and its effectiveness as a surrogate marker for deficiencies in professional competence.\\n\\nMETHODS: We conducted a retrospective observational study using anonymised records for 1646 trainees in a single UK postgraduate deanery. Data for WPBAs conducted from August 2005 to April 2009 were extracted from the e-portfolio database. These data included all scores submitted by trainees in FP years 1 and 2 on mini-clinical evaluation exercise (mini-CEX), case-based discussion (CbD), direct observation of procedural skills (DOPS) and mini-peer assessment tool (mini-PAT) assessments. Records of trainees in difficulty, as identified by their educational supervisors, were tagged as index cases. Main outcome measures were odds ratios (ORs) for associations between mean WPBA scores and training difficulties. Further analyses by the reported aetiology of the training difficulty (health-, conduct- or performance-related) were performed.\\n\\nRESULTS: Of the 1646 trainees, 92 had been identified as being in difficulty. Mean CbD and mini-CEX scores were lower for trainees in difficulty and an association was found between identified training difficulties and average scores on the mini-CEX (OR = 0.54; p = 0.034) and CbD (OR = 0.39; p = 0.002). A receiver operator characteristic curve analysis of mean WPBA scores for diagnosing 'in difficulty' status yielded an area under the curve of 0.64, indicating weak predictive value. There was no statistical evidence that mean scores on DOPS and mini-PAT assessments differed between the two groups.\\n\\nCONCLUSIONS: Analysis of a large dataset of WPBA scores revealed significant associations between training difficulties and lower mean scores on both the mini-CEX and CbD. Models show that using WPBA scores is, however, not a valid way of screening for trainees in difficulty. Workplace-based assessments have value as formative assessments that prompt supervision, feedback and reflection. They should not be relied upon to certify competence and their use for such ends may reduce their effectiveness in training. Their results should be interpreted in the context of multiple other methods of assessment, with the aim of achieving a genuinely h…","author":[{"dropping-particle":"","family":"Mitchell","given":"Colin","non-dropping-particle":"","parse-names":false,"suffix":""},{"dropping-particle":"","family":"Bhat","given":"Sarita","non-dropping-particle":"","parse-names":false,"suffix":""},{"dropping-particle":"","family":"Herbert","given":"Anne","non-dropping-particle":"","parse-names":false,"suffix":""},{"dropping-particle":"","family":"Baker","given":"Paul","non-dropping-particle":"","parse-names":false,"suffix":""}],"container-title":"Medical Education","id":"ITEM-3","issue":"12","issued":{"date-parts":[["2011"]]},"page":"1190-1198","title":"Workplace-based assessments of junior doctors: Do scores predict training difficulties?","type":"article-journal","volume":"45"},"uris":["http://www.mendeley.com/documents/?uuid=902e1dc3-fb86-4244-b9bb-b72fbb801ef0"]},{"id":"ITEM-4","itemData":{"DOI":"10.1038/sj.bdj.2011.681","ISBN":"0007-0610","ISSN":"1476-5373","PMID":"21869769","abstract":"Objective The aims of this survey were to evaluate the effectiveness of workplace based assessments (WPAs) in dental foundation training (formerly vocational training [VT]).Methods Two online questionnaire surveys were sent to 53 foundation dental practitioners (FDPs) and their 51 trainers in the Mersey Deanery at month four and month nine of the one year of dental foundation training. The questionnaires investigated the effectiveness of and trainers' and trainees' satisfaction with the WPAs used in foundation training, namely dental evaluation of performance (D-EPs), case-based discussions (DcBD) and patients' assessment questionnaires (PAQs). The questionnaires also investigated the perceived impact of reflection and feedback associated with WPAs on clinical practise and improving patient care.Results A total of 41 (7.4%) FDPs and 44 (86.3%) trainers responded. Of the 41 FDPs, the majority found that feedback from WPAs had a positive effect on their training, giving them insight into their development needs. Overall 84.1% of the FDPs felt the WPAs helped them improve patient care and 82.5% of trainers agreed with that outcome.Conclusions The findings from this study demonstrate the value of WPAs in dental foundation training by the use of feedback and reflection in directing the learning of foundation dental practitioners and that this can lead to improved clinical practise and patient care.","author":[{"dropping-particle":"","family":"Grieveson","given":"B","non-dropping-particle":"","parse-names":false,"suffix":""},{"dropping-particle":"","family":"Kirton","given":"J a","non-dropping-particle":"","parse-names":false,"suffix":""},{"dropping-particle":"","family":"Palmer","given":"N O a","non-dropping-particle":"","parse-names":false,"suffix":""},{"dropping-particle":"","family":"Balmer","given":"M C","non-dropping-particle":"","parse-names":false,"suffix":""}],"container-title":"British dental journal","id":"ITEM-4","issue":"4","issued":{"date-parts":[["2011"]]},"page":"E8","title":"Evaluation of workplace based assessment tools in dental foundation training.","type":"article-journal","volume":"211"},"uris":["http://www.mendeley.com/documents/?uuid=8e346649-8069-4545-88d0-b67ecf21ff81"]},{"id":"ITEM-5","itemData":{"DOI":"10.1016/j.sbspro.2012.09.349","ISSN":"18770428","abstract":"Reflection enables the interpretation of processes in order to learn from such experiences. A study was designed to determine the level of reflective thinking and its influence on clinical competency assessments. Level of reflection between year three and four students was not significant (p&lt;0.21) however clinical competencies and students’ reflection level before and after intervention showed significant difference (p&lt;0.05). The agreement between lecturers evaluation on student competencies (k=0.611) was high. Overall, the study showed that reflective practice promotes the development of clinical competencies in medical imaging undergraduates and provides the pathway for readiness in professional practice.","author":[{"dropping-particle":"","family":"Chelliah","given":"Kanaga Kumari","non-dropping-particle":"","parse-names":false,"suffix":""},{"dropping-particle":"","family":"Arumugam","given":"Zena","non-dropping-particle":"","parse-names":false,"suffix":""}],"container-title":"Procedia - Social and Behavioral Sciences","id":"ITEM-5","issued":{"date-parts":[["2012"]]},"page":"73-77","title":"Does Reflective Practice Enhance Clinical Competency in Medical Imaging Undergraduates?","type":"article-journal","volume":"60"},"uris":["http://www.mendeley.com/documents/?uuid=6a24e82d-9d30-4734-9135-e30a22e0e248"]},{"id":"ITEM-6","itemData":{"DOI":"10.1080/01421590903050374","ISBN":"1466-187X (Electronic)\\r0142-159X (Linking)","ISSN":"0142159X","PMID":"19811204","abstract":"Reflection is a metacognitive process that creates a greater understanding of both the self and the situation so that future actions can be informed by this understanding. Self-regulated and lifelong learning have reflection as an essential aspect, and it is also required to develop both a therapeutic relationship and professional expertise. There are a variety of educational approaches in undergraduate, postgraduate and continuing medical education that can be used to facilitate reflection, from text based reflective journals and critical incident reports to the creative use of digital media and storytelling. The choice of approach varies with the intended outcomes, but it should also be determined by the user since everyone has a preferred style. Guided reflection, with supportive challenge from a mentor or facilitator, is important so that underlying assumptions can be challenged and new perspectives considered. Feedback also has an important role to enhance reflection. There is little research evidence to suggest that reflection improves quality of care but the process of care can be enhanced.","author":[{"dropping-particle":"","family":"Sandars","given":"John","non-dropping-particle":"","parse-names":false,"suffix":""}],"container-title":"Medical Teacher","id":"ITEM-6","issue":"8","issued":{"date-parts":[["2009"]]},"page":"685-695","title":"The use of reflection in medical education: AMEE Guide No. 44","type":"article","volume":"31"},"uris":["http://www.mendeley.com/documents/?uuid=486f7f70-8613-4bfa-aca1-e19670efd1c7"]}],"mendeley":{"formattedCitation":"(Epstein and Hundert, 2002; Sandars, 2009; Kaufman, DM, Mann, 2010; Grieveson &lt;i&gt;et al.&lt;/i&gt;, 2011; Mitchell &lt;i&gt;et al.&lt;/i&gt;, 2011; Chelliah and Arumugam, 2012)","plainTextFormattedCitation":"(Epstein and Hundert, 2002; Sandars, 2009; Kaufman, DM, Mann, 2010; Grieveson et al., 2011; Mitchell et al., 2011; Chelliah and Arumugam, 2012)","previouslyFormattedCitation":"(Kaufman, DM, Mann 2010; Epstein and Hundert 2002; Mitchell et al. 2011; Grieveson et al. 2011; Chelliah and Arumugam 2012; Sandars 2009)"},"properties":{"noteIndex":0},"schema":"https://github.com/citation-style-language/schema/raw/master/csl-citation.json"}</w:instrText>
      </w:r>
      <w:r w:rsidRPr="00AC0FAA">
        <w:rPr>
          <w:rFonts w:ascii="Times New Roman" w:hAnsi="Times New Roman" w:cs="Times New Roman"/>
          <w:sz w:val="24"/>
          <w:szCs w:val="24"/>
        </w:rPr>
        <w:fldChar w:fldCharType="separate"/>
      </w:r>
      <w:r w:rsidR="00AC0FAA">
        <w:rPr>
          <w:rFonts w:ascii="Times New Roman" w:hAnsi="Times New Roman" w:cs="Times New Roman"/>
          <w:noProof/>
          <w:sz w:val="24"/>
          <w:szCs w:val="24"/>
        </w:rPr>
        <w:t>(Epstein and Hundert 2002; Sandars 2009; Kaufman and Mann</w:t>
      </w:r>
      <w:r w:rsidR="00BE3B6C" w:rsidRPr="00AC0FAA">
        <w:rPr>
          <w:rFonts w:ascii="Times New Roman" w:hAnsi="Times New Roman" w:cs="Times New Roman"/>
          <w:noProof/>
          <w:sz w:val="24"/>
          <w:szCs w:val="24"/>
        </w:rPr>
        <w:t xml:space="preserve"> 2010; Grieveson et al. 2011; Mitchell et al.</w:t>
      </w:r>
      <w:r w:rsidR="00AC0FAA">
        <w:rPr>
          <w:rFonts w:ascii="Times New Roman" w:hAnsi="Times New Roman" w:cs="Times New Roman"/>
          <w:noProof/>
          <w:sz w:val="24"/>
          <w:szCs w:val="24"/>
        </w:rPr>
        <w:t xml:space="preserve"> 2011; Chelliah and Arumugam</w:t>
      </w:r>
      <w:r w:rsidR="00BE3B6C" w:rsidRPr="00AC0FAA">
        <w:rPr>
          <w:rFonts w:ascii="Times New Roman" w:hAnsi="Times New Roman" w:cs="Times New Roman"/>
          <w:noProof/>
          <w:sz w:val="24"/>
          <w:szCs w:val="24"/>
        </w:rPr>
        <w:t xml:space="preserve"> 2012)</w:t>
      </w:r>
      <w:r w:rsidRPr="00AC0FAA">
        <w:rPr>
          <w:rFonts w:ascii="Times New Roman" w:hAnsi="Times New Roman" w:cs="Times New Roman"/>
          <w:sz w:val="24"/>
          <w:szCs w:val="24"/>
        </w:rPr>
        <w:fldChar w:fldCharType="end"/>
      </w:r>
      <w:r w:rsidRPr="00AC0FAA">
        <w:rPr>
          <w:rFonts w:ascii="Times New Roman" w:hAnsi="Times New Roman" w:cs="Times New Roman"/>
          <w:sz w:val="24"/>
          <w:szCs w:val="24"/>
        </w:rPr>
        <w:t>. Reflection in our data was described</w:t>
      </w:r>
      <w:r w:rsidRPr="006F3B00">
        <w:rPr>
          <w:rFonts w:ascii="Times New Roman" w:hAnsi="Times New Roman" w:cs="Times New Roman"/>
          <w:sz w:val="24"/>
          <w:szCs w:val="24"/>
        </w:rPr>
        <w:t xml:space="preserve"> as serving many purposes but essentially it facilitated learning, improvement and encouraged trainees to adopt a mentality which would ensure they worked within their competency and asked for help when they needed it. This is illustrated in the data by the following comment “</w:t>
      </w:r>
      <w:r w:rsidRPr="006F3B00">
        <w:rPr>
          <w:rFonts w:ascii="Times New Roman" w:hAnsi="Times New Roman" w:cs="Times New Roman"/>
          <w:i/>
          <w:sz w:val="24"/>
          <w:szCs w:val="24"/>
        </w:rPr>
        <w:t>I</w:t>
      </w:r>
      <w:r w:rsidRPr="006F3B00">
        <w:rPr>
          <w:rFonts w:ascii="Times New Roman" w:hAnsi="Times New Roman" w:cs="Times New Roman"/>
          <w:sz w:val="24"/>
          <w:szCs w:val="24"/>
        </w:rPr>
        <w:t xml:space="preserve"> </w:t>
      </w:r>
      <w:r w:rsidRPr="006F3B00">
        <w:rPr>
          <w:rFonts w:ascii="Times New Roman" w:hAnsi="Times New Roman" w:cs="Times New Roman"/>
          <w:i/>
          <w:sz w:val="24"/>
          <w:szCs w:val="24"/>
        </w:rPr>
        <w:t>learned more from cases that I remember because I got it very wrong or I completely missed the point of what was going on</w:t>
      </w:r>
      <w:r w:rsidRPr="006F3B00">
        <w:rPr>
          <w:rFonts w:ascii="Times New Roman" w:hAnsi="Times New Roman" w:cs="Times New Roman"/>
          <w:sz w:val="24"/>
          <w:szCs w:val="24"/>
        </w:rPr>
        <w:t>”. In particular, the ability to reflect helped trainees to frame diagnoses which were not straight-forward, for example “</w:t>
      </w:r>
      <w:r w:rsidRPr="006F3B00">
        <w:rPr>
          <w:rFonts w:ascii="Times New Roman" w:hAnsi="Times New Roman" w:cs="Times New Roman"/>
          <w:i/>
          <w:sz w:val="24"/>
          <w:szCs w:val="24"/>
        </w:rPr>
        <w:t xml:space="preserve">having the insight to be able to </w:t>
      </w:r>
      <w:r w:rsidRPr="006F3B00">
        <w:rPr>
          <w:rFonts w:ascii="Times New Roman" w:hAnsi="Times New Roman" w:cs="Times New Roman"/>
          <w:i/>
          <w:sz w:val="24"/>
          <w:szCs w:val="24"/>
        </w:rPr>
        <w:lastRenderedPageBreak/>
        <w:t>recognize when I can't make a diagnosis or when there's a grey area and I have to be able to express that ambiguity</w:t>
      </w:r>
      <w:r w:rsidRPr="006F3B00">
        <w:rPr>
          <w:rFonts w:ascii="Times New Roman" w:hAnsi="Times New Roman" w:cs="Times New Roman"/>
          <w:sz w:val="24"/>
          <w:szCs w:val="24"/>
        </w:rPr>
        <w:t>”. This was considered important when trainees became consultants as it meant they updated their knowledge, referred appropriately and remained safe practitioners. Reflection often involves three stages: awareness or interpretation of the situation, analysis or selecting options and thirdly a perspective change or moral judgement</w:t>
      </w:r>
      <w:r w:rsidR="005C18A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{"citationItems":[{"id":"ITEM-1","itemData":{"DOI":"10.1177/0011000084123003","ISBN":"1552-3861(Electronic);0011-0000(Print)","ISSN":"15523861","abstract":"{none}","author":[{"dropping-particle":"","family":"Rest","given":"James R.","non-dropping-particle":"","parse-names":false,"suffix":""}],"container-title":"The Counseling Psychologist","id":"ITEM-1","issue":"3","issued":{"date-parts":[["1984"]]},"page":"19-29","title":"Research on Moral Development: Implications for Training Counseling Psychologists","type":"article-journal","volume":"12"},"uris":["http://www.mendeley.com/documents/?uuid=9aacb548-b802-4253-b092-e377c6edce22"]},{"id":"ITEM-2","itemData":{"DOI":"10.1046/j.1365-2648.1993.18081188.x","ISBN":"0309-2402 (Print)\\r0309-2402 (Linking)","ISSN":"13652648","PMID":"8376656","abstract":"This paper is a review of the literature on reflection. The purpose was to unravel and make sense of the complex literature, and to identify the skills required to engage in reflection. An analysis of the literature revealed that differences between authors’ accounts of reflective processes are largely those of terminology, detail and the extent to which these processes are arranged in a hierarchy. Key stages of reflection are identified and represented by a model. Skills required to engage in reflection were found to be implicit in the literature and these are identified. Methodological issues related to empirical literature are discussed. It is suggested that reflection is an important learning tool in professional education and that the skills required for reflection need to be developed in professional courses.","author":[{"dropping-particle":"","family":"Atkins","given":"Sue","non-dropping-particle":"","parse-names":false,"suffix":""},{"dropping-particle":"","family":"Murphy","given":"Kathy","non-dropping-particle":"","parse-names":false,"suffix":""}],"container-title":"Journal of Advanced Nursing","id":"ITEM-2","issue":"8","issued":{"date-parts":[["1993"]]},"page":"1188-1192","title":"Reflection: a review of the literature","type":"article-journal","volume":"18"},"uris":["http://www.mendeley.com/documents/?uuid=bc13bbfd-1b9b-4945-96ab-acb1cd3f01cc"]}],"mendeley":{"formattedCitation":"(Rest, 1984; Atkins and Murphy, 1993)","plainTextFormattedCitation":"(Rest, 1984; Atkins and Murphy, 1993)","previouslyFormattedCitation":"(Rest 1984; Atkins and Murphy 1993)"},"properties":{"noteIndex":0},"schema":"https://github.com/citation-style-language/schema/raw/master/csl-citation.json"}</w:instrText>
      </w:r>
      <w:r w:rsidRPr="006F3B00">
        <w:rPr>
          <w:rFonts w:ascii="Times New Roman" w:hAnsi="Times New Roman" w:cs="Times New Roman"/>
          <w:sz w:val="24"/>
          <w:szCs w:val="24"/>
        </w:rPr>
        <w:fldChar w:fldCharType="separate"/>
      </w:r>
      <w:r w:rsidR="00AC0FAA">
        <w:rPr>
          <w:rFonts w:ascii="Times New Roman" w:hAnsi="Times New Roman" w:cs="Times New Roman"/>
          <w:noProof/>
          <w:sz w:val="24"/>
          <w:szCs w:val="24"/>
        </w:rPr>
        <w:t>(Rest 1984; Atkins and Murphy</w:t>
      </w:r>
      <w:r w:rsidR="00BE3B6C" w:rsidRPr="00BE3B6C">
        <w:rPr>
          <w:rFonts w:ascii="Times New Roman" w:hAnsi="Times New Roman" w:cs="Times New Roman"/>
          <w:noProof/>
          <w:sz w:val="24"/>
          <w:szCs w:val="24"/>
        </w:rPr>
        <w:t xml:space="preserve"> 1993)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This pattern of reflection was shown in our data with comments such as “</w:t>
      </w:r>
      <w:r w:rsidRPr="006F3B00">
        <w:rPr>
          <w:rFonts w:ascii="Times New Roman" w:hAnsi="Times New Roman" w:cs="Times New Roman"/>
          <w:i/>
          <w:sz w:val="24"/>
          <w:szCs w:val="24"/>
        </w:rPr>
        <w:t>they will also hopefully become aware of what it was that actually led them coming to an erroneous conclusion</w:t>
      </w:r>
      <w:r w:rsidRPr="006F3B00">
        <w:rPr>
          <w:rFonts w:ascii="Times New Roman" w:hAnsi="Times New Roman" w:cs="Times New Roman"/>
          <w:sz w:val="24"/>
          <w:szCs w:val="24"/>
        </w:rPr>
        <w:t>” which is awareness, “</w:t>
      </w:r>
      <w:r w:rsidRPr="006F3B00">
        <w:rPr>
          <w:rFonts w:ascii="Times New Roman" w:hAnsi="Times New Roman" w:cs="Times New Roman"/>
          <w:i/>
          <w:sz w:val="24"/>
          <w:szCs w:val="24"/>
        </w:rPr>
        <w:t>Having an element of insight, a degree of insight, is a very important quality in a pathologist”</w:t>
      </w:r>
      <w:r w:rsidRPr="006F3B00">
        <w:rPr>
          <w:rFonts w:ascii="Times New Roman" w:hAnsi="Times New Roman" w:cs="Times New Roman"/>
          <w:sz w:val="24"/>
          <w:szCs w:val="24"/>
        </w:rPr>
        <w:t xml:space="preserve"> which is analysis and then the judgment that is made based on this, </w:t>
      </w:r>
      <w:r w:rsidRPr="006F3B00">
        <w:rPr>
          <w:rFonts w:ascii="Times New Roman" w:hAnsi="Times New Roman" w:cs="Times New Roman"/>
          <w:i/>
          <w:sz w:val="24"/>
          <w:szCs w:val="24"/>
        </w:rPr>
        <w:t xml:space="preserve">“It's the ability to arrive at the correct diagnosis in a reasoned and reproducible way, consistent with their own limitations”. </w:t>
      </w:r>
      <w:r w:rsidRPr="006F3B00">
        <w:rPr>
          <w:rFonts w:ascii="Times New Roman" w:hAnsi="Times New Roman" w:cs="Times New Roman"/>
          <w:sz w:val="24"/>
          <w:szCs w:val="24"/>
        </w:rPr>
        <w:t xml:space="preserve">Reflection ensured competency developed and was moulded by experience, as competency was not viewed as a static ability, but something one had to maintain throughout their career. Our data is therefore consistent with the literature on reflection in medical education and the ability of a trainee and consultant to reflect on their performance was considered to be a central part of diagnostic competency. </w:t>
      </w:r>
    </w:p>
    <w:p w14:paraId="1868B960" w14:textId="1A30C3CC" w:rsidR="00863DF5" w:rsidRPr="006F3B00" w:rsidRDefault="00BE35A3" w:rsidP="004B0D1B">
      <w:pPr>
        <w:pStyle w:val="Heading3"/>
        <w:rPr>
          <w:rFonts w:ascii="Times New Roman" w:hAnsi="Times New Roman" w:cs="Times New Roman"/>
          <w:color w:val="auto"/>
          <w:sz w:val="24"/>
          <w:szCs w:val="24"/>
        </w:rPr>
      </w:pPr>
      <w:bookmarkStart w:id="92" w:name="_Toc23243821"/>
      <w:r>
        <w:rPr>
          <w:rFonts w:ascii="Times New Roman" w:hAnsi="Times New Roman" w:cs="Times New Roman"/>
          <w:color w:val="auto"/>
          <w:sz w:val="24"/>
          <w:szCs w:val="24"/>
        </w:rPr>
        <w:t>4.5</w:t>
      </w:r>
      <w:r w:rsidR="004B0D1B" w:rsidRPr="006F3B00">
        <w:rPr>
          <w:rFonts w:ascii="Times New Roman" w:hAnsi="Times New Roman" w:cs="Times New Roman"/>
          <w:color w:val="auto"/>
          <w:sz w:val="24"/>
          <w:szCs w:val="24"/>
        </w:rPr>
        <w:t xml:space="preserve">.2 </w:t>
      </w:r>
      <w:r w:rsidR="00863DF5" w:rsidRPr="006F3B00">
        <w:rPr>
          <w:rFonts w:ascii="Times New Roman" w:hAnsi="Times New Roman" w:cs="Times New Roman"/>
          <w:color w:val="auto"/>
          <w:sz w:val="24"/>
          <w:szCs w:val="24"/>
        </w:rPr>
        <w:t>The process</w:t>
      </w:r>
      <w:bookmarkEnd w:id="92"/>
    </w:p>
    <w:p w14:paraId="049C4DAD" w14:textId="77777777" w:rsidR="004B0D1B" w:rsidRPr="006F3B00" w:rsidRDefault="004B0D1B" w:rsidP="004B0D1B">
      <w:pPr>
        <w:rPr>
          <w:rFonts w:ascii="Times New Roman" w:hAnsi="Times New Roman" w:cs="Times New Roman"/>
          <w:sz w:val="24"/>
          <w:szCs w:val="24"/>
          <w:lang w:val="en-GB"/>
        </w:rPr>
      </w:pPr>
    </w:p>
    <w:p w14:paraId="7B5CA95B"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Forming a diagnosis</w:t>
      </w:r>
    </w:p>
    <w:p w14:paraId="2CD9FB26" w14:textId="3990110C" w:rsidR="00863DF5" w:rsidRPr="00AC0FAA"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Various studies have examined accuracy in histopathology, usually by means of comparing diagnoses to expert diagnoses</w:t>
      </w:r>
      <w:r w:rsidR="005C18AD">
        <w:rPr>
          <w:rFonts w:ascii="Times New Roman" w:hAnsi="Times New Roman" w:cs="Times New Roman"/>
          <w:sz w:val="24"/>
          <w:szCs w:val="24"/>
        </w:rPr>
        <w:t xml:space="preserve"> </w:t>
      </w:r>
      <w:r w:rsidRPr="00AC0FAA">
        <w:rPr>
          <w:rFonts w:ascii="Times New Roman" w:hAnsi="Times New Roman" w:cs="Times New Roman"/>
          <w:sz w:val="24"/>
          <w:szCs w:val="24"/>
        </w:rPr>
        <w:fldChar w:fldCharType="begin" w:fldLock="1"/>
      </w:r>
      <w:r w:rsidR="00BE3B6C" w:rsidRPr="00AC0FAA">
        <w:rPr>
          <w:rFonts w:ascii="Times New Roman" w:hAnsi="Times New Roman" w:cs="Times New Roman"/>
          <w:sz w:val="24"/>
          <w:szCs w:val="24"/>
        </w:rPr>
        <w:instrText>ADDIN CSL_CITATION {"citationItems":[{"id":"ITEM-1","itemData":{"author":[{"dropping-particle":"","family":"S.S. Cross, T. Dennis, R.D. Start","given":"et al.","non-dropping-particle":"","parse-names":false,"suffix":""}],"container-title":"Histopathology","id":"ITEM-1","issued":{"date-parts":[["2002"]]},"page":"206","title":"The area under the receiver operating characteristic (ROC) curve can be used as a sensitive measure of progress during the early stages of histopathology training.","type":"article-journal","volume":"41(Suppl 1"},"uris":["http://www.mendeley.com/documents/?uuid=f3a95888-145b-4d53-af04-3caba5211cf9"]},{"id":"ITEM-2","itemData":{"DOI":"10.1016/j.prp.2010.06.007","ISBN":"1618-0631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practice","id":"ITEM-2","issue":"11","issued":{"date-parts":[["2010"]]},"page":"749-52","title":"Experts and performance in histopathology--a study in breast pathology.","type":"article-journal","volume":"206"},"uris":["http://www.mendeley.com/documents/?uuid=191972bd-c8f2-45a9-a04b-485514da6b9d"]},{"id":"ITEM-3","itemData":{"DOI":"10.1016/S0377-2217(01)00113-8","ISBN":"0377-2217","ISSN":"03772217","PMID":"11940169","abstract":"The identification of an expert is vital to any study or application involving expertise. If external criterion (a \"gold standard\") exists, then identification is straightforward: Simply compare people against the standard and select whoever is closest. However, such criteria are seldom available for domains where experts work; that's why experts are needed in the first place. The purpose here is to explore various methods for identifying experts in the absence of a gold standard. One particularly promising approach (labeled CWS for Cochran-Weiss-Shanteau) is explored in detail. We illustrate CWS through reanalyses of three previous studies of experts. In each case, CWS provided new insights into identifying experts. When applied to auditors, CWS correctly detected group differences in expertise. For agricultural judges, CWS revealed subtle distinctions between subspecialties of experts. In personnel selection, CWS showed that irrelevant attributes were more informative than relevant attributes. We believe CWS provides a valuable tool for identification and evaluation of experts. ?? 2002 Elsevier Science B.V. All rights reserved.","author":[{"dropping-particle":"","family":"Shanteau","given":"James","non-dropping-particle":"","parse-names":false,"suffix":""},{"dropping-particle":"","family":"Weiss","given":"David J.","non-dropping-particle":"","parse-names":false,"suffix":""},{"dropping-particle":"","family":"Thomas","given":"Rickey P.","non-dropping-particle":"","parse-names":false,"suffix":""},{"dropping-particle":"","family":"Pounds","given":"Julia C.","non-dropping-particle":"","parse-names":false,"suffix":""}],"container-title":"European Journal of Operational Research","id":"ITEM-3","issue":"2","issued":{"date-parts":[["2002"]]},"page":"253-263","title":"Performance-based assessment of expertise: How to decide if someone is an expert or not","type":"article-journal","volume":"136"},"uris":["http://www.mendeley.com/documents/?uuid=20bc5609-8479-4111-96a1-84f5553ba185"]}],"mendeley":{"formattedCitation":"(S.S. Cross, T. Dennis, R.D. Start, 2002; Shanteau &lt;i&gt;et al.&lt;/i&gt;, 2002; Parham &lt;i&gt;et al.&lt;/i&gt;, 2010a)","plainTextFormattedCitation":"(S.S. Cross, T. Dennis, R.D. Start, 2002; Shanteau et al., 2002; Parham et al., 2010a)","previouslyFormattedCitation":"(S.S. Cross, T. Dennis, R.D. Start 2002; Parham et al. 2010a; Shanteau et al. 2002)"},"properties":{"noteIndex":0},"schema":"https://github.com/citation-style-language/schema/raw/master/csl-citation.json"}</w:instrText>
      </w:r>
      <w:r w:rsidRPr="00AC0FAA">
        <w:rPr>
          <w:rFonts w:ascii="Times New Roman" w:hAnsi="Times New Roman" w:cs="Times New Roman"/>
          <w:sz w:val="24"/>
          <w:szCs w:val="24"/>
        </w:rPr>
        <w:fldChar w:fldCharType="separate"/>
      </w:r>
      <w:r w:rsidR="00AC0FAA" w:rsidRPr="00AC0FAA">
        <w:rPr>
          <w:rFonts w:ascii="Times New Roman" w:hAnsi="Times New Roman" w:cs="Times New Roman"/>
          <w:noProof/>
          <w:sz w:val="24"/>
          <w:szCs w:val="24"/>
        </w:rPr>
        <w:t>(Cross, Dennis and Start</w:t>
      </w:r>
      <w:r w:rsidR="00BE3B6C" w:rsidRPr="00AC0FAA">
        <w:rPr>
          <w:rFonts w:ascii="Times New Roman" w:hAnsi="Times New Roman" w:cs="Times New Roman"/>
          <w:noProof/>
          <w:sz w:val="24"/>
          <w:szCs w:val="24"/>
        </w:rPr>
        <w:t xml:space="preserve"> 2002; Shanteau et al. 2002; Parham et al.</w:t>
      </w:r>
      <w:r w:rsidR="00AC0FAA">
        <w:rPr>
          <w:rFonts w:ascii="Times New Roman" w:hAnsi="Times New Roman" w:cs="Times New Roman"/>
          <w:noProof/>
          <w:sz w:val="24"/>
          <w:szCs w:val="24"/>
        </w:rPr>
        <w:t xml:space="preserve"> 2010</w:t>
      </w:r>
      <w:r w:rsidR="00BE3B6C" w:rsidRPr="00AC0FAA">
        <w:rPr>
          <w:rFonts w:ascii="Times New Roman" w:hAnsi="Times New Roman" w:cs="Times New Roman"/>
          <w:noProof/>
          <w:sz w:val="24"/>
          <w:szCs w:val="24"/>
        </w:rPr>
        <w:t>)</w:t>
      </w:r>
      <w:r w:rsidRPr="00AC0FAA">
        <w:rPr>
          <w:rFonts w:ascii="Times New Roman" w:hAnsi="Times New Roman" w:cs="Times New Roman"/>
          <w:sz w:val="24"/>
          <w:szCs w:val="24"/>
        </w:rPr>
        <w:fldChar w:fldCharType="end"/>
      </w:r>
      <w:r w:rsidRPr="00AC0FAA">
        <w:rPr>
          <w:rFonts w:ascii="Times New Roman" w:hAnsi="Times New Roman" w:cs="Times New Roman"/>
          <w:sz w:val="24"/>
          <w:szCs w:val="24"/>
        </w:rPr>
        <w:t>. Other studies have sought to understand how pathologists scan a slide to understand the visual-spatial process that leads to a diagnosis</w:t>
      </w:r>
      <w:r w:rsidR="005C18AD" w:rsidRPr="00AC0FAA">
        <w:rPr>
          <w:rFonts w:ascii="Times New Roman" w:hAnsi="Times New Roman" w:cs="Times New Roman"/>
          <w:sz w:val="24"/>
          <w:szCs w:val="24"/>
        </w:rPr>
        <w:t xml:space="preserve"> </w:t>
      </w:r>
      <w:r w:rsidRPr="00AC0FAA">
        <w:rPr>
          <w:rFonts w:ascii="Times New Roman" w:hAnsi="Times New Roman" w:cs="Times New Roman"/>
          <w:sz w:val="24"/>
          <w:szCs w:val="24"/>
        </w:rPr>
        <w:fldChar w:fldCharType="begin" w:fldLock="1"/>
      </w:r>
      <w:r w:rsidR="00BE3B6C" w:rsidRPr="00AC0FAA">
        <w:rPr>
          <w:rFonts w:ascii="Times New Roman" w:hAnsi="Times New Roman" w:cs="Times New Roman"/>
          <w:sz w:val="24"/>
          <w:szCs w:val="24"/>
        </w:rPr>
        <w:instrText>ADDIN CSL_CITATION {"citationItems":[{"id":"ITEM-1","itemData":{"DOI":"10.1136/jcp.56.9.677","ISBN":"0021-9746","ISSN":"00219746","PMID":"12944551","abstract":"AIM: To investigate how effectively eye tracking devices can visualise the scanning patterns of pathologists, for application in studies on diagnostic decision making. METHODS: EyeCatcher, an eye tracking device, was used to visualise and compare the scanning patterns of five pathologists while they graded two projections of cervical intraepithelial neoplasia. Density cloud images were created from the scanning patterns. A questionnaire and interview provided information on the following steps in the diagnostic process. RESULTS: EyeCatcher successfully registered the scanning patterns of the pathologists. A \"scanning style\" and a \"selective style\" of visual search were distinguished. The scanning patterns, in addition to the interpretation and combination of the information ultimately leading to a diagnosis, varied between the various observers, resulting in a broad range of final diagnoses. CONCLUSIONS: Eye gaze tracking devices provide an excellent basis for further discussion on the interpretation and grading criteria of lesions. As such, they may play an important role in studies on diagnostic decision making in pathology and in the development of training and quality control programmes for pathologists.","author":[{"dropping-particle":"","family":"Tiersma","given":"E. S M","non-dropping-particle":"","parse-names":false,"suffix":""},{"dropping-particle":"","family":"Peters","given":"A. A W","non-dropping-particle":"","parse-names":false,"suffix":""},{"dropping-particle":"","family":"Mooij","given":"H. A.","non-dropping-particle":"","parse-names":false,"suffix":""},{"dropping-particle":"","family":"Fleuren","given":"G. J.","non-dropping-particle":"","parse-names":false,"suffix":""}],"container-title":"Journal of Clinical Pathology","id":"ITEM-1","issue":"9","issued":{"date-parts":[["2003"]]},"page":"677-680","title":"Visualising scanning patterns of pathologists in the grading of cervical intraepithelial neoplasia","type":"article-journal","volume":"56"},"uris":["http://www.mendeley.com/documents/?uuid=6b6b90a9-f9c7-42b9-8653-1ea326dc4981"]},{"id":"ITEM-2","itemData":{"DOI":"10.1186/1746-1596-5-71","ISSN":"17461596","PMID":"21087502","abstract":"In virtual microscopy, a sequential process of captures of microscopical fields, allows to construct a virtual slide which is visualized using a specialized software, called the virtual microscopy viewer. This tool allows useful exploration of images, composed of thousands of microscopical fields of view at different levels of magnification, emulating an actual microscopical examination. The aim of this study was to establish the main pathologist's navigation patterns when exploring virtual microscopy slides, using a graphical user interface, adapted to the pathologist's workflow. Four pathologists with a similar level of experience, graduated from the same pathology program, navigated six virtual slides. Different issues were evaluated, namely, the percentage of common visited image regions, the time spent at each and its coincidence level, that is to say, the region of interest location. In addition, navigation patterns were also assessed, i.e., mouse movement velocities and linearity of the diagnostic paths. Results suggest that regions of interest are determined by a complex combination of the visited area, the time spent at each visit and the coincidence level among pathologists. Additionally, linear trajectories and particular velocity patterns were found for the registered diagnostic paths.","author":[{"dropping-particle":"","family":"Roa-Peña","given":"Lucia","non-dropping-particle":"","parse-names":false,"suffix":""},{"dropping-particle":"","family":"Gómez","given":"Francisco","non-dropping-particle":"","parse-names":false,"suffix":""},{"dropping-particle":"","family":"Romero","given":"Eduardo","non-dropping-particle":"","parse-names":false,"suffix":""}],"container-title":"Diagnostic Pathology","id":"ITEM-2","issue":"1","issued":{"date-parts":[["2010"]]},"title":"An experimental study of pathologist's navigation patterns in virtual microscopy","type":"article-journal","volume":"5"},"uris":["http://www.mendeley.com/documents/?uuid=f31b1a32-deba-44cd-9e76-454fd4474d4a"]},{"id":"ITEM-3","itemData":{"DOI":"10.1371/journal.pone.0103447","ISBN":"1932-6203","ISSN":"19326203","PMID":"25084012","abstract":"A pilot study examined the extent to which eye movements occurring during interpretation of digitized breast biopsy whole slide images (WSI) can distinguish novice interpreters from experts, informing assessments of competency progression during training and across the physician-learning continuum. A pathologist with fellowship training in breast pathology interpreted digital WSI of breast tissue and marked the region of highest diagnostic relevance (dROI). These same images were then evaluated using computer vision techniques to identify visually salient regions of interest (vROI) without diagnostic relevance. A non-invasive eye tracking system recorded pathologists’ (N = 7) visual behavior during image interpretation, and we measured differential viewing of vROIs versus dROIs according to their level of expertise. Pathologists with relatively low expertise in interpreting breast pathology were more likely to fixate on, and subsequently return to, diagnostically irrelevant vROIs relative to experts. Repeatedly fixating on the distracting vROI showed limited value in predicting diagnostic failure. These preliminary results suggest that eye movements occurring during digital slide interpretation can characterize expertise development by demonstrating differential attraction to diagnostically relevant versus visually distracting image regions. These results carry both theoretical implications and potential for monitoring and evaluating student progress and providing automated feedback and scanning guidance in educational settings.","author":[{"dropping-particle":"","family":"Brunyé","given":"Tad T.","non-dropping-particle":"","parse-names":false,"suffix":""},{"dropping-particle":"","family":"Carney","given":"Patricia A.","non-dropping-particle":"","parse-names":false,"suffix":""},{"dropping-particle":"","family":"Allison","given":"Kimberly H.","non-dropping-particle":"","parse-names":false,"suffix":""},{"dropping-particle":"","family":"Shapiro","given":"Linda G.","non-dropping-particle":"","parse-names":false,"suffix":""},{"dropping-particle":"","family":"Weaver","given":"Donald L.","non-dropping-particle":"","parse-names":false,"suffix":""},{"dropping-particle":"","family":"Elmore","given":"Joann G.","non-dropping-particle":"","parse-names":false,"suffix":""}],"container-title":"PLoS ONE","id":"ITEM-3","issue":"8","issued":{"date-parts":[["2014"]]},"title":"Eye movements as an index of pathologist visual expertise: A pilot study","type":"article-journal","volume":"9"},"uris":["http://www.mendeley.com/documents/?uuid=3c222e08-5ba4-4dc8-83b1-c5698cc38051"]},{"id":"ITEM-4","itemData":{"DOI":"10.1016/j.humpath.2012.05.024","ISBN":"0046-8177","ISSN":"00468177","PMID":"22835956","abstract":"The goal of this study was to examine and characterize changes in the ways that pathology residents examine digital whole slide images as they progress through the residency training. A series of 20 digitized breast biopsy whole slide images (half benign and half malignant biopsies) were individually shown to 4 pathology residents at four points in time - at the beginning of their first, second, third, and fourth years of residency. Their task was to examine each image and select three areas that they would most want to zoom in on in order to view the diagnostic detail at higher resolution. Eye position was recorded as they scanned each whole slide image at low magnification. The data indicate that with each successive year of experience, the residents' search patterns do change. Overall, with time, it takes significantly less time to view an individual slide and decide where to zoom, significantly fewer fixations are generated overall, and there is less examination of nondiagnostic areas. Essentially, the residents' search becomes much more efficient. These findings are similar to those in radiology, and support the theory that an important aspect of the development of expertise is improved pattern recognition (taking in more information during the initial Gestalt or gist view) as well as improved allocation of attention and visual processing resources. Progression in improvements in visual search strategies was similar, but not identical, for the 4 residents. © 2013 Elsevier Inc.","author":[{"dropping-particle":"","family":"Krupinski","given":"Elizabeth A.","non-dropping-particle":"","parse-names":false,"suffix":""},{"dropping-particle":"","family":"Graham","given":"Anna R.","non-dropping-particle":"","parse-names":false,"suffix":""},{"dropping-particle":"","family":"Weinstein","given":"Ronald S.","non-dropping-particle":"","parse-names":false,"suffix":""}],"container-title":"Human Pathology","id":"ITEM-4","issue":"3","issued":{"date-parts":[["2013"]]},"page":"357-364","title":"Characterizing the development of visual search expertise in pathology residents viewing whole slide images","type":"article-journal","volume":"44"},"uris":["http://www.mendeley.com/documents/?uuid=8dac41b3-ae75-46e2-af5c-d8e8f84d28ab"]},{"id":"ITEM-5","itemData":{"DOI":"10.1016/j.humpath.2006.08.024","ISBN":"0046-8177","ISSN":"00468177","PMID":"17129792","abstract":"A core skill in diagnostic pathology is light microscopy. Remarkably little is known about human factors that affect the proficiency of pathologists as light microscopists. The cognitive skills of pathologists have received relatively little attention in comparison with the large literature on human performance studies in radiology. One reason for this lack of formal visual search studies in pathology has been the physical restrictions imposed by the close positioning of a microscope operator's head to the microscope's eyepieces. This blocks access to the operator's eyes and precludes assessment of the microscopist's eye movements. Virtual slide microscopy now removes this barrier and opens the door for studies on human factors and visual search strategies in light microscopy. The aim of this study was to assess eye movements of medical students, pathology residents, and practicing pathologists examining virtual slides on a digital display monitor. Whole histopathology glass slide digital images, so-called virtual slides, of 20 consecutive breast core biopsy cases were used in a retrospective study. These high-quality virtual slides were produced with an array-microscope equipped DMetrix DX-40 ultrarapid virtual slide processor (DMetrix, Tucson, Ariz). Using an eye-tracking device, we demonstrated for the first time that when a virtual slide reader initially looks at a virtual slide his or her eyes are very quickly attracted to regions of interest (ROIs) within the slide and that these ROIs are likely to contain diagnostic information. In a matter of seconds, critical decisions are made on the selection of ROIs for further examination at higher magnification. We recorded: (1) the time virtual slide readers spent fixating on self-selected locations on the video monitor; (2) the characteristics of the ways the eyes jumped between fixation locations; and (3) x and y coordinates for each virtual slide marking the sites the virtual slide readers manually selected for zooming to higher ROI magnifications. We correlated the locations of the visually selected fixation locations and the manually selected ROIs. Viewing profiles were identified for each group. Fully trained pathologists spent significantly less time (mean, 4.471 seconds) scanning virtual slides when compared to pathology residents (mean, 7.148 seconds) or medical students (mean, 11.861 seconds), but had relatively prolonged saccadic eye movements (P &lt; .0001). Saccadic eye movements are defined as …","author":[{"dropping-particle":"","family":"Krupinski","given":"Elizabeth A.","non-dropping-particle":"","parse-names":false,"suffix":""},{"dropping-particle":"","family":"Tillack","given":"Allison A.","non-dropping-particle":"","parse-names":false,"suffix":""},{"dropping-particle":"","family":"Richter","given":"Lynne","non-dropping-particle":"","parse-names":false,"suffix":""},{"dropping-particle":"","family":"Henderson","given":"Jeffrey T.","non-dropping-particle":"","parse-names":false,"suffix":""},{"dropping-particle":"","family":"Bhattacharyya","given":"Achyut K.","non-dropping-particle":"","parse-names":false,"suffix":""},{"dropping-particle":"","family":"Scott","given":"Katherine M.","non-dropping-particle":"","parse-names":false,"suffix":""},{"dropping-particle":"","family":"Graham","given":"Anna R.","non-dropping-particle":"","parse-names":false,"suffix":""},{"dropping-particle":"","family":"Descour","given":"Michael R.","non-dropping-particle":"","parse-names":false,"suffix":""},{"dropping-particle":"","family":"Davis","given":"John R.","non-dropping-particle":"","parse-names":false,"suffix":""},{"dropping-particle":"","family":"Weinstein","given":"Ronald S.","non-dropping-particle":"","parse-names":false,"suffix":""}],"container-title":"Human Pathology","id":"ITEM-5","issue":"12","issued":{"date-parts":[["2006"]]},"page":"1543-1556","title":"Eye-movement study and human performance using telepathology virtual slides. Implications for medical education and differences with experience","type":"article-journal","volume":"37"},"uris":["http://www.mendeley.com/documents/?uuid=a1431990-46fb-44ce-8122-a85819560356"]}],"mendeley":{"formattedCitation":"(Tiersma &lt;i&gt;et al.&lt;/i&gt;, 2003; Krupinski &lt;i&gt;et al.&lt;/i&gt;, 2006; Roa-Peña, Gómez and Romero, 2010; Krupinski, Graham and Weinstein, 2013; Brunyé &lt;i&gt;et al.&lt;/i&gt;, 2014)","plainTextFormattedCitation":"(Tiersma et al., 2003; Krupinski et al., 2006; Roa-Peña, Gómez and Romero, 2010; Krupinski, Graham and Weinstein, 2013; Brunyé et al., 2014)","previouslyFormattedCitation":"(Tiersma et al. 2003; Roa-Peña, Gómez, and Romero 2010; Brunyé et al. 2014; Krupinski, Graham, and Weinstein 2013; Krupinski et al. 2006)"},"properties":{"noteIndex":0},"schema":"https://github.com/citation-style-language/schema/raw/master/csl-citation.json"}</w:instrText>
      </w:r>
      <w:r w:rsidRPr="00AC0FAA">
        <w:rPr>
          <w:rFonts w:ascii="Times New Roman" w:hAnsi="Times New Roman" w:cs="Times New Roman"/>
          <w:sz w:val="24"/>
          <w:szCs w:val="24"/>
        </w:rPr>
        <w:fldChar w:fldCharType="separate"/>
      </w:r>
      <w:r w:rsidR="00BE3B6C" w:rsidRPr="00AC0FAA">
        <w:rPr>
          <w:rFonts w:ascii="Times New Roman" w:hAnsi="Times New Roman" w:cs="Times New Roman"/>
          <w:noProof/>
          <w:sz w:val="24"/>
          <w:szCs w:val="24"/>
        </w:rPr>
        <w:t>(Tiersma et al. 2003; Krupinski et al.</w:t>
      </w:r>
      <w:r w:rsidR="00AC0FAA">
        <w:rPr>
          <w:rFonts w:ascii="Times New Roman" w:hAnsi="Times New Roman" w:cs="Times New Roman"/>
          <w:noProof/>
          <w:sz w:val="24"/>
          <w:szCs w:val="24"/>
        </w:rPr>
        <w:t xml:space="preserve"> 2006; Roa-Peña, Gómez and Romero</w:t>
      </w:r>
      <w:r w:rsidR="00BE3B6C" w:rsidRPr="00AC0FAA">
        <w:rPr>
          <w:rFonts w:ascii="Times New Roman" w:hAnsi="Times New Roman" w:cs="Times New Roman"/>
          <w:noProof/>
          <w:sz w:val="24"/>
          <w:szCs w:val="24"/>
        </w:rPr>
        <w:t xml:space="preserve"> 2010; Krupinski, Graham </w:t>
      </w:r>
      <w:r w:rsidR="00AC0FAA">
        <w:rPr>
          <w:rFonts w:ascii="Times New Roman" w:hAnsi="Times New Roman" w:cs="Times New Roman"/>
          <w:noProof/>
          <w:sz w:val="24"/>
          <w:szCs w:val="24"/>
        </w:rPr>
        <w:lastRenderedPageBreak/>
        <w:t>and Weinstein</w:t>
      </w:r>
      <w:r w:rsidR="00BE3B6C" w:rsidRPr="00AC0FAA">
        <w:rPr>
          <w:rFonts w:ascii="Times New Roman" w:hAnsi="Times New Roman" w:cs="Times New Roman"/>
          <w:noProof/>
          <w:sz w:val="24"/>
          <w:szCs w:val="24"/>
        </w:rPr>
        <w:t xml:space="preserve"> 2013; Brunyé et al. 2014)</w:t>
      </w:r>
      <w:r w:rsidRPr="00AC0FAA">
        <w:rPr>
          <w:rFonts w:ascii="Times New Roman" w:hAnsi="Times New Roman" w:cs="Times New Roman"/>
          <w:sz w:val="24"/>
          <w:szCs w:val="24"/>
        </w:rPr>
        <w:fldChar w:fldCharType="end"/>
      </w:r>
      <w:r w:rsidRPr="00AC0FAA">
        <w:rPr>
          <w:rFonts w:ascii="Times New Roman" w:hAnsi="Times New Roman" w:cs="Times New Roman"/>
          <w:sz w:val="24"/>
          <w:szCs w:val="24"/>
        </w:rPr>
        <w:t>. Accuracy has also been tied to diagnostic error and diagnostic errors comprise a substantial and costly fraction of medical errors</w:t>
      </w:r>
      <w:r w:rsidR="005C18AD" w:rsidRPr="00AC0FAA">
        <w:rPr>
          <w:rFonts w:ascii="Times New Roman" w:hAnsi="Times New Roman" w:cs="Times New Roman"/>
          <w:sz w:val="24"/>
          <w:szCs w:val="24"/>
        </w:rPr>
        <w:t xml:space="preserve"> </w:t>
      </w:r>
      <w:r w:rsidRPr="00AC0FAA">
        <w:rPr>
          <w:rFonts w:ascii="Times New Roman" w:hAnsi="Times New Roman" w:cs="Times New Roman"/>
          <w:sz w:val="24"/>
          <w:szCs w:val="24"/>
        </w:rPr>
        <w:fldChar w:fldCharType="begin" w:fldLock="1"/>
      </w:r>
      <w:r w:rsidR="00BE3B6C" w:rsidRPr="00AC0FAA">
        <w:rPr>
          <w:rFonts w:ascii="Times New Roman" w:hAnsi="Times New Roman" w:cs="Times New Roman"/>
          <w:sz w:val="24"/>
          <w:szCs w:val="24"/>
        </w:rPr>
        <w:instrText>ADDIN CSL_CITATION {"citationItems":[{"id":"ITEM-1","itemData":{"DOI":"10.1097/00001888-200210000-00009","ISBN":"10402446 (ISSN)","ISSN":"10402446","PMID":"12377672","abstract":"This review considers the feasibility of reducing or eliminating the three major categories of diagnostic errors in medicine: \"No-fault errors\" occur when the disease is silent, presents atypically, or mimics something more common. These errors will inevitably decline as medical science advances, new syndromes are identified, and diseases can be detected more accurately or at earlier stages. These errors can never be eradicated, unfortunately, because new diseases emerge, tests are never perfect, patients are sometimes noncompliant, and physicians will inevitably, at times, choose the most likely diagnosis over the correct one, illustrating the concept of necessary fallibility and the probabilistic nature of choosing a diagnosis. \"System errors\" play a role when diagnosis is delayed or missed because of latent imperfections in the health care system. These errors can be reduced by system improvements, but can never be eliminated because these improvements lag behind and degrade over time, and each new fix creates the opportunity for novel errors. Tradeoffs also guarantee system errors will persist, when resources are just shifted. \"Cognitive errors\" reflect misdiagnosis from faulty data collection or interpretation, flawed reasoning, or incomplete knowledge. The limitations of human processing and the inherent biases in using heuristics guarantee that these errors will persist. Opportunities exist, however, for improving the cognitive aspect of diagnosis by adopting system-level changes (e.g., second opinions, decision-support systems, enhanced access to specialists) and by training designed to improve cognition or cognitive awareness. Diagnostic error can be substantially reduced, but never eradicated.","author":[{"dropping-particle":"","family":"Graber","given":"Mark","non-dropping-particle":"","parse-names":false,"suffix":""},{"dropping-particle":"","family":"Gordon","given":"Ruthanna","non-dropping-particle":"","parse-names":false,"suffix":""},{"dropping-particle":"","family":"Franklin","given":"Nancy","non-dropping-particle":"","parse-names":false,"suffix":""}],"container-title":"Academic Medicine","id":"ITEM-1","issue":"10","issued":{"date-parts":[["2002"]]},"page":"981-992","title":"Reducing diagnostic errors in medicine: What's the goal?","type":"article","volume":"77"},"uris":["http://www.mendeley.com/documents/?uuid=4e55039d-dfe1-45be-b70a-4eee0d1575fb"]},{"id":"ITEM-2","itemData":{"DOI":"10.1056/NEJMsa054479","ISBN":"0028-4793","ISSN":"0028-4793","PMID":"16687715","abstract":"In the current debate over tort reform, critics of the medical malpractice system charge that frivolous litigation--claims that lack evidence of injury, substandard care, or both--is common and costly.","author":[{"dropping-particle":"","family":"Studdert","given":"David M.","non-dropping-particle":"","parse-names":false,"suffix":""},{"dropping-particle":"","family":"Mello","given":"Michelle M.","non-dropping-particle":"","parse-names":false,"suffix":""},{"dropping-particle":"","family":"Gawande","given":"Atul A.","non-dropping-particle":"","parse-names":false,"suffix":""},{"dropping-particle":"","family":"Gandhi","given":"Tejal K.","non-dropping-particle":"","parse-names":false,"suffix":""},{"dropping-particle":"","family":"Kachalia","given":"Allen","non-dropping-particle":"","parse-names":false,"suffix":""},{"dropping-particle":"","family":"Yoon","given":"Catherine","non-dropping-particle":"","parse-names":false,"suffix":""},{"dropping-particle":"","family":"Puopolo","given":"Ann Louise","non-dropping-particle":"","parse-names":false,"suffix":""},{"dropping-particle":"","family":"Brennan","given":"Troyen A.","non-dropping-particle":"","parse-names":false,"suffix":""}],"container-title":"New England Journal of Medicine","id":"ITEM-2","issue":"19","issued":{"date-parts":[["2006"]]},"page":"2024-2033","title":"Claims, Errors, and Compensation Payments in Medical Malpractice Litigation","type":"article-journal","volume":"354"},"uris":["http://www.mendeley.com/documents/?uuid=73920e0f-19e8-4560-bd51-252180d3705f"]}],"mendeley":{"formattedCitation":"(Graber, Gordon and Franklin, 2002; Studdert &lt;i&gt;et al.&lt;/i&gt;, 2006)","plainTextFormattedCitation":"(Graber, Gordon and Franklin, 2002; Studdert et al., 2006)","previouslyFormattedCitation":"(Graber, Gordon, and Franklin 2002; Studdert et al. 2006)"},"properties":{"noteIndex":0},"schema":"https://github.com/citation-style-language/schema/raw/master/csl-citation.json"}</w:instrText>
      </w:r>
      <w:r w:rsidRPr="00AC0FAA">
        <w:rPr>
          <w:rFonts w:ascii="Times New Roman" w:hAnsi="Times New Roman" w:cs="Times New Roman"/>
          <w:sz w:val="24"/>
          <w:szCs w:val="24"/>
        </w:rPr>
        <w:fldChar w:fldCharType="separate"/>
      </w:r>
      <w:r w:rsidR="00063238">
        <w:rPr>
          <w:rFonts w:ascii="Times New Roman" w:hAnsi="Times New Roman" w:cs="Times New Roman"/>
          <w:noProof/>
          <w:sz w:val="24"/>
          <w:szCs w:val="24"/>
        </w:rPr>
        <w:t>(Graber, Gordon and Franklin</w:t>
      </w:r>
      <w:r w:rsidR="00BE3B6C" w:rsidRPr="00AC0FAA">
        <w:rPr>
          <w:rFonts w:ascii="Times New Roman" w:hAnsi="Times New Roman" w:cs="Times New Roman"/>
          <w:noProof/>
          <w:sz w:val="24"/>
          <w:szCs w:val="24"/>
        </w:rPr>
        <w:t xml:space="preserve"> 2002; Studdert et al. 2006)</w:t>
      </w:r>
      <w:r w:rsidRPr="00AC0FAA">
        <w:rPr>
          <w:rFonts w:ascii="Times New Roman" w:hAnsi="Times New Roman" w:cs="Times New Roman"/>
          <w:sz w:val="24"/>
          <w:szCs w:val="24"/>
        </w:rPr>
        <w:fldChar w:fldCharType="end"/>
      </w:r>
      <w:r w:rsidRPr="00AC0FAA">
        <w:rPr>
          <w:rFonts w:ascii="Times New Roman" w:hAnsi="Times New Roman" w:cs="Times New Roman"/>
          <w:sz w:val="24"/>
          <w:szCs w:val="24"/>
        </w:rPr>
        <w:t>.</w:t>
      </w:r>
    </w:p>
    <w:p w14:paraId="4184BAA5" w14:textId="72EA903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Given that the primary role of a pathologist is to provide a diagnosis to a surgeon so that the patient receives the appropriate management, it is probably not surprising that forming a diagnosis was considered to be very important in this study.   If a trainee is incapable of making accurate diagnoses, then there is a risk to patients</w:t>
      </w:r>
      <w:r w:rsidR="005C18A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{"citationItems":[{"id":"ITEM-1","itemData":{"DOI":"10.5935/1676-2444.20170021","ISBN":"0272-2712 (Print)","ISSN":"0272-2712","PMID":"10572712","abstract":"This article discusses the concept of diagnostic error in surgical pathology and how surgical pathologists attempt to decrease diagnostic error. Emphasis is placed on currently used error reduction methods.","author":[{"dropping-particle":"","family":"Goldstein","given":"N S","non-dropping-particle":"","parse-names":false,"suffix":""}],"container-title":"Clinics in Laboratory Medicine","id":"ITEM-1","issue":"4","issued":{"date-parts":[["1999"]]},"page":"743-756, v","title":"Diagnostic errors in surgical pathology","type":"article-journal","volume":"19"},"uris":["http://www.mendeley.com/documents/?uuid=9dc4a1eb-1705-408e-8017-da7272e2a07a"]}],"mendeley":{"formattedCitation":"(Goldstein, 1999)","plainTextFormattedCitation":"(Goldstein, 1999)","previouslyFormattedCitation":"(Goldstein 1999)"},"properties":{"noteIndex":0},"schema":"https://github.com/citation-style-language/schema/raw/master/csl-citation.json"}</w:instrText>
      </w:r>
      <w:r w:rsidRPr="006F3B00">
        <w:rPr>
          <w:rFonts w:ascii="Times New Roman" w:hAnsi="Times New Roman" w:cs="Times New Roman"/>
          <w:sz w:val="24"/>
          <w:szCs w:val="24"/>
        </w:rPr>
        <w:fldChar w:fldCharType="separate"/>
      </w:r>
      <w:r w:rsidR="00063238">
        <w:rPr>
          <w:rFonts w:ascii="Times New Roman" w:hAnsi="Times New Roman" w:cs="Times New Roman"/>
          <w:noProof/>
          <w:sz w:val="24"/>
          <w:szCs w:val="24"/>
        </w:rPr>
        <w:t>(Goldstein</w:t>
      </w:r>
      <w:r w:rsidR="00BE3B6C" w:rsidRPr="00BE3B6C">
        <w:rPr>
          <w:rFonts w:ascii="Times New Roman" w:hAnsi="Times New Roman" w:cs="Times New Roman"/>
          <w:noProof/>
          <w:sz w:val="24"/>
          <w:szCs w:val="24"/>
        </w:rPr>
        <w:t xml:space="preserve"> 1999)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Our data suggests that accuracy sometimes relates to getting a specific diagnosis while at other times, inaccuracy wasn’t as problematic so long as it didn’t affect patient care. This echoes negligence law whereby the “Cause in Fact” states that the plaintiff must show that their injury resulted from that erroneous diagnosis</w:t>
      </w:r>
      <w:r w:rsidR="005C18A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{"citationItems":[{"id":"ITEM-1","itemData":{"author":[{"dropping-particle":"","family":"Owen","given":"DG.","non-dropping-particle":"","parse-names":false,"suffix":""}],"container-title":"Hofstra Law Review","id":"ITEM-1","issue":"4","issued":{"date-parts":[["2007"]]},"title":"The Five Elements of Negligence","type":"article-journal","volume":"35"},"uris":["http://www.mendeley.com/documents/?uuid=21c07918-9483-4c77-9d5c-9b0ceade5fb0"]}],"mendeley":{"formattedCitation":"(Owen, 2007)","plainTextFormattedCitation":"(Owen, 2007)","previouslyFormattedCitation":"(Owen 2007)"},"properties":{"noteIndex":0},"schema":"https://github.com/citation-style-language/schema/raw/master/csl-citation.json"}</w:instrText>
      </w:r>
      <w:r w:rsidRPr="006F3B00">
        <w:rPr>
          <w:rFonts w:ascii="Times New Roman" w:hAnsi="Times New Roman" w:cs="Times New Roman"/>
          <w:sz w:val="24"/>
          <w:szCs w:val="24"/>
        </w:rPr>
        <w:fldChar w:fldCharType="separate"/>
      </w:r>
      <w:r w:rsidR="00063238">
        <w:rPr>
          <w:rFonts w:ascii="Times New Roman" w:hAnsi="Times New Roman" w:cs="Times New Roman"/>
          <w:noProof/>
          <w:sz w:val="24"/>
          <w:szCs w:val="24"/>
        </w:rPr>
        <w:t>(Owen</w:t>
      </w:r>
      <w:r w:rsidR="00BE3B6C" w:rsidRPr="00BE3B6C">
        <w:rPr>
          <w:rFonts w:ascii="Times New Roman" w:hAnsi="Times New Roman" w:cs="Times New Roman"/>
          <w:noProof/>
          <w:sz w:val="24"/>
          <w:szCs w:val="24"/>
        </w:rPr>
        <w:t xml:space="preserve"> 2007)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therefore, if the erroneous diagnosis was still a benign neoplasm that required the same treatment, there would be no case. The expectation of a consultant increases when trainees progress through training, such that inaccuracies were less acceptable towards the end of training.</w:t>
      </w:r>
    </w:p>
    <w:p w14:paraId="1BF91D9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Often the diagnosis was considered less important than the approach that had led to that diagnosis. Even in the first year of training, consultants wanted to see that trainees had the right “approach” to diagnosis even if the diagnosis was incorrect. For instance, </w:t>
      </w:r>
      <w:r w:rsidRPr="006F3B00">
        <w:rPr>
          <w:rFonts w:ascii="Times New Roman" w:hAnsi="Times New Roman" w:cs="Times New Roman"/>
          <w:i/>
          <w:sz w:val="24"/>
          <w:szCs w:val="24"/>
        </w:rPr>
        <w:t>“</w:t>
      </w:r>
      <w:r w:rsidRPr="006F3B00">
        <w:rPr>
          <w:rFonts w:ascii="Times New Roman" w:hAnsi="Times New Roman" w:cs="Times New Roman"/>
          <w:i/>
          <w:color w:val="000000"/>
          <w:sz w:val="24"/>
          <w:szCs w:val="24"/>
        </w:rPr>
        <w:t>Now, if they get the diagnosis wrong, which may happen, but they base their diagnosis on the evidence seen, then we can correct it.  But if they get the diagnosis wrong because they didn't take into account anything, then it is very obvious that they haven't studied correctly that stage…in which case they are incompetent”.</w:t>
      </w:r>
      <w:r w:rsidRPr="006F3B00">
        <w:rPr>
          <w:rFonts w:ascii="Times New Roman" w:hAnsi="Times New Roman" w:cs="Times New Roman"/>
          <w:sz w:val="24"/>
          <w:szCs w:val="24"/>
        </w:rPr>
        <w:t xml:space="preserve"> Consultants sometimes used objectives measures to try and tease out the approach used by the trainee (such as seeing if a trainee had spotted a particular histological feature or interpreted a special stain correctly), yet other times consultants found the approach most difficult to describe, mainly because the art of making a diagnosis occurs inside someone’s head and </w:t>
      </w:r>
      <w:r w:rsidRPr="006F3B00">
        <w:rPr>
          <w:rFonts w:ascii="Times New Roman" w:hAnsi="Times New Roman" w:cs="Times New Roman"/>
          <w:sz w:val="24"/>
          <w:szCs w:val="24"/>
        </w:rPr>
        <w:lastRenderedPageBreak/>
        <w:t xml:space="preserve">is not as easily demonstrable as those specialties which are more practical by nature. Sometimes the data correlated these intangible skills as being innate ability-that some individuals are just better at visual-spatial awareness and pattern recognition. This is illustrated by the comment </w:t>
      </w:r>
      <w:r w:rsidRPr="006F3B00">
        <w:rPr>
          <w:rFonts w:ascii="Times New Roman" w:hAnsi="Times New Roman" w:cs="Times New Roman"/>
          <w:i/>
          <w:sz w:val="24"/>
          <w:szCs w:val="24"/>
        </w:rPr>
        <w:t xml:space="preserve">“When someone's got the eye for it or they've got the right approach it's very difficult to define or record but you know it when you see it”. </w:t>
      </w:r>
      <w:r w:rsidRPr="006F3B00">
        <w:rPr>
          <w:rFonts w:ascii="Times New Roman" w:hAnsi="Times New Roman" w:cs="Times New Roman"/>
          <w:sz w:val="24"/>
          <w:szCs w:val="24"/>
        </w:rPr>
        <w:t>The problem with innate ability is that it is not something you can necessarily teach, so although it helps one to become diagnostically competent, it is probably not something you can assess during training. A more pragmatic approach would be to assess basic levels of aptitude early on in training, so that those individuals who lack any ability to form a diagnosis are directed towards other career paths. Currently, this is one of the functions of the OSPE undertaken in the first year of general histopathology as it acts as a gateway to continue with the rest of training.</w:t>
      </w:r>
    </w:p>
    <w:p w14:paraId="3EF1E96D" w14:textId="54106F93"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approach was also explored by consultant asking trainees to explain why the diagnosis was what it was, why they reached that diagnosis, how other entities had been excluded and if they had correlated clinical findings with their microscopy. However, others aspects related to consultants just “feeling” that their trainee was competent. These feelings may reflect that some aspects of competency are not easily compartmentalised into specific traits or behaviours, but rather a more global approach to competency is favoured, where the overall judgement is greater than the sums of the parts. It was noted that although consultants may identify errors in trainee reports, the nature of how the error occurred is not always made explicit to the trainee: “</w:t>
      </w:r>
      <w:r w:rsidRPr="006F3B00">
        <w:rPr>
          <w:rFonts w:ascii="Times New Roman" w:hAnsi="Times New Roman" w:cs="Times New Roman"/>
          <w:i/>
          <w:sz w:val="24"/>
          <w:szCs w:val="24"/>
        </w:rPr>
        <w:t>they do pick up things that I've missed and they give me pointers on how to better write reports, but there's no explicit feedback…it's more you have made this error</w:t>
      </w:r>
      <w:r w:rsidRPr="006F3B00">
        <w:rPr>
          <w:rFonts w:ascii="Times New Roman" w:hAnsi="Times New Roman" w:cs="Times New Roman"/>
          <w:sz w:val="24"/>
          <w:szCs w:val="24"/>
        </w:rPr>
        <w:t xml:space="preserve">”. This could be happening for a number of reasons, including a lack of time or prerogative on the consultant’s behalf. However, the results from the </w:t>
      </w:r>
      <w:r w:rsidRPr="001904EB">
        <w:rPr>
          <w:rFonts w:ascii="Times New Roman" w:hAnsi="Times New Roman" w:cs="Times New Roman"/>
          <w:sz w:val="24"/>
          <w:szCs w:val="24"/>
        </w:rPr>
        <w:t xml:space="preserve">questionnaire </w:t>
      </w:r>
      <w:r w:rsidR="00B77285">
        <w:rPr>
          <w:rFonts w:ascii="Times New Roman" w:hAnsi="Times New Roman" w:cs="Times New Roman"/>
          <w:sz w:val="24"/>
          <w:szCs w:val="24"/>
        </w:rPr>
        <w:t xml:space="preserve">(see Chapter 3, section </w:t>
      </w:r>
      <w:r w:rsidR="00B77285">
        <w:rPr>
          <w:rFonts w:ascii="Times New Roman" w:hAnsi="Times New Roman" w:cs="Times New Roman"/>
          <w:sz w:val="24"/>
          <w:szCs w:val="24"/>
        </w:rPr>
        <w:lastRenderedPageBreak/>
        <w:t>3.4</w:t>
      </w:r>
      <w:r w:rsidRPr="001904EB">
        <w:rPr>
          <w:rFonts w:ascii="Times New Roman" w:hAnsi="Times New Roman" w:cs="Times New Roman"/>
          <w:sz w:val="24"/>
          <w:szCs w:val="24"/>
        </w:rPr>
        <w:t>) suggested there is enough time to complete WBAs and consultants are o</w:t>
      </w:r>
      <w:r w:rsidRPr="006F3B00">
        <w:rPr>
          <w:rFonts w:ascii="Times New Roman" w:hAnsi="Times New Roman" w:cs="Times New Roman"/>
          <w:sz w:val="24"/>
          <w:szCs w:val="24"/>
        </w:rPr>
        <w:t xml:space="preserve">ften very helpful in providing feedback. This comment might actually reflect that the “error” has stemmed from an incorrect “approach”, and being able to explain this approach to a trainee is difficult. Again, this feeds back to the invisible thought processes which occur when making a diagnosis which one can’t demonstrate through modelling. As illustrated by the following comment, this might explain why trainees often learn by </w:t>
      </w:r>
      <w:r w:rsidRPr="006F3B00">
        <w:rPr>
          <w:rFonts w:ascii="Times New Roman" w:hAnsi="Times New Roman" w:cs="Times New Roman"/>
          <w:i/>
          <w:sz w:val="24"/>
          <w:szCs w:val="24"/>
        </w:rPr>
        <w:t>“shifting enough glass”,</w:t>
      </w:r>
      <w:r w:rsidRPr="006F3B00">
        <w:rPr>
          <w:rFonts w:ascii="Times New Roman" w:hAnsi="Times New Roman" w:cs="Times New Roman"/>
          <w:sz w:val="24"/>
          <w:szCs w:val="24"/>
        </w:rPr>
        <w:t xml:space="preserve"> as the very nature of seeing enough cases gives rise to “trial and error”. The approach to diagnosis is then gradually demystified through experience by the trainee where they are able to </w:t>
      </w:r>
      <w:r w:rsidRPr="006F3B00">
        <w:rPr>
          <w:rFonts w:ascii="Times New Roman" w:hAnsi="Times New Roman" w:cs="Times New Roman"/>
          <w:i/>
          <w:sz w:val="24"/>
          <w:szCs w:val="24"/>
        </w:rPr>
        <w:t xml:space="preserve">say “I think it fits into this basket” </w:t>
      </w:r>
      <w:r w:rsidRPr="006F3B00">
        <w:rPr>
          <w:rFonts w:ascii="Times New Roman" w:hAnsi="Times New Roman" w:cs="Times New Roman"/>
          <w:sz w:val="24"/>
          <w:szCs w:val="24"/>
        </w:rPr>
        <w:t xml:space="preserve">or </w:t>
      </w:r>
      <w:r w:rsidRPr="006F3B00">
        <w:rPr>
          <w:rFonts w:ascii="Times New Roman" w:hAnsi="Times New Roman" w:cs="Times New Roman"/>
          <w:i/>
          <w:sz w:val="24"/>
          <w:szCs w:val="24"/>
        </w:rPr>
        <w:t xml:space="preserve">“What are the 10 things I need to be thinking about?” rather than there are two hundred things”. </w:t>
      </w:r>
      <w:r w:rsidRPr="006F3B00">
        <w:rPr>
          <w:rFonts w:ascii="Times New Roman" w:hAnsi="Times New Roman" w:cs="Times New Roman"/>
          <w:sz w:val="24"/>
          <w:szCs w:val="24"/>
        </w:rPr>
        <w:t>Here, the experience of “shifting glass” exposes the trainee to the range and depth of diagnoses so they can eventually conceptualise entities into categories and begin to form a differential diagnosis.</w:t>
      </w:r>
    </w:p>
    <w:p w14:paraId="6194C8D2" w14:textId="71307B8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judgement ecology also showed that the regular episodes of one-on-one teaching between trainee and consultant are highly beneficial for the trainee to become diagnostically competent as the consultant can help to guide and refine the differential diagnosis.  Hence, the current WBAs only detect minute episodes along this continuum, and although they might offer some insight into diagnostic competence, they may not reflect the full picture because competency is longitudinal in nature. As identified in the questionnaire responses to questions 4, 5 and </w:t>
      </w:r>
      <w:r w:rsidRPr="001904EB">
        <w:rPr>
          <w:rFonts w:ascii="Times New Roman" w:hAnsi="Times New Roman" w:cs="Times New Roman"/>
          <w:sz w:val="24"/>
          <w:szCs w:val="24"/>
        </w:rPr>
        <w:t>6 (</w:t>
      </w:r>
      <w:r w:rsidR="00B77285">
        <w:rPr>
          <w:rFonts w:ascii="Times New Roman" w:hAnsi="Times New Roman" w:cs="Times New Roman"/>
          <w:sz w:val="24"/>
          <w:szCs w:val="24"/>
        </w:rPr>
        <w:t>see Chapter 3, section 3.4</w:t>
      </w:r>
      <w:r w:rsidRPr="001904EB">
        <w:rPr>
          <w:rFonts w:ascii="Times New Roman" w:hAnsi="Times New Roman" w:cs="Times New Roman"/>
          <w:sz w:val="24"/>
          <w:szCs w:val="24"/>
        </w:rPr>
        <w:t xml:space="preserve">), most assessors and trainees felt that the current WBAs did not identify diagnostic competence, struggling trainees or reflect performance and although part of this might be because </w:t>
      </w:r>
      <w:r w:rsidRPr="006F3B00">
        <w:rPr>
          <w:rFonts w:ascii="Times New Roman" w:hAnsi="Times New Roman" w:cs="Times New Roman"/>
          <w:sz w:val="24"/>
          <w:szCs w:val="24"/>
        </w:rPr>
        <w:t>the forms do not reflect the knowledge, skills and behaviours that are most relevant, it also reflects that the judgement is longitudinal.</w:t>
      </w:r>
    </w:p>
    <w:p w14:paraId="23E91268" w14:textId="6CB9623B"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Knowing trainees could follow the correct diagnostic approach was also important to ensure guesswork wasn’t involved as some diagnoses are common by their very nature e.g. a lump on the buccal mucosa is nearly always a fibro-epithelial polyp. It was also important because this approach underpinned a safe trainee, so that errors and patient harm would be minimised. One study found that qualified doctors valued knowledge and clinical skills most highly when assessing postgraduate competence </w:t>
      </w:r>
      <w:r w:rsidRPr="00063238">
        <w:rPr>
          <w:rFonts w:ascii="Times New Roman" w:hAnsi="Times New Roman" w:cs="Times New Roman"/>
          <w:sz w:val="24"/>
          <w:szCs w:val="24"/>
        </w:rPr>
        <w:fldChar w:fldCharType="begin" w:fldLock="1"/>
      </w:r>
      <w:r w:rsidR="00BE3B6C" w:rsidRPr="00063238">
        <w:rPr>
          <w:rFonts w:ascii="Times New Roman" w:hAnsi="Times New Roman" w:cs="Times New Roman"/>
          <w:sz w:val="24"/>
          <w:szCs w:val="24"/>
        </w:rPr>
        <w:instrText>ADDIN CSL_CITATION {"citationItems":[{"id":"ITEM-1","itemData":{"DOI":"10.1111/j.1365-2923.2007.02841.x","ISBN":"0308-0110 (Print)\\r0308-0110 (Linking)","ISSN":"03080110","PMID":"17908116","abstract":"CONTEXT: The conceptualisation and measurement of competence in patient care are critical to the design of medical education programmes and outcome assessment. OBJECTIVE: We aimed to examine the major components and correlates of postgraduate competence in patient care. METHODS: A 24-item rating form with additional questions about resident doctors' performance and future residency offers was used. Study participants comprised 4560 subjects who graduated from Jefferson Medical College between 1975 and 2004. They pursued their graduate medical education in 508 hospitals. We used a longitudinal study design in which the rating form was completed by programme directors to evaluate residents at the end of the first postgraduate year. Factor analysis was used to identify the underlying components of postgraduate ratings. Multiple regression, t-test and correlational analyses were used to study the validity of the components that emerged. RESULTS: Two major components emerged, which we labelled 'Knowledge and Clinical Capabilities' and 'Professionalism', and which addressed the science and art of medicine, respectively. Performance measures during medical school, scores on medical licensing examinations, and global assessment of Medical Knowledge, Clinical Judgement and Data-gathering Skills showed higher correlations with scores on the Knowledge and Clinical Capabilities component. Global assessments of Professional Attitudes and ratings of Empathic Behaviour showed higher correlations with scores on the Professionalism component. Offers of continued residency and evaluations of desirable qualities were associated with both components. CONCLUSIONS: Psychometric support for measuring the components of Knowledge and Clinical Capabilities, and Professionalism provides an instrument to empirically evaluate educational outcomes to medical educators who are in search of such a tool.","author":[{"dropping-particle":"","family":"Hojat","given":"Mohammadreza","non-dropping-particle":"","parse-names":false,"suffix":""},{"dropping-particle":"","family":"Paskin","given":"David L.","non-dropping-particle":"","parse-names":false,"suffix":""},{"dropping-particle":"","family":"Callahan","given":"Clara A.","non-dropping-particle":"","parse-names":false,"suffix":""},{"dropping-particle":"","family":"Nasca","given":"Thomas J.","non-dropping-particle":"","parse-names":false,"suffix":""},{"dropping-particle":"","family":"Louis","given":"Daniel Z.","non-dropping-particle":"","parse-names":false,"suffix":""},{"dropping-particle":"","family":"Veloski","given":"Jon","non-dropping-particle":"","parse-names":false,"suffix":""},{"dropping-particle":"","family":"Erdmann","given":"James B.","non-dropping-particle":"","parse-names":false,"suffix":""},{"dropping-particle":"","family":"Gonnella","given":"Joseph S.","non-dropping-particle":"","parse-names":false,"suffix":""}],"container-title":"Medical Education","id":"ITEM-1","issue":"10","issued":{"date-parts":[["2007"]]},"page":"982-989","title":"Components of postgraduate competence: Analyses of thirty years of longitudinal data","type":"article-journal","volume":"41"},"uris":["http://www.mendeley.com/documents/?uuid=14bf88b1-3c90-4bb1-9886-8f88e246b1ec"]}],"mendeley":{"formattedCitation":"(Hojat &lt;i&gt;et al.&lt;/i&gt;, 2007)","plainTextFormattedCitation":"(Hojat et al., 2007)","previouslyFormattedCitation":"(Hojat et al. 2007)"},"properties":{"noteIndex":0},"schema":"https://github.com/citation-style-language/schema/raw/master/csl-citation.json"}</w:instrText>
      </w:r>
      <w:r w:rsidRPr="00063238">
        <w:rPr>
          <w:rFonts w:ascii="Times New Roman" w:hAnsi="Times New Roman" w:cs="Times New Roman"/>
          <w:sz w:val="24"/>
          <w:szCs w:val="24"/>
        </w:rPr>
        <w:fldChar w:fldCharType="separate"/>
      </w:r>
      <w:r w:rsidR="00BE3B6C" w:rsidRPr="00063238">
        <w:rPr>
          <w:rFonts w:ascii="Times New Roman" w:hAnsi="Times New Roman" w:cs="Times New Roman"/>
          <w:noProof/>
          <w:sz w:val="24"/>
          <w:szCs w:val="24"/>
        </w:rPr>
        <w:t>(Hojat et al. 2007)</w:t>
      </w:r>
      <w:r w:rsidRPr="00063238">
        <w:rPr>
          <w:rFonts w:ascii="Times New Roman" w:hAnsi="Times New Roman" w:cs="Times New Roman"/>
          <w:sz w:val="24"/>
          <w:szCs w:val="24"/>
        </w:rPr>
        <w:fldChar w:fldCharType="end"/>
      </w:r>
      <w:r w:rsidRPr="00063238">
        <w:rPr>
          <w:rFonts w:ascii="Times New Roman" w:hAnsi="Times New Roman" w:cs="Times New Roman"/>
          <w:sz w:val="24"/>
          <w:szCs w:val="24"/>
        </w:rPr>
        <w:t xml:space="preserve">. This mirrors our findings in that the ability to form sound diagnoses supported by </w:t>
      </w:r>
      <w:r w:rsidRPr="006F3B00">
        <w:rPr>
          <w:rFonts w:ascii="Times New Roman" w:hAnsi="Times New Roman" w:cs="Times New Roman"/>
          <w:sz w:val="24"/>
          <w:szCs w:val="24"/>
        </w:rPr>
        <w:t>appropriate levels of knowledge is a highly desirable component of competence in histopathology. However, our study is the first to use qualitative means to try and understand the nature of diagnosis and the factors that underpin it. This study also allows one to understand how accuracy of diagnosis sits within the wider framework of diagnostic competence, instead of examining it in isolation.</w:t>
      </w:r>
    </w:p>
    <w:p w14:paraId="3F73EBC2" w14:textId="77777777" w:rsidR="00863DF5" w:rsidRPr="006F3B00" w:rsidRDefault="00863DF5" w:rsidP="00863DF5">
      <w:pPr>
        <w:spacing w:line="480" w:lineRule="auto"/>
        <w:rPr>
          <w:rFonts w:ascii="Times New Roman" w:hAnsi="Times New Roman" w:cs="Times New Roman"/>
          <w:b/>
          <w:sz w:val="24"/>
          <w:szCs w:val="24"/>
        </w:rPr>
      </w:pPr>
      <w:r w:rsidRPr="006F3B00">
        <w:rPr>
          <w:rFonts w:ascii="Times New Roman" w:hAnsi="Times New Roman" w:cs="Times New Roman"/>
          <w:b/>
          <w:sz w:val="24"/>
          <w:szCs w:val="24"/>
        </w:rPr>
        <w:t>The patient</w:t>
      </w:r>
    </w:p>
    <w:p w14:paraId="5D28525B" w14:textId="2A69205A"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need to protect patients is made explicit in histopathology training assessments and curricula, as well as the regulatory bodies which govern the profession and by working within the NHS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 xml:space="preserve">ADDIN CSL_CITATION {"citationItems":[{"id":"ITEM-1","itemData":{"DOI":"10.1117/12.889178","abstract":"About this document This document sets out the standards of conduct, performance and ethics that govern you as a dental professional. It specifies the principles, standards and guidance which apply to all members of the dental team which includes: It also sets out what patients expect from their dental professionals. Principles: The core ethical principles of practice Patient expectations: What patients can expect from the dental team Standards: What registrants must do to ensure patient expectations are met Guidance: How registrants meet the standards There are nine principles registered dental professionals must keep to at all times. As a GDC registrant you must: </w:instrText>
      </w:r>
      <w:r w:rsidR="00BE3B6C">
        <w:rPr>
          <w:rFonts w:ascii="Times New Roman" w:hAnsi="Times New Roman" w:cs="Times New Roman"/>
          <w:sz w:val="24"/>
          <w:szCs w:val="24"/>
        </w:rPr>
        <w:instrText xml:space="preserve"> Put patients' interests first </w:instrText>
      </w:r>
      <w:r w:rsidR="00BE3B6C">
        <w:rPr>
          <w:rFonts w:ascii="Times New Roman" w:hAnsi="Times New Roman" w:cs="Times New Roman"/>
          <w:sz w:val="24"/>
          <w:szCs w:val="24"/>
        </w:rPr>
        <w:instrText xml:space="preserve"> Communicate effectively with patients </w:instrText>
      </w:r>
      <w:r w:rsidR="00BE3B6C">
        <w:rPr>
          <w:rFonts w:ascii="Times New Roman" w:hAnsi="Times New Roman" w:cs="Times New Roman"/>
          <w:sz w:val="24"/>
          <w:szCs w:val="24"/>
        </w:rPr>
        <w:instrText xml:space="preserve"> Obtain valid consent </w:instrText>
      </w:r>
      <w:r w:rsidR="00BE3B6C">
        <w:rPr>
          <w:rFonts w:ascii="Times New Roman" w:hAnsi="Times New Roman" w:cs="Times New Roman"/>
          <w:sz w:val="24"/>
          <w:szCs w:val="24"/>
        </w:rPr>
        <w:instrText xml:space="preserve"> Maintain and protect patients' information </w:instrText>
      </w:r>
      <w:r w:rsidR="00BE3B6C">
        <w:rPr>
          <w:rFonts w:ascii="Times New Roman" w:hAnsi="Times New Roman" w:cs="Times New Roman"/>
          <w:sz w:val="24"/>
          <w:szCs w:val="24"/>
        </w:rPr>
        <w:instrText xml:space="preserve"> Have a clear and effective complaints procedure </w:instrText>
      </w:r>
      <w:r w:rsidR="00BE3B6C">
        <w:rPr>
          <w:rFonts w:ascii="Times New Roman" w:hAnsi="Times New Roman" w:cs="Times New Roman"/>
          <w:sz w:val="24"/>
          <w:szCs w:val="24"/>
        </w:rPr>
        <w:instrText xml:space="preserve"> Work with colleagues in a way that is in patients' best interests </w:instrText>
      </w:r>
      <w:r w:rsidR="00BE3B6C">
        <w:rPr>
          <w:rFonts w:ascii="Times New Roman" w:hAnsi="Times New Roman" w:cs="Times New Roman"/>
          <w:sz w:val="24"/>
          <w:szCs w:val="24"/>
        </w:rPr>
        <w:instrText xml:space="preserve"> Maintain, develop and work within your professional knowledge and skills </w:instrText>
      </w:r>
      <w:r w:rsidR="00BE3B6C">
        <w:rPr>
          <w:rFonts w:ascii="Times New Roman" w:hAnsi="Times New Roman" w:cs="Times New Roman"/>
          <w:sz w:val="24"/>
          <w:szCs w:val="24"/>
        </w:rPr>
        <w:instrText xml:space="preserve"> Raise concerns if patients are at risk </w:instrText>
      </w:r>
      <w:r w:rsidR="00BE3B6C">
        <w:rPr>
          <w:rFonts w:ascii="Times New Roman" w:hAnsi="Times New Roman" w:cs="Times New Roman"/>
          <w:sz w:val="24"/>
          <w:szCs w:val="24"/>
        </w:rPr>
        <w:instrText xml:space="preserve"> Make sure your personal behaviour maintains patients' confidence in you and the dental profession The principles are all equally important and are not listed in order of priority. They are supplemented by additional guidance documents which can be found on our website at www.gdc-uk.org and which you must also follow. You have an individual responsibility to behave professionally and follow these principles at all times. </w:instrText>
      </w:r>
      <w:r w:rsidR="00BE3B6C">
        <w:rPr>
          <w:rFonts w:ascii="Times New Roman" w:hAnsi="Times New Roman" w:cs="Times New Roman"/>
          <w:sz w:val="24"/>
          <w:szCs w:val="24"/>
        </w:rPr>
        <w:instrText xml:space="preserve"> The standards set out what you must do. If you do not meet these standards, you may be removed from our register and not be able to work as a dental professional. </w:instrText>
      </w:r>
      <w:r w:rsidR="00BE3B6C">
        <w:rPr>
          <w:rFonts w:ascii="Times New Roman" w:hAnsi="Times New Roman" w:cs="Times New Roman"/>
          <w:sz w:val="24"/>
          <w:szCs w:val="24"/>
        </w:rPr>
        <w:instrText> The guidance is there to help you to meet the standards. You are expected to follow the guidance, to use your professional judgment, demonstrate insight at all times and be able to justify any decision that is not in line with the guidance. Serious or persistent failure to follow the guidance could see you removed from our register and not able to work as a dental professional. Throughout this document:","author":[{"dropping-particle":"","family":"General Dental Council","given":"","non-dropping-particle":"","parse-names":false,"suffix":""}],"container-title":"Standards for the Dental Team","id":"ITEM-1","issue":"June","issued":{"date-parts":[["2013"]]},"title":"Standards for the Dental Team www.gdc-uk.org","type":"article-journal"},"uris":["http://www.mendeley.com/documents/?uuid=04398bc4-6073-4a8f-a24e-5d4f56f6caef"]},{"id":"ITEM-2","itemData":{"DOI":"10.1080/02688690220148815","ISBN":"0268869022","ISSN":"0268-8697","PMID":"12201391","abstract":"The circumstances of Bristol, and the NHS, at the time, led to the system for providing paediatric cardiac surgery (PCS) being flawed. All of these flaws, taken together, led to around one-third of all the children who underwent open-heart surgery receiving less than adequate care. More children died than might have been expected in a typical PCS unit. In the period from 1991 to 1995 between 30 and 35 more children under 1 died after open-heart surgery in the Bristol Unit than might be expected had the Unit been typical of other PCS units in England at the time.","author":[{"dropping-particle":"","family":"Teasdale","given":"G M","non-dropping-particle":"","parse-names":false,"suffix":""}],"container-title":"British journal of neurosurgery","id":"ITEM-2","issued":{"date-parts":[["2002"]]},"page":"211-216","title":"Learning from Bristol: report of the public inquiry into children's heart surgery at Bristol Royal Infirmary 1984-1995.","type":"article-journal","volume":"16"},"uris":["http://www.mendeley.com/documents/?uuid=3ff95d00-97ee-4284-8930-2441ed80e2fb"]},{"id":"ITEM-3","itemData":{"URL":"https://www.rcpath.org/trainees/assessment/workplace-based-assessment-wpba.html","accessed":{"date-parts":[["2018","7","1"]]},"author":[{"dropping-particle":"","family":"Royal College of Pathologists","given":"","non-dropping-particle":"","parse-names":false,"suffix":""}],"id":"ITEM-3","issued":{"date-parts":[["2018"]]},"title":"Workplace-based Assessment","type":"webpage"},"uris":["http://www.mendeley.com/documents/?uuid=af5ae858-3c48-455b-aab2-9b2756494cfa"]},{"id":"ITEM-4","itemData":{"URL":"https://www.rcpath.org/uploads/assets/uploaded/f8695439-ce47-4046-b13c1f6202fd8468.pdf","accessed":{"date-parts":[["2011","8","20"]]},"author":[{"dropping-particle":"","family":"Pathologists","given":"The Royal College of","non-dropping-particle":"","parse-names":false,"suffix":""}],"id":"ITEM-4","issued":{"date-parts":[["2015"]]},"title":"CURRICULUM FOR SPECIALTY TRAINING IN HISTOPATHOLOGY","type":"webpage"},"uris":["http://www.mendeley.com/documents/?uuid=a01fada6-0b1d-4988-844f-820c81a74765"]},{"id":"ITEM-5","itemData":{"DOI":"http://dx.doi.org/10.1016/j.healun.2004.01.011","ISBN":"978-0-901458-72-8","ISSN":"1521-4095","PMID":"2005103231","abstract":"The outcomes for graduates and the associated lists of practical procedures and related documents were originally published in Tomorrow’s Doctors (2009). Tomorrow’s Doctors also included standards for the delivery of teaching, learning and assessment which have been replaced by Promoting excellence: standards for medical education and training published in July 2015.","author":[{"dropping-particle":"","family":"General Medical Council (GMC)","given":"","non-dropping-particle":"","parse-names":false,"suffix":""}],"container-title":"Tomorrow's Doctors","id":"ITEM-5","issued":{"date-parts":[["2015"]]},"number-of-pages":"20","title":"Outcomes for graduates","type":"book"},"uris":["http://www.mendeley.com/documents/?uuid=5e9de213-4bdf-45ac-ae57-35b365ef78e3"]}],"mendeley":{"formattedCitation":"(Teasdale, 2002; General Dental Council, 2013; General Medical Council (GMC), 2015; Pathologists, 2015; Royal College of Pathologists, 2018)","plainTextFormattedCitation":"(Teasdale, 2002; General Dental Council, 2013; General Medical Council (GMC), 2015; Pathologists, 2015; Royal College of Pathologists, 2018)","previouslyFormattedCitation":"(General Dental Council 2013; Teasdale 2002; Royal College of Pathologists 2018; Pathologists 2015; General Medical Council (GMC) 2015)"},"properties":{"noteIndex":0},"schema":"https://github.com/citation-style-language/schema/raw/master/csl-citation.json"}</w:instrText>
      </w:r>
      <w:r w:rsidRPr="006F3B00">
        <w:rPr>
          <w:rFonts w:ascii="Times New Roman" w:hAnsi="Times New Roman" w:cs="Times New Roman"/>
          <w:sz w:val="24"/>
          <w:szCs w:val="24"/>
        </w:rPr>
        <w:fldChar w:fldCharType="separate"/>
      </w:r>
      <w:r w:rsidR="00063238">
        <w:rPr>
          <w:rFonts w:ascii="Times New Roman" w:hAnsi="Times New Roman" w:cs="Times New Roman"/>
          <w:noProof/>
          <w:sz w:val="24"/>
          <w:szCs w:val="24"/>
        </w:rPr>
        <w:t>(Teasdale 2002; General Dental Council</w:t>
      </w:r>
      <w:r w:rsidR="00BE3B6C" w:rsidRPr="00BE3B6C">
        <w:rPr>
          <w:rFonts w:ascii="Times New Roman" w:hAnsi="Times New Roman" w:cs="Times New Roman"/>
          <w:noProof/>
          <w:sz w:val="24"/>
          <w:szCs w:val="24"/>
        </w:rPr>
        <w:t xml:space="preserve"> </w:t>
      </w:r>
      <w:r w:rsidR="00063238">
        <w:rPr>
          <w:rFonts w:ascii="Times New Roman" w:hAnsi="Times New Roman" w:cs="Times New Roman"/>
          <w:noProof/>
          <w:sz w:val="24"/>
          <w:szCs w:val="24"/>
        </w:rPr>
        <w:t>2013; General Medical Council</w:t>
      </w:r>
      <w:r w:rsidR="00BE3B6C" w:rsidRPr="00BE3B6C">
        <w:rPr>
          <w:rFonts w:ascii="Times New Roman" w:hAnsi="Times New Roman" w:cs="Times New Roman"/>
          <w:noProof/>
          <w:sz w:val="24"/>
          <w:szCs w:val="24"/>
        </w:rPr>
        <w:t xml:space="preserve"> 2015; </w:t>
      </w:r>
      <w:r w:rsidR="00063238">
        <w:rPr>
          <w:rFonts w:ascii="Times New Roman" w:hAnsi="Times New Roman" w:cs="Times New Roman"/>
          <w:noProof/>
          <w:sz w:val="24"/>
          <w:szCs w:val="24"/>
        </w:rPr>
        <w:t>The Royal College of Pathologists</w:t>
      </w:r>
      <w:r w:rsidR="00BE3B6C" w:rsidRPr="00BE3B6C">
        <w:rPr>
          <w:rFonts w:ascii="Times New Roman" w:hAnsi="Times New Roman" w:cs="Times New Roman"/>
          <w:noProof/>
          <w:sz w:val="24"/>
          <w:szCs w:val="24"/>
        </w:rPr>
        <w:t xml:space="preserve"> 2015; </w:t>
      </w:r>
      <w:r w:rsidR="00063238">
        <w:rPr>
          <w:rFonts w:ascii="Times New Roman" w:hAnsi="Times New Roman" w:cs="Times New Roman"/>
          <w:noProof/>
          <w:sz w:val="24"/>
          <w:szCs w:val="24"/>
        </w:rPr>
        <w:t>The Royal College of Pathologists</w:t>
      </w:r>
      <w:r w:rsidR="00BE3B6C" w:rsidRPr="00BE3B6C">
        <w:rPr>
          <w:rFonts w:ascii="Times New Roman" w:hAnsi="Times New Roman" w:cs="Times New Roman"/>
          <w:noProof/>
          <w:sz w:val="24"/>
          <w:szCs w:val="24"/>
        </w:rPr>
        <w:t xml:space="preserve"> 2018)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Although it is mentioned in the histopathology curriculum, generally, our data reflect that protecting patients is considered a fundamental part of diagnostic competence. Consultants were very aware that their role involved ensuring patients received the correct treatment, something they wished their trainees to appreciate as well. This theme related closely to being accurate when making diagnoses, so patients came to no harm. However, it was also considered important to ensure reports conveyed the right message to surgeons, especially when the diagnoses were not clear-cut and needed phrasing in a particular way. Reports which showed the pathologist had excluded other clinical </w:t>
      </w:r>
      <w:r w:rsidRPr="006F3B00">
        <w:rPr>
          <w:rFonts w:ascii="Times New Roman" w:hAnsi="Times New Roman" w:cs="Times New Roman"/>
          <w:sz w:val="24"/>
          <w:szCs w:val="24"/>
        </w:rPr>
        <w:lastRenderedPageBreak/>
        <w:t xml:space="preserve">differential diagnoses were also useful and showed empathy with surgeons. Ultimately, the diagnosis, histology report and any form of communication which could affect patient care was considered significant. Indeed, protecting patients was mostly described in relation to providing diagnoses to surgeons, but it is important to mention that it was also manifested in the theme of reflection (learning from mistakes and self-improvement) and professionalism (as timeliness, organisation and proper communication). For example, </w:t>
      </w:r>
      <w:r w:rsidRPr="006F3B00">
        <w:rPr>
          <w:rFonts w:ascii="Times New Roman" w:hAnsi="Times New Roman" w:cs="Times New Roman"/>
          <w:i/>
          <w:sz w:val="24"/>
          <w:szCs w:val="24"/>
        </w:rPr>
        <w:t>“the reality is there is an amount of work you have to turn around if you have to spend 20 minutes looking at every slide at high power and crawling over every cell then you're not going to be diagnostically competent”.</w:t>
      </w:r>
      <w:r w:rsidRPr="006F3B00">
        <w:rPr>
          <w:rFonts w:ascii="Times New Roman" w:hAnsi="Times New Roman" w:cs="Times New Roman"/>
          <w:sz w:val="24"/>
          <w:szCs w:val="24"/>
        </w:rPr>
        <w:t xml:space="preserve"> Here, the act of taking too long to examine slides would delay diagnosis and in turn, patient care. Taking too long could stem from lack of confidence and having the right amount of confidence when making diagnosis appeared important to competence. For example, </w:t>
      </w:r>
      <w:r w:rsidRPr="006F3B00">
        <w:rPr>
          <w:rFonts w:ascii="Times New Roman" w:hAnsi="Times New Roman" w:cs="Times New Roman"/>
          <w:i/>
          <w:sz w:val="24"/>
          <w:szCs w:val="24"/>
        </w:rPr>
        <w:t xml:space="preserve">“there's this spectrum of confidence and I think that's… that's what kind of ties into this </w:t>
      </w:r>
      <w:r w:rsidRPr="006F3B00">
        <w:rPr>
          <w:rFonts w:ascii="Times New Roman" w:hAnsi="Times New Roman" w:cs="Times New Roman"/>
          <w:sz w:val="24"/>
          <w:szCs w:val="24"/>
        </w:rPr>
        <w:t>(diagnostic competence).</w:t>
      </w:r>
      <w:r w:rsidRPr="006F3B00">
        <w:rPr>
          <w:rFonts w:ascii="Times New Roman" w:hAnsi="Times New Roman" w:cs="Times New Roman"/>
          <w:i/>
          <w:sz w:val="24"/>
          <w:szCs w:val="24"/>
        </w:rPr>
        <w:t xml:space="preserve"> This idea of ambiguity and then how confident you are around those areas”. </w:t>
      </w:r>
      <w:r w:rsidRPr="006F3B00">
        <w:rPr>
          <w:rFonts w:ascii="Times New Roman" w:hAnsi="Times New Roman" w:cs="Times New Roman"/>
          <w:sz w:val="24"/>
          <w:szCs w:val="24"/>
        </w:rPr>
        <w:t xml:space="preserve">Ultimately, to be diagnostically competent there had to be a </w:t>
      </w:r>
      <w:r w:rsidRPr="006F3B00">
        <w:rPr>
          <w:rFonts w:ascii="Times New Roman" w:hAnsi="Times New Roman" w:cs="Times New Roman"/>
          <w:i/>
          <w:sz w:val="24"/>
          <w:szCs w:val="24"/>
        </w:rPr>
        <w:t>“balance between quality, safety, and speed”</w:t>
      </w:r>
      <w:r w:rsidRPr="006F3B00">
        <w:rPr>
          <w:rFonts w:ascii="Times New Roman" w:hAnsi="Times New Roman" w:cs="Times New Roman"/>
          <w:sz w:val="24"/>
          <w:szCs w:val="24"/>
        </w:rPr>
        <w:t>.</w:t>
      </w:r>
    </w:p>
    <w:p w14:paraId="6EEC67F0" w14:textId="7A3348A8"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need to protect patients conflicted with data that showed that it was important for trainees take ownership of cases and independently report, for instance </w:t>
      </w:r>
      <w:r w:rsidRPr="006F3B00">
        <w:rPr>
          <w:rFonts w:ascii="Times New Roman" w:hAnsi="Times New Roman" w:cs="Times New Roman"/>
          <w:i/>
          <w:sz w:val="24"/>
          <w:szCs w:val="24"/>
        </w:rPr>
        <w:t>“You know, if you throw somebody in at the deep end, you learn to swim, you learn to do your own thing, you learn to take responsibility”.</w:t>
      </w:r>
      <w:r w:rsidRPr="006F3B00">
        <w:rPr>
          <w:rFonts w:ascii="Times New Roman" w:hAnsi="Times New Roman" w:cs="Times New Roman"/>
          <w:sz w:val="24"/>
          <w:szCs w:val="24"/>
        </w:rPr>
        <w:t xml:space="preserve"> This paradox has also been discussed in the literature </w:t>
      </w:r>
      <w:r w:rsidRPr="00100552">
        <w:rPr>
          <w:rFonts w:ascii="Times New Roman" w:hAnsi="Times New Roman" w:cs="Times New Roman"/>
          <w:sz w:val="24"/>
          <w:szCs w:val="24"/>
        </w:rPr>
        <w:fldChar w:fldCharType="begin" w:fldLock="1"/>
      </w:r>
      <w:r w:rsidR="00BE3B6C" w:rsidRPr="00100552">
        <w:rPr>
          <w:rFonts w:ascii="Times New Roman" w:hAnsi="Times New Roman" w:cs="Times New Roman"/>
          <w:sz w:val="24"/>
          <w:szCs w:val="24"/>
        </w:rPr>
        <w:instrText>ADDIN CSL_CITATION {"citationItems":[{"id":"ITEM-1","itemData":{"DOI":"10.1080/01421590701210907","ISBN":"1466-187X (Electronic)\\r0142-159X (Linking)","ISSN":"0142159X","PMID":"17538823","abstract":"BACKGROUND: This guide reviews what is known about educational and clinical supervision practice through a literature review and a questionnaire survey. It identifies the need for a definition and for explicit guidelines on supervision. There is strong evidence that, whilst supervision is considered to be both important and effective, practice is highly variable. In some cases, there is inadequate coverage and frequency of supervision activities. There is particular concern about lack of supervision for emergency and 'out of hours work', failure to formally address under-performance, lack of commitment to supervision and finding sufficient time for supervision. There is a need for an effective system to address both poor performance and inadequate supervision. Supervision is defined, in this guide as: 'The provision of guidance and feedback on matters of personal, professional and educational development in the context of a trainee's experience of providing safe and appropriate patient care.' A framework for effective supervision is provided: (1) Effective supervision should be offered in context; supervisors must be aware of local postgraduate training bodies' and institutions' requirements; (2) Direct supervision with trainee and supervisor working together and observing each other positively affects patient outcome and trainee development; (3) Constructive feedback is essential and should be frequent; (4) Supervision should be structured and there should be regular timetabled meetings. The content of supervision meetings should be agreed and learning objectives determined at the beginning of the supervisory relationship. Supervision contracts can be useful tools and should include detail regarding frequency, duration and content of supervision; appraisal and assessment; learning objectives and any specific requirements; (5) Supervision should include clinical management; teaching and research; management and administration; pastoral care; interpersonal skills; personal development; reflection; (6) The quality of the supervisory relationship strongly affects the effectiveness of supervision. Specific aspects include continuity over time in the supervisory relationship, that the supervisees control the product of supervision (there is some suggestion that supervision is only effective when this is the case) and that there is some reflection by both participants. The relationship is partly influenced by the supervisor's commitment to teaching as well as…","author":[{"dropping-particle":"","family":"Kilminster","given":"Sue","non-dropping-particle":"","parse-names":false,"suffix":""},{"dropping-particle":"","family":"Cottrell","given":"David","non-dropping-particle":"","parse-names":false,"suffix":""},{"dropping-particle":"","family":"Grant","given":"Janet","non-dropping-particle":"","parse-names":false,"suffix":""},{"dropping-particle":"","family":"Jolly","given":"Brian","non-dropping-particle":"","parse-names":false,"suffix":""}],"container-title":"Medical Teacher","id":"ITEM-1","issue":"1","issued":{"date-parts":[["2007"]]},"page":"2-19","title":"AMEE Guide No. 27: Effective educational and clinical supervision","type":"article","volume":"29"},"uris":["http://www.mendeley.com/documents/?uuid=75ce2273-e2ae-49e9-829a-03f6d468a312"]}],"mendeley":{"formattedCitation":"(Kilminster &lt;i&gt;et al.&lt;/i&gt;, 2007)","plainTextFormattedCitation":"(Kilminster et al., 2007)","previouslyFormattedCitation":"(Kilminster et al. 2007)"},"properties":{"noteIndex":0},"schema":"https://github.com/citation-style-language/schema/raw/master/csl-citation.json"}</w:instrText>
      </w:r>
      <w:r w:rsidRPr="00100552">
        <w:rPr>
          <w:rFonts w:ascii="Times New Roman" w:hAnsi="Times New Roman" w:cs="Times New Roman"/>
          <w:sz w:val="24"/>
          <w:szCs w:val="24"/>
        </w:rPr>
        <w:fldChar w:fldCharType="separate"/>
      </w:r>
      <w:r w:rsidR="00BE3B6C" w:rsidRPr="00100552">
        <w:rPr>
          <w:rFonts w:ascii="Times New Roman" w:hAnsi="Times New Roman" w:cs="Times New Roman"/>
          <w:noProof/>
          <w:sz w:val="24"/>
          <w:szCs w:val="24"/>
        </w:rPr>
        <w:t>(Kilminster et al. 2007)</w:t>
      </w:r>
      <w:r w:rsidRPr="00100552">
        <w:rPr>
          <w:rFonts w:ascii="Times New Roman" w:hAnsi="Times New Roman" w:cs="Times New Roman"/>
          <w:sz w:val="24"/>
          <w:szCs w:val="24"/>
        </w:rPr>
        <w:fldChar w:fldCharType="end"/>
      </w:r>
      <w:r w:rsidRPr="00100552">
        <w:rPr>
          <w:rFonts w:ascii="Times New Roman" w:hAnsi="Times New Roman" w:cs="Times New Roman"/>
          <w:sz w:val="24"/>
          <w:szCs w:val="24"/>
        </w:rPr>
        <w:t xml:space="preserve">; the idea that patients deserve the best care, but in order to train clinicians, experience must emerge in trainees who start without experience. These moments of anxiety where trainees solve problems independently can give a sense of autonomy and build confidence and motivation </w:t>
      </w:r>
      <w:r w:rsidRPr="00100552">
        <w:rPr>
          <w:rFonts w:ascii="Times New Roman" w:hAnsi="Times New Roman" w:cs="Times New Roman"/>
          <w:sz w:val="24"/>
          <w:szCs w:val="24"/>
        </w:rPr>
        <w:fldChar w:fldCharType="begin" w:fldLock="1"/>
      </w:r>
      <w:r w:rsidR="00BE3B6C" w:rsidRPr="00100552">
        <w:rPr>
          <w:rFonts w:ascii="Times New Roman" w:hAnsi="Times New Roman" w:cs="Times New Roman"/>
          <w:sz w:val="24"/>
          <w:szCs w:val="24"/>
        </w:rPr>
        <w:instrText>ADDIN CSL_CITATION {"citationItems":[{"id":"ITEM-1","itemData":{"DOI":"10.1007/s10459-009-9194-y","ISSN":"1382-4996","PMID":"19763856","abstract":"Physician cognition, metacognition and affect may have an impact upon\\nthe quality of clinical reasoning. The purpose of this study was to\\nexamine the relationship between measures of physician metacognition and\\naffect and patient outcomes in obstetric practice. Reflective coping\\n(RC), proactive coping, need for cognition (NFC), tolerance for\\nambiguity, state-trait anxiety and metacognitive awareness were assessed\\nfor obstetricians (n = 12) who provided intra-partum care to 4,149\\nwomen. Outcome measures included delivery mode and intrapartum asphyxia.\\nAnalysis was carried out using logistic regression and tree-based\\nclassification. Obstetricians with high RC scores were more likely to\\nperform a caesarean section (OR 1.59, p &lt; 0.0001), less likely undertake\\na mid-forceps or low forceps delivery (OR 0.41, p &lt; 0.0001; OR 0.49, p &lt;\\n0.0001), and more likely to supervise a spontaneous vaginal delivery (OR\\n1.17, p = 0.08). Obstetricians with high NFC scores were more likely to\\nperform a caesarean section (OR 1.53, p = 0.03), more likely to\\nundertake a vacuum delivery (OR 5.8, p = 0.001), less likely undertake a\\nmid-forceps delivery (OR 0.45, p = 0.02) and less likely to supervise a\\nspontaneous vaginal delivery (OR 0.47, p &lt; 0.0001). Obstetricians high\\nin trait anxiety were more likely to perform a mid forceps delivery (OR\\n2.49, p = 0.01) or a vacuum delivery (OR 5.08, p = 0.003), and less\\nlikely to supervise a spontaneous vaginal delivery (OR 0.38, p &lt;\\n0.0001). NFC was negatively associated (OR 0.10, p &lt; 0.001) and trait\\nanxiety was positively associated with intrapartum asphyxia (p &lt; 0.05,\\nrho = 0.582). In summary, physician cognitive processes and affect have\\na significant impact on patient outcomes, particularly in situations\\nwhere there is a higher level of clinical unpredictability.","author":[{"dropping-particle":"","family":"Dunphy","given":"Bruce C","non-dropping-particle":"","parse-names":false,"suffix":""},{"dropping-particle":"","family":"Cantwell","given":"Robert","non-dropping-particle":"","parse-names":false,"suffix":""},{"dropping-particle":"","family":"Bourke","given":"Sid","non-dropping-particle":"","parse-names":false,"suffix":""},{"dropping-particle":"","family":"Fleming","given":"Mark","non-dropping-particle":"","parse-names":false,"suffix":""},{"dropping-particle":"","family":"Smith","given":"Bruce","non-dropping-particle":"","parse-names":false,"suffix":""},{"dropping-particle":"","family":"Joseph","given":"K S","non-dropping-particle":"","parse-names":false,"suffix":""},{"dropping-particle":"","family":"Dunphy","given":"Stacey L","non-dropping-particle":"","parse-names":false,"suffix":""}],"container-title":"ADVANCES IN HEALTH SCIENCES EDUCATION","id":"ITEM-1","issue":"2","issued":{"date-parts":[["2010"]]},"page":"229-250","title":"Cognitive elements in clinical decision-making","type":"article-journal","volume":"15"},"uris":["http://www.mendeley.com/documents/?uuid=a9c62b9f-88a5-4273-9ddc-550d3554e6fa"]},{"id":"ITEM-2","itemData":{"DOI":"10.3109/0142159X.2011.595435","ISBN":"1466-187X","ISSN":"0142-159X","PMID":"22225433","abstract":"Self-determination Theory (SDT), designed by Edward Deci and Richard Ryan, serves among the current major motivational theories in psychology. SDT research has been conducted in many areas, among which are education and health care, but its applications in medical education are rare. The potential of SDT to help understand processes in medical education justifies this Guide. SDT is explained in seven principles, one of which is the distinction of three innate psychological needs of human beings: for competence, for autonomy and for relatedness. Further, SDT elaborates how humans tend to internalise regulation of behaviour that initially has been external, in order to develop autonomous, self-determined behaviour. Implications of SDT for medical education are discussed with reference to preparation and selection, curriculum structure, classroom teaching, assessments and examinations, self-directed learning, clinical teaching, students as teachers and researchers, continuing professional development, faculty development and stress among trainees.","author":[{"dropping-particle":"","family":"Cate","given":"O","non-dropping-particle":"Ten","parse-names":false,"suffix":""},{"dropping-particle":"","family":"Kusurkar","given":"R.","non-dropping-particle":"","parse-names":false,"suffix":""},{"dropping-particle":"","family":"Williams","given":"G.","non-dropping-particle":"","parse-names":false,"suffix":""}],"container-title":"Medical Teacher","id":"ITEM-2","issue":"12","issued":{"date-parts":[["2011"]]},"page":"961-973","title":"How self-determination theory can assist our understanding of the teaching and learning processes in medical education. AMEE guide No. 59","type":"article-journal","volume":"33"},"uris":["http://www.mendeley.com/documents/?uuid=f69b5e02-8877-4019-85ab-5099114d6293"]}],"mendeley":{"formattedCitation":"(Dunphy &lt;i&gt;et al.&lt;/i&gt;, 2010; Ten Cate, Kusurkar and Williams, 2011)","plainTextFormattedCitation":"(Dunphy et al., 2010; Ten Cate, Kusurkar and Williams, 2011)","previouslyFormattedCitation":"(Dunphy et al. 2010; O Ten Cate, Kusurkar, and Williams 2011)"},"properties":{"noteIndex":0},"schema":"https://github.com/citation-style-language/schema/raw/master/csl-citation.json"}</w:instrText>
      </w:r>
      <w:r w:rsidRPr="00100552">
        <w:rPr>
          <w:rFonts w:ascii="Times New Roman" w:hAnsi="Times New Roman" w:cs="Times New Roman"/>
          <w:sz w:val="24"/>
          <w:szCs w:val="24"/>
        </w:rPr>
        <w:fldChar w:fldCharType="separate"/>
      </w:r>
      <w:r w:rsidR="00BE3B6C" w:rsidRPr="00100552">
        <w:rPr>
          <w:rFonts w:ascii="Times New Roman" w:hAnsi="Times New Roman" w:cs="Times New Roman"/>
          <w:noProof/>
          <w:sz w:val="24"/>
          <w:szCs w:val="24"/>
        </w:rPr>
        <w:t>(Dunphy et al.</w:t>
      </w:r>
      <w:r w:rsidR="00100552">
        <w:rPr>
          <w:rFonts w:ascii="Times New Roman" w:hAnsi="Times New Roman" w:cs="Times New Roman"/>
          <w:noProof/>
          <w:sz w:val="24"/>
          <w:szCs w:val="24"/>
        </w:rPr>
        <w:t xml:space="preserve"> 2010; ten Cate, Kusurkar and Williams</w:t>
      </w:r>
      <w:r w:rsidR="00BE3B6C" w:rsidRPr="00100552">
        <w:rPr>
          <w:rFonts w:ascii="Times New Roman" w:hAnsi="Times New Roman" w:cs="Times New Roman"/>
          <w:noProof/>
          <w:sz w:val="24"/>
          <w:szCs w:val="24"/>
        </w:rPr>
        <w:t xml:space="preserve"> 2011)</w:t>
      </w:r>
      <w:r w:rsidRPr="00100552">
        <w:rPr>
          <w:rFonts w:ascii="Times New Roman" w:hAnsi="Times New Roman" w:cs="Times New Roman"/>
          <w:sz w:val="24"/>
          <w:szCs w:val="24"/>
        </w:rPr>
        <w:fldChar w:fldCharType="end"/>
      </w:r>
      <w:r w:rsidRPr="006F3B00">
        <w:rPr>
          <w:rFonts w:ascii="Times New Roman" w:hAnsi="Times New Roman" w:cs="Times New Roman"/>
          <w:sz w:val="24"/>
          <w:szCs w:val="24"/>
        </w:rPr>
        <w:t xml:space="preserve">, supporting data such as </w:t>
      </w:r>
      <w:r w:rsidRPr="006F3B00">
        <w:rPr>
          <w:rFonts w:ascii="Times New Roman" w:hAnsi="Times New Roman" w:cs="Times New Roman"/>
          <w:i/>
          <w:sz w:val="24"/>
          <w:szCs w:val="24"/>
        </w:rPr>
        <w:t xml:space="preserve">“In other words, training doesn't </w:t>
      </w:r>
      <w:r w:rsidRPr="006F3B00">
        <w:rPr>
          <w:rFonts w:ascii="Times New Roman" w:hAnsi="Times New Roman" w:cs="Times New Roman"/>
          <w:i/>
          <w:sz w:val="24"/>
          <w:szCs w:val="24"/>
        </w:rPr>
        <w:lastRenderedPageBreak/>
        <w:t xml:space="preserve">replicate working as a consultant because it is a highly supervised environment”. </w:t>
      </w:r>
      <w:r w:rsidRPr="006F3B00">
        <w:rPr>
          <w:rFonts w:ascii="Times New Roman" w:hAnsi="Times New Roman" w:cs="Times New Roman"/>
          <w:sz w:val="24"/>
          <w:szCs w:val="24"/>
        </w:rPr>
        <w:t>That is why the theme of “trust” and “consistency o</w:t>
      </w:r>
      <w:r w:rsidR="00B77285">
        <w:rPr>
          <w:rFonts w:ascii="Times New Roman" w:hAnsi="Times New Roman" w:cs="Times New Roman"/>
          <w:sz w:val="24"/>
          <w:szCs w:val="24"/>
        </w:rPr>
        <w:t>f competence” (see sections 4.4.4 and 4.4</w:t>
      </w:r>
      <w:r w:rsidR="001904EB">
        <w:rPr>
          <w:rFonts w:ascii="Times New Roman" w:hAnsi="Times New Roman" w:cs="Times New Roman"/>
          <w:sz w:val="24"/>
          <w:szCs w:val="24"/>
        </w:rPr>
        <w:t>.5</w:t>
      </w:r>
      <w:r w:rsidRPr="006F3B00">
        <w:rPr>
          <w:rFonts w:ascii="Times New Roman" w:hAnsi="Times New Roman" w:cs="Times New Roman"/>
          <w:sz w:val="24"/>
          <w:szCs w:val="24"/>
        </w:rPr>
        <w:t>) bridge the gap between being competent as a trainee and being competent to work as a consultant pathologist. This paradox is partly addressed by EPAs beginning to be utilised in postgraduate training, as they ask consultants to entrust tasks to trainees only when they are entirely happy that the “risk” has gone. However, practical tasks are easier to entrust whereas delegating certain “lesions” for a trainee to independently report is more difficult. To explain, if a trainee surgeon is entrusted to place a catheter in a patient, he can collect the necessary equipment and carry out the task provided he has been trained to do so. While that task is clearly defined, a trainee pathologist might be handed a biopsy of a possible benign polyp, when in fact, it turns out to be metastatic breast cancer. To this end, the suspected clinical diagnosis does not always match what is seen histologically. This is a dramatic example, but the nuances and complexities in diagnosis are potentially problematic. This explains why consultants wish to work closely with their trainees, assess all the evidence and only gradually release them when that trust is gained “</w:t>
      </w:r>
      <w:r w:rsidRPr="006F3B00">
        <w:rPr>
          <w:rFonts w:ascii="Times New Roman" w:hAnsi="Times New Roman" w:cs="Times New Roman"/>
          <w:i/>
          <w:sz w:val="24"/>
          <w:szCs w:val="24"/>
        </w:rPr>
        <w:t xml:space="preserve">So it’s a case of slowly letting go rather like teaching a child to ride a bike. You run with them alongside, you've taught them how to push the pedals, you've taught them how to steer, you run with them alongside, eventually you let go of the handle bars and you either fall over or they cycle off into the sunset”. </w:t>
      </w:r>
      <w:r w:rsidRPr="006F3B00">
        <w:rPr>
          <w:rFonts w:ascii="Times New Roman" w:hAnsi="Times New Roman" w:cs="Times New Roman"/>
          <w:sz w:val="24"/>
          <w:szCs w:val="24"/>
        </w:rPr>
        <w:t>This approach reflects the important role that pathologists play in patient care as it is the pathological diagnosis which ultimately determines the type of treatment a patient will receive. So despite the irony that pathologists don’t tend to meet patients, the need to protect them is substantially manifested in how consultants determine diagnostic competence in their trainees.</w:t>
      </w:r>
    </w:p>
    <w:p w14:paraId="7E5C5E31" w14:textId="09F94509" w:rsidR="00863DF5" w:rsidRPr="006F3B00" w:rsidRDefault="00BE35A3" w:rsidP="004B0D1B">
      <w:pPr>
        <w:pStyle w:val="Heading3"/>
        <w:rPr>
          <w:rFonts w:ascii="Times New Roman" w:hAnsi="Times New Roman" w:cs="Times New Roman"/>
          <w:color w:val="auto"/>
          <w:sz w:val="24"/>
          <w:szCs w:val="24"/>
        </w:rPr>
      </w:pPr>
      <w:bookmarkStart w:id="93" w:name="_Toc23243822"/>
      <w:r>
        <w:rPr>
          <w:rFonts w:ascii="Times New Roman" w:hAnsi="Times New Roman" w:cs="Times New Roman"/>
          <w:color w:val="auto"/>
          <w:sz w:val="24"/>
          <w:szCs w:val="24"/>
        </w:rPr>
        <w:lastRenderedPageBreak/>
        <w:t>4.5</w:t>
      </w:r>
      <w:r w:rsidR="004B0D1B" w:rsidRPr="006F3B00">
        <w:rPr>
          <w:rFonts w:ascii="Times New Roman" w:hAnsi="Times New Roman" w:cs="Times New Roman"/>
          <w:color w:val="auto"/>
          <w:sz w:val="24"/>
          <w:szCs w:val="24"/>
        </w:rPr>
        <w:t xml:space="preserve">.3 </w:t>
      </w:r>
      <w:r w:rsidR="00863DF5" w:rsidRPr="006F3B00">
        <w:rPr>
          <w:rFonts w:ascii="Times New Roman" w:hAnsi="Times New Roman" w:cs="Times New Roman"/>
          <w:color w:val="auto"/>
          <w:sz w:val="24"/>
          <w:szCs w:val="24"/>
        </w:rPr>
        <w:t>Stage of training</w:t>
      </w:r>
      <w:bookmarkEnd w:id="93"/>
    </w:p>
    <w:p w14:paraId="38966F51" w14:textId="77777777" w:rsidR="004B0D1B" w:rsidRPr="006F3B00" w:rsidRDefault="004B0D1B" w:rsidP="004B0D1B">
      <w:pPr>
        <w:rPr>
          <w:rFonts w:ascii="Times New Roman" w:hAnsi="Times New Roman" w:cs="Times New Roman"/>
          <w:sz w:val="24"/>
          <w:szCs w:val="24"/>
          <w:lang w:val="en-GB"/>
        </w:rPr>
      </w:pPr>
    </w:p>
    <w:p w14:paraId="7E395774" w14:textId="3E1DD2C8"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Competency-based education h</w:t>
      </w:r>
      <w:r w:rsidR="00100552">
        <w:rPr>
          <w:rFonts w:ascii="Times New Roman" w:hAnsi="Times New Roman" w:cs="Times New Roman"/>
          <w:sz w:val="24"/>
          <w:szCs w:val="24"/>
        </w:rPr>
        <w:t>as been described by Frank and colleagues (2010</w:t>
      </w:r>
      <w:r w:rsidR="000B541A">
        <w:rPr>
          <w:rFonts w:ascii="Times New Roman" w:hAnsi="Times New Roman" w:cs="Times New Roman"/>
          <w:sz w:val="24"/>
          <w:szCs w:val="24"/>
        </w:rPr>
        <w:t>b</w:t>
      </w:r>
      <w:r w:rsidR="00D73070">
        <w:rPr>
          <w:rFonts w:ascii="Times New Roman" w:hAnsi="Times New Roman" w:cs="Times New Roman"/>
          <w:sz w:val="24"/>
          <w:szCs w:val="24"/>
        </w:rPr>
        <w:t>, p.</w:t>
      </w:r>
      <w:r w:rsidR="000B541A">
        <w:rPr>
          <w:rFonts w:ascii="Times New Roman" w:hAnsi="Times New Roman" w:cs="Times New Roman"/>
          <w:sz w:val="24"/>
          <w:szCs w:val="24"/>
        </w:rPr>
        <w:t xml:space="preserve"> 636</w:t>
      </w:r>
      <w:r w:rsidR="00100552">
        <w:rPr>
          <w:rFonts w:ascii="Times New Roman" w:hAnsi="Times New Roman" w:cs="Times New Roman"/>
          <w:sz w:val="24"/>
          <w:szCs w:val="24"/>
        </w:rPr>
        <w:t>)</w:t>
      </w:r>
      <w:r w:rsidRPr="006F3B00">
        <w:rPr>
          <w:rFonts w:ascii="Times New Roman" w:hAnsi="Times New Roman" w:cs="Times New Roman"/>
          <w:sz w:val="24"/>
          <w:szCs w:val="24"/>
        </w:rPr>
        <w:t xml:space="preserve"> as:</w:t>
      </w:r>
    </w:p>
    <w:p w14:paraId="78DD05F5" w14:textId="610352D9" w:rsidR="00863DF5" w:rsidRPr="000B541A" w:rsidRDefault="00863DF5" w:rsidP="00863DF5">
      <w:pPr>
        <w:spacing w:line="480" w:lineRule="auto"/>
        <w:ind w:left="720"/>
        <w:rPr>
          <w:rFonts w:ascii="Times New Roman" w:hAnsi="Times New Roman" w:cs="Times New Roman"/>
          <w:sz w:val="24"/>
          <w:szCs w:val="24"/>
        </w:rPr>
      </w:pPr>
      <w:r w:rsidRPr="000B541A">
        <w:rPr>
          <w:rFonts w:ascii="Times New Roman" w:hAnsi="Times New Roman" w:cs="Times New Roman"/>
          <w:sz w:val="24"/>
          <w:szCs w:val="24"/>
        </w:rPr>
        <w:t>An approach to preparing physicians for practice that is fundamentally orientated to graduate outcome abilities and organised around competencies derived from an analysis of societal and patient needs. It de</w:t>
      </w:r>
      <w:r w:rsidR="00A20009" w:rsidRPr="000B541A">
        <w:rPr>
          <w:rFonts w:ascii="Times New Roman" w:hAnsi="Times New Roman" w:cs="Times New Roman"/>
          <w:sz w:val="24"/>
          <w:szCs w:val="24"/>
        </w:rPr>
        <w:t>-</w:t>
      </w:r>
      <w:r w:rsidRPr="000B541A">
        <w:rPr>
          <w:rFonts w:ascii="Times New Roman" w:hAnsi="Times New Roman" w:cs="Times New Roman"/>
          <w:sz w:val="24"/>
          <w:szCs w:val="24"/>
        </w:rPr>
        <w:t>emphasises time-based training and promises greater accountability, flexib</w:t>
      </w:r>
      <w:r w:rsidR="000B541A" w:rsidRPr="000B541A">
        <w:rPr>
          <w:rFonts w:ascii="Times New Roman" w:hAnsi="Times New Roman" w:cs="Times New Roman"/>
          <w:sz w:val="24"/>
          <w:szCs w:val="24"/>
        </w:rPr>
        <w:t>ility and learner centeredness.</w:t>
      </w:r>
    </w:p>
    <w:p w14:paraId="28B0C036" w14:textId="54A8678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Analysis of the data showed that different levels of competency (incorporating different abilities) are also expected of histopathology trainees depending on what stage they are at in training. The data did not view first year trainees as being incompetent, but rather the expectation of what would constitute competency in the later years of training would increase in line with their extra experience. This step-wise measure of competency is very similar to Miller’s </w:t>
      </w:r>
      <w:r w:rsidRPr="00D73070">
        <w:rPr>
          <w:rFonts w:ascii="Times New Roman" w:hAnsi="Times New Roman" w:cs="Times New Roman"/>
          <w:sz w:val="24"/>
          <w:szCs w:val="24"/>
        </w:rPr>
        <w:t>Pyramid</w:t>
      </w:r>
      <w:r w:rsidR="0034154D" w:rsidRPr="00D73070">
        <w:rPr>
          <w:rFonts w:ascii="Times New Roman" w:hAnsi="Times New Roman" w:cs="Times New Roman"/>
          <w:sz w:val="24"/>
          <w:szCs w:val="24"/>
        </w:rPr>
        <w:t xml:space="preserve"> </w:t>
      </w:r>
      <w:r w:rsidRPr="00D73070">
        <w:rPr>
          <w:rFonts w:ascii="Times New Roman" w:hAnsi="Times New Roman" w:cs="Times New Roman"/>
          <w:sz w:val="24"/>
          <w:szCs w:val="24"/>
        </w:rPr>
        <w:fldChar w:fldCharType="begin" w:fldLock="1"/>
      </w:r>
      <w:r w:rsidR="00BE3B6C" w:rsidRPr="00D73070">
        <w:rPr>
          <w:rFonts w:ascii="Times New Roman" w:hAnsi="Times New Roman" w:cs="Times New Roman"/>
          <w:sz w:val="24"/>
          <w:szCs w:val="24"/>
        </w:rPr>
        <w:instrText>ADDIN CSL_CITATION {"citationItems":[{"id":"ITEM-1","itemData":{"DOI":"10.1097/00001888-199009000-00045","ISBN":"1040-2446","ISSN":"1040-2446","PMID":"2400509","abstract":"No abstract available. (C) 1990 Association of American Medical Colleges","author":[{"dropping-particle":"","family":"Miller","given":"G E","non-dropping-particle":"","parse-names":false,"suffix":""}],"container-title":"Academic medicine : journal of the Association of American Medical Colleges","id":"ITEM-1","issue":"9 Suppl","issued":{"date-parts":[["1990"]]},"page":"S63-S67","title":"The assessment of clinical skills/competence/performance.","type":"article-journal","volume":"65"},"uris":["http://www.mendeley.com/documents/?uuid=447d45d0-ad29-4bd1-9a84-9d8055604fd3"]}],"mendeley":{"formattedCitation":"(Miller, 1990)","plainTextFormattedCitation":"(Miller, 1990)","previouslyFormattedCitation":"(G. E. Miller 1990)"},"properties":{"noteIndex":0},"schema":"https://github.com/citation-style-language/schema/raw/master/csl-citation.json"}</w:instrText>
      </w:r>
      <w:r w:rsidRPr="00D73070">
        <w:rPr>
          <w:rFonts w:ascii="Times New Roman" w:hAnsi="Times New Roman" w:cs="Times New Roman"/>
          <w:sz w:val="24"/>
          <w:szCs w:val="24"/>
        </w:rPr>
        <w:fldChar w:fldCharType="separate"/>
      </w:r>
      <w:r w:rsidR="00D73070" w:rsidRPr="00D73070">
        <w:rPr>
          <w:rFonts w:ascii="Times New Roman" w:hAnsi="Times New Roman" w:cs="Times New Roman"/>
          <w:noProof/>
          <w:sz w:val="24"/>
          <w:szCs w:val="24"/>
        </w:rPr>
        <w:t>(Miller</w:t>
      </w:r>
      <w:r w:rsidR="00BE3B6C" w:rsidRPr="00D73070">
        <w:rPr>
          <w:rFonts w:ascii="Times New Roman" w:hAnsi="Times New Roman" w:cs="Times New Roman"/>
          <w:noProof/>
          <w:sz w:val="24"/>
          <w:szCs w:val="24"/>
        </w:rPr>
        <w:t xml:space="preserve"> 1990)</w:t>
      </w:r>
      <w:r w:rsidRPr="00D73070">
        <w:rPr>
          <w:rFonts w:ascii="Times New Roman" w:hAnsi="Times New Roman" w:cs="Times New Roman"/>
          <w:sz w:val="24"/>
          <w:szCs w:val="24"/>
        </w:rPr>
        <w:fldChar w:fldCharType="end"/>
      </w:r>
      <w:r w:rsidRPr="00D73070">
        <w:rPr>
          <w:rFonts w:ascii="Times New Roman" w:hAnsi="Times New Roman" w:cs="Times New Roman"/>
          <w:sz w:val="24"/>
          <w:szCs w:val="24"/>
        </w:rPr>
        <w:t>,</w:t>
      </w:r>
      <w:r w:rsidRPr="006F3B00">
        <w:rPr>
          <w:rFonts w:ascii="Times New Roman" w:hAnsi="Times New Roman" w:cs="Times New Roman"/>
          <w:sz w:val="24"/>
          <w:szCs w:val="24"/>
        </w:rPr>
        <w:t xml:space="preserve"> where a first-year trainee would “know” in theory how to do something but a final year trainee would have the necessary, knowledge, skills and behaviours to actuall</w:t>
      </w:r>
      <w:r w:rsidR="00BE35A3">
        <w:rPr>
          <w:rFonts w:ascii="Times New Roman" w:hAnsi="Times New Roman" w:cs="Times New Roman"/>
          <w:sz w:val="24"/>
          <w:szCs w:val="24"/>
        </w:rPr>
        <w:t xml:space="preserve">y “do” the task given to them. </w:t>
      </w:r>
    </w:p>
    <w:p w14:paraId="1FCAA94B" w14:textId="31D381BF"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Within the UK, the RCP</w:t>
      </w:r>
      <w:r w:rsidR="00C22352">
        <w:rPr>
          <w:rFonts w:ascii="Times New Roman" w:hAnsi="Times New Roman" w:cs="Times New Roman"/>
          <w:sz w:val="24"/>
          <w:szCs w:val="24"/>
        </w:rPr>
        <w:t>ath</w:t>
      </w:r>
      <w:r w:rsidRPr="006F3B00">
        <w:rPr>
          <w:rFonts w:ascii="Times New Roman" w:hAnsi="Times New Roman" w:cs="Times New Roman"/>
          <w:sz w:val="24"/>
          <w:szCs w:val="24"/>
        </w:rPr>
        <w:t xml:space="preserve"> also divides histopathology training into stages (A-D) with suggestions on competencies required in order to progress to the next stage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{"citationItems":[{"id":"ITEM-1","itemData":{"URL":"https://www.rcpath.org/uploads/assets/uploaded/f8695439-ce47-4046-b13c1f6202fd8468.pdf","accessed":{"date-parts":[["2011","8","20"]]},"author":[{"dropping-particle":"","family":"Pathologists","given":"The Royal College of","non-dropping-particle":"","parse-names":false,"suffix":""}],"id":"ITEM-1","issued":{"date-parts":[["2015"]]},"title":"CURRICULUM FOR SPECIALTY TRAINING IN HISTOPATHOLOGY","type":"webpage"},"uris":["http://www.mendeley.com/documents/?uuid=a01fada6-0b1d-4988-844f-820c81a74765"]}],"mendeley":{"formattedCitation":"(Pathologists, 2015)","plainTextFormattedCitation":"(Pathologists, 2015)","previouslyFormattedCitation":"(Pathologists 2015)"},"properties":{"noteIndex":0},"schema":"https://github.com/citation-style-language/schema/raw/master/csl-citation.json"}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D73070">
        <w:rPr>
          <w:rFonts w:ascii="Times New Roman" w:hAnsi="Times New Roman" w:cs="Times New Roman"/>
          <w:noProof/>
          <w:sz w:val="24"/>
          <w:szCs w:val="24"/>
        </w:rPr>
        <w:t>The Royal College of Pathologists</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A competency-based framework is also utilised to guide trainers and trainees on the types of pathology that can be “signed off” at each level of training and then reported by the trainee independently</w:t>
      </w:r>
      <w:r w:rsidR="00D73070">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{"citationItems":[{"id":"ITEM-1","itemData":{"URL":"https://www.rcpath.org/uploads/assets/uploaded/59dec221-2f13-4a97-bd845fc4c6bf4183.pdf","accessed":{"date-parts":[["2019","1","31"]]},"author":[{"dropping-particle":"","family":"Pathologists","given":"The Royal College of","non-dropping-particle":"","parse-names":false,"suffix":""}],"id":"ITEM-1","issued":{"date-parts":[["2009"]]},"page":"1-18","title":"A Competency Based Framework for Graded Responsibility for Specialist Registrar and Specialty Registrars in Histopathology and Cytopathology","type":"webpage"},"uris":["http://www.mendeley.com/documents/?uuid=0212f74c-7587-4311-803a-5e7425c5b81a"]}],"mendeley":{"formattedCitation":"(Pathologists, 2009)","plainTextFormattedCitation":"(Pathologists, 2009)","previouslyFormattedCitation":"(Pathologists 2009)"},"properties":{"noteIndex":0},"schema":"https://github.com/citation-style-language/schema/raw/master/csl-citation.json"}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D73070">
        <w:rPr>
          <w:rFonts w:ascii="Times New Roman" w:hAnsi="Times New Roman" w:cs="Times New Roman"/>
          <w:noProof/>
          <w:sz w:val="24"/>
          <w:szCs w:val="24"/>
        </w:rPr>
        <w:t>The Royal College of Pathologists</w:t>
      </w:r>
      <w:r w:rsidR="00BE3B6C" w:rsidRPr="00BE3B6C">
        <w:rPr>
          <w:rFonts w:ascii="Times New Roman" w:hAnsi="Times New Roman" w:cs="Times New Roman"/>
          <w:noProof/>
          <w:sz w:val="24"/>
          <w:szCs w:val="24"/>
        </w:rPr>
        <w:t xml:space="preserve"> 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For instance, “fibroepithelial polyps” can be signed off at level 1 but it is not until level 4 that a “granular cell tumour”</w:t>
      </w:r>
      <w:r w:rsidR="0034154D">
        <w:rPr>
          <w:rFonts w:ascii="Times New Roman" w:hAnsi="Times New Roman" w:cs="Times New Roman"/>
          <w:sz w:val="24"/>
          <w:szCs w:val="24"/>
        </w:rPr>
        <w:t xml:space="preserve"> can be signed off</w:t>
      </w:r>
      <w:r w:rsidRPr="006F3B00">
        <w:rPr>
          <w:rFonts w:ascii="Times New Roman" w:hAnsi="Times New Roman" w:cs="Times New Roman"/>
          <w:sz w:val="24"/>
          <w:szCs w:val="24"/>
        </w:rPr>
        <w:t xml:space="preserve">. These guidelines were reflected in the data, with comments such as </w:t>
      </w:r>
      <w:r w:rsidRPr="006F3B00">
        <w:rPr>
          <w:rFonts w:ascii="Times New Roman" w:hAnsi="Times New Roman" w:cs="Times New Roman"/>
          <w:i/>
          <w:sz w:val="24"/>
          <w:szCs w:val="24"/>
        </w:rPr>
        <w:t>“To sign off a trainee, not only do they have to pass the exam, they have to pass their competences”</w:t>
      </w:r>
      <w:r w:rsidRPr="006F3B00">
        <w:rPr>
          <w:rFonts w:ascii="Times New Roman" w:hAnsi="Times New Roman" w:cs="Times New Roman"/>
          <w:sz w:val="24"/>
          <w:szCs w:val="24"/>
        </w:rPr>
        <w:t xml:space="preserve"> and </w:t>
      </w:r>
      <w:r w:rsidRPr="006F3B00">
        <w:rPr>
          <w:rFonts w:ascii="Times New Roman" w:hAnsi="Times New Roman" w:cs="Times New Roman"/>
          <w:i/>
          <w:sz w:val="24"/>
          <w:szCs w:val="24"/>
        </w:rPr>
        <w:t xml:space="preserve">“But I think post </w:t>
      </w:r>
      <w:r w:rsidRPr="006F3B00">
        <w:rPr>
          <w:rFonts w:ascii="Times New Roman" w:hAnsi="Times New Roman" w:cs="Times New Roman"/>
          <w:i/>
          <w:sz w:val="24"/>
          <w:szCs w:val="24"/>
        </w:rPr>
        <w:lastRenderedPageBreak/>
        <w:t>FRCPath in order to err well we have a list of cases pre-CCST types cases that they can report according to Royal College guidelines”</w:t>
      </w:r>
      <w:r w:rsidRPr="006F3B00">
        <w:rPr>
          <w:rFonts w:ascii="Times New Roman" w:hAnsi="Times New Roman" w:cs="Times New Roman"/>
          <w:sz w:val="24"/>
          <w:szCs w:val="24"/>
        </w:rPr>
        <w:t>.  Our data therefore parallels the wider healthcare literature which show how competency-based education is influencing how we assess competence in histopathology</w:t>
      </w:r>
      <w:r w:rsidR="0034154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{"citationItems":[{"id":"ITEM-1","itemData":{"DOI":"10.1097/00001888-200012000-00009","ISBN":"1040-2446 (Print)\\r1040-2446 (Linking)","ISSN":"1040-2446","PMID":"11112714","abstract":"Although training and education have long been accepted as integral to disaster preparedness, many currently taught practices are neither evidence-based nor standardized. The need for effective evidence-based disaster training of healthcare staff at all levels, including the development of standards and guidelines for training in the multi-disciplinary health response to major events, has been designated by the disaster response community as a high priority. We describe the application of systematic evidence-based consensus building methods to derive educational competencies and objectives in criteria-based preparedness and response relevant to all hospital healthcare workers. The conceptual development of cross-cutting competencies incorporated current evidence through a systematic consensus building process with the following steps: (1) review of peer-reviewed literature on relevant content areas and educational theory; (2) structured review of existing competencies, national level courses and published training objectives; (3) synthesis of new cross-cutting competencies; (4) expert panel review; (5) refinement of new competencies and; (6) development of testable terminal objectives for each competency using similar processes covering requisite knowledge, attitudes, and skills. Seven cross-cutting competencies were developed: (1) Recognize a potential critical event and implement initial actions; (2) Apply the principles of critical event management; (3) Demonstrate critical event safety principles; (4) Understand the institutional emergency operations plan; (5) Demonstrate effective critical event communications; (6) Understand the incident command system and your role in it; (7) Demonstrate the knowledge and skills needed to fulfill your role during a critical event. For each of the cross-cutting competencies, comprehensive terminal objectives are described. Cross-cutting competencies and objectives developed through a systematic evidence-based consensus building approach may serve as a foundation for future hospital healthcare worker training and education in disaster preparedness and response.","author":[{"dropping-particle":"","family":"Long","given":"Donlin M.","non-dropping-particle":"","parse-names":false,"suffix":""}],"container-title":"Academic Medicine","id":"ITEM-1","issue":"12","issued":{"date-parts":[["2000"]]},"page":"1178-1183","title":"Competency-based Residency Training","type":"article-journal","volume":"75"},"uris":["http://www.mendeley.com/documents/?uuid=620e9157-6caa-4ce7-a9bf-60cd4b67b102"]},{"id":"ITEM-2","itemData":{"DOI":"10.1080/01421599979978","ISBN":"0142-159X %[ November 21, 2008","ISSN":"0142159X","PMID":"1707162","abstract":"In September, 1996, Brown University School of Medicine inaugurated a new competency-based curriculum, known as MD2000, which defines a comprehensive set of competency requirements that all graduates are expected to attain. The medical students entering in 1996 and thereafter are required to demonstrate mastery in nine abilities as well as a comprehensive knowledge base as a requirement for graduation. Faculty use performance-based methods to determine if students have attained competence. We describe in this article the reasons why we developed the new curriculum, how we planned and structured it, and the significance we anticipate the curricular innovation will have on medical education.","author":[{"dropping-particle":"","family":"Smith","given":"Stephen R.","non-dropping-particle":"","parse-names":false,"suffix":""},{"dropping-particle":"","family":"Dollase","given":"Richard","non-dropping-particle":"","parse-names":false,"suffix":""}],"container-title":"Medical Teacher","id":"ITEM-2","issue":"1","issued":{"date-parts":[["1999"]]},"page":"15-22","title":"AMEE guide No. 14: Outcome-based education: Part 2 - Planning, implementing and evaluating a competency-based curriculum","type":"article-journal","volume":"21"},"uris":["http://www.mendeley.com/documents/?uuid=3ad230d3-464d-4cbf-b6f6-7fdaed7bfdf5"]},{"id":"ITEM-3","itemData":{"DOI":"10.1016/j.mpsur.2008.08.007","ISBN":"02639319 (ISSN)","ISSN":"02639319","abstract":"Participation in the Intercollegiate Surgical Curriculum Programme is mandatory for all FTSTA and ST trainees in the nine surgical specialties - General Surgery, Paediatric Surgery, Plastic Surgery, Cardiothoracic Surgery, Otorhinolaryngology, Neurosurgery, Urology, Oral and Maxillofacial Surgery and Trauma and Orthopaedics (who currently move to OCAP at ST3). All specialties have developed a syllabus which includes the progression in knowledge, clinical skills, technical skills and professional skills throughout the years of training. There is strong emphasis on educational supervision from a consultant who will formulate a specific learning agreement with the trainee early in each training placement and then review progress throughout the placement. The learning agreement is based on the syllabus and adjusted depending on previous training and assessments as well as the opportunities available locally. Throughout each placement the trainee is assessed by their seniors using workplace based assessments which include those based on the Foundation assessments (miniCEX, CBD, DOPS, miniPAT) in addition to assessments more specific to surgery (surgical DOPS, PBA, logbook). As in other specialties and based on the Gold Guide, each year the trainee's progress is assessed by a panel of consultants during the Annual Review of Competency Progression and if progress is satisfactory, the trainee progresses to the next stage of training. The trainee's progress is recorded in an electronic portfolio held on a secure website which also houses the syllabus and guidance about many other aspects of training. © 2008 Elsevier Ltd. All rights reserved.","author":[{"dropping-particle":"","family":"McKee","given":"Ruth F.","non-dropping-particle":"","parse-names":false,"suffix":""}],"container-title":"Surgery","id":"ITEM-3","issue":"10","issued":{"date-parts":[["2008"]]},"page":"411-416","title":"The Intercollegiate Surgical Curriculum Programme (ISCP)","type":"article","volume":"26"},"uris":["http://www.mendeley.com/documents/?uuid=0f07407e-7723-4766-9699-fbe240e1d010"]},{"id":"ITEM-4","itemData":{"ISSN":"0142159X","abstract":"SUMMARY Increased attention is being paid to the specification of learning outcomes. This paper provides a framework based on the three-circle model: what the doctor should be able to do ('doing the right thing'), the approaches to doing it ('doing the thing right') and the development of the individual as a professional ('the right person doing it g. Twelve learning outcomes are specified, and these are further subdivided. The different outcomes have been defined at an appropriate level of generality to allow adaptability to the phases of the curriculum, to the subject matter, to the instructional methodology and to the students' learning needs. Outcomes in each of the three areas have distinct underlying characteristics. They move from technical competences or intelligences to meta-competences including academic, emotional, analytical, creative and personal intelligences. The Dundee outcome model offers an intuitive, user-friendly and transparent approach to communicating learning outcomes. It encourages a holistic and integrated approach to medical education and helps to avoid tension between vocational and academic perspectives. The framework can be easily adapted to local needs. It emphasizes the relevance and validity of outcomes to medical practice. The model is relevant to all phases of education and can facilitate the continuum between the different phases. It has the potential of facilitating a comparison between different training programmes in medicine and between different professions engaged in health care delivery. [ABSTRACT FROM AUTHOR]","author":[{"dropping-particle":"","family":"Harden","given":"R M","non-dropping-particle":"","parse-names":false,"suffix":""},{"dropping-particle":"","family":"Crosby","given":"J R","non-dropping-particle":"","parse-names":false,"suffix":""}],"container-title":"Medical Teacher","id":"ITEM-4","issue":"6","issued":{"date-parts":[["1999"]]},"page":"546","title":"AMEE Guide No.14: Outcome-based education: Part 5--From competency to meta-competency: a ...","type":"article-journal","volume":"21"},"uris":["http://www.mendeley.com/documents/?uuid=ceb0fa21-89a2-4772-aafb-ca34291803e6"]}],"mendeley":{"formattedCitation":"(Harden and Crosby, 1999; Smith and Dollase, 1999; Donlin M. Long, 2000; McKee, 2008)","plainTextFormattedCitation":"(Harden and Crosby, 1999; Smith and Dollase, 1999; Donlin M. Long, 2000; McKee, 2008)","previouslyFormattedCitation":"(Donlin M. Long 2000; Smith and Dollase 1999; McKee 2008; Harden and Crosby 1999)"},"properties":{"noteIndex":0},"schema":"https://github.com/citation-style-language/schema/raw/master/csl-citation.json"}</w:instrText>
      </w:r>
      <w:r w:rsidRPr="006F3B00">
        <w:rPr>
          <w:rFonts w:ascii="Times New Roman" w:hAnsi="Times New Roman" w:cs="Times New Roman"/>
          <w:sz w:val="24"/>
          <w:szCs w:val="24"/>
        </w:rPr>
        <w:fldChar w:fldCharType="separate"/>
      </w:r>
      <w:r w:rsidR="005A2253">
        <w:rPr>
          <w:rFonts w:ascii="Times New Roman" w:hAnsi="Times New Roman" w:cs="Times New Roman"/>
          <w:noProof/>
          <w:sz w:val="24"/>
          <w:szCs w:val="24"/>
        </w:rPr>
        <w:t>(Harden and Crosby 1999; Smith and Dollase 1999; Long 2000; McKee</w:t>
      </w:r>
      <w:r w:rsidR="00BE3B6C" w:rsidRPr="00BE3B6C">
        <w:rPr>
          <w:rFonts w:ascii="Times New Roman" w:hAnsi="Times New Roman" w:cs="Times New Roman"/>
          <w:noProof/>
          <w:sz w:val="24"/>
          <w:szCs w:val="24"/>
        </w:rPr>
        <w:t xml:space="preserve"> 2008)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The judgement ecology also demonstrated that trainee diagnostic competence was partly determined by examination results and WBA outcomes. For instance: “</w:t>
      </w:r>
      <w:r w:rsidRPr="006F3B00">
        <w:rPr>
          <w:rFonts w:ascii="Times New Roman" w:hAnsi="Times New Roman" w:cs="Times New Roman"/>
          <w:i/>
          <w:color w:val="000000"/>
          <w:sz w:val="24"/>
          <w:szCs w:val="24"/>
        </w:rPr>
        <w:t xml:space="preserve">there are the exams that keep the goal posts throughout the training and there are also the WBAs which may take the form of a summative assessment but they may be descriptive as well”.  </w:t>
      </w:r>
      <w:r w:rsidRPr="006F3B00">
        <w:rPr>
          <w:rFonts w:ascii="Times New Roman" w:hAnsi="Times New Roman" w:cs="Times New Roman"/>
          <w:color w:val="000000"/>
          <w:sz w:val="24"/>
          <w:szCs w:val="24"/>
        </w:rPr>
        <w:t xml:space="preserve">However, this was often complemented by looking at the day-to-day work of trainees or using </w:t>
      </w:r>
      <w:r w:rsidRPr="006F3B00">
        <w:rPr>
          <w:rFonts w:ascii="Times New Roman" w:hAnsi="Times New Roman" w:cs="Times New Roman"/>
          <w:i/>
          <w:color w:val="000000"/>
          <w:sz w:val="24"/>
          <w:szCs w:val="24"/>
        </w:rPr>
        <w:t>“end of placement assessments”</w:t>
      </w:r>
      <w:r w:rsidRPr="006F3B00">
        <w:rPr>
          <w:rFonts w:ascii="Times New Roman" w:hAnsi="Times New Roman" w:cs="Times New Roman"/>
          <w:color w:val="000000"/>
          <w:sz w:val="24"/>
          <w:szCs w:val="24"/>
        </w:rPr>
        <w:t xml:space="preserve"> such that WBAs weren’t particularly useful on their own.</w:t>
      </w:r>
      <w:r w:rsidRPr="006F3B00">
        <w:rPr>
          <w:rFonts w:ascii="Times New Roman" w:hAnsi="Times New Roman" w:cs="Times New Roman"/>
          <w:sz w:val="24"/>
          <w:szCs w:val="24"/>
        </w:rPr>
        <w:t xml:space="preserve"> Given that the questionnaire found that WBAs don’t appear to identify diagnostic competence (with similar opinions also found in the interviews), and there being only 3 exams during training, it is probably the day-to-day observations which provide the most regular feedback to consultants about how their trainees are progressing.  These regular interactions were valued by consultants and trainees as they also demonstrated consistency </w:t>
      </w:r>
      <w:r w:rsidRPr="006F3B00">
        <w:rPr>
          <w:rFonts w:ascii="Times New Roman" w:hAnsi="Times New Roman" w:cs="Times New Roman"/>
          <w:i/>
          <w:sz w:val="24"/>
          <w:szCs w:val="24"/>
        </w:rPr>
        <w:t>“even if they haven't seen something for several weeks and next time we do get the same lesion they can still recognize that diagnosis”.</w:t>
      </w:r>
    </w:p>
    <w:p w14:paraId="3CCD5546" w14:textId="1959E674"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traditional alternative to competency-based education is the “time-spent” model where trainees spend a minimum period of time in certain sub-specialties, working on real clinical cases such that the trainee would become competent through experience</w:t>
      </w:r>
      <w:r w:rsidR="0034154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{"citationItems":[{"id":"ITEM-1","itemData":{"DOI":"10.1097/ACM.0b013e3181f12f32","ISBN":"1938-808X (Electronic)\\n1040-2446 (Linking)","ISSN":"10402446","PMID":"20736582","abstract":"One hundred years after Abraham Flexner released his report Medical Education in the United States and Canada, the spirit of reform is alive again. Reports in the United States and Canada have called for significant changes to medical education that will allow doctors to adapt to complex environments, work in teams, and meet a wide range of social needs. These reports call for clear educational outcomes but also for a flexible, individualized approach to learning. Whether or not change will result has much to do with the alignment between what is proposed and the nature of current societal discourses about how medical education should be conducted. Currently, two powerful and competing models of competence development are operating at odds with one another. The traditional one is time-based (a \"tea-steeping\" model, in which the student \"steeps\" in an educational program for a historically determined fixed time period to become a successful practitioner). This model directs attention to processes such as admission and curriculum design. The newer one is outcomes-based (an \"i-Doc\" model, a name suggested by the Apple i-Pod that infers that medical schools and residencies, like factories, can produce highly desirable products adapted to user needs and desires). This model focuses more on the functional capabilities of the end product (the graduate student, resident, or practicing physician). The author explores the implications of both time-based and outcomes-based models for medical education reform and proposes an integration of their best features.","author":[{"dropping-particle":"","family":"David Hodges","given":"Brian","non-dropping-particle":"","parse-names":false,"suffix":""}],"container-title":"Academic Medicine","id":"ITEM-1","issue":"9 SUPPL.","issued":{"date-parts":[["2010"]]},"title":"A tea-steeping or i-Doc model for medical education?","type":"article-journal","volume":"85"},"uris":["http://www.mendeley.com/documents/?uuid=ca071a31-dc07-4a58-a608-3b030be1469d"]}],"mendeley":{"formattedCitation":"(David Hodges, 2010)","plainTextFormattedCitation":"(David Hodges, 2010)","previouslyFormattedCitation":"(David Hodges 2010)"},"properties":{"noteIndex":0},"schema":"https://github.com/citation-style-language/schema/raw/master/csl-citation.json"}</w:instrText>
      </w:r>
      <w:r w:rsidRPr="006F3B00">
        <w:rPr>
          <w:rFonts w:ascii="Times New Roman" w:hAnsi="Times New Roman" w:cs="Times New Roman"/>
          <w:sz w:val="24"/>
          <w:szCs w:val="24"/>
        </w:rPr>
        <w:fldChar w:fldCharType="separate"/>
      </w:r>
      <w:r w:rsidR="005A2253">
        <w:rPr>
          <w:rFonts w:ascii="Times New Roman" w:hAnsi="Times New Roman" w:cs="Times New Roman"/>
          <w:noProof/>
          <w:sz w:val="24"/>
          <w:szCs w:val="24"/>
        </w:rPr>
        <w:t>(Hodges</w:t>
      </w:r>
      <w:r w:rsidR="00BE3B6C" w:rsidRPr="00BE3B6C">
        <w:rPr>
          <w:rFonts w:ascii="Times New Roman" w:hAnsi="Times New Roman" w:cs="Times New Roman"/>
          <w:noProof/>
          <w:sz w:val="24"/>
          <w:szCs w:val="24"/>
        </w:rPr>
        <w:t xml:space="preserve"> 2010)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Critics of competency based-education would argue that its reductive nature can limit assessments to only those behaviours that can be measured, such as technical skills</w:t>
      </w:r>
      <w:r w:rsidR="005A2253">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{"citationItems":[{"id":"ITEM-1","itemData":{"DOI":"10.1097/00001888-200205000-00003","ISBN":"4103280646","ISSN":"10402446","PMID":"12010689","abstract":"Realizing medical education is on the brink of a major paradigm shift from structure- and process-based to competency-based education and measurement of outcomes, the authors reviewed the existing medical literature to provide practical insight into how to accomplish full implementation and evaluation of this new paradigm. They searched Medline and the Educational Resource Information Clearinghouse from the 1960s until the present, reviewed the titles and abstracts of the 469 articles the search produced, and chose 68 relevant articles for full review. The authors found that in the 1970s and 1980s much attention was given to the need for and the development of professional competencies for many medical disciplines. Little attention, however, was devoted to defining the benchmarks of specific competencies, how to attain them, or the evaluation of competence. Lack of evaluation strategies was likely one of the forces responsible for the three-decade lag between initiation of the movement and wide-spread adoption. Lessons learned from past experiences include the importance of strategic planning and faculty and learner buy-in for defining competencies. In addition, the benchmarks for defining competency and the thresholds for attaining competence must be clearly delineated. The development of appropriate assessment tools to measure competence remains the challenge of this decade, and educators must be responsible for studying the impact of this paradigm shift to determine whether its ultimate effect is the production of more competent physicians.","author":[{"dropping-particle":"","family":"Carraccio","given":"Carol","non-dropping-particle":"","parse-names":false,"suffix":""},{"dropping-particle":"","family":"Wolfsthal","given":"Susan D.","non-dropping-particle":"","parse-names":false,"suffix":""},{"dropping-particle":"","family":"Englander","given":"Robert","non-dropping-particle":"","parse-names":false,"suffix":""},{"dropping-particle":"","family":"Ferentz","given":"Kevin","non-dropping-particle":"","parse-names":false,"suffix":""},{"dropping-particle":"","family":"Martin","given":"Christine","non-dropping-particle":"","parse-names":false,"suffix":""}],"container-title":"Academic Medicine","id":"ITEM-1","issue":"5","issued":{"date-parts":[["2002"]]},"page":"361-367","title":"Shifting paradigms: From flexner to competencies","type":"article","volume":"77"},"uris":["http://www.mendeley.com/documents/?uuid=7297a5bc-07f5-4202-9963-99ea0ab1a143"]},{"id":"ITEM-2","itemData":{"DOI":"10.1080/01421590701392903","ISBN":"0142-159X","ISSN":"0142159X","PMID":"18236251","abstract":"BACKGROUND: The Accreditation Council for Graduate Medical Education began an initiative in 1998 to improve resident physicians' ability to provide quality patient care and to work effectively in current and evolving healthcare delivery systems. AIMS: This initiative, called the Outcome Project, seeks changes in residency programs that focus education on the competency domains, enhance assessment of resident performance and increase utilization of educational outcomes for improving residents' education. Increased emphasis on educational outcome measures in accreditation is another important goal. RESULTS: A considerable amount of development, dissemination and educational activity has been carried out to support project implementation. Thus far, observed effects include changes to accreditation requirements and information collection and enhancements of the educational environments and curriculum of residency education programs. CONCLUSION: Prospects for meaningful change are good. Further development of assessment methods is needed to advance in-training evaluation of residents and the ACGME goals for utilizing performance data in accreditation and linking education and patient care quality.","author":[{"dropping-particle":"","family":"Swing","given":"Susan R.","non-dropping-particle":"","parse-names":false,"suffix":""}],"container-title":"Medical Teacher","id":"ITEM-2","issue":"7","issued":{"date-parts":[["2007"]]},"page":"648-654","title":"The ACGME outcome project: Retrospective and prospective","type":"article-journal","volume":"29"},"uris":["http://www.mendeley.com/documents/?uuid=b008d517-13b4-4f15-a637-0bd71b24b605"]},{"id":"ITEM-3","itemData":{"DOI":"10.1016/j.mpsur.2008.08.007","ISBN":"02639319 (ISSN)","ISSN":"02639319","abstract":"Participation in the Intercollegiate Surgical Curriculum Programme is mandatory for all FTSTA and ST trainees in the nine surgical specialties - General Surgery, Paediatric Surgery, Plastic Surgery, Cardiothoracic Surgery, Otorhinolaryngology, Neurosurgery, Urology, Oral and Maxillofacial Surgery and Trauma and Orthopaedics (who currently move to OCAP at ST3). All specialties have developed a syllabus which includes the progression in knowledge, clinical skills, technical skills and professional skills throughout the years of training. There is strong emphasis on educational supervision from a consultant who will formulate a specific learning agreement with the trainee early in each training placement and then review progress throughout the placement. The learning agreement is based on the syllabus and adjusted depending on previous training and assessments as well as the opportunities available locally. Throughout each placement the trainee is assessed by their seniors using workplace based assessments which include those based on the Foundation assessments (miniCEX, CBD, DOPS, miniPAT) in addition to assessments more specific to surgery (surgical DOPS, PBA, logbook). As in other specialties and based on the Gold Guide, each year the trainee's progress is assessed by a panel of consultants during the Annual Review of Competency Progression and if progress is satisfactory, the trainee progresses to the next stage of training. The trainee's progress is recorded in an electronic portfolio held on a secure website which also houses the syllabus and guidance about many other aspects of training. © 2008 Elsevier Ltd. All rights reserved.","author":[{"dropping-particle":"","family":"McKee","given":"Ruth F.","non-dropping-particle":"","parse-names":false,"suffix":""}],"container-title":"Surgery","id":"ITEM-3","issue":"10","issued":{"date-parts":[["2008"]]},"page":"411-416","title":"The Intercollegiate Surgical Curriculum Programme (ISCP)","type":"article","volume":"26"},"uris":["http://www.mendeley.com/documents/?uuid=0f07407e-7723-4766-9699-fbe240e1d010"]},{"id":"ITEM-4","itemData":{"ISSN":"0142159X","abstract":"SUMMARY Increased attention is being paid to the specification of learning outcomes. This paper provides a framework based on the three-circle model: what the doctor should be able to do ('doing the right thing'), the approaches to doing it ('doing the thing right') and the development of the individual as a professional ('the right person doing it g. Twelve learning outcomes are specified, and these are further subdivided. The different outcomes have been defined at an appropriate level of generality to allow adaptability to the phases of the curriculum, to the subject matter, to the instructional methodology and to the students' learning needs. Outcomes in each of the three areas have distinct underlying characteristics. They move from technical competences or intelligences to meta-competences including academic, emotional, analytical, creative and personal intelligences. The Dundee outcome model offers an intuitive, user-friendly and transparent approach to communicating learning outcomes. It encourages a holistic and integrated approach to medical education and helps to avoid tension between vocational and academic perspectives. The framework can be easily adapted to local needs. It emphasizes the relevance and validity of outcomes to medical practice. The model is relevant to all phases of education and can facilitate the continuum between the different phases. It has the potential of facilitating a comparison between different training programmes in medicine and between different professions engaged in health care delivery. [ABSTRACT FROM AUTHOR]","author":[{"dropping-particle":"","family":"Harden","given":"R M","non-dropping-particle":"","parse-names":false,"suffix":""},{"dropping-particle":"","family":"Crosby","given":"J R","non-dropping-particle":"","parse-names":false,"suffix":""}],"container-title":"Medical Teacher","id":"ITEM-4","issue":"6","issued":{"date-parts":[["1999"]]},"page":"546","title":"AMEE Guide No.14: Outcome-based education: Part 5--From competency to meta-competency: a ...","type":"article-journal","volume":"21"},"uris":["http://www.mendeley.com/documents/?uuid=ceb0fa21-89a2-4772-aafb-ca34291803e6"]}],"mendeley":{"formattedCitation":"(Harden and Crosby, 1999; Carraccio &lt;i&gt;et al.&lt;/i&gt;, 2002; Swing, 2007; McKee, 2008)","plainTextFormattedCitation":"(Harden and Crosby, 1999; Carraccio et al., 2002; Swing, 2007; McKee, 2008)","previouslyFormattedCitation":"(Carraccio et al. 2002; Swing 2007; McKee 2008; Harden and Crosby 1999)"},"properties":{"noteIndex":0},"schema":"https://github.com/citation-style-language/schema/raw/master/csl-citation.json"}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(Ha</w:t>
      </w:r>
      <w:r w:rsidR="005A2253">
        <w:rPr>
          <w:rFonts w:ascii="Times New Roman" w:hAnsi="Times New Roman" w:cs="Times New Roman"/>
          <w:noProof/>
          <w:sz w:val="24"/>
          <w:szCs w:val="24"/>
        </w:rPr>
        <w:t>rden and Crosby</w:t>
      </w:r>
      <w:r w:rsidR="00BE3B6C" w:rsidRPr="00BE3B6C">
        <w:rPr>
          <w:rFonts w:ascii="Times New Roman" w:hAnsi="Times New Roman" w:cs="Times New Roman"/>
          <w:noProof/>
          <w:sz w:val="24"/>
          <w:szCs w:val="24"/>
        </w:rPr>
        <w:t xml:space="preserve"> 1999; Carraccio </w:t>
      </w:r>
      <w:r w:rsidR="00BE3B6C" w:rsidRPr="005A2253">
        <w:rPr>
          <w:rFonts w:ascii="Times New Roman" w:hAnsi="Times New Roman" w:cs="Times New Roman"/>
          <w:noProof/>
          <w:sz w:val="24"/>
          <w:szCs w:val="24"/>
        </w:rPr>
        <w:t xml:space="preserve">et al. </w:t>
      </w:r>
      <w:r w:rsidR="007C4DD9">
        <w:rPr>
          <w:rFonts w:ascii="Times New Roman" w:hAnsi="Times New Roman" w:cs="Times New Roman"/>
          <w:noProof/>
          <w:sz w:val="24"/>
          <w:szCs w:val="24"/>
        </w:rPr>
        <w:t>2002; Swing 2007; McKee</w:t>
      </w:r>
      <w:r w:rsidR="00BE3B6C" w:rsidRPr="00BE3B6C">
        <w:rPr>
          <w:rFonts w:ascii="Times New Roman" w:hAnsi="Times New Roman" w:cs="Times New Roman"/>
          <w:noProof/>
          <w:sz w:val="24"/>
          <w:szCs w:val="24"/>
        </w:rPr>
        <w:t xml:space="preserve"> 2008)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This concept is partly borne out in our data where there appear to be some </w:t>
      </w:r>
      <w:r w:rsidRPr="006F3B00">
        <w:rPr>
          <w:rFonts w:ascii="Times New Roman" w:hAnsi="Times New Roman" w:cs="Times New Roman"/>
          <w:sz w:val="24"/>
          <w:szCs w:val="24"/>
        </w:rPr>
        <w:lastRenderedPageBreak/>
        <w:t>intangible competencies which are not directly measured yet are needed to develop trust between trainer and trainee. This is discussed in the next section.</w:t>
      </w:r>
    </w:p>
    <w:p w14:paraId="2C4D2CA8" w14:textId="3211E26D" w:rsidR="00863DF5" w:rsidRPr="006F3B00" w:rsidRDefault="00BE35A3" w:rsidP="001E1A25">
      <w:pPr>
        <w:pStyle w:val="Heading3"/>
        <w:rPr>
          <w:rFonts w:ascii="Times New Roman" w:hAnsi="Times New Roman" w:cs="Times New Roman"/>
          <w:color w:val="auto"/>
          <w:sz w:val="24"/>
          <w:szCs w:val="24"/>
        </w:rPr>
      </w:pPr>
      <w:bookmarkStart w:id="94" w:name="_Toc23243823"/>
      <w:r>
        <w:rPr>
          <w:rFonts w:ascii="Times New Roman" w:hAnsi="Times New Roman" w:cs="Times New Roman"/>
          <w:color w:val="auto"/>
          <w:sz w:val="24"/>
          <w:szCs w:val="24"/>
        </w:rPr>
        <w:t>4.5.</w:t>
      </w:r>
      <w:r w:rsidR="00A20009" w:rsidRPr="006F3B00">
        <w:rPr>
          <w:rFonts w:ascii="Times New Roman" w:hAnsi="Times New Roman" w:cs="Times New Roman"/>
          <w:color w:val="auto"/>
          <w:sz w:val="24"/>
          <w:szCs w:val="24"/>
        </w:rPr>
        <w:t xml:space="preserve">4 </w:t>
      </w:r>
      <w:r w:rsidR="00863DF5" w:rsidRPr="006F3B00">
        <w:rPr>
          <w:rFonts w:ascii="Times New Roman" w:hAnsi="Times New Roman" w:cs="Times New Roman"/>
          <w:color w:val="auto"/>
          <w:sz w:val="24"/>
          <w:szCs w:val="24"/>
        </w:rPr>
        <w:t>Trust</w:t>
      </w:r>
      <w:bookmarkEnd w:id="94"/>
    </w:p>
    <w:p w14:paraId="27B6F4C9" w14:textId="77777777" w:rsidR="00A20009" w:rsidRPr="006F3B00" w:rsidRDefault="00A20009" w:rsidP="00A20009">
      <w:pPr>
        <w:rPr>
          <w:rFonts w:ascii="Times New Roman" w:hAnsi="Times New Roman" w:cs="Times New Roman"/>
          <w:sz w:val="24"/>
          <w:szCs w:val="24"/>
          <w:lang w:val="en-GB"/>
        </w:rPr>
      </w:pPr>
    </w:p>
    <w:p w14:paraId="30D98F00" w14:textId="61D605B9" w:rsidR="00863DF5" w:rsidRPr="007C4DD9"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An important aspect of diagnostic competency was trust and being able to trust a trainee was often described as a surrogate marker for competency. For example, consultants delegated tasks to trainees that they trusted and were more willing to let them independently report. However, it appeared that even when trainees passed their exams and were signed off for certain competencies, trust wasn’t automatically exemplified in the trainer-trainee relationship. Sometimes trainers wanted to spend more time with their trainee to make their own judgement of whether they thought they co</w:t>
      </w:r>
      <w:r w:rsidR="004E283C">
        <w:rPr>
          <w:rFonts w:ascii="Times New Roman" w:hAnsi="Times New Roman" w:cs="Times New Roman"/>
          <w:sz w:val="24"/>
          <w:szCs w:val="24"/>
        </w:rPr>
        <w:t xml:space="preserve">uld be trusted to </w:t>
      </w:r>
      <w:r w:rsidRPr="006F3B00">
        <w:rPr>
          <w:rFonts w:ascii="Times New Roman" w:hAnsi="Times New Roman" w:cs="Times New Roman"/>
          <w:sz w:val="24"/>
          <w:szCs w:val="24"/>
        </w:rPr>
        <w:t>report</w:t>
      </w:r>
      <w:r w:rsidR="004E283C">
        <w:rPr>
          <w:rFonts w:ascii="Times New Roman" w:hAnsi="Times New Roman" w:cs="Times New Roman"/>
          <w:sz w:val="24"/>
          <w:szCs w:val="24"/>
        </w:rPr>
        <w:t xml:space="preserve"> independently</w:t>
      </w:r>
      <w:r w:rsidRPr="006F3B00">
        <w:rPr>
          <w:rFonts w:ascii="Times New Roman" w:hAnsi="Times New Roman" w:cs="Times New Roman"/>
          <w:sz w:val="24"/>
          <w:szCs w:val="24"/>
        </w:rPr>
        <w:t xml:space="preserve">, which suggests that some aspects of trust are intangible and do not relate to evidence alone. </w:t>
      </w:r>
      <w:r w:rsidRPr="007C4DD9">
        <w:rPr>
          <w:rFonts w:ascii="Times New Roman" w:hAnsi="Times New Roman" w:cs="Times New Roman"/>
          <w:sz w:val="24"/>
          <w:szCs w:val="24"/>
        </w:rPr>
        <w:t>This mirrors other studies which have found that certain traits are tacit by nature, such as trustworthiness and self-awareness, requiring time for them to be imparted to another person as they are used without conscious awareness</w:t>
      </w:r>
      <w:r w:rsidR="0034154D" w:rsidRPr="007C4DD9">
        <w:rPr>
          <w:rFonts w:ascii="Times New Roman" w:hAnsi="Times New Roman" w:cs="Times New Roman"/>
          <w:sz w:val="24"/>
          <w:szCs w:val="24"/>
        </w:rPr>
        <w:t xml:space="preserve"> </w:t>
      </w:r>
      <w:r w:rsidRPr="007C4DD9">
        <w:rPr>
          <w:rFonts w:ascii="Times New Roman" w:hAnsi="Times New Roman" w:cs="Times New Roman"/>
          <w:sz w:val="24"/>
          <w:szCs w:val="24"/>
        </w:rPr>
        <w:fldChar w:fldCharType="begin" w:fldLock="1"/>
      </w:r>
      <w:r w:rsidR="00BE3B6C" w:rsidRPr="007C4DD9">
        <w:rPr>
          <w:rFonts w:ascii="Times New Roman" w:hAnsi="Times New Roman" w:cs="Times New Roman"/>
          <w:sz w:val="24"/>
          <w:szCs w:val="24"/>
        </w:rPr>
        <w:instrText>ADDIN CSL_CITATION {"citationItems":[{"id":"ITEM-1","itemData":{"DOI":"10.1038/sj.bdj.2013.1048","ISBN":"1476-5373 (Electronic)\\r0007-0610 (Linking)","ISSN":"17417503","PMID":"24201649","abstract":"OBJECTIVES: Professionalism is an essential competence for dental professionals. Dental educators require both a clear definition and an understanding of the scope of professionalism in order to teach and assess it. The aim of this study was to identify concepts of professionalism in dentistry and the themes within this construct.\\n\\nMETHOD: Semi-structured interviews with participants purposively sampled to ensure representation of relevant viewpoints. Qualitative framework analysis was used to induct themes.\\n\\nRESULTS: Four themes arose from the data: (i) professionalism as a second order competence, (ii) the expression of professionalism as dependent on context, (iii) reflection as a necessary component and (iv) professionalism encompasses both tacit and overt personal aspects. These results were then incorporated into a conceptual model of dental professionalism.\\n\\nCONCLUSIONS: Analysis of the interview data reveals that participants conceptualise professionalism as the manner in which one reflects on and reconciles different aspects of professional practice, which demonstrates acceptance of professional responsibility and accountability. It is manifested in the manner in which work is carried out. The definition and model conceptualise the construct of professionalism within dentistry that can be used to derive an educational and assessment system.","author":[{"dropping-particle":"","family":"Zijlstra-Shaw","given":"Sandra","non-dropping-particle":"","parse-names":false,"suffix":""},{"dropping-particle":"","family":"Roberts","given":"T. E.","non-dropping-particle":"","parse-names":false,"suffix":""},{"dropping-particle":"","family":"Robinson","given":"P. G.","non-dropping-particle":"","parse-names":false,"suffix":""}],"container-title":"British Dental Journal","id":"ITEM-1","issue":"9","issued":{"date-parts":[["2013"]]},"page":"E18-E18","title":"Perceptions of professionalism in dentistry -a qualitative study","type":"article-journal","volume":"215"},"uris":["http://www.mendeley.com/documents/?uuid=1d2ac73f-1ecc-4d7f-866b-e31aaad78547"]}],"mendeley":{"formattedCitation":"(Zijlstra-Shaw, Roberts and Robinson, 2013)","plainTextFormattedCitation":"(Zijlstra-Shaw, Roberts and Robinson, 2013)","previouslyFormattedCitation":"(Sandra Zijlstra-Shaw, Roberts, and Robinson 2013)"},"properties":{"noteIndex":0},"schema":"https://github.com/citation-style-language/schema/raw/master/csl-citation.json"}</w:instrText>
      </w:r>
      <w:r w:rsidRPr="007C4DD9">
        <w:rPr>
          <w:rFonts w:ascii="Times New Roman" w:hAnsi="Times New Roman" w:cs="Times New Roman"/>
          <w:sz w:val="24"/>
          <w:szCs w:val="24"/>
        </w:rPr>
        <w:fldChar w:fldCharType="separate"/>
      </w:r>
      <w:r w:rsidR="00BE3B6C" w:rsidRPr="007C4DD9">
        <w:rPr>
          <w:rFonts w:ascii="Times New Roman" w:hAnsi="Times New Roman" w:cs="Times New Roman"/>
          <w:noProof/>
          <w:sz w:val="24"/>
          <w:szCs w:val="24"/>
        </w:rPr>
        <w:t>(Zijl</w:t>
      </w:r>
      <w:r w:rsidR="007C4DD9">
        <w:rPr>
          <w:rFonts w:ascii="Times New Roman" w:hAnsi="Times New Roman" w:cs="Times New Roman"/>
          <w:noProof/>
          <w:sz w:val="24"/>
          <w:szCs w:val="24"/>
        </w:rPr>
        <w:t>stra-Shaw, Roberts and Robinson</w:t>
      </w:r>
      <w:r w:rsidR="00BE3B6C" w:rsidRPr="007C4DD9">
        <w:rPr>
          <w:rFonts w:ascii="Times New Roman" w:hAnsi="Times New Roman" w:cs="Times New Roman"/>
          <w:noProof/>
          <w:sz w:val="24"/>
          <w:szCs w:val="24"/>
        </w:rPr>
        <w:t xml:space="preserve"> 2013)</w:t>
      </w:r>
      <w:r w:rsidRPr="007C4DD9">
        <w:rPr>
          <w:rFonts w:ascii="Times New Roman" w:hAnsi="Times New Roman" w:cs="Times New Roman"/>
          <w:sz w:val="24"/>
          <w:szCs w:val="24"/>
        </w:rPr>
        <w:fldChar w:fldCharType="end"/>
      </w:r>
      <w:r w:rsidRPr="007C4DD9">
        <w:rPr>
          <w:rFonts w:ascii="Times New Roman" w:hAnsi="Times New Roman" w:cs="Times New Roman"/>
          <w:sz w:val="24"/>
          <w:szCs w:val="24"/>
        </w:rPr>
        <w:t xml:space="preserve">. This is in contrast to overt personality characteristics, such as responsibility and accountability which are easier to explain in verbal terms and can be observed and interpreted through certain behaviours </w:t>
      </w:r>
      <w:r w:rsidRPr="007C4DD9">
        <w:rPr>
          <w:rFonts w:ascii="Times New Roman" w:hAnsi="Times New Roman" w:cs="Times New Roman"/>
          <w:sz w:val="24"/>
          <w:szCs w:val="24"/>
        </w:rPr>
        <w:fldChar w:fldCharType="begin" w:fldLock="1"/>
      </w:r>
      <w:r w:rsidR="00BE3B6C" w:rsidRPr="007C4DD9">
        <w:rPr>
          <w:rFonts w:ascii="Times New Roman" w:hAnsi="Times New Roman" w:cs="Times New Roman"/>
          <w:sz w:val="24"/>
          <w:szCs w:val="24"/>
        </w:rPr>
        <w:instrText>ADDIN CSL_CITATION {"citationItems":[{"id":"ITEM-1","itemData":{"DOI":"10.1038/sj.bdj.2013.1048","ISBN":"1476-5373 (Electronic)\\r0007-0610 (Linking)","ISSN":"17417503","PMID":"24201649","abstract":"OBJECTIVES: Professionalism is an essential competence for dental professionals. Dental educators require both a clear definition and an understanding of the scope of professionalism in order to teach and assess it. The aim of this study was to identify concepts of professionalism in dentistry and the themes within this construct.\\n\\nMETHOD: Semi-structured interviews with participants purposively sampled to ensure representation of relevant viewpoints. Qualitative framework analysis was used to induct themes.\\n\\nRESULTS: Four themes arose from the data: (i) professionalism as a second order competence, (ii) the expression of professionalism as dependent on context, (iii) reflection as a necessary component and (iv) professionalism encompasses both tacit and overt personal aspects. These results were then incorporated into a conceptual model of dental professionalism.\\n\\nCONCLUSIONS: Analysis of the interview data reveals that participants conceptualise professionalism as the manner in which one reflects on and reconciles different aspects of professional practice, which demonstrates acceptance of professional responsibility and accountability. It is manifested in the manner in which work is carried out. The definition and model conceptualise the construct of professionalism within dentistry that can be used to derive an educational and assessment system.","author":[{"dropping-particle":"","family":"Zijlstra-Shaw","given":"Sandra","non-dropping-particle":"","parse-names":false,"suffix":""},{"dropping-particle":"","family":"Roberts","given":"T. E.","non-dropping-particle":"","parse-names":false,"suffix":""},{"dropping-particle":"","family":"Robinson","given":"P. G.","non-dropping-particle":"","parse-names":false,"suffix":""}],"container-title":"British Dental Journal","id":"ITEM-1","issue":"9","issued":{"date-parts":[["2013"]]},"page":"E18-E18","title":"Perceptions of professionalism in dentistry -a qualitative study","type":"article-journal","volume":"215"},"uris":["http://www.mendeley.com/documents/?uuid=1d2ac73f-1ecc-4d7f-866b-e31aaad78547"]}],"mendeley":{"formattedCitation":"(Zijlstra-Shaw, Roberts and Robinson, 2013)","plainTextFormattedCitation":"(Zijlstra-Shaw, Roberts and Robinson, 2013)","previouslyFormattedCitation":"(Sandra Zijlstra-Shaw, Roberts, and Robinson 2013)"},"properties":{"noteIndex":0},"schema":"https://github.com/citation-style-language/schema/raw/master/csl-citation.json"}</w:instrText>
      </w:r>
      <w:r w:rsidRPr="007C4DD9">
        <w:rPr>
          <w:rFonts w:ascii="Times New Roman" w:hAnsi="Times New Roman" w:cs="Times New Roman"/>
          <w:sz w:val="24"/>
          <w:szCs w:val="24"/>
        </w:rPr>
        <w:fldChar w:fldCharType="separate"/>
      </w:r>
      <w:r w:rsidR="00BE3B6C" w:rsidRPr="007C4DD9">
        <w:rPr>
          <w:rFonts w:ascii="Times New Roman" w:hAnsi="Times New Roman" w:cs="Times New Roman"/>
          <w:noProof/>
          <w:sz w:val="24"/>
          <w:szCs w:val="24"/>
        </w:rPr>
        <w:t>(Zijl</w:t>
      </w:r>
      <w:r w:rsidR="007C4DD9">
        <w:rPr>
          <w:rFonts w:ascii="Times New Roman" w:hAnsi="Times New Roman" w:cs="Times New Roman"/>
          <w:noProof/>
          <w:sz w:val="24"/>
          <w:szCs w:val="24"/>
        </w:rPr>
        <w:t>stra-Shaw, Roberts and Robinson</w:t>
      </w:r>
      <w:r w:rsidR="00BE3B6C" w:rsidRPr="007C4DD9">
        <w:rPr>
          <w:rFonts w:ascii="Times New Roman" w:hAnsi="Times New Roman" w:cs="Times New Roman"/>
          <w:noProof/>
          <w:sz w:val="24"/>
          <w:szCs w:val="24"/>
        </w:rPr>
        <w:t xml:space="preserve"> 2013)</w:t>
      </w:r>
      <w:r w:rsidRPr="007C4DD9">
        <w:rPr>
          <w:rFonts w:ascii="Times New Roman" w:hAnsi="Times New Roman" w:cs="Times New Roman"/>
          <w:sz w:val="24"/>
          <w:szCs w:val="24"/>
        </w:rPr>
        <w:fldChar w:fldCharType="end"/>
      </w:r>
      <w:r w:rsidRPr="007C4DD9">
        <w:rPr>
          <w:rFonts w:ascii="Times New Roman" w:hAnsi="Times New Roman" w:cs="Times New Roman"/>
          <w:sz w:val="24"/>
          <w:szCs w:val="24"/>
        </w:rPr>
        <w:t>.</w:t>
      </w:r>
    </w:p>
    <w:p w14:paraId="254FAD85" w14:textId="7DB10D41" w:rsidR="00863DF5" w:rsidRPr="006F3B00" w:rsidRDefault="00863DF5" w:rsidP="00863DF5">
      <w:pPr>
        <w:spacing w:line="480" w:lineRule="auto"/>
        <w:rPr>
          <w:rFonts w:ascii="Times New Roman" w:hAnsi="Times New Roman" w:cs="Times New Roman"/>
          <w:sz w:val="24"/>
          <w:szCs w:val="24"/>
        </w:rPr>
      </w:pPr>
      <w:r w:rsidRPr="007C4DD9">
        <w:rPr>
          <w:rFonts w:ascii="Times New Roman" w:hAnsi="Times New Roman" w:cs="Times New Roman"/>
          <w:sz w:val="24"/>
          <w:szCs w:val="24"/>
        </w:rPr>
        <w:t>Instead of looking at what trainees can and can</w:t>
      </w:r>
      <w:r w:rsidR="0034154D" w:rsidRPr="007C4DD9">
        <w:rPr>
          <w:rFonts w:ascii="Times New Roman" w:hAnsi="Times New Roman" w:cs="Times New Roman"/>
          <w:sz w:val="24"/>
          <w:szCs w:val="24"/>
        </w:rPr>
        <w:t>not</w:t>
      </w:r>
      <w:r w:rsidRPr="007C4DD9">
        <w:rPr>
          <w:rFonts w:ascii="Times New Roman" w:hAnsi="Times New Roman" w:cs="Times New Roman"/>
          <w:sz w:val="24"/>
          <w:szCs w:val="24"/>
        </w:rPr>
        <w:t xml:space="preserve"> do, or how they might behave, the alternative approach is to examine how the trainer interacts with their trainee and what they allow their trainees to do. Again, EPAs reflect this change in how competency is judged as they ask trainers when they are able to trust their trainees to undertake certain tasks</w:t>
      </w:r>
      <w:r w:rsidR="007C4DD9">
        <w:rPr>
          <w:rFonts w:ascii="Times New Roman" w:hAnsi="Times New Roman" w:cs="Times New Roman"/>
          <w:sz w:val="24"/>
          <w:szCs w:val="24"/>
        </w:rPr>
        <w:t xml:space="preserve"> </w:t>
      </w:r>
      <w:r w:rsidRPr="007C4DD9">
        <w:rPr>
          <w:rFonts w:ascii="Times New Roman" w:hAnsi="Times New Roman" w:cs="Times New Roman"/>
          <w:sz w:val="24"/>
          <w:szCs w:val="24"/>
        </w:rPr>
        <w:fldChar w:fldCharType="begin" w:fldLock="1"/>
      </w:r>
      <w:r w:rsidR="00BE3B6C" w:rsidRPr="007C4DD9">
        <w:rPr>
          <w:rFonts w:ascii="Times New Roman" w:hAnsi="Times New Roman" w:cs="Times New Roman"/>
          <w:sz w:val="24"/>
          <w:szCs w:val="24"/>
        </w:rPr>
        <w:instrText>ADDIN CSL_CITATION {"citationItems":[{"id":"ITEM-1","itemData":{"DOI":"http://dx.doi.org/10.4300/JGME-D-12-00380.1","ISBN":"1525-1497 (Electronic)\\r0884-8734 (Linking)","ISSN":"1525-1497","PMID":"24404246","abstract":"The Challenge The entrustable professional activity (EPA) concept allows faculty to make competency-based decisions on the level of supervision required by trainees. Competency-based education targets standardized levels of proficiency to guarantee that all learners have a sufficient level of proficiency at the completion of training.1–6 Collectively, the competencies (ACGME or CanMEDS) constitute a framework that describes the qualities of professionals. Such a framework provides generalized descriptions to guide learners, their supervisors, and institutions in teaching and assessment. However, these frameworks must translate to the world of medical practice. EPAs were conceived to facilitate this translation, addressing the concern that competency frameworks would otherwise be too theoretical to be useful for training and assessment in daily practice.","author":[{"dropping-particle":"","family":"Cate","given":"Olle","non-dropping-particle":"ten","parse-names":false,"suffix":""}],"container-title":"Journal of Graduate Medical Education","id":"ITEM-1","issue":"March","issued":{"date-parts":[["2013"]]},"page":"157-8","title":"Nuts and Bolts of Entrustable Professional Activitites","type":"article-journal","volume":"5"},"uris":["http://www.mendeley.com/documents/?uuid=b8dde74b-c59b-4103-a278-afc267292c18"]}],"mendeley":{"formattedCitation":"(ten Cate, 2013)","plainTextFormattedCitation":"(ten Cate, 2013)","previouslyFormattedCitation":"(Olle ten Cate 2013)"},"properties":{"noteIndex":0},"schema":"https://github.com/citation-style-language/schema/raw/master/csl-citation.json"}</w:instrText>
      </w:r>
      <w:r w:rsidRPr="007C4DD9">
        <w:rPr>
          <w:rFonts w:ascii="Times New Roman" w:hAnsi="Times New Roman" w:cs="Times New Roman"/>
          <w:sz w:val="24"/>
          <w:szCs w:val="24"/>
        </w:rPr>
        <w:fldChar w:fldCharType="separate"/>
      </w:r>
      <w:r w:rsidR="007C4DD9">
        <w:rPr>
          <w:rFonts w:ascii="Times New Roman" w:hAnsi="Times New Roman" w:cs="Times New Roman"/>
          <w:noProof/>
          <w:sz w:val="24"/>
          <w:szCs w:val="24"/>
        </w:rPr>
        <w:t>(ten Cate</w:t>
      </w:r>
      <w:r w:rsidR="00BE3B6C" w:rsidRPr="007C4DD9">
        <w:rPr>
          <w:rFonts w:ascii="Times New Roman" w:hAnsi="Times New Roman" w:cs="Times New Roman"/>
          <w:noProof/>
          <w:sz w:val="24"/>
          <w:szCs w:val="24"/>
        </w:rPr>
        <w:t xml:space="preserve"> 2013)</w:t>
      </w:r>
      <w:r w:rsidRPr="007C4DD9">
        <w:rPr>
          <w:rFonts w:ascii="Times New Roman" w:hAnsi="Times New Roman" w:cs="Times New Roman"/>
          <w:sz w:val="24"/>
          <w:szCs w:val="24"/>
        </w:rPr>
        <w:fldChar w:fldCharType="end"/>
      </w:r>
      <w:r w:rsidRPr="007C4DD9">
        <w:rPr>
          <w:rFonts w:ascii="Times New Roman" w:hAnsi="Times New Roman" w:cs="Times New Roman"/>
          <w:sz w:val="24"/>
          <w:szCs w:val="24"/>
        </w:rPr>
        <w:t>. This could be described as the “acid test</w:t>
      </w:r>
      <w:r w:rsidRPr="006F3B00">
        <w:rPr>
          <w:rFonts w:ascii="Times New Roman" w:hAnsi="Times New Roman" w:cs="Times New Roman"/>
          <w:sz w:val="24"/>
          <w:szCs w:val="24"/>
        </w:rPr>
        <w:t xml:space="preserve">” as the implications of entrusting tasks to trainees is that you trust that no harm will come to patients by doing </w:t>
      </w:r>
      <w:r w:rsidRPr="006F3B00">
        <w:rPr>
          <w:rFonts w:ascii="Times New Roman" w:hAnsi="Times New Roman" w:cs="Times New Roman"/>
          <w:sz w:val="24"/>
          <w:szCs w:val="24"/>
        </w:rPr>
        <w:lastRenderedPageBreak/>
        <w:t>so. However, these trust decisions are context- and task-specific</w:t>
      </w:r>
      <w:r w:rsidR="007C4DD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{"citationItems":[{"id":"ITEM-1","itemData":{"DOI":"10.1037/men0000077","abstract":"© 2016 American Psychological Association. Research suggests that women weigh the perceived costs and benefits when deciding whether to confront sexism on behalf of themselves or other women. Novel to the present research, we tested whether men similarly weigh the anticipated costs and benefits when deciding whether to confront sexism on behalf of women. Using path analysis across 2 correlational studies, we also investigated how endorsement of a masculine protection ideology predicted frequency of confronting sexism on behalf of socially close (e.g., girlfriend, sister) versus distant (e.g., acquaintance, stranger) women. Results from Study 1 (N = 148 undergraduate men) revealed that men were motivated by the perceived benefit, but not the perceived cost, when deciding whether to confront sexism. In both studies (Study 2 N = 205 male MTurk workers), the extent to which men endorsed a masculine ideology of protection positively predicted their frequency of confronting for socially close, but not distant women. We conclude that in some cases paternalistic masculinity may promote antisexist behavior (confronting on behalf of socially close women), although the impact of those confrontations for sexism reduction remains to be tested.","author":[{"dropping-particle":"","family":"Mayer","given":"RC","non-dropping-particle":"","parse-names":false,"suffix":""},{"dropping-particle":"","family":"Davis","given":"J H","non-dropping-particle":"","parse-names":false,"suffix":""},{"dropping-particle":"","family":"Schoorman","given":"F D","non-dropping-particle":"","parse-names":false,"suffix":""}],"container-title":"Cited in Parkhe, A.(1998). Understanding trust in international alliances, Journal of World Business","id":"ITEM-1","issue":"3","issued":{"date-parts":[["1995"]]},"page":"219-240","title":"An integrative model of organisational trust, Academy ofManagement Review, 20","type":"article-journal","volume":"33"},"uris":["http://www.mendeley.com/documents/?uuid=6104441a-f1be-456a-90d8-c6f883e7e87b"]}],"mendeley":{"formattedCitation":"(Mayer, Davis and Schoorman, 1995)","plainTextFormattedCitation":"(Mayer, Davis and Schoorman, 1995)","previouslyFormattedCitation":"(Mayer, Davis, and Schoorman 1995)"},"properties":{"noteIndex":0},"schema":"https://github.com/citation-style-language/schema/raw/master/csl-citation.json"}</w:instrText>
      </w:r>
      <w:r w:rsidRPr="006F3B00">
        <w:rPr>
          <w:rFonts w:ascii="Times New Roman" w:hAnsi="Times New Roman" w:cs="Times New Roman"/>
          <w:sz w:val="24"/>
          <w:szCs w:val="24"/>
        </w:rPr>
        <w:fldChar w:fldCharType="separate"/>
      </w:r>
      <w:r w:rsidR="007C4DD9">
        <w:rPr>
          <w:rFonts w:ascii="Times New Roman" w:hAnsi="Times New Roman" w:cs="Times New Roman"/>
          <w:noProof/>
          <w:sz w:val="24"/>
          <w:szCs w:val="24"/>
        </w:rPr>
        <w:t>(Mayer, Davis and Schoorman</w:t>
      </w:r>
      <w:r w:rsidR="00BE3B6C" w:rsidRPr="00BE3B6C">
        <w:rPr>
          <w:rFonts w:ascii="Times New Roman" w:hAnsi="Times New Roman" w:cs="Times New Roman"/>
          <w:noProof/>
          <w:sz w:val="24"/>
          <w:szCs w:val="24"/>
        </w:rPr>
        <w:t xml:space="preserve"> 1995)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and it is therefore understandable why participants  wanted to spend time with trainees; they needed to assess “risk”</w:t>
      </w:r>
      <w:r w:rsidR="007C4DD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{"citationItems":[{"id":"ITEM-1","itemData":{"DOI":"10.1111/medu.13203","ISSN":"13652923","abstract":"................................ The decision to trust is not global; it is situational: for what task and under what circumstances will trust be extended or denied? Trust decisions are therefore characterised by the supervisor’s consideration of real-world risk and vulnerability. Risk and vulnerability differentiate trust from a bureaucratic certification of competence, which may make trust a more meaningful concept than competency in work- place assessment. ..............................","author":[{"dropping-particle":"","family":"Damodaran","given":"Arvin","non-dropping-particle":"","parse-names":false,"suffix":""},{"dropping-particle":"","family":"Shulruf","given":"Boaz","non-dropping-particle":"","parse-names":false,"suffix":""},{"dropping-particle":"","family":"Jones","given":"Philip","non-dropping-particle":"","parse-names":false,"suffix":""}],"container-title":"Medical Education","id":"ITEM-1","issue":"3","issued":{"date-parts":[["2017"]]},"page":"338","title":"‘Trust’ versus ‘competency’ in the workplace","type":"article","volume":"51"},"uris":["http://www.mendeley.com/documents/?uuid=c995d9fe-7b01-4ba0-b313-62bdfa391d4a"]}],"mendeley":{"formattedCitation":"(Damodaran, Shulruf and Jones, 2017)","plainTextFormattedCitation":"(Damodaran, Shulruf and Jones, 2017)","previouslyFormattedCitation":"(Damodaran, Shulruf, and Jones 2017)"},"properties":{"noteIndex":0},"schema":"https://github.com/citation-style-language/schema/raw/master/csl-citation.json"}</w:instrText>
      </w:r>
      <w:r w:rsidRPr="006F3B00">
        <w:rPr>
          <w:rFonts w:ascii="Times New Roman" w:hAnsi="Times New Roman" w:cs="Times New Roman"/>
          <w:sz w:val="24"/>
          <w:szCs w:val="24"/>
        </w:rPr>
        <w:fldChar w:fldCharType="separate"/>
      </w:r>
      <w:r w:rsidR="007C4DD9">
        <w:rPr>
          <w:rFonts w:ascii="Times New Roman" w:hAnsi="Times New Roman" w:cs="Times New Roman"/>
          <w:noProof/>
          <w:sz w:val="24"/>
          <w:szCs w:val="24"/>
        </w:rPr>
        <w:t>(Damodaran, Shulruf and Jones</w:t>
      </w:r>
      <w:r w:rsidR="00BE3B6C" w:rsidRPr="00BE3B6C">
        <w:rPr>
          <w:rFonts w:ascii="Times New Roman" w:hAnsi="Times New Roman" w:cs="Times New Roman"/>
          <w:noProof/>
          <w:sz w:val="24"/>
          <w:szCs w:val="24"/>
        </w:rPr>
        <w:t xml:space="preserve"> 2017)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In other words, being signed off for different competencies did not always align to the complex, risky reality of medical practice in which the clinician must make decisions “in the moment” where “trust” is more important than “competency”. This sentiment of pitting trust against competencies is embodied in the literature</w:t>
      </w:r>
      <w:r w:rsidR="0034154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{"citationItems":[{"id":"ITEM-1","itemData":{"DOI":"10.1111/medu.13203","ISSN":"13652923","abstract":"................................ The decision to trust is not global; it is situational: for what task and under what circumstances will trust be extended or denied? Trust decisions are therefore characterised by the supervisor’s consideration of real-world risk and vulnerability. Risk and vulnerability differentiate trust from a bureaucratic certification of competence, which may make trust a more meaningful concept than competency in work- place assessment. ..............................","author":[{"dropping-particle":"","family":"Damodaran","given":"Arvin","non-dropping-particle":"","parse-names":false,"suffix":""},{"dropping-particle":"","family":"Shulruf","given":"Boaz","non-dropping-particle":"","parse-names":false,"suffix":""},{"dropping-particle":"","family":"Jones","given":"Philip","non-dropping-particle":"","parse-names":false,"suffix":""}],"container-title":"Medical Education","id":"ITEM-1","issue":"3","issued":{"date-parts":[["2017"]]},"page":"338","title":"‘Trust’ versus ‘competency’ in the workplace","type":"article","volume":"51"},"uris":["http://www.mendeley.com/documents/?uuid=c995d9fe-7b01-4ba0-b313-62bdfa391d4a"]},{"id":"ITEM-2","itemData":{"DOI":"10.1111/j.1365-2929.2005.02341.x","ISBN":"0308-0110","ISSN":"03080110","PMID":"16313574","abstract":"The idea of competency-based training (CBT) seems to have entered medical education with a speed and impact that has outperformed problem-based learning. The literature suggests that competencies should be (a) specific, (b) comprehensive, (c) durable, (d) trainable, (e) measurable, (f) related to professional activities and (g) connected to other competencies. The identification of 'entrustable' professional activities (EPAs) can help programme directors and supervisors in their determination of the competence of their trainees. Every day, supervisors consider whether or not to delegate professional activities to trainees. The information to guide these decisions is often implicit. In addition, colleagues or nursing staff may provide information on trainees. Performing a sternum puncture requires competence in such roles as medical expert, communicator, collaborator and manager. Conversely, being a skilled communicator can be inferred from observing different EPAs, showing communication with patients, family, colleagues, nursing staff, and so on. If programmes really move towards observing and qualifying the competence of individual candidates for critical professional activities, instead of assuming competence at the end of a predetermined training period, a paradigm shift will occur. Medical training could then change from fixed-length variableoutcome programmes to fixed-outcome variable-length programmes. (PsycINFO Database Record (c) 2012 APA, all rights reserved)","author":[{"dropping-particle":"","family":"Cate","given":"Olle","non-dropping-particle":"Ten","parse-names":false,"suffix":""}],"container-title":"Medical Education","id":"ITEM-2","issue":"12","issued":{"date-parts":[["2005"]]},"page":"1176-1177","title":"Entrustability of professional activities and competency-based training","type":"article-journal","volume":"39"},"uris":["http://www.mendeley.com/documents/?uuid=f2cfc331-ca3c-4bd1-8054-171c33e79c30"]}],"mendeley":{"formattedCitation":"(Ten Cate, 2005; Damodaran, Shulruf and Jones, 2017)","plainTextFormattedCitation":"(Ten Cate, 2005; Damodaran, Shulruf and Jones, 2017)","previouslyFormattedCitation":"(Damodaran, Shulruf, and Jones 2017; Olle Ten Cate 2005)"},"properties":{"noteIndex":0},"schema":"https://github.com/citation-style-language/schema/raw/master/csl-citation.json"}</w:instrText>
      </w:r>
      <w:r w:rsidRPr="006F3B00">
        <w:rPr>
          <w:rFonts w:ascii="Times New Roman" w:hAnsi="Times New Roman" w:cs="Times New Roman"/>
          <w:sz w:val="24"/>
          <w:szCs w:val="24"/>
        </w:rPr>
        <w:fldChar w:fldCharType="separate"/>
      </w:r>
      <w:r w:rsidR="007C4DD9">
        <w:rPr>
          <w:rFonts w:ascii="Times New Roman" w:hAnsi="Times New Roman" w:cs="Times New Roman"/>
          <w:noProof/>
          <w:sz w:val="24"/>
          <w:szCs w:val="24"/>
        </w:rPr>
        <w:t>(ten Cate</w:t>
      </w:r>
      <w:r w:rsidR="00BE3B6C" w:rsidRPr="00BE3B6C">
        <w:rPr>
          <w:rFonts w:ascii="Times New Roman" w:hAnsi="Times New Roman" w:cs="Times New Roman"/>
          <w:noProof/>
          <w:sz w:val="24"/>
          <w:szCs w:val="24"/>
        </w:rPr>
        <w:t xml:space="preserve"> 200</w:t>
      </w:r>
      <w:r w:rsidR="007C4DD9">
        <w:rPr>
          <w:rFonts w:ascii="Times New Roman" w:hAnsi="Times New Roman" w:cs="Times New Roman"/>
          <w:noProof/>
          <w:sz w:val="24"/>
          <w:szCs w:val="24"/>
        </w:rPr>
        <w:t>5; Damodaran, Shulruf and Jones</w:t>
      </w:r>
      <w:r w:rsidR="00BE3B6C" w:rsidRPr="00BE3B6C">
        <w:rPr>
          <w:rFonts w:ascii="Times New Roman" w:hAnsi="Times New Roman" w:cs="Times New Roman"/>
          <w:noProof/>
          <w:sz w:val="24"/>
          <w:szCs w:val="24"/>
        </w:rPr>
        <w:t xml:space="preserve"> 2017)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and is echoed in some of data such as </w:t>
      </w:r>
      <w:r w:rsidRPr="006F3B00">
        <w:rPr>
          <w:rFonts w:ascii="Times New Roman" w:hAnsi="Times New Roman" w:cs="Times New Roman"/>
          <w:i/>
          <w:sz w:val="24"/>
          <w:szCs w:val="24"/>
        </w:rPr>
        <w:t xml:space="preserve">“You need to take everything into consideration. Yes. Everything…it's still difficult because that feeling you said </w:t>
      </w:r>
      <w:r w:rsidRPr="006F3B00">
        <w:rPr>
          <w:rFonts w:ascii="Times New Roman" w:hAnsi="Times New Roman" w:cs="Times New Roman"/>
          <w:sz w:val="24"/>
          <w:szCs w:val="24"/>
        </w:rPr>
        <w:t>and</w:t>
      </w:r>
      <w:r w:rsidRPr="006F3B00">
        <w:rPr>
          <w:rFonts w:ascii="Times New Roman" w:hAnsi="Times New Roman" w:cs="Times New Roman"/>
          <w:i/>
          <w:sz w:val="24"/>
          <w:szCs w:val="24"/>
        </w:rPr>
        <w:t xml:space="preserve"> “Quite often people do have a feeling but they cannot pin it down to something”.</w:t>
      </w:r>
      <w:r w:rsidRPr="006F3B00">
        <w:rPr>
          <w:rFonts w:ascii="Times New Roman" w:hAnsi="Times New Roman" w:cs="Times New Roman"/>
          <w:sz w:val="24"/>
          <w:szCs w:val="24"/>
        </w:rPr>
        <w:t xml:space="preserve">  This doesn’t necessarily mean the trainee is not diagnostically competent at this point, but shows that when allowing someone to independently report, the consultant has to be 100% happy that there is no risk to patients. And to inform that judgement, consultants wish to spend time with trainees, checking for consistency of diagnosis and consistency of behaviour. To this end, trusting a trainee often related to repeated behaviours that illustrated they had both “process” and “person”.</w:t>
      </w:r>
    </w:p>
    <w:p w14:paraId="7CC09BD5" w14:textId="4F99D4C2" w:rsidR="00863DF5" w:rsidRPr="006F3B00" w:rsidRDefault="00BE35A3" w:rsidP="001E1A25">
      <w:pPr>
        <w:pStyle w:val="Heading3"/>
        <w:rPr>
          <w:rFonts w:ascii="Times New Roman" w:hAnsi="Times New Roman" w:cs="Times New Roman"/>
          <w:color w:val="auto"/>
          <w:sz w:val="24"/>
          <w:szCs w:val="24"/>
        </w:rPr>
      </w:pPr>
      <w:bookmarkStart w:id="95" w:name="_Toc23243824"/>
      <w:r>
        <w:rPr>
          <w:rFonts w:ascii="Times New Roman" w:hAnsi="Times New Roman" w:cs="Times New Roman"/>
          <w:color w:val="auto"/>
          <w:sz w:val="24"/>
          <w:szCs w:val="24"/>
        </w:rPr>
        <w:t>4.5</w:t>
      </w:r>
      <w:r w:rsidR="00A20009" w:rsidRPr="006F3B00">
        <w:rPr>
          <w:rFonts w:ascii="Times New Roman" w:hAnsi="Times New Roman" w:cs="Times New Roman"/>
          <w:color w:val="auto"/>
          <w:sz w:val="24"/>
          <w:szCs w:val="24"/>
        </w:rPr>
        <w:t xml:space="preserve">.5 </w:t>
      </w:r>
      <w:r w:rsidR="00863DF5" w:rsidRPr="006F3B00">
        <w:rPr>
          <w:rFonts w:ascii="Times New Roman" w:hAnsi="Times New Roman" w:cs="Times New Roman"/>
          <w:color w:val="auto"/>
          <w:sz w:val="24"/>
          <w:szCs w:val="24"/>
        </w:rPr>
        <w:t>Time</w:t>
      </w:r>
      <w:bookmarkEnd w:id="95"/>
    </w:p>
    <w:p w14:paraId="04273664" w14:textId="77777777" w:rsidR="00A20009" w:rsidRPr="006F3B00" w:rsidRDefault="00A20009" w:rsidP="00A20009">
      <w:pPr>
        <w:rPr>
          <w:rFonts w:ascii="Times New Roman" w:hAnsi="Times New Roman" w:cs="Times New Roman"/>
          <w:sz w:val="24"/>
          <w:szCs w:val="24"/>
          <w:lang w:val="en-GB"/>
        </w:rPr>
      </w:pPr>
    </w:p>
    <w:p w14:paraId="6F5E3F1E" w14:textId="1E4B6FB4"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order to make a judgement of a trainee’s diagnostic competency, analysis of the data showed that a period of time is needed. The data did not indicate a specific number of hours, days or weeks this should be, yet it was clear that competency had to be assessed over a period of time. This is probably partly due to the complex nature of diagnostic competency. For instance, the data revealed there are many cues to competency, so it follows that they cannot all be observed (or are very unlikely to be observed) over just a few cases. Competency was also linked to being consistent, and consistency, by definition, cannot be measured on a single case.  The judgement ecology, being </w:t>
      </w:r>
      <w:r w:rsidRPr="006F3B00">
        <w:rPr>
          <w:rFonts w:ascii="Times New Roman" w:hAnsi="Times New Roman" w:cs="Times New Roman"/>
          <w:sz w:val="24"/>
          <w:szCs w:val="24"/>
        </w:rPr>
        <w:lastRenderedPageBreak/>
        <w:t xml:space="preserve">longitudinal in nature, was also reflected in comments relating to WBAs. For example, it can be seen from the data that WBAs were mere “snap-shots” of performance or even specially selected by trainees, so therefore were not a true reflection of their day-to-day work. This ties in with comments from the </w:t>
      </w:r>
      <w:r w:rsidRPr="001904EB">
        <w:rPr>
          <w:rFonts w:ascii="Times New Roman" w:hAnsi="Times New Roman" w:cs="Times New Roman"/>
          <w:sz w:val="24"/>
          <w:szCs w:val="24"/>
        </w:rPr>
        <w:t>questionnaire (</w:t>
      </w:r>
      <w:r w:rsidR="001904EB" w:rsidRPr="001904EB">
        <w:rPr>
          <w:rFonts w:ascii="Times New Roman" w:hAnsi="Times New Roman" w:cs="Times New Roman"/>
          <w:sz w:val="24"/>
          <w:szCs w:val="24"/>
        </w:rPr>
        <w:t>see C</w:t>
      </w:r>
      <w:r w:rsidR="001904EB">
        <w:rPr>
          <w:rFonts w:ascii="Times New Roman" w:hAnsi="Times New Roman" w:cs="Times New Roman"/>
          <w:sz w:val="24"/>
          <w:szCs w:val="24"/>
        </w:rPr>
        <w:t>hapter 3</w:t>
      </w:r>
      <w:r w:rsidR="00B77285">
        <w:rPr>
          <w:rFonts w:ascii="Times New Roman" w:hAnsi="Times New Roman" w:cs="Times New Roman"/>
          <w:sz w:val="24"/>
          <w:szCs w:val="24"/>
        </w:rPr>
        <w:t>, section 3.4</w:t>
      </w:r>
      <w:r w:rsidRPr="001904EB">
        <w:rPr>
          <w:rFonts w:ascii="Times New Roman" w:hAnsi="Times New Roman" w:cs="Times New Roman"/>
          <w:sz w:val="24"/>
          <w:szCs w:val="24"/>
        </w:rPr>
        <w:t xml:space="preserve">) which </w:t>
      </w:r>
      <w:r w:rsidRPr="006F3B00">
        <w:rPr>
          <w:rFonts w:ascii="Times New Roman" w:hAnsi="Times New Roman" w:cs="Times New Roman"/>
          <w:sz w:val="24"/>
          <w:szCs w:val="24"/>
        </w:rPr>
        <w:t xml:space="preserve">said WBAs were “specially selected” or “may not be representative of true performance” and similar comments from within the data in the current study which related consistency to personal development </w:t>
      </w:r>
      <w:r w:rsidRPr="006F3B00">
        <w:rPr>
          <w:rFonts w:ascii="Times New Roman" w:hAnsi="Times New Roman" w:cs="Times New Roman"/>
          <w:i/>
          <w:sz w:val="24"/>
          <w:szCs w:val="24"/>
        </w:rPr>
        <w:t>“The chances of coming across the same case, having that same assessment and consultant… so much confounding that I don't think you really get that progression documented in them”.</w:t>
      </w:r>
    </w:p>
    <w:p w14:paraId="0DA842DC" w14:textId="698BAE5A"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Consistency is very important to competence as trainees must show that they are not only competent once, but are competent over a range of tasks on different days of the week. That is because performance with one patient (or diagnosis) does not necessarily indicate performance on other cases</w:t>
      </w:r>
      <w:r w:rsidR="007C4DD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{"citationItems":[{"id":"ITEM-1","itemData":{"DOI":"10.1006/pmed.1994.1040","ISBN":"0091-7435 (Print)\\r0091-7435 (Linking)","ISSN":"00917435","PMID":"8078848","abstract":"Physicians often fail to provide nationally recommended preventive services for their patients. Addressing this, we have reviewed selected literature on changing physician behavior using the organizational construct of the‗readiness for change‘transtheoretical model. This model suggests that behavior evolves through stages from precontemplation, to contemplation, to preparation, to initiation, and to maintenance of change. Traditional continuing medical education may affect knowledge and beliefs, but rarely results in behavior change. However, motivational strategies such as practice feedback reports and influential peers can foster stage change. Successful interventions aimed at physicians preparing for change frequently use an office-system approach that targets not only physicians, but office staff and patients as well. Illustrating how the readiness to change model can guide the design and implementation of interventions, we describe strategies being used in a statewide randomized controlled trial to improve cancer prevention counseling and early detection by primary care physicians. The multistage interventions of Partners for Prevention include support from a medical liability carrier, a motivational videotape, a task-delineated office manual, chart flowsheets, patient activation forms, practice feedback reports, a designated prevention coordinator within each practice and regular telephone calls and office visits by project staff. © 1994 Academic Press, Inc.","author":[{"dropping-particle":"","family":"Cohen","given":"Stuart J.","non-dropping-particle":"","parse-names":false,"suffix":""},{"dropping-particle":"","family":"Halvorson","given":"Holly W.","non-dropping-particle":"","parse-names":false,"suffix":""},{"dropping-particle":"","family":"Gosselink","given":"Carol A.","non-dropping-particle":"","parse-names":false,"suffix":""}],"container-title":"Preventive Medicine","id":"ITEM-1","issue":"3","issued":{"date-parts":[["1994"]]},"page":"284-291","title":"Changing physician behavior to improve disease prevention","type":"article-journal","volume":"23"},"uris":["http://www.mendeley.com/documents/?uuid=9d3e075a-7ced-4294-8a17-26e7ad70a925","http://www.mendeley.com/documents/?uuid=7a793d77-6229-4936-87e4-72397b7a8855"]}],"mendeley":{"formattedCitation":"(Cohen, Halvorson and Gosselink, 1994)","plainTextFormattedCitation":"(Cohen, Halvorson and Gosselink, 1994)","previouslyFormattedCitation":"(Cohen, Halvorson, and Gosselink 1994)"},"properties":{"noteIndex":0},"schema":"https://github.com/citation-style-language/schema/raw/master/csl-citation.json"}</w:instrText>
      </w:r>
      <w:r w:rsidRPr="006F3B00">
        <w:rPr>
          <w:rFonts w:ascii="Times New Roman" w:hAnsi="Times New Roman" w:cs="Times New Roman"/>
          <w:sz w:val="24"/>
          <w:szCs w:val="24"/>
        </w:rPr>
        <w:fldChar w:fldCharType="separate"/>
      </w:r>
      <w:r w:rsidR="007C4DD9">
        <w:rPr>
          <w:rFonts w:ascii="Times New Roman" w:hAnsi="Times New Roman" w:cs="Times New Roman"/>
          <w:noProof/>
          <w:sz w:val="24"/>
          <w:szCs w:val="24"/>
        </w:rPr>
        <w:t>(Cohen, Halvorson and Gosselink</w:t>
      </w:r>
      <w:r w:rsidR="00BE3B6C" w:rsidRPr="00BE3B6C">
        <w:rPr>
          <w:rFonts w:ascii="Times New Roman" w:hAnsi="Times New Roman" w:cs="Times New Roman"/>
          <w:noProof/>
          <w:sz w:val="24"/>
          <w:szCs w:val="24"/>
        </w:rPr>
        <w:t xml:space="preserve"> 1994)</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Consistency needs to be maintained as inconsistency could put a patient at risk from harm. This is of paramount importance in histopathology as diagnoses determine treatment outcomes for patients and carry a significant burden of responsibility.</w:t>
      </w:r>
    </w:p>
    <w:p w14:paraId="0B19A733" w14:textId="71983A5E"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importance of consistency of is also inferred in the curriculum as there are required quotas of WBAs for trainees to complete per year. In other words, these minimum numbers are required to increase the reliability of the outcomes. This is also why WBAs should be undertaken with a range of assessors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{"citationItems":[{"id":"ITEM-1","itemData":{"ISBN":"0039-6060 (Print)\\r0039-6060","ISSN":"0039-6060","PMID":"8342135","abstract":"BACKGROUND: Traditional ward ratings and multiple-choice tests do not reliably assess clinical competence. This study determined the reliability of the Objective Structured Clinical Examination (OSCE) and its sensitivity in detecting the performance gains and deficits in surgical interns. METHODS: A comprehensive 35-station OSCE was administered to 23 incoming interns and seven outgoing interns. The OSCE comprised 17 two-part clinical problems, relying primarily on actual or simulated patients. The reliability of the examination was assessed by coefficient alpha. Significant differences in performance between the two intern groups, between parts A and B, and among the 17 problems were determined by a three-way ANOVA: OSCE performance was also correlated with National Board of Medical Examiners Part II scores. RESULTS: The reliabilities of part A, part B, and parts A and B combined were 0.72, 0.70, and 0.82, respectively. Overall, the outgoing interns performed significantly better than the incoming interns: 58% +/- 1% mean OSCE score versus 47% +/- 1% (p = 0.0001). The 17 clinical problems differed significantly in difficulty; major performance deficits were seen in both groups of trainees. The correlation of OSCE scores with National Board of Medical Examiners Part II scores was not significant (r = 0.11, p = 0.633). CONCLUSIONS: We conclude that the OSCE is an innovative, reliable tool for evaluating resident competence. Although outgoing interns performed better than did incoming interns, the OSCE scores clearly indicated major performance deficits in all interns.","author":[{"dropping-particle":"","family":"Sloan","given":"D A","non-dropping-particle":"","parse-names":false,"suffix":""},{"dropping-particle":"","family":"Donnelly","given":"M B","non-dropping-particle":"","parse-names":false,"suffix":""},{"dropping-particle":"","family":"Johnson","given":"S B","non-dropping-particle":"","parse-names":false,"suffix":""},{"dropping-particle":"","family":"Schwartz","given":"R W","non-dropping-particle":"","parse-names":false,"suffix":""},{"dropping-particle":"","family":"Strodel","given":"W E","non-dropping-particle":"","parse-names":false,"suffix":""}],"container-title":"Surgery","id":"ITEM-1","issue":"2","issued":{"date-parts":[["1993"]]},"page":"343-350","title":"Use of an Objective Structured Clinical Examination (OSCE) to measure improvement in clinical competence during the surgical internship [see comments]","type":"article-journal","volume":"114"},"uris":["http://www.mendeley.com/documents/?uuid=348466c3-03d5-4433-8fed-de2578a3ab4d","http://www.mendeley.com/documents/?uuid=3fcdefd4-8da1-47f6-a947-7db93e95252e"]}],"mendeley":{"formattedCitation":"(Sloan &lt;i&gt;et al.&lt;/i&gt;, 1993)","plainTextFormattedCitation":"(Sloan et al., 1993)","previouslyFormattedCitation":"(Sloan et al. 1993)"},"properties":{"noteIndex":0},"schema":"https://github.com/citation-style-language/schema/raw/master/csl-citation.json"}</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(Sloan </w:t>
      </w:r>
      <w:r w:rsidR="00BE3B6C" w:rsidRPr="007C4DD9">
        <w:rPr>
          <w:rFonts w:ascii="Times New Roman" w:hAnsi="Times New Roman" w:cs="Times New Roman"/>
          <w:noProof/>
          <w:sz w:val="24"/>
          <w:szCs w:val="24"/>
        </w:rPr>
        <w:t xml:space="preserve">et al. </w:t>
      </w:r>
      <w:r w:rsidR="00BE3B6C" w:rsidRPr="00BE3B6C">
        <w:rPr>
          <w:rFonts w:ascii="Times New Roman" w:hAnsi="Times New Roman" w:cs="Times New Roman"/>
          <w:noProof/>
          <w:sz w:val="24"/>
          <w:szCs w:val="24"/>
        </w:rPr>
        <w:t>1993)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w:t>
      </w:r>
    </w:p>
    <w:p w14:paraId="7230089F" w14:textId="60741A81"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Given the vast amounts of knowledge, skills and attitudes that a trainee must acquire and develop during training, it is understandable that competence is acquired over time</w:t>
      </w:r>
      <w:r w:rsidR="0034154D">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{"citationItems":[{"id":"ITEM-1","itemData":{"DOI":"10.1016/0020-7489(95)00011-3","ISBN":"0020-7489","ISSN":"00207489","PMID":"8926154","abstract":"This paper examines the work of Benner (From Novice to Expert: Excellence and Power in Clinical Nursing Practice. Addison-Wesley, Menlo Park, CA, 1984) on expertise in clinical nursing. The philosophical foundations of her work are explained as well as the work located within the wider context of the use of Heideggerian philosophy. Various criticisms of her study are developed in relationship to her methodology and her interpretation of nursing. It is argued that she represents a retreat into tradition and authority in nursing. © 1995.","author":[{"dropping-particle":"","family":"Cash","given":"K.","non-dropping-particle":"","parse-names":false,"suffix":""}],"container-title":"International Journal of Nursing Studies","id":"ITEM-1","issue":"6","issued":{"date-parts":[["1995"]]},"page":"527-534","title":"Benner and expertise in nursing: a critique","type":"article-journal","volume":"32"},"uris":["http://www.mendeley.com/documents/?uuid=8a417dbc-9aa5-47d4-8d14-b8e0abd9516c","http://www.mendeley.com/documents/?uuid=b95ac562-268e-43ac-8559-17255c09e06c"]}],"mendeley":{"formattedCitation":"(Cash, 1995)","plainTextFormattedCitation":"(Cash, 1995)","previouslyFormattedCitation":"(Cash 1995)"},"properties":{"noteIndex":0},"schema":"https://github.com/citation-style-language/schema/raw/master/csl-citation.json"}</w:instrText>
      </w:r>
      <w:r w:rsidRPr="006F3B00">
        <w:rPr>
          <w:rFonts w:ascii="Times New Roman" w:hAnsi="Times New Roman" w:cs="Times New Roman"/>
          <w:sz w:val="24"/>
          <w:szCs w:val="24"/>
        </w:rPr>
        <w:fldChar w:fldCharType="separate"/>
      </w:r>
      <w:r w:rsidR="007C4DD9">
        <w:rPr>
          <w:rFonts w:ascii="Times New Roman" w:hAnsi="Times New Roman" w:cs="Times New Roman"/>
          <w:noProof/>
          <w:sz w:val="24"/>
          <w:szCs w:val="24"/>
        </w:rPr>
        <w:t>(Cash</w:t>
      </w:r>
      <w:r w:rsidR="00BE3B6C" w:rsidRPr="00BE3B6C">
        <w:rPr>
          <w:rFonts w:ascii="Times New Roman" w:hAnsi="Times New Roman" w:cs="Times New Roman"/>
          <w:noProof/>
          <w:sz w:val="24"/>
          <w:szCs w:val="24"/>
        </w:rPr>
        <w:t xml:space="preserve"> 1995)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The very nature of competency-based education requires time for trainees to progress through the various stages of training, especially as certain tasks or </w:t>
      </w:r>
      <w:r w:rsidRPr="006F3B00">
        <w:rPr>
          <w:rFonts w:ascii="Times New Roman" w:hAnsi="Times New Roman" w:cs="Times New Roman"/>
          <w:sz w:val="24"/>
          <w:szCs w:val="24"/>
        </w:rPr>
        <w:lastRenderedPageBreak/>
        <w:t xml:space="preserve">competencies will not present on a daily basis. Time must pass for the trainee to gain experience and be exposed to all that the curriculum requires. </w:t>
      </w:r>
    </w:p>
    <w:p w14:paraId="37C7A556" w14:textId="335A0596"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This is equally true when someone is judging whether a trainee is capable of reflection, which is a cyclical process with time at its core. Competency judgements also require time as we have discussed how competency is often judged in stages, requiring trainees to be signed off for the listed competencies for that year of training. Clearly, and in line with how competency develops, time is needed to develop the necessary knowledge, skills and behaviours of the </w:t>
      </w:r>
      <w:r w:rsidRPr="007C4DD9">
        <w:rPr>
          <w:rFonts w:ascii="Times New Roman" w:hAnsi="Times New Roman" w:cs="Times New Roman"/>
          <w:sz w:val="24"/>
          <w:szCs w:val="24"/>
        </w:rPr>
        <w:t>profession</w:t>
      </w:r>
      <w:r w:rsidR="007C4DD9" w:rsidRPr="007C4DD9">
        <w:rPr>
          <w:rFonts w:ascii="Times New Roman" w:hAnsi="Times New Roman" w:cs="Times New Roman"/>
          <w:sz w:val="24"/>
          <w:szCs w:val="24"/>
        </w:rPr>
        <w:t xml:space="preserve"> </w:t>
      </w:r>
      <w:r w:rsidRPr="007C4DD9">
        <w:rPr>
          <w:rFonts w:ascii="Times New Roman" w:hAnsi="Times New Roman" w:cs="Times New Roman"/>
          <w:sz w:val="24"/>
          <w:szCs w:val="24"/>
        </w:rPr>
        <w:fldChar w:fldCharType="begin" w:fldLock="1"/>
      </w:r>
      <w:r w:rsidR="00BE3B6C" w:rsidRPr="007C4DD9">
        <w:rPr>
          <w:rFonts w:ascii="Times New Roman" w:hAnsi="Times New Roman" w:cs="Times New Roman"/>
          <w:sz w:val="24"/>
          <w:szCs w:val="24"/>
        </w:rPr>
        <w:instrText>ADDIN CSL_CITATION {"citationItems":[{"id":"ITEM-1","itemData":{"DOI":"10.1097/00001888-199009000-00045","ISBN":"1040-2446","ISSN":"1040-2446","PMID":"2400509","abstract":"No abstract available. (C) 1990 Association of American Medical Colleges","author":[{"dropping-particle":"","family":"Miller","given":"G E","non-dropping-particle":"","parse-names":false,"suffix":""}],"container-title":"Academic medicine : journal of the Association of American Medical Colleges","id":"ITEM-1","issue":"9 Suppl","issued":{"date-parts":[["1990"]]},"page":"S63-S67","title":"The assessment of clinical skills/competence/performance.","type":"article-journal","volume":"65"},"uris":["http://www.mendeley.com/documents/?uuid=447d45d0-ad29-4bd1-9a84-9d8055604fd3"]},{"id":"ITEM-2","itemData":{"DOI":"10.1109/TSMC.1983.6313160","ISBN":"0018-9472","ISSN":"21682909","PMID":"11866201","abstract":"The introduction of information technology based on digital computers for the design of man-machine interface systems has led to a requirement for consistent models of human performance in routine task environments and during unfamiliar task conditions. A discussion is presented of the requirement for different types of models for representing performance at the skill-, rule-, and knowledge-based levels, together with a review of the different levels in terms of signals, signs, and symbols. Particular attention is paid to the different possible ways of representing system properties which underlie knowledge-based performance and which can be characterised at several levels of abstraction-from the representation of physical form, through functional representation, to representation in terms of intention or purpose. Furthermore, the role of qualitative and quantitative models in the design and evaluation of interface systems is mentioned, and the need to consider such distinctions carefully is discussed.","author":[{"dropping-particle":"","family":"Rasmussen","given":"Jens","non-dropping-particle":"","parse-names":false,"suffix":""}],"container-title":"IEEE Transactions on Systems, Man and Cybernetics","id":"ITEM-2","issue":"3","issued":{"date-parts":[["1983"]]},"page":"257-266","title":"Skills, Rules, and Knowledge; Signals, Signs, and Symbols, and Other Distinctions in Human Performance Models","type":"article-journal","volume":"SMC-13"},"uris":["http://www.mendeley.com/documents/?uuid=4dc6d959-658b-430a-9506-b213ff4ace4d"]},{"id":"ITEM-3","itemData":{"DOI":"10.1046/j.1365-2923.2002.01316.x","ISBN":"0308-0110","ISSN":"03080110","PMID":"12390456","abstract":"OBJECTIVE: This paper aims to describe current views of the relationship between competence and performance and to delineate some of the implications of the distinctions between the two areas for the purpose of assessing doctors in practice. METHODS: During a 2-day closed session, the authors, using their wide experiences in this domain, defined the problem and the context, discussed the content and set up a new model. This was developed further by e-mail correspondence over a 6-month period. RESULTS: Competency-based assessments were defined as measures of what doctors do in testing situations, while performance-based assessments were defined as measures of what doctors do in practice. The distinction between competency-based and performance-based methods leads to a three-stage model for assessing doctors in practice. The first component of the model proposed is a screening test that would identify doctors at risk. Practitioners who 'pass' the screen would move on to a continuous quality improvement process aimed at raising the general level of performance. Practitioners deemed to be at risk would undergo a more detailed assessment process focused on rigorous testing, with poor performers targeted for remediation or removal from practice. CONCLUSION: We propose a new model, designated the Cambridge Model, which extends and refines Miller's pyramid. It inverts his pyramid, focuses exclusively on the top two tiers, and identifies performance as a product of competence, the influences of the individual (e.g. health, relationships), and the influences of the system (e.g. facilities, practice time). The model provides a basis for understanding and designing assessments of practice performance.","author":[{"dropping-particle":"","family":"Rethans","given":"J. J.","non-dropping-particle":"","parse-names":false,"suffix":""},{"dropping-particle":"","family":"Norcini","given":"J. J.","non-dropping-particle":"","parse-names":false,"suffix":""},{"dropping-particle":"","family":"Barón-Maldonado","given":"M.","non-dropping-particle":"","parse-names":false,"suffix":""},{"dropping-particle":"","family":"Blackmore","given":"D.","non-dropping-particle":"","parse-names":false,"suffix":""},{"dropping-particle":"","family":"Jolly","given":"B. C.","non-dropping-particle":"","parse-names":false,"suffix":""},{"dropping-particle":"","family":"LaDuca","given":"T.","non-dropping-particle":"","parse-names":false,"suffix":""},{"dropping-particle":"","family":"Lew","given":"S.","non-dropping-particle":"","parse-names":false,"suffix":""},{"dropping-particle":"","family":"Page","given":"G. G.","non-dropping-particle":"","parse-names":false,"suffix":""},{"dropping-particle":"","family":"Southgate","given":"L. H.","non-dropping-particle":"","parse-names":false,"suffix":""}],"container-title":"Medical Education","id":"ITEM-3","issue":"10","issued":{"date-parts":[["2002"]]},"page":"901-909","title":"The relationship between competence and performance: Implications for assessing practice performance","type":"article-journal","volume":"36"},"uris":["http://www.mendeley.com/documents/?uuid=3524d628-ff61-410d-b3e0-cfd7e5128430"]},{"id":"ITEM-4","itemData":{"author":[{"dropping-particle":"","family":"Dreyfus, H.L., Dreyfus","given":"S.E.","non-dropping-particle":"","parse-names":false,"suffix":""}],"id":"ITEM-4","issued":{"date-parts":[["1986"]]},"publisher":"Basil Blackwell","publisher-place":"Oxford","title":"Mind Over Machine: The Power of Human Intuition and Expertise in the Age of the Computer.","type":"book"},"uris":["http://www.mendeley.com/documents/?uuid=98bde60e-6064-4106-955f-e436f774b08f"]}],"mendeley":{"formattedCitation":"(Rasmussen, 1983; Dreyfus, H.L., Dreyfus, 1986; Miller, 1990; Rethans &lt;i&gt;et al.&lt;/i&gt;, 2002a)","plainTextFormattedCitation":"(Rasmussen, 1983; Dreyfus, H.L., Dreyfus, 1986; Miller, 1990; Rethans et al., 2002a)","previouslyFormattedCitation":"(G. E. Miller 1990; Rasmussen 1983; Rethans et al. 2002a; Dreyfus, H.L., Dreyfus 1986)"},"properties":{"noteIndex":0},"schema":"https://github.com/citation-style-language/schema/raw/master/csl-citation.json"}</w:instrText>
      </w:r>
      <w:r w:rsidRPr="007C4DD9">
        <w:rPr>
          <w:rFonts w:ascii="Times New Roman" w:hAnsi="Times New Roman" w:cs="Times New Roman"/>
          <w:sz w:val="24"/>
          <w:szCs w:val="24"/>
        </w:rPr>
        <w:fldChar w:fldCharType="separate"/>
      </w:r>
      <w:r w:rsidR="007C4DD9">
        <w:rPr>
          <w:rFonts w:ascii="Times New Roman" w:hAnsi="Times New Roman" w:cs="Times New Roman"/>
          <w:noProof/>
          <w:sz w:val="24"/>
          <w:szCs w:val="24"/>
        </w:rPr>
        <w:t>(Rasmussen 1983; Dreyfus and Dreyfus 1986; Miller</w:t>
      </w:r>
      <w:r w:rsidR="00BE3B6C" w:rsidRPr="007C4DD9">
        <w:rPr>
          <w:rFonts w:ascii="Times New Roman" w:hAnsi="Times New Roman" w:cs="Times New Roman"/>
          <w:noProof/>
          <w:sz w:val="24"/>
          <w:szCs w:val="24"/>
        </w:rPr>
        <w:t xml:space="preserve"> 1990; Rethans et al. 2</w:t>
      </w:r>
      <w:r w:rsidR="007C4DD9">
        <w:rPr>
          <w:rFonts w:ascii="Times New Roman" w:hAnsi="Times New Roman" w:cs="Times New Roman"/>
          <w:noProof/>
          <w:sz w:val="24"/>
          <w:szCs w:val="24"/>
        </w:rPr>
        <w:t>002</w:t>
      </w:r>
      <w:r w:rsidR="00BE3B6C" w:rsidRPr="007C4DD9">
        <w:rPr>
          <w:rFonts w:ascii="Times New Roman" w:hAnsi="Times New Roman" w:cs="Times New Roman"/>
          <w:noProof/>
          <w:sz w:val="24"/>
          <w:szCs w:val="24"/>
        </w:rPr>
        <w:t>)</w:t>
      </w:r>
      <w:r w:rsidRPr="007C4DD9">
        <w:rPr>
          <w:rFonts w:ascii="Times New Roman" w:hAnsi="Times New Roman" w:cs="Times New Roman"/>
          <w:sz w:val="24"/>
          <w:szCs w:val="24"/>
        </w:rPr>
        <w:fldChar w:fldCharType="end"/>
      </w:r>
      <w:r w:rsidRPr="007C4DD9">
        <w:rPr>
          <w:rFonts w:ascii="Times New Roman" w:hAnsi="Times New Roman" w:cs="Times New Roman"/>
          <w:sz w:val="24"/>
          <w:szCs w:val="24"/>
        </w:rPr>
        <w:t>.  The analysis</w:t>
      </w:r>
      <w:r w:rsidRPr="006F3B00">
        <w:rPr>
          <w:rFonts w:ascii="Times New Roman" w:hAnsi="Times New Roman" w:cs="Times New Roman"/>
          <w:sz w:val="24"/>
          <w:szCs w:val="24"/>
        </w:rPr>
        <w:t xml:space="preserve"> also shows that time is needed to ensure one maintains competency after they become a consultant as competency evolves. This explains how reflection augments competency over time. Competence is not the final point, as competency must be maintained and the nature of the “real world” outside of training curricula is that it is infinitely complex, such that trainees must continue to learn, reflect and sustain professional growth</w:t>
      </w:r>
      <w:r w:rsidR="007C4DD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{"citationItems":[{"id":"ITEM-1","itemData":{"author":[{"dropping-particle":"","family":"Benner, P., Tanner, C. A., &amp; Chesla","given":"C.","non-dropping-particle":"","parse-names":false,"suffix":""}],"id":"ITEM-1","issued":{"date-parts":[["1996"]]},"publisher":"Springer","publisher-place":"New York","title":"Expertise in nursing practice: Caring, clinical judgment, and ethics.","type":"book"},"uris":["http://www.mendeley.com/documents/?uuid=6a312ffb-2de2-4e7c-9839-14d58bdfe6c1"]}],"mendeley":{"formattedCitation":"(Benner, P., Tanner, C. A., &amp; Chesla, 1996)","plainTextFormattedCitation":"(Benner, P., Tanner, C. A., &amp; Chesla, 1996)","previouslyFormattedCitation":"(Benner, P., Tanner, C. A., &amp; Chesla 1996)"},"properties":{"noteIndex":0},"schema":"https://github.com/citation-style-language/schema/raw/master/csl-citation.json"}</w:instrText>
      </w:r>
      <w:r w:rsidRPr="006F3B00">
        <w:rPr>
          <w:rFonts w:ascii="Times New Roman" w:hAnsi="Times New Roman" w:cs="Times New Roman"/>
          <w:sz w:val="24"/>
          <w:szCs w:val="24"/>
        </w:rPr>
        <w:fldChar w:fldCharType="separate"/>
      </w:r>
      <w:r w:rsidR="007C4DD9">
        <w:rPr>
          <w:rFonts w:ascii="Times New Roman" w:hAnsi="Times New Roman" w:cs="Times New Roman"/>
          <w:noProof/>
          <w:sz w:val="24"/>
          <w:szCs w:val="24"/>
        </w:rPr>
        <w:t>(Benner, Tanner and Chesla</w:t>
      </w:r>
      <w:r w:rsidR="00BE3B6C" w:rsidRPr="00BE3B6C">
        <w:rPr>
          <w:rFonts w:ascii="Times New Roman" w:hAnsi="Times New Roman" w:cs="Times New Roman"/>
          <w:noProof/>
          <w:sz w:val="24"/>
          <w:szCs w:val="24"/>
        </w:rPr>
        <w:t xml:space="preserve"> 1996)</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011EAB8A" w14:textId="0DF9E7DF" w:rsidR="00863DF5" w:rsidRPr="006F3B00" w:rsidRDefault="00BE35A3" w:rsidP="001E1A25">
      <w:pPr>
        <w:pStyle w:val="Heading2"/>
        <w:rPr>
          <w:rFonts w:ascii="Times New Roman" w:hAnsi="Times New Roman" w:cs="Times New Roman"/>
          <w:color w:val="auto"/>
          <w:sz w:val="24"/>
          <w:szCs w:val="24"/>
        </w:rPr>
      </w:pPr>
      <w:bookmarkStart w:id="96" w:name="_Toc23243825"/>
      <w:r>
        <w:rPr>
          <w:rFonts w:ascii="Times New Roman" w:hAnsi="Times New Roman" w:cs="Times New Roman"/>
          <w:color w:val="auto"/>
          <w:sz w:val="24"/>
          <w:szCs w:val="24"/>
        </w:rPr>
        <w:t>4.6</w:t>
      </w:r>
      <w:r w:rsidR="00A20009"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Limitations and considerations</w:t>
      </w:r>
      <w:bookmarkEnd w:id="96"/>
    </w:p>
    <w:p w14:paraId="10A771B3" w14:textId="77777777" w:rsidR="00A20009" w:rsidRPr="006F3B00" w:rsidRDefault="00A20009" w:rsidP="00A20009">
      <w:pPr>
        <w:rPr>
          <w:rFonts w:ascii="Times New Roman" w:hAnsi="Times New Roman" w:cs="Times New Roman"/>
          <w:sz w:val="24"/>
          <w:szCs w:val="24"/>
          <w:lang w:val="en-GB"/>
        </w:rPr>
      </w:pPr>
    </w:p>
    <w:p w14:paraId="02C1AC16" w14:textId="77777777" w:rsidR="00863DF5" w:rsidRPr="006F3B00" w:rsidRDefault="00863DF5" w:rsidP="00863DF5">
      <w:pPr>
        <w:spacing w:line="480" w:lineRule="auto"/>
        <w:rPr>
          <w:rFonts w:ascii="Times New Roman" w:hAnsi="Times New Roman" w:cs="Times New Roman"/>
          <w:b/>
          <w:sz w:val="24"/>
          <w:szCs w:val="24"/>
          <w:u w:val="single"/>
        </w:rPr>
      </w:pPr>
      <w:r w:rsidRPr="006F3B00">
        <w:rPr>
          <w:rFonts w:ascii="Times New Roman" w:hAnsi="Times New Roman" w:cs="Times New Roman"/>
          <w:sz w:val="24"/>
          <w:szCs w:val="24"/>
        </w:rPr>
        <w:t xml:space="preserve">It is worth stating that the data relates to UK pathologists and UK training. Diagnostic competence may differ in other countries, where there are differing expectations, contexts and training pathways to consider. However, this study utilised a range of consultants and trainees, which should add to its generalisability. </w:t>
      </w:r>
    </w:p>
    <w:p w14:paraId="5AF36E9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literature review showed that little is known about diagnostic competence in histopathology, such that the majority of themes identified stemmed directly from the interview data. To this end, the emerging framework changed several times as interviews continued, indicating a response to the data. The emerging themes were also triangulated with the rest of the research team where further discussion and reflection occurred. Many </w:t>
      </w:r>
      <w:r w:rsidRPr="006F3B00">
        <w:rPr>
          <w:rFonts w:ascii="Times New Roman" w:hAnsi="Times New Roman" w:cs="Times New Roman"/>
          <w:sz w:val="24"/>
          <w:szCs w:val="24"/>
        </w:rPr>
        <w:lastRenderedPageBreak/>
        <w:t>aspects of diagnostic competence shared similar characteristics to the literature on competency in general, adding further validity to the study.</w:t>
      </w:r>
    </w:p>
    <w:p w14:paraId="47E78272"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 is important to reiterate that participants were asked specifically about diagnostic competency. This phrasing was used to avoid discussions about competency in general as the study aimed to examine those competencies which were integral to making diagnoses. There may, therefore, be other competencies, unrelated to diagnosis-making, which should be examined during training and could be explored with further interviews. </w:t>
      </w:r>
    </w:p>
    <w:p w14:paraId="17843CD0" w14:textId="1864E1E9" w:rsidR="00863DF5" w:rsidRPr="006F3B00" w:rsidRDefault="00BE35A3" w:rsidP="001E1A25">
      <w:pPr>
        <w:pStyle w:val="Heading2"/>
        <w:rPr>
          <w:rFonts w:ascii="Times New Roman" w:hAnsi="Times New Roman" w:cs="Times New Roman"/>
          <w:color w:val="auto"/>
          <w:sz w:val="24"/>
          <w:szCs w:val="24"/>
        </w:rPr>
      </w:pPr>
      <w:bookmarkStart w:id="97" w:name="_Toc23243826"/>
      <w:r>
        <w:rPr>
          <w:rFonts w:ascii="Times New Roman" w:hAnsi="Times New Roman" w:cs="Times New Roman"/>
          <w:color w:val="auto"/>
          <w:sz w:val="24"/>
          <w:szCs w:val="24"/>
        </w:rPr>
        <w:t>4.7</w:t>
      </w:r>
      <w:r w:rsidR="00A20009"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Conclusion</w:t>
      </w:r>
      <w:bookmarkEnd w:id="97"/>
    </w:p>
    <w:p w14:paraId="471DB288" w14:textId="77777777" w:rsidR="00A20009" w:rsidRPr="006F3B00" w:rsidRDefault="00A20009" w:rsidP="00A20009">
      <w:pPr>
        <w:rPr>
          <w:rFonts w:ascii="Times New Roman" w:hAnsi="Times New Roman" w:cs="Times New Roman"/>
          <w:sz w:val="24"/>
          <w:szCs w:val="24"/>
          <w:lang w:val="en-GB"/>
        </w:rPr>
      </w:pPr>
    </w:p>
    <w:p w14:paraId="5956E35F" w14:textId="74A8BD61"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This is the first study to explore in depth the behaviours and actions which demonstrate these qualities as well as the relationships and context which underpin them. This data and the resultant conceptual model can begin to form a basis to design an assessment tool which tests diagnostic competence in histopathology trainees. However, as previously discussed, the relative importance of the different cues was not clearly described by participants. Often, the different “cues” supporting the judgement of diagnostic competence appeared equally important.  Although this may be the case, the volume and richness of data that stemmed from “forming a diagnosis” suggests this element is either very complex or more important than some of the other “cues”. Accordingly, the last few stages of Cooksey’s framework relate to capturing judgements so one can see individual judgement policy. In other words, what people say is not always the same as what they do. Hence, the next chapter of this thesis is concerned with exploring how consultants view these cues and their relative importance in the judgement process.</w:t>
      </w:r>
    </w:p>
    <w:p w14:paraId="755D96CA" w14:textId="77777777" w:rsidR="00863DF5" w:rsidRPr="006F3B00" w:rsidRDefault="00863DF5" w:rsidP="00863DF5">
      <w:pPr>
        <w:spacing w:line="480" w:lineRule="auto"/>
        <w:rPr>
          <w:rFonts w:ascii="Times New Roman" w:hAnsi="Times New Roman" w:cs="Times New Roman"/>
          <w:sz w:val="24"/>
          <w:szCs w:val="24"/>
        </w:rPr>
      </w:pPr>
    </w:p>
    <w:p w14:paraId="4F466D86" w14:textId="06F9DBD0" w:rsidR="00AD3734" w:rsidRDefault="00AD3734" w:rsidP="00D41AB1">
      <w:pPr>
        <w:pStyle w:val="Heading1"/>
        <w:rPr>
          <w:rFonts w:ascii="Times New Roman" w:hAnsi="Times New Roman" w:cs="Times New Roman"/>
          <w:b/>
          <w:bCs/>
          <w:color w:val="auto"/>
          <w:sz w:val="72"/>
          <w:szCs w:val="72"/>
        </w:rPr>
      </w:pPr>
    </w:p>
    <w:p w14:paraId="3A727E73" w14:textId="5249EBAC" w:rsidR="007C4DD9" w:rsidRDefault="007C4DD9" w:rsidP="007C4DD9"/>
    <w:p w14:paraId="78E30F48" w14:textId="44302161" w:rsidR="007C4DD9" w:rsidRDefault="007C4DD9" w:rsidP="007C4DD9"/>
    <w:p w14:paraId="057D71B0" w14:textId="79AFBC4B" w:rsidR="007C4DD9" w:rsidRDefault="007C4DD9" w:rsidP="007C4DD9"/>
    <w:p w14:paraId="65D77DC2" w14:textId="7FA1CF45" w:rsidR="007C4DD9" w:rsidRDefault="007C4DD9" w:rsidP="007C4DD9"/>
    <w:p w14:paraId="4F817802" w14:textId="452720D3" w:rsidR="00682629" w:rsidRPr="006F3B00" w:rsidRDefault="00682629" w:rsidP="00682629">
      <w:pPr>
        <w:pStyle w:val="Heading1"/>
        <w:ind w:left="2160" w:firstLine="720"/>
        <w:rPr>
          <w:rFonts w:ascii="Times New Roman" w:hAnsi="Times New Roman" w:cs="Times New Roman"/>
          <w:b/>
          <w:bCs/>
          <w:color w:val="auto"/>
          <w:sz w:val="72"/>
          <w:szCs w:val="72"/>
        </w:rPr>
      </w:pPr>
      <w:bookmarkStart w:id="98" w:name="_Toc23243827"/>
      <w:r w:rsidRPr="006F3B00">
        <w:rPr>
          <w:rFonts w:ascii="Times New Roman" w:hAnsi="Times New Roman" w:cs="Times New Roman"/>
          <w:b/>
          <w:bCs/>
          <w:color w:val="auto"/>
          <w:sz w:val="72"/>
          <w:szCs w:val="72"/>
        </w:rPr>
        <w:t>Chapter 5</w:t>
      </w:r>
      <w:bookmarkEnd w:id="98"/>
    </w:p>
    <w:p w14:paraId="34E5BAF8" w14:textId="77777777" w:rsidR="00682629" w:rsidRPr="00BA15D3" w:rsidRDefault="00682629" w:rsidP="00682629">
      <w:pPr>
        <w:pStyle w:val="Heading1"/>
        <w:jc w:val="center"/>
        <w:rPr>
          <w:rFonts w:ascii="Times New Roman" w:hAnsi="Times New Roman" w:cs="Times New Roman"/>
          <w:b/>
          <w:bCs/>
          <w:color w:val="auto"/>
          <w:sz w:val="72"/>
          <w:szCs w:val="72"/>
        </w:rPr>
      </w:pPr>
      <w:bookmarkStart w:id="99" w:name="_Toc23243828"/>
      <w:r w:rsidRPr="00BA15D3">
        <w:rPr>
          <w:rFonts w:ascii="Times New Roman" w:hAnsi="Times New Roman" w:cs="Times New Roman"/>
          <w:b/>
          <w:bCs/>
          <w:color w:val="auto"/>
          <w:sz w:val="72"/>
          <w:szCs w:val="72"/>
        </w:rPr>
        <w:t>A Delphi study to triangulate the findings from the qualitative interviews for assessing diagnostic competence</w:t>
      </w:r>
      <w:bookmarkEnd w:id="99"/>
    </w:p>
    <w:p w14:paraId="225F4103" w14:textId="51806DDB" w:rsidR="007C4DD9" w:rsidRDefault="007C4DD9" w:rsidP="007C4DD9"/>
    <w:p w14:paraId="47035CF9" w14:textId="08F10C57" w:rsidR="007C4DD9" w:rsidRDefault="007C4DD9" w:rsidP="007C4DD9"/>
    <w:p w14:paraId="22730B4C" w14:textId="534B5363" w:rsidR="007C4DD9" w:rsidRDefault="007C4DD9" w:rsidP="007C4DD9"/>
    <w:p w14:paraId="0BCADE13" w14:textId="1A4751E9" w:rsidR="007C4DD9" w:rsidRDefault="007C4DD9" w:rsidP="007C4DD9"/>
    <w:p w14:paraId="3D1E1A1B" w14:textId="2580BFCA" w:rsidR="007C4DD9" w:rsidRDefault="007C4DD9" w:rsidP="007C4DD9"/>
    <w:p w14:paraId="574A62C0" w14:textId="1F092EFE" w:rsidR="007C4DD9" w:rsidRDefault="007C4DD9" w:rsidP="007C4DD9"/>
    <w:p w14:paraId="3E5C7D45" w14:textId="799827B1" w:rsidR="007C4DD9" w:rsidRDefault="007C4DD9" w:rsidP="007C4DD9"/>
    <w:p w14:paraId="5D37B88B" w14:textId="1616E510" w:rsidR="007C4DD9" w:rsidRDefault="007C4DD9" w:rsidP="007C4DD9"/>
    <w:p w14:paraId="075E45DF" w14:textId="6596BAF6" w:rsidR="007C4DD9" w:rsidRDefault="007C4DD9" w:rsidP="007C4DD9"/>
    <w:p w14:paraId="628F5531" w14:textId="24F3579F" w:rsidR="007C4DD9" w:rsidRDefault="007C4DD9" w:rsidP="007C4DD9"/>
    <w:p w14:paraId="2675418F" w14:textId="44FEC335" w:rsidR="007C4DD9" w:rsidRDefault="007C4DD9" w:rsidP="007C4DD9"/>
    <w:p w14:paraId="28A12F9B" w14:textId="5D0CC64F" w:rsidR="000A7A7C" w:rsidRDefault="000A7A7C" w:rsidP="000A7A7C">
      <w:pPr>
        <w:rPr>
          <w:rFonts w:ascii="Times New Roman" w:hAnsi="Times New Roman" w:cs="Times New Roman"/>
          <w:b/>
          <w:bCs/>
          <w:sz w:val="24"/>
          <w:szCs w:val="24"/>
        </w:rPr>
      </w:pPr>
    </w:p>
    <w:p w14:paraId="28558F32" w14:textId="4EB248D7" w:rsidR="00863DF5" w:rsidRPr="00BA5222" w:rsidRDefault="00863DF5" w:rsidP="00BA5222">
      <w:pPr>
        <w:jc w:val="center"/>
        <w:rPr>
          <w:rFonts w:ascii="Times New Roman" w:hAnsi="Times New Roman" w:cs="Times New Roman"/>
          <w:b/>
          <w:bCs/>
          <w:sz w:val="24"/>
          <w:szCs w:val="24"/>
          <w:u w:val="single"/>
        </w:rPr>
      </w:pPr>
      <w:r w:rsidRPr="00BA5222">
        <w:rPr>
          <w:rFonts w:ascii="Times New Roman" w:hAnsi="Times New Roman" w:cs="Times New Roman"/>
          <w:b/>
          <w:bCs/>
          <w:sz w:val="24"/>
          <w:szCs w:val="24"/>
          <w:u w:val="single"/>
        </w:rPr>
        <w:lastRenderedPageBreak/>
        <w:t>Chapter 5: A Delphi study</w:t>
      </w:r>
      <w:r w:rsidR="00AD3734" w:rsidRPr="00BA5222">
        <w:rPr>
          <w:rFonts w:ascii="Times New Roman" w:hAnsi="Times New Roman" w:cs="Times New Roman"/>
          <w:b/>
          <w:bCs/>
          <w:sz w:val="24"/>
          <w:szCs w:val="24"/>
          <w:u w:val="single"/>
        </w:rPr>
        <w:t xml:space="preserve"> to triangulate the findings from the qualitative interviews in </w:t>
      </w:r>
      <w:r w:rsidR="00621BC3" w:rsidRPr="00BA5222">
        <w:rPr>
          <w:rFonts w:ascii="Times New Roman" w:hAnsi="Times New Roman" w:cs="Times New Roman"/>
          <w:b/>
          <w:bCs/>
          <w:sz w:val="24"/>
          <w:szCs w:val="24"/>
          <w:u w:val="single"/>
        </w:rPr>
        <w:t>assessing diagnostic competence</w:t>
      </w:r>
    </w:p>
    <w:p w14:paraId="75632922" w14:textId="77777777" w:rsidR="00A20009" w:rsidRPr="006F3B00" w:rsidRDefault="00A20009" w:rsidP="00A20009">
      <w:pPr>
        <w:rPr>
          <w:rFonts w:ascii="Times New Roman" w:hAnsi="Times New Roman" w:cs="Times New Roman"/>
          <w:sz w:val="24"/>
          <w:szCs w:val="24"/>
        </w:rPr>
      </w:pPr>
    </w:p>
    <w:p w14:paraId="782DF17D" w14:textId="77777777" w:rsidR="00863DF5" w:rsidRPr="006F3B00" w:rsidRDefault="00D7231E" w:rsidP="00D7231E">
      <w:pPr>
        <w:pStyle w:val="Heading2"/>
        <w:rPr>
          <w:rFonts w:ascii="Times New Roman" w:hAnsi="Times New Roman" w:cs="Times New Roman"/>
          <w:color w:val="auto"/>
          <w:sz w:val="24"/>
          <w:szCs w:val="24"/>
        </w:rPr>
      </w:pPr>
      <w:bookmarkStart w:id="100" w:name="_Toc23243829"/>
      <w:r w:rsidRPr="006F3B00">
        <w:rPr>
          <w:rFonts w:ascii="Times New Roman" w:hAnsi="Times New Roman" w:cs="Times New Roman"/>
          <w:color w:val="auto"/>
          <w:sz w:val="24"/>
          <w:szCs w:val="24"/>
        </w:rPr>
        <w:t xml:space="preserve">5.1 </w:t>
      </w:r>
      <w:r w:rsidR="00863DF5" w:rsidRPr="006F3B00">
        <w:rPr>
          <w:rFonts w:ascii="Times New Roman" w:hAnsi="Times New Roman" w:cs="Times New Roman"/>
          <w:color w:val="auto"/>
          <w:sz w:val="24"/>
          <w:szCs w:val="24"/>
        </w:rPr>
        <w:t>Background</w:t>
      </w:r>
      <w:bookmarkEnd w:id="100"/>
    </w:p>
    <w:p w14:paraId="1596373B" w14:textId="77777777" w:rsidR="00D7231E" w:rsidRPr="006F3B00" w:rsidRDefault="00D7231E" w:rsidP="00D7231E">
      <w:pPr>
        <w:rPr>
          <w:rFonts w:ascii="Times New Roman" w:hAnsi="Times New Roman" w:cs="Times New Roman"/>
          <w:sz w:val="24"/>
          <w:szCs w:val="24"/>
          <w:lang w:val="en-GB"/>
        </w:rPr>
      </w:pPr>
    </w:p>
    <w:p w14:paraId="3ED19EC9" w14:textId="2F6B852F" w:rsidR="00AD3734" w:rsidRDefault="00AD3734" w:rsidP="00863DF5">
      <w:pPr>
        <w:spacing w:after="0" w:line="480" w:lineRule="auto"/>
        <w:rPr>
          <w:rFonts w:ascii="Times New Roman" w:hAnsi="Times New Roman" w:cs="Times New Roman"/>
          <w:sz w:val="24"/>
          <w:szCs w:val="24"/>
        </w:rPr>
      </w:pPr>
      <w:r>
        <w:rPr>
          <w:rFonts w:ascii="Times New Roman" w:hAnsi="Times New Roman" w:cs="Times New Roman"/>
          <w:sz w:val="24"/>
          <w:szCs w:val="24"/>
        </w:rPr>
        <w:t>One of the main objectives of this chapter is to determine the importance of the cues identified in the qualitative interviews</w:t>
      </w:r>
      <w:r w:rsidR="00926E09">
        <w:rPr>
          <w:rFonts w:ascii="Times New Roman" w:hAnsi="Times New Roman" w:cs="Times New Roman"/>
          <w:sz w:val="24"/>
          <w:szCs w:val="24"/>
        </w:rPr>
        <w:t>,</w:t>
      </w:r>
      <w:r w:rsidR="006E4A82">
        <w:rPr>
          <w:rFonts w:ascii="Times New Roman" w:hAnsi="Times New Roman" w:cs="Times New Roman"/>
          <w:sz w:val="24"/>
          <w:szCs w:val="24"/>
        </w:rPr>
        <w:t xml:space="preserve"> in assessing diagnostic competence</w:t>
      </w:r>
      <w:r>
        <w:rPr>
          <w:rFonts w:ascii="Times New Roman" w:hAnsi="Times New Roman" w:cs="Times New Roman"/>
          <w:sz w:val="24"/>
          <w:szCs w:val="24"/>
        </w:rPr>
        <w:t xml:space="preserve">. This will then satisfy the last </w:t>
      </w:r>
      <w:r w:rsidR="00AD0EA8">
        <w:rPr>
          <w:rFonts w:ascii="Times New Roman" w:hAnsi="Times New Roman" w:cs="Times New Roman"/>
          <w:sz w:val="24"/>
          <w:szCs w:val="24"/>
        </w:rPr>
        <w:t>four</w:t>
      </w:r>
      <w:r>
        <w:rPr>
          <w:rFonts w:ascii="Times New Roman" w:hAnsi="Times New Roman" w:cs="Times New Roman"/>
          <w:sz w:val="24"/>
          <w:szCs w:val="24"/>
        </w:rPr>
        <w:t xml:space="preserve"> stages in Cooksey’s theoretical framework</w:t>
      </w:r>
      <w:r w:rsidR="00C22352">
        <w:rPr>
          <w:rFonts w:ascii="Times New Roman" w:hAnsi="Times New Roman" w:cs="Times New Roman"/>
          <w:sz w:val="24"/>
          <w:szCs w:val="24"/>
        </w:rPr>
        <w:t xml:space="preserve"> </w:t>
      </w:r>
      <w:r w:rsidR="00DB0BC8">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{"citationItems":[{"id":"ITEM-1","itemData":{"author":[{"dropping-particle":"","family":"Cooksey","given":"RW","non-dropping-particle":"","parse-names":false,"suffix":""}],"id":"ITEM-1","issued":{"date-parts":[["1996"]]},"publisher":"Academic Press","publisher-place":"London","title":"Judgement Analysis: Theory, Methods and Applications.","type":"book"},"uris":["http://www.mendeley.com/documents/?uuid=e915a014-f36e-4028-8ee5-630489d36ed9"]}],"mendeley":{"formattedCitation":"(R. Cooksey, 1996)","plainTextFormattedCitation":"(R. Cooksey, 1996)","previouslyFormattedCitation":"(R. Cooksey 1996)"},"properties":{"noteIndex":0},"schema":"https://github.com/citation-style-language/schema/raw/master/csl-citation.json"}</w:instrText>
      </w:r>
      <w:r w:rsidR="00DB0BC8">
        <w:rPr>
          <w:rFonts w:ascii="Times New Roman" w:hAnsi="Times New Roman" w:cs="Times New Roman"/>
          <w:sz w:val="24"/>
          <w:szCs w:val="24"/>
        </w:rPr>
        <w:fldChar w:fldCharType="separate"/>
      </w:r>
      <w:r w:rsidR="007C4DD9">
        <w:rPr>
          <w:rFonts w:ascii="Times New Roman" w:hAnsi="Times New Roman" w:cs="Times New Roman"/>
          <w:noProof/>
          <w:sz w:val="24"/>
          <w:szCs w:val="24"/>
        </w:rPr>
        <w:t>(</w:t>
      </w:r>
      <w:r w:rsidR="00BE3B6C" w:rsidRPr="00BE3B6C">
        <w:rPr>
          <w:rFonts w:ascii="Times New Roman" w:hAnsi="Times New Roman" w:cs="Times New Roman"/>
          <w:noProof/>
          <w:sz w:val="24"/>
          <w:szCs w:val="24"/>
        </w:rPr>
        <w:t>1996</w:t>
      </w:r>
      <w:r w:rsidR="001F799B">
        <w:rPr>
          <w:rFonts w:ascii="Times New Roman" w:hAnsi="Times New Roman" w:cs="Times New Roman"/>
          <w:noProof/>
          <w:sz w:val="24"/>
          <w:szCs w:val="24"/>
        </w:rPr>
        <w:t>b</w:t>
      </w:r>
      <w:r w:rsidR="00BE3B6C" w:rsidRPr="00BE3B6C">
        <w:rPr>
          <w:rFonts w:ascii="Times New Roman" w:hAnsi="Times New Roman" w:cs="Times New Roman"/>
          <w:noProof/>
          <w:sz w:val="24"/>
          <w:szCs w:val="24"/>
        </w:rPr>
        <w:t>)</w:t>
      </w:r>
      <w:r w:rsidR="00DB0BC8">
        <w:rPr>
          <w:rFonts w:ascii="Times New Roman" w:hAnsi="Times New Roman" w:cs="Times New Roman"/>
          <w:sz w:val="24"/>
          <w:szCs w:val="24"/>
        </w:rPr>
        <w:fldChar w:fldCharType="end"/>
      </w:r>
      <w:r>
        <w:rPr>
          <w:rFonts w:ascii="Times New Roman" w:hAnsi="Times New Roman" w:cs="Times New Roman"/>
          <w:sz w:val="24"/>
          <w:szCs w:val="24"/>
        </w:rPr>
        <w:t>, which are shown below:</w:t>
      </w:r>
    </w:p>
    <w:p w14:paraId="6B014131" w14:textId="2E957946" w:rsidR="00AD0EA8" w:rsidRPr="00AD0EA8" w:rsidRDefault="00AD0EA8" w:rsidP="00863DF5">
      <w:pPr>
        <w:pStyle w:val="ListParagraph"/>
        <w:numPr>
          <w:ilvl w:val="0"/>
          <w:numId w:val="3"/>
        </w:num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Sample cue profiles</w:t>
      </w:r>
    </w:p>
    <w:p w14:paraId="0AC56262" w14:textId="77777777" w:rsidR="00AD3734" w:rsidRPr="00AD3734" w:rsidRDefault="00AD3734" w:rsidP="00AD3734">
      <w:pPr>
        <w:pStyle w:val="ListParagraph"/>
        <w:numPr>
          <w:ilvl w:val="0"/>
          <w:numId w:val="3"/>
        </w:numPr>
        <w:spacing w:after="0" w:line="480" w:lineRule="auto"/>
        <w:rPr>
          <w:rFonts w:ascii="Times New Roman" w:hAnsi="Times New Roman" w:cs="Times New Roman"/>
          <w:sz w:val="24"/>
          <w:szCs w:val="24"/>
        </w:rPr>
      </w:pPr>
      <w:r w:rsidRPr="00AD3734">
        <w:rPr>
          <w:rFonts w:ascii="Times New Roman" w:hAnsi="Times New Roman" w:cs="Times New Roman"/>
          <w:sz w:val="24"/>
          <w:szCs w:val="24"/>
        </w:rPr>
        <w:t>Sample participating judges</w:t>
      </w:r>
    </w:p>
    <w:p w14:paraId="515C0984" w14:textId="77777777" w:rsidR="00AD3734" w:rsidRPr="00AD3734" w:rsidRDefault="00AD3734" w:rsidP="00AD3734">
      <w:pPr>
        <w:pStyle w:val="ListParagraph"/>
        <w:numPr>
          <w:ilvl w:val="0"/>
          <w:numId w:val="3"/>
        </w:numPr>
        <w:spacing w:after="0" w:line="480" w:lineRule="auto"/>
        <w:rPr>
          <w:rFonts w:ascii="Times New Roman" w:hAnsi="Times New Roman" w:cs="Times New Roman"/>
          <w:sz w:val="24"/>
          <w:szCs w:val="24"/>
        </w:rPr>
      </w:pPr>
      <w:r w:rsidRPr="00AD3734">
        <w:rPr>
          <w:rFonts w:ascii="Times New Roman" w:hAnsi="Times New Roman" w:cs="Times New Roman"/>
          <w:sz w:val="24"/>
          <w:szCs w:val="24"/>
        </w:rPr>
        <w:t>Obtain judgements</w:t>
      </w:r>
    </w:p>
    <w:p w14:paraId="52E5E478" w14:textId="77777777" w:rsidR="00AD3734" w:rsidRPr="00AD3734" w:rsidRDefault="00AD3734" w:rsidP="00AD3734">
      <w:pPr>
        <w:pStyle w:val="ListParagraph"/>
        <w:numPr>
          <w:ilvl w:val="0"/>
          <w:numId w:val="3"/>
        </w:numPr>
        <w:spacing w:after="0" w:line="480" w:lineRule="auto"/>
        <w:rPr>
          <w:rFonts w:ascii="Times New Roman" w:hAnsi="Times New Roman" w:cs="Times New Roman"/>
          <w:sz w:val="24"/>
          <w:szCs w:val="24"/>
        </w:rPr>
      </w:pPr>
      <w:r w:rsidRPr="00AD3734">
        <w:rPr>
          <w:rFonts w:ascii="Times New Roman" w:hAnsi="Times New Roman" w:cs="Times New Roman"/>
          <w:sz w:val="24"/>
          <w:szCs w:val="24"/>
        </w:rPr>
        <w:t>Capture individual judgement policy</w:t>
      </w:r>
    </w:p>
    <w:p w14:paraId="587AAF6D" w14:textId="5FD9AB1D" w:rsidR="00AD3734" w:rsidRDefault="00AD3734" w:rsidP="00AD3734">
      <w:pPr>
        <w:spacing w:after="0" w:line="480" w:lineRule="auto"/>
        <w:rPr>
          <w:rFonts w:ascii="Times New Roman" w:hAnsi="Times New Roman" w:cs="Times New Roman"/>
          <w:sz w:val="24"/>
          <w:szCs w:val="24"/>
        </w:rPr>
      </w:pPr>
      <w:r w:rsidRPr="00AD3734">
        <w:rPr>
          <w:rFonts w:ascii="Times New Roman" w:hAnsi="Times New Roman" w:cs="Times New Roman"/>
          <w:sz w:val="24"/>
          <w:szCs w:val="24"/>
        </w:rPr>
        <w:t xml:space="preserve">Case vignettes are often </w:t>
      </w:r>
      <w:r w:rsidR="00F357D1" w:rsidRPr="00AD3734">
        <w:rPr>
          <w:rFonts w:ascii="Times New Roman" w:hAnsi="Times New Roman" w:cs="Times New Roman"/>
          <w:sz w:val="24"/>
          <w:szCs w:val="24"/>
        </w:rPr>
        <w:t>utilized</w:t>
      </w:r>
      <w:r w:rsidRPr="00AD3734">
        <w:rPr>
          <w:rFonts w:ascii="Times New Roman" w:hAnsi="Times New Roman" w:cs="Times New Roman"/>
          <w:sz w:val="24"/>
          <w:szCs w:val="24"/>
        </w:rPr>
        <w:t xml:space="preserve"> to tease out those cues that </w:t>
      </w:r>
      <w:proofErr w:type="gramStart"/>
      <w:r w:rsidRPr="00AD3734">
        <w:rPr>
          <w:rFonts w:ascii="Times New Roman" w:hAnsi="Times New Roman" w:cs="Times New Roman"/>
          <w:sz w:val="24"/>
          <w:szCs w:val="24"/>
        </w:rPr>
        <w:t>participants</w:t>
      </w:r>
      <w:proofErr w:type="gramEnd"/>
      <w:r w:rsidRPr="00AD3734">
        <w:rPr>
          <w:rFonts w:ascii="Times New Roman" w:hAnsi="Times New Roman" w:cs="Times New Roman"/>
          <w:sz w:val="24"/>
          <w:szCs w:val="24"/>
        </w:rPr>
        <w:t xml:space="preserve"> rate most highly when making decisions. These case vignettes, or scenarios, ask participants to make decisions on information provided. The scenarios must be realistic to work best, reflecting the sort of scenarios that would occur in the real world. By altering the scenarios and the information (or cues) given to the participants, regression analysis is used to determine the importance of the different cues. However, our data indicates that the judgement process and ecology relevant to diagnostic competence is extremel</w:t>
      </w:r>
      <w:r>
        <w:rPr>
          <w:rFonts w:ascii="Times New Roman" w:hAnsi="Times New Roman" w:cs="Times New Roman"/>
          <w:sz w:val="24"/>
          <w:szCs w:val="24"/>
        </w:rPr>
        <w:t xml:space="preserve">y complex and multi-faceted. </w:t>
      </w:r>
      <w:r w:rsidRPr="00AD3734">
        <w:rPr>
          <w:rFonts w:ascii="Times New Roman" w:hAnsi="Times New Roman" w:cs="Times New Roman"/>
          <w:sz w:val="24"/>
          <w:szCs w:val="24"/>
        </w:rPr>
        <w:t>The interviews also revealed that the judgement of diagnostic competence is longitudinal in nature and as such it is best assessed over time. Hence, the classical application of Cooksey’s framework would not be appropriate</w:t>
      </w:r>
      <w:r w:rsidR="006E4A82">
        <w:rPr>
          <w:rFonts w:ascii="Times New Roman" w:hAnsi="Times New Roman" w:cs="Times New Roman"/>
          <w:sz w:val="24"/>
          <w:szCs w:val="24"/>
        </w:rPr>
        <w:t xml:space="preserve"> for at least two reasons</w:t>
      </w:r>
      <w:r w:rsidRPr="00AD3734">
        <w:rPr>
          <w:rFonts w:ascii="Times New Roman" w:hAnsi="Times New Roman" w:cs="Times New Roman"/>
          <w:sz w:val="24"/>
          <w:szCs w:val="24"/>
        </w:rPr>
        <w:t xml:space="preserve">. Firstly, creating scenarios and designing cues that reflected the real judgement ecology would over-simplify the judgement task. Secondly, presenting </w:t>
      </w:r>
      <w:r w:rsidRPr="00AD3734">
        <w:rPr>
          <w:rFonts w:ascii="Times New Roman" w:hAnsi="Times New Roman" w:cs="Times New Roman"/>
          <w:sz w:val="24"/>
          <w:szCs w:val="24"/>
        </w:rPr>
        <w:lastRenderedPageBreak/>
        <w:t>consultants with scenarios to judge would effectively be snapshots in time and not reflect the true judgement ecology.</w:t>
      </w:r>
    </w:p>
    <w:p w14:paraId="75A8CEA6" w14:textId="77777777" w:rsidR="00AD3734" w:rsidRPr="00AD3734" w:rsidRDefault="00AD3734" w:rsidP="00AD3734">
      <w:pPr>
        <w:spacing w:after="0" w:line="480" w:lineRule="auto"/>
        <w:rPr>
          <w:rFonts w:ascii="Times New Roman" w:hAnsi="Times New Roman" w:cs="Times New Roman"/>
          <w:sz w:val="24"/>
          <w:szCs w:val="24"/>
        </w:rPr>
      </w:pPr>
    </w:p>
    <w:p w14:paraId="47475310" w14:textId="73DDD89E" w:rsidR="00AD3734" w:rsidRDefault="00AD3734" w:rsidP="00AD3734">
      <w:pPr>
        <w:spacing w:after="0" w:line="480" w:lineRule="auto"/>
        <w:rPr>
          <w:rFonts w:ascii="Times New Roman" w:hAnsi="Times New Roman" w:cs="Times New Roman"/>
          <w:sz w:val="24"/>
          <w:szCs w:val="24"/>
        </w:rPr>
      </w:pPr>
      <w:r>
        <w:rPr>
          <w:rFonts w:ascii="Times New Roman" w:hAnsi="Times New Roman" w:cs="Times New Roman"/>
          <w:sz w:val="24"/>
          <w:szCs w:val="24"/>
        </w:rPr>
        <w:t>However, there are several other ways to determine how individuals rate the importance of different cues, which broadly fit into the category of c</w:t>
      </w:r>
      <w:r w:rsidRPr="006F3B00">
        <w:rPr>
          <w:rFonts w:ascii="Times New Roman" w:hAnsi="Times New Roman" w:cs="Times New Roman"/>
          <w:sz w:val="24"/>
          <w:szCs w:val="24"/>
        </w:rPr>
        <w:t>onsensus methods</w:t>
      </w:r>
      <w:r>
        <w:rPr>
          <w:rFonts w:ascii="Times New Roman" w:hAnsi="Times New Roman" w:cs="Times New Roman"/>
          <w:sz w:val="24"/>
          <w:szCs w:val="24"/>
        </w:rPr>
        <w:t xml:space="preserve">. </w:t>
      </w:r>
      <w:r w:rsidRPr="006F3B00">
        <w:rPr>
          <w:rFonts w:ascii="Times New Roman" w:hAnsi="Times New Roman" w:cs="Times New Roman"/>
          <w:sz w:val="24"/>
          <w:szCs w:val="24"/>
        </w:rPr>
        <w:t xml:space="preserve">  </w:t>
      </w:r>
      <w:r w:rsidR="006E4A82">
        <w:rPr>
          <w:rFonts w:ascii="Times New Roman" w:hAnsi="Times New Roman" w:cs="Times New Roman"/>
          <w:sz w:val="24"/>
          <w:szCs w:val="24"/>
        </w:rPr>
        <w:t xml:space="preserve">In these </w:t>
      </w:r>
      <w:r w:rsidRPr="006F3B00">
        <w:rPr>
          <w:rFonts w:ascii="Times New Roman" w:hAnsi="Times New Roman" w:cs="Times New Roman"/>
          <w:sz w:val="24"/>
          <w:szCs w:val="24"/>
        </w:rPr>
        <w:t xml:space="preserve">a group of experts </w:t>
      </w:r>
      <w:r w:rsidR="006E4A82">
        <w:rPr>
          <w:rFonts w:ascii="Times New Roman" w:hAnsi="Times New Roman" w:cs="Times New Roman"/>
          <w:sz w:val="24"/>
          <w:szCs w:val="24"/>
        </w:rPr>
        <w:t xml:space="preserve">are utilized </w:t>
      </w:r>
      <w:r w:rsidRPr="006F3B00">
        <w:rPr>
          <w:rFonts w:ascii="Times New Roman" w:hAnsi="Times New Roman" w:cs="Times New Roman"/>
          <w:sz w:val="24"/>
          <w:szCs w:val="24"/>
        </w:rPr>
        <w:t>to measure and develop consensus on a particular topic or set of items.</w:t>
      </w:r>
      <w:r>
        <w:rPr>
          <w:rFonts w:ascii="Times New Roman" w:hAnsi="Times New Roman" w:cs="Times New Roman"/>
          <w:sz w:val="24"/>
          <w:szCs w:val="24"/>
        </w:rPr>
        <w:t xml:space="preserve"> The three </w:t>
      </w:r>
      <w:r w:rsidRPr="001F799B">
        <w:rPr>
          <w:rFonts w:ascii="Times New Roman" w:hAnsi="Times New Roman" w:cs="Times New Roman"/>
          <w:sz w:val="24"/>
          <w:szCs w:val="24"/>
        </w:rPr>
        <w:t xml:space="preserve">main methods are Delphi, the nominal group technique (NGT) and the RAND corporation/University of California Los Angeles appropriateness method (RAND/UCLA) </w:t>
      </w:r>
      <w:r w:rsidRPr="001F799B">
        <w:rPr>
          <w:rFonts w:ascii="Times New Roman" w:hAnsi="Times New Roman" w:cs="Times New Roman"/>
          <w:sz w:val="24"/>
          <w:szCs w:val="24"/>
        </w:rPr>
        <w:fldChar w:fldCharType="begin" w:fldLock="1"/>
      </w:r>
      <w:r w:rsidR="00BE3B6C" w:rsidRPr="001F799B">
        <w:rPr>
          <w:rFonts w:ascii="Times New Roman" w:hAnsi="Times New Roman" w:cs="Times New Roman"/>
          <w:sz w:val="24"/>
          <w:szCs w:val="24"/>
        </w:rPr>
        <w:instrText>ADDIN CSL_CITATION {"citationItems":[{"id":"ITEM-1","itemData":{"DOI":"10.1080/0142159X.2017.1245856","ISBN":"1466-187X (Electronic)\r0142-159X (Linking)","ISSN":"1466187X","PMID":"27841062","abstract":"Consensus group methods are widely used in research to identify and measure areas where incomplete evidence exists for decision-making. Despite their widespread use, these methods are often inconsistently used and reported. Using examples from the three most commonly used methods, the Delphi, Nominal Group and RAND/UCLA; this paper and associated Guide aim to describe these methods and to highlight common weaknesses in methodology and reporting. The paper out- lines a series of recommendations to assist researchers using consensus group methods in providing a comprehensive description and justification of the steps taken in their study.","author":[{"dropping-particle":"","family":"Humphrey-Murto","given":"Susan","non-dropping-particle":"","parse-names":false,"suffix":""},{"dropping-particle":"","family":"Varpio","given":"Lara","non-dropping-particle":"","parse-names":false,"suffix":""},{"dropping-particle":"","family":"Gonsalves","given":"Carol","non-dropping-particle":"","parse-names":false,"suffix":""},{"dropping-particle":"","family":"Wood","given":"Timothy J.","non-dropping-particle":"","parse-names":false,"suffix":""}],"container-title":"Medical Teacher","id":"ITEM-1","issue":"1","issued":{"date-parts":[["2017"]]},"page":"14-19","title":"Using consensus group methods such as Delphi and Nominal Group in medical education research*","type":"article-journal","volume":"39"},"uris":["http://www.mendeley.com/documents/?uuid=5f2102d1-ea3b-4f76-8fe9-c0e2487cfb8a"]}],"mendeley":{"formattedCitation":"(Humphrey-Murto &lt;i&gt;et al.&lt;/i&gt;, 2017)","plainTextFormattedCitation":"(Humphrey-Murto et al., 2017)","previouslyFormattedCitation":"(Humphrey-Murto et al. 2017)"},"properties":{"noteIndex":0},"schema":"https://github.com/citation-style-language/schema/raw/master/csl-citation.json"}</w:instrText>
      </w:r>
      <w:r w:rsidRPr="001F799B">
        <w:rPr>
          <w:rFonts w:ascii="Times New Roman" w:hAnsi="Times New Roman" w:cs="Times New Roman"/>
          <w:sz w:val="24"/>
          <w:szCs w:val="24"/>
        </w:rPr>
        <w:fldChar w:fldCharType="separate"/>
      </w:r>
      <w:r w:rsidR="00BE3B6C" w:rsidRPr="001F799B">
        <w:rPr>
          <w:rFonts w:ascii="Times New Roman" w:hAnsi="Times New Roman" w:cs="Times New Roman"/>
          <w:noProof/>
          <w:sz w:val="24"/>
          <w:szCs w:val="24"/>
        </w:rPr>
        <w:t>(Humphrey-Murto et al. 2017)</w:t>
      </w:r>
      <w:r w:rsidRPr="001F799B">
        <w:rPr>
          <w:rFonts w:ascii="Times New Roman" w:hAnsi="Times New Roman" w:cs="Times New Roman"/>
          <w:sz w:val="24"/>
          <w:szCs w:val="24"/>
        </w:rPr>
        <w:fldChar w:fldCharType="end"/>
      </w:r>
      <w:r w:rsidRPr="001F799B">
        <w:rPr>
          <w:rFonts w:ascii="Times New Roman" w:hAnsi="Times New Roman" w:cs="Times New Roman"/>
          <w:sz w:val="24"/>
          <w:szCs w:val="24"/>
        </w:rPr>
        <w:t>.</w:t>
      </w:r>
    </w:p>
    <w:p w14:paraId="20CC0E60" w14:textId="77777777" w:rsidR="001F799B" w:rsidRPr="001F799B" w:rsidRDefault="001F799B" w:rsidP="00AD3734">
      <w:pPr>
        <w:spacing w:after="0" w:line="480" w:lineRule="auto"/>
        <w:rPr>
          <w:rFonts w:ascii="Times New Roman" w:hAnsi="Times New Roman" w:cs="Times New Roman"/>
          <w:sz w:val="24"/>
          <w:szCs w:val="24"/>
        </w:rPr>
      </w:pPr>
    </w:p>
    <w:p w14:paraId="164A78B6" w14:textId="2D5BACF1" w:rsidR="00AD3734" w:rsidRPr="006F3B00" w:rsidRDefault="00AD3734" w:rsidP="00AD3734">
      <w:pPr>
        <w:spacing w:after="0" w:line="480" w:lineRule="auto"/>
        <w:rPr>
          <w:rFonts w:ascii="Times New Roman" w:hAnsi="Times New Roman" w:cs="Times New Roman"/>
          <w:sz w:val="24"/>
          <w:szCs w:val="24"/>
        </w:rPr>
      </w:pPr>
      <w:r w:rsidRPr="001F799B">
        <w:rPr>
          <w:rFonts w:ascii="Times New Roman" w:hAnsi="Times New Roman" w:cs="Times New Roman"/>
          <w:sz w:val="24"/>
          <w:szCs w:val="24"/>
        </w:rPr>
        <w:t>The Delphi method was originally used in the 1950s by the RAND Air Force Corporation in America</w:t>
      </w:r>
      <w:r w:rsidR="006E4A82" w:rsidRPr="001F799B">
        <w:rPr>
          <w:rFonts w:ascii="Times New Roman" w:hAnsi="Times New Roman" w:cs="Times New Roman"/>
          <w:sz w:val="24"/>
          <w:szCs w:val="24"/>
        </w:rPr>
        <w:t xml:space="preserve"> </w:t>
      </w:r>
      <w:r w:rsidRPr="001F799B">
        <w:rPr>
          <w:rFonts w:ascii="Times New Roman" w:hAnsi="Times New Roman" w:cs="Times New Roman"/>
          <w:sz w:val="24"/>
          <w:szCs w:val="24"/>
        </w:rPr>
        <w:fldChar w:fldCharType="begin" w:fldLock="1"/>
      </w:r>
      <w:r w:rsidR="00BE3B6C" w:rsidRPr="001F799B">
        <w:rPr>
          <w:rFonts w:ascii="Times New Roman" w:hAnsi="Times New Roman" w:cs="Times New Roman"/>
          <w:sz w:val="24"/>
          <w:szCs w:val="24"/>
        </w:rPr>
        <w:instrText>ADDIN CSL_CITATION {"citationItems":[{"id":"ITEM-1","itemData":{"DOI":"10.3310/hta2030","ISBN":"1366-5278 (Print)\\r1366-5278","ISSN":"1366-5278","PMID":"9561895","abstract":"Background Consensus methods are increasingly being used to develop\\nclinical guidelines which define key aspects of the quality of health\\ncare, particularly appropriate indications for interventions. This\\nreview is restricted to formal consensus methods in which the structure,\\nprocess and output are explicit from the outset. Three main approaches\\nhave been used in the health field: the Delphi method, the nominal\\ngroup technique (NGT) and the consensus development conference.\\n\\nObjectives * To identify the factors that affect the decisions that\\nemerge from consensus development methods. * To assess the implications\\nof the findings for the development of clinical guidelines. * To\\nrecommend further methodological research for improving the use of\\nconsensus development methods as a basis for guideline production.\\n\\nMethods Data sources The majority of the literature reviewed was identified\\nthrough searches of Medline, PsychLIT and the Social Science Citation\\nIndex and from reference lists in retrieved articles.\\n\\nStudy selection A matrix of 15 cells was developed from three types\\nof activity (planning, individual judgement, group interaction) and\\nfive components (questions, participants, information, method of\\nstructuring the interaction, method of synthesising individual judgements)\\ninvolved in consensus development methods. Six cells were selected\\nfor detailed review on the basis of three criteria: (1) importance\\nto consensus decision-making in the health sector; (2) the amount\\nand quality of the literature available; (3) the potential for offering\\npractical guidance. For each of the six cells the review drew on\\nthe results of the principal general search. For some cells, further\\nfocused searches were undertaken. In all, 177 primary research and\\nreview articles were selected.\\n\\nData extraction and synthesis If substantial literature was available\\nfrom the health sector, we paid little or no attention to evidence\\nfrom other sectors. If few or no studies had been conducted in the\\nhealth sector, we sought relevant evidence from other fields. We\\nused a narrative approach, sometimes based around tables of results.\\nThe extent to which research support exists for any conclusion is\\nindicated, although these should not necessarily be considered as\\na hierarchy: A = clear research evidence; B = limited supporting\\nresearch evidence; C = experienced common-sense judgement.\\n\\nResults and conclusions Setting the task or question to be…","author":[{"dropping-particle":"","family":"Murphy","given":"MK K","non-dropping-particle":"","parse-names":false,"suffix":""},{"dropping-particle":"","family":"Black","given":"NA A","non-dropping-particle":"","parse-names":false,"suffix":""},{"dropping-particle":"","family":"Lamping","given":"DL L","non-dropping-particle":"","parse-names":false,"suffix":""},{"dropping-particle":"","family":"McKee","given":"C M","non-dropping-particle":"","parse-names":false,"suffix":""},{"dropping-particle":"","family":"Sanderson","given":"CF F","non-dropping-particle":"","parse-names":false,"suffix":""},{"dropping-particle":"","family":"Askham","given":"J","non-dropping-particle":"","parse-names":false,"suffix":""},{"dropping-particle":"","family":"Marteau","given":"T","non-dropping-particle":"","parse-names":false,"suffix":""}],"container-title":"Health technology assessment (Winchester, England)","id":"ITEM-1","issue":"3","issued":{"date-parts":[["1998"]]},"page":"i-iv, 1-88","title":"Consensus development methods, and their use in clinical guideline development.","type":"article-journal","volume":"2"},"uris":["http://www.mendeley.com/documents/?uuid=93d54318-beb4-4b86-9731-a0364b9a1398"]}],"mendeley":{"formattedCitation":"(M. K. Murphy &lt;i&gt;et al.&lt;/i&gt;, 1998)","plainTextFormattedCitation":"(M. K. Murphy et al., 1998)","previouslyFormattedCitation":"(M. K. Murphy et al. 1998)"},"properties":{"noteIndex":0},"schema":"https://github.com/citation-style-language/schema/raw/master/csl-citation.json"}</w:instrText>
      </w:r>
      <w:r w:rsidRPr="001F799B">
        <w:rPr>
          <w:rFonts w:ascii="Times New Roman" w:hAnsi="Times New Roman" w:cs="Times New Roman"/>
          <w:sz w:val="24"/>
          <w:szCs w:val="24"/>
        </w:rPr>
        <w:fldChar w:fldCharType="separate"/>
      </w:r>
      <w:r w:rsidR="001F799B">
        <w:rPr>
          <w:rFonts w:ascii="Times New Roman" w:hAnsi="Times New Roman" w:cs="Times New Roman"/>
          <w:noProof/>
          <w:sz w:val="24"/>
          <w:szCs w:val="24"/>
        </w:rPr>
        <w:t>(</w:t>
      </w:r>
      <w:r w:rsidR="00BE3B6C" w:rsidRPr="001F799B">
        <w:rPr>
          <w:rFonts w:ascii="Times New Roman" w:hAnsi="Times New Roman" w:cs="Times New Roman"/>
          <w:noProof/>
          <w:sz w:val="24"/>
          <w:szCs w:val="24"/>
        </w:rPr>
        <w:t>Murphy et al. 1998)</w:t>
      </w:r>
      <w:r w:rsidRPr="001F799B">
        <w:rPr>
          <w:rFonts w:ascii="Times New Roman" w:hAnsi="Times New Roman" w:cs="Times New Roman"/>
          <w:sz w:val="24"/>
          <w:szCs w:val="24"/>
        </w:rPr>
        <w:fldChar w:fldCharType="end"/>
      </w:r>
      <w:r w:rsidRPr="001F799B">
        <w:rPr>
          <w:rFonts w:ascii="Times New Roman" w:hAnsi="Times New Roman" w:cs="Times New Roman"/>
          <w:sz w:val="24"/>
          <w:szCs w:val="24"/>
        </w:rPr>
        <w:t>. Within the field of medical education, it is the most commonly selected consensus group method, accounting for approximately 75% of papers</w:t>
      </w:r>
      <w:r w:rsidR="006E4A82" w:rsidRPr="001F799B">
        <w:rPr>
          <w:rFonts w:ascii="Times New Roman" w:hAnsi="Times New Roman" w:cs="Times New Roman"/>
          <w:sz w:val="24"/>
          <w:szCs w:val="24"/>
        </w:rPr>
        <w:t xml:space="preserve"> </w:t>
      </w:r>
      <w:r w:rsidRPr="001F799B">
        <w:rPr>
          <w:rFonts w:ascii="Times New Roman" w:hAnsi="Times New Roman" w:cs="Times New Roman"/>
          <w:sz w:val="24"/>
          <w:szCs w:val="24"/>
        </w:rPr>
        <w:fldChar w:fldCharType="begin" w:fldLock="1"/>
      </w:r>
      <w:r w:rsidR="00BE3B6C" w:rsidRPr="001F799B">
        <w:rPr>
          <w:rFonts w:ascii="Times New Roman" w:hAnsi="Times New Roman" w:cs="Times New Roman"/>
          <w:sz w:val="24"/>
          <w:szCs w:val="24"/>
        </w:rPr>
        <w:instrText>ADDIN CSL_CITATION {"citationItems":[{"id":"ITEM-1","itemData":{"DOI":"10.1080/0142159X.2017.1245856","ISBN":"1466-187X (Electronic)\r0142-159X (Linking)","ISSN":"1466187X","PMID":"27841062","abstract":"Consensus group methods are widely used in research to identify and measure areas where incomplete evidence exists for decision-making. Despite their widespread use, these methods are often inconsistently used and reported. Using examples from the three most commonly used methods, the Delphi, Nominal Group and RAND/UCLA; this paper and associated Guide aim to describe these methods and to highlight common weaknesses in methodology and reporting. The paper out- lines a series of recommendations to assist researchers using consensus group methods in providing a comprehensive description and justification of the steps taken in their study.","author":[{"dropping-particle":"","family":"Humphrey-Murto","given":"Susan","non-dropping-particle":"","parse-names":false,"suffix":""},{"dropping-particle":"","family":"Varpio","given":"Lara","non-dropping-particle":"","parse-names":false,"suffix":""},{"dropping-particle":"","family":"Gonsalves","given":"Carol","non-dropping-particle":"","parse-names":false,"suffix":""},{"dropping-particle":"","family":"Wood","given":"Timothy J.","non-dropping-particle":"","parse-names":false,"suffix":""}],"container-title":"Medical Teacher","id":"ITEM-1","issue":"1","issued":{"date-parts":[["2017"]]},"page":"14-19","title":"Using consensus group methods such as Delphi and Nominal Group in medical education research*","type":"article-journal","volume":"39"},"uris":["http://www.mendeley.com/documents/?uuid=5f2102d1-ea3b-4f76-8fe9-c0e2487cfb8a"]}],"mendeley":{"formattedCitation":"(Humphrey-Murto &lt;i&gt;et al.&lt;/i&gt;, 2017)","plainTextFormattedCitation":"(Humphrey-Murto et al., 2017)","previouslyFormattedCitation":"(Humphrey-Murto et al. 2017)"},"properties":{"noteIndex":0},"schema":"https://github.com/citation-style-language/schema/raw/master/csl-citation.json"}</w:instrText>
      </w:r>
      <w:r w:rsidRPr="001F799B">
        <w:rPr>
          <w:rFonts w:ascii="Times New Roman" w:hAnsi="Times New Roman" w:cs="Times New Roman"/>
          <w:sz w:val="24"/>
          <w:szCs w:val="24"/>
        </w:rPr>
        <w:fldChar w:fldCharType="separate"/>
      </w:r>
      <w:r w:rsidR="00BE3B6C" w:rsidRPr="001F799B">
        <w:rPr>
          <w:rFonts w:ascii="Times New Roman" w:hAnsi="Times New Roman" w:cs="Times New Roman"/>
          <w:noProof/>
          <w:sz w:val="24"/>
          <w:szCs w:val="24"/>
        </w:rPr>
        <w:t>(Humphrey-Murto et al. 2017)</w:t>
      </w:r>
      <w:r w:rsidRPr="001F799B">
        <w:rPr>
          <w:rFonts w:ascii="Times New Roman" w:hAnsi="Times New Roman" w:cs="Times New Roman"/>
          <w:sz w:val="24"/>
          <w:szCs w:val="24"/>
        </w:rPr>
        <w:fldChar w:fldCharType="end"/>
      </w:r>
      <w:r w:rsidRPr="001F799B">
        <w:rPr>
          <w:rFonts w:ascii="Times New Roman" w:hAnsi="Times New Roman" w:cs="Times New Roman"/>
          <w:sz w:val="24"/>
          <w:szCs w:val="24"/>
        </w:rPr>
        <w:t xml:space="preserve">. A Delphi study involves using a panel of experts in a given field to come to an agreement on a particular topic or set of items. The participants are presented with information on the topic and asked to determine, individually, how they rate each item (using a Likert-type </w:t>
      </w:r>
      <w:r w:rsidR="006E4A82" w:rsidRPr="001F799B">
        <w:rPr>
          <w:rFonts w:ascii="Times New Roman" w:hAnsi="Times New Roman" w:cs="Times New Roman"/>
          <w:sz w:val="24"/>
          <w:szCs w:val="24"/>
        </w:rPr>
        <w:t>scale</w:t>
      </w:r>
      <w:r w:rsidRPr="001F799B">
        <w:rPr>
          <w:rFonts w:ascii="Times New Roman" w:hAnsi="Times New Roman" w:cs="Times New Roman"/>
          <w:sz w:val="24"/>
          <w:szCs w:val="24"/>
        </w:rPr>
        <w:t xml:space="preserve"> or similar scoring method). Participants are also encouraged to provide feedback on items so they can be refined in future rounds of the Delphi if needed. The researcher collates the responses to the items and is able to see which items participants rated highly (or agreed on) and which ones did not reach agreement and need refinement. In subsequent rounds, the participants are provided with data from this previous round where they are able to continue to refine and perhaps reach agreement on the remaining items.  Delphi has several integral features: anonymity, iteration, controlled feedback, statistical group response and structured interaction</w:t>
      </w:r>
      <w:r w:rsidR="00A330B5" w:rsidRPr="001F799B">
        <w:rPr>
          <w:rFonts w:ascii="Times New Roman" w:hAnsi="Times New Roman" w:cs="Times New Roman"/>
          <w:sz w:val="24"/>
          <w:szCs w:val="24"/>
        </w:rPr>
        <w:t xml:space="preserve"> </w:t>
      </w:r>
      <w:r w:rsidRPr="001F799B">
        <w:rPr>
          <w:rFonts w:ascii="Times New Roman" w:hAnsi="Times New Roman" w:cs="Times New Roman"/>
          <w:sz w:val="24"/>
          <w:szCs w:val="24"/>
        </w:rPr>
        <w:fldChar w:fldCharType="begin" w:fldLock="1"/>
      </w:r>
      <w:r w:rsidR="00BE3B6C" w:rsidRPr="001F799B">
        <w:rPr>
          <w:rFonts w:ascii="Times New Roman" w:hAnsi="Times New Roman" w:cs="Times New Roman"/>
          <w:sz w:val="24"/>
          <w:szCs w:val="24"/>
        </w:rPr>
        <w:instrText>ADDIN CSL_CITATION {"citationItems":[{"id":"ITEM-1","itemData":{"DOI":"10.1136/bmj.311.7001.376","ISBN":"0959-8138","ISSN":"14685833","PMID":"7640549","abstract":"Health providers face the problem of trying to make decisions in situations where there is insufficient information and also where there is an overload of (often contradictory) information. Statistical methods such as meta-analysis have been developed to summarise and to resolve inconsistencies in study findings--where information is available in an appropriate form. Consensus methods provide another means of synthesising information, but are liable to use a wider range of information than is common in statistical methods, and where published information is inadequate or non-existent these methods provide a means of harnessing the insights of appropriate experts to enable decisions to be made. Two consensus methods commonly adopted in medical, nursing, and health services research--the Delphi process and the nominal group technique (also known as the expert panel)--are described, together with the most appropriate situations for using them; an outline of the process involved in undertaking a study using each method is supplemented by illustrations of the authors' work. Key methodological issues in using the methods are discussed, along with the distinct contribution of consensus methods as aids to decision making, both in clinical practice and in health service development.","author":[{"dropping-particle":"","family":"Jones","given":"Jeremy","non-dropping-particle":"","parse-names":false,"suffix":""},{"dropping-particle":"","family":"Hunter","given":"Duncan","non-dropping-particle":"","parse-names":false,"suffix":""}],"container-title":"BMJ","id":"ITEM-1","issue":"7001","issued":{"date-parts":[["1995"]]},"page":"376","title":"Qualitative Research: Consensus methods for medical and health services research","type":"article-journal","volume":"311"},"uris":["http://www.mendeley.com/documents/?uuid=3f80e8a8-06a4-48be-b3c1-f460b34ef732"]},{"id":"ITEM-2","itemData":{"DOI":"10.3310/hta2030","ISBN":"1366-5278 (Print)\\r1366-5278","ISSN":"1366-5278","PMID":"9561895","abstract":"Background Consensus methods are increasingly being used to develop\\nclinical guidelines which define key aspects of the quality of health\\ncare, particularly appropriate indications for interventions. This\\nreview is restricted to formal consensus methods in which the structure,\\nprocess and output are explicit from the outset. Three main approaches\\nhave been used in the health field: the Delphi method, the nominal\\ngroup technique (NGT) and the consensus development conference.\\n\\nObjectives * To identify the factors that affect the decisions that\\nemerge from consensus development methods. * To assess the implications\\nof the findings for the development of clinical guidelines. * To\\nrecommend further methodological research for improving the use of\\nconsensus development methods as a basis for guideline production.\\n\\nMethods Data sources The majority of the literature reviewed was identified\\nthrough searches of Medline, PsychLIT and the Social Science Citation\\nIndex and from reference lists in retrieved articles.\\n\\nStudy selection A matrix of 15 cells was developed from three types\\nof activity (planning, individual judgement, group interaction) and\\nfive components (questions, participants, information, method of\\nstructuring the interaction, method of synthesising individual judgements)\\ninvolved in consensus development methods. Six cells were selected\\nfor detailed review on the basis of three criteria: (1) importance\\nto consensus decision-making in the health sector; (2) the amount\\nand quality of the literature available; (3) the potential for offering\\npractical guidance. For each of the six cells the review drew on\\nthe results of the principal general search. For some cells, further\\nfocused searches were undertaken. In all, 177 primary research and\\nreview articles were selected.\\n\\nData extraction and synthesis If substantial literature was available\\nfrom the health sector, we paid little or no attention to evidence\\nfrom other sectors. If few or no studies had been conducted in the\\nhealth sector, we sought relevant evidence from other fields. We\\nused a narrative approach, sometimes based around tables of results.\\nThe extent to which research support exists for any conclusion is\\nindicated, although these should not necessarily be considered as\\na hierarchy: A = clear research evidence; B = limited supporting\\nresearch evidence; C = experienced common-sense judgement.\\n\\nResults and conclusions Setting the task or question to be…","author":[{"dropping-particle":"","family":"Murphy","given":"MK K","non-dropping-particle":"","parse-names":false,"suffix":""},{"dropping-particle":"","family":"Black","given":"NA A","non-dropping-particle":"","parse-names":false,"suffix":""},{"dropping-particle":"","family":"Lamping","given":"DL L","non-dropping-particle":"","parse-names":false,"suffix":""},{"dropping-particle":"","family":"McKee","given":"C M","non-dropping-particle":"","parse-names":false,"suffix":""},{"dropping-particle":"","family":"Sanderson","given":"CF F","non-dropping-particle":"","parse-names":false,"suffix":""},{"dropping-particle":"","family":"Askham","given":"J","non-dropping-particle":"","parse-names":false,"suffix":""},{"dropping-particle":"","family":"Marteau","given":"T","non-dropping-particle":"","parse-names":false,"suffix":""}],"container-title":"Health technology assessment (Winchester, England)","id":"ITEM-2","issue":"3","issued":{"date-parts":[["1998"]]},"page":"i-iv, 1-88","title":"Consensus development methods, and their use in clinical guideline development.","type":"article-journal","volume":"2"},"uris":["http://www.mendeley.com/documents/?uuid=93d54318-beb4-4b86-9731-a0364b9a1398"]}],"mendeley":{"formattedCitation":"(Jones and Hunter, 1995; M. K. Murphy &lt;i&gt;et al.&lt;/i&gt;, 1998)","plainTextFormattedCitation":"(Jones and Hunter, 1995; M. K. Murphy et al., 1998)","previouslyFormattedCitation":"(J. Jones and Hunter 1995; M. K. Murphy et al. 1998)"},"properties":{"noteIndex":0},"schema":"https://github.com/citation-style-language/schema/raw/master/csl-citation.json"}</w:instrText>
      </w:r>
      <w:r w:rsidRPr="001F799B">
        <w:rPr>
          <w:rFonts w:ascii="Times New Roman" w:hAnsi="Times New Roman" w:cs="Times New Roman"/>
          <w:sz w:val="24"/>
          <w:szCs w:val="24"/>
        </w:rPr>
        <w:fldChar w:fldCharType="separate"/>
      </w:r>
      <w:r w:rsidR="001F799B">
        <w:rPr>
          <w:rFonts w:ascii="Times New Roman" w:hAnsi="Times New Roman" w:cs="Times New Roman"/>
          <w:noProof/>
          <w:sz w:val="24"/>
          <w:szCs w:val="24"/>
        </w:rPr>
        <w:t xml:space="preserve">(Jones and Hunter 1995; </w:t>
      </w:r>
      <w:r w:rsidR="00BE3B6C" w:rsidRPr="001F799B">
        <w:rPr>
          <w:rFonts w:ascii="Times New Roman" w:hAnsi="Times New Roman" w:cs="Times New Roman"/>
          <w:noProof/>
          <w:sz w:val="24"/>
          <w:szCs w:val="24"/>
        </w:rPr>
        <w:t>Murphy et al. 1998</w:t>
      </w:r>
      <w:r w:rsidR="001F799B">
        <w:rPr>
          <w:rFonts w:ascii="Times New Roman" w:hAnsi="Times New Roman" w:cs="Times New Roman"/>
          <w:noProof/>
          <w:sz w:val="24"/>
          <w:szCs w:val="24"/>
        </w:rPr>
        <w:t>b</w:t>
      </w:r>
      <w:r w:rsidR="00BE3B6C" w:rsidRPr="001F799B">
        <w:rPr>
          <w:rFonts w:ascii="Times New Roman" w:hAnsi="Times New Roman" w:cs="Times New Roman"/>
          <w:noProof/>
          <w:sz w:val="24"/>
          <w:szCs w:val="24"/>
        </w:rPr>
        <w:t>)</w:t>
      </w:r>
      <w:r w:rsidRPr="001F799B">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4205A72C" w14:textId="77777777" w:rsidR="00AD3734" w:rsidRDefault="00AD3734" w:rsidP="00AD3734">
      <w:pPr>
        <w:spacing w:after="0" w:line="480" w:lineRule="auto"/>
        <w:rPr>
          <w:rFonts w:ascii="Times New Roman" w:hAnsi="Times New Roman" w:cs="Times New Roman"/>
          <w:sz w:val="24"/>
          <w:szCs w:val="24"/>
        </w:rPr>
      </w:pPr>
    </w:p>
    <w:p w14:paraId="6DEB20A4" w14:textId="065EDE00" w:rsidR="00AD3734" w:rsidRPr="006F3B00" w:rsidRDefault="00AD3734" w:rsidP="00AD3734">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NGT is a structured interaction between individuals conducted face to face.</w:t>
      </w:r>
      <w:r w:rsidR="00DB0BC8">
        <w:rPr>
          <w:rFonts w:ascii="Times New Roman" w:hAnsi="Times New Roman" w:cs="Times New Roman"/>
          <w:sz w:val="24"/>
          <w:szCs w:val="24"/>
        </w:rPr>
        <w:t xml:space="preserve"> Essentially, these individuals have to express their preference (e.g. 1</w:t>
      </w:r>
      <w:r w:rsidR="00DB0BC8" w:rsidRPr="00DB0BC8">
        <w:rPr>
          <w:rFonts w:ascii="Times New Roman" w:hAnsi="Times New Roman" w:cs="Times New Roman"/>
          <w:sz w:val="24"/>
          <w:szCs w:val="24"/>
          <w:vertAlign w:val="superscript"/>
        </w:rPr>
        <w:t>st</w:t>
      </w:r>
      <w:r w:rsidR="00DB0BC8">
        <w:rPr>
          <w:rFonts w:ascii="Times New Roman" w:hAnsi="Times New Roman" w:cs="Times New Roman"/>
          <w:sz w:val="24"/>
          <w:szCs w:val="24"/>
        </w:rPr>
        <w:t>, 2</w:t>
      </w:r>
      <w:r w:rsidR="00DB0BC8" w:rsidRPr="00DB0BC8">
        <w:rPr>
          <w:rFonts w:ascii="Times New Roman" w:hAnsi="Times New Roman" w:cs="Times New Roman"/>
          <w:sz w:val="24"/>
          <w:szCs w:val="24"/>
          <w:vertAlign w:val="superscript"/>
        </w:rPr>
        <w:t>nd</w:t>
      </w:r>
      <w:r w:rsidR="00DB0BC8">
        <w:rPr>
          <w:rFonts w:ascii="Times New Roman" w:hAnsi="Times New Roman" w:cs="Times New Roman"/>
          <w:sz w:val="24"/>
          <w:szCs w:val="24"/>
        </w:rPr>
        <w:t xml:space="preserve"> 3</w:t>
      </w:r>
      <w:r w:rsidR="00DB0BC8" w:rsidRPr="00DB0BC8">
        <w:rPr>
          <w:rFonts w:ascii="Times New Roman" w:hAnsi="Times New Roman" w:cs="Times New Roman"/>
          <w:sz w:val="24"/>
          <w:szCs w:val="24"/>
          <w:vertAlign w:val="superscript"/>
        </w:rPr>
        <w:t>rd</w:t>
      </w:r>
      <w:r w:rsidR="00DB0BC8">
        <w:rPr>
          <w:rFonts w:ascii="Times New Roman" w:hAnsi="Times New Roman" w:cs="Times New Roman"/>
          <w:sz w:val="24"/>
          <w:szCs w:val="24"/>
        </w:rPr>
        <w:t xml:space="preserve">) on a particular course of action </w:t>
      </w:r>
      <w:r w:rsidR="00DB0BC8" w:rsidRPr="001F799B">
        <w:rPr>
          <w:rFonts w:ascii="Times New Roman" w:hAnsi="Times New Roman" w:cs="Times New Roman"/>
          <w:sz w:val="24"/>
          <w:szCs w:val="24"/>
        </w:rPr>
        <w:t>or policy. Often the least popular preferences are removed for the next round where further discussion can take place regarding the relevant merits of the remaining policies</w:t>
      </w:r>
      <w:r w:rsidR="00637866" w:rsidRPr="001F799B">
        <w:rPr>
          <w:rFonts w:ascii="Times New Roman" w:hAnsi="Times New Roman" w:cs="Times New Roman"/>
          <w:sz w:val="24"/>
          <w:szCs w:val="24"/>
        </w:rPr>
        <w:t xml:space="preserve"> </w:t>
      </w:r>
      <w:r w:rsidR="007D08FE" w:rsidRPr="001F799B">
        <w:rPr>
          <w:rFonts w:ascii="Times New Roman" w:hAnsi="Times New Roman" w:cs="Times New Roman"/>
          <w:sz w:val="24"/>
          <w:szCs w:val="24"/>
        </w:rPr>
        <w:fldChar w:fldCharType="begin" w:fldLock="1"/>
      </w:r>
      <w:r w:rsidR="00BE3B6C" w:rsidRPr="001F799B">
        <w:rPr>
          <w:rFonts w:ascii="Times New Roman" w:hAnsi="Times New Roman" w:cs="Times New Roman"/>
          <w:sz w:val="24"/>
          <w:szCs w:val="24"/>
        </w:rPr>
        <w:instrText>ADDIN CSL_CITATION {"citationItems":[{"id":"ITEM-1","itemData":{"DOI":"10.1080/0142159X.2017.1245856","ISBN":"1466-187X (Electronic)\r0142-159X (Linking)","ISSN":"1466187X","PMID":"27841062","abstract":"Consensus group methods are widely used in research to identify and measure areas where incomplete evidence exists for decision-making. Despite their widespread use, these methods are often inconsistently used and reported. Using examples from the three most commonly used methods, the Delphi, Nominal Group and RAND/UCLA; this paper and associated Guide aim to describe these methods and to highlight common weaknesses in methodology and reporting. The paper out- lines a series of recommendations to assist researchers using consensus group methods in providing a comprehensive description and justification of the steps taken in their study.","author":[{"dropping-particle":"","family":"Humphrey-Murto","given":"Susan","non-dropping-particle":"","parse-names":false,"suffix":""},{"dropping-particle":"","family":"Varpio","given":"Lara","non-dropping-particle":"","parse-names":false,"suffix":""},{"dropping-particle":"","family":"Gonsalves","given":"Carol","non-dropping-particle":"","parse-names":false,"suffix":""},{"dropping-particle":"","family":"Wood","given":"Timothy J.","non-dropping-particle":"","parse-names":false,"suffix":""}],"container-title":"Medical Teacher","id":"ITEM-1","issue":"1","issued":{"date-parts":[["2017"]]},"page":"14-19","title":"Using consensus group methods such as Delphi and Nominal Group in medical education research*","type":"article-journal","volume":"39"},"uris":["http://www.mendeley.com/documents/?uuid=5f2102d1-ea3b-4f76-8fe9-c0e2487cfb8a"]}],"mendeley":{"formattedCitation":"(Humphrey-Murto &lt;i&gt;et al.&lt;/i&gt;, 2017)","plainTextFormattedCitation":"(Humphrey-Murto et al., 2017)","previouslyFormattedCitation":"(Humphrey-Murto et al. 2017)"},"properties":{"noteIndex":0},"schema":"https://github.com/citation-style-language/schema/raw/master/csl-citation.json"}</w:instrText>
      </w:r>
      <w:r w:rsidR="007D08FE" w:rsidRPr="001F799B">
        <w:rPr>
          <w:rFonts w:ascii="Times New Roman" w:hAnsi="Times New Roman" w:cs="Times New Roman"/>
          <w:sz w:val="24"/>
          <w:szCs w:val="24"/>
        </w:rPr>
        <w:fldChar w:fldCharType="separate"/>
      </w:r>
      <w:r w:rsidR="00BE3B6C" w:rsidRPr="001F799B">
        <w:rPr>
          <w:rFonts w:ascii="Times New Roman" w:hAnsi="Times New Roman" w:cs="Times New Roman"/>
          <w:noProof/>
          <w:sz w:val="24"/>
          <w:szCs w:val="24"/>
        </w:rPr>
        <w:t>(Humphrey-Murto et al. 2017)</w:t>
      </w:r>
      <w:r w:rsidR="007D08FE" w:rsidRPr="001F799B">
        <w:rPr>
          <w:rFonts w:ascii="Times New Roman" w:hAnsi="Times New Roman" w:cs="Times New Roman"/>
          <w:sz w:val="24"/>
          <w:szCs w:val="24"/>
        </w:rPr>
        <w:fldChar w:fldCharType="end"/>
      </w:r>
      <w:r w:rsidR="00DB0BC8" w:rsidRPr="001F799B">
        <w:rPr>
          <w:rFonts w:ascii="Times New Roman" w:hAnsi="Times New Roman" w:cs="Times New Roman"/>
          <w:sz w:val="24"/>
          <w:szCs w:val="24"/>
        </w:rPr>
        <w:t>.</w:t>
      </w:r>
      <w:r w:rsidRPr="001F799B">
        <w:rPr>
          <w:rFonts w:ascii="Times New Roman" w:hAnsi="Times New Roman" w:cs="Times New Roman"/>
          <w:sz w:val="24"/>
          <w:szCs w:val="24"/>
        </w:rPr>
        <w:t xml:space="preserve"> RAND/UCLA is essentially a hybrid of Delphi and NGT. The first stage is conducted</w:t>
      </w:r>
      <w:r w:rsidRPr="006F3B00">
        <w:rPr>
          <w:rFonts w:ascii="Times New Roman" w:hAnsi="Times New Roman" w:cs="Times New Roman"/>
          <w:sz w:val="24"/>
          <w:szCs w:val="24"/>
        </w:rPr>
        <w:t xml:space="preserve"> like a Delphi with anonymous scoring of items. The second stage involves participants meeting face-to-face where the collated results are discussed. NGT and RAND/UCLA were not chosen as it was felt that 1) dominant personalities could unduly influence debate if it occurred face-to-face 2) the target participants for this study (see later) were all extremely busy individuals</w:t>
      </w:r>
      <w:r w:rsidR="004528D8">
        <w:rPr>
          <w:rFonts w:ascii="Times New Roman" w:hAnsi="Times New Roman" w:cs="Times New Roman"/>
          <w:sz w:val="24"/>
          <w:szCs w:val="24"/>
        </w:rPr>
        <w:t xml:space="preserve"> (and geographically dispersed)</w:t>
      </w:r>
      <w:r w:rsidRPr="006F3B00">
        <w:rPr>
          <w:rFonts w:ascii="Times New Roman" w:hAnsi="Times New Roman" w:cs="Times New Roman"/>
          <w:sz w:val="24"/>
          <w:szCs w:val="24"/>
        </w:rPr>
        <w:t xml:space="preserve"> who would find it easier to complete the Delphi in their own time,</w:t>
      </w:r>
      <w:r w:rsidR="004528D8">
        <w:rPr>
          <w:rFonts w:ascii="Times New Roman" w:hAnsi="Times New Roman" w:cs="Times New Roman"/>
          <w:sz w:val="24"/>
          <w:szCs w:val="24"/>
        </w:rPr>
        <w:t xml:space="preserve"> rather than on specified dates and locations.</w:t>
      </w:r>
    </w:p>
    <w:p w14:paraId="705035BA" w14:textId="77777777" w:rsidR="00031DB4" w:rsidRDefault="00031DB4" w:rsidP="00863DF5">
      <w:pPr>
        <w:spacing w:after="0" w:line="480" w:lineRule="auto"/>
        <w:rPr>
          <w:rFonts w:ascii="Times New Roman" w:hAnsi="Times New Roman" w:cs="Times New Roman"/>
          <w:sz w:val="24"/>
          <w:szCs w:val="24"/>
        </w:rPr>
      </w:pPr>
    </w:p>
    <w:p w14:paraId="502A0E0A" w14:textId="61605C0C" w:rsidR="00863DF5" w:rsidRPr="006F3B00" w:rsidRDefault="00863DF5" w:rsidP="00863DF5">
      <w:pPr>
        <w:spacing w:after="0"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Delphi was therefore chosen to capture the judgements of participants, thus fulfilling the last </w:t>
      </w:r>
      <w:r w:rsidR="00832913">
        <w:rPr>
          <w:rFonts w:ascii="Times New Roman" w:hAnsi="Times New Roman" w:cs="Times New Roman"/>
          <w:sz w:val="24"/>
          <w:szCs w:val="24"/>
        </w:rPr>
        <w:t>four</w:t>
      </w:r>
      <w:r w:rsidRPr="006F3B00">
        <w:rPr>
          <w:rFonts w:ascii="Times New Roman" w:hAnsi="Times New Roman" w:cs="Times New Roman"/>
          <w:sz w:val="24"/>
          <w:szCs w:val="24"/>
        </w:rPr>
        <w:t xml:space="preserve"> stages of Cooksey’s framework. Delphi can help to triangulate the cues and judgement ecology identified in the qualitative interviews. However, it will also determine the importance of th</w:t>
      </w:r>
      <w:r w:rsidR="004528D8">
        <w:rPr>
          <w:rFonts w:ascii="Times New Roman" w:hAnsi="Times New Roman" w:cs="Times New Roman"/>
          <w:sz w:val="24"/>
          <w:szCs w:val="24"/>
        </w:rPr>
        <w:t>e different cues, similar to the way</w:t>
      </w:r>
      <w:r w:rsidRPr="006F3B00">
        <w:rPr>
          <w:rFonts w:ascii="Times New Roman" w:hAnsi="Times New Roman" w:cs="Times New Roman"/>
          <w:sz w:val="24"/>
          <w:szCs w:val="24"/>
        </w:rPr>
        <w:t xml:space="preserve"> case vignettes and regression analysis are often used. The difference is that the cues will be apparent to participants in the Delphi study and not manipulated within scenarios. However, the Delphi will still help to explore the </w:t>
      </w:r>
      <w:r w:rsidR="00926E09" w:rsidRPr="006F3B00">
        <w:rPr>
          <w:rFonts w:ascii="Times New Roman" w:hAnsi="Times New Roman" w:cs="Times New Roman"/>
          <w:sz w:val="24"/>
          <w:szCs w:val="24"/>
        </w:rPr>
        <w:t>judgmental</w:t>
      </w:r>
      <w:r w:rsidRPr="006F3B00">
        <w:rPr>
          <w:rFonts w:ascii="Times New Roman" w:hAnsi="Times New Roman" w:cs="Times New Roman"/>
          <w:sz w:val="24"/>
          <w:szCs w:val="24"/>
        </w:rPr>
        <w:t xml:space="preserve"> process because participants have anonymity and are encouraged to provide feedback on the cues in each round. For example, if they are asked to rate the importance of “being accurate” when making diagnoses, there may be elements that participants wish to discuss or clarify with the research team or other Delphi participants. These comments therefore offer insight into </w:t>
      </w:r>
      <w:r w:rsidRPr="006F3B00">
        <w:rPr>
          <w:rFonts w:ascii="Times New Roman" w:hAnsi="Times New Roman" w:cs="Times New Roman"/>
          <w:sz w:val="24"/>
          <w:szCs w:val="24"/>
        </w:rPr>
        <w:lastRenderedPageBreak/>
        <w:t>how these cues might be interpreted just as case vignettes can fulfil this purpose in Cooksey’s framework.</w:t>
      </w:r>
    </w:p>
    <w:p w14:paraId="78697E01" w14:textId="01DB26BC" w:rsidR="00863DF5" w:rsidRPr="006F3B00" w:rsidRDefault="00597DF6" w:rsidP="00597DF6">
      <w:pPr>
        <w:pStyle w:val="Heading2"/>
        <w:rPr>
          <w:rFonts w:ascii="Times New Roman" w:hAnsi="Times New Roman" w:cs="Times New Roman"/>
          <w:color w:val="auto"/>
          <w:sz w:val="24"/>
          <w:szCs w:val="24"/>
        </w:rPr>
      </w:pPr>
      <w:bookmarkStart w:id="101" w:name="_Toc23243830"/>
      <w:r w:rsidRPr="006F3B00">
        <w:rPr>
          <w:rFonts w:ascii="Times New Roman" w:hAnsi="Times New Roman" w:cs="Times New Roman"/>
          <w:color w:val="auto"/>
          <w:sz w:val="24"/>
          <w:szCs w:val="24"/>
        </w:rPr>
        <w:t xml:space="preserve">5.2 </w:t>
      </w:r>
      <w:r w:rsidR="00863DF5" w:rsidRPr="006F3B00">
        <w:rPr>
          <w:rFonts w:ascii="Times New Roman" w:hAnsi="Times New Roman" w:cs="Times New Roman"/>
          <w:color w:val="auto"/>
          <w:sz w:val="24"/>
          <w:szCs w:val="24"/>
        </w:rPr>
        <w:t>Aim</w:t>
      </w:r>
      <w:r w:rsidR="00DB0BC8">
        <w:rPr>
          <w:rFonts w:ascii="Times New Roman" w:hAnsi="Times New Roman" w:cs="Times New Roman"/>
          <w:color w:val="auto"/>
          <w:sz w:val="24"/>
          <w:szCs w:val="24"/>
        </w:rPr>
        <w:t xml:space="preserve"> and Objectives</w:t>
      </w:r>
      <w:bookmarkEnd w:id="101"/>
    </w:p>
    <w:p w14:paraId="0213ED8B" w14:textId="77777777" w:rsidR="00597DF6" w:rsidRPr="006F3B00" w:rsidRDefault="00597DF6" w:rsidP="00597DF6">
      <w:pPr>
        <w:rPr>
          <w:rFonts w:ascii="Times New Roman" w:hAnsi="Times New Roman" w:cs="Times New Roman"/>
          <w:sz w:val="24"/>
          <w:szCs w:val="24"/>
          <w:lang w:val="en-GB"/>
        </w:rPr>
      </w:pPr>
    </w:p>
    <w:p w14:paraId="68949E03" w14:textId="186FD818" w:rsidR="00F357D1" w:rsidRPr="0003024B" w:rsidRDefault="0003024B" w:rsidP="00DB0BC8">
      <w:pPr>
        <w:spacing w:line="480" w:lineRule="auto"/>
        <w:rPr>
          <w:rFonts w:ascii="Times New Roman" w:hAnsi="Times New Roman" w:cs="Times New Roman"/>
          <w:b/>
          <w:bCs/>
          <w:sz w:val="24"/>
          <w:szCs w:val="24"/>
        </w:rPr>
      </w:pPr>
      <w:r>
        <w:rPr>
          <w:rFonts w:ascii="Times New Roman" w:hAnsi="Times New Roman" w:cs="Times New Roman"/>
          <w:b/>
          <w:bCs/>
          <w:sz w:val="24"/>
          <w:szCs w:val="24"/>
        </w:rPr>
        <w:t>Aim</w:t>
      </w:r>
    </w:p>
    <w:p w14:paraId="63C54C12" w14:textId="76D2E3B1" w:rsidR="00597DF6" w:rsidRDefault="00931939" w:rsidP="00DB0BC8">
      <w:pPr>
        <w:spacing w:line="480" w:lineRule="auto"/>
        <w:rPr>
          <w:rFonts w:ascii="Times New Roman" w:hAnsi="Times New Roman" w:cs="Times New Roman"/>
          <w:bCs/>
          <w:sz w:val="24"/>
          <w:szCs w:val="24"/>
        </w:rPr>
      </w:pPr>
      <w:r>
        <w:rPr>
          <w:rFonts w:ascii="Times New Roman" w:hAnsi="Times New Roman" w:cs="Times New Roman"/>
          <w:bCs/>
          <w:sz w:val="24"/>
          <w:szCs w:val="24"/>
        </w:rPr>
        <w:t>To use a</w:t>
      </w:r>
      <w:r w:rsidR="00863DF5" w:rsidRPr="006F3B00">
        <w:rPr>
          <w:rFonts w:ascii="Times New Roman" w:hAnsi="Times New Roman" w:cs="Times New Roman"/>
          <w:bCs/>
          <w:sz w:val="24"/>
          <w:szCs w:val="24"/>
        </w:rPr>
        <w:t xml:space="preserve"> Delphi study to </w:t>
      </w:r>
      <w:r>
        <w:rPr>
          <w:rFonts w:ascii="Times New Roman" w:hAnsi="Times New Roman" w:cs="Times New Roman"/>
          <w:bCs/>
          <w:sz w:val="24"/>
          <w:szCs w:val="24"/>
        </w:rPr>
        <w:t xml:space="preserve">triangulate </w:t>
      </w:r>
      <w:r w:rsidR="002001AB">
        <w:rPr>
          <w:rFonts w:ascii="Times New Roman" w:hAnsi="Times New Roman" w:cs="Times New Roman"/>
          <w:bCs/>
          <w:sz w:val="24"/>
          <w:szCs w:val="24"/>
        </w:rPr>
        <w:t>the findings from the</w:t>
      </w:r>
      <w:r w:rsidR="00863DF5" w:rsidRPr="006F3B00">
        <w:rPr>
          <w:rFonts w:ascii="Times New Roman" w:hAnsi="Times New Roman" w:cs="Times New Roman"/>
          <w:bCs/>
          <w:sz w:val="24"/>
          <w:szCs w:val="24"/>
        </w:rPr>
        <w:t xml:space="preserve"> qualitative interviews</w:t>
      </w:r>
      <w:r>
        <w:rPr>
          <w:rFonts w:ascii="Times New Roman" w:hAnsi="Times New Roman" w:cs="Times New Roman"/>
          <w:bCs/>
          <w:sz w:val="24"/>
          <w:szCs w:val="24"/>
        </w:rPr>
        <w:t xml:space="preserve"> in assessing diagnostic competence.</w:t>
      </w:r>
    </w:p>
    <w:p w14:paraId="1375E3A8" w14:textId="09AB11DC" w:rsidR="00F357D1" w:rsidRPr="0003024B" w:rsidRDefault="0003024B" w:rsidP="00DB0BC8">
      <w:pPr>
        <w:spacing w:line="480" w:lineRule="auto"/>
        <w:rPr>
          <w:rFonts w:ascii="Times New Roman" w:hAnsi="Times New Roman" w:cs="Times New Roman"/>
          <w:b/>
          <w:bCs/>
          <w:sz w:val="24"/>
          <w:szCs w:val="24"/>
        </w:rPr>
      </w:pPr>
      <w:r>
        <w:rPr>
          <w:rFonts w:ascii="Times New Roman" w:hAnsi="Times New Roman" w:cs="Times New Roman"/>
          <w:b/>
          <w:bCs/>
          <w:sz w:val="24"/>
          <w:szCs w:val="24"/>
        </w:rPr>
        <w:t>Objectives</w:t>
      </w:r>
      <w:r w:rsidR="00F357D1" w:rsidRPr="0003024B">
        <w:rPr>
          <w:rFonts w:ascii="Times New Roman" w:hAnsi="Times New Roman" w:cs="Times New Roman"/>
          <w:b/>
          <w:bCs/>
          <w:sz w:val="24"/>
          <w:szCs w:val="24"/>
        </w:rPr>
        <w:t xml:space="preserve"> </w:t>
      </w:r>
    </w:p>
    <w:p w14:paraId="2304302C" w14:textId="7168023E" w:rsidR="00863DF5" w:rsidRPr="00DB0BC8" w:rsidRDefault="00863DF5" w:rsidP="00E1524D">
      <w:pPr>
        <w:pStyle w:val="ListParagraph"/>
        <w:numPr>
          <w:ilvl w:val="0"/>
          <w:numId w:val="48"/>
        </w:numPr>
        <w:spacing w:line="480" w:lineRule="auto"/>
        <w:rPr>
          <w:rFonts w:ascii="Times New Roman" w:hAnsi="Times New Roman" w:cs="Times New Roman"/>
          <w:sz w:val="24"/>
          <w:szCs w:val="24"/>
        </w:rPr>
      </w:pPr>
      <w:r w:rsidRPr="00DB0BC8">
        <w:rPr>
          <w:rFonts w:ascii="Times New Roman" w:hAnsi="Times New Roman" w:cs="Times New Roman"/>
          <w:sz w:val="24"/>
          <w:szCs w:val="24"/>
        </w:rPr>
        <w:t xml:space="preserve">To </w:t>
      </w:r>
      <w:r w:rsidR="00931939" w:rsidRPr="00DB0BC8">
        <w:rPr>
          <w:rFonts w:ascii="Times New Roman" w:hAnsi="Times New Roman" w:cs="Times New Roman"/>
          <w:sz w:val="24"/>
          <w:szCs w:val="24"/>
        </w:rPr>
        <w:t xml:space="preserve">determine if the </w:t>
      </w:r>
      <w:r w:rsidR="005F78F7" w:rsidRPr="00DB0BC8">
        <w:rPr>
          <w:rFonts w:ascii="Times New Roman" w:hAnsi="Times New Roman" w:cs="Times New Roman"/>
          <w:sz w:val="24"/>
          <w:szCs w:val="24"/>
        </w:rPr>
        <w:t>cues identified</w:t>
      </w:r>
      <w:r w:rsidR="00931939" w:rsidRPr="00DB0BC8">
        <w:rPr>
          <w:rFonts w:ascii="Times New Roman" w:hAnsi="Times New Roman" w:cs="Times New Roman"/>
          <w:sz w:val="24"/>
          <w:szCs w:val="24"/>
        </w:rPr>
        <w:t xml:space="preserve"> from the qualitative interviews are valued by </w:t>
      </w:r>
      <w:r w:rsidR="005F78F7" w:rsidRPr="00DB0BC8">
        <w:rPr>
          <w:rFonts w:ascii="Times New Roman" w:hAnsi="Times New Roman" w:cs="Times New Roman"/>
          <w:sz w:val="24"/>
          <w:szCs w:val="24"/>
        </w:rPr>
        <w:t xml:space="preserve">experts. </w:t>
      </w:r>
    </w:p>
    <w:p w14:paraId="72B8D575" w14:textId="2DDB7E3F" w:rsidR="00863DF5" w:rsidRPr="00DB0BC8" w:rsidRDefault="00863DF5" w:rsidP="00E1524D">
      <w:pPr>
        <w:pStyle w:val="ListParagraph"/>
        <w:numPr>
          <w:ilvl w:val="0"/>
          <w:numId w:val="48"/>
        </w:numPr>
        <w:spacing w:line="480" w:lineRule="auto"/>
        <w:rPr>
          <w:rFonts w:ascii="Times New Roman" w:hAnsi="Times New Roman" w:cs="Times New Roman"/>
          <w:sz w:val="24"/>
          <w:szCs w:val="24"/>
        </w:rPr>
      </w:pPr>
      <w:r w:rsidRPr="00DB0BC8">
        <w:rPr>
          <w:rFonts w:ascii="Times New Roman" w:hAnsi="Times New Roman" w:cs="Times New Roman"/>
          <w:sz w:val="24"/>
          <w:szCs w:val="24"/>
        </w:rPr>
        <w:t xml:space="preserve">To determine the </w:t>
      </w:r>
      <w:r w:rsidR="005F78F7" w:rsidRPr="00DB0BC8">
        <w:rPr>
          <w:rFonts w:ascii="Times New Roman" w:hAnsi="Times New Roman" w:cs="Times New Roman"/>
          <w:sz w:val="24"/>
          <w:szCs w:val="24"/>
        </w:rPr>
        <w:t xml:space="preserve">relative </w:t>
      </w:r>
      <w:r w:rsidRPr="00DB0BC8">
        <w:rPr>
          <w:rFonts w:ascii="Times New Roman" w:hAnsi="Times New Roman" w:cs="Times New Roman"/>
          <w:sz w:val="24"/>
          <w:szCs w:val="24"/>
        </w:rPr>
        <w:t xml:space="preserve">importance </w:t>
      </w:r>
      <w:r w:rsidR="00931939" w:rsidRPr="00DB0BC8">
        <w:rPr>
          <w:rFonts w:ascii="Times New Roman" w:hAnsi="Times New Roman" w:cs="Times New Roman"/>
          <w:sz w:val="24"/>
          <w:szCs w:val="24"/>
        </w:rPr>
        <w:t>of individual cues</w:t>
      </w:r>
    </w:p>
    <w:p w14:paraId="37E1E2AA" w14:textId="69DDE82E" w:rsidR="00863DF5" w:rsidRPr="00DB0BC8" w:rsidRDefault="00863DF5" w:rsidP="00E1524D">
      <w:pPr>
        <w:pStyle w:val="ListParagraph"/>
        <w:numPr>
          <w:ilvl w:val="0"/>
          <w:numId w:val="48"/>
        </w:numPr>
        <w:spacing w:line="480" w:lineRule="auto"/>
        <w:rPr>
          <w:rFonts w:ascii="Times New Roman" w:hAnsi="Times New Roman" w:cs="Times New Roman"/>
          <w:sz w:val="24"/>
          <w:szCs w:val="24"/>
        </w:rPr>
      </w:pPr>
      <w:r w:rsidRPr="00DB0BC8">
        <w:rPr>
          <w:rFonts w:ascii="Times New Roman" w:hAnsi="Times New Roman" w:cs="Times New Roman"/>
          <w:sz w:val="24"/>
          <w:szCs w:val="24"/>
        </w:rPr>
        <w:t>To identify any additional cues</w:t>
      </w:r>
    </w:p>
    <w:p w14:paraId="6FC162A8" w14:textId="51600294" w:rsidR="00597DF6" w:rsidRPr="006F3B00" w:rsidRDefault="009F3D3D" w:rsidP="00935DDF">
      <w:pPr>
        <w:pStyle w:val="Heading2"/>
        <w:rPr>
          <w:rFonts w:ascii="Times New Roman" w:hAnsi="Times New Roman" w:cs="Times New Roman"/>
          <w:color w:val="auto"/>
          <w:sz w:val="24"/>
          <w:szCs w:val="24"/>
        </w:rPr>
      </w:pPr>
      <w:bookmarkStart w:id="102" w:name="_Toc23243831"/>
      <w:r>
        <w:rPr>
          <w:rFonts w:ascii="Times New Roman" w:hAnsi="Times New Roman" w:cs="Times New Roman"/>
          <w:color w:val="auto"/>
          <w:sz w:val="24"/>
          <w:szCs w:val="24"/>
        </w:rPr>
        <w:t>5.3</w:t>
      </w:r>
      <w:r w:rsidR="00597DF6"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Method</w:t>
      </w:r>
      <w:bookmarkEnd w:id="102"/>
    </w:p>
    <w:p w14:paraId="68F2AB22" w14:textId="5ACCA3BD" w:rsidR="00863DF5" w:rsidRPr="006F3B00" w:rsidRDefault="007A712D" w:rsidP="00597DF6">
      <w:pPr>
        <w:pStyle w:val="Heading3"/>
        <w:rPr>
          <w:rFonts w:ascii="Times New Roman" w:hAnsi="Times New Roman" w:cs="Times New Roman"/>
          <w:color w:val="auto"/>
          <w:sz w:val="24"/>
          <w:szCs w:val="24"/>
        </w:rPr>
      </w:pPr>
      <w:bookmarkStart w:id="103" w:name="_Toc23243832"/>
      <w:r>
        <w:rPr>
          <w:rFonts w:ascii="Times New Roman" w:hAnsi="Times New Roman" w:cs="Times New Roman"/>
          <w:color w:val="auto"/>
          <w:sz w:val="24"/>
          <w:szCs w:val="24"/>
        </w:rPr>
        <w:t>5.3</w:t>
      </w:r>
      <w:r w:rsidR="00597DF6" w:rsidRPr="006F3B00">
        <w:rPr>
          <w:rFonts w:ascii="Times New Roman" w:hAnsi="Times New Roman" w:cs="Times New Roman"/>
          <w:color w:val="auto"/>
          <w:sz w:val="24"/>
          <w:szCs w:val="24"/>
        </w:rPr>
        <w:t xml:space="preserve">.1 </w:t>
      </w:r>
      <w:r w:rsidR="00863DF5" w:rsidRPr="006F3B00">
        <w:rPr>
          <w:rFonts w:ascii="Times New Roman" w:hAnsi="Times New Roman" w:cs="Times New Roman"/>
          <w:color w:val="auto"/>
          <w:sz w:val="24"/>
          <w:szCs w:val="24"/>
        </w:rPr>
        <w:t>Participants</w:t>
      </w:r>
      <w:bookmarkEnd w:id="103"/>
    </w:p>
    <w:p w14:paraId="409C2AF7" w14:textId="77777777" w:rsidR="00597DF6" w:rsidRPr="006F3B00" w:rsidRDefault="00597DF6" w:rsidP="00597DF6">
      <w:pPr>
        <w:rPr>
          <w:rFonts w:ascii="Times New Roman" w:hAnsi="Times New Roman" w:cs="Times New Roman"/>
          <w:sz w:val="24"/>
          <w:szCs w:val="24"/>
          <w:lang w:val="en-GB"/>
        </w:rPr>
      </w:pPr>
    </w:p>
    <w:p w14:paraId="422929FC" w14:textId="5B739DC3"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Part</w:t>
      </w:r>
      <w:r w:rsidR="004528D8">
        <w:rPr>
          <w:rFonts w:ascii="Times New Roman" w:hAnsi="Times New Roman" w:cs="Times New Roman"/>
          <w:sz w:val="24"/>
          <w:szCs w:val="24"/>
        </w:rPr>
        <w:t>icipants were purposively selected</w:t>
      </w:r>
      <w:r w:rsidRPr="006F3B00">
        <w:rPr>
          <w:rFonts w:ascii="Times New Roman" w:hAnsi="Times New Roman" w:cs="Times New Roman"/>
          <w:sz w:val="24"/>
          <w:szCs w:val="24"/>
        </w:rPr>
        <w:t xml:space="preserve"> in order to create an “expert” panel. </w:t>
      </w:r>
      <w:r w:rsidRPr="006F3B00">
        <w:rPr>
          <w:rFonts w:ascii="Times New Roman" w:eastAsia="Times New Roman" w:hAnsi="Times New Roman" w:cs="Times New Roman"/>
          <w:sz w:val="24"/>
          <w:szCs w:val="24"/>
          <w:lang w:eastAsia="en-GB"/>
        </w:rPr>
        <w:t>In line with recommendations regarding how to select “experts”</w:t>
      </w:r>
      <w:r w:rsidR="0063197C">
        <w:rPr>
          <w:rFonts w:ascii="Times New Roman" w:eastAsia="Times New Roman" w:hAnsi="Times New Roman" w:cs="Times New Roman"/>
          <w:sz w:val="24"/>
          <w:szCs w:val="24"/>
          <w:lang w:eastAsia="en-GB"/>
        </w:rPr>
        <w:t xml:space="preserve"> </w:t>
      </w:r>
      <w:r w:rsidR="0063197C" w:rsidRPr="006F3B00">
        <w:rPr>
          <w:rFonts w:ascii="Times New Roman" w:eastAsia="Times New Roman" w:hAnsi="Times New Roman" w:cs="Times New Roman"/>
          <w:sz w:val="24"/>
          <w:szCs w:val="24"/>
          <w:lang w:eastAsia="en-GB"/>
        </w:rPr>
        <w:fldChar w:fldCharType="begin" w:fldLock="1"/>
      </w:r>
      <w:r w:rsidR="00BE3B6C">
        <w:rPr>
          <w:rFonts w:ascii="Times New Roman" w:eastAsia="Times New Roman" w:hAnsi="Times New Roman" w:cs="Times New Roman"/>
          <w:sz w:val="24"/>
          <w:szCs w:val="24"/>
          <w:lang w:eastAsia="en-GB"/>
        </w:rPr>
        <w:instrText>ADDIN CSL_CITATION {"citationItems":[{"id":"ITEM-1","itemData":{"DOI":"10.1080/0142159X.2017.1245856","ISBN":"1466-187X (Electronic)\r0142-159X (Linking)","ISSN":"1466187X","PMID":"27841062","abstract":"Consensus group methods are widely used in research to identify and measure areas where incomplete evidence exists for decision-making. Despite their widespread use, these methods are often inconsistently used and reported. Using examples from the three most commonly used methods, the Delphi, Nominal Group and RAND/UCLA; this paper and associated Guide aim to describe these methods and to highlight common weaknesses in methodology and reporting. The paper out- lines a series of recommendations to assist researchers using consensus group methods in providing a comprehensive description and justification of the steps taken in their study.","author":[{"dropping-particle":"","family":"Humphrey-Murto","given":"Susan","non-dropping-particle":"","parse-names":false,"suffix":""},{"dropping-particle":"","family":"Varpio","given":"Lara","non-dropping-particle":"","parse-names":false,"suffix":""},{"dropping-particle":"","family":"Gonsalves","given":"Carol","non-dropping-particle":"","parse-names":false,"suffix":""},{"dropping-particle":"","family":"Wood","given":"Timothy J.","non-dropping-particle":"","parse-names":false,"suffix":""}],"container-title":"Medical Teacher","id":"ITEM-1","issue":"1","issued":{"date-parts":[["2017"]]},"page":"14-19","title":"Using consensus group methods such as Delphi and Nominal Group in medical education research*","type":"article-journal","volume":"39"},"uris":["http://www.mendeley.com/documents/?uuid=5f2102d1-ea3b-4f76-8fe9-c0e2487cfb8a"]}],"mendeley":{"formattedCitation":"(Humphrey-Murto &lt;i&gt;et al.&lt;/i&gt;, 2017)","plainTextFormattedCitation":"(Humphrey-Murto et al., 2017)","previouslyFormattedCitation":"(Humphrey-Murto et al. 2017)"},"properties":{"noteIndex":0},"schema":"https://github.com/citation-style-language/schema/raw/master/csl-citation.json"}</w:instrText>
      </w:r>
      <w:r w:rsidR="0063197C" w:rsidRPr="006F3B00">
        <w:rPr>
          <w:rFonts w:ascii="Times New Roman" w:eastAsia="Times New Roman" w:hAnsi="Times New Roman" w:cs="Times New Roman"/>
          <w:sz w:val="24"/>
          <w:szCs w:val="24"/>
          <w:lang w:eastAsia="en-GB"/>
        </w:rPr>
        <w:fldChar w:fldCharType="separate"/>
      </w:r>
      <w:r w:rsidR="00BE3B6C" w:rsidRPr="00BE3B6C">
        <w:rPr>
          <w:rFonts w:ascii="Times New Roman" w:eastAsia="Times New Roman" w:hAnsi="Times New Roman" w:cs="Times New Roman"/>
          <w:noProof/>
          <w:sz w:val="24"/>
          <w:szCs w:val="24"/>
          <w:lang w:eastAsia="en-GB"/>
        </w:rPr>
        <w:t>(Humphrey-Murto</w:t>
      </w:r>
      <w:r w:rsidR="00BE3B6C" w:rsidRPr="001F799B">
        <w:rPr>
          <w:rFonts w:ascii="Times New Roman" w:eastAsia="Times New Roman" w:hAnsi="Times New Roman" w:cs="Times New Roman"/>
          <w:noProof/>
          <w:sz w:val="24"/>
          <w:szCs w:val="24"/>
          <w:lang w:eastAsia="en-GB"/>
        </w:rPr>
        <w:t xml:space="preserve"> et al.</w:t>
      </w:r>
      <w:r w:rsidR="00BE3B6C" w:rsidRPr="00BE3B6C">
        <w:rPr>
          <w:rFonts w:ascii="Times New Roman" w:eastAsia="Times New Roman" w:hAnsi="Times New Roman" w:cs="Times New Roman"/>
          <w:noProof/>
          <w:sz w:val="24"/>
          <w:szCs w:val="24"/>
          <w:lang w:eastAsia="en-GB"/>
        </w:rPr>
        <w:t xml:space="preserve"> 2017)</w:t>
      </w:r>
      <w:r w:rsidR="0063197C" w:rsidRPr="006F3B00">
        <w:rPr>
          <w:rFonts w:ascii="Times New Roman" w:eastAsia="Times New Roman" w:hAnsi="Times New Roman" w:cs="Times New Roman"/>
          <w:sz w:val="24"/>
          <w:szCs w:val="24"/>
          <w:lang w:eastAsia="en-GB"/>
        </w:rPr>
        <w:fldChar w:fldCharType="end"/>
      </w:r>
      <w:r w:rsidR="0063197C">
        <w:rPr>
          <w:rFonts w:ascii="Times New Roman" w:eastAsia="Times New Roman" w:hAnsi="Times New Roman" w:cs="Times New Roman"/>
          <w:sz w:val="24"/>
          <w:szCs w:val="24"/>
          <w:lang w:eastAsia="en-GB"/>
        </w:rPr>
        <w:t xml:space="preserve">, </w:t>
      </w:r>
      <w:r w:rsidRPr="006F3B00">
        <w:rPr>
          <w:rFonts w:ascii="Times New Roman" w:eastAsia="Times New Roman" w:hAnsi="Times New Roman" w:cs="Times New Roman"/>
          <w:sz w:val="24"/>
          <w:szCs w:val="24"/>
          <w:lang w:eastAsia="en-GB"/>
        </w:rPr>
        <w:t xml:space="preserve"> it was felt that TPDs were most knowledgeable in this area, representative of the area of inquiry and had considerable practical expe</w:t>
      </w:r>
      <w:r w:rsidR="0063197C">
        <w:rPr>
          <w:rFonts w:ascii="Times New Roman" w:eastAsia="Times New Roman" w:hAnsi="Times New Roman" w:cs="Times New Roman"/>
          <w:sz w:val="24"/>
          <w:szCs w:val="24"/>
          <w:lang w:eastAsia="en-GB"/>
        </w:rPr>
        <w:t>rience to warrant them “experts”.</w:t>
      </w:r>
      <w:r w:rsidRPr="006F3B00">
        <w:rPr>
          <w:rFonts w:ascii="Times New Roman" w:hAnsi="Times New Roman" w:cs="Times New Roman"/>
          <w:sz w:val="24"/>
          <w:szCs w:val="24"/>
        </w:rPr>
        <w:t xml:space="preserve"> In particular</w:t>
      </w:r>
      <w:r w:rsidR="00926E09">
        <w:rPr>
          <w:rFonts w:ascii="Times New Roman" w:hAnsi="Times New Roman" w:cs="Times New Roman"/>
          <w:sz w:val="24"/>
          <w:szCs w:val="24"/>
        </w:rPr>
        <w:t>,</w:t>
      </w:r>
      <w:r w:rsidRPr="006F3B00">
        <w:rPr>
          <w:rFonts w:ascii="Times New Roman" w:hAnsi="Times New Roman" w:cs="Times New Roman"/>
          <w:sz w:val="24"/>
          <w:szCs w:val="24"/>
        </w:rPr>
        <w:t xml:space="preserve"> they:</w:t>
      </w:r>
    </w:p>
    <w:p w14:paraId="403C83BC" w14:textId="77777777" w:rsidR="00863DF5" w:rsidRPr="0063197C" w:rsidRDefault="00863DF5" w:rsidP="00864ED0">
      <w:pPr>
        <w:pStyle w:val="ListParagraph"/>
        <w:numPr>
          <w:ilvl w:val="0"/>
          <w:numId w:val="47"/>
        </w:numPr>
        <w:spacing w:line="480" w:lineRule="auto"/>
        <w:rPr>
          <w:rFonts w:ascii="Times New Roman" w:hAnsi="Times New Roman" w:cs="Times New Roman"/>
          <w:sz w:val="24"/>
          <w:szCs w:val="24"/>
        </w:rPr>
      </w:pPr>
      <w:r w:rsidRPr="0063197C">
        <w:rPr>
          <w:rFonts w:ascii="Times New Roman" w:hAnsi="Times New Roman" w:cs="Times New Roman"/>
          <w:sz w:val="24"/>
          <w:szCs w:val="24"/>
        </w:rPr>
        <w:t xml:space="preserve">are responsible for the overall training of trainees </w:t>
      </w:r>
    </w:p>
    <w:p w14:paraId="6C969F4E" w14:textId="77777777" w:rsidR="00863DF5" w:rsidRPr="0063197C" w:rsidRDefault="00863DF5" w:rsidP="00864ED0">
      <w:pPr>
        <w:pStyle w:val="ListParagraph"/>
        <w:numPr>
          <w:ilvl w:val="0"/>
          <w:numId w:val="47"/>
        </w:numPr>
        <w:spacing w:line="480" w:lineRule="auto"/>
        <w:rPr>
          <w:rFonts w:ascii="Times New Roman" w:hAnsi="Times New Roman" w:cs="Times New Roman"/>
          <w:sz w:val="24"/>
          <w:szCs w:val="24"/>
        </w:rPr>
      </w:pPr>
      <w:r w:rsidRPr="0063197C">
        <w:rPr>
          <w:rFonts w:ascii="Times New Roman" w:hAnsi="Times New Roman" w:cs="Times New Roman"/>
          <w:sz w:val="24"/>
          <w:szCs w:val="24"/>
        </w:rPr>
        <w:t>are responsible for interpreting information at the ARCP and ultimately deciding if trainees are progressing appropriately in training or require remedial action</w:t>
      </w:r>
    </w:p>
    <w:p w14:paraId="696A75A2" w14:textId="77777777" w:rsidR="00863DF5" w:rsidRPr="0063197C" w:rsidRDefault="00863DF5" w:rsidP="00864ED0">
      <w:pPr>
        <w:pStyle w:val="ListParagraph"/>
        <w:numPr>
          <w:ilvl w:val="0"/>
          <w:numId w:val="47"/>
        </w:numPr>
        <w:spacing w:line="480" w:lineRule="auto"/>
        <w:rPr>
          <w:rFonts w:ascii="Times New Roman" w:hAnsi="Times New Roman" w:cs="Times New Roman"/>
          <w:sz w:val="24"/>
          <w:szCs w:val="24"/>
        </w:rPr>
      </w:pPr>
      <w:r w:rsidRPr="0063197C">
        <w:rPr>
          <w:rFonts w:ascii="Times New Roman" w:hAnsi="Times New Roman" w:cs="Times New Roman"/>
          <w:sz w:val="24"/>
          <w:szCs w:val="24"/>
        </w:rPr>
        <w:lastRenderedPageBreak/>
        <w:t>are usually senior individuals who have previously held educational supervisor roles</w:t>
      </w:r>
    </w:p>
    <w:p w14:paraId="342FC342" w14:textId="77777777" w:rsidR="00863DF5" w:rsidRPr="0063197C" w:rsidRDefault="00863DF5" w:rsidP="00864ED0">
      <w:pPr>
        <w:pStyle w:val="ListParagraph"/>
        <w:numPr>
          <w:ilvl w:val="0"/>
          <w:numId w:val="47"/>
        </w:numPr>
        <w:spacing w:line="480" w:lineRule="auto"/>
        <w:rPr>
          <w:rFonts w:ascii="Times New Roman" w:hAnsi="Times New Roman" w:cs="Times New Roman"/>
          <w:sz w:val="24"/>
          <w:szCs w:val="24"/>
        </w:rPr>
      </w:pPr>
      <w:r w:rsidRPr="0063197C">
        <w:rPr>
          <w:rFonts w:ascii="Times New Roman" w:hAnsi="Times New Roman" w:cs="Times New Roman"/>
          <w:sz w:val="24"/>
          <w:szCs w:val="24"/>
        </w:rPr>
        <w:t>often complete WBAs for trainees</w:t>
      </w:r>
    </w:p>
    <w:p w14:paraId="27629B09" w14:textId="77777777" w:rsidR="00863DF5" w:rsidRDefault="00863DF5" w:rsidP="00782F3A">
      <w:pPr>
        <w:spacing w:after="0" w:line="480" w:lineRule="auto"/>
        <w:rPr>
          <w:rFonts w:ascii="Times New Roman" w:eastAsia="Times New Roman" w:hAnsi="Times New Roman" w:cs="Times New Roman"/>
          <w:sz w:val="24"/>
          <w:szCs w:val="24"/>
          <w:lang w:eastAsia="en-GB"/>
        </w:rPr>
      </w:pPr>
      <w:r w:rsidRPr="006F3B00">
        <w:rPr>
          <w:rFonts w:ascii="Times New Roman" w:eastAsia="Times New Roman" w:hAnsi="Times New Roman" w:cs="Times New Roman"/>
          <w:sz w:val="24"/>
          <w:szCs w:val="24"/>
          <w:lang w:eastAsia="en-GB"/>
        </w:rPr>
        <w:t>In addition, further stakeholders were chosen who might offer valuable perspectives given their role in training. These were consultants who had roles within the deanery (other than TPD or educational supervisor) and those who worked with the RCPath in developing curricula or training. To protect participant anonymity, further details will not be provided.</w:t>
      </w:r>
    </w:p>
    <w:p w14:paraId="0CE27CDE" w14:textId="77777777" w:rsidR="00782F3A" w:rsidRPr="006F3B00" w:rsidRDefault="00782F3A" w:rsidP="00782F3A">
      <w:pPr>
        <w:spacing w:after="0" w:line="480" w:lineRule="auto"/>
        <w:rPr>
          <w:rFonts w:ascii="Times New Roman" w:eastAsia="Times New Roman" w:hAnsi="Times New Roman" w:cs="Times New Roman"/>
          <w:sz w:val="24"/>
          <w:szCs w:val="24"/>
          <w:lang w:eastAsia="en-GB"/>
        </w:rPr>
      </w:pPr>
    </w:p>
    <w:p w14:paraId="67DD06E5" w14:textId="12CC59D6" w:rsidR="00863DF5" w:rsidRPr="006F3B00" w:rsidRDefault="00863DF5" w:rsidP="00863DF5">
      <w:pPr>
        <w:spacing w:line="480" w:lineRule="auto"/>
        <w:rPr>
          <w:rFonts w:ascii="Times New Roman" w:eastAsia="Times New Roman" w:hAnsi="Times New Roman" w:cs="Times New Roman"/>
          <w:sz w:val="24"/>
          <w:szCs w:val="24"/>
          <w:lang w:eastAsia="en-GB"/>
        </w:rPr>
      </w:pPr>
      <w:r w:rsidRPr="006F3B00">
        <w:rPr>
          <w:rFonts w:ascii="Times New Roman" w:hAnsi="Times New Roman" w:cs="Times New Roman"/>
          <w:sz w:val="24"/>
          <w:szCs w:val="24"/>
        </w:rPr>
        <w:t>There is no stated recommended number of participants for Delphi studies</w:t>
      </w:r>
      <w:r w:rsidR="005F78F7">
        <w:rPr>
          <w:rFonts w:ascii="Times New Roman" w:hAnsi="Times New Roman" w:cs="Times New Roman"/>
          <w:sz w:val="24"/>
          <w:szCs w:val="24"/>
        </w:rPr>
        <w:t xml:space="preserve"> </w:t>
      </w:r>
      <w:r w:rsidRPr="001F799B">
        <w:rPr>
          <w:rFonts w:ascii="Times New Roman" w:hAnsi="Times New Roman" w:cs="Times New Roman"/>
          <w:sz w:val="24"/>
          <w:szCs w:val="24"/>
        </w:rPr>
        <w:fldChar w:fldCharType="begin" w:fldLock="1"/>
      </w:r>
      <w:r w:rsidR="00BE3B6C" w:rsidRPr="001F799B">
        <w:rPr>
          <w:rFonts w:ascii="Times New Roman" w:hAnsi="Times New Roman" w:cs="Times New Roman"/>
          <w:sz w:val="24"/>
          <w:szCs w:val="24"/>
        </w:rPr>
        <w:instrText>ADDIN CSL_CITATION {"citationItems":[{"id":"ITEM-1","itemData":{"DOI":"10.1080/0142159X.2017.1245856","ISBN":"1466-187X (Electronic)\r0142-159X (Linking)","ISSN":"1466187X","PMID":"27841062","abstract":"Consensus group methods are widely used in research to identify and measure areas where incomplete evidence exists for decision-making. Despite their widespread use, these methods are often inconsistently used and reported. Using examples from the three most commonly used methods, the Delphi, Nominal Group and RAND/UCLA; this paper and associated Guide aim to describe these methods and to highlight common weaknesses in methodology and reporting. The paper out- lines a series of recommendations to assist researchers using consensus group methods in providing a comprehensive description and justification of the steps taken in their study.","author":[{"dropping-particle":"","family":"Humphrey-Murto","given":"Susan","non-dropping-particle":"","parse-names":false,"suffix":""},{"dropping-particle":"","family":"Varpio","given":"Lara","non-dropping-particle":"","parse-names":false,"suffix":""},{"dropping-particle":"","family":"Gonsalves","given":"Carol","non-dropping-particle":"","parse-names":false,"suffix":""},{"dropping-particle":"","family":"Wood","given":"Timothy J.","non-dropping-particle":"","parse-names":false,"suffix":""}],"container-title":"Medical Teacher","id":"ITEM-1","issue":"1","issued":{"date-parts":[["2017"]]},"page":"14-19","title":"Using consensus group methods such as Delphi and Nominal Group in medical education research*","type":"article-journal","volume":"39"},"uris":["http://www.mendeley.com/documents/?uuid=5f2102d1-ea3b-4f76-8fe9-c0e2487cfb8a"]}],"mendeley":{"formattedCitation":"(Humphrey-Murto &lt;i&gt;et al.&lt;/i&gt;, 2017)","plainTextFormattedCitation":"(Humphrey-Murto et al., 2017)","previouslyFormattedCitation":"(Humphrey-Murto et al. 2017)"},"properties":{"noteIndex":0},"schema":"https://github.com/citation-style-language/schema/raw/master/csl-citation.json"}</w:instrText>
      </w:r>
      <w:r w:rsidRPr="001F799B">
        <w:rPr>
          <w:rFonts w:ascii="Times New Roman" w:hAnsi="Times New Roman" w:cs="Times New Roman"/>
          <w:sz w:val="24"/>
          <w:szCs w:val="24"/>
        </w:rPr>
        <w:fldChar w:fldCharType="separate"/>
      </w:r>
      <w:r w:rsidR="00BE3B6C" w:rsidRPr="001F799B">
        <w:rPr>
          <w:rFonts w:ascii="Times New Roman" w:hAnsi="Times New Roman" w:cs="Times New Roman"/>
          <w:noProof/>
          <w:sz w:val="24"/>
          <w:szCs w:val="24"/>
        </w:rPr>
        <w:t>(Humphrey-Murto et al. 2017)</w:t>
      </w:r>
      <w:r w:rsidRPr="001F799B">
        <w:rPr>
          <w:rFonts w:ascii="Times New Roman" w:hAnsi="Times New Roman" w:cs="Times New Roman"/>
          <w:sz w:val="24"/>
          <w:szCs w:val="24"/>
        </w:rPr>
        <w:fldChar w:fldCharType="end"/>
      </w:r>
      <w:r w:rsidRPr="001F799B">
        <w:rPr>
          <w:rFonts w:ascii="Times New Roman" w:hAnsi="Times New Roman" w:cs="Times New Roman"/>
          <w:sz w:val="24"/>
          <w:szCs w:val="24"/>
        </w:rPr>
        <w:t>. Less than 6 is not</w:t>
      </w:r>
      <w:r w:rsidR="00CA077B" w:rsidRPr="001F799B">
        <w:rPr>
          <w:rFonts w:ascii="Times New Roman" w:hAnsi="Times New Roman" w:cs="Times New Roman"/>
          <w:sz w:val="24"/>
          <w:szCs w:val="24"/>
        </w:rPr>
        <w:t xml:space="preserve"> considered</w:t>
      </w:r>
      <w:r w:rsidRPr="001F799B">
        <w:rPr>
          <w:rFonts w:ascii="Times New Roman" w:hAnsi="Times New Roman" w:cs="Times New Roman"/>
          <w:sz w:val="24"/>
          <w:szCs w:val="24"/>
        </w:rPr>
        <w:t xml:space="preserve"> ideal</w:t>
      </w:r>
      <w:r w:rsidR="00CA077B" w:rsidRPr="001F799B">
        <w:rPr>
          <w:rFonts w:ascii="Times New Roman" w:hAnsi="Times New Roman" w:cs="Times New Roman"/>
          <w:sz w:val="24"/>
          <w:szCs w:val="24"/>
        </w:rPr>
        <w:t xml:space="preserve"> (as there are too few participants for useful discussion)</w:t>
      </w:r>
      <w:r w:rsidRPr="001F799B">
        <w:rPr>
          <w:rFonts w:ascii="Times New Roman" w:hAnsi="Times New Roman" w:cs="Times New Roman"/>
          <w:sz w:val="24"/>
          <w:szCs w:val="24"/>
        </w:rPr>
        <w:t xml:space="preserve"> but 12 or more is considered reasonable</w:t>
      </w:r>
      <w:r w:rsidR="005F78F7" w:rsidRPr="001F799B">
        <w:rPr>
          <w:rFonts w:ascii="Times New Roman" w:hAnsi="Times New Roman" w:cs="Times New Roman"/>
          <w:sz w:val="24"/>
          <w:szCs w:val="24"/>
        </w:rPr>
        <w:t xml:space="preserve"> </w:t>
      </w:r>
      <w:r w:rsidRPr="001F799B">
        <w:rPr>
          <w:rFonts w:ascii="Times New Roman" w:hAnsi="Times New Roman" w:cs="Times New Roman"/>
          <w:sz w:val="24"/>
          <w:szCs w:val="24"/>
        </w:rPr>
        <w:fldChar w:fldCharType="begin" w:fldLock="1"/>
      </w:r>
      <w:r w:rsidR="00BE3B6C" w:rsidRPr="001F799B">
        <w:rPr>
          <w:rFonts w:ascii="Times New Roman" w:hAnsi="Times New Roman" w:cs="Times New Roman"/>
          <w:sz w:val="24"/>
          <w:szCs w:val="24"/>
        </w:rPr>
        <w:instrText>ADDIN CSL_CITATION {"citationItems":[{"id":"ITEM-1","itemData":{"DOI":"10.3310/hta2030","ISBN":"1366-5278 (Print)\\r1366-5278","ISSN":"1366-5278","PMID":"9561895","abstract":"Background Consensus methods are increasingly being used to develop\\nclinical guidelines which define key aspects of the quality of health\\ncare, particularly appropriate indications for interventions. This\\nreview is restricted to formal consensus methods in which the structure,\\nprocess and output are explicit from the outset. Three main approaches\\nhave been used in the health field: the Delphi method, the nominal\\ngroup technique (NGT) and the consensus development conference.\\n\\nObjectives * To identify the factors that affect the decisions that\\nemerge from consensus development methods. * To assess the implications\\nof the findings for the development of clinical guidelines. * To\\nrecommend further methodological research for improving the use of\\nconsensus development methods as a basis for guideline production.\\n\\nMethods Data sources The majority of the literature reviewed was identified\\nthrough searches of Medline, PsychLIT and the Social Science Citation\\nIndex and from reference lists in retrieved articles.\\n\\nStudy selection A matrix of 15 cells was developed from three types\\nof activity (planning, individual judgement, group interaction) and\\nfive components (questions, participants, information, method of\\nstructuring the interaction, method of synthesising individual judgements)\\ninvolved in consensus development methods. Six cells were selected\\nfor detailed review on the basis of three criteria: (1) importance\\nto consensus decision-making in the health sector; (2) the amount\\nand quality of the literature available; (3) the potential for offering\\npractical guidance. For each of the six cells the review drew on\\nthe results of the principal general search. For some cells, further\\nfocused searches were undertaken. In all, 177 primary research and\\nreview articles were selected.\\n\\nData extraction and synthesis If substantial literature was available\\nfrom the health sector, we paid little or no attention to evidence\\nfrom other sectors. If few or no studies had been conducted in the\\nhealth sector, we sought relevant evidence from other fields. We\\nused a narrative approach, sometimes based around tables of results.\\nThe extent to which research support exists for any conclusion is\\nindicated, although these should not necessarily be considered as\\na hierarchy: A = clear research evidence; B = limited supporting\\nresearch evidence; C = experienced common-sense judgement.\\n\\nResults and conclusions Setting the task or question to be…","author":[{"dropping-particle":"","family":"Murphy","given":"MK K","non-dropping-particle":"","parse-names":false,"suffix":""},{"dropping-particle":"","family":"Black","given":"NA A","non-dropping-particle":"","parse-names":false,"suffix":""},{"dropping-particle":"","family":"Lamping","given":"DL L","non-dropping-particle":"","parse-names":false,"suffix":""},{"dropping-particle":"","family":"McKee","given":"C M","non-dropping-particle":"","parse-names":false,"suffix":""},{"dropping-particle":"","family":"Sanderson","given":"CF F","non-dropping-particle":"","parse-names":false,"suffix":""},{"dropping-particle":"","family":"Askham","given":"J","non-dropping-particle":"","parse-names":false,"suffix":""},{"dropping-particle":"","family":"Marteau","given":"T","non-dropping-particle":"","parse-names":false,"suffix":""}],"container-title":"Health technology assessment (Winchester, England)","id":"ITEM-1","issue":"3","issued":{"date-parts":[["1998"]]},"page":"i-iv, 1-88","title":"Consensus development methods, and their use in clinical guideline development.","type":"article-journal","volume":"2"},"uris":["http://www.mendeley.com/documents/?uuid=93d54318-beb4-4b86-9731-a0364b9a1398"]}],"mendeley":{"formattedCitation":"(M. K. Murphy &lt;i&gt;et al.&lt;/i&gt;, 1998)","plainTextFormattedCitation":"(M. K. Murphy et al., 1998)","previouslyFormattedCitation":"(M. K. Murphy et al. 1998)"},"properties":{"noteIndex":0},"schema":"https://github.com/citation-style-language/schema/raw/master/csl-citation.json"}</w:instrText>
      </w:r>
      <w:r w:rsidRPr="001F799B">
        <w:rPr>
          <w:rFonts w:ascii="Times New Roman" w:hAnsi="Times New Roman" w:cs="Times New Roman"/>
          <w:sz w:val="24"/>
          <w:szCs w:val="24"/>
        </w:rPr>
        <w:fldChar w:fldCharType="separate"/>
      </w:r>
      <w:r w:rsidR="001F799B">
        <w:rPr>
          <w:rFonts w:ascii="Times New Roman" w:hAnsi="Times New Roman" w:cs="Times New Roman"/>
          <w:noProof/>
          <w:sz w:val="24"/>
          <w:szCs w:val="24"/>
        </w:rPr>
        <w:t>(</w:t>
      </w:r>
      <w:r w:rsidR="00BE3B6C" w:rsidRPr="001F799B">
        <w:rPr>
          <w:rFonts w:ascii="Times New Roman" w:hAnsi="Times New Roman" w:cs="Times New Roman"/>
          <w:noProof/>
          <w:sz w:val="24"/>
          <w:szCs w:val="24"/>
        </w:rPr>
        <w:t>Murphy et al. 1998</w:t>
      </w:r>
      <w:r w:rsidR="001F799B">
        <w:rPr>
          <w:rFonts w:ascii="Times New Roman" w:hAnsi="Times New Roman" w:cs="Times New Roman"/>
          <w:noProof/>
          <w:sz w:val="24"/>
          <w:szCs w:val="24"/>
        </w:rPr>
        <w:t>b</w:t>
      </w:r>
      <w:r w:rsidR="00BE3B6C" w:rsidRPr="001F799B">
        <w:rPr>
          <w:rFonts w:ascii="Times New Roman" w:hAnsi="Times New Roman" w:cs="Times New Roman"/>
          <w:noProof/>
          <w:sz w:val="24"/>
          <w:szCs w:val="24"/>
        </w:rPr>
        <w:t>)</w:t>
      </w:r>
      <w:r w:rsidRPr="001F799B">
        <w:rPr>
          <w:rFonts w:ascii="Times New Roman" w:hAnsi="Times New Roman" w:cs="Times New Roman"/>
          <w:sz w:val="24"/>
          <w:szCs w:val="24"/>
        </w:rPr>
        <w:fldChar w:fldCharType="end"/>
      </w:r>
      <w:r w:rsidRPr="001F799B">
        <w:rPr>
          <w:rFonts w:ascii="Times New Roman" w:hAnsi="Times New Roman" w:cs="Times New Roman"/>
          <w:sz w:val="24"/>
          <w:szCs w:val="24"/>
        </w:rPr>
        <w:t xml:space="preserve">. </w:t>
      </w:r>
      <w:r w:rsidRPr="001F799B">
        <w:rPr>
          <w:rFonts w:ascii="Times New Roman" w:eastAsia="Times New Roman" w:hAnsi="Times New Roman" w:cs="Times New Roman"/>
          <w:sz w:val="24"/>
          <w:szCs w:val="24"/>
          <w:lang w:eastAsia="en-GB"/>
        </w:rPr>
        <w:t>It is important to stress than the number of participants is less important than the makeup of the individuals selected; they should offer expertise and a range of viewpoints to be most useful</w:t>
      </w:r>
      <w:r w:rsidR="00884116" w:rsidRPr="001F799B">
        <w:rPr>
          <w:rFonts w:ascii="Times New Roman" w:eastAsia="Times New Roman" w:hAnsi="Times New Roman" w:cs="Times New Roman"/>
          <w:sz w:val="24"/>
          <w:szCs w:val="24"/>
          <w:lang w:eastAsia="en-GB"/>
        </w:rPr>
        <w:t xml:space="preserve"> </w:t>
      </w:r>
      <w:r w:rsidRPr="001F799B">
        <w:rPr>
          <w:rFonts w:ascii="Times New Roman" w:eastAsia="Times New Roman" w:hAnsi="Times New Roman" w:cs="Times New Roman"/>
          <w:sz w:val="24"/>
          <w:szCs w:val="24"/>
          <w:lang w:eastAsia="en-GB"/>
        </w:rPr>
        <w:fldChar w:fldCharType="begin" w:fldLock="1"/>
      </w:r>
      <w:r w:rsidR="00BE3B6C" w:rsidRPr="001F799B">
        <w:rPr>
          <w:rFonts w:ascii="Times New Roman" w:eastAsia="Times New Roman" w:hAnsi="Times New Roman" w:cs="Times New Roman"/>
          <w:sz w:val="24"/>
          <w:szCs w:val="24"/>
          <w:lang w:eastAsia="en-GB"/>
        </w:rPr>
        <w:instrText>ADDIN CSL_CITATION {"citationItems":[{"id":"ITEM-1","itemData":{"DOI":"10.1177/1468794113504103","ISBN":"1468-7941","ISSN":"17413109","abstract":"Delphi Groups are an increasingly popular method, not least because electronic\\n communications have made it easier to assemble a ‘virtual’ expert\\n panel, but there have been a number of review articles which have pointed to a\\n lack of rigour. Using an extended case study of a Delphi Group designed to\\n establish agreed policy recommendations and deriving from a project using\\n observational and semi-structured interview methods, this article examines the\\n value of Delphi Groups as part of a mixed method research design. The article\\n includes a narrative of the sequence of events in the Delphi Group’s\\n deliberations, a detailed examination of how the group process led to the\\n modification of one draft policy recommendation, a further examination of a\\n contested additional policy recommendation, and a list of pragmatic\\n recommendations on the conduct of Delphi Groups in respect of size, composition,\\n recruitment, contestation, timing, closure and scope.","author":[{"dropping-particle":"","family":"Bloor","given":"Michael","non-dropping-particle":"","parse-names":false,"suffix":""},{"dropping-particle":"","family":"Sampson","given":"Helen","non-dropping-particle":"","parse-names":false,"suffix":""},{"dropping-particle":"","family":"Dahlgren","given":"Katrin","non-dropping-particle":"","parse-names":false,"suffix":""}],"container-title":"Qualitative Research","id":"ITEM-1","issue":"1","issued":{"date-parts":[["2015"]]},"page":"57-70","title":"Useful but no Oracle: Reflections on the use of a Delphi Group in a multi-methods policy research study","type":"article-journal","volume":"15"},"uris":["http://www.mendeley.com/documents/?uuid=3ea9a51d-56e3-4b55-b23f-10c42c0961ae"]}],"mendeley":{"formattedCitation":"(Bloor, Sampson and Dahlgren, 2015)","plainTextFormattedCitation":"(Bloor, Sampson and Dahlgren, 2015)","previouslyFormattedCitation":"(Bloor, Sampson, and Dahlgren 2015)"},"properties":{"noteIndex":0},"schema":"https://github.com/citation-style-language/schema/raw/master/csl-citation.json"}</w:instrText>
      </w:r>
      <w:r w:rsidRPr="001F799B">
        <w:rPr>
          <w:rFonts w:ascii="Times New Roman" w:eastAsia="Times New Roman" w:hAnsi="Times New Roman" w:cs="Times New Roman"/>
          <w:sz w:val="24"/>
          <w:szCs w:val="24"/>
          <w:lang w:eastAsia="en-GB"/>
        </w:rPr>
        <w:fldChar w:fldCharType="separate"/>
      </w:r>
      <w:r w:rsidR="001F799B">
        <w:rPr>
          <w:rFonts w:ascii="Times New Roman" w:eastAsia="Times New Roman" w:hAnsi="Times New Roman" w:cs="Times New Roman"/>
          <w:noProof/>
          <w:sz w:val="24"/>
          <w:szCs w:val="24"/>
          <w:lang w:eastAsia="en-GB"/>
        </w:rPr>
        <w:t>(Bloor et al.</w:t>
      </w:r>
      <w:r w:rsidR="00BE3B6C" w:rsidRPr="001F799B">
        <w:rPr>
          <w:rFonts w:ascii="Times New Roman" w:eastAsia="Times New Roman" w:hAnsi="Times New Roman" w:cs="Times New Roman"/>
          <w:noProof/>
          <w:sz w:val="24"/>
          <w:szCs w:val="24"/>
          <w:lang w:eastAsia="en-GB"/>
        </w:rPr>
        <w:t xml:space="preserve"> 2015)</w:t>
      </w:r>
      <w:r w:rsidRPr="001F799B">
        <w:rPr>
          <w:rFonts w:ascii="Times New Roman" w:eastAsia="Times New Roman" w:hAnsi="Times New Roman" w:cs="Times New Roman"/>
          <w:sz w:val="24"/>
          <w:szCs w:val="24"/>
          <w:lang w:eastAsia="en-GB"/>
        </w:rPr>
        <w:fldChar w:fldCharType="end"/>
      </w:r>
      <w:r w:rsidRPr="001F799B">
        <w:rPr>
          <w:rFonts w:ascii="Times New Roman" w:eastAsia="Times New Roman" w:hAnsi="Times New Roman" w:cs="Times New Roman"/>
          <w:sz w:val="24"/>
          <w:szCs w:val="24"/>
          <w:lang w:eastAsia="en-GB"/>
        </w:rPr>
        <w:t xml:space="preserve">. </w:t>
      </w:r>
      <w:r w:rsidR="00884116" w:rsidRPr="001F799B">
        <w:rPr>
          <w:rFonts w:ascii="Times New Roman" w:eastAsia="Times New Roman" w:hAnsi="Times New Roman" w:cs="Times New Roman"/>
          <w:sz w:val="24"/>
          <w:szCs w:val="24"/>
          <w:lang w:eastAsia="en-GB"/>
        </w:rPr>
        <w:t>Twelve</w:t>
      </w:r>
      <w:r w:rsidRPr="001F799B">
        <w:rPr>
          <w:rFonts w:ascii="Times New Roman" w:eastAsia="Times New Roman" w:hAnsi="Times New Roman" w:cs="Times New Roman"/>
          <w:sz w:val="24"/>
          <w:szCs w:val="24"/>
          <w:lang w:eastAsia="en-GB"/>
        </w:rPr>
        <w:t xml:space="preserve"> participants were chosen for this study in line with the aforementioned guidance. It was considered reasonable to have a relatively small panel for two principle reasons. Firstly, </w:t>
      </w:r>
      <w:r w:rsidRPr="001F799B">
        <w:rPr>
          <w:rFonts w:ascii="Times New Roman" w:hAnsi="Times New Roman" w:cs="Times New Roman"/>
          <w:sz w:val="24"/>
          <w:szCs w:val="24"/>
        </w:rPr>
        <w:t>diagnostic competence is a niche topic which is really only fully understood by those individuals who judge diagnostic competence in trainees. Therefore, it would not be appropriate to use</w:t>
      </w:r>
      <w:r w:rsidR="00782F3A" w:rsidRPr="001F799B">
        <w:rPr>
          <w:rFonts w:ascii="Times New Roman" w:hAnsi="Times New Roman" w:cs="Times New Roman"/>
          <w:sz w:val="24"/>
          <w:szCs w:val="24"/>
        </w:rPr>
        <w:t xml:space="preserve"> other</w:t>
      </w:r>
      <w:r w:rsidRPr="001F799B">
        <w:rPr>
          <w:rFonts w:ascii="Times New Roman" w:hAnsi="Times New Roman" w:cs="Times New Roman"/>
          <w:sz w:val="24"/>
          <w:szCs w:val="24"/>
        </w:rPr>
        <w:t xml:space="preserve"> individuals who are often recommended participants of Delphi studies in healthcare research such as patients, providers and payers</w:t>
      </w:r>
      <w:r w:rsidR="00884116" w:rsidRPr="001F799B">
        <w:rPr>
          <w:rFonts w:ascii="Times New Roman" w:hAnsi="Times New Roman" w:cs="Times New Roman"/>
          <w:sz w:val="24"/>
          <w:szCs w:val="24"/>
        </w:rPr>
        <w:t xml:space="preserve"> </w:t>
      </w:r>
      <w:r w:rsidRPr="001F799B">
        <w:rPr>
          <w:rFonts w:ascii="Times New Roman" w:hAnsi="Times New Roman" w:cs="Times New Roman"/>
          <w:sz w:val="24"/>
          <w:szCs w:val="24"/>
        </w:rPr>
        <w:fldChar w:fldCharType="begin" w:fldLock="1"/>
      </w:r>
      <w:r w:rsidR="00BE3B6C" w:rsidRPr="001F799B">
        <w:rPr>
          <w:rFonts w:ascii="Times New Roman" w:hAnsi="Times New Roman" w:cs="Times New Roman"/>
          <w:sz w:val="24"/>
          <w:szCs w:val="24"/>
        </w:rPr>
        <w:instrText>ADDIN CSL_CITATION {"citationItems":[{"id":"ITEM-1","itemData":{"DOI":"10.1080/0142159X.2017.1245856","ISBN":"1466-187X (Electronic)\r0142-159X (Linking)","ISSN":"1466187X","PMID":"27841062","abstract":"Consensus group methods are widely used in research to identify and measure areas where incomplete evidence exists for decision-making. Despite their widespread use, these methods are often inconsistently used and reported. Using examples from the three most commonly used methods, the Delphi, Nominal Group and RAND/UCLA; this paper and associated Guide aim to describe these methods and to highlight common weaknesses in methodology and reporting. The paper out- lines a series of recommendations to assist researchers using consensus group methods in providing a comprehensive description and justification of the steps taken in their study.","author":[{"dropping-particle":"","family":"Humphrey-Murto","given":"Susan","non-dropping-particle":"","parse-names":false,"suffix":""},{"dropping-particle":"","family":"Varpio","given":"Lara","non-dropping-particle":"","parse-names":false,"suffix":""},{"dropping-particle":"","family":"Gonsalves","given":"Carol","non-dropping-particle":"","parse-names":false,"suffix":""},{"dropping-particle":"","family":"Wood","given":"Timothy J.","non-dropping-particle":"","parse-names":false,"suffix":""}],"container-title":"Medical Teacher","id":"ITEM-1","issue":"1","issued":{"date-parts":[["2017"]]},"page":"14-19","title":"Using consensus group methods such as Delphi and Nominal Group in medical education research*","type":"article-journal","volume":"39"},"uris":["http://www.mendeley.com/documents/?uuid=5f2102d1-ea3b-4f76-8fe9-c0e2487cfb8a"]}],"mendeley":{"formattedCitation":"(Humphrey-Murto &lt;i&gt;et al.&lt;/i&gt;, 2017)","plainTextFormattedCitation":"(Humphrey-Murto et al., 2017)","previouslyFormattedCitation":"(Humphrey-Murto et al. 2017)"},"properties":{"noteIndex":0},"schema":"https://github.com/citation-style-language/schema/raw/master/csl-citation.json"}</w:instrText>
      </w:r>
      <w:r w:rsidRPr="001F799B">
        <w:rPr>
          <w:rFonts w:ascii="Times New Roman" w:hAnsi="Times New Roman" w:cs="Times New Roman"/>
          <w:sz w:val="24"/>
          <w:szCs w:val="24"/>
        </w:rPr>
        <w:fldChar w:fldCharType="separate"/>
      </w:r>
      <w:r w:rsidR="001005AC">
        <w:rPr>
          <w:rFonts w:ascii="Times New Roman" w:hAnsi="Times New Roman" w:cs="Times New Roman"/>
          <w:noProof/>
          <w:sz w:val="24"/>
          <w:szCs w:val="24"/>
        </w:rPr>
        <w:t>(Humphrey-Murto et al.</w:t>
      </w:r>
      <w:r w:rsidR="00BE3B6C" w:rsidRPr="001F799B">
        <w:rPr>
          <w:rFonts w:ascii="Times New Roman" w:hAnsi="Times New Roman" w:cs="Times New Roman"/>
          <w:noProof/>
          <w:sz w:val="24"/>
          <w:szCs w:val="24"/>
        </w:rPr>
        <w:t xml:space="preserve"> 2017)</w:t>
      </w:r>
      <w:r w:rsidRPr="001F799B">
        <w:rPr>
          <w:rFonts w:ascii="Times New Roman" w:hAnsi="Times New Roman" w:cs="Times New Roman"/>
          <w:sz w:val="24"/>
          <w:szCs w:val="24"/>
        </w:rPr>
        <w:fldChar w:fldCharType="end"/>
      </w:r>
      <w:r w:rsidRPr="001F799B">
        <w:rPr>
          <w:rFonts w:ascii="Times New Roman" w:hAnsi="Times New Roman" w:cs="Times New Roman"/>
          <w:sz w:val="24"/>
          <w:szCs w:val="24"/>
        </w:rPr>
        <w:t xml:space="preserve">, as they would not offer much insight into this complex judgement </w:t>
      </w:r>
      <w:r w:rsidRPr="006F3B00">
        <w:rPr>
          <w:rFonts w:ascii="Times New Roman" w:hAnsi="Times New Roman" w:cs="Times New Roman"/>
          <w:sz w:val="24"/>
          <w:szCs w:val="24"/>
        </w:rPr>
        <w:t xml:space="preserve">task. Rather, having a select group of individuals who understand the task fully was more appropriate. Secondly, in some Delphi studies, the first step is generating a list of items to rate in the next round. As the items in this </w:t>
      </w:r>
      <w:r w:rsidRPr="006F3B00">
        <w:rPr>
          <w:rFonts w:ascii="Times New Roman" w:hAnsi="Times New Roman" w:cs="Times New Roman"/>
          <w:sz w:val="24"/>
          <w:szCs w:val="24"/>
        </w:rPr>
        <w:lastRenderedPageBreak/>
        <w:t xml:space="preserve">study had already been generated through qualitative interviews, less pooling of ideas and therefore fewer participants were needed. </w:t>
      </w:r>
    </w:p>
    <w:p w14:paraId="255E6C84" w14:textId="295231BB" w:rsidR="00863DF5" w:rsidRPr="006F3B00" w:rsidRDefault="007A712D" w:rsidP="00597DF6">
      <w:pPr>
        <w:pStyle w:val="Heading3"/>
        <w:rPr>
          <w:rFonts w:ascii="Times New Roman" w:hAnsi="Times New Roman" w:cs="Times New Roman"/>
          <w:color w:val="auto"/>
          <w:sz w:val="24"/>
          <w:szCs w:val="24"/>
        </w:rPr>
      </w:pPr>
      <w:bookmarkStart w:id="104" w:name="_Toc23243833"/>
      <w:r>
        <w:rPr>
          <w:rFonts w:ascii="Times New Roman" w:hAnsi="Times New Roman" w:cs="Times New Roman"/>
          <w:color w:val="auto"/>
          <w:sz w:val="24"/>
          <w:szCs w:val="24"/>
        </w:rPr>
        <w:t>5.3</w:t>
      </w:r>
      <w:r w:rsidR="00597DF6" w:rsidRPr="006F3B00">
        <w:rPr>
          <w:rFonts w:ascii="Times New Roman" w:hAnsi="Times New Roman" w:cs="Times New Roman"/>
          <w:color w:val="auto"/>
          <w:sz w:val="24"/>
          <w:szCs w:val="24"/>
        </w:rPr>
        <w:t xml:space="preserve">.2 </w:t>
      </w:r>
      <w:r w:rsidR="00863DF5" w:rsidRPr="006F3B00">
        <w:rPr>
          <w:rFonts w:ascii="Times New Roman" w:hAnsi="Times New Roman" w:cs="Times New Roman"/>
          <w:color w:val="auto"/>
          <w:sz w:val="24"/>
          <w:szCs w:val="24"/>
        </w:rPr>
        <w:t>Determining items, rating, ranking consensus, stability and number of rounds</w:t>
      </w:r>
      <w:bookmarkEnd w:id="104"/>
    </w:p>
    <w:p w14:paraId="3275B7F4" w14:textId="77777777" w:rsidR="00597DF6" w:rsidRPr="006F3B00" w:rsidRDefault="00597DF6" w:rsidP="00597DF6">
      <w:pPr>
        <w:rPr>
          <w:rFonts w:ascii="Times New Roman" w:hAnsi="Times New Roman" w:cs="Times New Roman"/>
          <w:sz w:val="24"/>
          <w:szCs w:val="24"/>
          <w:lang w:val="en-GB"/>
        </w:rPr>
      </w:pPr>
    </w:p>
    <w:p w14:paraId="691EE7BA" w14:textId="594B5B25" w:rsidR="00863DF5" w:rsidRPr="003A1EBD" w:rsidRDefault="007A712D" w:rsidP="003A1EBD">
      <w:pPr>
        <w:pStyle w:val="Heading4"/>
        <w:rPr>
          <w:rFonts w:ascii="Times New Roman" w:hAnsi="Times New Roman" w:cs="Times New Roman"/>
          <w:i w:val="0"/>
          <w:color w:val="auto"/>
          <w:sz w:val="24"/>
          <w:szCs w:val="24"/>
        </w:rPr>
      </w:pPr>
      <w:r>
        <w:rPr>
          <w:rFonts w:ascii="Times New Roman" w:hAnsi="Times New Roman" w:cs="Times New Roman"/>
          <w:i w:val="0"/>
          <w:color w:val="auto"/>
          <w:sz w:val="24"/>
          <w:szCs w:val="24"/>
        </w:rPr>
        <w:t>5.3</w:t>
      </w:r>
      <w:r w:rsidR="00935DDF" w:rsidRPr="003A1EBD">
        <w:rPr>
          <w:rFonts w:ascii="Times New Roman" w:hAnsi="Times New Roman" w:cs="Times New Roman"/>
          <w:i w:val="0"/>
          <w:color w:val="auto"/>
          <w:sz w:val="24"/>
          <w:szCs w:val="24"/>
        </w:rPr>
        <w:t xml:space="preserve">.2.1 </w:t>
      </w:r>
      <w:r w:rsidR="00863DF5" w:rsidRPr="003A1EBD">
        <w:rPr>
          <w:rFonts w:ascii="Times New Roman" w:hAnsi="Times New Roman" w:cs="Times New Roman"/>
          <w:i w:val="0"/>
          <w:color w:val="auto"/>
          <w:sz w:val="24"/>
          <w:szCs w:val="24"/>
        </w:rPr>
        <w:t>Items</w:t>
      </w:r>
    </w:p>
    <w:p w14:paraId="28E64B72" w14:textId="7B7AE8E6" w:rsidR="00AF78D1" w:rsidRDefault="00863DF5" w:rsidP="00935DDF">
      <w:pPr>
        <w:spacing w:line="480" w:lineRule="auto"/>
        <w:rPr>
          <w:rFonts w:ascii="Times New Roman" w:hAnsi="Times New Roman" w:cs="Times New Roman"/>
          <w:sz w:val="24"/>
          <w:szCs w:val="24"/>
        </w:rPr>
      </w:pPr>
      <w:r w:rsidRPr="00935DDF">
        <w:rPr>
          <w:rFonts w:ascii="Times New Roman" w:hAnsi="Times New Roman" w:cs="Times New Roman"/>
          <w:sz w:val="24"/>
          <w:szCs w:val="24"/>
        </w:rPr>
        <w:t xml:space="preserve">These items were generated from the qualitative interview data described in the previous chapter.  </w:t>
      </w:r>
      <w:r w:rsidR="00884116">
        <w:rPr>
          <w:rFonts w:ascii="Times New Roman" w:hAnsi="Times New Roman" w:cs="Times New Roman"/>
          <w:sz w:val="24"/>
          <w:szCs w:val="24"/>
        </w:rPr>
        <w:t>T</w:t>
      </w:r>
      <w:r w:rsidRPr="00935DDF">
        <w:rPr>
          <w:rFonts w:ascii="Times New Roman" w:hAnsi="Times New Roman" w:cs="Times New Roman"/>
          <w:sz w:val="24"/>
          <w:szCs w:val="24"/>
        </w:rPr>
        <w:t xml:space="preserve">he themes and sub-themes </w:t>
      </w:r>
      <w:r w:rsidR="00884116">
        <w:rPr>
          <w:rFonts w:ascii="Times New Roman" w:hAnsi="Times New Roman" w:cs="Times New Roman"/>
          <w:sz w:val="24"/>
          <w:szCs w:val="24"/>
        </w:rPr>
        <w:t xml:space="preserve">were re-examined </w:t>
      </w:r>
      <w:r w:rsidRPr="00935DDF">
        <w:rPr>
          <w:rFonts w:ascii="Times New Roman" w:hAnsi="Times New Roman" w:cs="Times New Roman"/>
          <w:sz w:val="24"/>
          <w:szCs w:val="24"/>
        </w:rPr>
        <w:t>to develop descriptions that would form items that could be rated by participants. Th</w:t>
      </w:r>
      <w:r w:rsidR="00782F3A" w:rsidRPr="00935DDF">
        <w:rPr>
          <w:rFonts w:ascii="Times New Roman" w:hAnsi="Times New Roman" w:cs="Times New Roman"/>
          <w:sz w:val="24"/>
          <w:szCs w:val="24"/>
        </w:rPr>
        <w:t>rough an iterative manner, the</w:t>
      </w:r>
      <w:r w:rsidRPr="00935DDF">
        <w:rPr>
          <w:rFonts w:ascii="Times New Roman" w:hAnsi="Times New Roman" w:cs="Times New Roman"/>
          <w:sz w:val="24"/>
          <w:szCs w:val="24"/>
        </w:rPr>
        <w:t xml:space="preserve"> exact wording was changed several times before a list of 27 items was created (s</w:t>
      </w:r>
      <w:r w:rsidR="00782F3A" w:rsidRPr="00935DDF">
        <w:rPr>
          <w:rFonts w:ascii="Times New Roman" w:hAnsi="Times New Roman" w:cs="Times New Roman"/>
          <w:sz w:val="24"/>
          <w:szCs w:val="24"/>
        </w:rPr>
        <w:t xml:space="preserve">ee </w:t>
      </w:r>
      <w:r w:rsidR="00926E09">
        <w:rPr>
          <w:rFonts w:ascii="Times New Roman" w:hAnsi="Times New Roman" w:cs="Times New Roman"/>
          <w:sz w:val="24"/>
          <w:szCs w:val="24"/>
        </w:rPr>
        <w:t>Table 5.1</w:t>
      </w:r>
      <w:r w:rsidR="00782F3A" w:rsidRPr="00935DDF">
        <w:rPr>
          <w:rFonts w:ascii="Times New Roman" w:hAnsi="Times New Roman" w:cs="Times New Roman"/>
          <w:sz w:val="24"/>
          <w:szCs w:val="24"/>
        </w:rPr>
        <w:t xml:space="preserve">). Some items </w:t>
      </w:r>
      <w:r w:rsidRPr="00935DDF">
        <w:rPr>
          <w:rFonts w:ascii="Times New Roman" w:hAnsi="Times New Roman" w:cs="Times New Roman"/>
          <w:sz w:val="24"/>
          <w:szCs w:val="24"/>
        </w:rPr>
        <w:t>were self-explicit such as the “The diagnosis is correct” whereas others incorporated more complex ideas. For instance, for the item “Trainee shows evidence of clinico-pathological correlation”, specific examples of what this might include were provided to participants to aid understanding. This was important so that the item didn’t lose its sense of meaning and was made clear to participants. As such, creation of the 27 items was a balance between making sure they represented the themes present in the qualitative interview data and ensuring they were concise enough so the number of items was not too long or over-complicated, as</w:t>
      </w:r>
      <w:r w:rsidR="00782F3A" w:rsidRPr="00935DDF">
        <w:rPr>
          <w:rFonts w:ascii="Times New Roman" w:hAnsi="Times New Roman" w:cs="Times New Roman"/>
          <w:sz w:val="24"/>
          <w:szCs w:val="24"/>
        </w:rPr>
        <w:t xml:space="preserve"> it has been shown</w:t>
      </w:r>
      <w:r w:rsidRPr="00935DDF">
        <w:rPr>
          <w:rFonts w:ascii="Times New Roman" w:hAnsi="Times New Roman" w:cs="Times New Roman"/>
          <w:sz w:val="24"/>
          <w:szCs w:val="24"/>
        </w:rPr>
        <w:t xml:space="preserve"> this can limit responses</w:t>
      </w:r>
      <w:r w:rsidR="00884116">
        <w:rPr>
          <w:rFonts w:ascii="Times New Roman" w:hAnsi="Times New Roman" w:cs="Times New Roman"/>
          <w:sz w:val="24"/>
          <w:szCs w:val="24"/>
        </w:rPr>
        <w:t xml:space="preserve"> </w:t>
      </w:r>
      <w:r w:rsidRPr="00935DDF">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{"citationItems":[{"id":"ITEM-1","itemData":{"DOI":"10.1080/13611260500069947","ISBN":"0142-159X (Print)\\r0142-159X (Linking)","ISSN":"0142159X","PMID":"16332558","abstract":"The Delphi technique is a method of collecting opinion on a particular research question. It is based on the premise that pooled intelligence enhances individual judgement and captures the collective opinion of a group of experts without being physically assembled. The conventional Delphi uses a series of questionnaires to generate expert opinion in an anonymous fashion and takes place over a series of rounds. The technique is becoming a popular strategy that straddles both quantitative and qualitative realms. Issues that are critical to its validity are the development of the questionnaire; definition of consensus and how to interpret non-consensus; criteria for and selection of the expert panel; sample size; and data analysis. The authors used the Delphi technique to assist with making recommendations regarding education and training for medical practitioners working in district hospitals in South Africa. The objective of this Delphi was to obtain consensus opinion on content and methods relating to the maintenance of competence of these doctors. They believe the experience gained from their work may be useful for other health science education researchers wishing to use the Delphi method.","author":[{"dropping-particle":"","family":"Villiers","given":"Marietjie R.","non-dropping-particle":"de","parse-names":false,"suffix":""},{"dropping-particle":"","family":"Villiers","given":"Pierre J T","non-dropping-particle":"de","parse-names":false,"suffix":""},{"dropping-particle":"","family":"Kent","given":"Athol P.","non-dropping-particle":"","parse-names":false,"suffix":""}],"container-title":"Medical Teacher","id":"ITEM-1","issue":"7","issued":{"date-parts":[["2005"]]},"page":"639-643","title":"The Delphi technique in health sciences education research","type":"article-journal","volume":"27"},"uris":["http://www.mendeley.com/documents/?uuid=e6b3ee75-8c6a-4921-a693-04f3af45c10e"]}],"mendeley":{"formattedCitation":"(de Villiers, de Villiers and Kent, 2005)","plainTextFormattedCitation":"(de Villiers, de Villiers and Kent, 2005)","previouslyFormattedCitation":"(de Villiers, de Villiers, and Kent 2005)"},"properties":{"noteIndex":0},"schema":"https://github.com/citation-style-language/schema/raw/master/csl-citation.json"}</w:instrText>
      </w:r>
      <w:r w:rsidRPr="00935DDF">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(de</w:t>
      </w:r>
      <w:r w:rsidR="001005AC">
        <w:rPr>
          <w:rFonts w:ascii="Times New Roman" w:hAnsi="Times New Roman" w:cs="Times New Roman"/>
          <w:noProof/>
          <w:sz w:val="24"/>
          <w:szCs w:val="24"/>
        </w:rPr>
        <w:t xml:space="preserve"> Villiers, de Villiers and Kent</w:t>
      </w:r>
      <w:r w:rsidR="00BE3B6C" w:rsidRPr="00BE3B6C">
        <w:rPr>
          <w:rFonts w:ascii="Times New Roman" w:hAnsi="Times New Roman" w:cs="Times New Roman"/>
          <w:noProof/>
          <w:sz w:val="24"/>
          <w:szCs w:val="24"/>
        </w:rPr>
        <w:t xml:space="preserve"> 2005)</w:t>
      </w:r>
      <w:r w:rsidRPr="00935DDF">
        <w:rPr>
          <w:rFonts w:ascii="Times New Roman" w:hAnsi="Times New Roman" w:cs="Times New Roman"/>
          <w:sz w:val="24"/>
          <w:szCs w:val="24"/>
        </w:rPr>
        <w:fldChar w:fldCharType="end"/>
      </w:r>
      <w:r w:rsidRPr="00935DDF">
        <w:rPr>
          <w:rFonts w:ascii="Times New Roman" w:hAnsi="Times New Roman" w:cs="Times New Roman"/>
          <w:sz w:val="24"/>
          <w:szCs w:val="24"/>
        </w:rPr>
        <w:t>. Items were also</w:t>
      </w:r>
      <w:r w:rsidR="00031DB4" w:rsidRPr="00935DDF">
        <w:rPr>
          <w:rFonts w:ascii="Times New Roman" w:hAnsi="Times New Roman" w:cs="Times New Roman"/>
          <w:sz w:val="24"/>
          <w:szCs w:val="24"/>
        </w:rPr>
        <w:t xml:space="preserve"> grouped under headings to place</w:t>
      </w:r>
      <w:r w:rsidRPr="00935DDF">
        <w:rPr>
          <w:rFonts w:ascii="Times New Roman" w:hAnsi="Times New Roman" w:cs="Times New Roman"/>
          <w:sz w:val="24"/>
          <w:szCs w:val="24"/>
        </w:rPr>
        <w:t xml:space="preserve"> simila</w:t>
      </w:r>
      <w:r w:rsidR="00031DB4" w:rsidRPr="00935DDF">
        <w:rPr>
          <w:rFonts w:ascii="Times New Roman" w:hAnsi="Times New Roman" w:cs="Times New Roman"/>
          <w:sz w:val="24"/>
          <w:szCs w:val="24"/>
        </w:rPr>
        <w:t xml:space="preserve">r items </w:t>
      </w:r>
      <w:r w:rsidR="00416BD6">
        <w:rPr>
          <w:rFonts w:ascii="Times New Roman" w:hAnsi="Times New Roman" w:cs="Times New Roman"/>
          <w:sz w:val="24"/>
          <w:szCs w:val="24"/>
        </w:rPr>
        <w:t>together (see T</w:t>
      </w:r>
      <w:r w:rsidR="00031DB4" w:rsidRPr="003A1EBD">
        <w:rPr>
          <w:rFonts w:ascii="Times New Roman" w:hAnsi="Times New Roman" w:cs="Times New Roman"/>
          <w:sz w:val="24"/>
          <w:szCs w:val="24"/>
        </w:rPr>
        <w:t>able</w:t>
      </w:r>
      <w:r w:rsidR="000F1153">
        <w:rPr>
          <w:rFonts w:ascii="Times New Roman" w:hAnsi="Times New Roman" w:cs="Times New Roman"/>
          <w:sz w:val="24"/>
          <w:szCs w:val="24"/>
        </w:rPr>
        <w:t xml:space="preserve"> 5.</w:t>
      </w:r>
      <w:r w:rsidR="003A1EBD" w:rsidRPr="003A1EBD">
        <w:rPr>
          <w:rFonts w:ascii="Times New Roman" w:hAnsi="Times New Roman" w:cs="Times New Roman"/>
          <w:sz w:val="24"/>
          <w:szCs w:val="24"/>
        </w:rPr>
        <w:t>1</w:t>
      </w:r>
      <w:r w:rsidR="00396E8F">
        <w:rPr>
          <w:rFonts w:ascii="Times New Roman" w:hAnsi="Times New Roman" w:cs="Times New Roman"/>
          <w:sz w:val="24"/>
          <w:szCs w:val="24"/>
        </w:rPr>
        <w:t>).</w:t>
      </w:r>
    </w:p>
    <w:p w14:paraId="4804B33A" w14:textId="277E1227" w:rsidR="0064667D" w:rsidRDefault="0064667D" w:rsidP="00935DDF">
      <w:pPr>
        <w:spacing w:line="480" w:lineRule="auto"/>
        <w:rPr>
          <w:rFonts w:ascii="Times New Roman" w:hAnsi="Times New Roman" w:cs="Times New Roman"/>
          <w:sz w:val="24"/>
          <w:szCs w:val="24"/>
        </w:rPr>
      </w:pPr>
    </w:p>
    <w:p w14:paraId="2A8B2F92" w14:textId="66CB3ACF" w:rsidR="0064667D" w:rsidRDefault="0064667D" w:rsidP="00935DDF">
      <w:pPr>
        <w:spacing w:line="480" w:lineRule="auto"/>
        <w:rPr>
          <w:rFonts w:ascii="Times New Roman" w:hAnsi="Times New Roman" w:cs="Times New Roman"/>
          <w:sz w:val="24"/>
          <w:szCs w:val="24"/>
        </w:rPr>
      </w:pPr>
    </w:p>
    <w:p w14:paraId="1D9BF696" w14:textId="477A4E04" w:rsidR="0064667D" w:rsidRDefault="0064667D" w:rsidP="00935DDF">
      <w:pPr>
        <w:spacing w:line="480" w:lineRule="auto"/>
        <w:rPr>
          <w:rFonts w:ascii="Times New Roman" w:hAnsi="Times New Roman" w:cs="Times New Roman"/>
          <w:sz w:val="24"/>
          <w:szCs w:val="24"/>
        </w:rPr>
      </w:pPr>
    </w:p>
    <w:p w14:paraId="3A0FCFD0" w14:textId="36757922" w:rsidR="0064667D" w:rsidRDefault="0064667D" w:rsidP="00935DDF">
      <w:pPr>
        <w:spacing w:line="480" w:lineRule="auto"/>
        <w:rPr>
          <w:rFonts w:ascii="Times New Roman" w:hAnsi="Times New Roman" w:cs="Times New Roman"/>
          <w:sz w:val="24"/>
          <w:szCs w:val="24"/>
        </w:rPr>
      </w:pPr>
    </w:p>
    <w:p w14:paraId="1BD2DD79" w14:textId="63104BB9" w:rsidR="0064667D" w:rsidRPr="00396E8F" w:rsidRDefault="0064667D" w:rsidP="00935DDF">
      <w:pPr>
        <w:spacing w:line="480" w:lineRule="auto"/>
        <w:rPr>
          <w:rFonts w:ascii="Times New Roman" w:hAnsi="Times New Roman" w:cs="Times New Roman"/>
          <w:color w:val="FF0000"/>
          <w:sz w:val="24"/>
          <w:szCs w:val="24"/>
        </w:rPr>
      </w:pPr>
    </w:p>
    <w:tbl>
      <w:tblPr>
        <w:tblStyle w:val="TableGrid"/>
        <w:tblW w:w="8635" w:type="dxa"/>
        <w:jc w:val="center"/>
        <w:tblLayout w:type="fixed"/>
        <w:tblLook w:val="04A0" w:firstRow="1" w:lastRow="0" w:firstColumn="1" w:lastColumn="0" w:noHBand="0" w:noVBand="1"/>
      </w:tblPr>
      <w:tblGrid>
        <w:gridCol w:w="2695"/>
        <w:gridCol w:w="720"/>
        <w:gridCol w:w="540"/>
        <w:gridCol w:w="540"/>
        <w:gridCol w:w="540"/>
        <w:gridCol w:w="540"/>
        <w:gridCol w:w="540"/>
        <w:gridCol w:w="720"/>
        <w:gridCol w:w="540"/>
        <w:gridCol w:w="540"/>
        <w:gridCol w:w="720"/>
      </w:tblGrid>
      <w:tr w:rsidR="00AF78D1" w:rsidRPr="00621BC3" w14:paraId="6229D16F" w14:textId="77777777" w:rsidTr="0064667D">
        <w:trPr>
          <w:trHeight w:val="651"/>
          <w:jc w:val="center"/>
        </w:trPr>
        <w:tc>
          <w:tcPr>
            <w:tcW w:w="2695" w:type="dxa"/>
            <w:tcBorders>
              <w:top w:val="single" w:sz="4" w:space="0" w:color="auto"/>
              <w:left w:val="single" w:sz="4" w:space="0" w:color="auto"/>
              <w:bottom w:val="single" w:sz="4" w:space="0" w:color="auto"/>
              <w:right w:val="single" w:sz="4" w:space="0" w:color="auto"/>
            </w:tcBorders>
          </w:tcPr>
          <w:p w14:paraId="4C760C92" w14:textId="77777777" w:rsidR="00AF78D1" w:rsidRPr="00621BC3" w:rsidRDefault="00AF78D1" w:rsidP="0064667D">
            <w:pPr>
              <w:rPr>
                <w:rFonts w:ascii="Times New Roman" w:hAnsi="Times New Roman" w:cs="Times New Roman"/>
                <w:b/>
              </w:rPr>
            </w:pPr>
          </w:p>
        </w:tc>
        <w:tc>
          <w:tcPr>
            <w:tcW w:w="5940" w:type="dxa"/>
            <w:gridSpan w:val="10"/>
            <w:tcBorders>
              <w:top w:val="single" w:sz="4" w:space="0" w:color="auto"/>
              <w:left w:val="single" w:sz="4" w:space="0" w:color="auto"/>
              <w:bottom w:val="single" w:sz="4" w:space="0" w:color="auto"/>
              <w:right w:val="single" w:sz="4" w:space="0" w:color="auto"/>
            </w:tcBorders>
          </w:tcPr>
          <w:p w14:paraId="67CD0E09" w14:textId="665907F1" w:rsidR="00AF78D1" w:rsidRPr="00621BC3" w:rsidRDefault="00AF78D1" w:rsidP="0064667D">
            <w:pPr>
              <w:rPr>
                <w:rFonts w:ascii="Times New Roman" w:hAnsi="Times New Roman" w:cs="Times New Roman"/>
                <w:b/>
              </w:rPr>
            </w:pPr>
            <w:r w:rsidRPr="00621BC3">
              <w:rPr>
                <w:rFonts w:ascii="Times New Roman" w:hAnsi="Times New Roman" w:cs="Times New Roman"/>
                <w:b/>
              </w:rPr>
              <w:t xml:space="preserve">Definitely not important     </w:t>
            </w:r>
            <w:r w:rsidR="00396E8F">
              <w:rPr>
                <w:rFonts w:ascii="Times New Roman" w:hAnsi="Times New Roman" w:cs="Times New Roman"/>
                <w:b/>
              </w:rPr>
              <w:t xml:space="preserve">                  </w:t>
            </w:r>
            <w:r>
              <w:rPr>
                <w:rFonts w:ascii="Times New Roman" w:hAnsi="Times New Roman" w:cs="Times New Roman"/>
                <w:b/>
              </w:rPr>
              <w:t>Definitely important</w:t>
            </w:r>
          </w:p>
          <w:p w14:paraId="40A056AC" w14:textId="77777777" w:rsidR="00AF78D1" w:rsidRPr="00621BC3" w:rsidRDefault="00AF78D1" w:rsidP="0064667D">
            <w:pPr>
              <w:rPr>
                <w:rFonts w:ascii="Times New Roman" w:hAnsi="Times New Roman" w:cs="Times New Roman"/>
                <w:b/>
              </w:rPr>
            </w:pPr>
          </w:p>
        </w:tc>
      </w:tr>
      <w:tr w:rsidR="0064667D" w:rsidRPr="00621BC3" w14:paraId="53102EC1" w14:textId="77777777" w:rsidTr="0064667D">
        <w:trPr>
          <w:trHeight w:val="560"/>
          <w:jc w:val="center"/>
        </w:trPr>
        <w:tc>
          <w:tcPr>
            <w:tcW w:w="2695" w:type="dxa"/>
            <w:tcBorders>
              <w:top w:val="single" w:sz="4" w:space="0" w:color="auto"/>
              <w:left w:val="single" w:sz="4" w:space="0" w:color="auto"/>
              <w:bottom w:val="single" w:sz="4" w:space="0" w:color="auto"/>
              <w:right w:val="single" w:sz="4" w:space="0" w:color="auto"/>
            </w:tcBorders>
            <w:hideMark/>
          </w:tcPr>
          <w:p w14:paraId="79547E11" w14:textId="56DB0C88" w:rsidR="00AF78D1" w:rsidRDefault="00396E8F" w:rsidP="0064667D">
            <w:pPr>
              <w:rPr>
                <w:rFonts w:ascii="Times New Roman" w:hAnsi="Times New Roman" w:cs="Times New Roman"/>
                <w:b/>
                <w:sz w:val="28"/>
                <w:szCs w:val="28"/>
              </w:rPr>
            </w:pPr>
            <w:r>
              <w:rPr>
                <w:rFonts w:ascii="Times New Roman" w:hAnsi="Times New Roman" w:cs="Times New Roman"/>
                <w:b/>
                <w:sz w:val="28"/>
                <w:szCs w:val="28"/>
              </w:rPr>
              <w:t>Stage of training</w:t>
            </w:r>
          </w:p>
          <w:p w14:paraId="39753DD9" w14:textId="77777777" w:rsidR="00AF78D1" w:rsidRPr="00621BC3" w:rsidRDefault="00AF78D1" w:rsidP="0064667D">
            <w:pPr>
              <w:rPr>
                <w:rFonts w:ascii="Times New Roman" w:hAnsi="Times New Roman" w:cs="Times New Roman"/>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61D2886B"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1</w:t>
            </w:r>
          </w:p>
        </w:tc>
        <w:tc>
          <w:tcPr>
            <w:tcW w:w="540" w:type="dxa"/>
            <w:tcBorders>
              <w:top w:val="single" w:sz="4" w:space="0" w:color="auto"/>
              <w:left w:val="single" w:sz="4" w:space="0" w:color="auto"/>
              <w:bottom w:val="single" w:sz="4" w:space="0" w:color="auto"/>
              <w:right w:val="single" w:sz="4" w:space="0" w:color="auto"/>
            </w:tcBorders>
            <w:hideMark/>
          </w:tcPr>
          <w:p w14:paraId="64C861DC"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2</w:t>
            </w:r>
          </w:p>
        </w:tc>
        <w:tc>
          <w:tcPr>
            <w:tcW w:w="540" w:type="dxa"/>
            <w:tcBorders>
              <w:top w:val="single" w:sz="4" w:space="0" w:color="auto"/>
              <w:left w:val="single" w:sz="4" w:space="0" w:color="auto"/>
              <w:bottom w:val="single" w:sz="4" w:space="0" w:color="auto"/>
              <w:right w:val="single" w:sz="4" w:space="0" w:color="auto"/>
            </w:tcBorders>
            <w:hideMark/>
          </w:tcPr>
          <w:p w14:paraId="765F31D3"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3</w:t>
            </w:r>
          </w:p>
        </w:tc>
        <w:tc>
          <w:tcPr>
            <w:tcW w:w="540" w:type="dxa"/>
            <w:tcBorders>
              <w:top w:val="single" w:sz="4" w:space="0" w:color="auto"/>
              <w:left w:val="single" w:sz="4" w:space="0" w:color="auto"/>
              <w:bottom w:val="single" w:sz="4" w:space="0" w:color="auto"/>
              <w:right w:val="single" w:sz="4" w:space="0" w:color="auto"/>
            </w:tcBorders>
            <w:hideMark/>
          </w:tcPr>
          <w:p w14:paraId="3D0763FD"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4</w:t>
            </w:r>
          </w:p>
        </w:tc>
        <w:tc>
          <w:tcPr>
            <w:tcW w:w="540" w:type="dxa"/>
            <w:tcBorders>
              <w:top w:val="single" w:sz="4" w:space="0" w:color="auto"/>
              <w:left w:val="single" w:sz="4" w:space="0" w:color="auto"/>
              <w:bottom w:val="single" w:sz="4" w:space="0" w:color="auto"/>
              <w:right w:val="single" w:sz="4" w:space="0" w:color="auto"/>
            </w:tcBorders>
            <w:hideMark/>
          </w:tcPr>
          <w:p w14:paraId="5F93AFF5"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5</w:t>
            </w:r>
          </w:p>
        </w:tc>
        <w:tc>
          <w:tcPr>
            <w:tcW w:w="540" w:type="dxa"/>
            <w:tcBorders>
              <w:top w:val="single" w:sz="4" w:space="0" w:color="auto"/>
              <w:left w:val="single" w:sz="4" w:space="0" w:color="auto"/>
              <w:bottom w:val="single" w:sz="4" w:space="0" w:color="auto"/>
              <w:right w:val="single" w:sz="4" w:space="0" w:color="auto"/>
            </w:tcBorders>
            <w:hideMark/>
          </w:tcPr>
          <w:p w14:paraId="3FD23C0C"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6</w:t>
            </w:r>
          </w:p>
        </w:tc>
        <w:tc>
          <w:tcPr>
            <w:tcW w:w="720" w:type="dxa"/>
            <w:tcBorders>
              <w:top w:val="single" w:sz="4" w:space="0" w:color="auto"/>
              <w:left w:val="single" w:sz="4" w:space="0" w:color="auto"/>
              <w:bottom w:val="single" w:sz="4" w:space="0" w:color="auto"/>
              <w:right w:val="single" w:sz="4" w:space="0" w:color="auto"/>
            </w:tcBorders>
            <w:hideMark/>
          </w:tcPr>
          <w:p w14:paraId="7F565D5D"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7</w:t>
            </w:r>
          </w:p>
        </w:tc>
        <w:tc>
          <w:tcPr>
            <w:tcW w:w="540" w:type="dxa"/>
            <w:tcBorders>
              <w:top w:val="single" w:sz="4" w:space="0" w:color="auto"/>
              <w:left w:val="single" w:sz="4" w:space="0" w:color="auto"/>
              <w:bottom w:val="single" w:sz="4" w:space="0" w:color="auto"/>
              <w:right w:val="single" w:sz="4" w:space="0" w:color="auto"/>
            </w:tcBorders>
            <w:hideMark/>
          </w:tcPr>
          <w:p w14:paraId="2F48C427"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8</w:t>
            </w:r>
          </w:p>
        </w:tc>
        <w:tc>
          <w:tcPr>
            <w:tcW w:w="540" w:type="dxa"/>
            <w:tcBorders>
              <w:top w:val="single" w:sz="4" w:space="0" w:color="auto"/>
              <w:left w:val="single" w:sz="4" w:space="0" w:color="auto"/>
              <w:bottom w:val="single" w:sz="4" w:space="0" w:color="auto"/>
              <w:right w:val="single" w:sz="4" w:space="0" w:color="auto"/>
            </w:tcBorders>
            <w:hideMark/>
          </w:tcPr>
          <w:p w14:paraId="1599E051"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9</w:t>
            </w:r>
          </w:p>
        </w:tc>
        <w:tc>
          <w:tcPr>
            <w:tcW w:w="720" w:type="dxa"/>
            <w:tcBorders>
              <w:top w:val="single" w:sz="4" w:space="0" w:color="auto"/>
              <w:left w:val="single" w:sz="4" w:space="0" w:color="auto"/>
              <w:bottom w:val="single" w:sz="4" w:space="0" w:color="auto"/>
              <w:right w:val="single" w:sz="4" w:space="0" w:color="auto"/>
            </w:tcBorders>
            <w:hideMark/>
          </w:tcPr>
          <w:p w14:paraId="4B3F363A"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10</w:t>
            </w:r>
          </w:p>
        </w:tc>
      </w:tr>
      <w:tr w:rsidR="0064667D" w:rsidRPr="00621BC3" w14:paraId="70D68B51" w14:textId="77777777" w:rsidTr="0064667D">
        <w:trPr>
          <w:trHeight w:val="429"/>
          <w:jc w:val="center"/>
        </w:trPr>
        <w:tc>
          <w:tcPr>
            <w:tcW w:w="2695" w:type="dxa"/>
            <w:tcBorders>
              <w:top w:val="single" w:sz="4" w:space="0" w:color="auto"/>
              <w:left w:val="single" w:sz="4" w:space="0" w:color="auto"/>
              <w:bottom w:val="single" w:sz="4" w:space="0" w:color="auto"/>
              <w:right w:val="single" w:sz="4" w:space="0" w:color="auto"/>
            </w:tcBorders>
          </w:tcPr>
          <w:p w14:paraId="2EDE7A3B" w14:textId="77777777" w:rsidR="00AF78D1" w:rsidRPr="00621BC3" w:rsidRDefault="00AF78D1" w:rsidP="0064667D">
            <w:pPr>
              <w:rPr>
                <w:rFonts w:ascii="Times New Roman" w:hAnsi="Times New Roman" w:cs="Times New Roman"/>
              </w:rPr>
            </w:pPr>
            <w:r w:rsidRPr="00621BC3">
              <w:rPr>
                <w:rFonts w:ascii="Times New Roman" w:hAnsi="Times New Roman" w:cs="Times New Roman"/>
              </w:rPr>
              <w:t>1. The stage of training e.g. ST1 versus ST5</w:t>
            </w:r>
          </w:p>
        </w:tc>
        <w:tc>
          <w:tcPr>
            <w:tcW w:w="720" w:type="dxa"/>
            <w:tcBorders>
              <w:top w:val="single" w:sz="4" w:space="0" w:color="auto"/>
              <w:left w:val="single" w:sz="4" w:space="0" w:color="auto"/>
              <w:bottom w:val="single" w:sz="4" w:space="0" w:color="auto"/>
              <w:right w:val="single" w:sz="4" w:space="0" w:color="auto"/>
            </w:tcBorders>
          </w:tcPr>
          <w:p w14:paraId="2803F44A"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ABF7FF8"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F9D12B3"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7E3536A"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703E30C"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B2A1F85"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2A081B31"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407F388"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0165BE3"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44CFBEC6" w14:textId="77777777" w:rsidR="00AF78D1" w:rsidRPr="00621BC3" w:rsidRDefault="00AF78D1" w:rsidP="0064667D">
            <w:pPr>
              <w:rPr>
                <w:rFonts w:ascii="Times New Roman" w:hAnsi="Times New Roman" w:cs="Times New Roman"/>
                <w:b/>
                <w:u w:val="single"/>
              </w:rPr>
            </w:pPr>
          </w:p>
        </w:tc>
      </w:tr>
      <w:tr w:rsidR="0064667D" w:rsidRPr="00621BC3" w14:paraId="2DBD5749" w14:textId="77777777" w:rsidTr="0064667D">
        <w:trPr>
          <w:trHeight w:val="443"/>
          <w:jc w:val="center"/>
        </w:trPr>
        <w:tc>
          <w:tcPr>
            <w:tcW w:w="2695" w:type="dxa"/>
            <w:tcBorders>
              <w:top w:val="single" w:sz="4" w:space="0" w:color="auto"/>
              <w:left w:val="single" w:sz="4" w:space="0" w:color="auto"/>
              <w:bottom w:val="single" w:sz="4" w:space="0" w:color="auto"/>
              <w:right w:val="single" w:sz="4" w:space="0" w:color="auto"/>
            </w:tcBorders>
          </w:tcPr>
          <w:p w14:paraId="71AB9703" w14:textId="77777777" w:rsidR="00AF78D1" w:rsidRPr="00621BC3" w:rsidRDefault="00AF78D1" w:rsidP="0064667D">
            <w:pPr>
              <w:rPr>
                <w:rFonts w:ascii="Times New Roman" w:hAnsi="Times New Roman" w:cs="Times New Roman"/>
              </w:rPr>
            </w:pPr>
            <w:r w:rsidRPr="00621BC3">
              <w:rPr>
                <w:rFonts w:ascii="Times New Roman" w:hAnsi="Times New Roman" w:cs="Times New Roman"/>
              </w:rPr>
              <w:t>2. RCPath curricula and training guidelines</w:t>
            </w:r>
          </w:p>
        </w:tc>
        <w:tc>
          <w:tcPr>
            <w:tcW w:w="720" w:type="dxa"/>
            <w:tcBorders>
              <w:top w:val="single" w:sz="4" w:space="0" w:color="auto"/>
              <w:left w:val="single" w:sz="4" w:space="0" w:color="auto"/>
              <w:bottom w:val="single" w:sz="4" w:space="0" w:color="auto"/>
              <w:right w:val="single" w:sz="4" w:space="0" w:color="auto"/>
            </w:tcBorders>
          </w:tcPr>
          <w:p w14:paraId="5ECD4034"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324FD4F"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D168130"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366DED7"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C7FA4C3"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7E0B1B2"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520DBFDF"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486AF6A"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E047ACE"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3CE81012" w14:textId="77777777" w:rsidR="00AF78D1" w:rsidRPr="00621BC3" w:rsidRDefault="00AF78D1" w:rsidP="0064667D">
            <w:pPr>
              <w:rPr>
                <w:rFonts w:ascii="Times New Roman" w:hAnsi="Times New Roman" w:cs="Times New Roman"/>
                <w:b/>
                <w:u w:val="single"/>
              </w:rPr>
            </w:pPr>
          </w:p>
        </w:tc>
      </w:tr>
      <w:tr w:rsidR="0064667D" w:rsidRPr="00621BC3" w14:paraId="3D635672" w14:textId="77777777" w:rsidTr="0064667D">
        <w:trPr>
          <w:trHeight w:val="547"/>
          <w:jc w:val="center"/>
        </w:trPr>
        <w:tc>
          <w:tcPr>
            <w:tcW w:w="2695" w:type="dxa"/>
            <w:tcBorders>
              <w:top w:val="single" w:sz="4" w:space="0" w:color="auto"/>
              <w:left w:val="single" w:sz="4" w:space="0" w:color="auto"/>
              <w:bottom w:val="single" w:sz="4" w:space="0" w:color="auto"/>
              <w:right w:val="single" w:sz="4" w:space="0" w:color="auto"/>
            </w:tcBorders>
            <w:hideMark/>
          </w:tcPr>
          <w:p w14:paraId="53CA4FB4" w14:textId="77777777" w:rsidR="00AF78D1" w:rsidRDefault="00AF78D1" w:rsidP="0064667D">
            <w:pPr>
              <w:rPr>
                <w:rFonts w:ascii="Times New Roman" w:hAnsi="Times New Roman" w:cs="Times New Roman"/>
                <w:b/>
                <w:sz w:val="28"/>
                <w:szCs w:val="28"/>
              </w:rPr>
            </w:pPr>
            <w:r w:rsidRPr="00621BC3">
              <w:rPr>
                <w:rFonts w:ascii="Times New Roman" w:hAnsi="Times New Roman" w:cs="Times New Roman"/>
                <w:b/>
                <w:sz w:val="28"/>
                <w:szCs w:val="28"/>
              </w:rPr>
              <w:t>Timing</w:t>
            </w:r>
          </w:p>
          <w:p w14:paraId="13609179" w14:textId="77777777" w:rsidR="00AF78D1" w:rsidRPr="00621BC3" w:rsidRDefault="00AF78D1" w:rsidP="0064667D">
            <w:pPr>
              <w:rPr>
                <w:rFonts w:ascii="Times New Roman" w:hAnsi="Times New Roman" w:cs="Times New Roman"/>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7AB983B4"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1</w:t>
            </w:r>
          </w:p>
        </w:tc>
        <w:tc>
          <w:tcPr>
            <w:tcW w:w="540" w:type="dxa"/>
            <w:tcBorders>
              <w:top w:val="single" w:sz="4" w:space="0" w:color="auto"/>
              <w:left w:val="single" w:sz="4" w:space="0" w:color="auto"/>
              <w:bottom w:val="single" w:sz="4" w:space="0" w:color="auto"/>
              <w:right w:val="single" w:sz="4" w:space="0" w:color="auto"/>
            </w:tcBorders>
            <w:hideMark/>
          </w:tcPr>
          <w:p w14:paraId="39FE8BCC"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2</w:t>
            </w:r>
          </w:p>
        </w:tc>
        <w:tc>
          <w:tcPr>
            <w:tcW w:w="540" w:type="dxa"/>
            <w:tcBorders>
              <w:top w:val="single" w:sz="4" w:space="0" w:color="auto"/>
              <w:left w:val="single" w:sz="4" w:space="0" w:color="auto"/>
              <w:bottom w:val="single" w:sz="4" w:space="0" w:color="auto"/>
              <w:right w:val="single" w:sz="4" w:space="0" w:color="auto"/>
            </w:tcBorders>
            <w:hideMark/>
          </w:tcPr>
          <w:p w14:paraId="7545F13D"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3</w:t>
            </w:r>
          </w:p>
        </w:tc>
        <w:tc>
          <w:tcPr>
            <w:tcW w:w="540" w:type="dxa"/>
            <w:tcBorders>
              <w:top w:val="single" w:sz="4" w:space="0" w:color="auto"/>
              <w:left w:val="single" w:sz="4" w:space="0" w:color="auto"/>
              <w:bottom w:val="single" w:sz="4" w:space="0" w:color="auto"/>
              <w:right w:val="single" w:sz="4" w:space="0" w:color="auto"/>
            </w:tcBorders>
            <w:hideMark/>
          </w:tcPr>
          <w:p w14:paraId="1744B317"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4</w:t>
            </w:r>
          </w:p>
        </w:tc>
        <w:tc>
          <w:tcPr>
            <w:tcW w:w="540" w:type="dxa"/>
            <w:tcBorders>
              <w:top w:val="single" w:sz="4" w:space="0" w:color="auto"/>
              <w:left w:val="single" w:sz="4" w:space="0" w:color="auto"/>
              <w:bottom w:val="single" w:sz="4" w:space="0" w:color="auto"/>
              <w:right w:val="single" w:sz="4" w:space="0" w:color="auto"/>
            </w:tcBorders>
            <w:hideMark/>
          </w:tcPr>
          <w:p w14:paraId="41972BA2"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5</w:t>
            </w:r>
          </w:p>
        </w:tc>
        <w:tc>
          <w:tcPr>
            <w:tcW w:w="540" w:type="dxa"/>
            <w:tcBorders>
              <w:top w:val="single" w:sz="4" w:space="0" w:color="auto"/>
              <w:left w:val="single" w:sz="4" w:space="0" w:color="auto"/>
              <w:bottom w:val="single" w:sz="4" w:space="0" w:color="auto"/>
              <w:right w:val="single" w:sz="4" w:space="0" w:color="auto"/>
            </w:tcBorders>
            <w:hideMark/>
          </w:tcPr>
          <w:p w14:paraId="5F71BB1E"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6</w:t>
            </w:r>
          </w:p>
        </w:tc>
        <w:tc>
          <w:tcPr>
            <w:tcW w:w="720" w:type="dxa"/>
            <w:tcBorders>
              <w:top w:val="single" w:sz="4" w:space="0" w:color="auto"/>
              <w:left w:val="single" w:sz="4" w:space="0" w:color="auto"/>
              <w:bottom w:val="single" w:sz="4" w:space="0" w:color="auto"/>
              <w:right w:val="single" w:sz="4" w:space="0" w:color="auto"/>
            </w:tcBorders>
            <w:hideMark/>
          </w:tcPr>
          <w:p w14:paraId="292462DD"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7</w:t>
            </w:r>
          </w:p>
        </w:tc>
        <w:tc>
          <w:tcPr>
            <w:tcW w:w="540" w:type="dxa"/>
            <w:tcBorders>
              <w:top w:val="single" w:sz="4" w:space="0" w:color="auto"/>
              <w:left w:val="single" w:sz="4" w:space="0" w:color="auto"/>
              <w:bottom w:val="single" w:sz="4" w:space="0" w:color="auto"/>
              <w:right w:val="single" w:sz="4" w:space="0" w:color="auto"/>
            </w:tcBorders>
            <w:hideMark/>
          </w:tcPr>
          <w:p w14:paraId="73F18083"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8</w:t>
            </w:r>
          </w:p>
        </w:tc>
        <w:tc>
          <w:tcPr>
            <w:tcW w:w="540" w:type="dxa"/>
            <w:tcBorders>
              <w:top w:val="single" w:sz="4" w:space="0" w:color="auto"/>
              <w:left w:val="single" w:sz="4" w:space="0" w:color="auto"/>
              <w:bottom w:val="single" w:sz="4" w:space="0" w:color="auto"/>
              <w:right w:val="single" w:sz="4" w:space="0" w:color="auto"/>
            </w:tcBorders>
            <w:hideMark/>
          </w:tcPr>
          <w:p w14:paraId="12DC25B1"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9</w:t>
            </w:r>
          </w:p>
        </w:tc>
        <w:tc>
          <w:tcPr>
            <w:tcW w:w="720" w:type="dxa"/>
            <w:tcBorders>
              <w:top w:val="single" w:sz="4" w:space="0" w:color="auto"/>
              <w:left w:val="single" w:sz="4" w:space="0" w:color="auto"/>
              <w:bottom w:val="single" w:sz="4" w:space="0" w:color="auto"/>
              <w:right w:val="single" w:sz="4" w:space="0" w:color="auto"/>
            </w:tcBorders>
            <w:hideMark/>
          </w:tcPr>
          <w:p w14:paraId="229EB3C5"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10</w:t>
            </w:r>
          </w:p>
        </w:tc>
      </w:tr>
      <w:tr w:rsidR="0064667D" w:rsidRPr="00621BC3" w14:paraId="4DD485BE" w14:textId="77777777" w:rsidTr="0064667D">
        <w:trPr>
          <w:trHeight w:val="665"/>
          <w:jc w:val="center"/>
        </w:trPr>
        <w:tc>
          <w:tcPr>
            <w:tcW w:w="2695" w:type="dxa"/>
            <w:tcBorders>
              <w:top w:val="single" w:sz="4" w:space="0" w:color="auto"/>
              <w:left w:val="single" w:sz="4" w:space="0" w:color="auto"/>
              <w:bottom w:val="single" w:sz="4" w:space="0" w:color="auto"/>
              <w:right w:val="single" w:sz="4" w:space="0" w:color="auto"/>
            </w:tcBorders>
            <w:hideMark/>
          </w:tcPr>
          <w:p w14:paraId="26F83100" w14:textId="77777777" w:rsidR="00AF78D1" w:rsidRPr="00621BC3" w:rsidRDefault="00AF78D1" w:rsidP="0064667D">
            <w:pPr>
              <w:rPr>
                <w:rFonts w:ascii="Times New Roman" w:hAnsi="Times New Roman" w:cs="Times New Roman"/>
              </w:rPr>
            </w:pPr>
            <w:r w:rsidRPr="00621BC3">
              <w:rPr>
                <w:rFonts w:ascii="Times New Roman" w:hAnsi="Times New Roman" w:cs="Times New Roman"/>
              </w:rPr>
              <w:t xml:space="preserve">3. Placements/cases assessed longitudinally over a period of time. </w:t>
            </w:r>
          </w:p>
        </w:tc>
        <w:tc>
          <w:tcPr>
            <w:tcW w:w="720" w:type="dxa"/>
            <w:tcBorders>
              <w:top w:val="single" w:sz="4" w:space="0" w:color="auto"/>
              <w:left w:val="single" w:sz="4" w:space="0" w:color="auto"/>
              <w:bottom w:val="single" w:sz="4" w:space="0" w:color="auto"/>
              <w:right w:val="single" w:sz="4" w:space="0" w:color="auto"/>
            </w:tcBorders>
          </w:tcPr>
          <w:p w14:paraId="1A7CA1D2"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A58C071"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9DB9001"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7307836"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980A794"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7A9AB42"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431C02A8"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49EAE4A"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6911CC1"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38090A14" w14:textId="77777777" w:rsidR="00AF78D1" w:rsidRPr="00621BC3" w:rsidRDefault="00AF78D1" w:rsidP="0064667D">
            <w:pPr>
              <w:rPr>
                <w:rFonts w:ascii="Times New Roman" w:hAnsi="Times New Roman" w:cs="Times New Roman"/>
                <w:b/>
                <w:u w:val="single"/>
              </w:rPr>
            </w:pPr>
          </w:p>
        </w:tc>
      </w:tr>
      <w:tr w:rsidR="0064667D" w:rsidRPr="00621BC3" w14:paraId="0C17D6EC" w14:textId="77777777" w:rsidTr="0064667D">
        <w:trPr>
          <w:trHeight w:val="429"/>
          <w:jc w:val="center"/>
        </w:trPr>
        <w:tc>
          <w:tcPr>
            <w:tcW w:w="2695" w:type="dxa"/>
            <w:tcBorders>
              <w:top w:val="single" w:sz="4" w:space="0" w:color="auto"/>
              <w:left w:val="single" w:sz="4" w:space="0" w:color="auto"/>
              <w:bottom w:val="single" w:sz="4" w:space="0" w:color="auto"/>
              <w:right w:val="single" w:sz="4" w:space="0" w:color="auto"/>
            </w:tcBorders>
          </w:tcPr>
          <w:p w14:paraId="6D1BBA1D" w14:textId="77777777" w:rsidR="00AF78D1" w:rsidRPr="00621BC3" w:rsidRDefault="00AF78D1" w:rsidP="0064667D">
            <w:pPr>
              <w:rPr>
                <w:rFonts w:ascii="Times New Roman" w:hAnsi="Times New Roman" w:cs="Times New Roman"/>
              </w:rPr>
            </w:pPr>
            <w:r w:rsidRPr="00621BC3">
              <w:rPr>
                <w:rFonts w:ascii="Times New Roman" w:hAnsi="Times New Roman" w:cs="Times New Roman"/>
              </w:rPr>
              <w:t>4.  Individual cases in an examination setting</w:t>
            </w:r>
          </w:p>
        </w:tc>
        <w:tc>
          <w:tcPr>
            <w:tcW w:w="720" w:type="dxa"/>
            <w:tcBorders>
              <w:top w:val="single" w:sz="4" w:space="0" w:color="auto"/>
              <w:left w:val="single" w:sz="4" w:space="0" w:color="auto"/>
              <w:bottom w:val="single" w:sz="4" w:space="0" w:color="auto"/>
              <w:right w:val="single" w:sz="4" w:space="0" w:color="auto"/>
            </w:tcBorders>
          </w:tcPr>
          <w:p w14:paraId="5BBFE08C"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B1637FE"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E6F0302"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3D347C2"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B74A3C3"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4BB31DA"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0C745303"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5A15342"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903FB84"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28D4F06A" w14:textId="77777777" w:rsidR="00AF78D1" w:rsidRPr="00621BC3" w:rsidRDefault="00AF78D1" w:rsidP="0064667D">
            <w:pPr>
              <w:rPr>
                <w:rFonts w:ascii="Times New Roman" w:hAnsi="Times New Roman" w:cs="Times New Roman"/>
                <w:b/>
                <w:u w:val="single"/>
              </w:rPr>
            </w:pPr>
          </w:p>
        </w:tc>
      </w:tr>
      <w:tr w:rsidR="0064667D" w:rsidRPr="00621BC3" w14:paraId="7B7EE90D" w14:textId="77777777" w:rsidTr="0064667D">
        <w:trPr>
          <w:trHeight w:val="560"/>
          <w:jc w:val="center"/>
        </w:trPr>
        <w:tc>
          <w:tcPr>
            <w:tcW w:w="2695" w:type="dxa"/>
            <w:tcBorders>
              <w:top w:val="single" w:sz="4" w:space="0" w:color="auto"/>
              <w:left w:val="single" w:sz="4" w:space="0" w:color="auto"/>
              <w:bottom w:val="single" w:sz="4" w:space="0" w:color="auto"/>
              <w:right w:val="single" w:sz="4" w:space="0" w:color="auto"/>
            </w:tcBorders>
            <w:hideMark/>
          </w:tcPr>
          <w:p w14:paraId="099CC8FF" w14:textId="77777777" w:rsidR="00AF78D1" w:rsidRDefault="00AF78D1" w:rsidP="0064667D">
            <w:pPr>
              <w:rPr>
                <w:rFonts w:ascii="Times New Roman" w:hAnsi="Times New Roman" w:cs="Times New Roman"/>
                <w:b/>
                <w:sz w:val="28"/>
                <w:szCs w:val="28"/>
              </w:rPr>
            </w:pPr>
            <w:r w:rsidRPr="00621BC3">
              <w:rPr>
                <w:rFonts w:ascii="Times New Roman" w:hAnsi="Times New Roman" w:cs="Times New Roman"/>
                <w:b/>
                <w:sz w:val="28"/>
                <w:szCs w:val="28"/>
              </w:rPr>
              <w:t>Professionalism</w:t>
            </w:r>
          </w:p>
          <w:p w14:paraId="5ED78706" w14:textId="77777777" w:rsidR="00AF78D1" w:rsidRPr="00621BC3" w:rsidRDefault="00AF78D1" w:rsidP="0064667D">
            <w:pPr>
              <w:rPr>
                <w:rFonts w:ascii="Times New Roman" w:hAnsi="Times New Roman" w:cs="Times New Roman"/>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0D63C75A"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1</w:t>
            </w:r>
          </w:p>
        </w:tc>
        <w:tc>
          <w:tcPr>
            <w:tcW w:w="540" w:type="dxa"/>
            <w:tcBorders>
              <w:top w:val="single" w:sz="4" w:space="0" w:color="auto"/>
              <w:left w:val="single" w:sz="4" w:space="0" w:color="auto"/>
              <w:bottom w:val="single" w:sz="4" w:space="0" w:color="auto"/>
              <w:right w:val="single" w:sz="4" w:space="0" w:color="auto"/>
            </w:tcBorders>
            <w:hideMark/>
          </w:tcPr>
          <w:p w14:paraId="47E376D3"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2</w:t>
            </w:r>
          </w:p>
        </w:tc>
        <w:tc>
          <w:tcPr>
            <w:tcW w:w="540" w:type="dxa"/>
            <w:tcBorders>
              <w:top w:val="single" w:sz="4" w:space="0" w:color="auto"/>
              <w:left w:val="single" w:sz="4" w:space="0" w:color="auto"/>
              <w:bottom w:val="single" w:sz="4" w:space="0" w:color="auto"/>
              <w:right w:val="single" w:sz="4" w:space="0" w:color="auto"/>
            </w:tcBorders>
            <w:hideMark/>
          </w:tcPr>
          <w:p w14:paraId="7C526027"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3</w:t>
            </w:r>
          </w:p>
        </w:tc>
        <w:tc>
          <w:tcPr>
            <w:tcW w:w="540" w:type="dxa"/>
            <w:tcBorders>
              <w:top w:val="single" w:sz="4" w:space="0" w:color="auto"/>
              <w:left w:val="single" w:sz="4" w:space="0" w:color="auto"/>
              <w:bottom w:val="single" w:sz="4" w:space="0" w:color="auto"/>
              <w:right w:val="single" w:sz="4" w:space="0" w:color="auto"/>
            </w:tcBorders>
            <w:hideMark/>
          </w:tcPr>
          <w:p w14:paraId="7F3FC0C2"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4</w:t>
            </w:r>
          </w:p>
        </w:tc>
        <w:tc>
          <w:tcPr>
            <w:tcW w:w="540" w:type="dxa"/>
            <w:tcBorders>
              <w:top w:val="single" w:sz="4" w:space="0" w:color="auto"/>
              <w:left w:val="single" w:sz="4" w:space="0" w:color="auto"/>
              <w:bottom w:val="single" w:sz="4" w:space="0" w:color="auto"/>
              <w:right w:val="single" w:sz="4" w:space="0" w:color="auto"/>
            </w:tcBorders>
            <w:hideMark/>
          </w:tcPr>
          <w:p w14:paraId="4BD2D7C6"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5</w:t>
            </w:r>
          </w:p>
        </w:tc>
        <w:tc>
          <w:tcPr>
            <w:tcW w:w="540" w:type="dxa"/>
            <w:tcBorders>
              <w:top w:val="single" w:sz="4" w:space="0" w:color="auto"/>
              <w:left w:val="single" w:sz="4" w:space="0" w:color="auto"/>
              <w:bottom w:val="single" w:sz="4" w:space="0" w:color="auto"/>
              <w:right w:val="single" w:sz="4" w:space="0" w:color="auto"/>
            </w:tcBorders>
            <w:hideMark/>
          </w:tcPr>
          <w:p w14:paraId="72ACA629"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6</w:t>
            </w:r>
          </w:p>
        </w:tc>
        <w:tc>
          <w:tcPr>
            <w:tcW w:w="720" w:type="dxa"/>
            <w:tcBorders>
              <w:top w:val="single" w:sz="4" w:space="0" w:color="auto"/>
              <w:left w:val="single" w:sz="4" w:space="0" w:color="auto"/>
              <w:bottom w:val="single" w:sz="4" w:space="0" w:color="auto"/>
              <w:right w:val="single" w:sz="4" w:space="0" w:color="auto"/>
            </w:tcBorders>
            <w:hideMark/>
          </w:tcPr>
          <w:p w14:paraId="646F6DED"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7</w:t>
            </w:r>
          </w:p>
        </w:tc>
        <w:tc>
          <w:tcPr>
            <w:tcW w:w="540" w:type="dxa"/>
            <w:tcBorders>
              <w:top w:val="single" w:sz="4" w:space="0" w:color="auto"/>
              <w:left w:val="single" w:sz="4" w:space="0" w:color="auto"/>
              <w:bottom w:val="single" w:sz="4" w:space="0" w:color="auto"/>
              <w:right w:val="single" w:sz="4" w:space="0" w:color="auto"/>
            </w:tcBorders>
            <w:hideMark/>
          </w:tcPr>
          <w:p w14:paraId="21D900D4"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8</w:t>
            </w:r>
          </w:p>
        </w:tc>
        <w:tc>
          <w:tcPr>
            <w:tcW w:w="540" w:type="dxa"/>
            <w:tcBorders>
              <w:top w:val="single" w:sz="4" w:space="0" w:color="auto"/>
              <w:left w:val="single" w:sz="4" w:space="0" w:color="auto"/>
              <w:bottom w:val="single" w:sz="4" w:space="0" w:color="auto"/>
              <w:right w:val="single" w:sz="4" w:space="0" w:color="auto"/>
            </w:tcBorders>
            <w:hideMark/>
          </w:tcPr>
          <w:p w14:paraId="1D0195CA"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9</w:t>
            </w:r>
          </w:p>
        </w:tc>
        <w:tc>
          <w:tcPr>
            <w:tcW w:w="720" w:type="dxa"/>
            <w:tcBorders>
              <w:top w:val="single" w:sz="4" w:space="0" w:color="auto"/>
              <w:left w:val="single" w:sz="4" w:space="0" w:color="auto"/>
              <w:bottom w:val="single" w:sz="4" w:space="0" w:color="auto"/>
              <w:right w:val="single" w:sz="4" w:space="0" w:color="auto"/>
            </w:tcBorders>
            <w:hideMark/>
          </w:tcPr>
          <w:p w14:paraId="60DC38E1" w14:textId="77777777" w:rsidR="00AF78D1" w:rsidRPr="00621BC3" w:rsidRDefault="00AF78D1" w:rsidP="0064667D">
            <w:pPr>
              <w:rPr>
                <w:rFonts w:ascii="Times New Roman" w:hAnsi="Times New Roman" w:cs="Times New Roman"/>
                <w:b/>
              </w:rPr>
            </w:pPr>
            <w:r w:rsidRPr="00621BC3">
              <w:rPr>
                <w:rFonts w:ascii="Times New Roman" w:hAnsi="Times New Roman" w:cs="Times New Roman"/>
                <w:b/>
              </w:rPr>
              <w:t>10</w:t>
            </w:r>
          </w:p>
        </w:tc>
      </w:tr>
      <w:tr w:rsidR="0064667D" w:rsidRPr="00621BC3" w14:paraId="614C2214" w14:textId="77777777" w:rsidTr="0064667D">
        <w:trPr>
          <w:trHeight w:val="1526"/>
          <w:jc w:val="center"/>
        </w:trPr>
        <w:tc>
          <w:tcPr>
            <w:tcW w:w="2695" w:type="dxa"/>
            <w:tcBorders>
              <w:top w:val="single" w:sz="4" w:space="0" w:color="auto"/>
              <w:left w:val="single" w:sz="4" w:space="0" w:color="auto"/>
              <w:bottom w:val="single" w:sz="4" w:space="0" w:color="auto"/>
              <w:right w:val="single" w:sz="4" w:space="0" w:color="auto"/>
            </w:tcBorders>
            <w:hideMark/>
          </w:tcPr>
          <w:p w14:paraId="4EBF8558" w14:textId="77777777" w:rsidR="00AF78D1" w:rsidRPr="00621BC3" w:rsidRDefault="00AF78D1" w:rsidP="0064667D">
            <w:pPr>
              <w:rPr>
                <w:rFonts w:ascii="Times New Roman" w:hAnsi="Times New Roman" w:cs="Times New Roman"/>
              </w:rPr>
            </w:pPr>
            <w:r w:rsidRPr="00621BC3">
              <w:rPr>
                <w:rFonts w:ascii="Times New Roman" w:hAnsi="Times New Roman" w:cs="Times New Roman"/>
              </w:rPr>
              <w:t>5. Trainee is organised and timely when conducting themselves in the department e.g. does not lose cases, is aware of turnaround times, triages urgent cases</w:t>
            </w:r>
          </w:p>
        </w:tc>
        <w:tc>
          <w:tcPr>
            <w:tcW w:w="720" w:type="dxa"/>
            <w:tcBorders>
              <w:top w:val="single" w:sz="4" w:space="0" w:color="auto"/>
              <w:left w:val="single" w:sz="4" w:space="0" w:color="auto"/>
              <w:bottom w:val="single" w:sz="4" w:space="0" w:color="auto"/>
              <w:right w:val="single" w:sz="4" w:space="0" w:color="auto"/>
            </w:tcBorders>
          </w:tcPr>
          <w:p w14:paraId="246B50EB"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40C19F1"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F4C12D6"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47B5EE1"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BF3ADFC"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E668AFD"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1EEF0213"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22F5789"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D3E0B4B"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504424FF" w14:textId="77777777" w:rsidR="00AF78D1" w:rsidRPr="00621BC3" w:rsidRDefault="00AF78D1" w:rsidP="0064667D">
            <w:pPr>
              <w:rPr>
                <w:rFonts w:ascii="Times New Roman" w:hAnsi="Times New Roman" w:cs="Times New Roman"/>
                <w:b/>
                <w:u w:val="single"/>
              </w:rPr>
            </w:pPr>
          </w:p>
        </w:tc>
      </w:tr>
      <w:tr w:rsidR="0064667D" w:rsidRPr="00621BC3" w14:paraId="3BF531A0" w14:textId="77777777" w:rsidTr="0064667D">
        <w:trPr>
          <w:trHeight w:val="873"/>
          <w:jc w:val="center"/>
        </w:trPr>
        <w:tc>
          <w:tcPr>
            <w:tcW w:w="2695" w:type="dxa"/>
            <w:tcBorders>
              <w:top w:val="single" w:sz="4" w:space="0" w:color="auto"/>
              <w:left w:val="single" w:sz="4" w:space="0" w:color="auto"/>
              <w:bottom w:val="single" w:sz="4" w:space="0" w:color="auto"/>
              <w:right w:val="single" w:sz="4" w:space="0" w:color="auto"/>
            </w:tcBorders>
            <w:hideMark/>
          </w:tcPr>
          <w:p w14:paraId="40C43221" w14:textId="77777777" w:rsidR="00AF78D1" w:rsidRPr="00621BC3" w:rsidRDefault="00AF78D1" w:rsidP="0064667D">
            <w:pPr>
              <w:rPr>
                <w:rFonts w:ascii="Times New Roman" w:hAnsi="Times New Roman" w:cs="Times New Roman"/>
              </w:rPr>
            </w:pPr>
            <w:r w:rsidRPr="00621BC3">
              <w:rPr>
                <w:rFonts w:ascii="Times New Roman" w:hAnsi="Times New Roman" w:cs="Times New Roman"/>
              </w:rPr>
              <w:t xml:space="preserve">6. Trainee communicates with all staff appropriately e.g. effectively, timely, politely </w:t>
            </w:r>
          </w:p>
        </w:tc>
        <w:tc>
          <w:tcPr>
            <w:tcW w:w="720" w:type="dxa"/>
            <w:tcBorders>
              <w:top w:val="single" w:sz="4" w:space="0" w:color="auto"/>
              <w:left w:val="single" w:sz="4" w:space="0" w:color="auto"/>
              <w:bottom w:val="single" w:sz="4" w:space="0" w:color="auto"/>
              <w:right w:val="single" w:sz="4" w:space="0" w:color="auto"/>
            </w:tcBorders>
          </w:tcPr>
          <w:p w14:paraId="41C40629"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82D3B7F"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A50407F"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3C6F4F2"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2AFB337"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97B33E0"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4681EB9F"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139050A"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382EEAF"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510B5CD5" w14:textId="77777777" w:rsidR="00AF78D1" w:rsidRPr="00621BC3" w:rsidRDefault="00AF78D1" w:rsidP="0064667D">
            <w:pPr>
              <w:rPr>
                <w:rFonts w:ascii="Times New Roman" w:hAnsi="Times New Roman" w:cs="Times New Roman"/>
                <w:b/>
                <w:u w:val="single"/>
              </w:rPr>
            </w:pPr>
          </w:p>
        </w:tc>
      </w:tr>
      <w:tr w:rsidR="0064667D" w:rsidRPr="00621BC3" w14:paraId="1B368754" w14:textId="77777777" w:rsidTr="0064667D">
        <w:trPr>
          <w:trHeight w:val="873"/>
          <w:jc w:val="center"/>
        </w:trPr>
        <w:tc>
          <w:tcPr>
            <w:tcW w:w="2695" w:type="dxa"/>
            <w:tcBorders>
              <w:top w:val="single" w:sz="4" w:space="0" w:color="auto"/>
              <w:left w:val="single" w:sz="4" w:space="0" w:color="auto"/>
              <w:bottom w:val="single" w:sz="4" w:space="0" w:color="auto"/>
              <w:right w:val="single" w:sz="4" w:space="0" w:color="auto"/>
            </w:tcBorders>
            <w:hideMark/>
          </w:tcPr>
          <w:p w14:paraId="487DA456" w14:textId="77777777" w:rsidR="00AF78D1" w:rsidRPr="00621BC3" w:rsidRDefault="00AF78D1" w:rsidP="0064667D">
            <w:pPr>
              <w:rPr>
                <w:rFonts w:ascii="Times New Roman" w:hAnsi="Times New Roman" w:cs="Times New Roman"/>
              </w:rPr>
            </w:pPr>
            <w:r w:rsidRPr="00621BC3">
              <w:rPr>
                <w:rFonts w:ascii="Times New Roman" w:hAnsi="Times New Roman" w:cs="Times New Roman"/>
              </w:rPr>
              <w:t>7. Trainee  works as part of a team e.g. works effectively with colleagues and does not create conflict</w:t>
            </w:r>
          </w:p>
        </w:tc>
        <w:tc>
          <w:tcPr>
            <w:tcW w:w="720" w:type="dxa"/>
            <w:tcBorders>
              <w:top w:val="single" w:sz="4" w:space="0" w:color="auto"/>
              <w:left w:val="single" w:sz="4" w:space="0" w:color="auto"/>
              <w:bottom w:val="single" w:sz="4" w:space="0" w:color="auto"/>
              <w:right w:val="single" w:sz="4" w:space="0" w:color="auto"/>
            </w:tcBorders>
          </w:tcPr>
          <w:p w14:paraId="17164F96"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DF7E6E3"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A61718D"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74DF4F4"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4BB2077"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9D93751"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4D2C0035"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C10CCAB"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B8886AD"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5FA36A6B" w14:textId="77777777" w:rsidR="00AF78D1" w:rsidRPr="00621BC3" w:rsidRDefault="00AF78D1" w:rsidP="0064667D">
            <w:pPr>
              <w:rPr>
                <w:rFonts w:ascii="Times New Roman" w:hAnsi="Times New Roman" w:cs="Times New Roman"/>
                <w:b/>
                <w:u w:val="single"/>
              </w:rPr>
            </w:pPr>
          </w:p>
        </w:tc>
      </w:tr>
      <w:tr w:rsidR="0064667D" w:rsidRPr="00621BC3" w14:paraId="2D5C841E" w14:textId="77777777" w:rsidTr="0064667D">
        <w:trPr>
          <w:trHeight w:val="917"/>
          <w:jc w:val="center"/>
        </w:trPr>
        <w:tc>
          <w:tcPr>
            <w:tcW w:w="2695" w:type="dxa"/>
            <w:tcBorders>
              <w:top w:val="single" w:sz="4" w:space="0" w:color="auto"/>
              <w:left w:val="single" w:sz="4" w:space="0" w:color="auto"/>
              <w:bottom w:val="single" w:sz="4" w:space="0" w:color="auto"/>
              <w:right w:val="single" w:sz="4" w:space="0" w:color="auto"/>
            </w:tcBorders>
          </w:tcPr>
          <w:p w14:paraId="15F2700B" w14:textId="64A1DC78" w:rsidR="00AF78D1" w:rsidRPr="00621BC3" w:rsidRDefault="00AF78D1" w:rsidP="0064667D">
            <w:pPr>
              <w:rPr>
                <w:rFonts w:ascii="Times New Roman" w:hAnsi="Times New Roman" w:cs="Times New Roman"/>
              </w:rPr>
            </w:pPr>
            <w:r w:rsidRPr="00621BC3">
              <w:rPr>
                <w:rFonts w:ascii="Times New Roman" w:hAnsi="Times New Roman" w:cs="Times New Roman"/>
              </w:rPr>
              <w:t xml:space="preserve">8. Trainee is motivated and has a </w:t>
            </w:r>
            <w:r w:rsidR="0064667D">
              <w:rPr>
                <w:rFonts w:ascii="Times New Roman" w:hAnsi="Times New Roman" w:cs="Times New Roman"/>
              </w:rPr>
              <w:t xml:space="preserve">good </w:t>
            </w:r>
            <w:r w:rsidRPr="00621BC3">
              <w:rPr>
                <w:rFonts w:ascii="Times New Roman" w:hAnsi="Times New Roman" w:cs="Times New Roman"/>
              </w:rPr>
              <w:t>attitude</w:t>
            </w:r>
          </w:p>
        </w:tc>
        <w:tc>
          <w:tcPr>
            <w:tcW w:w="720" w:type="dxa"/>
            <w:tcBorders>
              <w:top w:val="single" w:sz="4" w:space="0" w:color="auto"/>
              <w:left w:val="single" w:sz="4" w:space="0" w:color="auto"/>
              <w:bottom w:val="single" w:sz="4" w:space="0" w:color="auto"/>
              <w:right w:val="single" w:sz="4" w:space="0" w:color="auto"/>
            </w:tcBorders>
          </w:tcPr>
          <w:p w14:paraId="10C11743"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AA620D5"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2466DC3"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2ED9846"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FF78560"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5C4ACCF"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52661A1"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C7C54EC" w14:textId="77777777" w:rsidR="00AF78D1" w:rsidRPr="00621BC3" w:rsidRDefault="00AF78D1"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8D2D041" w14:textId="77777777" w:rsidR="00AF78D1" w:rsidRPr="00621BC3" w:rsidRDefault="00AF78D1"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3A8C2462" w14:textId="77777777" w:rsidR="00AF78D1" w:rsidRPr="00621BC3" w:rsidRDefault="00AF78D1" w:rsidP="0064667D">
            <w:pPr>
              <w:rPr>
                <w:rFonts w:ascii="Times New Roman" w:hAnsi="Times New Roman" w:cs="Times New Roman"/>
                <w:b/>
                <w:u w:val="single"/>
              </w:rPr>
            </w:pPr>
          </w:p>
        </w:tc>
      </w:tr>
      <w:tr w:rsidR="0064667D" w14:paraId="719C2E88"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7D4B7A6E" w14:textId="77777777" w:rsidR="0064667D" w:rsidRDefault="0064667D" w:rsidP="0064667D">
            <w:pPr>
              <w:rPr>
                <w:rFonts w:ascii="Times New Roman" w:hAnsi="Times New Roman" w:cs="Times New Roman"/>
                <w:b/>
                <w:sz w:val="28"/>
                <w:szCs w:val="28"/>
              </w:rPr>
            </w:pPr>
            <w:r w:rsidRPr="00621BC3">
              <w:rPr>
                <w:rFonts w:ascii="Times New Roman" w:hAnsi="Times New Roman" w:cs="Times New Roman"/>
                <w:b/>
                <w:sz w:val="28"/>
                <w:szCs w:val="28"/>
              </w:rPr>
              <w:t>Forming a diagnosis</w:t>
            </w:r>
          </w:p>
          <w:p w14:paraId="53A4CE9D" w14:textId="77777777" w:rsidR="0064667D" w:rsidRPr="00621BC3" w:rsidRDefault="0064667D" w:rsidP="0064667D">
            <w:pPr>
              <w:rPr>
                <w:rFonts w:ascii="Times New Roman" w:hAnsi="Times New Roman" w:cs="Times New Roman"/>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7497323A"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1</w:t>
            </w:r>
          </w:p>
        </w:tc>
        <w:tc>
          <w:tcPr>
            <w:tcW w:w="540" w:type="dxa"/>
            <w:tcBorders>
              <w:top w:val="single" w:sz="4" w:space="0" w:color="auto"/>
              <w:left w:val="single" w:sz="4" w:space="0" w:color="auto"/>
              <w:bottom w:val="single" w:sz="4" w:space="0" w:color="auto"/>
              <w:right w:val="single" w:sz="4" w:space="0" w:color="auto"/>
            </w:tcBorders>
            <w:hideMark/>
          </w:tcPr>
          <w:p w14:paraId="676EC910"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2</w:t>
            </w:r>
          </w:p>
        </w:tc>
        <w:tc>
          <w:tcPr>
            <w:tcW w:w="540" w:type="dxa"/>
            <w:tcBorders>
              <w:top w:val="single" w:sz="4" w:space="0" w:color="auto"/>
              <w:left w:val="single" w:sz="4" w:space="0" w:color="auto"/>
              <w:bottom w:val="single" w:sz="4" w:space="0" w:color="auto"/>
              <w:right w:val="single" w:sz="4" w:space="0" w:color="auto"/>
            </w:tcBorders>
            <w:hideMark/>
          </w:tcPr>
          <w:p w14:paraId="20245D88"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3</w:t>
            </w:r>
          </w:p>
        </w:tc>
        <w:tc>
          <w:tcPr>
            <w:tcW w:w="540" w:type="dxa"/>
            <w:tcBorders>
              <w:top w:val="single" w:sz="4" w:space="0" w:color="auto"/>
              <w:left w:val="single" w:sz="4" w:space="0" w:color="auto"/>
              <w:bottom w:val="single" w:sz="4" w:space="0" w:color="auto"/>
              <w:right w:val="single" w:sz="4" w:space="0" w:color="auto"/>
            </w:tcBorders>
            <w:hideMark/>
          </w:tcPr>
          <w:p w14:paraId="2E24E168"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4</w:t>
            </w:r>
          </w:p>
        </w:tc>
        <w:tc>
          <w:tcPr>
            <w:tcW w:w="540" w:type="dxa"/>
            <w:tcBorders>
              <w:top w:val="single" w:sz="4" w:space="0" w:color="auto"/>
              <w:left w:val="single" w:sz="4" w:space="0" w:color="auto"/>
              <w:bottom w:val="single" w:sz="4" w:space="0" w:color="auto"/>
              <w:right w:val="single" w:sz="4" w:space="0" w:color="auto"/>
            </w:tcBorders>
            <w:hideMark/>
          </w:tcPr>
          <w:p w14:paraId="57E812B2"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5</w:t>
            </w:r>
          </w:p>
        </w:tc>
        <w:tc>
          <w:tcPr>
            <w:tcW w:w="540" w:type="dxa"/>
            <w:tcBorders>
              <w:top w:val="single" w:sz="4" w:space="0" w:color="auto"/>
              <w:left w:val="single" w:sz="4" w:space="0" w:color="auto"/>
              <w:bottom w:val="single" w:sz="4" w:space="0" w:color="auto"/>
              <w:right w:val="single" w:sz="4" w:space="0" w:color="auto"/>
            </w:tcBorders>
            <w:hideMark/>
          </w:tcPr>
          <w:p w14:paraId="7D220E2D"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6</w:t>
            </w:r>
          </w:p>
        </w:tc>
        <w:tc>
          <w:tcPr>
            <w:tcW w:w="720" w:type="dxa"/>
            <w:tcBorders>
              <w:top w:val="single" w:sz="4" w:space="0" w:color="auto"/>
              <w:left w:val="single" w:sz="4" w:space="0" w:color="auto"/>
              <w:bottom w:val="single" w:sz="4" w:space="0" w:color="auto"/>
              <w:right w:val="single" w:sz="4" w:space="0" w:color="auto"/>
            </w:tcBorders>
            <w:hideMark/>
          </w:tcPr>
          <w:p w14:paraId="1E86DA8C"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7</w:t>
            </w:r>
          </w:p>
        </w:tc>
        <w:tc>
          <w:tcPr>
            <w:tcW w:w="540" w:type="dxa"/>
            <w:tcBorders>
              <w:top w:val="single" w:sz="4" w:space="0" w:color="auto"/>
              <w:left w:val="single" w:sz="4" w:space="0" w:color="auto"/>
              <w:bottom w:val="single" w:sz="4" w:space="0" w:color="auto"/>
              <w:right w:val="single" w:sz="4" w:space="0" w:color="auto"/>
            </w:tcBorders>
            <w:hideMark/>
          </w:tcPr>
          <w:p w14:paraId="367AECA0"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8</w:t>
            </w:r>
          </w:p>
        </w:tc>
        <w:tc>
          <w:tcPr>
            <w:tcW w:w="540" w:type="dxa"/>
            <w:tcBorders>
              <w:top w:val="single" w:sz="4" w:space="0" w:color="auto"/>
              <w:left w:val="single" w:sz="4" w:space="0" w:color="auto"/>
              <w:bottom w:val="single" w:sz="4" w:space="0" w:color="auto"/>
              <w:right w:val="single" w:sz="4" w:space="0" w:color="auto"/>
            </w:tcBorders>
            <w:hideMark/>
          </w:tcPr>
          <w:p w14:paraId="24D47FB5"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9</w:t>
            </w:r>
          </w:p>
        </w:tc>
        <w:tc>
          <w:tcPr>
            <w:tcW w:w="720" w:type="dxa"/>
            <w:tcBorders>
              <w:top w:val="single" w:sz="4" w:space="0" w:color="auto"/>
              <w:left w:val="single" w:sz="4" w:space="0" w:color="auto"/>
              <w:bottom w:val="single" w:sz="4" w:space="0" w:color="auto"/>
              <w:right w:val="single" w:sz="4" w:space="0" w:color="auto"/>
            </w:tcBorders>
            <w:hideMark/>
          </w:tcPr>
          <w:p w14:paraId="07340478"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10</w:t>
            </w:r>
          </w:p>
        </w:tc>
      </w:tr>
      <w:tr w:rsidR="0064667D" w14:paraId="3937CD60"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tcPr>
          <w:p w14:paraId="0FB2076D"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9. The diagnosis is correct</w:t>
            </w:r>
          </w:p>
        </w:tc>
        <w:tc>
          <w:tcPr>
            <w:tcW w:w="720" w:type="dxa"/>
            <w:tcBorders>
              <w:top w:val="single" w:sz="4" w:space="0" w:color="auto"/>
              <w:left w:val="single" w:sz="4" w:space="0" w:color="auto"/>
              <w:bottom w:val="single" w:sz="4" w:space="0" w:color="auto"/>
              <w:right w:val="single" w:sz="4" w:space="0" w:color="auto"/>
            </w:tcBorders>
          </w:tcPr>
          <w:p w14:paraId="3BD3A95B"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214C9D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2904FB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54FF18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6F2C401"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A563805"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08B019F8"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6E10620"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1B4DAF5"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240C0F8" w14:textId="77777777" w:rsidR="0064667D" w:rsidRPr="00621BC3" w:rsidRDefault="0064667D" w:rsidP="0064667D">
            <w:pPr>
              <w:rPr>
                <w:rFonts w:ascii="Times New Roman" w:hAnsi="Times New Roman" w:cs="Times New Roman"/>
                <w:b/>
                <w:u w:val="single"/>
              </w:rPr>
            </w:pPr>
          </w:p>
        </w:tc>
      </w:tr>
      <w:tr w:rsidR="0064667D" w14:paraId="77A6A189"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tcPr>
          <w:p w14:paraId="2CCEA947"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10. Trainee consistently produces a correct diagnosis</w:t>
            </w:r>
          </w:p>
        </w:tc>
        <w:tc>
          <w:tcPr>
            <w:tcW w:w="720" w:type="dxa"/>
            <w:tcBorders>
              <w:top w:val="single" w:sz="4" w:space="0" w:color="auto"/>
              <w:left w:val="single" w:sz="4" w:space="0" w:color="auto"/>
              <w:bottom w:val="single" w:sz="4" w:space="0" w:color="auto"/>
              <w:right w:val="single" w:sz="4" w:space="0" w:color="auto"/>
            </w:tcBorders>
          </w:tcPr>
          <w:p w14:paraId="0F40D4A0"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529AAB5"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A86BE83"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E47A2D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D3F30F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C45DD79"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4F4E6D2F"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EBF723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18DDFDA"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1AD1A4A9" w14:textId="77777777" w:rsidR="0064667D" w:rsidRPr="00621BC3" w:rsidRDefault="0064667D" w:rsidP="0064667D">
            <w:pPr>
              <w:rPr>
                <w:rFonts w:ascii="Times New Roman" w:hAnsi="Times New Roman" w:cs="Times New Roman"/>
                <w:b/>
                <w:u w:val="single"/>
              </w:rPr>
            </w:pPr>
          </w:p>
        </w:tc>
      </w:tr>
      <w:tr w:rsidR="0064667D" w14:paraId="27EA2FBC"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4E90032C"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11. The histopathology report is accurate &amp; does not contain factual errors or omit important information</w:t>
            </w:r>
          </w:p>
        </w:tc>
        <w:tc>
          <w:tcPr>
            <w:tcW w:w="720" w:type="dxa"/>
            <w:tcBorders>
              <w:top w:val="single" w:sz="4" w:space="0" w:color="auto"/>
              <w:left w:val="single" w:sz="4" w:space="0" w:color="auto"/>
              <w:bottom w:val="single" w:sz="4" w:space="0" w:color="auto"/>
              <w:right w:val="single" w:sz="4" w:space="0" w:color="auto"/>
            </w:tcBorders>
          </w:tcPr>
          <w:p w14:paraId="05D69950"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4C43BE0"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739C17D"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DC0AC55"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39FFD2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BBF13C4"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0C65F6D6"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EBB1ECC"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B9954A6"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3451244B" w14:textId="77777777" w:rsidR="0064667D" w:rsidRPr="00621BC3" w:rsidRDefault="0064667D" w:rsidP="0064667D">
            <w:pPr>
              <w:rPr>
                <w:rFonts w:ascii="Times New Roman" w:hAnsi="Times New Roman" w:cs="Times New Roman"/>
                <w:b/>
                <w:u w:val="single"/>
              </w:rPr>
            </w:pPr>
          </w:p>
        </w:tc>
      </w:tr>
      <w:tr w:rsidR="0064667D" w14:paraId="02714CC6"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5E35F4A5"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 xml:space="preserve">12. Trainee shows evidence of clinico-pathological correlation: clinical information/macroscopic work is used to support/refute possible </w:t>
            </w:r>
            <w:r w:rsidRPr="00621BC3">
              <w:rPr>
                <w:rFonts w:ascii="Times New Roman" w:hAnsi="Times New Roman" w:cs="Times New Roman"/>
              </w:rPr>
              <w:lastRenderedPageBreak/>
              <w:t>diagnoses/features. Examples might be correlating radiographic with histological findings; referring to previous pathology reports that are relevant to the current biopsy; recognising that clinical information provided may affect what is seen histologically, e.g. previous radiotherapy</w:t>
            </w:r>
          </w:p>
        </w:tc>
        <w:tc>
          <w:tcPr>
            <w:tcW w:w="720" w:type="dxa"/>
            <w:tcBorders>
              <w:top w:val="single" w:sz="4" w:space="0" w:color="auto"/>
              <w:left w:val="single" w:sz="4" w:space="0" w:color="auto"/>
              <w:bottom w:val="single" w:sz="4" w:space="0" w:color="auto"/>
              <w:right w:val="single" w:sz="4" w:space="0" w:color="auto"/>
            </w:tcBorders>
          </w:tcPr>
          <w:p w14:paraId="56F7445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706AF9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68B7E8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0823493"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E27A6F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23D6172"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27D014B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4B7F3E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014673D"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39C98147" w14:textId="77777777" w:rsidR="0064667D" w:rsidRPr="00621BC3" w:rsidRDefault="0064667D" w:rsidP="0064667D">
            <w:pPr>
              <w:rPr>
                <w:rFonts w:ascii="Times New Roman" w:hAnsi="Times New Roman" w:cs="Times New Roman"/>
                <w:b/>
                <w:u w:val="single"/>
              </w:rPr>
            </w:pPr>
          </w:p>
        </w:tc>
      </w:tr>
      <w:tr w:rsidR="0064667D" w14:paraId="1BA7AD41"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4F9B0273"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13. Trainee follows sound pathological principles to reach a diagnosis e.g. the trainee understands how they reached the diagnosis, has a consistent, accurate way of examining slides and knows the steps involved when making a diagnosis. The diagnosis has not stemmed from guessing.</w:t>
            </w:r>
          </w:p>
        </w:tc>
        <w:tc>
          <w:tcPr>
            <w:tcW w:w="720" w:type="dxa"/>
            <w:tcBorders>
              <w:top w:val="single" w:sz="4" w:space="0" w:color="auto"/>
              <w:left w:val="single" w:sz="4" w:space="0" w:color="auto"/>
              <w:bottom w:val="single" w:sz="4" w:space="0" w:color="auto"/>
              <w:right w:val="single" w:sz="4" w:space="0" w:color="auto"/>
            </w:tcBorders>
          </w:tcPr>
          <w:p w14:paraId="08B9CA4D"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A92B241"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8CD4FFD"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78277B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337D3B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FC2EA33"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39F9FFC"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DC97152"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40D2A7C"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4823ACC4" w14:textId="77777777" w:rsidR="0064667D" w:rsidRPr="00621BC3" w:rsidRDefault="0064667D" w:rsidP="0064667D">
            <w:pPr>
              <w:rPr>
                <w:rFonts w:ascii="Times New Roman" w:hAnsi="Times New Roman" w:cs="Times New Roman"/>
                <w:b/>
                <w:u w:val="single"/>
              </w:rPr>
            </w:pPr>
          </w:p>
        </w:tc>
      </w:tr>
      <w:tr w:rsidR="0064667D" w14:paraId="09A8B7DD"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0AAE461F"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14. Trainee has appropriate level of basic knowledge. e.g. recognises normal histology for different organs/tissues, knows basic pathological processes, can compare normal to abnormal</w:t>
            </w:r>
          </w:p>
        </w:tc>
        <w:tc>
          <w:tcPr>
            <w:tcW w:w="720" w:type="dxa"/>
            <w:tcBorders>
              <w:top w:val="single" w:sz="4" w:space="0" w:color="auto"/>
              <w:left w:val="single" w:sz="4" w:space="0" w:color="auto"/>
              <w:bottom w:val="single" w:sz="4" w:space="0" w:color="auto"/>
              <w:right w:val="single" w:sz="4" w:space="0" w:color="auto"/>
            </w:tcBorders>
          </w:tcPr>
          <w:p w14:paraId="5AC4CCE1"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AF4C7B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B9F0B4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F8175EC"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4959641"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9B22C4F"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335A8D5F"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3EE319B"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3F1D4B5"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F7A15F1" w14:textId="77777777" w:rsidR="0064667D" w:rsidRPr="00621BC3" w:rsidRDefault="0064667D" w:rsidP="0064667D">
            <w:pPr>
              <w:rPr>
                <w:rFonts w:ascii="Times New Roman" w:hAnsi="Times New Roman" w:cs="Times New Roman"/>
                <w:b/>
                <w:u w:val="single"/>
              </w:rPr>
            </w:pPr>
          </w:p>
        </w:tc>
      </w:tr>
      <w:tr w:rsidR="0064667D" w14:paraId="137DED2D"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tcPr>
          <w:p w14:paraId="28A24FC3"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15. Trainee has appropriate level of up-to-date knowledge. e.g. latest papers/datasets</w:t>
            </w:r>
          </w:p>
          <w:p w14:paraId="75DAA156" w14:textId="77777777" w:rsidR="0064667D" w:rsidRPr="00621BC3" w:rsidRDefault="0064667D" w:rsidP="0064667D">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14:paraId="5F6C549B"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9F69B98"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4BBF587"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9C717AF"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5E44DAC"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28482B2"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5096BDE1"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1FF4B10"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9EF74FC"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267CF05" w14:textId="77777777" w:rsidR="0064667D" w:rsidRPr="00621BC3" w:rsidRDefault="0064667D" w:rsidP="0064667D">
            <w:pPr>
              <w:rPr>
                <w:rFonts w:ascii="Times New Roman" w:hAnsi="Times New Roman" w:cs="Times New Roman"/>
                <w:b/>
                <w:u w:val="single"/>
              </w:rPr>
            </w:pPr>
          </w:p>
        </w:tc>
      </w:tr>
      <w:tr w:rsidR="0064667D" w14:paraId="10596A47"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tcPr>
          <w:p w14:paraId="6100A2A6" w14:textId="77777777" w:rsidR="0064667D" w:rsidRPr="00621BC3" w:rsidRDefault="0064667D" w:rsidP="0064667D">
            <w:pPr>
              <w:rPr>
                <w:rFonts w:ascii="Times New Roman" w:hAnsi="Times New Roman" w:cs="Times New Roman"/>
                <w:b/>
              </w:rPr>
            </w:pPr>
          </w:p>
        </w:tc>
        <w:tc>
          <w:tcPr>
            <w:tcW w:w="5940" w:type="dxa"/>
            <w:gridSpan w:val="10"/>
            <w:tcBorders>
              <w:top w:val="single" w:sz="4" w:space="0" w:color="auto"/>
              <w:left w:val="single" w:sz="4" w:space="0" w:color="auto"/>
              <w:bottom w:val="single" w:sz="4" w:space="0" w:color="auto"/>
              <w:right w:val="single" w:sz="4" w:space="0" w:color="auto"/>
            </w:tcBorders>
          </w:tcPr>
          <w:p w14:paraId="706CA932" w14:textId="0D197865" w:rsidR="0064667D" w:rsidRPr="00621BC3" w:rsidRDefault="0064667D" w:rsidP="0064667D">
            <w:pPr>
              <w:rPr>
                <w:rFonts w:ascii="Times New Roman" w:hAnsi="Times New Roman" w:cs="Times New Roman"/>
                <w:b/>
              </w:rPr>
            </w:pPr>
            <w:r w:rsidRPr="00621BC3">
              <w:rPr>
                <w:rFonts w:ascii="Times New Roman" w:hAnsi="Times New Roman" w:cs="Times New Roman"/>
                <w:b/>
              </w:rPr>
              <w:t xml:space="preserve">Definitely not important     </w:t>
            </w:r>
            <w:r w:rsidR="00E63736">
              <w:rPr>
                <w:rFonts w:ascii="Times New Roman" w:hAnsi="Times New Roman" w:cs="Times New Roman"/>
                <w:b/>
              </w:rPr>
              <w:t xml:space="preserve">                      </w:t>
            </w:r>
            <w:r w:rsidRPr="00621BC3">
              <w:rPr>
                <w:rFonts w:ascii="Times New Roman" w:hAnsi="Times New Roman" w:cs="Times New Roman"/>
                <w:b/>
              </w:rPr>
              <w:t>Definitely important</w:t>
            </w:r>
          </w:p>
          <w:p w14:paraId="13A3DCC7" w14:textId="77777777" w:rsidR="0064667D" w:rsidRPr="00621BC3" w:rsidRDefault="0064667D" w:rsidP="0064667D">
            <w:pPr>
              <w:rPr>
                <w:rFonts w:ascii="Times New Roman" w:hAnsi="Times New Roman" w:cs="Times New Roman"/>
                <w:b/>
              </w:rPr>
            </w:pPr>
          </w:p>
        </w:tc>
      </w:tr>
      <w:tr w:rsidR="0064667D" w14:paraId="52CA0ADE"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514EF12C" w14:textId="77777777" w:rsidR="0064667D" w:rsidRDefault="0064667D" w:rsidP="0064667D">
            <w:pPr>
              <w:rPr>
                <w:rFonts w:ascii="Times New Roman" w:hAnsi="Times New Roman" w:cs="Times New Roman"/>
                <w:b/>
                <w:sz w:val="28"/>
                <w:szCs w:val="28"/>
              </w:rPr>
            </w:pPr>
            <w:r w:rsidRPr="00621BC3">
              <w:rPr>
                <w:rFonts w:ascii="Times New Roman" w:hAnsi="Times New Roman" w:cs="Times New Roman"/>
                <w:b/>
                <w:sz w:val="28"/>
                <w:szCs w:val="28"/>
              </w:rPr>
              <w:t>Reflection</w:t>
            </w:r>
          </w:p>
          <w:p w14:paraId="5C86F47B" w14:textId="77777777" w:rsidR="0064667D" w:rsidRPr="00621BC3" w:rsidRDefault="0064667D" w:rsidP="0064667D">
            <w:pPr>
              <w:rPr>
                <w:rFonts w:ascii="Times New Roman" w:hAnsi="Times New Roman" w:cs="Times New Roman"/>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405E082C"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1</w:t>
            </w:r>
          </w:p>
        </w:tc>
        <w:tc>
          <w:tcPr>
            <w:tcW w:w="540" w:type="dxa"/>
            <w:tcBorders>
              <w:top w:val="single" w:sz="4" w:space="0" w:color="auto"/>
              <w:left w:val="single" w:sz="4" w:space="0" w:color="auto"/>
              <w:bottom w:val="single" w:sz="4" w:space="0" w:color="auto"/>
              <w:right w:val="single" w:sz="4" w:space="0" w:color="auto"/>
            </w:tcBorders>
            <w:hideMark/>
          </w:tcPr>
          <w:p w14:paraId="726C52A1"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2</w:t>
            </w:r>
          </w:p>
        </w:tc>
        <w:tc>
          <w:tcPr>
            <w:tcW w:w="540" w:type="dxa"/>
            <w:tcBorders>
              <w:top w:val="single" w:sz="4" w:space="0" w:color="auto"/>
              <w:left w:val="single" w:sz="4" w:space="0" w:color="auto"/>
              <w:bottom w:val="single" w:sz="4" w:space="0" w:color="auto"/>
              <w:right w:val="single" w:sz="4" w:space="0" w:color="auto"/>
            </w:tcBorders>
            <w:hideMark/>
          </w:tcPr>
          <w:p w14:paraId="40AAD1BD"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3</w:t>
            </w:r>
          </w:p>
        </w:tc>
        <w:tc>
          <w:tcPr>
            <w:tcW w:w="540" w:type="dxa"/>
            <w:tcBorders>
              <w:top w:val="single" w:sz="4" w:space="0" w:color="auto"/>
              <w:left w:val="single" w:sz="4" w:space="0" w:color="auto"/>
              <w:bottom w:val="single" w:sz="4" w:space="0" w:color="auto"/>
              <w:right w:val="single" w:sz="4" w:space="0" w:color="auto"/>
            </w:tcBorders>
            <w:hideMark/>
          </w:tcPr>
          <w:p w14:paraId="743D252F"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4</w:t>
            </w:r>
          </w:p>
        </w:tc>
        <w:tc>
          <w:tcPr>
            <w:tcW w:w="540" w:type="dxa"/>
            <w:tcBorders>
              <w:top w:val="single" w:sz="4" w:space="0" w:color="auto"/>
              <w:left w:val="single" w:sz="4" w:space="0" w:color="auto"/>
              <w:bottom w:val="single" w:sz="4" w:space="0" w:color="auto"/>
              <w:right w:val="single" w:sz="4" w:space="0" w:color="auto"/>
            </w:tcBorders>
            <w:hideMark/>
          </w:tcPr>
          <w:p w14:paraId="68C880FF"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5</w:t>
            </w:r>
          </w:p>
        </w:tc>
        <w:tc>
          <w:tcPr>
            <w:tcW w:w="540" w:type="dxa"/>
            <w:tcBorders>
              <w:top w:val="single" w:sz="4" w:space="0" w:color="auto"/>
              <w:left w:val="single" w:sz="4" w:space="0" w:color="auto"/>
              <w:bottom w:val="single" w:sz="4" w:space="0" w:color="auto"/>
              <w:right w:val="single" w:sz="4" w:space="0" w:color="auto"/>
            </w:tcBorders>
            <w:hideMark/>
          </w:tcPr>
          <w:p w14:paraId="6F099977"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6</w:t>
            </w:r>
          </w:p>
        </w:tc>
        <w:tc>
          <w:tcPr>
            <w:tcW w:w="720" w:type="dxa"/>
            <w:tcBorders>
              <w:top w:val="single" w:sz="4" w:space="0" w:color="auto"/>
              <w:left w:val="single" w:sz="4" w:space="0" w:color="auto"/>
              <w:bottom w:val="single" w:sz="4" w:space="0" w:color="auto"/>
              <w:right w:val="single" w:sz="4" w:space="0" w:color="auto"/>
            </w:tcBorders>
            <w:hideMark/>
          </w:tcPr>
          <w:p w14:paraId="5E515A79"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7</w:t>
            </w:r>
          </w:p>
        </w:tc>
        <w:tc>
          <w:tcPr>
            <w:tcW w:w="540" w:type="dxa"/>
            <w:tcBorders>
              <w:top w:val="single" w:sz="4" w:space="0" w:color="auto"/>
              <w:left w:val="single" w:sz="4" w:space="0" w:color="auto"/>
              <w:bottom w:val="single" w:sz="4" w:space="0" w:color="auto"/>
              <w:right w:val="single" w:sz="4" w:space="0" w:color="auto"/>
            </w:tcBorders>
            <w:hideMark/>
          </w:tcPr>
          <w:p w14:paraId="7208B1B1"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8</w:t>
            </w:r>
          </w:p>
        </w:tc>
        <w:tc>
          <w:tcPr>
            <w:tcW w:w="540" w:type="dxa"/>
            <w:tcBorders>
              <w:top w:val="single" w:sz="4" w:space="0" w:color="auto"/>
              <w:left w:val="single" w:sz="4" w:space="0" w:color="auto"/>
              <w:bottom w:val="single" w:sz="4" w:space="0" w:color="auto"/>
              <w:right w:val="single" w:sz="4" w:space="0" w:color="auto"/>
            </w:tcBorders>
            <w:hideMark/>
          </w:tcPr>
          <w:p w14:paraId="5295B60E"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9</w:t>
            </w:r>
          </w:p>
        </w:tc>
        <w:tc>
          <w:tcPr>
            <w:tcW w:w="720" w:type="dxa"/>
            <w:tcBorders>
              <w:top w:val="single" w:sz="4" w:space="0" w:color="auto"/>
              <w:left w:val="single" w:sz="4" w:space="0" w:color="auto"/>
              <w:bottom w:val="single" w:sz="4" w:space="0" w:color="auto"/>
              <w:right w:val="single" w:sz="4" w:space="0" w:color="auto"/>
            </w:tcBorders>
            <w:hideMark/>
          </w:tcPr>
          <w:p w14:paraId="54762082"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10</w:t>
            </w:r>
          </w:p>
        </w:tc>
      </w:tr>
      <w:tr w:rsidR="0064667D" w14:paraId="4235431C"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2C0FD937"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16. Trainee is aware of their own limitations</w:t>
            </w:r>
          </w:p>
        </w:tc>
        <w:tc>
          <w:tcPr>
            <w:tcW w:w="720" w:type="dxa"/>
            <w:tcBorders>
              <w:top w:val="single" w:sz="4" w:space="0" w:color="auto"/>
              <w:left w:val="single" w:sz="4" w:space="0" w:color="auto"/>
              <w:bottom w:val="single" w:sz="4" w:space="0" w:color="auto"/>
              <w:right w:val="single" w:sz="4" w:space="0" w:color="auto"/>
            </w:tcBorders>
          </w:tcPr>
          <w:p w14:paraId="770CE267"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45677F0"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4440908"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11B3F6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D5B9DBF"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EBF67A1"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5FF75627"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EB10361"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7DB5CEE"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1588F540" w14:textId="77777777" w:rsidR="0064667D" w:rsidRPr="00621BC3" w:rsidRDefault="0064667D" w:rsidP="0064667D">
            <w:pPr>
              <w:rPr>
                <w:rFonts w:ascii="Times New Roman" w:hAnsi="Times New Roman" w:cs="Times New Roman"/>
                <w:b/>
                <w:u w:val="single"/>
              </w:rPr>
            </w:pPr>
          </w:p>
        </w:tc>
      </w:tr>
      <w:tr w:rsidR="0064667D" w14:paraId="1E2596FE"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105C5F1E"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17. Trainee reflects on their own limitations/performance</w:t>
            </w:r>
          </w:p>
        </w:tc>
        <w:tc>
          <w:tcPr>
            <w:tcW w:w="720" w:type="dxa"/>
            <w:tcBorders>
              <w:top w:val="single" w:sz="4" w:space="0" w:color="auto"/>
              <w:left w:val="single" w:sz="4" w:space="0" w:color="auto"/>
              <w:bottom w:val="single" w:sz="4" w:space="0" w:color="auto"/>
              <w:right w:val="single" w:sz="4" w:space="0" w:color="auto"/>
            </w:tcBorders>
          </w:tcPr>
          <w:p w14:paraId="42B9C27D"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B66FEE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94E381D"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8CB99F5"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5DE3BA6"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9A31BA9"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168D96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E68B79B"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2588CE6"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4A223A5B" w14:textId="77777777" w:rsidR="0064667D" w:rsidRPr="00621BC3" w:rsidRDefault="0064667D" w:rsidP="0064667D">
            <w:pPr>
              <w:rPr>
                <w:rFonts w:ascii="Times New Roman" w:hAnsi="Times New Roman" w:cs="Times New Roman"/>
                <w:b/>
                <w:u w:val="single"/>
              </w:rPr>
            </w:pPr>
          </w:p>
        </w:tc>
      </w:tr>
      <w:tr w:rsidR="0064667D" w14:paraId="04AE57B0"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231E5143"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18. Trainee shows evidence of improvement following reflection</w:t>
            </w:r>
          </w:p>
        </w:tc>
        <w:tc>
          <w:tcPr>
            <w:tcW w:w="720" w:type="dxa"/>
            <w:tcBorders>
              <w:top w:val="single" w:sz="4" w:space="0" w:color="auto"/>
              <w:left w:val="single" w:sz="4" w:space="0" w:color="auto"/>
              <w:bottom w:val="single" w:sz="4" w:space="0" w:color="auto"/>
              <w:right w:val="single" w:sz="4" w:space="0" w:color="auto"/>
            </w:tcBorders>
          </w:tcPr>
          <w:p w14:paraId="5D2039A6"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8508BF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5175E5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C8A61D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3D7ED6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DBAD40B"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6365851B"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8B05837"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035160A"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F9B5239" w14:textId="77777777" w:rsidR="0064667D" w:rsidRPr="00621BC3" w:rsidRDefault="0064667D" w:rsidP="0064667D">
            <w:pPr>
              <w:rPr>
                <w:rFonts w:ascii="Times New Roman" w:hAnsi="Times New Roman" w:cs="Times New Roman"/>
                <w:b/>
                <w:u w:val="single"/>
              </w:rPr>
            </w:pPr>
          </w:p>
        </w:tc>
      </w:tr>
      <w:tr w:rsidR="0064667D" w14:paraId="1F9C847A"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2F669B88" w14:textId="77777777" w:rsidR="0064667D" w:rsidRDefault="0064667D" w:rsidP="0064667D">
            <w:pPr>
              <w:rPr>
                <w:rFonts w:ascii="Times New Roman" w:hAnsi="Times New Roman" w:cs="Times New Roman"/>
                <w:b/>
                <w:sz w:val="28"/>
                <w:szCs w:val="28"/>
              </w:rPr>
            </w:pPr>
            <w:r w:rsidRPr="00621BC3">
              <w:rPr>
                <w:rFonts w:ascii="Times New Roman" w:hAnsi="Times New Roman" w:cs="Times New Roman"/>
                <w:b/>
                <w:sz w:val="28"/>
                <w:szCs w:val="28"/>
              </w:rPr>
              <w:t>Trust</w:t>
            </w:r>
          </w:p>
          <w:p w14:paraId="0E698AC6" w14:textId="77777777" w:rsidR="0064667D" w:rsidRPr="00621BC3" w:rsidRDefault="0064667D" w:rsidP="0064667D">
            <w:pPr>
              <w:rPr>
                <w:rFonts w:ascii="Times New Roman" w:hAnsi="Times New Roman" w:cs="Times New Roman"/>
                <w:b/>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14:paraId="01FD83A8"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1</w:t>
            </w:r>
          </w:p>
        </w:tc>
        <w:tc>
          <w:tcPr>
            <w:tcW w:w="540" w:type="dxa"/>
            <w:tcBorders>
              <w:top w:val="single" w:sz="4" w:space="0" w:color="auto"/>
              <w:left w:val="single" w:sz="4" w:space="0" w:color="auto"/>
              <w:bottom w:val="single" w:sz="4" w:space="0" w:color="auto"/>
              <w:right w:val="single" w:sz="4" w:space="0" w:color="auto"/>
            </w:tcBorders>
            <w:hideMark/>
          </w:tcPr>
          <w:p w14:paraId="75B08092"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2</w:t>
            </w:r>
          </w:p>
        </w:tc>
        <w:tc>
          <w:tcPr>
            <w:tcW w:w="540" w:type="dxa"/>
            <w:tcBorders>
              <w:top w:val="single" w:sz="4" w:space="0" w:color="auto"/>
              <w:left w:val="single" w:sz="4" w:space="0" w:color="auto"/>
              <w:bottom w:val="single" w:sz="4" w:space="0" w:color="auto"/>
              <w:right w:val="single" w:sz="4" w:space="0" w:color="auto"/>
            </w:tcBorders>
            <w:hideMark/>
          </w:tcPr>
          <w:p w14:paraId="0F415841"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3</w:t>
            </w:r>
          </w:p>
        </w:tc>
        <w:tc>
          <w:tcPr>
            <w:tcW w:w="540" w:type="dxa"/>
            <w:tcBorders>
              <w:top w:val="single" w:sz="4" w:space="0" w:color="auto"/>
              <w:left w:val="single" w:sz="4" w:space="0" w:color="auto"/>
              <w:bottom w:val="single" w:sz="4" w:space="0" w:color="auto"/>
              <w:right w:val="single" w:sz="4" w:space="0" w:color="auto"/>
            </w:tcBorders>
            <w:hideMark/>
          </w:tcPr>
          <w:p w14:paraId="58E37FB7"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4</w:t>
            </w:r>
          </w:p>
        </w:tc>
        <w:tc>
          <w:tcPr>
            <w:tcW w:w="540" w:type="dxa"/>
            <w:tcBorders>
              <w:top w:val="single" w:sz="4" w:space="0" w:color="auto"/>
              <w:left w:val="single" w:sz="4" w:space="0" w:color="auto"/>
              <w:bottom w:val="single" w:sz="4" w:space="0" w:color="auto"/>
              <w:right w:val="single" w:sz="4" w:space="0" w:color="auto"/>
            </w:tcBorders>
            <w:hideMark/>
          </w:tcPr>
          <w:p w14:paraId="2AA781F9"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5</w:t>
            </w:r>
          </w:p>
        </w:tc>
        <w:tc>
          <w:tcPr>
            <w:tcW w:w="540" w:type="dxa"/>
            <w:tcBorders>
              <w:top w:val="single" w:sz="4" w:space="0" w:color="auto"/>
              <w:left w:val="single" w:sz="4" w:space="0" w:color="auto"/>
              <w:bottom w:val="single" w:sz="4" w:space="0" w:color="auto"/>
              <w:right w:val="single" w:sz="4" w:space="0" w:color="auto"/>
            </w:tcBorders>
            <w:hideMark/>
          </w:tcPr>
          <w:p w14:paraId="7731F5E9"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6</w:t>
            </w:r>
          </w:p>
        </w:tc>
        <w:tc>
          <w:tcPr>
            <w:tcW w:w="720" w:type="dxa"/>
            <w:tcBorders>
              <w:top w:val="single" w:sz="4" w:space="0" w:color="auto"/>
              <w:left w:val="single" w:sz="4" w:space="0" w:color="auto"/>
              <w:bottom w:val="single" w:sz="4" w:space="0" w:color="auto"/>
              <w:right w:val="single" w:sz="4" w:space="0" w:color="auto"/>
            </w:tcBorders>
            <w:hideMark/>
          </w:tcPr>
          <w:p w14:paraId="52B3DE49"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7</w:t>
            </w:r>
          </w:p>
        </w:tc>
        <w:tc>
          <w:tcPr>
            <w:tcW w:w="540" w:type="dxa"/>
            <w:tcBorders>
              <w:top w:val="single" w:sz="4" w:space="0" w:color="auto"/>
              <w:left w:val="single" w:sz="4" w:space="0" w:color="auto"/>
              <w:bottom w:val="single" w:sz="4" w:space="0" w:color="auto"/>
              <w:right w:val="single" w:sz="4" w:space="0" w:color="auto"/>
            </w:tcBorders>
            <w:hideMark/>
          </w:tcPr>
          <w:p w14:paraId="59636D0F"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8</w:t>
            </w:r>
          </w:p>
        </w:tc>
        <w:tc>
          <w:tcPr>
            <w:tcW w:w="540" w:type="dxa"/>
            <w:tcBorders>
              <w:top w:val="single" w:sz="4" w:space="0" w:color="auto"/>
              <w:left w:val="single" w:sz="4" w:space="0" w:color="auto"/>
              <w:bottom w:val="single" w:sz="4" w:space="0" w:color="auto"/>
              <w:right w:val="single" w:sz="4" w:space="0" w:color="auto"/>
            </w:tcBorders>
            <w:hideMark/>
          </w:tcPr>
          <w:p w14:paraId="565BD0C8"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9</w:t>
            </w:r>
          </w:p>
        </w:tc>
        <w:tc>
          <w:tcPr>
            <w:tcW w:w="720" w:type="dxa"/>
            <w:tcBorders>
              <w:top w:val="single" w:sz="4" w:space="0" w:color="auto"/>
              <w:left w:val="single" w:sz="4" w:space="0" w:color="auto"/>
              <w:bottom w:val="single" w:sz="4" w:space="0" w:color="auto"/>
              <w:right w:val="single" w:sz="4" w:space="0" w:color="auto"/>
            </w:tcBorders>
            <w:hideMark/>
          </w:tcPr>
          <w:p w14:paraId="1B657DEC"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10</w:t>
            </w:r>
          </w:p>
        </w:tc>
      </w:tr>
      <w:tr w:rsidR="0064667D" w14:paraId="0D79EAB9"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52930992"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 xml:space="preserve">19. Trainee can be trusted to carry out  macroscopic </w:t>
            </w:r>
            <w:r w:rsidRPr="00621BC3">
              <w:rPr>
                <w:rFonts w:ascii="Times New Roman" w:hAnsi="Times New Roman" w:cs="Times New Roman"/>
              </w:rPr>
              <w:lastRenderedPageBreak/>
              <w:t>examination and “cut-up” independently</w:t>
            </w:r>
          </w:p>
        </w:tc>
        <w:tc>
          <w:tcPr>
            <w:tcW w:w="720" w:type="dxa"/>
            <w:tcBorders>
              <w:top w:val="single" w:sz="4" w:space="0" w:color="auto"/>
              <w:left w:val="single" w:sz="4" w:space="0" w:color="auto"/>
              <w:bottom w:val="single" w:sz="4" w:space="0" w:color="auto"/>
              <w:right w:val="single" w:sz="4" w:space="0" w:color="auto"/>
            </w:tcBorders>
          </w:tcPr>
          <w:p w14:paraId="6DE30A4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A0EBA6F"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213106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0696F0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7D61692"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B2CB881"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6DAF020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DEEC11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B720EFA"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61B5909E" w14:textId="77777777" w:rsidR="0064667D" w:rsidRPr="00621BC3" w:rsidRDefault="0064667D" w:rsidP="0064667D">
            <w:pPr>
              <w:rPr>
                <w:rFonts w:ascii="Times New Roman" w:hAnsi="Times New Roman" w:cs="Times New Roman"/>
                <w:b/>
                <w:u w:val="single"/>
              </w:rPr>
            </w:pPr>
          </w:p>
        </w:tc>
      </w:tr>
      <w:tr w:rsidR="0064667D" w14:paraId="6839D8DD"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192E6F36"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20. Trainee can be trusted to report cases (however, the consultant will check the reports and authorise them)</w:t>
            </w:r>
          </w:p>
        </w:tc>
        <w:tc>
          <w:tcPr>
            <w:tcW w:w="720" w:type="dxa"/>
            <w:tcBorders>
              <w:top w:val="single" w:sz="4" w:space="0" w:color="auto"/>
              <w:left w:val="single" w:sz="4" w:space="0" w:color="auto"/>
              <w:bottom w:val="single" w:sz="4" w:space="0" w:color="auto"/>
              <w:right w:val="single" w:sz="4" w:space="0" w:color="auto"/>
            </w:tcBorders>
          </w:tcPr>
          <w:p w14:paraId="256D2058"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67E8C82"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FE14E71"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18AF827"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B5EC55C"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DC6486B"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2AD4FD3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8035111"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249DF74"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270E3CA9" w14:textId="77777777" w:rsidR="0064667D" w:rsidRPr="00621BC3" w:rsidRDefault="0064667D" w:rsidP="0064667D">
            <w:pPr>
              <w:rPr>
                <w:rFonts w:ascii="Times New Roman" w:hAnsi="Times New Roman" w:cs="Times New Roman"/>
                <w:b/>
                <w:u w:val="single"/>
              </w:rPr>
            </w:pPr>
          </w:p>
        </w:tc>
      </w:tr>
      <w:tr w:rsidR="0064667D" w14:paraId="06F807AC"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0E417C57"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21. Trainee can be trusted to report independently (the consultant does not check the report and the trainee authorises it)</w:t>
            </w:r>
          </w:p>
        </w:tc>
        <w:tc>
          <w:tcPr>
            <w:tcW w:w="720" w:type="dxa"/>
            <w:tcBorders>
              <w:top w:val="single" w:sz="4" w:space="0" w:color="auto"/>
              <w:left w:val="single" w:sz="4" w:space="0" w:color="auto"/>
              <w:bottom w:val="single" w:sz="4" w:space="0" w:color="auto"/>
              <w:right w:val="single" w:sz="4" w:space="0" w:color="auto"/>
            </w:tcBorders>
          </w:tcPr>
          <w:p w14:paraId="014BD83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5B2A22D"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1047D47"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446E56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EDCA89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23C9DD2"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2A7F4986"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034510D"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216427B"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4B012BBE" w14:textId="77777777" w:rsidR="0064667D" w:rsidRPr="00621BC3" w:rsidRDefault="0064667D" w:rsidP="0064667D">
            <w:pPr>
              <w:rPr>
                <w:rFonts w:ascii="Times New Roman" w:hAnsi="Times New Roman" w:cs="Times New Roman"/>
                <w:b/>
                <w:u w:val="single"/>
              </w:rPr>
            </w:pPr>
          </w:p>
        </w:tc>
      </w:tr>
      <w:tr w:rsidR="0064667D" w14:paraId="2F6E8345"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744AF752"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22. Trainee asks for help/second opinion when needed</w:t>
            </w:r>
          </w:p>
        </w:tc>
        <w:tc>
          <w:tcPr>
            <w:tcW w:w="720" w:type="dxa"/>
            <w:tcBorders>
              <w:top w:val="single" w:sz="4" w:space="0" w:color="auto"/>
              <w:left w:val="single" w:sz="4" w:space="0" w:color="auto"/>
              <w:bottom w:val="single" w:sz="4" w:space="0" w:color="auto"/>
              <w:right w:val="single" w:sz="4" w:space="0" w:color="auto"/>
            </w:tcBorders>
          </w:tcPr>
          <w:p w14:paraId="7AFEFA93"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2DFC7EC"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7E057F93"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33FC1840"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93B0DD0"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98DD81B"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1A83AB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5DE1F73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0D6E129"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0E88C15B" w14:textId="77777777" w:rsidR="0064667D" w:rsidRPr="00621BC3" w:rsidRDefault="0064667D" w:rsidP="0064667D">
            <w:pPr>
              <w:rPr>
                <w:rFonts w:ascii="Times New Roman" w:hAnsi="Times New Roman" w:cs="Times New Roman"/>
                <w:b/>
                <w:u w:val="single"/>
              </w:rPr>
            </w:pPr>
          </w:p>
        </w:tc>
      </w:tr>
      <w:tr w:rsidR="0064667D" w14:paraId="63D45D5F"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3DAEC549"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23. Your opinion of a trainee’s diagnostic competence is related to an overall impression you have of them, rather than items of evidence e.g. gut-feelings/impressions/ your perceptions about trainees</w:t>
            </w:r>
          </w:p>
        </w:tc>
        <w:tc>
          <w:tcPr>
            <w:tcW w:w="720" w:type="dxa"/>
            <w:tcBorders>
              <w:top w:val="single" w:sz="4" w:space="0" w:color="auto"/>
              <w:left w:val="single" w:sz="4" w:space="0" w:color="auto"/>
              <w:bottom w:val="single" w:sz="4" w:space="0" w:color="auto"/>
              <w:right w:val="single" w:sz="4" w:space="0" w:color="auto"/>
            </w:tcBorders>
          </w:tcPr>
          <w:p w14:paraId="74D3457A"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681D4FDB"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78D6C2F"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77C28EF"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13B14D8"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229B68E7"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3F1435D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563583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F3C3CA0"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54EEAFA0" w14:textId="77777777" w:rsidR="0064667D" w:rsidRPr="00621BC3" w:rsidRDefault="0064667D" w:rsidP="0064667D">
            <w:pPr>
              <w:rPr>
                <w:rFonts w:ascii="Times New Roman" w:hAnsi="Times New Roman" w:cs="Times New Roman"/>
                <w:b/>
                <w:u w:val="single"/>
              </w:rPr>
            </w:pPr>
          </w:p>
        </w:tc>
      </w:tr>
      <w:tr w:rsidR="0064667D" w14:paraId="0E631764" w14:textId="77777777" w:rsidTr="0064667D">
        <w:trPr>
          <w:jc w:val="center"/>
        </w:trPr>
        <w:tc>
          <w:tcPr>
            <w:tcW w:w="2695" w:type="dxa"/>
            <w:tcBorders>
              <w:top w:val="single" w:sz="4" w:space="0" w:color="auto"/>
              <w:left w:val="single" w:sz="4" w:space="0" w:color="auto"/>
              <w:bottom w:val="single" w:sz="4" w:space="0" w:color="auto"/>
              <w:right w:val="single" w:sz="4" w:space="0" w:color="auto"/>
            </w:tcBorders>
            <w:hideMark/>
          </w:tcPr>
          <w:p w14:paraId="650EF3F4"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24. Your opinion of a trainee’s diagnostic competence is related to bringing all the evidence together and triangulating findings from exams, workplace-based assessments, day-to-day work</w:t>
            </w:r>
          </w:p>
        </w:tc>
        <w:tc>
          <w:tcPr>
            <w:tcW w:w="720" w:type="dxa"/>
            <w:tcBorders>
              <w:top w:val="single" w:sz="4" w:space="0" w:color="auto"/>
              <w:left w:val="single" w:sz="4" w:space="0" w:color="auto"/>
              <w:bottom w:val="single" w:sz="4" w:space="0" w:color="auto"/>
              <w:right w:val="single" w:sz="4" w:space="0" w:color="auto"/>
            </w:tcBorders>
          </w:tcPr>
          <w:p w14:paraId="09B1CDC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5311C7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81E101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45D37A6"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72CB299"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18CC6283"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3EC07A4"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40EE066E" w14:textId="77777777" w:rsidR="0064667D" w:rsidRPr="00621BC3" w:rsidRDefault="0064667D" w:rsidP="0064667D">
            <w:pPr>
              <w:rPr>
                <w:rFonts w:ascii="Times New Roman" w:hAnsi="Times New Roman" w:cs="Times New Roman"/>
                <w:b/>
                <w:u w:val="single"/>
              </w:rPr>
            </w:pPr>
          </w:p>
        </w:tc>
        <w:tc>
          <w:tcPr>
            <w:tcW w:w="540" w:type="dxa"/>
            <w:tcBorders>
              <w:top w:val="single" w:sz="4" w:space="0" w:color="auto"/>
              <w:left w:val="single" w:sz="4" w:space="0" w:color="auto"/>
              <w:bottom w:val="single" w:sz="4" w:space="0" w:color="auto"/>
              <w:right w:val="single" w:sz="4" w:space="0" w:color="auto"/>
            </w:tcBorders>
          </w:tcPr>
          <w:p w14:paraId="06797A83" w14:textId="77777777" w:rsidR="0064667D" w:rsidRPr="00621BC3" w:rsidRDefault="0064667D" w:rsidP="0064667D">
            <w:pPr>
              <w:rPr>
                <w:rFonts w:ascii="Times New Roman" w:hAnsi="Times New Roman" w:cs="Times New Roman"/>
                <w:b/>
                <w:u w:val="single"/>
              </w:rPr>
            </w:pPr>
          </w:p>
        </w:tc>
        <w:tc>
          <w:tcPr>
            <w:tcW w:w="720" w:type="dxa"/>
            <w:tcBorders>
              <w:top w:val="single" w:sz="4" w:space="0" w:color="auto"/>
              <w:left w:val="single" w:sz="4" w:space="0" w:color="auto"/>
              <w:bottom w:val="single" w:sz="4" w:space="0" w:color="auto"/>
              <w:right w:val="single" w:sz="4" w:space="0" w:color="auto"/>
            </w:tcBorders>
          </w:tcPr>
          <w:p w14:paraId="7D5DB12D" w14:textId="77777777" w:rsidR="0064667D" w:rsidRPr="00621BC3" w:rsidRDefault="0064667D" w:rsidP="0064667D">
            <w:pPr>
              <w:rPr>
                <w:rFonts w:ascii="Times New Roman" w:hAnsi="Times New Roman" w:cs="Times New Roman"/>
                <w:b/>
                <w:u w:val="single"/>
              </w:rPr>
            </w:pPr>
          </w:p>
        </w:tc>
      </w:tr>
      <w:tr w:rsidR="0064667D" w:rsidRPr="00621BC3" w14:paraId="3E56DCFC" w14:textId="77777777" w:rsidTr="0064667D">
        <w:tblPrEx>
          <w:jc w:val="left"/>
        </w:tblPrEx>
        <w:tc>
          <w:tcPr>
            <w:tcW w:w="2695" w:type="dxa"/>
            <w:hideMark/>
          </w:tcPr>
          <w:p w14:paraId="46836511" w14:textId="77777777" w:rsidR="0064667D" w:rsidRDefault="0064667D" w:rsidP="0064667D">
            <w:pPr>
              <w:rPr>
                <w:rFonts w:ascii="Times New Roman" w:hAnsi="Times New Roman" w:cs="Times New Roman"/>
                <w:b/>
                <w:sz w:val="28"/>
                <w:szCs w:val="28"/>
              </w:rPr>
            </w:pPr>
            <w:r w:rsidRPr="00621BC3">
              <w:rPr>
                <w:rFonts w:ascii="Times New Roman" w:hAnsi="Times New Roman" w:cs="Times New Roman"/>
                <w:b/>
                <w:sz w:val="28"/>
                <w:szCs w:val="28"/>
              </w:rPr>
              <w:t>The patient’s report</w:t>
            </w:r>
          </w:p>
          <w:p w14:paraId="39C90778" w14:textId="77777777" w:rsidR="0064667D" w:rsidRPr="00621BC3" w:rsidRDefault="0064667D" w:rsidP="0064667D">
            <w:pPr>
              <w:rPr>
                <w:rFonts w:ascii="Times New Roman" w:hAnsi="Times New Roman" w:cs="Times New Roman"/>
                <w:b/>
                <w:sz w:val="28"/>
                <w:szCs w:val="28"/>
              </w:rPr>
            </w:pPr>
          </w:p>
        </w:tc>
        <w:tc>
          <w:tcPr>
            <w:tcW w:w="720" w:type="dxa"/>
            <w:hideMark/>
          </w:tcPr>
          <w:p w14:paraId="703050EC"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1</w:t>
            </w:r>
          </w:p>
        </w:tc>
        <w:tc>
          <w:tcPr>
            <w:tcW w:w="540" w:type="dxa"/>
            <w:hideMark/>
          </w:tcPr>
          <w:p w14:paraId="089D4EC5"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2</w:t>
            </w:r>
          </w:p>
        </w:tc>
        <w:tc>
          <w:tcPr>
            <w:tcW w:w="540" w:type="dxa"/>
            <w:hideMark/>
          </w:tcPr>
          <w:p w14:paraId="15E397BD"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3</w:t>
            </w:r>
          </w:p>
        </w:tc>
        <w:tc>
          <w:tcPr>
            <w:tcW w:w="540" w:type="dxa"/>
            <w:hideMark/>
          </w:tcPr>
          <w:p w14:paraId="5740DBAA"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4</w:t>
            </w:r>
          </w:p>
        </w:tc>
        <w:tc>
          <w:tcPr>
            <w:tcW w:w="540" w:type="dxa"/>
            <w:hideMark/>
          </w:tcPr>
          <w:p w14:paraId="6E37F6D3"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5</w:t>
            </w:r>
          </w:p>
        </w:tc>
        <w:tc>
          <w:tcPr>
            <w:tcW w:w="540" w:type="dxa"/>
            <w:hideMark/>
          </w:tcPr>
          <w:p w14:paraId="7404F655"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6</w:t>
            </w:r>
          </w:p>
        </w:tc>
        <w:tc>
          <w:tcPr>
            <w:tcW w:w="720" w:type="dxa"/>
            <w:hideMark/>
          </w:tcPr>
          <w:p w14:paraId="7D6B1A7A"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7</w:t>
            </w:r>
          </w:p>
        </w:tc>
        <w:tc>
          <w:tcPr>
            <w:tcW w:w="540" w:type="dxa"/>
            <w:hideMark/>
          </w:tcPr>
          <w:p w14:paraId="10E3C76A"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8</w:t>
            </w:r>
          </w:p>
        </w:tc>
        <w:tc>
          <w:tcPr>
            <w:tcW w:w="540" w:type="dxa"/>
            <w:hideMark/>
          </w:tcPr>
          <w:p w14:paraId="0D65E230"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9</w:t>
            </w:r>
          </w:p>
        </w:tc>
        <w:tc>
          <w:tcPr>
            <w:tcW w:w="720" w:type="dxa"/>
            <w:hideMark/>
          </w:tcPr>
          <w:p w14:paraId="18A2F327" w14:textId="77777777" w:rsidR="0064667D" w:rsidRPr="00621BC3" w:rsidRDefault="0064667D" w:rsidP="0064667D">
            <w:pPr>
              <w:rPr>
                <w:rFonts w:ascii="Times New Roman" w:hAnsi="Times New Roman" w:cs="Times New Roman"/>
                <w:b/>
              </w:rPr>
            </w:pPr>
            <w:r w:rsidRPr="00621BC3">
              <w:rPr>
                <w:rFonts w:ascii="Times New Roman" w:hAnsi="Times New Roman" w:cs="Times New Roman"/>
                <w:b/>
              </w:rPr>
              <w:t>10</w:t>
            </w:r>
          </w:p>
        </w:tc>
      </w:tr>
      <w:tr w:rsidR="0064667D" w:rsidRPr="00621BC3" w14:paraId="341E282E" w14:textId="77777777" w:rsidTr="0064667D">
        <w:tblPrEx>
          <w:jc w:val="left"/>
        </w:tblPrEx>
        <w:tc>
          <w:tcPr>
            <w:tcW w:w="2695" w:type="dxa"/>
            <w:hideMark/>
          </w:tcPr>
          <w:p w14:paraId="256883C5"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25. Report is useful to the clinician/surgeon e.g. it does not contain unnecessary information or detail; it shows the surgeon’s clinical differential diagnoses have been considered</w:t>
            </w:r>
          </w:p>
        </w:tc>
        <w:tc>
          <w:tcPr>
            <w:tcW w:w="720" w:type="dxa"/>
          </w:tcPr>
          <w:p w14:paraId="3593D656" w14:textId="77777777" w:rsidR="0064667D" w:rsidRPr="00621BC3" w:rsidRDefault="0064667D" w:rsidP="0064667D">
            <w:pPr>
              <w:rPr>
                <w:rFonts w:ascii="Times New Roman" w:hAnsi="Times New Roman" w:cs="Times New Roman"/>
                <w:b/>
                <w:u w:val="single"/>
              </w:rPr>
            </w:pPr>
          </w:p>
        </w:tc>
        <w:tc>
          <w:tcPr>
            <w:tcW w:w="540" w:type="dxa"/>
          </w:tcPr>
          <w:p w14:paraId="03927CCF" w14:textId="77777777" w:rsidR="0064667D" w:rsidRPr="00621BC3" w:rsidRDefault="0064667D" w:rsidP="0064667D">
            <w:pPr>
              <w:rPr>
                <w:rFonts w:ascii="Times New Roman" w:hAnsi="Times New Roman" w:cs="Times New Roman"/>
                <w:b/>
                <w:u w:val="single"/>
              </w:rPr>
            </w:pPr>
          </w:p>
        </w:tc>
        <w:tc>
          <w:tcPr>
            <w:tcW w:w="540" w:type="dxa"/>
          </w:tcPr>
          <w:p w14:paraId="25CAC354" w14:textId="77777777" w:rsidR="0064667D" w:rsidRPr="00621BC3" w:rsidRDefault="0064667D" w:rsidP="0064667D">
            <w:pPr>
              <w:rPr>
                <w:rFonts w:ascii="Times New Roman" w:hAnsi="Times New Roman" w:cs="Times New Roman"/>
                <w:b/>
                <w:u w:val="single"/>
              </w:rPr>
            </w:pPr>
          </w:p>
        </w:tc>
        <w:tc>
          <w:tcPr>
            <w:tcW w:w="540" w:type="dxa"/>
          </w:tcPr>
          <w:p w14:paraId="6EB434D8" w14:textId="77777777" w:rsidR="0064667D" w:rsidRPr="00621BC3" w:rsidRDefault="0064667D" w:rsidP="0064667D">
            <w:pPr>
              <w:rPr>
                <w:rFonts w:ascii="Times New Roman" w:hAnsi="Times New Roman" w:cs="Times New Roman"/>
                <w:b/>
                <w:u w:val="single"/>
              </w:rPr>
            </w:pPr>
          </w:p>
        </w:tc>
        <w:tc>
          <w:tcPr>
            <w:tcW w:w="540" w:type="dxa"/>
          </w:tcPr>
          <w:p w14:paraId="125C3FAD" w14:textId="77777777" w:rsidR="0064667D" w:rsidRPr="00621BC3" w:rsidRDefault="0064667D" w:rsidP="0064667D">
            <w:pPr>
              <w:rPr>
                <w:rFonts w:ascii="Times New Roman" w:hAnsi="Times New Roman" w:cs="Times New Roman"/>
                <w:b/>
                <w:u w:val="single"/>
              </w:rPr>
            </w:pPr>
          </w:p>
        </w:tc>
        <w:tc>
          <w:tcPr>
            <w:tcW w:w="540" w:type="dxa"/>
          </w:tcPr>
          <w:p w14:paraId="78039767" w14:textId="77777777" w:rsidR="0064667D" w:rsidRPr="00621BC3" w:rsidRDefault="0064667D" w:rsidP="0064667D">
            <w:pPr>
              <w:rPr>
                <w:rFonts w:ascii="Times New Roman" w:hAnsi="Times New Roman" w:cs="Times New Roman"/>
                <w:b/>
                <w:u w:val="single"/>
              </w:rPr>
            </w:pPr>
          </w:p>
        </w:tc>
        <w:tc>
          <w:tcPr>
            <w:tcW w:w="720" w:type="dxa"/>
          </w:tcPr>
          <w:p w14:paraId="3CD4362A" w14:textId="77777777" w:rsidR="0064667D" w:rsidRPr="00621BC3" w:rsidRDefault="0064667D" w:rsidP="0064667D">
            <w:pPr>
              <w:rPr>
                <w:rFonts w:ascii="Times New Roman" w:hAnsi="Times New Roman" w:cs="Times New Roman"/>
                <w:b/>
                <w:u w:val="single"/>
              </w:rPr>
            </w:pPr>
          </w:p>
        </w:tc>
        <w:tc>
          <w:tcPr>
            <w:tcW w:w="540" w:type="dxa"/>
          </w:tcPr>
          <w:p w14:paraId="342ECAE4" w14:textId="77777777" w:rsidR="0064667D" w:rsidRPr="00621BC3" w:rsidRDefault="0064667D" w:rsidP="0064667D">
            <w:pPr>
              <w:rPr>
                <w:rFonts w:ascii="Times New Roman" w:hAnsi="Times New Roman" w:cs="Times New Roman"/>
                <w:b/>
                <w:u w:val="single"/>
              </w:rPr>
            </w:pPr>
          </w:p>
        </w:tc>
        <w:tc>
          <w:tcPr>
            <w:tcW w:w="540" w:type="dxa"/>
          </w:tcPr>
          <w:p w14:paraId="022A5A4F" w14:textId="77777777" w:rsidR="0064667D" w:rsidRPr="00621BC3" w:rsidRDefault="0064667D" w:rsidP="0064667D">
            <w:pPr>
              <w:rPr>
                <w:rFonts w:ascii="Times New Roman" w:hAnsi="Times New Roman" w:cs="Times New Roman"/>
                <w:b/>
                <w:u w:val="single"/>
              </w:rPr>
            </w:pPr>
          </w:p>
        </w:tc>
        <w:tc>
          <w:tcPr>
            <w:tcW w:w="720" w:type="dxa"/>
          </w:tcPr>
          <w:p w14:paraId="2DD73522" w14:textId="77777777" w:rsidR="0064667D" w:rsidRPr="00621BC3" w:rsidRDefault="0064667D" w:rsidP="0064667D">
            <w:pPr>
              <w:rPr>
                <w:rFonts w:ascii="Times New Roman" w:hAnsi="Times New Roman" w:cs="Times New Roman"/>
                <w:b/>
                <w:u w:val="single"/>
              </w:rPr>
            </w:pPr>
          </w:p>
        </w:tc>
      </w:tr>
      <w:tr w:rsidR="0064667D" w:rsidRPr="00621BC3" w14:paraId="2C6F1C6F" w14:textId="77777777" w:rsidTr="0064667D">
        <w:tblPrEx>
          <w:jc w:val="left"/>
        </w:tblPrEx>
        <w:tc>
          <w:tcPr>
            <w:tcW w:w="2695" w:type="dxa"/>
            <w:hideMark/>
          </w:tcPr>
          <w:p w14:paraId="03F83A7E"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t>26. Report ensures the clinician/surgeon receives the appropriate message e.g. when diagnoses are not clear-cut and a differential diagnosis or other message needs to be conveyed. This might include a discussion about the limitations of the biopsy or if further tests or information are needed</w:t>
            </w:r>
          </w:p>
        </w:tc>
        <w:tc>
          <w:tcPr>
            <w:tcW w:w="720" w:type="dxa"/>
          </w:tcPr>
          <w:p w14:paraId="64E895B7" w14:textId="77777777" w:rsidR="0064667D" w:rsidRPr="00621BC3" w:rsidRDefault="0064667D" w:rsidP="0064667D">
            <w:pPr>
              <w:rPr>
                <w:rFonts w:ascii="Times New Roman" w:hAnsi="Times New Roman" w:cs="Times New Roman"/>
                <w:b/>
                <w:u w:val="single"/>
              </w:rPr>
            </w:pPr>
          </w:p>
        </w:tc>
        <w:tc>
          <w:tcPr>
            <w:tcW w:w="540" w:type="dxa"/>
          </w:tcPr>
          <w:p w14:paraId="49C4722F" w14:textId="77777777" w:rsidR="0064667D" w:rsidRPr="00621BC3" w:rsidRDefault="0064667D" w:rsidP="0064667D">
            <w:pPr>
              <w:rPr>
                <w:rFonts w:ascii="Times New Roman" w:hAnsi="Times New Roman" w:cs="Times New Roman"/>
                <w:b/>
                <w:u w:val="single"/>
              </w:rPr>
            </w:pPr>
          </w:p>
        </w:tc>
        <w:tc>
          <w:tcPr>
            <w:tcW w:w="540" w:type="dxa"/>
          </w:tcPr>
          <w:p w14:paraId="105D53B6" w14:textId="77777777" w:rsidR="0064667D" w:rsidRPr="00621BC3" w:rsidRDefault="0064667D" w:rsidP="0064667D">
            <w:pPr>
              <w:rPr>
                <w:rFonts w:ascii="Times New Roman" w:hAnsi="Times New Roman" w:cs="Times New Roman"/>
                <w:b/>
                <w:u w:val="single"/>
              </w:rPr>
            </w:pPr>
          </w:p>
        </w:tc>
        <w:tc>
          <w:tcPr>
            <w:tcW w:w="540" w:type="dxa"/>
          </w:tcPr>
          <w:p w14:paraId="67613067" w14:textId="77777777" w:rsidR="0064667D" w:rsidRPr="00621BC3" w:rsidRDefault="0064667D" w:rsidP="0064667D">
            <w:pPr>
              <w:rPr>
                <w:rFonts w:ascii="Times New Roman" w:hAnsi="Times New Roman" w:cs="Times New Roman"/>
                <w:b/>
                <w:u w:val="single"/>
              </w:rPr>
            </w:pPr>
          </w:p>
        </w:tc>
        <w:tc>
          <w:tcPr>
            <w:tcW w:w="540" w:type="dxa"/>
          </w:tcPr>
          <w:p w14:paraId="168ABD9B" w14:textId="77777777" w:rsidR="0064667D" w:rsidRPr="00621BC3" w:rsidRDefault="0064667D" w:rsidP="0064667D">
            <w:pPr>
              <w:rPr>
                <w:rFonts w:ascii="Times New Roman" w:hAnsi="Times New Roman" w:cs="Times New Roman"/>
                <w:b/>
                <w:u w:val="single"/>
              </w:rPr>
            </w:pPr>
          </w:p>
        </w:tc>
        <w:tc>
          <w:tcPr>
            <w:tcW w:w="540" w:type="dxa"/>
          </w:tcPr>
          <w:p w14:paraId="6398A325" w14:textId="77777777" w:rsidR="0064667D" w:rsidRPr="00621BC3" w:rsidRDefault="0064667D" w:rsidP="0064667D">
            <w:pPr>
              <w:rPr>
                <w:rFonts w:ascii="Times New Roman" w:hAnsi="Times New Roman" w:cs="Times New Roman"/>
                <w:b/>
                <w:u w:val="single"/>
              </w:rPr>
            </w:pPr>
          </w:p>
        </w:tc>
        <w:tc>
          <w:tcPr>
            <w:tcW w:w="720" w:type="dxa"/>
          </w:tcPr>
          <w:p w14:paraId="71B7B95A" w14:textId="77777777" w:rsidR="0064667D" w:rsidRPr="00621BC3" w:rsidRDefault="0064667D" w:rsidP="0064667D">
            <w:pPr>
              <w:rPr>
                <w:rFonts w:ascii="Times New Roman" w:hAnsi="Times New Roman" w:cs="Times New Roman"/>
                <w:b/>
                <w:u w:val="single"/>
              </w:rPr>
            </w:pPr>
          </w:p>
        </w:tc>
        <w:tc>
          <w:tcPr>
            <w:tcW w:w="540" w:type="dxa"/>
          </w:tcPr>
          <w:p w14:paraId="304E95A7" w14:textId="77777777" w:rsidR="0064667D" w:rsidRPr="00621BC3" w:rsidRDefault="0064667D" w:rsidP="0064667D">
            <w:pPr>
              <w:rPr>
                <w:rFonts w:ascii="Times New Roman" w:hAnsi="Times New Roman" w:cs="Times New Roman"/>
                <w:b/>
                <w:u w:val="single"/>
              </w:rPr>
            </w:pPr>
          </w:p>
        </w:tc>
        <w:tc>
          <w:tcPr>
            <w:tcW w:w="540" w:type="dxa"/>
          </w:tcPr>
          <w:p w14:paraId="51CFE722" w14:textId="77777777" w:rsidR="0064667D" w:rsidRPr="00621BC3" w:rsidRDefault="0064667D" w:rsidP="0064667D">
            <w:pPr>
              <w:rPr>
                <w:rFonts w:ascii="Times New Roman" w:hAnsi="Times New Roman" w:cs="Times New Roman"/>
                <w:b/>
                <w:u w:val="single"/>
              </w:rPr>
            </w:pPr>
          </w:p>
        </w:tc>
        <w:tc>
          <w:tcPr>
            <w:tcW w:w="720" w:type="dxa"/>
          </w:tcPr>
          <w:p w14:paraId="2FE2D76C" w14:textId="77777777" w:rsidR="0064667D" w:rsidRPr="00621BC3" w:rsidRDefault="0064667D" w:rsidP="0064667D">
            <w:pPr>
              <w:rPr>
                <w:rFonts w:ascii="Times New Roman" w:hAnsi="Times New Roman" w:cs="Times New Roman"/>
                <w:b/>
                <w:u w:val="single"/>
              </w:rPr>
            </w:pPr>
          </w:p>
        </w:tc>
      </w:tr>
      <w:tr w:rsidR="0064667D" w:rsidRPr="00621BC3" w14:paraId="006FCC75" w14:textId="77777777" w:rsidTr="0064667D">
        <w:tblPrEx>
          <w:jc w:val="left"/>
        </w:tblPrEx>
        <w:tc>
          <w:tcPr>
            <w:tcW w:w="2695" w:type="dxa"/>
            <w:hideMark/>
          </w:tcPr>
          <w:p w14:paraId="3DA28BC4" w14:textId="77777777" w:rsidR="0064667D" w:rsidRPr="00621BC3" w:rsidRDefault="0064667D" w:rsidP="0064667D">
            <w:pPr>
              <w:rPr>
                <w:rFonts w:ascii="Times New Roman" w:hAnsi="Times New Roman" w:cs="Times New Roman"/>
              </w:rPr>
            </w:pPr>
            <w:r w:rsidRPr="00621BC3">
              <w:rPr>
                <w:rFonts w:ascii="Times New Roman" w:hAnsi="Times New Roman" w:cs="Times New Roman"/>
              </w:rPr>
              <w:lastRenderedPageBreak/>
              <w:t>27. Report is organised appropriately and well-written e.g. it is logically laid out, is not confusing and uses appropriate language</w:t>
            </w:r>
          </w:p>
        </w:tc>
        <w:tc>
          <w:tcPr>
            <w:tcW w:w="720" w:type="dxa"/>
          </w:tcPr>
          <w:p w14:paraId="1FD8B5F2" w14:textId="77777777" w:rsidR="0064667D" w:rsidRPr="00621BC3" w:rsidRDefault="0064667D" w:rsidP="0064667D">
            <w:pPr>
              <w:rPr>
                <w:rFonts w:ascii="Times New Roman" w:hAnsi="Times New Roman" w:cs="Times New Roman"/>
                <w:b/>
                <w:u w:val="single"/>
              </w:rPr>
            </w:pPr>
          </w:p>
        </w:tc>
        <w:tc>
          <w:tcPr>
            <w:tcW w:w="540" w:type="dxa"/>
          </w:tcPr>
          <w:p w14:paraId="57C8D34A" w14:textId="77777777" w:rsidR="0064667D" w:rsidRPr="00621BC3" w:rsidRDefault="0064667D" w:rsidP="0064667D">
            <w:pPr>
              <w:rPr>
                <w:rFonts w:ascii="Times New Roman" w:hAnsi="Times New Roman" w:cs="Times New Roman"/>
                <w:b/>
                <w:u w:val="single"/>
              </w:rPr>
            </w:pPr>
          </w:p>
        </w:tc>
        <w:tc>
          <w:tcPr>
            <w:tcW w:w="540" w:type="dxa"/>
          </w:tcPr>
          <w:p w14:paraId="4E5E9792" w14:textId="77777777" w:rsidR="0064667D" w:rsidRPr="00621BC3" w:rsidRDefault="0064667D" w:rsidP="0064667D">
            <w:pPr>
              <w:rPr>
                <w:rFonts w:ascii="Times New Roman" w:hAnsi="Times New Roman" w:cs="Times New Roman"/>
                <w:b/>
                <w:u w:val="single"/>
              </w:rPr>
            </w:pPr>
          </w:p>
        </w:tc>
        <w:tc>
          <w:tcPr>
            <w:tcW w:w="540" w:type="dxa"/>
          </w:tcPr>
          <w:p w14:paraId="1DE9A624" w14:textId="77777777" w:rsidR="0064667D" w:rsidRPr="00621BC3" w:rsidRDefault="0064667D" w:rsidP="0064667D">
            <w:pPr>
              <w:rPr>
                <w:rFonts w:ascii="Times New Roman" w:hAnsi="Times New Roman" w:cs="Times New Roman"/>
                <w:b/>
                <w:u w:val="single"/>
              </w:rPr>
            </w:pPr>
          </w:p>
        </w:tc>
        <w:tc>
          <w:tcPr>
            <w:tcW w:w="540" w:type="dxa"/>
          </w:tcPr>
          <w:p w14:paraId="27976E59" w14:textId="77777777" w:rsidR="0064667D" w:rsidRPr="00621BC3" w:rsidRDefault="0064667D" w:rsidP="0064667D">
            <w:pPr>
              <w:rPr>
                <w:rFonts w:ascii="Times New Roman" w:hAnsi="Times New Roman" w:cs="Times New Roman"/>
                <w:b/>
                <w:u w:val="single"/>
              </w:rPr>
            </w:pPr>
          </w:p>
        </w:tc>
        <w:tc>
          <w:tcPr>
            <w:tcW w:w="540" w:type="dxa"/>
          </w:tcPr>
          <w:p w14:paraId="777119CE" w14:textId="77777777" w:rsidR="0064667D" w:rsidRPr="00621BC3" w:rsidRDefault="0064667D" w:rsidP="0064667D">
            <w:pPr>
              <w:rPr>
                <w:rFonts w:ascii="Times New Roman" w:hAnsi="Times New Roman" w:cs="Times New Roman"/>
                <w:b/>
                <w:u w:val="single"/>
              </w:rPr>
            </w:pPr>
          </w:p>
        </w:tc>
        <w:tc>
          <w:tcPr>
            <w:tcW w:w="720" w:type="dxa"/>
          </w:tcPr>
          <w:p w14:paraId="48F7ECFF" w14:textId="77777777" w:rsidR="0064667D" w:rsidRPr="00621BC3" w:rsidRDefault="0064667D" w:rsidP="0064667D">
            <w:pPr>
              <w:rPr>
                <w:rFonts w:ascii="Times New Roman" w:hAnsi="Times New Roman" w:cs="Times New Roman"/>
                <w:b/>
                <w:u w:val="single"/>
              </w:rPr>
            </w:pPr>
          </w:p>
        </w:tc>
        <w:tc>
          <w:tcPr>
            <w:tcW w:w="540" w:type="dxa"/>
          </w:tcPr>
          <w:p w14:paraId="6A4BC189" w14:textId="77777777" w:rsidR="0064667D" w:rsidRPr="00621BC3" w:rsidRDefault="0064667D" w:rsidP="0064667D">
            <w:pPr>
              <w:rPr>
                <w:rFonts w:ascii="Times New Roman" w:hAnsi="Times New Roman" w:cs="Times New Roman"/>
                <w:b/>
                <w:u w:val="single"/>
              </w:rPr>
            </w:pPr>
          </w:p>
        </w:tc>
        <w:tc>
          <w:tcPr>
            <w:tcW w:w="540" w:type="dxa"/>
          </w:tcPr>
          <w:p w14:paraId="774C88DF" w14:textId="77777777" w:rsidR="0064667D" w:rsidRPr="00621BC3" w:rsidRDefault="0064667D" w:rsidP="0064667D">
            <w:pPr>
              <w:rPr>
                <w:rFonts w:ascii="Times New Roman" w:hAnsi="Times New Roman" w:cs="Times New Roman"/>
                <w:b/>
                <w:u w:val="single"/>
              </w:rPr>
            </w:pPr>
          </w:p>
        </w:tc>
        <w:tc>
          <w:tcPr>
            <w:tcW w:w="720" w:type="dxa"/>
          </w:tcPr>
          <w:p w14:paraId="4E2BC6A0" w14:textId="77777777" w:rsidR="0064667D" w:rsidRPr="00621BC3" w:rsidRDefault="0064667D" w:rsidP="0064667D">
            <w:pPr>
              <w:rPr>
                <w:rFonts w:ascii="Times New Roman" w:hAnsi="Times New Roman" w:cs="Times New Roman"/>
                <w:b/>
                <w:u w:val="single"/>
              </w:rPr>
            </w:pPr>
          </w:p>
        </w:tc>
      </w:tr>
    </w:tbl>
    <w:p w14:paraId="26D10DF9" w14:textId="1D314039" w:rsidR="00604B5E" w:rsidRPr="00D831E9" w:rsidRDefault="00D831E9" w:rsidP="003A1EBD">
      <w:pPr>
        <w:spacing w:line="480" w:lineRule="auto"/>
        <w:rPr>
          <w:rFonts w:ascii="Times New Roman" w:hAnsi="Times New Roman" w:cs="Times New Roman"/>
          <w:b/>
          <w:sz w:val="24"/>
          <w:szCs w:val="24"/>
          <w:lang w:val="en-GB"/>
        </w:rPr>
      </w:pPr>
      <w:r w:rsidRPr="00D831E9">
        <w:rPr>
          <w:rFonts w:ascii="Times New Roman" w:hAnsi="Times New Roman" w:cs="Times New Roman"/>
          <w:b/>
          <w:sz w:val="24"/>
          <w:szCs w:val="24"/>
          <w:lang w:val="en-GB"/>
        </w:rPr>
        <w:t>Table 5.1. List of items to be rated in the Delphi</w:t>
      </w:r>
    </w:p>
    <w:p w14:paraId="4A9746A8" w14:textId="5AF76838" w:rsidR="003A1EBD" w:rsidRPr="003A1EBD" w:rsidRDefault="007A712D" w:rsidP="003A1EBD">
      <w:pPr>
        <w:spacing w:line="480" w:lineRule="auto"/>
        <w:rPr>
          <w:rFonts w:ascii="Times New Roman" w:hAnsi="Times New Roman" w:cs="Times New Roman"/>
          <w:b/>
          <w:sz w:val="24"/>
          <w:szCs w:val="24"/>
        </w:rPr>
      </w:pPr>
      <w:r>
        <w:rPr>
          <w:rFonts w:ascii="Times New Roman" w:hAnsi="Times New Roman" w:cs="Times New Roman"/>
          <w:b/>
          <w:sz w:val="24"/>
          <w:szCs w:val="24"/>
        </w:rPr>
        <w:t>5.3</w:t>
      </w:r>
      <w:r w:rsidR="003A1EBD" w:rsidRPr="003A1EBD">
        <w:rPr>
          <w:rFonts w:ascii="Times New Roman" w:hAnsi="Times New Roman" w:cs="Times New Roman"/>
          <w:b/>
          <w:sz w:val="24"/>
          <w:szCs w:val="24"/>
        </w:rPr>
        <w:t>.2.2 Rating and ranking</w:t>
      </w:r>
    </w:p>
    <w:p w14:paraId="287E7459" w14:textId="07BD9BCA" w:rsidR="00863DF5" w:rsidRPr="003A1EBD" w:rsidRDefault="00863DF5" w:rsidP="003A1EBD">
      <w:pPr>
        <w:spacing w:line="480" w:lineRule="auto"/>
        <w:rPr>
          <w:rFonts w:ascii="Times New Roman" w:hAnsi="Times New Roman" w:cs="Times New Roman"/>
          <w:sz w:val="24"/>
          <w:szCs w:val="24"/>
        </w:rPr>
      </w:pPr>
      <w:r w:rsidRPr="003A1EBD">
        <w:rPr>
          <w:rFonts w:ascii="Times New Roman" w:hAnsi="Times New Roman" w:cs="Times New Roman"/>
          <w:sz w:val="24"/>
          <w:szCs w:val="24"/>
        </w:rPr>
        <w:t>Participants were asked to rate the items in terms of importance on a 10 point Likert-type item scale where 10 represented “definitely important” and 1 represented “definitely not important”</w:t>
      </w:r>
      <w:r w:rsidR="00B33FF1">
        <w:rPr>
          <w:rFonts w:ascii="Times New Roman" w:hAnsi="Times New Roman" w:cs="Times New Roman"/>
          <w:sz w:val="24"/>
          <w:szCs w:val="24"/>
        </w:rPr>
        <w:t xml:space="preserve"> (see </w:t>
      </w:r>
      <w:r w:rsidR="00884116">
        <w:rPr>
          <w:rFonts w:ascii="Times New Roman" w:hAnsi="Times New Roman" w:cs="Times New Roman"/>
          <w:sz w:val="24"/>
          <w:szCs w:val="24"/>
        </w:rPr>
        <w:t>T</w:t>
      </w:r>
      <w:r w:rsidR="00B33FF1">
        <w:rPr>
          <w:rFonts w:ascii="Times New Roman" w:hAnsi="Times New Roman" w:cs="Times New Roman"/>
          <w:sz w:val="24"/>
          <w:szCs w:val="24"/>
        </w:rPr>
        <w:t xml:space="preserve">able </w:t>
      </w:r>
      <w:r w:rsidR="000F1153">
        <w:rPr>
          <w:rFonts w:ascii="Times New Roman" w:hAnsi="Times New Roman" w:cs="Times New Roman"/>
          <w:sz w:val="24"/>
          <w:szCs w:val="24"/>
        </w:rPr>
        <w:t>5.</w:t>
      </w:r>
      <w:r w:rsidR="00B33FF1">
        <w:rPr>
          <w:rFonts w:ascii="Times New Roman" w:hAnsi="Times New Roman" w:cs="Times New Roman"/>
          <w:sz w:val="24"/>
          <w:szCs w:val="24"/>
        </w:rPr>
        <w:t>1)</w:t>
      </w:r>
      <w:r w:rsidRPr="003A1EBD">
        <w:rPr>
          <w:rFonts w:ascii="Times New Roman" w:hAnsi="Times New Roman" w:cs="Times New Roman"/>
          <w:sz w:val="24"/>
          <w:szCs w:val="24"/>
        </w:rPr>
        <w:t>. A 10-point scale was chosen to: 1) ensure there was no “middle option”. This is important because participants have to commit to a positive or negative stance</w:t>
      </w:r>
      <w:r w:rsidR="00884116">
        <w:rPr>
          <w:rFonts w:ascii="Times New Roman" w:hAnsi="Times New Roman" w:cs="Times New Roman"/>
          <w:sz w:val="24"/>
          <w:szCs w:val="24"/>
        </w:rPr>
        <w:t xml:space="preserve"> </w:t>
      </w:r>
      <w:r w:rsidRPr="003A1EBD">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{"citationItems":[{"id":"ITEM-1","itemData":{"DOI":"citeulike-article-id:4775464","ISBN":"978-0125245500","ISSN":"01136895","PMID":"24333665","abstract":"Examines the use of the mid-point category on a marketing rating scale. Optimal number of scale categories; Likert scale; Survey results; Implications.","author":[{"dropping-particle":"","family":"Garland","given":"Ron","non-dropping-particle":"","parse-names":false,"suffix":""}],"container-title":"Marketing Bulletin","id":"ITEM-1","issue":"3","issued":{"date-parts":[["1991"]]},"page":"66-70","title":"The Mid-Point on a Rating Scale: Is it Desirable?","type":"article-journal","volume":"2"},"uris":["http://www.mendeley.com/documents/?uuid=abcc96e4-34f2-4743-ba40-69cf38413fc5"]}],"mendeley":{"formattedCitation":"(Garland, 1991)","plainTextFormattedCitation":"(Garland, 1991)","previouslyFormattedCitation":"(Garland 1991)"},"properties":{"noteIndex":0},"schema":"https://github.com/citation-style-language/schema/raw/master/csl-citation.json"}</w:instrText>
      </w:r>
      <w:r w:rsidRPr="003A1EBD">
        <w:rPr>
          <w:rFonts w:ascii="Times New Roman" w:hAnsi="Times New Roman" w:cs="Times New Roman"/>
          <w:sz w:val="24"/>
          <w:szCs w:val="24"/>
        </w:rPr>
        <w:fldChar w:fldCharType="separate"/>
      </w:r>
      <w:r w:rsidR="001005AC">
        <w:rPr>
          <w:rFonts w:ascii="Times New Roman" w:hAnsi="Times New Roman" w:cs="Times New Roman"/>
          <w:noProof/>
          <w:sz w:val="24"/>
          <w:szCs w:val="24"/>
        </w:rPr>
        <w:t>(Garland</w:t>
      </w:r>
      <w:r w:rsidR="00BE3B6C" w:rsidRPr="00BE3B6C">
        <w:rPr>
          <w:rFonts w:ascii="Times New Roman" w:hAnsi="Times New Roman" w:cs="Times New Roman"/>
          <w:noProof/>
          <w:sz w:val="24"/>
          <w:szCs w:val="24"/>
        </w:rPr>
        <w:t xml:space="preserve"> 1991)</w:t>
      </w:r>
      <w:r w:rsidRPr="003A1EBD">
        <w:rPr>
          <w:rFonts w:ascii="Times New Roman" w:hAnsi="Times New Roman" w:cs="Times New Roman"/>
          <w:sz w:val="24"/>
          <w:szCs w:val="24"/>
        </w:rPr>
        <w:fldChar w:fldCharType="end"/>
      </w:r>
      <w:r w:rsidR="00B33FF1">
        <w:rPr>
          <w:rFonts w:ascii="Times New Roman" w:hAnsi="Times New Roman" w:cs="Times New Roman"/>
          <w:sz w:val="24"/>
          <w:szCs w:val="24"/>
        </w:rPr>
        <w:t xml:space="preserve"> rather than remaining neutral. </w:t>
      </w:r>
      <w:r w:rsidRPr="003A1EBD">
        <w:rPr>
          <w:rFonts w:ascii="Times New Roman" w:hAnsi="Times New Roman" w:cs="Times New Roman"/>
          <w:sz w:val="24"/>
          <w:szCs w:val="24"/>
        </w:rPr>
        <w:t xml:space="preserve"> 2) To help with the statistics (see</w:t>
      </w:r>
      <w:r w:rsidR="001904EB">
        <w:rPr>
          <w:rFonts w:ascii="Times New Roman" w:hAnsi="Times New Roman" w:cs="Times New Roman"/>
          <w:sz w:val="24"/>
          <w:szCs w:val="24"/>
        </w:rPr>
        <w:t xml:space="preserve"> section on stability </w:t>
      </w:r>
      <w:r w:rsidR="00B3410C">
        <w:rPr>
          <w:rFonts w:ascii="Times New Roman" w:hAnsi="Times New Roman" w:cs="Times New Roman"/>
          <w:sz w:val="24"/>
          <w:szCs w:val="24"/>
        </w:rPr>
        <w:t>5.3.2.4</w:t>
      </w:r>
      <w:r w:rsidRPr="003A1EBD">
        <w:rPr>
          <w:rFonts w:ascii="Times New Roman" w:hAnsi="Times New Roman" w:cs="Times New Roman"/>
          <w:sz w:val="24"/>
          <w:szCs w:val="24"/>
        </w:rPr>
        <w:t xml:space="preserve">). </w:t>
      </w:r>
    </w:p>
    <w:p w14:paraId="16424197" w14:textId="1272B1DE" w:rsidR="00863DF5" w:rsidRPr="006F3B00" w:rsidRDefault="00863DF5" w:rsidP="00CE02A1">
      <w:pPr>
        <w:spacing w:line="480" w:lineRule="auto"/>
        <w:rPr>
          <w:rFonts w:ascii="Times New Roman" w:hAnsi="Times New Roman" w:cs="Times New Roman"/>
          <w:sz w:val="24"/>
          <w:szCs w:val="24"/>
        </w:rPr>
      </w:pPr>
      <w:r w:rsidRPr="006F3B00">
        <w:rPr>
          <w:rFonts w:ascii="Times New Roman" w:hAnsi="Times New Roman" w:cs="Times New Roman"/>
          <w:sz w:val="24"/>
          <w:szCs w:val="24"/>
        </w:rPr>
        <w:t>Participants were also asked to rate both the top 3 and bottom 3 items which they felt were most important and least important when determining diagnostic competence in trainees. The ranking was limited to six items as it was felt that ranking all 27 items would be too onerous, especially as their importance would also be garnered from their consensus and stability scores (see</w:t>
      </w:r>
      <w:r w:rsidR="000F1153">
        <w:rPr>
          <w:rFonts w:ascii="Times New Roman" w:hAnsi="Times New Roman" w:cs="Times New Roman"/>
          <w:sz w:val="24"/>
          <w:szCs w:val="24"/>
        </w:rPr>
        <w:t xml:space="preserve"> sections </w:t>
      </w:r>
      <w:r w:rsidR="00B3410C">
        <w:rPr>
          <w:rFonts w:ascii="Times New Roman" w:hAnsi="Times New Roman" w:cs="Times New Roman"/>
          <w:sz w:val="24"/>
          <w:szCs w:val="24"/>
        </w:rPr>
        <w:t>5.3.2.3 and 5.3.2.4</w:t>
      </w:r>
      <w:r w:rsidRPr="006F3B00">
        <w:rPr>
          <w:rFonts w:ascii="Times New Roman" w:hAnsi="Times New Roman" w:cs="Times New Roman"/>
          <w:sz w:val="24"/>
          <w:szCs w:val="24"/>
        </w:rPr>
        <w:t xml:space="preserve"> below).</w:t>
      </w:r>
    </w:p>
    <w:p w14:paraId="06DB0DBC" w14:textId="77777777" w:rsidR="00863DF5" w:rsidRPr="006F3B00" w:rsidRDefault="00863DF5" w:rsidP="00CE02A1">
      <w:pPr>
        <w:spacing w:after="120" w:line="480" w:lineRule="auto"/>
        <w:jc w:val="both"/>
        <w:rPr>
          <w:rFonts w:ascii="Times New Roman" w:hAnsi="Times New Roman" w:cs="Times New Roman"/>
          <w:sz w:val="24"/>
          <w:szCs w:val="24"/>
        </w:rPr>
      </w:pPr>
      <w:r w:rsidRPr="006F3B00">
        <w:rPr>
          <w:rFonts w:ascii="Times New Roman" w:hAnsi="Times New Roman" w:cs="Times New Roman"/>
          <w:sz w:val="24"/>
          <w:szCs w:val="24"/>
        </w:rPr>
        <w:t>For both rating and ranking judgements, “free-text boxes” were provided to enable participants to justify their scores or offer other items which were not listed in the Delphi. This information was used to help understand the rationale behind the consensus and offered further insight into the judgement ecology.</w:t>
      </w:r>
    </w:p>
    <w:p w14:paraId="1CAA8A8A" w14:textId="57A82E92" w:rsidR="00863DF5" w:rsidRDefault="007A712D" w:rsidP="00CE02A1">
      <w:pPr>
        <w:pStyle w:val="Heading4"/>
        <w:rPr>
          <w:rFonts w:ascii="Times New Roman" w:hAnsi="Times New Roman" w:cs="Times New Roman"/>
          <w:i w:val="0"/>
          <w:color w:val="auto"/>
          <w:sz w:val="24"/>
          <w:szCs w:val="24"/>
        </w:rPr>
      </w:pPr>
      <w:r>
        <w:rPr>
          <w:rFonts w:ascii="Times New Roman" w:hAnsi="Times New Roman" w:cs="Times New Roman"/>
          <w:i w:val="0"/>
          <w:color w:val="auto"/>
          <w:sz w:val="24"/>
          <w:szCs w:val="24"/>
        </w:rPr>
        <w:t>5.3</w:t>
      </w:r>
      <w:r w:rsidR="00CE02A1" w:rsidRPr="00CE02A1">
        <w:rPr>
          <w:rFonts w:ascii="Times New Roman" w:hAnsi="Times New Roman" w:cs="Times New Roman"/>
          <w:i w:val="0"/>
          <w:color w:val="auto"/>
          <w:sz w:val="24"/>
          <w:szCs w:val="24"/>
        </w:rPr>
        <w:t xml:space="preserve">.2.3 </w:t>
      </w:r>
      <w:r w:rsidR="00863DF5" w:rsidRPr="00CE02A1">
        <w:rPr>
          <w:rFonts w:ascii="Times New Roman" w:hAnsi="Times New Roman" w:cs="Times New Roman"/>
          <w:i w:val="0"/>
          <w:color w:val="auto"/>
          <w:sz w:val="24"/>
          <w:szCs w:val="24"/>
        </w:rPr>
        <w:t>Consensus</w:t>
      </w:r>
    </w:p>
    <w:p w14:paraId="55918E2C" w14:textId="77777777" w:rsidR="00B33FF1" w:rsidRPr="00B33FF1" w:rsidRDefault="00B33FF1" w:rsidP="00B33FF1">
      <w:pPr>
        <w:rPr>
          <w:lang w:val="en-GB"/>
        </w:rPr>
      </w:pPr>
    </w:p>
    <w:p w14:paraId="4C08171C" w14:textId="03F2CC82" w:rsidR="00863DF5" w:rsidRPr="00CE02A1" w:rsidRDefault="00863DF5" w:rsidP="00CE02A1">
      <w:pPr>
        <w:spacing w:line="480" w:lineRule="auto"/>
        <w:rPr>
          <w:rFonts w:ascii="Times New Roman" w:hAnsi="Times New Roman" w:cs="Times New Roman"/>
          <w:sz w:val="24"/>
          <w:szCs w:val="24"/>
        </w:rPr>
      </w:pPr>
      <w:r w:rsidRPr="00CE02A1">
        <w:rPr>
          <w:rFonts w:ascii="Times New Roman" w:hAnsi="Times New Roman" w:cs="Times New Roman"/>
          <w:sz w:val="24"/>
          <w:szCs w:val="24"/>
        </w:rPr>
        <w:t>Consensus has proven difficult to define in Delphi studies with a range of possibilities to choose from. In many cases, it is</w:t>
      </w:r>
      <w:r w:rsidR="00982F6E">
        <w:rPr>
          <w:rFonts w:ascii="Times New Roman" w:hAnsi="Times New Roman" w:cs="Times New Roman"/>
          <w:sz w:val="24"/>
          <w:szCs w:val="24"/>
        </w:rPr>
        <w:t xml:space="preserve"> considered</w:t>
      </w:r>
      <w:r w:rsidRPr="00CE02A1">
        <w:rPr>
          <w:rFonts w:ascii="Times New Roman" w:hAnsi="Times New Roman" w:cs="Times New Roman"/>
          <w:sz w:val="24"/>
          <w:szCs w:val="24"/>
        </w:rPr>
        <w:t xml:space="preserve"> an arbitrary figure</w:t>
      </w:r>
      <w:r w:rsidR="00884116">
        <w:rPr>
          <w:rFonts w:ascii="Times New Roman" w:hAnsi="Times New Roman" w:cs="Times New Roman"/>
          <w:sz w:val="24"/>
          <w:szCs w:val="24"/>
        </w:rPr>
        <w:t xml:space="preserve"> </w:t>
      </w:r>
      <w:r w:rsidRPr="00CE02A1">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{"citationItems":[{"id":"ITEM-1","itemData":{"DOI":"10.1016/j.techfore.2012.04.013","ISBN":"0040-1625","ISSN":"00401625","abstract":"Consensus measurement plays an important role in Delphi research. Although it is not the technique's aim, the measurement has to be considered an important component of Delphi analyses and data interpretation. During the past 60. years, the Delphi multi-round survey procedure has been widely and successfully used to aggregate expert opinions on future developments and incidents. This paper is dedicated to how consensus (and dissent) has been measured since the technique's emergence in the 1960s and which criteria have been used. The review also includes a description of its relationship with the measurement of stability over Delphi rounds, although the major focus lies on the concept of consensus. In an extensive literature review, 15 types of measure were identified and classified for measuring consensus (and/or stability) in detail. The research reveals that there are obvious deficits in the practice and rigour of consensus measurement for Delphi research: mistakes in statistical tests or their premises have even been made. This article gives a broad understanding of the consensus concept, shows strengths and weaknesses as well as premises of different types of measure and concludes with lessons learned. Its major contribution is therefore on improving the future quality of consensus-oriented Delphi studies. © 2012 Elsevier Inc.","author":[{"dropping-particle":"","family":"Gracht","given":"Heiko A.","non-dropping-particle":"von der","parse-names":false,"suffix":""}],"container-title":"Technological Forecasting and Social Change","id":"ITEM-1","issue":"8","issued":{"date-parts":[["2012"]]},"page":"1525-1536","title":"Consensus measurement in Delphi studies. Review and implications for future quality assurance","type":"article-journal","volume":"79"},"uris":["http://www.mendeley.com/documents/?uuid=5032a3f8-1c8d-451b-a31b-c15e1817f5ae"]}],"mendeley":{"formattedCitation":"(von der Gracht, 2012)","plainTextFormattedCitation":"(von der Gracht, 2012)","previouslyFormattedCitation":"(von der Gracht 2012)"},"properties":{"noteIndex":0},"schema":"https://github.com/citation-style-language/schema/raw/master/csl-citation.json"}</w:instrText>
      </w:r>
      <w:r w:rsidRPr="00CE02A1">
        <w:rPr>
          <w:rFonts w:ascii="Times New Roman" w:hAnsi="Times New Roman" w:cs="Times New Roman"/>
          <w:sz w:val="24"/>
          <w:szCs w:val="24"/>
        </w:rPr>
        <w:fldChar w:fldCharType="separate"/>
      </w:r>
      <w:r w:rsidR="001005AC">
        <w:rPr>
          <w:rFonts w:ascii="Times New Roman" w:hAnsi="Times New Roman" w:cs="Times New Roman"/>
          <w:noProof/>
          <w:sz w:val="24"/>
          <w:szCs w:val="24"/>
        </w:rPr>
        <w:t>(von der Gracht</w:t>
      </w:r>
      <w:r w:rsidR="00BE3B6C" w:rsidRPr="00BE3B6C">
        <w:rPr>
          <w:rFonts w:ascii="Times New Roman" w:hAnsi="Times New Roman" w:cs="Times New Roman"/>
          <w:noProof/>
          <w:sz w:val="24"/>
          <w:szCs w:val="24"/>
        </w:rPr>
        <w:t xml:space="preserve"> 2012)</w:t>
      </w:r>
      <w:r w:rsidRPr="00CE02A1">
        <w:rPr>
          <w:rFonts w:ascii="Times New Roman" w:hAnsi="Times New Roman" w:cs="Times New Roman"/>
          <w:sz w:val="24"/>
          <w:szCs w:val="24"/>
        </w:rPr>
        <w:fldChar w:fldCharType="end"/>
      </w:r>
      <w:r w:rsidRPr="00CE02A1">
        <w:rPr>
          <w:rFonts w:ascii="Times New Roman" w:hAnsi="Times New Roman" w:cs="Times New Roman"/>
          <w:sz w:val="24"/>
          <w:szCs w:val="24"/>
        </w:rPr>
        <w:t xml:space="preserve">. </w:t>
      </w:r>
      <w:r w:rsidR="00DE6486">
        <w:rPr>
          <w:rFonts w:ascii="Times New Roman" w:hAnsi="Times New Roman" w:cs="Times New Roman"/>
          <w:sz w:val="24"/>
          <w:szCs w:val="24"/>
        </w:rPr>
        <w:t>It is important</w:t>
      </w:r>
      <w:r w:rsidRPr="00CE02A1">
        <w:rPr>
          <w:rFonts w:ascii="Times New Roman" w:hAnsi="Times New Roman" w:cs="Times New Roman"/>
          <w:sz w:val="24"/>
          <w:szCs w:val="24"/>
        </w:rPr>
        <w:t xml:space="preserve"> to define</w:t>
      </w:r>
      <w:r w:rsidR="00DE6486">
        <w:rPr>
          <w:rFonts w:ascii="Times New Roman" w:hAnsi="Times New Roman" w:cs="Times New Roman"/>
          <w:sz w:val="24"/>
          <w:szCs w:val="24"/>
        </w:rPr>
        <w:t xml:space="preserve"> consensus </w:t>
      </w:r>
      <w:r w:rsidRPr="00CE02A1">
        <w:rPr>
          <w:rFonts w:ascii="Times New Roman" w:hAnsi="Times New Roman" w:cs="Times New Roman"/>
          <w:sz w:val="24"/>
          <w:szCs w:val="24"/>
        </w:rPr>
        <w:t>before the study begins</w:t>
      </w:r>
      <w:r w:rsidR="00DE6486">
        <w:rPr>
          <w:rFonts w:ascii="Times New Roman" w:hAnsi="Times New Roman" w:cs="Times New Roman"/>
          <w:sz w:val="24"/>
          <w:szCs w:val="24"/>
        </w:rPr>
        <w:t xml:space="preserve">, not to change it during the </w:t>
      </w:r>
      <w:r w:rsidR="00DE6486">
        <w:rPr>
          <w:rFonts w:ascii="Times New Roman" w:hAnsi="Times New Roman" w:cs="Times New Roman"/>
          <w:sz w:val="24"/>
          <w:szCs w:val="24"/>
        </w:rPr>
        <w:lastRenderedPageBreak/>
        <w:t xml:space="preserve">course of the study and to ensure it is clearly worded so it is easy to determine whether an item has reached </w:t>
      </w:r>
      <w:r w:rsidR="00884116">
        <w:rPr>
          <w:rFonts w:ascii="Times New Roman" w:hAnsi="Times New Roman" w:cs="Times New Roman"/>
          <w:sz w:val="24"/>
          <w:szCs w:val="24"/>
        </w:rPr>
        <w:t>‘</w:t>
      </w:r>
      <w:r w:rsidR="00DE6486">
        <w:rPr>
          <w:rFonts w:ascii="Times New Roman" w:hAnsi="Times New Roman" w:cs="Times New Roman"/>
          <w:sz w:val="24"/>
          <w:szCs w:val="24"/>
        </w:rPr>
        <w:t>in</w:t>
      </w:r>
      <w:r w:rsidR="00884116">
        <w:rPr>
          <w:rFonts w:ascii="Times New Roman" w:hAnsi="Times New Roman" w:cs="Times New Roman"/>
          <w:sz w:val="24"/>
          <w:szCs w:val="24"/>
        </w:rPr>
        <w:t>’</w:t>
      </w:r>
      <w:r w:rsidR="00DE6486">
        <w:rPr>
          <w:rFonts w:ascii="Times New Roman" w:hAnsi="Times New Roman" w:cs="Times New Roman"/>
          <w:sz w:val="24"/>
          <w:szCs w:val="24"/>
        </w:rPr>
        <w:t xml:space="preserve"> or </w:t>
      </w:r>
      <w:r w:rsidR="00884116">
        <w:rPr>
          <w:rFonts w:ascii="Times New Roman" w:hAnsi="Times New Roman" w:cs="Times New Roman"/>
          <w:sz w:val="24"/>
          <w:szCs w:val="24"/>
        </w:rPr>
        <w:t>‘</w:t>
      </w:r>
      <w:r w:rsidR="00DE6486">
        <w:rPr>
          <w:rFonts w:ascii="Times New Roman" w:hAnsi="Times New Roman" w:cs="Times New Roman"/>
          <w:sz w:val="24"/>
          <w:szCs w:val="24"/>
        </w:rPr>
        <w:t>out</w:t>
      </w:r>
      <w:r w:rsidR="00884116">
        <w:rPr>
          <w:rFonts w:ascii="Times New Roman" w:hAnsi="Times New Roman" w:cs="Times New Roman"/>
          <w:sz w:val="24"/>
          <w:szCs w:val="24"/>
        </w:rPr>
        <w:t>’</w:t>
      </w:r>
      <w:r w:rsidR="00DE6486">
        <w:rPr>
          <w:rFonts w:ascii="Times New Roman" w:hAnsi="Times New Roman" w:cs="Times New Roman"/>
          <w:sz w:val="24"/>
          <w:szCs w:val="24"/>
        </w:rPr>
        <w:t xml:space="preserve"> consensus. Determination of consensus should not</w:t>
      </w:r>
      <w:r w:rsidRPr="00CE02A1">
        <w:rPr>
          <w:rFonts w:ascii="Times New Roman" w:hAnsi="Times New Roman" w:cs="Times New Roman"/>
          <w:sz w:val="24"/>
          <w:szCs w:val="24"/>
        </w:rPr>
        <w:t xml:space="preserve"> just take into account those participants who agree an item is important, but also those who disagree the same item is important, as sometimes a lack of consensus on an item can offer just as much insight as those that reach consensus. Indeed, Delphi is not an exact science and recommendations have </w:t>
      </w:r>
      <w:r w:rsidR="00884116" w:rsidRPr="00CE02A1">
        <w:rPr>
          <w:rFonts w:ascii="Times New Roman" w:hAnsi="Times New Roman" w:cs="Times New Roman"/>
          <w:sz w:val="24"/>
          <w:szCs w:val="24"/>
        </w:rPr>
        <w:t>focused</w:t>
      </w:r>
      <w:r w:rsidRPr="00CE02A1">
        <w:rPr>
          <w:rFonts w:ascii="Times New Roman" w:hAnsi="Times New Roman" w:cs="Times New Roman"/>
          <w:sz w:val="24"/>
          <w:szCs w:val="24"/>
        </w:rPr>
        <w:t xml:space="preserve"> </w:t>
      </w:r>
      <w:r w:rsidRPr="001005AC">
        <w:rPr>
          <w:rFonts w:ascii="Times New Roman" w:hAnsi="Times New Roman" w:cs="Times New Roman"/>
          <w:sz w:val="24"/>
          <w:szCs w:val="24"/>
        </w:rPr>
        <w:t>on trying to make the process of Delphi transparent to those who interpret the results</w:t>
      </w:r>
      <w:r w:rsidR="00884116" w:rsidRPr="001005AC">
        <w:rPr>
          <w:rFonts w:ascii="Times New Roman" w:hAnsi="Times New Roman" w:cs="Times New Roman"/>
          <w:sz w:val="24"/>
          <w:szCs w:val="24"/>
        </w:rPr>
        <w:t xml:space="preserve"> </w:t>
      </w:r>
      <w:r w:rsidRPr="001005AC">
        <w:rPr>
          <w:rFonts w:ascii="Times New Roman" w:hAnsi="Times New Roman" w:cs="Times New Roman"/>
          <w:sz w:val="24"/>
          <w:szCs w:val="24"/>
        </w:rPr>
        <w:fldChar w:fldCharType="begin" w:fldLock="1"/>
      </w:r>
      <w:r w:rsidR="00BE3B6C" w:rsidRPr="001005AC">
        <w:rPr>
          <w:rFonts w:ascii="Times New Roman" w:hAnsi="Times New Roman" w:cs="Times New Roman"/>
          <w:sz w:val="24"/>
          <w:szCs w:val="24"/>
        </w:rPr>
        <w:instrText>ADDIN CSL_CITATION {"citationItems":[{"id":"ITEM-1","itemData":{"DOI":"10.1080/0142159X.2017.1245856","ISBN":"1466-187X (Electronic)\r0142-159X (Linking)","ISSN":"1466187X","PMID":"27841062","abstract":"Consensus group methods are widely used in research to identify and measure areas where incomplete evidence exists for decision-making. Despite their widespread use, these methods are often inconsistently used and reported. Using examples from the three most commonly used methods, the Delphi, Nominal Group and RAND/UCLA; this paper and associated Guide aim to describe these methods and to highlight common weaknesses in methodology and reporting. The paper out- lines a series of recommendations to assist researchers using consensus group methods in providing a comprehensive description and justification of the steps taken in their study.","author":[{"dropping-particle":"","family":"Humphrey-Murto","given":"Susan","non-dropping-particle":"","parse-names":false,"suffix":""},{"dropping-particle":"","family":"Varpio","given":"Lara","non-dropping-particle":"","parse-names":false,"suffix":""},{"dropping-particle":"","family":"Gonsalves","given":"Carol","non-dropping-particle":"","parse-names":false,"suffix":""},{"dropping-particle":"","family":"Wood","given":"Timothy J.","non-dropping-particle":"","parse-names":false,"suffix":""}],"container-title":"Medical Teacher","id":"ITEM-1","issue":"1","issued":{"date-parts":[["2017"]]},"page":"14-19","title":"Using consensus group methods such as Delphi and Nominal Group in medical education research*","type":"article-journal","volume":"39"},"uris":["http://www.mendeley.com/documents/?uuid=5f2102d1-ea3b-4f76-8fe9-c0e2487cfb8a"]}],"mendeley":{"formattedCitation":"(Humphrey-Murto &lt;i&gt;et al.&lt;/i&gt;, 2017)","plainTextFormattedCitation":"(Humphrey-Murto et al., 2017)","previouslyFormattedCitation":"(Humphrey-Murto et al. 2017)"},"properties":{"noteIndex":0},"schema":"https://github.com/citation-style-language/schema/raw/master/csl-citation.json"}</w:instrText>
      </w:r>
      <w:r w:rsidRPr="001005AC">
        <w:rPr>
          <w:rFonts w:ascii="Times New Roman" w:hAnsi="Times New Roman" w:cs="Times New Roman"/>
          <w:sz w:val="24"/>
          <w:szCs w:val="24"/>
        </w:rPr>
        <w:fldChar w:fldCharType="separate"/>
      </w:r>
      <w:r w:rsidR="00BE3B6C" w:rsidRPr="001005AC">
        <w:rPr>
          <w:rFonts w:ascii="Times New Roman" w:hAnsi="Times New Roman" w:cs="Times New Roman"/>
          <w:noProof/>
          <w:sz w:val="24"/>
          <w:szCs w:val="24"/>
        </w:rPr>
        <w:t>(Humphrey-Murto et al. 2017)</w:t>
      </w:r>
      <w:r w:rsidRPr="001005AC">
        <w:rPr>
          <w:rFonts w:ascii="Times New Roman" w:hAnsi="Times New Roman" w:cs="Times New Roman"/>
          <w:sz w:val="24"/>
          <w:szCs w:val="24"/>
        </w:rPr>
        <w:fldChar w:fldCharType="end"/>
      </w:r>
      <w:r w:rsidRPr="001005AC">
        <w:rPr>
          <w:rFonts w:ascii="Times New Roman" w:hAnsi="Times New Roman" w:cs="Times New Roman"/>
          <w:sz w:val="24"/>
          <w:szCs w:val="24"/>
        </w:rPr>
        <w:t>. Consensus in this study was defined as “consensus in” when &gt;70% of participants scored the item as 8-1</w:t>
      </w:r>
      <w:r w:rsidR="00293975" w:rsidRPr="001005AC">
        <w:rPr>
          <w:rFonts w:ascii="Times New Roman" w:hAnsi="Times New Roman" w:cs="Times New Roman"/>
          <w:sz w:val="24"/>
          <w:szCs w:val="24"/>
        </w:rPr>
        <w:t>0 (definitely important) and &lt;15</w:t>
      </w:r>
      <w:r w:rsidRPr="001005AC">
        <w:rPr>
          <w:rFonts w:ascii="Times New Roman" w:hAnsi="Times New Roman" w:cs="Times New Roman"/>
          <w:sz w:val="24"/>
          <w:szCs w:val="24"/>
        </w:rPr>
        <w:t>% have scored it 1-3 (definitely not important). “Consensus out” was when &gt;70% of participants scored an item 1-3 and &lt;15% participants scored it 8-10. All other combinations were considered to be ‘no consensus’, in accordance with previous research that used similar 9 or 10 point scales</w:t>
      </w:r>
      <w:r w:rsidR="00884116" w:rsidRPr="001005AC">
        <w:rPr>
          <w:rFonts w:ascii="Times New Roman" w:hAnsi="Times New Roman" w:cs="Times New Roman"/>
          <w:sz w:val="24"/>
          <w:szCs w:val="24"/>
        </w:rPr>
        <w:t xml:space="preserve"> </w:t>
      </w:r>
      <w:r w:rsidRPr="001005AC">
        <w:rPr>
          <w:rFonts w:ascii="Times New Roman" w:hAnsi="Times New Roman" w:cs="Times New Roman"/>
          <w:sz w:val="24"/>
          <w:szCs w:val="24"/>
        </w:rPr>
        <w:fldChar w:fldCharType="begin" w:fldLock="1"/>
      </w:r>
      <w:r w:rsidR="00BE3B6C" w:rsidRPr="001005AC">
        <w:rPr>
          <w:rFonts w:ascii="Times New Roman" w:hAnsi="Times New Roman" w:cs="Times New Roman"/>
          <w:sz w:val="24"/>
          <w:szCs w:val="24"/>
        </w:rPr>
        <w:instrText>ADDIN CSL_CITATION {"citationItems":[{"id":"ITEM-1","itemData":{"DOI":"10.1186/s13063-017-2098-x","ISSN":"17456215","PMID":"28778170","abstract":"BACKGROUND: Orthodontic treatment is commonly undertaken in young people, with over 40% of children in the UK needing treatment and currently one third having treatment, at a cost to the National Health Service in England and Wales of pound273 million each year. Most current research about orthodontic care does not consider what patients truly feel about, or want, from treatment, and a diverse range of outcomes is being used with little consistency between studies. This study aims to address these problems, using established methodology to develop a core outcome set for use in future clinical trials of orthodontic interventions in children and young people. METHODS/DESIGN: This is a mixed-methods study incorporating four distinct stages. The first stage will include a scoping review of the scientific literature to identify primary and secondary outcome measures that have been used in previous orthodontic clinical trials. The second stage will involve qualitative interviews and focus groups with orthodontic patients aged 10 to 16 years to determine what outcomes are important to them. The outcomes elicited from these two stages will inform the third stage of the study in which a long-list of outcomes will be ranked in terms of importance using electronic Delphi surveys involving clinicians and patients. The final stage of the study will involve face-to-face consensus meetings with all stakeholders to discuss and agree on the outcome measures that should be included in the final core outcome set. DISCUSSION: This research will help to inform patients, parents, clinicians and commissioners about outcomes that are important to young people undergoing orthodontic treatment. Adoption of the core outcome set in future clinical trials of orthodontic treatment will make it easier for results to be compared, contrasted and combined. This should translate into improved decision-making by all stakeholders involved. TRIAL REGISTRATION: The project has been registered on the Core Outcome Measures in Effectiveness Trials ( COMET ) website, January 2016.","author":[{"dropping-particle":"","family":"Tsichlaki","given":"Aliki","non-dropping-particle":"","parse-names":false,"suffix":""},{"dropping-particle":"","family":"O'Brien","given":"Kevin","non-dropping-particle":"","parse-names":false,"suffix":""},{"dropping-particle":"","family":"Johal","given":"Ama","non-dropping-particle":"","parse-names":false,"suffix":""},{"dropping-particle":"","family":"Marshman","given":"Zoe Z.","non-dropping-particle":"","parse-names":false,"suffix":""},{"dropping-particle":"","family":"Benson","given":"Philip P.","non-dropping-particle":"","parse-names":false,"suffix":""},{"dropping-particle":"","family":"Colonio Salazar","given":"Fiorella B.","non-dropping-particle":"","parse-names":false,"suffix":""},{"dropping-particle":"","family":"Fleming","given":"Padhraig S.","non-dropping-particle":"","parse-names":false,"suffix":""}],"container-title":"Trials","id":"ITEM-1","issue":"1","issued":{"date-parts":[["2017"]]},"title":"Development of a core outcome set for orthodontic trials using a mixed-methods approach: Protocol for a multicentre study","type":"article-journal","volume":"18"},"uris":["http://www.mendeley.com/documents/?uuid=2704a636-2898-4c6e-be8d-c75036944183"]},{"id":"ITEM-2","itemData":{"DOI":"10.1371/journal.pone.0129514","ISBN":"1932-6203 (Electronic)\\r1932-6203 (Linking)","ISSN":"19326203","PMID":"26115172","abstract":"BACKGROUND: Approximately 75% of children with cleft palate (CP) have Otitis Media with Effusion (OME) histories. Evidence for the effective management of OME in these children is lacking. The inconsistency in outcome measurement in previous studies has led to a call for the development of a Core Outcome Set (COS). Despite the increase in the number of published COS, involvement of patients in the COS development process, and methods to integrate the views of patients and health professionals, to date have been limited.\\n\\nMETHODS AND FINDINGS: A list of outcomes measured in previous research was identified through reviewing the literature. Opinion on the importance of each of these outcomes was then sought from key stakeholders: Ear, Nose and Throat (ENT) surgeons, audiologists, cleft surgeons, speech and language therapists, specialist cleft nurses, psychologists, parents and children. The opinion of health professionals was sought in a three round Delphi survey where participants were asked to score each outcome using a bespoke online system. Parents and children were also asked to score outcomes in a survey and provided an in-depth insight into having OME through semi-structured interviews. The results of the Delphi survey, interviews and parent/patient survey were brought together in a final consensus meeting with representation from all stakeholders. A final set of eleven outcomes reached the definition of \"consensus in\" to form the recommended COS: hearing; chronic otitis media (COM); OME; receptive language skills; speech development; psycho social development; acute otitis media (AOM); cholesteatoma; side effects of treatment; listening skills; otalgia.\\n\\nCONCLUSIONS: We have produced a recommendation about the outcomes that should be measured, as a minimum, in studies of the management of OME in children with CP. The development process included input from key stakeholders and used novel methodology to integrate the opinion of healthcare professionals, parents and children.","author":[{"dropping-particle":"","family":"Harman","given":"Nicola L.","non-dropping-particle":"","parse-names":false,"suffix":""},{"dropping-particle":"","family":"Bruce","given":"Iain A.","non-dropping-particle":"","parse-names":false,"suffix":""},{"dropping-particle":"","family":"Kirkham","given":"Jamie J.","non-dropping-particle":"","parse-names":false,"suffix":""},{"dropping-particle":"","family":"Tierney","given":"Stephanie","non-dropping-particle":"","parse-names":false,"suffix":""},{"dropping-particle":"","family":"Callery","given":"Peter","non-dropping-particle":"","parse-names":false,"suffix":""},{"dropping-particle":"","family":"O'Brien","given":"Kevin","non-dropping-particle":"","parse-names":false,"suffix":""},{"dropping-particle":"","family":"Bennett","given":"Alex M.D.","non-dropping-particle":"","parse-names":false,"suffix":""},{"dropping-particle":"","family":"Chorbachi","given":"Raouf","non-dropping-particle":"","parse-names":false,"suffix":""},{"dropping-particle":"","family":"Hall","given":"Per N.","non-dropping-particle":"","parse-names":false,"suffix":""},{"dropping-particle":"","family":"Harding-Bell","given":"Anne","non-dropping-particle":"","parse-names":false,"suffix":""},{"dropping-particle":"","family":"Parfect","given":"Victoria H.","non-dropping-particle":"","parse-names":false,"suffix":""},{"dropping-particle":"","family":"Rumsey","given":"Nichola","non-dropping-particle":"","parse-names":false,"suffix":""},{"dropping-particle":"","family":"Sell","given":"Debbie","non-dropping-particle":"","parse-names":false,"suffix":""},{"dropping-particle":"","family":"Sharma","given":"Ravi","non-dropping-particle":"","parse-names":false,"suffix":""},{"dropping-particle":"","family":"Williamson","given":"Paula R.","non-dropping-particle":"","parse-names":false,"suffix":""}],"container-title":"PLoS ONE","id":"ITEM-2","issue":"6","issued":{"date-parts":[["2015"]]},"title":"The importance of integration of stakeholder views in core outcome set development: Otitis Media with Effusion in children with cleft palate","type":"article-journal","volume":"10"},"uris":["http://www.mendeley.com/documents/?uuid=b81f7cc5-712f-457a-a7d3-0359a421fbf6"]}],"mendeley":{"formattedCitation":"(Harman &lt;i&gt;et al.&lt;/i&gt;, 2015; Tsichlaki &lt;i&gt;et al.&lt;/i&gt;, 2017)","plainTextFormattedCitation":"(Harman et al., 2015; Tsichlaki et al., 2017)","previouslyFormattedCitation":"(Tsichlaki et al. 2017; Harman et al. 2015)"},"properties":{"noteIndex":0},"schema":"https://github.com/citation-style-language/schema/raw/master/csl-citation.json"}</w:instrText>
      </w:r>
      <w:r w:rsidRPr="001005AC">
        <w:rPr>
          <w:rFonts w:ascii="Times New Roman" w:hAnsi="Times New Roman" w:cs="Times New Roman"/>
          <w:sz w:val="24"/>
          <w:szCs w:val="24"/>
        </w:rPr>
        <w:fldChar w:fldCharType="separate"/>
      </w:r>
      <w:r w:rsidR="00BE3B6C" w:rsidRPr="001005AC">
        <w:rPr>
          <w:rFonts w:ascii="Times New Roman" w:hAnsi="Times New Roman" w:cs="Times New Roman"/>
          <w:noProof/>
          <w:sz w:val="24"/>
          <w:szCs w:val="24"/>
        </w:rPr>
        <w:t>(Harman et al. 2015; Tsichlaki et al. 2017)</w:t>
      </w:r>
      <w:r w:rsidRPr="001005AC">
        <w:rPr>
          <w:rFonts w:ascii="Times New Roman" w:hAnsi="Times New Roman" w:cs="Times New Roman"/>
          <w:sz w:val="24"/>
          <w:szCs w:val="24"/>
        </w:rPr>
        <w:fldChar w:fldCharType="end"/>
      </w:r>
      <w:r w:rsidRPr="001005AC">
        <w:rPr>
          <w:rFonts w:ascii="Times New Roman" w:hAnsi="Times New Roman" w:cs="Times New Roman"/>
          <w:sz w:val="24"/>
          <w:szCs w:val="24"/>
        </w:rPr>
        <w:t>. This consen</w:t>
      </w:r>
      <w:r w:rsidR="00293975" w:rsidRPr="001005AC">
        <w:rPr>
          <w:rFonts w:ascii="Times New Roman" w:hAnsi="Times New Roman" w:cs="Times New Roman"/>
          <w:sz w:val="24"/>
          <w:szCs w:val="24"/>
        </w:rPr>
        <w:t>sus method ensures that when &gt;15</w:t>
      </w:r>
      <w:r w:rsidRPr="001005AC">
        <w:rPr>
          <w:rFonts w:ascii="Times New Roman" w:hAnsi="Times New Roman" w:cs="Times New Roman"/>
          <w:sz w:val="24"/>
          <w:szCs w:val="24"/>
        </w:rPr>
        <w:t>% of participants score an item 1-3, it can prevent an overall consensus even when the remaining participants score it 8-10. This is important so that outlier’s views aren’t disregarded (and consensus is falsely reached) and has the ability to generate further discussion in subsequent rounds. As a further condition for consensus,</w:t>
      </w:r>
      <w:r w:rsidR="00293975" w:rsidRPr="001005AC">
        <w:rPr>
          <w:rFonts w:ascii="Times New Roman" w:hAnsi="Times New Roman" w:cs="Times New Roman"/>
          <w:sz w:val="24"/>
          <w:szCs w:val="24"/>
        </w:rPr>
        <w:t xml:space="preserve"> it was decided</w:t>
      </w:r>
      <w:r w:rsidR="00F277C6" w:rsidRPr="001005AC">
        <w:rPr>
          <w:rFonts w:ascii="Times New Roman" w:hAnsi="Times New Roman" w:cs="Times New Roman"/>
          <w:sz w:val="24"/>
          <w:szCs w:val="24"/>
        </w:rPr>
        <w:t xml:space="preserve"> the i</w:t>
      </w:r>
      <w:r w:rsidRPr="001005AC">
        <w:rPr>
          <w:rFonts w:ascii="Times New Roman" w:hAnsi="Times New Roman" w:cs="Times New Roman"/>
          <w:sz w:val="24"/>
          <w:szCs w:val="24"/>
        </w:rPr>
        <w:t>nterquartile</w:t>
      </w:r>
      <w:r w:rsidR="00F277C6" w:rsidRPr="001005AC">
        <w:rPr>
          <w:rFonts w:ascii="Times New Roman" w:hAnsi="Times New Roman" w:cs="Times New Roman"/>
          <w:sz w:val="24"/>
          <w:szCs w:val="24"/>
        </w:rPr>
        <w:t xml:space="preserve"> r</w:t>
      </w:r>
      <w:r w:rsidR="00293975" w:rsidRPr="001005AC">
        <w:rPr>
          <w:rFonts w:ascii="Times New Roman" w:hAnsi="Times New Roman" w:cs="Times New Roman"/>
          <w:sz w:val="24"/>
          <w:szCs w:val="24"/>
        </w:rPr>
        <w:t>ange (IQR) should</w:t>
      </w:r>
      <w:r w:rsidRPr="001005AC">
        <w:rPr>
          <w:rFonts w:ascii="Times New Roman" w:hAnsi="Times New Roman" w:cs="Times New Roman"/>
          <w:sz w:val="24"/>
          <w:szCs w:val="24"/>
        </w:rPr>
        <w:t xml:space="preserve"> be 2 or less to achieve consensus </w:t>
      </w:r>
      <w:r w:rsidR="00A62ABC" w:rsidRPr="001005AC">
        <w:rPr>
          <w:rFonts w:ascii="Times New Roman" w:hAnsi="Times New Roman" w:cs="Times New Roman"/>
          <w:sz w:val="24"/>
          <w:szCs w:val="24"/>
        </w:rPr>
        <w:t>‘</w:t>
      </w:r>
      <w:r w:rsidRPr="001005AC">
        <w:rPr>
          <w:rFonts w:ascii="Times New Roman" w:hAnsi="Times New Roman" w:cs="Times New Roman"/>
          <w:sz w:val="24"/>
          <w:szCs w:val="24"/>
        </w:rPr>
        <w:t>in</w:t>
      </w:r>
      <w:r w:rsidR="00A62ABC" w:rsidRPr="001005AC">
        <w:rPr>
          <w:rFonts w:ascii="Times New Roman" w:hAnsi="Times New Roman" w:cs="Times New Roman"/>
          <w:sz w:val="24"/>
          <w:szCs w:val="24"/>
        </w:rPr>
        <w:t>’</w:t>
      </w:r>
      <w:r w:rsidRPr="001005AC">
        <w:rPr>
          <w:rFonts w:ascii="Times New Roman" w:hAnsi="Times New Roman" w:cs="Times New Roman"/>
          <w:sz w:val="24"/>
          <w:szCs w:val="24"/>
        </w:rPr>
        <w:t xml:space="preserve"> or </w:t>
      </w:r>
      <w:r w:rsidR="00A62ABC" w:rsidRPr="001005AC">
        <w:rPr>
          <w:rFonts w:ascii="Times New Roman" w:hAnsi="Times New Roman" w:cs="Times New Roman"/>
          <w:sz w:val="24"/>
          <w:szCs w:val="24"/>
        </w:rPr>
        <w:t>‘</w:t>
      </w:r>
      <w:r w:rsidRPr="001005AC">
        <w:rPr>
          <w:rFonts w:ascii="Times New Roman" w:hAnsi="Times New Roman" w:cs="Times New Roman"/>
          <w:sz w:val="24"/>
          <w:szCs w:val="24"/>
        </w:rPr>
        <w:t>out</w:t>
      </w:r>
      <w:r w:rsidR="00A62ABC" w:rsidRPr="001005AC">
        <w:rPr>
          <w:rFonts w:ascii="Times New Roman" w:hAnsi="Times New Roman" w:cs="Times New Roman"/>
          <w:sz w:val="24"/>
          <w:szCs w:val="24"/>
        </w:rPr>
        <w:t>’</w:t>
      </w:r>
      <w:r w:rsidR="00514B6B" w:rsidRPr="001005AC">
        <w:rPr>
          <w:rFonts w:ascii="Times New Roman" w:hAnsi="Times New Roman" w:cs="Times New Roman"/>
          <w:sz w:val="24"/>
          <w:szCs w:val="24"/>
        </w:rPr>
        <w:t xml:space="preserve"> </w:t>
      </w:r>
      <w:r w:rsidRPr="001005AC">
        <w:rPr>
          <w:rFonts w:ascii="Times New Roman" w:hAnsi="Times New Roman" w:cs="Times New Roman"/>
          <w:sz w:val="24"/>
          <w:szCs w:val="24"/>
        </w:rPr>
        <w:fldChar w:fldCharType="begin" w:fldLock="1"/>
      </w:r>
      <w:r w:rsidR="00BE3B6C" w:rsidRPr="001005AC">
        <w:rPr>
          <w:rFonts w:ascii="Times New Roman" w:hAnsi="Times New Roman" w:cs="Times New Roman"/>
          <w:sz w:val="24"/>
          <w:szCs w:val="24"/>
        </w:rPr>
        <w:instrText>ADDIN CSL_CITATION {"citationItems":[{"id":"ITEM-1","itemData":{"DOI":"10.1016/j.ijpe.2010.04.013","ISBN":"0925-5273","ISSN":"09255273","PMID":"11986278","abstract":"The logistics services industry will be significantly affected by future developments throughout the world. Therefore, developing future scenarios is an important basis for long-term strategy development. Nevertheless, research exposes that there is a lack of awareness among logistics researchers and practitioners about future scenarios. In this paper, we apply scenario planning and present the findings of an extensive Delphi-based scenario study on the future of the logistics services industry in the year 2025. The major contribution of our research is the development of probable and unforeseen scenarios of the future which may provide a valuable basis for strategy development in the logistics services industry. © 2010 Elsevier B.V. All rights reserved.","author":[{"dropping-particle":"","family":"Gracht","given":"Heiko A.","non-dropping-particle":"Von Der","parse-names":false,"suffix":""},{"dropping-particle":"","family":"Darkow","given":"Inga Lena","non-dropping-particle":"","parse-names":false,"suffix":""}],"container-title":"International Journal of Production Economics","id":"ITEM-1","issue":"1","issued":{"date-parts":[["2010"]]},"page":"46-59","title":"Scenarios for the logistics services industry: A Delphi-based analysis for 2025","type":"article-journal","volume":"127"},"uris":["http://www.mendeley.com/documents/?uuid=e499973b-7ced-4d41-8207-b78ded6e8c29"]},{"id":"ITEM-2","itemData":{"DOI":"10.2307/254805","ISBN":"0-201-04294-0","ISSN":"00014273","abstract":"The emphasis in the Delphi literature to date has been on results rather than on methodology and evaluation of design features. The other articles in this chapter do address the latter aspects. Still, quite a number of issues remain unsolved, particularly those concerned with the details of the internal structure of the Delphi. For example, the way in which subjective evaluation is measured may affect the final output of the Delphi. A number of variables enter here. Ostrom and Upshaw [1] have noted that the range of the scale provided has a marked effect on judgment. Persons playing the role of judges who estimated themselves as \"relatively harsh\" assigned average \"sentences\" of four years to \"criminals\" when presented with a one-to-five-year scale, and twenty-one years when presented with a 1 to 25-year scale. The difficulties involved with the selection of a suitable scale range can be solved by the employment of an abstract scale rather than one representing, for example, hard dollars or years. An abstract scale allows relative measures to be made. Abstract scales are particularly suited to the measurement of values, as for example in the development of goal weights to represent relative priorities for goal attainment.","author":[{"dropping-particle":"","family":"Scheibe","given":"M.","non-dropping-particle":"","parse-names":false,"suffix":""},{"dropping-particle":"","family":"Skutch","given":"M.","non-dropping-particle":"","parse-names":false,"suffix":""},{"dropping-particle":"","family":"Schofer","given":"J.","non-dropping-particle":"","parse-names":false,"suffix":""}],"container-title":"The Delphi Method Techniques and Application","id":"ITEM-2","issued":{"date-parts":[["1975"]]},"title":"Experiments in Delphi Methodology","type":"chapter"},"uris":["http://www.mendeley.com/documents/?uuid=5bd5149a-005b-4a57-9150-8cdea019ac3e"]}],"mendeley":{"formattedCitation":"(Scheibe, Skutch and Schofer, 1975; Von Der Gracht and Darkow, 2010)","plainTextFormattedCitation":"(Scheibe, Skutch and Schofer, 1975; Von Der Gracht and Darkow, 2010)","previouslyFormattedCitation":"(Von Der Gracht and Darkow 2010; Scheibe, Skutch, and Schofer 1975)"},"properties":{"noteIndex":0},"schema":"https://github.com/citation-style-language/schema/raw/master/csl-citation.json"}</w:instrText>
      </w:r>
      <w:r w:rsidRPr="001005AC">
        <w:rPr>
          <w:rFonts w:ascii="Times New Roman" w:hAnsi="Times New Roman" w:cs="Times New Roman"/>
          <w:sz w:val="24"/>
          <w:szCs w:val="24"/>
        </w:rPr>
        <w:fldChar w:fldCharType="separate"/>
      </w:r>
      <w:r w:rsidR="001005AC">
        <w:rPr>
          <w:rFonts w:ascii="Times New Roman" w:hAnsi="Times New Roman" w:cs="Times New Roman"/>
          <w:noProof/>
          <w:sz w:val="24"/>
          <w:szCs w:val="24"/>
        </w:rPr>
        <w:t>(Scheibe, Skutch and Schofer</w:t>
      </w:r>
      <w:r w:rsidR="00BE3B6C" w:rsidRPr="001005AC">
        <w:rPr>
          <w:rFonts w:ascii="Times New Roman" w:hAnsi="Times New Roman" w:cs="Times New Roman"/>
          <w:noProof/>
          <w:sz w:val="24"/>
          <w:szCs w:val="24"/>
        </w:rPr>
        <w:t xml:space="preserve"> 1975</w:t>
      </w:r>
      <w:r w:rsidR="001005AC">
        <w:rPr>
          <w:rFonts w:ascii="Times New Roman" w:hAnsi="Times New Roman" w:cs="Times New Roman"/>
          <w:noProof/>
          <w:sz w:val="24"/>
          <w:szCs w:val="24"/>
        </w:rPr>
        <w:t>; von der Gracht and Darkow</w:t>
      </w:r>
      <w:r w:rsidR="00BE3B6C" w:rsidRPr="001005AC">
        <w:rPr>
          <w:rFonts w:ascii="Times New Roman" w:hAnsi="Times New Roman" w:cs="Times New Roman"/>
          <w:noProof/>
          <w:sz w:val="24"/>
          <w:szCs w:val="24"/>
        </w:rPr>
        <w:t xml:space="preserve"> 2010)</w:t>
      </w:r>
      <w:r w:rsidRPr="001005AC">
        <w:rPr>
          <w:rFonts w:ascii="Times New Roman" w:hAnsi="Times New Roman" w:cs="Times New Roman"/>
          <w:sz w:val="24"/>
          <w:szCs w:val="24"/>
        </w:rPr>
        <w:fldChar w:fldCharType="end"/>
      </w:r>
      <w:r w:rsidRPr="001005AC">
        <w:rPr>
          <w:rFonts w:ascii="Times New Roman" w:hAnsi="Times New Roman" w:cs="Times New Roman"/>
          <w:sz w:val="24"/>
          <w:szCs w:val="24"/>
        </w:rPr>
        <w:t xml:space="preserve">. </w:t>
      </w:r>
      <w:r w:rsidR="00514B6B" w:rsidRPr="001005AC">
        <w:rPr>
          <w:rFonts w:ascii="Times New Roman" w:hAnsi="Times New Roman" w:cs="Times New Roman"/>
          <w:sz w:val="24"/>
          <w:szCs w:val="24"/>
        </w:rPr>
        <w:t>This is</w:t>
      </w:r>
      <w:r w:rsidR="00514B6B">
        <w:rPr>
          <w:rFonts w:ascii="Times New Roman" w:hAnsi="Times New Roman" w:cs="Times New Roman"/>
          <w:sz w:val="24"/>
          <w:szCs w:val="24"/>
        </w:rPr>
        <w:t xml:space="preserve"> a useful parameter to include because t</w:t>
      </w:r>
      <w:r w:rsidRPr="00CE02A1">
        <w:rPr>
          <w:rFonts w:ascii="Times New Roman" w:hAnsi="Times New Roman" w:cs="Times New Roman"/>
          <w:sz w:val="24"/>
          <w:szCs w:val="24"/>
        </w:rPr>
        <w:t>he IQR represents the middle 50% of scores or the difference between the 75</w:t>
      </w:r>
      <w:r w:rsidRPr="00CE02A1">
        <w:rPr>
          <w:rFonts w:ascii="Times New Roman" w:hAnsi="Times New Roman" w:cs="Times New Roman"/>
          <w:sz w:val="24"/>
          <w:szCs w:val="24"/>
          <w:vertAlign w:val="superscript"/>
        </w:rPr>
        <w:t>th</w:t>
      </w:r>
      <w:r w:rsidRPr="00CE02A1">
        <w:rPr>
          <w:rFonts w:ascii="Times New Roman" w:hAnsi="Times New Roman" w:cs="Times New Roman"/>
          <w:sz w:val="24"/>
          <w:szCs w:val="24"/>
        </w:rPr>
        <w:t xml:space="preserve"> and 25</w:t>
      </w:r>
      <w:r w:rsidRPr="00CE02A1">
        <w:rPr>
          <w:rFonts w:ascii="Times New Roman" w:hAnsi="Times New Roman" w:cs="Times New Roman"/>
          <w:sz w:val="24"/>
          <w:szCs w:val="24"/>
          <w:vertAlign w:val="superscript"/>
        </w:rPr>
        <w:t>th</w:t>
      </w:r>
      <w:r w:rsidRPr="00CE02A1">
        <w:rPr>
          <w:rFonts w:ascii="Times New Roman" w:hAnsi="Times New Roman" w:cs="Times New Roman"/>
          <w:sz w:val="24"/>
          <w:szCs w:val="24"/>
        </w:rPr>
        <w:t xml:space="preserve"> percentiles and </w:t>
      </w:r>
      <w:r w:rsidR="0096505D">
        <w:rPr>
          <w:rFonts w:ascii="Times New Roman" w:hAnsi="Times New Roman" w:cs="Times New Roman"/>
          <w:sz w:val="24"/>
          <w:szCs w:val="24"/>
        </w:rPr>
        <w:t>is a further way of ensuring significant</w:t>
      </w:r>
      <w:r w:rsidRPr="00CE02A1">
        <w:rPr>
          <w:rFonts w:ascii="Times New Roman" w:hAnsi="Times New Roman" w:cs="Times New Roman"/>
          <w:sz w:val="24"/>
          <w:szCs w:val="24"/>
        </w:rPr>
        <w:t xml:space="preserve"> out</w:t>
      </w:r>
      <w:r w:rsidR="0096505D">
        <w:rPr>
          <w:rFonts w:ascii="Times New Roman" w:hAnsi="Times New Roman" w:cs="Times New Roman"/>
          <w:sz w:val="24"/>
          <w:szCs w:val="24"/>
        </w:rPr>
        <w:t>liers’ view are</w:t>
      </w:r>
      <w:r w:rsidR="00514B6B">
        <w:rPr>
          <w:rFonts w:ascii="Times New Roman" w:hAnsi="Times New Roman" w:cs="Times New Roman"/>
          <w:sz w:val="24"/>
          <w:szCs w:val="24"/>
        </w:rPr>
        <w:t xml:space="preserve"> not disregarded.</w:t>
      </w:r>
    </w:p>
    <w:p w14:paraId="6D6B60F0" w14:textId="447181ED" w:rsidR="00863DF5" w:rsidRDefault="007A712D" w:rsidP="00B33FF1">
      <w:pPr>
        <w:pStyle w:val="Heading4"/>
        <w:rPr>
          <w:rFonts w:ascii="Times New Roman" w:hAnsi="Times New Roman" w:cs="Times New Roman"/>
          <w:i w:val="0"/>
          <w:color w:val="auto"/>
          <w:sz w:val="24"/>
          <w:szCs w:val="24"/>
        </w:rPr>
      </w:pPr>
      <w:r>
        <w:rPr>
          <w:rFonts w:ascii="Times New Roman" w:hAnsi="Times New Roman" w:cs="Times New Roman"/>
          <w:i w:val="0"/>
          <w:color w:val="auto"/>
          <w:sz w:val="24"/>
          <w:szCs w:val="24"/>
        </w:rPr>
        <w:t>5.3</w:t>
      </w:r>
      <w:r w:rsidR="00B33FF1" w:rsidRPr="00B33FF1">
        <w:rPr>
          <w:rFonts w:ascii="Times New Roman" w:hAnsi="Times New Roman" w:cs="Times New Roman"/>
          <w:i w:val="0"/>
          <w:color w:val="auto"/>
          <w:sz w:val="24"/>
          <w:szCs w:val="24"/>
        </w:rPr>
        <w:t xml:space="preserve">.2.4 </w:t>
      </w:r>
      <w:r w:rsidR="00863DF5" w:rsidRPr="00B33FF1">
        <w:rPr>
          <w:rFonts w:ascii="Times New Roman" w:hAnsi="Times New Roman" w:cs="Times New Roman"/>
          <w:i w:val="0"/>
          <w:color w:val="auto"/>
          <w:sz w:val="24"/>
          <w:szCs w:val="24"/>
        </w:rPr>
        <w:t>Stability</w:t>
      </w:r>
    </w:p>
    <w:p w14:paraId="4B72DA3D" w14:textId="77777777" w:rsidR="00B33FF1" w:rsidRPr="00B33FF1" w:rsidRDefault="00B33FF1" w:rsidP="00B33FF1">
      <w:pPr>
        <w:rPr>
          <w:lang w:val="en-GB"/>
        </w:rPr>
      </w:pPr>
    </w:p>
    <w:p w14:paraId="102B242A" w14:textId="14ABA68C" w:rsidR="00B75D52" w:rsidRDefault="00863DF5" w:rsidP="00B33FF1">
      <w:pPr>
        <w:spacing w:line="480" w:lineRule="auto"/>
        <w:rPr>
          <w:rFonts w:ascii="Times New Roman" w:hAnsi="Times New Roman" w:cs="Times New Roman"/>
          <w:sz w:val="24"/>
          <w:szCs w:val="24"/>
        </w:rPr>
      </w:pPr>
      <w:r w:rsidRPr="00B33FF1">
        <w:rPr>
          <w:rFonts w:ascii="Times New Roman" w:hAnsi="Times New Roman" w:cs="Times New Roman"/>
          <w:sz w:val="24"/>
          <w:szCs w:val="24"/>
        </w:rPr>
        <w:t xml:space="preserve">It is recommended that consensus is not the only measure </w:t>
      </w:r>
      <w:r w:rsidRPr="00B33FF1">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{"citationItems":[{"id":"ITEM-1","itemData":{"DOI":"10.1186/1471-2288-7-52","ISBN":"1471-2288","ISSN":"14712288","PMID":"18045508","abstract":"BACKGROUND: The criteria for stopping Delphi studies are often subjective. This study aimed to examine whether consensus and stability in the Delphi process can be ascertained by descriptive evaluation of trends in participants' views. METHODS: A three round email-based Delphi required participants (n = 12) to verify their level of agreement with 8 statements, write comments on each if they considered it necessary and rank the statements for importance. Each statement was analysed quantitatively by the percentage of agreement ratings, importance rankings and the amount of comments made for each statement, and qualitatively using thematic analysis. Importance rankings between rounds were compared by calculating Kappa values to observe trends in how the process impacts on subject's views. RESULTS: Evolution of consensus was shown by increase in agreement percentages, convergence of range with standard deviations of importance ratings, and a decrease in the number of comments made. Stability was demonstrated by a trend of increasing Kappa values. CONCLUSION: Following the original use of Delphi in social sciences, Delphi is suggested to be an effective way to gain and measure group consensus in healthcare. However, the proposed analytical process should be followed to ensure maximum validity of results in Delphi methodology for improved evidence of consensual decision-making.","author":[{"dropping-particle":"","family":"Holey","given":"Elizabeth A.","non-dropping-particle":"","parse-names":false,"suffix":""},{"dropping-particle":"","family":"Feeley","given":"Jennifer L.","non-dropping-particle":"","parse-names":false,"suffix":""},{"dropping-particle":"","family":"Dixon","given":"John","non-dropping-particle":"","parse-names":false,"suffix":""},{"dropping-particle":"","family":"Whittaker","given":"Vicki J.","non-dropping-particle":"","parse-names":false,"suffix":""}],"container-title":"BMC Medical Research Methodology","id":"ITEM-1","issued":{"date-parts":[["2007"]]},"title":"An exploration of the use of simple statistics to measure consensus and stability in Delphi studies","type":"article-journal","volume":"7"},"uris":["http://www.mendeley.com/documents/?uuid=eb74c341-35b5-468e-b191-923b549ccd9b"]}],"mendeley":{"formattedCitation":"(Holey &lt;i&gt;et al.&lt;/i&gt;, 2007)","plainTextFormattedCitation":"(Holey et al., 2007)","previouslyFormattedCitation":"(Holey et al. 2007)"},"properties":{"noteIndex":0},"schema":"https://github.com/citation-style-language/schema/raw/master/csl-citation.json"}</w:instrText>
      </w:r>
      <w:r w:rsidRPr="00B33FF1">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(Holey </w:t>
      </w:r>
      <w:r w:rsidR="00BE3B6C" w:rsidRPr="001005AC">
        <w:rPr>
          <w:rFonts w:ascii="Times New Roman" w:hAnsi="Times New Roman" w:cs="Times New Roman"/>
          <w:noProof/>
          <w:sz w:val="24"/>
          <w:szCs w:val="24"/>
        </w:rPr>
        <w:t>et al</w:t>
      </w:r>
      <w:r w:rsidR="00BE3B6C" w:rsidRPr="00BE3B6C">
        <w:rPr>
          <w:rFonts w:ascii="Times New Roman" w:hAnsi="Times New Roman" w:cs="Times New Roman"/>
          <w:i/>
          <w:noProof/>
          <w:sz w:val="24"/>
          <w:szCs w:val="24"/>
        </w:rPr>
        <w:t>.</w:t>
      </w:r>
      <w:r w:rsidR="00BE3B6C" w:rsidRPr="00BE3B6C">
        <w:rPr>
          <w:rFonts w:ascii="Times New Roman" w:hAnsi="Times New Roman" w:cs="Times New Roman"/>
          <w:noProof/>
          <w:sz w:val="24"/>
          <w:szCs w:val="24"/>
        </w:rPr>
        <w:t xml:space="preserve"> 2007)</w:t>
      </w:r>
      <w:r w:rsidRPr="00B33FF1">
        <w:rPr>
          <w:rFonts w:ascii="Times New Roman" w:hAnsi="Times New Roman" w:cs="Times New Roman"/>
          <w:sz w:val="24"/>
          <w:szCs w:val="24"/>
        </w:rPr>
        <w:fldChar w:fldCharType="end"/>
      </w:r>
      <w:r w:rsidRPr="00B33FF1">
        <w:rPr>
          <w:rFonts w:ascii="Times New Roman" w:hAnsi="Times New Roman" w:cs="Times New Roman"/>
          <w:sz w:val="24"/>
          <w:szCs w:val="24"/>
        </w:rPr>
        <w:t xml:space="preserve"> to determine Delphi outcome. The stability of participant responses is also important </w:t>
      </w:r>
      <w:r w:rsidRPr="00B33FF1">
        <w:rPr>
          <w:rFonts w:ascii="Times New Roman" w:hAnsi="Times New Roman" w:cs="Times New Roman"/>
          <w:sz w:val="24"/>
          <w:szCs w:val="24"/>
        </w:rPr>
        <w:lastRenderedPageBreak/>
        <w:t>because it shows that views are not changing significantly between rounds. For example, an item</w:t>
      </w:r>
      <w:r w:rsidR="00810505">
        <w:rPr>
          <w:rFonts w:ascii="Times New Roman" w:hAnsi="Times New Roman" w:cs="Times New Roman"/>
          <w:sz w:val="24"/>
          <w:szCs w:val="24"/>
        </w:rPr>
        <w:t xml:space="preserve"> could</w:t>
      </w:r>
      <w:r w:rsidRPr="00B33FF1">
        <w:rPr>
          <w:rFonts w:ascii="Times New Roman" w:hAnsi="Times New Roman" w:cs="Times New Roman"/>
          <w:sz w:val="24"/>
          <w:szCs w:val="24"/>
        </w:rPr>
        <w:t xml:space="preserve"> reach consensus in round 1 and then</w:t>
      </w:r>
      <w:r w:rsidR="00810505">
        <w:rPr>
          <w:rFonts w:ascii="Times New Roman" w:hAnsi="Times New Roman" w:cs="Times New Roman"/>
          <w:sz w:val="24"/>
          <w:szCs w:val="24"/>
        </w:rPr>
        <w:t xml:space="preserve"> be</w:t>
      </w:r>
      <w:r w:rsidRPr="00B33FF1">
        <w:rPr>
          <w:rFonts w:ascii="Times New Roman" w:hAnsi="Times New Roman" w:cs="Times New Roman"/>
          <w:sz w:val="24"/>
          <w:szCs w:val="24"/>
        </w:rPr>
        <w:t xml:space="preserve"> remove</w:t>
      </w:r>
      <w:r w:rsidR="00810505">
        <w:rPr>
          <w:rFonts w:ascii="Times New Roman" w:hAnsi="Times New Roman" w:cs="Times New Roman"/>
          <w:sz w:val="24"/>
          <w:szCs w:val="24"/>
        </w:rPr>
        <w:t>d</w:t>
      </w:r>
      <w:r w:rsidRPr="00B33FF1">
        <w:rPr>
          <w:rFonts w:ascii="Times New Roman" w:hAnsi="Times New Roman" w:cs="Times New Roman"/>
          <w:sz w:val="24"/>
          <w:szCs w:val="24"/>
        </w:rPr>
        <w:t xml:space="preserve"> from further rounds of the Delphi </w:t>
      </w:r>
      <w:r w:rsidR="00810505">
        <w:rPr>
          <w:rFonts w:ascii="Times New Roman" w:hAnsi="Times New Roman" w:cs="Times New Roman"/>
          <w:sz w:val="24"/>
          <w:szCs w:val="24"/>
        </w:rPr>
        <w:t>in the belief that</w:t>
      </w:r>
      <w:r w:rsidRPr="00B33FF1">
        <w:rPr>
          <w:rFonts w:ascii="Times New Roman" w:hAnsi="Times New Roman" w:cs="Times New Roman"/>
          <w:sz w:val="24"/>
          <w:szCs w:val="24"/>
        </w:rPr>
        <w:t xml:space="preserve"> the</w:t>
      </w:r>
      <w:r w:rsidR="00810505">
        <w:rPr>
          <w:rFonts w:ascii="Times New Roman" w:hAnsi="Times New Roman" w:cs="Times New Roman"/>
          <w:sz w:val="24"/>
          <w:szCs w:val="24"/>
        </w:rPr>
        <w:t xml:space="preserve"> opinion on the</w:t>
      </w:r>
      <w:r w:rsidRPr="00B33FF1">
        <w:rPr>
          <w:rFonts w:ascii="Times New Roman" w:hAnsi="Times New Roman" w:cs="Times New Roman"/>
          <w:sz w:val="24"/>
          <w:szCs w:val="24"/>
        </w:rPr>
        <w:t xml:space="preserve"> item was stable. However, if the item had remained for round 2, opinion might have fluctuated. It is therefore important to see that opinion remains stable over rounds to prove that further rounds are unlikely to change the outcome for that item.  In this study, stability was determined by comparing the group response per item between rounds. Individual participant responses were not used as Delphi is interested in the group response</w:t>
      </w:r>
      <w:r w:rsidR="00C60BD6">
        <w:rPr>
          <w:rFonts w:ascii="Times New Roman" w:hAnsi="Times New Roman" w:cs="Times New Roman"/>
          <w:sz w:val="24"/>
          <w:szCs w:val="24"/>
        </w:rPr>
        <w:t xml:space="preserve"> </w:t>
      </w:r>
      <w:r w:rsidRPr="00B33FF1">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{"citationItems":[{"id":"ITEM-1","itemData":{"DOI":"10.1016/j.techfore.2012.04.013","ISBN":"0040-1625","ISSN":"00401625","abstract":"Consensus measurement plays an important role in Delphi research. Although it is not the technique's aim, the measurement has to be considered an important component of Delphi analyses and data interpretation. During the past 60. years, the Delphi multi-round survey procedure has been widely and successfully used to aggregate expert opinions on future developments and incidents. This paper is dedicated to how consensus (and dissent) has been measured since the technique's emergence in the 1960s and which criteria have been used. The review also includes a description of its relationship with the measurement of stability over Delphi rounds, although the major focus lies on the concept of consensus. In an extensive literature review, 15 types of measure were identified and classified for measuring consensus (and/or stability) in detail. The research reveals that there are obvious deficits in the practice and rigour of consensus measurement for Delphi research: mistakes in statistical tests or their premises have even been made. This article gives a broad understanding of the consensus concept, shows strengths and weaknesses as well as premises of different types of measure and concludes with lessons learned. Its major contribution is therefore on improving the future quality of consensus-oriented Delphi studies. © 2012 Elsevier Inc.","author":[{"dropping-particle":"","family":"Gracht","given":"Heiko A.","non-dropping-particle":"von der","parse-names":false,"suffix":""}],"container-title":"Technological Forecasting and Social Change","id":"ITEM-1","issue":"8","issued":{"date-parts":[["2012"]]},"page":"1525-1536","title":"Consensus measurement in Delphi studies. Review and implications for future quality assurance","type":"article-journal","volume":"79"},"uris":["http://www.mendeley.com/documents/?uuid=5032a3f8-1c8d-451b-a31b-c15e1817f5ae"]}],"mendeley":{"formattedCitation":"(von der Gracht, 2012)","plainTextFormattedCitation":"(von der Gracht, 2012)","previouslyFormattedCitation":"(von der Gracht 2012)"},"properties":{"noteIndex":0},"schema":"https://github.com/citation-style-language/schema/raw/master/csl-citation.json"}</w:instrText>
      </w:r>
      <w:r w:rsidRPr="00B33FF1">
        <w:rPr>
          <w:rFonts w:ascii="Times New Roman" w:hAnsi="Times New Roman" w:cs="Times New Roman"/>
          <w:sz w:val="24"/>
          <w:szCs w:val="24"/>
        </w:rPr>
        <w:fldChar w:fldCharType="separate"/>
      </w:r>
      <w:r w:rsidR="001005AC">
        <w:rPr>
          <w:rFonts w:ascii="Times New Roman" w:hAnsi="Times New Roman" w:cs="Times New Roman"/>
          <w:noProof/>
          <w:sz w:val="24"/>
          <w:szCs w:val="24"/>
        </w:rPr>
        <w:t>(von der Gracht</w:t>
      </w:r>
      <w:r w:rsidR="00BE3B6C" w:rsidRPr="00BE3B6C">
        <w:rPr>
          <w:rFonts w:ascii="Times New Roman" w:hAnsi="Times New Roman" w:cs="Times New Roman"/>
          <w:noProof/>
          <w:sz w:val="24"/>
          <w:szCs w:val="24"/>
        </w:rPr>
        <w:t xml:space="preserve"> 2012)</w:t>
      </w:r>
      <w:r w:rsidRPr="00B33FF1">
        <w:rPr>
          <w:rFonts w:ascii="Times New Roman" w:hAnsi="Times New Roman" w:cs="Times New Roman"/>
          <w:sz w:val="24"/>
          <w:szCs w:val="24"/>
        </w:rPr>
        <w:fldChar w:fldCharType="end"/>
      </w:r>
      <w:r w:rsidRPr="00B33FF1">
        <w:rPr>
          <w:rFonts w:ascii="Times New Roman" w:hAnsi="Times New Roman" w:cs="Times New Roman"/>
          <w:sz w:val="24"/>
          <w:szCs w:val="24"/>
        </w:rPr>
        <w:t xml:space="preserve">. Another advantage of looking for stability is that the consensus measurement defined above uses pooled scores (e.g. 8-10 or 1-3) to determine consensus, therefore truncating opinion. However, the stability testing uses raw scores and detects if fluctuations in opinion </w:t>
      </w:r>
      <w:r w:rsidR="00810505">
        <w:rPr>
          <w:rFonts w:ascii="Times New Roman" w:hAnsi="Times New Roman" w:cs="Times New Roman"/>
          <w:sz w:val="24"/>
          <w:szCs w:val="24"/>
        </w:rPr>
        <w:t>occur</w:t>
      </w:r>
      <w:r w:rsidRPr="00B33FF1">
        <w:rPr>
          <w:rFonts w:ascii="Times New Roman" w:hAnsi="Times New Roman" w:cs="Times New Roman"/>
          <w:sz w:val="24"/>
          <w:szCs w:val="24"/>
        </w:rPr>
        <w:t xml:space="preserve">. Thus, the study </w:t>
      </w:r>
      <w:r w:rsidR="00F357D1" w:rsidRPr="00B33FF1">
        <w:rPr>
          <w:rFonts w:ascii="Times New Roman" w:hAnsi="Times New Roman" w:cs="Times New Roman"/>
          <w:sz w:val="24"/>
          <w:szCs w:val="24"/>
        </w:rPr>
        <w:t>utilized</w:t>
      </w:r>
      <w:r w:rsidRPr="00B33FF1">
        <w:rPr>
          <w:rFonts w:ascii="Times New Roman" w:hAnsi="Times New Roman" w:cs="Times New Roman"/>
          <w:sz w:val="24"/>
          <w:szCs w:val="24"/>
        </w:rPr>
        <w:t xml:space="preserve"> consensus and stability when assessing the importance of items. </w:t>
      </w:r>
    </w:p>
    <w:p w14:paraId="6217161B" w14:textId="6872EEE4" w:rsidR="00863DF5" w:rsidRPr="00B33FF1" w:rsidRDefault="00863DF5" w:rsidP="00B33FF1">
      <w:pPr>
        <w:spacing w:line="480" w:lineRule="auto"/>
        <w:rPr>
          <w:rFonts w:ascii="Times New Roman" w:hAnsi="Times New Roman" w:cs="Times New Roman"/>
          <w:sz w:val="24"/>
          <w:szCs w:val="24"/>
        </w:rPr>
      </w:pPr>
      <w:r w:rsidRPr="00B33FF1">
        <w:rPr>
          <w:rFonts w:ascii="Times New Roman" w:hAnsi="Times New Roman" w:cs="Times New Roman"/>
          <w:sz w:val="24"/>
          <w:szCs w:val="24"/>
        </w:rPr>
        <w:t>Likert</w:t>
      </w:r>
      <w:r w:rsidR="00B75D52">
        <w:rPr>
          <w:rFonts w:ascii="Times New Roman" w:hAnsi="Times New Roman" w:cs="Times New Roman"/>
          <w:sz w:val="24"/>
          <w:szCs w:val="24"/>
        </w:rPr>
        <w:t>-type</w:t>
      </w:r>
      <w:r w:rsidRPr="00B33FF1">
        <w:rPr>
          <w:rFonts w:ascii="Times New Roman" w:hAnsi="Times New Roman" w:cs="Times New Roman"/>
          <w:sz w:val="24"/>
          <w:szCs w:val="24"/>
        </w:rPr>
        <w:t xml:space="preserve"> data</w:t>
      </w:r>
      <w:r w:rsidR="00B75D52">
        <w:rPr>
          <w:rFonts w:ascii="Times New Roman" w:hAnsi="Times New Roman" w:cs="Times New Roman"/>
          <w:sz w:val="24"/>
          <w:szCs w:val="24"/>
        </w:rPr>
        <w:t xml:space="preserve"> which</w:t>
      </w:r>
      <w:r w:rsidRPr="00B33FF1">
        <w:rPr>
          <w:rFonts w:ascii="Times New Roman" w:hAnsi="Times New Roman" w:cs="Times New Roman"/>
          <w:sz w:val="24"/>
          <w:szCs w:val="24"/>
        </w:rPr>
        <w:t xml:space="preserve"> is</w:t>
      </w:r>
      <w:r w:rsidR="00B75D52">
        <w:rPr>
          <w:rFonts w:ascii="Times New Roman" w:hAnsi="Times New Roman" w:cs="Times New Roman"/>
          <w:sz w:val="24"/>
          <w:szCs w:val="24"/>
        </w:rPr>
        <w:t xml:space="preserve"> used in this study is</w:t>
      </w:r>
      <w:r w:rsidR="00947E3D">
        <w:rPr>
          <w:rFonts w:ascii="Times New Roman" w:hAnsi="Times New Roman" w:cs="Times New Roman"/>
          <w:sz w:val="24"/>
          <w:szCs w:val="24"/>
        </w:rPr>
        <w:t xml:space="preserve"> ordinal data and is</w:t>
      </w:r>
      <w:r w:rsidRPr="00B33FF1">
        <w:rPr>
          <w:rFonts w:ascii="Times New Roman" w:hAnsi="Times New Roman" w:cs="Times New Roman"/>
          <w:sz w:val="24"/>
          <w:szCs w:val="24"/>
        </w:rPr>
        <w:t xml:space="preserve"> suited to nonparametric tests</w:t>
      </w:r>
      <w:r w:rsidR="00947E3D">
        <w:rPr>
          <w:rFonts w:ascii="Times New Roman" w:hAnsi="Times New Roman" w:cs="Times New Roman"/>
          <w:sz w:val="24"/>
          <w:szCs w:val="24"/>
        </w:rPr>
        <w:t xml:space="preserve"> to determine significance</w:t>
      </w:r>
      <w:r w:rsidRPr="00B33FF1">
        <w:rPr>
          <w:rFonts w:ascii="Times New Roman" w:hAnsi="Times New Roman" w:cs="Times New Roman"/>
          <w:sz w:val="24"/>
          <w:szCs w:val="24"/>
        </w:rPr>
        <w:t>. Furthermore, as the data is paired (first round versus second round), a Wilcoxon matched pairs signed rank test was suitable for determining if there was a significant difference in opinion per item per round. Other statistical tests can be used to measure stability, such as intra</w:t>
      </w:r>
      <w:r w:rsidR="00F357D1">
        <w:rPr>
          <w:rFonts w:ascii="Times New Roman" w:hAnsi="Times New Roman" w:cs="Times New Roman"/>
          <w:sz w:val="24"/>
          <w:szCs w:val="24"/>
        </w:rPr>
        <w:t>-</w:t>
      </w:r>
      <w:r w:rsidRPr="00B33FF1">
        <w:rPr>
          <w:rFonts w:ascii="Times New Roman" w:hAnsi="Times New Roman" w:cs="Times New Roman"/>
          <w:sz w:val="24"/>
          <w:szCs w:val="24"/>
        </w:rPr>
        <w:t>class correlation coefficients</w:t>
      </w:r>
      <w:r w:rsidR="00947E3D">
        <w:rPr>
          <w:rFonts w:ascii="Times New Roman" w:hAnsi="Times New Roman" w:cs="Times New Roman"/>
          <w:sz w:val="24"/>
          <w:szCs w:val="24"/>
        </w:rPr>
        <w:t xml:space="preserve"> </w:t>
      </w:r>
      <w:r w:rsidR="00947E3D" w:rsidRPr="00B33FF1">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{"citationItems":[{"id":"ITEM-1","itemData":{"DOI":"10.1016/j.techfore.2012.04.013","ISBN":"0040-1625","ISSN":"00401625","abstract":"Consensus measurement plays an important role in Delphi research. Although it is not the technique's aim, the measurement has to be considered an important component of Delphi analyses and data interpretation. During the past 60. years, the Delphi multi-round survey procedure has been widely and successfully used to aggregate expert opinions on future developments and incidents. This paper is dedicated to how consensus (and dissent) has been measured since the technique's emergence in the 1960s and which criteria have been used. The review also includes a description of its relationship with the measurement of stability over Delphi rounds, although the major focus lies on the concept of consensus. In an extensive literature review, 15 types of measure were identified and classified for measuring consensus (and/or stability) in detail. The research reveals that there are obvious deficits in the practice and rigour of consensus measurement for Delphi research: mistakes in statistical tests or their premises have even been made. This article gives a broad understanding of the consensus concept, shows strengths and weaknesses as well as premises of different types of measure and concludes with lessons learned. Its major contribution is therefore on improving the future quality of consensus-oriented Delphi studies. © 2012 Elsevier Inc.","author":[{"dropping-particle":"","family":"Gracht","given":"Heiko A.","non-dropping-particle":"von der","parse-names":false,"suffix":""}],"container-title":"Technological Forecasting and Social Change","id":"ITEM-1","issue":"8","issued":{"date-parts":[["2012"]]},"page":"1525-1536","title":"Consensus measurement in Delphi studies. Review and implications for future quality assurance","type":"article-journal","volume":"79"},"uris":["http://www.mendeley.com/documents/?uuid=5032a3f8-1c8d-451b-a31b-c15e1817f5ae"]}],"mendeley":{"formattedCitation":"(von der Gracht, 2012)","plainTextFormattedCitation":"(von der Gracht, 2012)","previouslyFormattedCitation":"(von der Gracht 2012)"},"properties":{"noteIndex":0},"schema":"https://github.com/citation-style-language/schema/raw/master/csl-citation.json"}</w:instrText>
      </w:r>
      <w:r w:rsidR="00947E3D" w:rsidRPr="00B33FF1">
        <w:rPr>
          <w:rFonts w:ascii="Times New Roman" w:hAnsi="Times New Roman" w:cs="Times New Roman"/>
          <w:sz w:val="24"/>
          <w:szCs w:val="24"/>
        </w:rPr>
        <w:fldChar w:fldCharType="separate"/>
      </w:r>
      <w:r w:rsidR="001005AC">
        <w:rPr>
          <w:rFonts w:ascii="Times New Roman" w:hAnsi="Times New Roman" w:cs="Times New Roman"/>
          <w:noProof/>
          <w:sz w:val="24"/>
          <w:szCs w:val="24"/>
        </w:rPr>
        <w:t>(von der Gracht</w:t>
      </w:r>
      <w:r w:rsidR="00BE3B6C" w:rsidRPr="00BE3B6C">
        <w:rPr>
          <w:rFonts w:ascii="Times New Roman" w:hAnsi="Times New Roman" w:cs="Times New Roman"/>
          <w:noProof/>
          <w:sz w:val="24"/>
          <w:szCs w:val="24"/>
        </w:rPr>
        <w:t xml:space="preserve"> 2012)</w:t>
      </w:r>
      <w:r w:rsidR="00947E3D" w:rsidRPr="00B33FF1">
        <w:rPr>
          <w:rFonts w:ascii="Times New Roman" w:hAnsi="Times New Roman" w:cs="Times New Roman"/>
          <w:sz w:val="24"/>
          <w:szCs w:val="24"/>
        </w:rPr>
        <w:fldChar w:fldCharType="end"/>
      </w:r>
      <w:r w:rsidRPr="00B33FF1">
        <w:rPr>
          <w:rFonts w:ascii="Times New Roman" w:hAnsi="Times New Roman" w:cs="Times New Roman"/>
          <w:sz w:val="24"/>
          <w:szCs w:val="24"/>
        </w:rPr>
        <w:t>, but a Wilcoxon matched pairs signed rank test was chosen as it was familiar to the researcher and secondly, there is no agreed  statistical test for measuring stability in Delphi studies</w:t>
      </w:r>
      <w:r w:rsidR="00C60BD6">
        <w:rPr>
          <w:rFonts w:ascii="Times New Roman" w:hAnsi="Times New Roman" w:cs="Times New Roman"/>
          <w:sz w:val="24"/>
          <w:szCs w:val="24"/>
        </w:rPr>
        <w:t xml:space="preserve"> </w:t>
      </w:r>
      <w:r w:rsidRPr="00B33FF1">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{"citationItems":[{"id":"ITEM-1","itemData":{"DOI":"10.1016/j.techfore.2012.04.013","ISBN":"0040-1625","ISSN":"00401625","abstract":"Consensus measurement plays an important role in Delphi research. Although it is not the technique's aim, the measurement has to be considered an important component of Delphi analyses and data interpretation. During the past 60. years, the Delphi multi-round survey procedure has been widely and successfully used to aggregate expert opinions on future developments and incidents. This paper is dedicated to how consensus (and dissent) has been measured since the technique's emergence in the 1960s and which criteria have been used. The review also includes a description of its relationship with the measurement of stability over Delphi rounds, although the major focus lies on the concept of consensus. In an extensive literature review, 15 types of measure were identified and classified for measuring consensus (and/or stability) in detail. The research reveals that there are obvious deficits in the practice and rigour of consensus measurement for Delphi research: mistakes in statistical tests or their premises have even been made. This article gives a broad understanding of the consensus concept, shows strengths and weaknesses as well as premises of different types of measure and concludes with lessons learned. Its major contribution is therefore on improving the future quality of consensus-oriented Delphi studies. © 2012 Elsevier Inc.","author":[{"dropping-particle":"","family":"Gracht","given":"Heiko A.","non-dropping-particle":"von der","parse-names":false,"suffix":""}],"container-title":"Technological Forecasting and Social Change","id":"ITEM-1","issue":"8","issued":{"date-parts":[["2012"]]},"page":"1525-1536","title":"Consensus measurement in Delphi studies. Review and implications for future quality assurance","type":"article-journal","volume":"79"},"uris":["http://www.mendeley.com/documents/?uuid=5032a3f8-1c8d-451b-a31b-c15e1817f5ae"]}],"mendeley":{"formattedCitation":"(von der Gracht, 2012)","plainTextFormattedCitation":"(von der Gracht, 2012)","previouslyFormattedCitation":"(von der Gracht 2012)"},"properties":{"noteIndex":0},"schema":"https://github.com/citation-style-language/schema/raw/master/csl-citation.json"}</w:instrText>
      </w:r>
      <w:r w:rsidRPr="00B33FF1">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(von der Gr</w:t>
      </w:r>
      <w:r w:rsidR="001005AC">
        <w:rPr>
          <w:rFonts w:ascii="Times New Roman" w:hAnsi="Times New Roman" w:cs="Times New Roman"/>
          <w:noProof/>
          <w:sz w:val="24"/>
          <w:szCs w:val="24"/>
        </w:rPr>
        <w:t>acht</w:t>
      </w:r>
      <w:r w:rsidR="00BE3B6C" w:rsidRPr="00BE3B6C">
        <w:rPr>
          <w:rFonts w:ascii="Times New Roman" w:hAnsi="Times New Roman" w:cs="Times New Roman"/>
          <w:noProof/>
          <w:sz w:val="24"/>
          <w:szCs w:val="24"/>
        </w:rPr>
        <w:t xml:space="preserve"> 2012)</w:t>
      </w:r>
      <w:r w:rsidRPr="00B33FF1">
        <w:rPr>
          <w:rFonts w:ascii="Times New Roman" w:hAnsi="Times New Roman" w:cs="Times New Roman"/>
          <w:sz w:val="24"/>
          <w:szCs w:val="24"/>
        </w:rPr>
        <w:fldChar w:fldCharType="end"/>
      </w:r>
      <w:r w:rsidRPr="00B33FF1">
        <w:rPr>
          <w:rFonts w:ascii="Times New Roman" w:hAnsi="Times New Roman" w:cs="Times New Roman"/>
          <w:sz w:val="24"/>
          <w:szCs w:val="24"/>
        </w:rPr>
        <w:t>.</w:t>
      </w:r>
      <w:r w:rsidR="00947E3D">
        <w:rPr>
          <w:rFonts w:ascii="Times New Roman" w:hAnsi="Times New Roman" w:cs="Times New Roman"/>
          <w:sz w:val="24"/>
          <w:szCs w:val="24"/>
        </w:rPr>
        <w:t xml:space="preserve"> </w:t>
      </w:r>
      <w:r w:rsidRPr="00B33FF1">
        <w:rPr>
          <w:rFonts w:ascii="Times New Roman" w:hAnsi="Times New Roman" w:cs="Times New Roman"/>
          <w:sz w:val="24"/>
          <w:szCs w:val="24"/>
        </w:rPr>
        <w:t xml:space="preserve"> </w:t>
      </w:r>
      <w:r w:rsidR="00947E3D">
        <w:rPr>
          <w:rFonts w:ascii="Times New Roman" w:hAnsi="Times New Roman" w:cs="Times New Roman"/>
          <w:sz w:val="24"/>
          <w:szCs w:val="24"/>
        </w:rPr>
        <w:t xml:space="preserve">Using statistics is a much more objective method to determine stability and number of rounds (see </w:t>
      </w:r>
      <w:r w:rsidR="00C60BD6" w:rsidRPr="00A5727F">
        <w:rPr>
          <w:rFonts w:ascii="Times New Roman" w:hAnsi="Times New Roman" w:cs="Times New Roman"/>
          <w:sz w:val="24"/>
          <w:szCs w:val="24"/>
        </w:rPr>
        <w:t xml:space="preserve">section </w:t>
      </w:r>
      <w:r w:rsidR="00A5727F" w:rsidRPr="00A5727F">
        <w:rPr>
          <w:rFonts w:ascii="Times New Roman" w:hAnsi="Times New Roman" w:cs="Times New Roman"/>
          <w:sz w:val="24"/>
          <w:szCs w:val="24"/>
        </w:rPr>
        <w:t>5.3.2.5</w:t>
      </w:r>
      <w:r w:rsidR="00947E3D" w:rsidRPr="00A5727F">
        <w:rPr>
          <w:rFonts w:ascii="Times New Roman" w:hAnsi="Times New Roman" w:cs="Times New Roman"/>
          <w:sz w:val="24"/>
          <w:szCs w:val="24"/>
        </w:rPr>
        <w:t>).</w:t>
      </w:r>
    </w:p>
    <w:p w14:paraId="2AB7E227" w14:textId="52B1F2BB" w:rsidR="00863DF5" w:rsidRPr="00B33FF1" w:rsidRDefault="00863DF5" w:rsidP="00B33FF1">
      <w:pPr>
        <w:spacing w:line="480" w:lineRule="auto"/>
        <w:rPr>
          <w:rFonts w:ascii="Times New Roman" w:hAnsi="Times New Roman" w:cs="Times New Roman"/>
          <w:sz w:val="24"/>
          <w:szCs w:val="24"/>
        </w:rPr>
      </w:pPr>
      <w:r w:rsidRPr="00B33FF1">
        <w:rPr>
          <w:rFonts w:ascii="Times New Roman" w:hAnsi="Times New Roman" w:cs="Times New Roman"/>
          <w:sz w:val="24"/>
          <w:szCs w:val="24"/>
        </w:rPr>
        <w:t xml:space="preserve">Of note, when performing a Wilcoxon matched </w:t>
      </w:r>
      <w:proofErr w:type="gramStart"/>
      <w:r w:rsidRPr="00B33FF1">
        <w:rPr>
          <w:rFonts w:ascii="Times New Roman" w:hAnsi="Times New Roman" w:cs="Times New Roman"/>
          <w:sz w:val="24"/>
          <w:szCs w:val="24"/>
        </w:rPr>
        <w:t>pairs</w:t>
      </w:r>
      <w:proofErr w:type="gramEnd"/>
      <w:r w:rsidRPr="00B33FF1">
        <w:rPr>
          <w:rFonts w:ascii="Times New Roman" w:hAnsi="Times New Roman" w:cs="Times New Roman"/>
          <w:sz w:val="24"/>
          <w:szCs w:val="24"/>
        </w:rPr>
        <w:t xml:space="preserve"> signed rank test, differences between rounds of “zero” (i.e. when the participant does not change his or her score) are discarded. This is of particular concern if the samples are taken from a discrete distribution such as Likert-type data</w:t>
      </w:r>
      <w:r w:rsidR="00C60BD6">
        <w:rPr>
          <w:rFonts w:ascii="Times New Roman" w:hAnsi="Times New Roman" w:cs="Times New Roman"/>
          <w:sz w:val="24"/>
          <w:szCs w:val="24"/>
        </w:rPr>
        <w:t xml:space="preserve"> </w:t>
      </w:r>
      <w:r w:rsidRPr="00B33FF1">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{"citationItems":[{"id":"ITEM-1","itemData":{"DOI":"10.1080/01621459.1959.10501526","ISBN":"01621459","ISSN":"1537274X","abstract":"A Wilcoxon one-sample signed rank test may be made when some of the observations are 0 by dropping the 0's before ranking. However, a sample can be not significantly positive while a more negative sample (obtained by decreasing each observation equally), is significantly positive by the ordinary Wilcoxon test. The reverse is also possible. Two-piece confidence regions result. A procedure for avoiding these difficulties is proposed, namely to rank the observations including the 0's, drop the ranks of the 0's, and reject the null hypothesis if the sum of the remaining negative (or positive) ranks falls in the tail of its null distribution (given the number of 0's). If observations are tied in absolute value, their ranks may be averaged before attaching signs. This changes the null distribution. A sample may be significantly positive which is not significant if the observations are increased (unequally), or if the ties are broken in any way.","author":[{"dropping-particle":"","family":"Pratt","given":"John W.","non-dropping-particle":"","parse-names":false,"suffix":""}],"container-title":"Journal of the American Statistical Association","id":"ITEM-1","issue":"287","issued":{"date-parts":[["1959"]]},"page":"655-667","title":"Remarks on Zeros and Ties in the Wilcoxon Signed Rank Procedures","type":"article-journal","volume":"54"},"uris":["http://www.mendeley.com/documents/?uuid=c75140e7-c161-4f2f-a2c4-cd1baa1e2eba"]}],"mendeley":{"formattedCitation":"(Pratt, 1959)","plainTextFormattedCitation":"(Pratt, 1959)","previouslyFormattedCitation":"(Pratt 1959)"},"properties":{"noteIndex":0},"schema":"https://github.com/citation-style-language/schema/raw/master/csl-citation.json"}</w:instrText>
      </w:r>
      <w:r w:rsidRPr="00B33FF1">
        <w:rPr>
          <w:rFonts w:ascii="Times New Roman" w:hAnsi="Times New Roman" w:cs="Times New Roman"/>
          <w:sz w:val="24"/>
          <w:szCs w:val="24"/>
        </w:rPr>
        <w:fldChar w:fldCharType="separate"/>
      </w:r>
      <w:r w:rsidR="001005AC">
        <w:rPr>
          <w:rFonts w:ascii="Times New Roman" w:hAnsi="Times New Roman" w:cs="Times New Roman"/>
          <w:noProof/>
          <w:sz w:val="24"/>
          <w:szCs w:val="24"/>
        </w:rPr>
        <w:t>(Pratt</w:t>
      </w:r>
      <w:r w:rsidR="00BE3B6C" w:rsidRPr="00BE3B6C">
        <w:rPr>
          <w:rFonts w:ascii="Times New Roman" w:hAnsi="Times New Roman" w:cs="Times New Roman"/>
          <w:noProof/>
          <w:sz w:val="24"/>
          <w:szCs w:val="24"/>
        </w:rPr>
        <w:t xml:space="preserve"> 1959)</w:t>
      </w:r>
      <w:r w:rsidRPr="00B33FF1">
        <w:rPr>
          <w:rFonts w:ascii="Times New Roman" w:hAnsi="Times New Roman" w:cs="Times New Roman"/>
          <w:sz w:val="24"/>
          <w:szCs w:val="24"/>
        </w:rPr>
        <w:fldChar w:fldCharType="end"/>
      </w:r>
      <w:r w:rsidR="00947E3D">
        <w:rPr>
          <w:rFonts w:ascii="Times New Roman" w:hAnsi="Times New Roman" w:cs="Times New Roman"/>
          <w:sz w:val="24"/>
          <w:szCs w:val="24"/>
        </w:rPr>
        <w:t xml:space="preserve"> because</w:t>
      </w:r>
      <w:r w:rsidRPr="00B33FF1">
        <w:rPr>
          <w:rFonts w:ascii="Times New Roman" w:hAnsi="Times New Roman" w:cs="Times New Roman"/>
          <w:sz w:val="24"/>
          <w:szCs w:val="24"/>
        </w:rPr>
        <w:t xml:space="preserve"> if a participant doesn’t change </w:t>
      </w:r>
      <w:r w:rsidRPr="00B33FF1">
        <w:rPr>
          <w:rFonts w:ascii="Times New Roman" w:hAnsi="Times New Roman" w:cs="Times New Roman"/>
          <w:sz w:val="24"/>
          <w:szCs w:val="24"/>
        </w:rPr>
        <w:lastRenderedPageBreak/>
        <w:t xml:space="preserve">their score, lots of “zeros” can be created. A 10-point scale was </w:t>
      </w:r>
      <w:r w:rsidR="00AD2984" w:rsidRPr="00B33FF1">
        <w:rPr>
          <w:rFonts w:ascii="Times New Roman" w:hAnsi="Times New Roman" w:cs="Times New Roman"/>
          <w:sz w:val="24"/>
          <w:szCs w:val="24"/>
        </w:rPr>
        <w:t>utilized</w:t>
      </w:r>
      <w:r w:rsidRPr="00B33FF1">
        <w:rPr>
          <w:rFonts w:ascii="Times New Roman" w:hAnsi="Times New Roman" w:cs="Times New Roman"/>
          <w:sz w:val="24"/>
          <w:szCs w:val="24"/>
        </w:rPr>
        <w:t xml:space="preserve"> to help with this as it provides more choice to participants, potentially offering more scope for participants to change their responses between rounds</w:t>
      </w:r>
      <w:r w:rsidR="00947E3D">
        <w:rPr>
          <w:rFonts w:ascii="Times New Roman" w:hAnsi="Times New Roman" w:cs="Times New Roman"/>
          <w:sz w:val="24"/>
          <w:szCs w:val="24"/>
        </w:rPr>
        <w:t>, something</w:t>
      </w:r>
      <w:r w:rsidRPr="00B33FF1">
        <w:rPr>
          <w:rFonts w:ascii="Times New Roman" w:hAnsi="Times New Roman" w:cs="Times New Roman"/>
          <w:sz w:val="24"/>
          <w:szCs w:val="24"/>
        </w:rPr>
        <w:t xml:space="preserve"> which might prove more difficult </w:t>
      </w:r>
      <w:r w:rsidR="00947E3D">
        <w:rPr>
          <w:rFonts w:ascii="Times New Roman" w:hAnsi="Times New Roman" w:cs="Times New Roman"/>
          <w:sz w:val="24"/>
          <w:szCs w:val="24"/>
        </w:rPr>
        <w:t xml:space="preserve">on </w:t>
      </w:r>
      <w:r w:rsidRPr="00B33FF1">
        <w:rPr>
          <w:rFonts w:ascii="Times New Roman" w:hAnsi="Times New Roman" w:cs="Times New Roman"/>
          <w:sz w:val="24"/>
          <w:szCs w:val="24"/>
        </w:rPr>
        <w:t>a narrower scale. This therefore helps to reduce the number of zero differences. Furthermore,  Pratt proposed a modification to the Wilcoxon test to overcome the issue of zero differences</w:t>
      </w:r>
      <w:r w:rsidR="00C60BD6">
        <w:rPr>
          <w:rFonts w:ascii="Times New Roman" w:hAnsi="Times New Roman" w:cs="Times New Roman"/>
          <w:sz w:val="24"/>
          <w:szCs w:val="24"/>
        </w:rPr>
        <w:t xml:space="preserve"> </w:t>
      </w:r>
      <w:r w:rsidRPr="00B33FF1">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{"citationItems":[{"id":"ITEM-1","itemData":{"DOI":"10.1080/01621459.1959.10501526","ISBN":"01621459","ISSN":"1537274X","abstract":"A Wilcoxon one-sample signed rank test may be made when some of the observations are 0 by dropping the 0's before ranking. However, a sample can be not significantly positive while a more negative sample (obtained by decreasing each observation equally), is significantly positive by the ordinary Wilcoxon test. The reverse is also possible. Two-piece confidence regions result. A procedure for avoiding these difficulties is proposed, namely to rank the observations including the 0's, drop the ranks of the 0's, and reject the null hypothesis if the sum of the remaining negative (or positive) ranks falls in the tail of its null distribution (given the number of 0's). If observations are tied in absolute value, their ranks may be averaged before attaching signs. This changes the null distribution. A sample may be significantly positive which is not significant if the observations are increased (unequally), or if the ties are broken in any way.","author":[{"dropping-particle":"","family":"Pratt","given":"John W.","non-dropping-particle":"","parse-names":false,"suffix":""}],"container-title":"Journal of the American Statistical Association","id":"ITEM-1","issue":"287","issued":{"date-parts":[["1959"]]},"page":"655-667","title":"Remarks on Zeros and Ties in the Wilcoxon Signed Rank Procedures","type":"article-journal","volume":"54"},"uris":["http://www.mendeley.com/documents/?uuid=c75140e7-c161-4f2f-a2c4-cd1baa1e2eba"]}],"mendeley":{"formattedCitation":"(Pratt, 1959)","plainTextFormattedCitation":"(Pratt, 1959)","previouslyFormattedCitation":"(Pratt 1959)"},"properties":{"noteIndex":0},"schema":"https://github.com/citation-style-language/schema/raw/master/csl-citation.json"}</w:instrText>
      </w:r>
      <w:r w:rsidRPr="00B33FF1">
        <w:rPr>
          <w:rFonts w:ascii="Times New Roman" w:hAnsi="Times New Roman" w:cs="Times New Roman"/>
          <w:sz w:val="24"/>
          <w:szCs w:val="24"/>
        </w:rPr>
        <w:fldChar w:fldCharType="separate"/>
      </w:r>
      <w:r w:rsidR="001005AC">
        <w:rPr>
          <w:rFonts w:ascii="Times New Roman" w:hAnsi="Times New Roman" w:cs="Times New Roman"/>
          <w:noProof/>
          <w:sz w:val="24"/>
          <w:szCs w:val="24"/>
        </w:rPr>
        <w:t>(Pratt</w:t>
      </w:r>
      <w:r w:rsidR="00BE3B6C" w:rsidRPr="00BE3B6C">
        <w:rPr>
          <w:rFonts w:ascii="Times New Roman" w:hAnsi="Times New Roman" w:cs="Times New Roman"/>
          <w:noProof/>
          <w:sz w:val="24"/>
          <w:szCs w:val="24"/>
        </w:rPr>
        <w:t xml:space="preserve"> 1959)</w:t>
      </w:r>
      <w:r w:rsidRPr="00B33FF1">
        <w:rPr>
          <w:rFonts w:ascii="Times New Roman" w:hAnsi="Times New Roman" w:cs="Times New Roman"/>
          <w:sz w:val="24"/>
          <w:szCs w:val="24"/>
        </w:rPr>
        <w:fldChar w:fldCharType="end"/>
      </w:r>
      <w:r w:rsidRPr="00B33FF1">
        <w:rPr>
          <w:rFonts w:ascii="Times New Roman" w:hAnsi="Times New Roman" w:cs="Times New Roman"/>
          <w:sz w:val="24"/>
          <w:szCs w:val="24"/>
        </w:rPr>
        <w:t>, which w</w:t>
      </w:r>
      <w:r w:rsidR="00C60BD6">
        <w:rPr>
          <w:rFonts w:ascii="Times New Roman" w:hAnsi="Times New Roman" w:cs="Times New Roman"/>
          <w:sz w:val="24"/>
          <w:szCs w:val="24"/>
        </w:rPr>
        <w:t>as</w:t>
      </w:r>
      <w:r w:rsidRPr="00B33FF1">
        <w:rPr>
          <w:rFonts w:ascii="Times New Roman" w:hAnsi="Times New Roman" w:cs="Times New Roman"/>
          <w:sz w:val="24"/>
          <w:szCs w:val="24"/>
        </w:rPr>
        <w:t xml:space="preserve"> employed when analysing the results. In short, the modification randomly allocates zero differences to either positive or negative ranks to overcome the problem rather than just removing them from the analysis.</w:t>
      </w:r>
    </w:p>
    <w:p w14:paraId="6B6BAB90" w14:textId="7DC3F84F" w:rsidR="00863DF5" w:rsidRDefault="007A712D" w:rsidP="00B33FF1">
      <w:pPr>
        <w:pStyle w:val="Heading4"/>
        <w:rPr>
          <w:rFonts w:ascii="Times New Roman" w:hAnsi="Times New Roman" w:cs="Times New Roman"/>
          <w:i w:val="0"/>
          <w:color w:val="auto"/>
          <w:sz w:val="24"/>
          <w:szCs w:val="24"/>
        </w:rPr>
      </w:pPr>
      <w:r>
        <w:rPr>
          <w:rFonts w:ascii="Times New Roman" w:hAnsi="Times New Roman" w:cs="Times New Roman"/>
          <w:i w:val="0"/>
          <w:color w:val="auto"/>
          <w:sz w:val="24"/>
          <w:szCs w:val="24"/>
        </w:rPr>
        <w:t>5.3</w:t>
      </w:r>
      <w:r w:rsidR="00B33FF1" w:rsidRPr="00B33FF1">
        <w:rPr>
          <w:rFonts w:ascii="Times New Roman" w:hAnsi="Times New Roman" w:cs="Times New Roman"/>
          <w:i w:val="0"/>
          <w:color w:val="auto"/>
          <w:sz w:val="24"/>
          <w:szCs w:val="24"/>
        </w:rPr>
        <w:t xml:space="preserve">.2.5 </w:t>
      </w:r>
      <w:r w:rsidR="00863DF5" w:rsidRPr="00B33FF1">
        <w:rPr>
          <w:rFonts w:ascii="Times New Roman" w:hAnsi="Times New Roman" w:cs="Times New Roman"/>
          <w:i w:val="0"/>
          <w:color w:val="auto"/>
          <w:sz w:val="24"/>
          <w:szCs w:val="24"/>
        </w:rPr>
        <w:t>Number of rounds</w:t>
      </w:r>
    </w:p>
    <w:p w14:paraId="1CA19266" w14:textId="77777777" w:rsidR="00B33FF1" w:rsidRPr="00B33FF1" w:rsidRDefault="00B33FF1" w:rsidP="00B33FF1">
      <w:pPr>
        <w:rPr>
          <w:lang w:val="en-GB"/>
        </w:rPr>
      </w:pPr>
    </w:p>
    <w:p w14:paraId="7D7A19DC" w14:textId="33C3E9FC" w:rsidR="00863DF5" w:rsidRPr="001005AC" w:rsidRDefault="00863DF5" w:rsidP="00B33FF1">
      <w:pPr>
        <w:spacing w:line="480" w:lineRule="auto"/>
        <w:rPr>
          <w:rFonts w:ascii="Times New Roman" w:hAnsi="Times New Roman" w:cs="Times New Roman"/>
          <w:sz w:val="24"/>
          <w:szCs w:val="24"/>
        </w:rPr>
      </w:pPr>
      <w:r w:rsidRPr="00B33FF1">
        <w:rPr>
          <w:rFonts w:ascii="Times New Roman" w:hAnsi="Times New Roman" w:cs="Times New Roman"/>
          <w:sz w:val="24"/>
          <w:szCs w:val="24"/>
        </w:rPr>
        <w:t>There is little e</w:t>
      </w:r>
      <w:r w:rsidR="00947E3D">
        <w:rPr>
          <w:rFonts w:ascii="Times New Roman" w:hAnsi="Times New Roman" w:cs="Times New Roman"/>
          <w:sz w:val="24"/>
          <w:szCs w:val="24"/>
        </w:rPr>
        <w:t>vidence to suggest the</w:t>
      </w:r>
      <w:r w:rsidRPr="00B33FF1">
        <w:rPr>
          <w:rFonts w:ascii="Times New Roman" w:hAnsi="Times New Roman" w:cs="Times New Roman"/>
          <w:sz w:val="24"/>
          <w:szCs w:val="24"/>
        </w:rPr>
        <w:t xml:space="preserve"> minimum number of rounds required in a Delphi study before it can be terminated but the recommendation is between 2 and 3</w:t>
      </w:r>
      <w:r w:rsidR="00C60BD6">
        <w:rPr>
          <w:rFonts w:ascii="Times New Roman" w:hAnsi="Times New Roman" w:cs="Times New Roman"/>
          <w:sz w:val="24"/>
          <w:szCs w:val="24"/>
        </w:rPr>
        <w:t xml:space="preserve"> </w:t>
      </w:r>
      <w:r w:rsidRPr="001005AC">
        <w:rPr>
          <w:rFonts w:ascii="Times New Roman" w:hAnsi="Times New Roman" w:cs="Times New Roman"/>
          <w:sz w:val="24"/>
          <w:szCs w:val="24"/>
        </w:rPr>
        <w:fldChar w:fldCharType="begin" w:fldLock="1"/>
      </w:r>
      <w:r w:rsidR="00BE3B6C" w:rsidRPr="001005AC">
        <w:rPr>
          <w:rFonts w:ascii="Times New Roman" w:hAnsi="Times New Roman" w:cs="Times New Roman"/>
          <w:sz w:val="24"/>
          <w:szCs w:val="24"/>
        </w:rPr>
        <w:instrText>ADDIN CSL_CITATION {"citationItems":[{"id":"ITEM-1","itemData":{"DOI":"10.1371/journal.pone.0020476","ISBN":"1932-6203 (Electronic)\\r1932-6203 (Linking)","ISSN":"19326203","PMID":"21694759","abstract":"OBJECTIVE Delphi technique is a structured process commonly used to developed healthcare quality indicators, but there is a little recommendation for researchers who wish to use it. This study aimed 1) to describe reporting of the Delphi method to develop quality indicators, 2) to discuss specific methodological skills for quality indicators selection 3) to give guidance about this practice. METHODOLOGY AND MAIN FINDING Three electronic data bases were searched over a 30 years period (1978-2009). All articles that used the Delphi method to select quality indicators were identified. A standardized data extraction form was developed. Four domains (questionnaire preparation, expert panel, progress of the survey and Delphi results) were assessed. Of 80 included studies, quality of reporting varied significantly between items (9% for year's number of experience of the experts to 98% for the type of Delphi used). Reporting of methodological aspects needed to evaluate the reliability of the survey was insufficient: only 39% (31/80) of studies reported response rates for all rounds, 60% (48/80) that feedback was given between rounds, 77% (62/80) the method used to achieve consensus and 57% (48/80) listed quality indicators selected at the end of the survey. A modified Delphi procedure was used in 49/78 (63%) with a physical meeting of the panel members, usually between Delphi rounds. Median number of panel members was 17(Q1:11; Q3:31). In 40/70 (57%) studies, the panel included multiple stakeholders, who were healthcare professionals in 95% (38/40) of cases. Among 75 studies describing criteria to select quality indicators, 28 (37%) used validity and 17(23%) feasibility. CONCLUSION The use and reporting of the Delphi method for quality indicators selection need to be improved. We provide some guidance to the investigators to improve the using and reporting of the method in future surveys.","author":[{"dropping-particle":"","family":"Boulkedid","given":"Rym","non-dropping-particle":"","parse-names":false,"suffix":""},{"dropping-particle":"","family":"Abdoul","given":"Hendy","non-dropping-particle":"","parse-names":false,"suffix":""},{"dropping-particle":"","family":"Loustau","given":"Marine","non-dropping-particle":"","parse-names":false,"suffix":""},{"dropping-particle":"","family":"Sibony","given":"Olivier","non-dropping-particle":"","parse-names":false,"suffix":""},{"dropping-particle":"","family":"Alberti","given":"Corinne","non-dropping-particle":"","parse-names":false,"suffix":""}],"container-title":"PLoS ONE","id":"ITEM-1","issue":"6","issued":{"date-parts":[["2011"]]},"title":"Using and reporting the Delphi method for selecting healthcare quality indicators: A systematic review","type":"article-journal","volume":"6"},"uris":["http://www.mendeley.com/documents/?uuid=712de3e9-5b71-435c-8328-de096bfa0b17"]}],"mendeley":{"formattedCitation":"(Boulkedid &lt;i&gt;et al.&lt;/i&gt;, 2011)","plainTextFormattedCitation":"(Boulkedid et al., 2011)","previouslyFormattedCitation":"(Boulkedid et al. 2011)"},"properties":{"noteIndex":0},"schema":"https://github.com/citation-style-language/schema/raw/master/csl-citation.json"}</w:instrText>
      </w:r>
      <w:r w:rsidRPr="001005AC">
        <w:rPr>
          <w:rFonts w:ascii="Times New Roman" w:hAnsi="Times New Roman" w:cs="Times New Roman"/>
          <w:sz w:val="24"/>
          <w:szCs w:val="24"/>
        </w:rPr>
        <w:fldChar w:fldCharType="separate"/>
      </w:r>
      <w:r w:rsidR="00BE3B6C" w:rsidRPr="001005AC">
        <w:rPr>
          <w:rFonts w:ascii="Times New Roman" w:hAnsi="Times New Roman" w:cs="Times New Roman"/>
          <w:noProof/>
          <w:sz w:val="24"/>
          <w:szCs w:val="24"/>
        </w:rPr>
        <w:t>(Boulkedid et al. 2011)</w:t>
      </w:r>
      <w:r w:rsidRPr="001005AC">
        <w:rPr>
          <w:rFonts w:ascii="Times New Roman" w:hAnsi="Times New Roman" w:cs="Times New Roman"/>
          <w:sz w:val="24"/>
          <w:szCs w:val="24"/>
        </w:rPr>
        <w:fldChar w:fldCharType="end"/>
      </w:r>
      <w:r w:rsidRPr="001005AC">
        <w:rPr>
          <w:rFonts w:ascii="Times New Roman" w:hAnsi="Times New Roman" w:cs="Times New Roman"/>
          <w:sz w:val="24"/>
          <w:szCs w:val="24"/>
        </w:rPr>
        <w:t>. Ensuring stability in opinion is one way of determining the number of rounds and was adopted in this study because it is a more objective measure</w:t>
      </w:r>
      <w:r w:rsidR="00C60BD6" w:rsidRPr="001005AC">
        <w:rPr>
          <w:rFonts w:ascii="Times New Roman" w:hAnsi="Times New Roman" w:cs="Times New Roman"/>
          <w:sz w:val="24"/>
          <w:szCs w:val="24"/>
        </w:rPr>
        <w:t xml:space="preserve"> </w:t>
      </w:r>
      <w:r w:rsidRPr="001005AC">
        <w:rPr>
          <w:rFonts w:ascii="Times New Roman" w:hAnsi="Times New Roman" w:cs="Times New Roman"/>
          <w:sz w:val="24"/>
          <w:szCs w:val="24"/>
        </w:rPr>
        <w:fldChar w:fldCharType="begin" w:fldLock="1"/>
      </w:r>
      <w:r w:rsidR="00BE3B6C" w:rsidRPr="001005AC">
        <w:rPr>
          <w:rFonts w:ascii="Times New Roman" w:hAnsi="Times New Roman" w:cs="Times New Roman"/>
          <w:sz w:val="24"/>
          <w:szCs w:val="24"/>
        </w:rPr>
        <w:instrText>ADDIN CSL_CITATION {"citationItems":[{"id":"ITEM-1","itemData":{"DOI":"10.1016/j.jclinepi.2013.12.002","ISBN":"0895-4356","ISSN":"08954356","PMID":"24581294","abstract":"Objective: To investigate how consensus is operationalized in Delphi studies and to explore the role of consensus in determining the results of these studies. Study Design and Settings: Systematic review of a random sample of 100 English language Delphi studies, from two large multidisciplinary databases [ISI Web of Science (Thompson Reuters, New York, NY) and Scopus (Elsevier, Amsterdam, NL)], published between 2000 and 2009. Results: About 98 of the Delphi studies purported to assess consensus, although a definition for consensus was only provided in 72 of the studies (64 a priori). The most common definition for consensus was percent agreement (25 studies), with 75% being the median threshold to define consensus. Although the authors concluded in 86 of the studies that consensus was achieved, consensus was only specified a priori (with a threshold value) in 42 of these studies. Achievement of consensus was related to the decision to stop the Delphi study in only 23 studies, with 70 studies terminating after a specified number of rounds. Conclusion: Although consensus generally is felt to be of primary importance to the Delphi process, definitions of consensus vary widely and are poorly reported. Improved criteria for reporting of methods of Delphi studies are required. © 2014 Elsevier Inc. All rights reserved.","author":[{"dropping-particle":"","family":"Diamond","given":"Ivan R.","non-dropping-particle":"","parse-names":false,"suffix":""},{"dropping-particle":"","family":"Grant","given":"Robert C.","non-dropping-particle":"","parse-names":false,"suffix":""},{"dropping-particle":"","family":"Feldman","given":"Brian M.","non-dropping-particle":"","parse-names":false,"suffix":""},{"dropping-particle":"","family":"Pencharz","given":"Paul B.","non-dropping-particle":"","parse-names":false,"suffix":""},{"dropping-particle":"","family":"Ling","given":"Simon C.","non-dropping-particle":"","parse-names":false,"suffix":""},{"dropping-particle":"","family":"Moore","given":"Aideen M.","non-dropping-particle":"","parse-names":false,"suffix":""},{"dropping-particle":"","family":"Wales","given":"Paul W.","non-dropping-particle":"","parse-names":false,"suffix":""}],"container-title":"Journal of Clinical Epidemiology","id":"ITEM-1","issue":"4","issued":{"date-parts":[["2014"]]},"page":"401-409","title":"Defining consensus: A systematic review recommends methodologic criteria for reporting of Delphi studies","type":"article-journal","volume":"67"},"uris":["http://www.mendeley.com/documents/?uuid=1601a2fb-2ac9-4e29-b22c-a5799380c36a"]}],"mendeley":{"formattedCitation":"(Diamond &lt;i&gt;et al.&lt;/i&gt;, 2014)","plainTextFormattedCitation":"(Diamond et al., 2014)","previouslyFormattedCitation":"(I. R. Diamond et al. 2014)"},"properties":{"noteIndex":0},"schema":"https://github.com/citation-style-language/schema/raw/master/csl-citation.json"}</w:instrText>
      </w:r>
      <w:r w:rsidRPr="001005AC">
        <w:rPr>
          <w:rFonts w:ascii="Times New Roman" w:hAnsi="Times New Roman" w:cs="Times New Roman"/>
          <w:sz w:val="24"/>
          <w:szCs w:val="24"/>
        </w:rPr>
        <w:fldChar w:fldCharType="separate"/>
      </w:r>
      <w:r w:rsidR="00BE3B6C" w:rsidRPr="001005AC">
        <w:rPr>
          <w:rFonts w:ascii="Times New Roman" w:hAnsi="Times New Roman" w:cs="Times New Roman"/>
          <w:noProof/>
          <w:sz w:val="24"/>
          <w:szCs w:val="24"/>
        </w:rPr>
        <w:t>(Diamond et al. 2014)</w:t>
      </w:r>
      <w:r w:rsidRPr="001005AC">
        <w:rPr>
          <w:rFonts w:ascii="Times New Roman" w:hAnsi="Times New Roman" w:cs="Times New Roman"/>
          <w:sz w:val="24"/>
          <w:szCs w:val="24"/>
        </w:rPr>
        <w:fldChar w:fldCharType="end"/>
      </w:r>
      <w:r w:rsidRPr="001005AC">
        <w:rPr>
          <w:rFonts w:ascii="Times New Roman" w:hAnsi="Times New Roman" w:cs="Times New Roman"/>
          <w:sz w:val="24"/>
          <w:szCs w:val="24"/>
        </w:rPr>
        <w:t>.  If opinion is stable after two rounds, the Delphi stops. If opinion is significantly different</w:t>
      </w:r>
      <w:r w:rsidR="00756CB1" w:rsidRPr="001005AC">
        <w:rPr>
          <w:rFonts w:ascii="Times New Roman" w:hAnsi="Times New Roman" w:cs="Times New Roman"/>
          <w:sz w:val="24"/>
          <w:szCs w:val="24"/>
        </w:rPr>
        <w:t xml:space="preserve"> (e.g. the results are unstable, see previous section 5.3.2.4)</w:t>
      </w:r>
      <w:r w:rsidRPr="001005AC">
        <w:rPr>
          <w:rFonts w:ascii="Times New Roman" w:hAnsi="Times New Roman" w:cs="Times New Roman"/>
          <w:sz w:val="24"/>
          <w:szCs w:val="24"/>
        </w:rPr>
        <w:t xml:space="preserve">, a third round is </w:t>
      </w:r>
      <w:r w:rsidR="00AD2984" w:rsidRPr="001005AC">
        <w:rPr>
          <w:rFonts w:ascii="Times New Roman" w:hAnsi="Times New Roman" w:cs="Times New Roman"/>
          <w:sz w:val="24"/>
          <w:szCs w:val="24"/>
        </w:rPr>
        <w:t>utilized</w:t>
      </w:r>
      <w:r w:rsidRPr="001005AC">
        <w:rPr>
          <w:rFonts w:ascii="Times New Roman" w:hAnsi="Times New Roman" w:cs="Times New Roman"/>
          <w:sz w:val="24"/>
          <w:szCs w:val="24"/>
        </w:rPr>
        <w:t>. No more than three rounds are used as further rounds can lead to attrition</w:t>
      </w:r>
      <w:r w:rsidR="00C60BD6" w:rsidRPr="001005AC">
        <w:rPr>
          <w:rFonts w:ascii="Times New Roman" w:hAnsi="Times New Roman" w:cs="Times New Roman"/>
          <w:sz w:val="24"/>
          <w:szCs w:val="24"/>
        </w:rPr>
        <w:t xml:space="preserve"> </w:t>
      </w:r>
      <w:r w:rsidRPr="001005AC">
        <w:rPr>
          <w:rFonts w:ascii="Times New Roman" w:hAnsi="Times New Roman" w:cs="Times New Roman"/>
          <w:sz w:val="24"/>
          <w:szCs w:val="24"/>
        </w:rPr>
        <w:fldChar w:fldCharType="begin" w:fldLock="1"/>
      </w:r>
      <w:r w:rsidR="00BE3B6C" w:rsidRPr="001005AC">
        <w:rPr>
          <w:rFonts w:ascii="Times New Roman" w:hAnsi="Times New Roman" w:cs="Times New Roman"/>
          <w:sz w:val="24"/>
          <w:szCs w:val="24"/>
        </w:rPr>
        <w:instrText>ADDIN CSL_CITATION {"citationItems":[{"id":"ITEM-1","itemData":{"DOI":"10.1111/apa.12120","ISBN":"3583311663","ISSN":"08035253","PMID":"23216313","abstract":"UNLABELLED: Efforts to improve the safety and quantification of iatrogenic harm in children are necessary in paediatric practice and health care. Consensus methods are a systematic means to resolve inconsistencies in scientific information. The items to be assessed are scored and/or ranked and consensus is sought in successive rounds. The aim here is to review features of the Delphi process and the nominal group technique and their use in paediatric patients.\\n\\nCONCLUSION: The Delphi process and the nominal group technique are also applicable in paediatric age groups. They offer a useful choice in the selection of safety and quality improvement measures and tools.","author":[{"dropping-particle":"","family":"Tammela","given":"O.","non-dropping-particle":"","parse-names":false,"suffix":""}],"container-title":"Acta Paediatrica, International Journal of Paediatrics","id":"ITEM-1","issue":"2","issued":{"date-parts":[["2013"]]},"page":"111-115","title":"Applications of consensus methods in the improvement of care of paediatric patients: A step forward from a 'good guess'","type":"article","volume":"102"},"uris":["http://www.mendeley.com/documents/?uuid=83b9f46f-8681-473c-ac66-f64a88aa0a6c"]},{"id":"ITEM-2","itemData":{"DOI":"10.1016/j.jclinepi.2013.12.002","ISBN":"0895-4356","ISSN":"08954356","PMID":"24581294","abstract":"Objective: To investigate how consensus is operationalized in Delphi studies and to explore the role of consensus in determining the results of these studies. Study Design and Settings: Systematic review of a random sample of 100 English language Delphi studies, from two large multidisciplinary databases [ISI Web of Science (Thompson Reuters, New York, NY) and Scopus (Elsevier, Amsterdam, NL)], published between 2000 and 2009. Results: About 98 of the Delphi studies purported to assess consensus, although a definition for consensus was only provided in 72 of the studies (64 a priori). The most common definition for consensus was percent agreement (25 studies), with 75% being the median threshold to define consensus. Although the authors concluded in 86 of the studies that consensus was achieved, consensus was only specified a priori (with a threshold value) in 42 of these studies. Achievement of consensus was related to the decision to stop the Delphi study in only 23 studies, with 70 studies terminating after a specified number of rounds. Conclusion: Although consensus generally is felt to be of primary importance to the Delphi process, definitions of consensus vary widely and are poorly reported. Improved criteria for reporting of methods of Delphi studies are required. © 2014 Elsevier Inc. All rights reserved.","author":[{"dropping-particle":"","family":"Diamond","given":"Ivan R.","non-dropping-particle":"","parse-names":false,"suffix":""},{"dropping-particle":"","family":"Grant","given":"Robert C.","non-dropping-particle":"","parse-names":false,"suffix":""},{"dropping-particle":"","family":"Feldman","given":"Brian M.","non-dropping-particle":"","parse-names":false,"suffix":""},{"dropping-particle":"","family":"Pencharz","given":"Paul B.","non-dropping-particle":"","parse-names":false,"suffix":""},{"dropping-particle":"","family":"Ling","given":"Simon C.","non-dropping-particle":"","parse-names":false,"suffix":""},{"dropping-particle":"","family":"Moore","given":"Aideen M.","non-dropping-particle":"","parse-names":false,"suffix":""},{"dropping-particle":"","family":"Wales","given":"Paul W.","non-dropping-particle":"","parse-names":false,"suffix":""}],"container-title":"Journal of Clinical Epidemiology","id":"ITEM-2","issue":"4","issued":{"date-parts":[["2014"]]},"page":"401-409","title":"Defining consensus: A systematic review recommends methodologic criteria for reporting of Delphi studies","type":"article-journal","volume":"67"},"uris":["http://www.mendeley.com/documents/?uuid=1601a2fb-2ac9-4e29-b22c-a5799380c36a"]}],"mendeley":{"formattedCitation":"(Tammela, 2013; Diamond &lt;i&gt;et al.&lt;/i&gt;, 2014)","plainTextFormattedCitation":"(Tammela, 2013; Diamond et al., 2014)","previouslyFormattedCitation":"(Tammela 2013; I. R. Diamond et al. 2014)"},"properties":{"noteIndex":0},"schema":"https://github.com/citation-style-language/schema/raw/master/csl-citation.json"}</w:instrText>
      </w:r>
      <w:r w:rsidRPr="001005AC">
        <w:rPr>
          <w:rFonts w:ascii="Times New Roman" w:hAnsi="Times New Roman" w:cs="Times New Roman"/>
          <w:sz w:val="24"/>
          <w:szCs w:val="24"/>
        </w:rPr>
        <w:fldChar w:fldCharType="separate"/>
      </w:r>
      <w:r w:rsidR="005F6190">
        <w:rPr>
          <w:rFonts w:ascii="Times New Roman" w:hAnsi="Times New Roman" w:cs="Times New Roman"/>
          <w:noProof/>
          <w:sz w:val="24"/>
          <w:szCs w:val="24"/>
        </w:rPr>
        <w:t>(Tammela</w:t>
      </w:r>
      <w:r w:rsidR="00BE3B6C" w:rsidRPr="001005AC">
        <w:rPr>
          <w:rFonts w:ascii="Times New Roman" w:hAnsi="Times New Roman" w:cs="Times New Roman"/>
          <w:noProof/>
          <w:sz w:val="24"/>
          <w:szCs w:val="24"/>
        </w:rPr>
        <w:t xml:space="preserve"> 2013; Diamond et al. 2014)</w:t>
      </w:r>
      <w:r w:rsidRPr="001005AC">
        <w:rPr>
          <w:rFonts w:ascii="Times New Roman" w:hAnsi="Times New Roman" w:cs="Times New Roman"/>
          <w:sz w:val="24"/>
          <w:szCs w:val="24"/>
        </w:rPr>
        <w:fldChar w:fldCharType="end"/>
      </w:r>
      <w:r w:rsidRPr="001005AC">
        <w:rPr>
          <w:rFonts w:ascii="Times New Roman" w:hAnsi="Times New Roman" w:cs="Times New Roman"/>
          <w:sz w:val="24"/>
          <w:szCs w:val="24"/>
        </w:rPr>
        <w:t>.In addition, there is an argument that conducting too many rounds can suggest to the Delphi panel that they “need to reach consensus” even if there isn’t a naturally occurring one. Indeed, those items which do not reach consensus can offer just as much insight than those that do, highlighting difference in perspective on the topic</w:t>
      </w:r>
      <w:r w:rsidR="00E40D33" w:rsidRPr="001005AC">
        <w:rPr>
          <w:rFonts w:ascii="Times New Roman" w:hAnsi="Times New Roman" w:cs="Times New Roman"/>
          <w:sz w:val="24"/>
          <w:szCs w:val="24"/>
        </w:rPr>
        <w:t xml:space="preserve"> </w:t>
      </w:r>
      <w:r w:rsidRPr="001005AC">
        <w:rPr>
          <w:rFonts w:ascii="Times New Roman" w:hAnsi="Times New Roman" w:cs="Times New Roman"/>
          <w:sz w:val="24"/>
          <w:szCs w:val="24"/>
        </w:rPr>
        <w:fldChar w:fldCharType="begin" w:fldLock="1"/>
      </w:r>
      <w:r w:rsidR="00BE3B6C" w:rsidRPr="001005AC">
        <w:rPr>
          <w:rFonts w:ascii="Times New Roman" w:hAnsi="Times New Roman" w:cs="Times New Roman"/>
          <w:sz w:val="24"/>
          <w:szCs w:val="24"/>
        </w:rPr>
        <w:instrText>ADDIN CSL_CITATION {"citationItems":[{"id":"ITEM-1","itemData":{"DOI":"10.1177/0269216317690685","ISSN":"1477030X","PMID":"28190381","abstract":"In computational science, making efficient use of modern multicore based computer hardware is necessary in order to deal with complex real-life application problems. However, with increased hardware complexity, the cost in man hours of writing and re-writing software to adapt to evolving computer systems is becoming prohibitive. Task based parallel programming models aim to allow the application programmers to focus on the algorithms and applications, while the performance is handled by a runtime system that schedules the tasks onto nodes, cores, and accelerators. In this paper we describe a task parallel programming model where dependencies are represented through data versioning. The benefits of using this type of model are that it is easy to represent different types of dependencies and that scheduling decisions can be made locally. We implement this as a freely available C++ header-only template library, and show experimental results indicating that our implementation scales well, and performs well in comparison to other related efforts.","author":[{"dropping-particle":"","family":"Jünger","given":"Saskia","non-dropping-particle":"","parse-names":false,"suffix":""},{"dropping-particle":"","family":"Payne","given":"Sheila A.","non-dropping-particle":"","parse-names":false,"suffix":""},{"dropping-particle":"","family":"Brine","given":"Jenny","non-dropping-particle":"","parse-names":false,"suffix":""},{"dropping-particle":"","family":"Radbruch","given":"Lukas","non-dropping-particle":"","parse-names":false,"suffix":""},{"dropping-particle":"","family":"Brearley","given":"Sarah G.","non-dropping-particle":"","parse-names":false,"suffix":""}],"container-title":"Palliative Medicine","id":"ITEM-1","issue":"8","issued":{"date-parts":[["2017"]]},"page":"684-706","title":"Guidance on Conducting and REporting DElphi Studies (CREDES) in palliative care: Recommendations based on a methodological systematic review","type":"article","volume":"31"},"uris":["http://www.mendeley.com/documents/?uuid=94d448de-b5d2-42cb-a2db-fe713d83829e"]}],"mendeley":{"formattedCitation":"(Jünger &lt;i&gt;et al.&lt;/i&gt;, 2017)","plainTextFormattedCitation":"(Jünger et al., 2017)","previouslyFormattedCitation":"(Jünger et al. 2017)"},"properties":{"noteIndex":0},"schema":"https://github.com/citation-style-language/schema/raw/master/csl-citation.json"}</w:instrText>
      </w:r>
      <w:r w:rsidRPr="001005AC">
        <w:rPr>
          <w:rFonts w:ascii="Times New Roman" w:hAnsi="Times New Roman" w:cs="Times New Roman"/>
          <w:sz w:val="24"/>
          <w:szCs w:val="24"/>
        </w:rPr>
        <w:fldChar w:fldCharType="separate"/>
      </w:r>
      <w:r w:rsidR="00BE3B6C" w:rsidRPr="001005AC">
        <w:rPr>
          <w:rFonts w:ascii="Times New Roman" w:hAnsi="Times New Roman" w:cs="Times New Roman"/>
          <w:noProof/>
          <w:sz w:val="24"/>
          <w:szCs w:val="24"/>
        </w:rPr>
        <w:t>(Jünger et al. 2017)</w:t>
      </w:r>
      <w:r w:rsidRPr="001005AC">
        <w:rPr>
          <w:rFonts w:ascii="Times New Roman" w:hAnsi="Times New Roman" w:cs="Times New Roman"/>
          <w:sz w:val="24"/>
          <w:szCs w:val="24"/>
        </w:rPr>
        <w:fldChar w:fldCharType="end"/>
      </w:r>
      <w:r w:rsidRPr="001005AC">
        <w:rPr>
          <w:rFonts w:ascii="Times New Roman" w:hAnsi="Times New Roman" w:cs="Times New Roman"/>
          <w:sz w:val="24"/>
          <w:szCs w:val="24"/>
        </w:rPr>
        <w:t>.</w:t>
      </w:r>
    </w:p>
    <w:p w14:paraId="503EFFB6" w14:textId="18A75919" w:rsidR="00863DF5" w:rsidRPr="006F3B00" w:rsidRDefault="007A712D" w:rsidP="00597DF6">
      <w:pPr>
        <w:pStyle w:val="Heading3"/>
        <w:rPr>
          <w:rFonts w:ascii="Times New Roman" w:hAnsi="Times New Roman" w:cs="Times New Roman"/>
          <w:color w:val="auto"/>
          <w:sz w:val="24"/>
          <w:szCs w:val="24"/>
        </w:rPr>
      </w:pPr>
      <w:bookmarkStart w:id="105" w:name="_Toc23243834"/>
      <w:r>
        <w:rPr>
          <w:rFonts w:ascii="Times New Roman" w:hAnsi="Times New Roman" w:cs="Times New Roman"/>
          <w:color w:val="auto"/>
          <w:sz w:val="24"/>
          <w:szCs w:val="24"/>
        </w:rPr>
        <w:t>5.3</w:t>
      </w:r>
      <w:r w:rsidR="00597DF6" w:rsidRPr="006F3B00">
        <w:rPr>
          <w:rFonts w:ascii="Times New Roman" w:hAnsi="Times New Roman" w:cs="Times New Roman"/>
          <w:color w:val="auto"/>
          <w:sz w:val="24"/>
          <w:szCs w:val="24"/>
        </w:rPr>
        <w:t xml:space="preserve">.3 </w:t>
      </w:r>
      <w:r w:rsidR="00863DF5" w:rsidRPr="006F3B00">
        <w:rPr>
          <w:rFonts w:ascii="Times New Roman" w:hAnsi="Times New Roman" w:cs="Times New Roman"/>
          <w:color w:val="auto"/>
          <w:sz w:val="24"/>
          <w:szCs w:val="24"/>
        </w:rPr>
        <w:t>Procedure</w:t>
      </w:r>
      <w:bookmarkEnd w:id="105"/>
    </w:p>
    <w:p w14:paraId="1BE4CD73" w14:textId="77777777" w:rsidR="00597DF6" w:rsidRPr="006F3B00" w:rsidRDefault="00597DF6" w:rsidP="00597DF6">
      <w:pPr>
        <w:rPr>
          <w:rFonts w:ascii="Times New Roman" w:hAnsi="Times New Roman" w:cs="Times New Roman"/>
          <w:sz w:val="24"/>
          <w:szCs w:val="24"/>
          <w:lang w:val="en-GB"/>
        </w:rPr>
      </w:pPr>
    </w:p>
    <w:p w14:paraId="33AA7092" w14:textId="3008593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The Delphi was first piloted with an experienced TPD who was not part of the main study. Slight amendments were suggested to the wording of some items to </w:t>
      </w:r>
      <w:r w:rsidR="000F1153">
        <w:rPr>
          <w:rFonts w:ascii="Times New Roman" w:hAnsi="Times New Roman" w:cs="Times New Roman"/>
          <w:sz w:val="24"/>
          <w:szCs w:val="24"/>
        </w:rPr>
        <w:t>improve</w:t>
      </w:r>
      <w:r w:rsidRPr="006F3B00">
        <w:rPr>
          <w:rFonts w:ascii="Times New Roman" w:hAnsi="Times New Roman" w:cs="Times New Roman"/>
          <w:sz w:val="24"/>
          <w:szCs w:val="24"/>
        </w:rPr>
        <w:t xml:space="preserve"> how they would be applied to the scale.</w:t>
      </w:r>
    </w:p>
    <w:p w14:paraId="2CAD68EE" w14:textId="4BBC6A6B"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RCPath database of all registered general pathology TPDs was made available and an invitation email (approved by RCPath</w:t>
      </w:r>
      <w:r w:rsidR="00E40D33">
        <w:rPr>
          <w:rFonts w:ascii="Times New Roman" w:hAnsi="Times New Roman" w:cs="Times New Roman"/>
          <w:sz w:val="24"/>
          <w:szCs w:val="24"/>
        </w:rPr>
        <w:t>:</w:t>
      </w:r>
      <w:r w:rsidR="00D5243C" w:rsidRPr="006F3B00">
        <w:rPr>
          <w:rFonts w:ascii="Times New Roman" w:hAnsi="Times New Roman" w:cs="Times New Roman"/>
          <w:sz w:val="24"/>
          <w:szCs w:val="24"/>
        </w:rPr>
        <w:t xml:space="preserve"> </w:t>
      </w:r>
      <w:r w:rsidR="00E40D33">
        <w:rPr>
          <w:rFonts w:ascii="Times New Roman" w:hAnsi="Times New Roman" w:cs="Times New Roman"/>
          <w:sz w:val="24"/>
          <w:szCs w:val="24"/>
        </w:rPr>
        <w:t>A</w:t>
      </w:r>
      <w:r w:rsidR="00CA4D9B">
        <w:rPr>
          <w:rFonts w:ascii="Times New Roman" w:hAnsi="Times New Roman" w:cs="Times New Roman"/>
          <w:sz w:val="24"/>
          <w:szCs w:val="24"/>
        </w:rPr>
        <w:t>ppendix 7</w:t>
      </w:r>
      <w:r w:rsidRPr="006F3B00">
        <w:rPr>
          <w:rFonts w:ascii="Times New Roman" w:hAnsi="Times New Roman" w:cs="Times New Roman"/>
          <w:sz w:val="24"/>
          <w:szCs w:val="24"/>
        </w:rPr>
        <w:t>) was sent together with a participant information sheet detailing the</w:t>
      </w:r>
      <w:r w:rsidR="00D5243C" w:rsidRPr="006F3B00">
        <w:rPr>
          <w:rFonts w:ascii="Times New Roman" w:hAnsi="Times New Roman" w:cs="Times New Roman"/>
          <w:sz w:val="24"/>
          <w:szCs w:val="24"/>
        </w:rPr>
        <w:t xml:space="preserve"> nature of the study (</w:t>
      </w:r>
      <w:r w:rsidR="00E40D33">
        <w:rPr>
          <w:rFonts w:ascii="Times New Roman" w:hAnsi="Times New Roman" w:cs="Times New Roman"/>
          <w:sz w:val="24"/>
          <w:szCs w:val="24"/>
        </w:rPr>
        <w:t>A</w:t>
      </w:r>
      <w:r w:rsidR="00CA4D9B">
        <w:rPr>
          <w:rFonts w:ascii="Times New Roman" w:hAnsi="Times New Roman" w:cs="Times New Roman"/>
          <w:sz w:val="24"/>
          <w:szCs w:val="24"/>
        </w:rPr>
        <w:t>ppendix 8</w:t>
      </w:r>
      <w:r w:rsidRPr="006F3B00">
        <w:rPr>
          <w:rFonts w:ascii="Times New Roman" w:hAnsi="Times New Roman" w:cs="Times New Roman"/>
          <w:sz w:val="24"/>
          <w:szCs w:val="24"/>
        </w:rPr>
        <w:t xml:space="preserve">).  A reminder email was also sent. Three TPDs responded to the emails expressing an interest to take part and the RCPath also suggested a senior member of the College who had voiced interest in the project. </w:t>
      </w:r>
    </w:p>
    <w:p w14:paraId="139F4EC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Four TPDs in oral and maxillofacial pathology were also sent the email and information sheet and agreed to take part (as they were not present on the email sent by RCPath). A previous general pathology TPD (and therefore no longer on the current TPD mailing list) was also emailed based on their significant experience in training. Three further participants were purposively emailed as they had deanery roles or significant experience in training.</w:t>
      </w:r>
    </w:p>
    <w:p w14:paraId="7EC2F4B8" w14:textId="5CABA1EC"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final Delphi panel therefore consisted of 12 participants wh</w:t>
      </w:r>
      <w:r w:rsidR="00810505">
        <w:rPr>
          <w:rFonts w:ascii="Times New Roman" w:hAnsi="Times New Roman" w:cs="Times New Roman"/>
          <w:sz w:val="24"/>
          <w:szCs w:val="24"/>
        </w:rPr>
        <w:t>ose details are shown in Table</w:t>
      </w:r>
      <w:r w:rsidR="0091329D">
        <w:rPr>
          <w:rFonts w:ascii="Times New Roman" w:hAnsi="Times New Roman" w:cs="Times New Roman"/>
          <w:sz w:val="24"/>
          <w:szCs w:val="24"/>
        </w:rPr>
        <w:t xml:space="preserve"> 5.</w:t>
      </w:r>
      <w:r w:rsidR="00810505">
        <w:rPr>
          <w:rFonts w:ascii="Times New Roman" w:hAnsi="Times New Roman" w:cs="Times New Roman"/>
          <w:sz w:val="24"/>
          <w:szCs w:val="24"/>
        </w:rPr>
        <w:t>2</w:t>
      </w:r>
      <w:r w:rsidR="00B10C6B">
        <w:rPr>
          <w:rFonts w:ascii="Times New Roman" w:hAnsi="Times New Roman" w:cs="Times New Roman"/>
          <w:sz w:val="24"/>
          <w:szCs w:val="24"/>
        </w:rPr>
        <w:t xml:space="preserve"> below.</w:t>
      </w:r>
    </w:p>
    <w:p w14:paraId="3F6FC55C" w14:textId="24AECF31" w:rsidR="00D831E9" w:rsidRDefault="00D831E9" w:rsidP="00863DF5">
      <w:pPr>
        <w:spacing w:line="480" w:lineRule="auto"/>
        <w:rPr>
          <w:rFonts w:ascii="Times New Roman" w:hAnsi="Times New Roman" w:cs="Times New Roman"/>
          <w:sz w:val="24"/>
          <w:szCs w:val="24"/>
        </w:rPr>
      </w:pPr>
    </w:p>
    <w:p w14:paraId="614F5534" w14:textId="4FB3731A" w:rsidR="00D831E9" w:rsidRDefault="00D831E9" w:rsidP="00863DF5">
      <w:pPr>
        <w:spacing w:line="480" w:lineRule="auto"/>
        <w:rPr>
          <w:rFonts w:ascii="Times New Roman" w:hAnsi="Times New Roman" w:cs="Times New Roman"/>
          <w:sz w:val="24"/>
          <w:szCs w:val="24"/>
        </w:rPr>
      </w:pPr>
    </w:p>
    <w:p w14:paraId="325386E3" w14:textId="149BA3BE" w:rsidR="00D831E9" w:rsidRDefault="00D831E9" w:rsidP="00863DF5">
      <w:pPr>
        <w:spacing w:line="480" w:lineRule="auto"/>
        <w:rPr>
          <w:rFonts w:ascii="Times New Roman" w:hAnsi="Times New Roman" w:cs="Times New Roman"/>
          <w:sz w:val="24"/>
          <w:szCs w:val="24"/>
        </w:rPr>
      </w:pPr>
    </w:p>
    <w:p w14:paraId="31E56A65" w14:textId="77777777" w:rsidR="00D831E9" w:rsidRPr="00B10C6B" w:rsidRDefault="00D831E9" w:rsidP="00863DF5">
      <w:pPr>
        <w:spacing w:line="48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282"/>
      </w:tblGrid>
      <w:tr w:rsidR="00863DF5" w:rsidRPr="006F3B00" w14:paraId="7FF057CF" w14:textId="77777777" w:rsidTr="001E510D">
        <w:tc>
          <w:tcPr>
            <w:tcW w:w="9242" w:type="dxa"/>
            <w:gridSpan w:val="2"/>
          </w:tcPr>
          <w:p w14:paraId="183337CC" w14:textId="77777777" w:rsidR="00863DF5" w:rsidRPr="006F3B00" w:rsidRDefault="00863DF5" w:rsidP="00863DF5">
            <w:pPr>
              <w:spacing w:line="480" w:lineRule="auto"/>
              <w:jc w:val="center"/>
              <w:rPr>
                <w:rFonts w:ascii="Times New Roman" w:hAnsi="Times New Roman" w:cs="Times New Roman"/>
                <w:b/>
                <w:sz w:val="24"/>
                <w:szCs w:val="24"/>
              </w:rPr>
            </w:pPr>
            <w:r w:rsidRPr="006F3B00">
              <w:rPr>
                <w:rFonts w:ascii="Times New Roman" w:hAnsi="Times New Roman" w:cs="Times New Roman"/>
                <w:b/>
                <w:sz w:val="24"/>
                <w:szCs w:val="24"/>
              </w:rPr>
              <w:t>Delphi panel background</w:t>
            </w:r>
          </w:p>
        </w:tc>
      </w:tr>
      <w:tr w:rsidR="00863DF5" w:rsidRPr="006F3B00" w14:paraId="4A5ECD63" w14:textId="77777777" w:rsidTr="001E510D">
        <w:tc>
          <w:tcPr>
            <w:tcW w:w="4621" w:type="dxa"/>
            <w:shd w:val="clear" w:color="auto" w:fill="D9D9D9" w:themeFill="background1" w:themeFillShade="D9"/>
          </w:tcPr>
          <w:p w14:paraId="4265A413"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Gender</w:t>
            </w:r>
          </w:p>
        </w:tc>
        <w:tc>
          <w:tcPr>
            <w:tcW w:w="4621" w:type="dxa"/>
          </w:tcPr>
          <w:p w14:paraId="50543AC1"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6 males; 6 females</w:t>
            </w:r>
          </w:p>
        </w:tc>
      </w:tr>
      <w:tr w:rsidR="00863DF5" w:rsidRPr="006F3B00" w14:paraId="7FD1E6C6" w14:textId="77777777" w:rsidTr="001E510D">
        <w:tc>
          <w:tcPr>
            <w:tcW w:w="4621" w:type="dxa"/>
            <w:shd w:val="clear" w:color="auto" w:fill="D9D9D9" w:themeFill="background1" w:themeFillShade="D9"/>
          </w:tcPr>
          <w:p w14:paraId="31FA2F8C"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Geography</w:t>
            </w:r>
          </w:p>
        </w:tc>
        <w:tc>
          <w:tcPr>
            <w:tcW w:w="4621" w:type="dxa"/>
          </w:tcPr>
          <w:p w14:paraId="65FEECD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Panelists were selected from all over the UK.</w:t>
            </w:r>
          </w:p>
        </w:tc>
      </w:tr>
      <w:tr w:rsidR="00863DF5" w:rsidRPr="006F3B00" w14:paraId="3946383D" w14:textId="77777777" w:rsidTr="001E510D">
        <w:tc>
          <w:tcPr>
            <w:tcW w:w="9242" w:type="dxa"/>
            <w:gridSpan w:val="2"/>
          </w:tcPr>
          <w:p w14:paraId="328F29E0" w14:textId="77777777" w:rsidR="00863DF5" w:rsidRPr="006F3B00" w:rsidRDefault="00863DF5" w:rsidP="00863DF5">
            <w:pPr>
              <w:spacing w:line="480" w:lineRule="auto"/>
              <w:jc w:val="center"/>
              <w:rPr>
                <w:rFonts w:ascii="Times New Roman" w:hAnsi="Times New Roman" w:cs="Times New Roman"/>
                <w:sz w:val="24"/>
                <w:szCs w:val="24"/>
              </w:rPr>
            </w:pPr>
            <w:r w:rsidRPr="006F3B00">
              <w:rPr>
                <w:rFonts w:ascii="Times New Roman" w:hAnsi="Times New Roman" w:cs="Times New Roman"/>
                <w:b/>
                <w:sz w:val="24"/>
                <w:szCs w:val="24"/>
              </w:rPr>
              <w:t>Roles (past or current)</w:t>
            </w:r>
          </w:p>
        </w:tc>
      </w:tr>
      <w:tr w:rsidR="00863DF5" w:rsidRPr="006F3B00" w14:paraId="752883C9" w14:textId="77777777" w:rsidTr="001E510D">
        <w:tc>
          <w:tcPr>
            <w:tcW w:w="4621" w:type="dxa"/>
            <w:shd w:val="clear" w:color="auto" w:fill="D9D9D9" w:themeFill="background1" w:themeFillShade="D9"/>
          </w:tcPr>
          <w:p w14:paraId="55E8490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TPD</w:t>
            </w:r>
          </w:p>
        </w:tc>
        <w:tc>
          <w:tcPr>
            <w:tcW w:w="4621" w:type="dxa"/>
          </w:tcPr>
          <w:p w14:paraId="4B46C60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8</w:t>
            </w:r>
          </w:p>
        </w:tc>
      </w:tr>
      <w:tr w:rsidR="00863DF5" w:rsidRPr="006F3B00" w14:paraId="0B833C11" w14:textId="77777777" w:rsidTr="001E510D">
        <w:tc>
          <w:tcPr>
            <w:tcW w:w="4621" w:type="dxa"/>
            <w:shd w:val="clear" w:color="auto" w:fill="D9D9D9" w:themeFill="background1" w:themeFillShade="D9"/>
          </w:tcPr>
          <w:p w14:paraId="2E54B686"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ES</w:t>
            </w:r>
          </w:p>
        </w:tc>
        <w:tc>
          <w:tcPr>
            <w:tcW w:w="4621" w:type="dxa"/>
          </w:tcPr>
          <w:p w14:paraId="02EAF9F1"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11</w:t>
            </w:r>
          </w:p>
        </w:tc>
      </w:tr>
      <w:tr w:rsidR="00863DF5" w:rsidRPr="006F3B00" w14:paraId="7704830D" w14:textId="77777777" w:rsidTr="001E510D">
        <w:tc>
          <w:tcPr>
            <w:tcW w:w="4621" w:type="dxa"/>
            <w:shd w:val="clear" w:color="auto" w:fill="D9D9D9" w:themeFill="background1" w:themeFillShade="D9"/>
          </w:tcPr>
          <w:p w14:paraId="44A3FD6B"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Additional college or deanery role (other than TPD/ES)</w:t>
            </w:r>
          </w:p>
        </w:tc>
        <w:tc>
          <w:tcPr>
            <w:tcW w:w="4621" w:type="dxa"/>
          </w:tcPr>
          <w:p w14:paraId="623DC6E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6</w:t>
            </w:r>
          </w:p>
        </w:tc>
      </w:tr>
    </w:tbl>
    <w:p w14:paraId="03248296" w14:textId="6F7FA0AC" w:rsidR="00863DF5" w:rsidRPr="00E1668B" w:rsidRDefault="00B10C6B" w:rsidP="00863DF5">
      <w:pPr>
        <w:spacing w:line="480" w:lineRule="auto"/>
        <w:rPr>
          <w:rFonts w:ascii="Times New Roman" w:hAnsi="Times New Roman" w:cs="Times New Roman"/>
          <w:b/>
          <w:sz w:val="24"/>
          <w:szCs w:val="24"/>
        </w:rPr>
      </w:pPr>
      <w:r>
        <w:rPr>
          <w:rFonts w:ascii="Times New Roman" w:hAnsi="Times New Roman" w:cs="Times New Roman"/>
          <w:b/>
          <w:sz w:val="24"/>
          <w:szCs w:val="24"/>
        </w:rPr>
        <w:t>Table 5.2.</w:t>
      </w:r>
      <w:r w:rsidRPr="006F3B00">
        <w:rPr>
          <w:rFonts w:ascii="Times New Roman" w:hAnsi="Times New Roman" w:cs="Times New Roman"/>
          <w:b/>
          <w:sz w:val="24"/>
          <w:szCs w:val="24"/>
        </w:rPr>
        <w:t xml:space="preserve"> Summa</w:t>
      </w:r>
      <w:r w:rsidR="00E1668B">
        <w:rPr>
          <w:rFonts w:ascii="Times New Roman" w:hAnsi="Times New Roman" w:cs="Times New Roman"/>
          <w:b/>
          <w:sz w:val="24"/>
          <w:szCs w:val="24"/>
        </w:rPr>
        <w:t>ry of Delphi panel participants</w:t>
      </w:r>
    </w:p>
    <w:p w14:paraId="2AB26785" w14:textId="07099246"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All communication between the researcher and Delphi participants occurred over private, individual emails so participants remaine</w:t>
      </w:r>
      <w:r w:rsidR="00947E3D">
        <w:rPr>
          <w:rFonts w:ascii="Times New Roman" w:hAnsi="Times New Roman" w:cs="Times New Roman"/>
          <w:sz w:val="24"/>
          <w:szCs w:val="24"/>
        </w:rPr>
        <w:t>d anonymous to one another. For</w:t>
      </w:r>
      <w:r w:rsidRPr="006F3B00">
        <w:rPr>
          <w:rFonts w:ascii="Times New Roman" w:hAnsi="Times New Roman" w:cs="Times New Roman"/>
          <w:sz w:val="24"/>
          <w:szCs w:val="24"/>
        </w:rPr>
        <w:t xml:space="preserve"> round 1, participants wer</w:t>
      </w:r>
      <w:r w:rsidR="004C31E4" w:rsidRPr="006F3B00">
        <w:rPr>
          <w:rFonts w:ascii="Times New Roman" w:hAnsi="Times New Roman" w:cs="Times New Roman"/>
          <w:sz w:val="24"/>
          <w:szCs w:val="24"/>
        </w:rPr>
        <w:t>e given instructions (</w:t>
      </w:r>
      <w:r w:rsidR="00E40D33">
        <w:rPr>
          <w:rFonts w:ascii="Times New Roman" w:hAnsi="Times New Roman" w:cs="Times New Roman"/>
          <w:sz w:val="24"/>
          <w:szCs w:val="24"/>
        </w:rPr>
        <w:t>A</w:t>
      </w:r>
      <w:r w:rsidR="00CA4D9B">
        <w:rPr>
          <w:rFonts w:ascii="Times New Roman" w:hAnsi="Times New Roman" w:cs="Times New Roman"/>
          <w:sz w:val="24"/>
          <w:szCs w:val="24"/>
        </w:rPr>
        <w:t>ppendix 9</w:t>
      </w:r>
      <w:r w:rsidRPr="006F3B00">
        <w:rPr>
          <w:rFonts w:ascii="Times New Roman" w:hAnsi="Times New Roman" w:cs="Times New Roman"/>
          <w:sz w:val="24"/>
          <w:szCs w:val="24"/>
        </w:rPr>
        <w:t>) about how to complete the Delphi,</w:t>
      </w:r>
      <w:r w:rsidR="00947E3D">
        <w:rPr>
          <w:rFonts w:ascii="Times New Roman" w:hAnsi="Times New Roman" w:cs="Times New Roman"/>
          <w:sz w:val="24"/>
          <w:szCs w:val="24"/>
        </w:rPr>
        <w:t xml:space="preserve"> a</w:t>
      </w:r>
      <w:r w:rsidRPr="006F3B00">
        <w:rPr>
          <w:rFonts w:ascii="Times New Roman" w:hAnsi="Times New Roman" w:cs="Times New Roman"/>
          <w:sz w:val="24"/>
          <w:szCs w:val="24"/>
        </w:rPr>
        <w:t xml:space="preserve"> consent form</w:t>
      </w:r>
      <w:r w:rsidR="004C31E4" w:rsidRPr="006F3B00">
        <w:rPr>
          <w:rFonts w:ascii="Times New Roman" w:hAnsi="Times New Roman" w:cs="Times New Roman"/>
          <w:sz w:val="24"/>
          <w:szCs w:val="24"/>
        </w:rPr>
        <w:t xml:space="preserve"> (</w:t>
      </w:r>
      <w:r w:rsidR="00E40D33">
        <w:rPr>
          <w:rFonts w:ascii="Times New Roman" w:hAnsi="Times New Roman" w:cs="Times New Roman"/>
          <w:sz w:val="24"/>
          <w:szCs w:val="24"/>
        </w:rPr>
        <w:t>A</w:t>
      </w:r>
      <w:r w:rsidR="00CA4D9B">
        <w:rPr>
          <w:rFonts w:ascii="Times New Roman" w:hAnsi="Times New Roman" w:cs="Times New Roman"/>
          <w:sz w:val="24"/>
          <w:szCs w:val="24"/>
        </w:rPr>
        <w:t>ppendix 10</w:t>
      </w:r>
      <w:r w:rsidR="004C31E4" w:rsidRPr="006F3B00">
        <w:rPr>
          <w:rFonts w:ascii="Times New Roman" w:hAnsi="Times New Roman" w:cs="Times New Roman"/>
          <w:sz w:val="24"/>
          <w:szCs w:val="24"/>
        </w:rPr>
        <w:t>)</w:t>
      </w:r>
      <w:r w:rsidRPr="006F3B00">
        <w:rPr>
          <w:rFonts w:ascii="Times New Roman" w:hAnsi="Times New Roman" w:cs="Times New Roman"/>
          <w:sz w:val="24"/>
          <w:szCs w:val="24"/>
        </w:rPr>
        <w:t xml:space="preserve"> and</w:t>
      </w:r>
      <w:r w:rsidR="00564573">
        <w:rPr>
          <w:rFonts w:ascii="Times New Roman" w:hAnsi="Times New Roman" w:cs="Times New Roman"/>
          <w:sz w:val="24"/>
          <w:szCs w:val="24"/>
        </w:rPr>
        <w:t xml:space="preserve"> the</w:t>
      </w:r>
      <w:r w:rsidRPr="006F3B00">
        <w:rPr>
          <w:rFonts w:ascii="Times New Roman" w:hAnsi="Times New Roman" w:cs="Times New Roman"/>
          <w:sz w:val="24"/>
          <w:szCs w:val="24"/>
        </w:rPr>
        <w:t xml:space="preserve"> items</w:t>
      </w:r>
      <w:r w:rsidR="00564573">
        <w:rPr>
          <w:rFonts w:ascii="Times New Roman" w:hAnsi="Times New Roman" w:cs="Times New Roman"/>
          <w:sz w:val="24"/>
          <w:szCs w:val="24"/>
        </w:rPr>
        <w:t xml:space="preserve"> (</w:t>
      </w:r>
      <w:r w:rsidR="00E40D33">
        <w:rPr>
          <w:rFonts w:ascii="Times New Roman" w:hAnsi="Times New Roman" w:cs="Times New Roman"/>
          <w:sz w:val="24"/>
          <w:szCs w:val="24"/>
        </w:rPr>
        <w:t>T</w:t>
      </w:r>
      <w:r w:rsidR="00564573">
        <w:rPr>
          <w:rFonts w:ascii="Times New Roman" w:hAnsi="Times New Roman" w:cs="Times New Roman"/>
          <w:sz w:val="24"/>
          <w:szCs w:val="24"/>
        </w:rPr>
        <w:t>able</w:t>
      </w:r>
      <w:r w:rsidR="00AD2984">
        <w:rPr>
          <w:rFonts w:ascii="Times New Roman" w:hAnsi="Times New Roman" w:cs="Times New Roman"/>
          <w:sz w:val="24"/>
          <w:szCs w:val="24"/>
        </w:rPr>
        <w:t xml:space="preserve"> </w:t>
      </w:r>
      <w:r w:rsidR="0091329D">
        <w:rPr>
          <w:rFonts w:ascii="Times New Roman" w:hAnsi="Times New Roman" w:cs="Times New Roman"/>
          <w:sz w:val="24"/>
          <w:szCs w:val="24"/>
        </w:rPr>
        <w:t>5.</w:t>
      </w:r>
      <w:r w:rsidR="00564573">
        <w:rPr>
          <w:rFonts w:ascii="Times New Roman" w:hAnsi="Times New Roman" w:cs="Times New Roman"/>
          <w:sz w:val="24"/>
          <w:szCs w:val="24"/>
        </w:rPr>
        <w:t xml:space="preserve"> 1)</w:t>
      </w:r>
      <w:r w:rsidRPr="006F3B00">
        <w:rPr>
          <w:rFonts w:ascii="Times New Roman" w:hAnsi="Times New Roman" w:cs="Times New Roman"/>
          <w:sz w:val="24"/>
          <w:szCs w:val="24"/>
        </w:rPr>
        <w:t xml:space="preserve"> to rate and rank (note the word “cue” was changed to “item” on the forms as it was felt the former might be confusing to participants). Participants were requested to return their completed Delphi form within 3 weeks. Reminder emails were sent to non-responders.</w:t>
      </w:r>
    </w:p>
    <w:p w14:paraId="193A278C"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Round 1 responses were collated and the following calculated:</w:t>
      </w:r>
    </w:p>
    <w:p w14:paraId="670BE240" w14:textId="77777777" w:rsidR="00863DF5" w:rsidRPr="006F3B00" w:rsidRDefault="00863DF5" w:rsidP="00864ED0">
      <w:pPr>
        <w:pStyle w:val="ListParagraph"/>
        <w:numPr>
          <w:ilvl w:val="0"/>
          <w:numId w:val="41"/>
        </w:num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Response rate  </w:t>
      </w:r>
    </w:p>
    <w:p w14:paraId="4DF39A86" w14:textId="77777777" w:rsidR="00863DF5" w:rsidRPr="006F3B00" w:rsidRDefault="00863DF5" w:rsidP="00864ED0">
      <w:pPr>
        <w:pStyle w:val="ListParagraph"/>
        <w:numPr>
          <w:ilvl w:val="0"/>
          <w:numId w:val="41"/>
        </w:numPr>
        <w:spacing w:line="480" w:lineRule="auto"/>
        <w:rPr>
          <w:rFonts w:ascii="Times New Roman" w:hAnsi="Times New Roman" w:cs="Times New Roman"/>
          <w:sz w:val="24"/>
          <w:szCs w:val="24"/>
        </w:rPr>
      </w:pPr>
      <w:r w:rsidRPr="006F3B00">
        <w:rPr>
          <w:rFonts w:ascii="Times New Roman" w:hAnsi="Times New Roman" w:cs="Times New Roman"/>
          <w:sz w:val="24"/>
          <w:szCs w:val="24"/>
        </w:rPr>
        <w:t>List of items which had reached consensus/non-consensus</w:t>
      </w:r>
    </w:p>
    <w:p w14:paraId="157BE864" w14:textId="77777777" w:rsidR="00863DF5" w:rsidRPr="006F3B00" w:rsidRDefault="00863DF5" w:rsidP="00864ED0">
      <w:pPr>
        <w:pStyle w:val="ListParagraph"/>
        <w:numPr>
          <w:ilvl w:val="0"/>
          <w:numId w:val="41"/>
        </w:numPr>
        <w:spacing w:line="480" w:lineRule="auto"/>
        <w:rPr>
          <w:rFonts w:ascii="Times New Roman" w:hAnsi="Times New Roman" w:cs="Times New Roman"/>
          <w:sz w:val="24"/>
          <w:szCs w:val="24"/>
        </w:rPr>
      </w:pPr>
      <w:r w:rsidRPr="006F3B00">
        <w:rPr>
          <w:rFonts w:ascii="Times New Roman" w:hAnsi="Times New Roman" w:cs="Times New Roman"/>
          <w:sz w:val="24"/>
          <w:szCs w:val="24"/>
        </w:rPr>
        <w:t>Mean, standard deviation (SD), median, range and IQR for each item</w:t>
      </w:r>
    </w:p>
    <w:p w14:paraId="4D8EF269" w14:textId="77777777" w:rsidR="00863DF5" w:rsidRPr="006F3B00" w:rsidRDefault="00863DF5" w:rsidP="00864ED0">
      <w:pPr>
        <w:pStyle w:val="ListParagraph"/>
        <w:numPr>
          <w:ilvl w:val="0"/>
          <w:numId w:val="41"/>
        </w:numPr>
        <w:spacing w:line="480" w:lineRule="auto"/>
        <w:rPr>
          <w:rFonts w:ascii="Times New Roman" w:hAnsi="Times New Roman" w:cs="Times New Roman"/>
          <w:sz w:val="24"/>
          <w:szCs w:val="24"/>
        </w:rPr>
      </w:pPr>
      <w:r w:rsidRPr="006F3B00">
        <w:rPr>
          <w:rFonts w:ascii="Times New Roman" w:hAnsi="Times New Roman" w:cs="Times New Roman"/>
          <w:sz w:val="24"/>
          <w:szCs w:val="24"/>
        </w:rPr>
        <w:t>Top 3 ranking items and bottom 3 ranking items</w:t>
      </w:r>
    </w:p>
    <w:p w14:paraId="7FF674D1" w14:textId="5AB7CE5C"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In addition, free text comments were analy</w:t>
      </w:r>
      <w:r w:rsidR="00AD2984">
        <w:rPr>
          <w:rFonts w:ascii="Times New Roman" w:hAnsi="Times New Roman" w:cs="Times New Roman"/>
          <w:sz w:val="24"/>
          <w:szCs w:val="24"/>
        </w:rPr>
        <w:t>z</w:t>
      </w:r>
      <w:r w:rsidRPr="006F3B00">
        <w:rPr>
          <w:rFonts w:ascii="Times New Roman" w:hAnsi="Times New Roman" w:cs="Times New Roman"/>
          <w:sz w:val="24"/>
          <w:szCs w:val="24"/>
        </w:rPr>
        <w:t>ed to see if items needed amending or additional items required adding to Delphi.</w:t>
      </w:r>
    </w:p>
    <w:p w14:paraId="2CEC6B7D"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Round 2 of the Delphi was then sent to the participants. They were asked to rate and rank the items again, which included those items that reached consensus in the first round. This was necessary so that statistical stability could be measured between rounds. In addition, participants were given information from the previous round to include:</w:t>
      </w:r>
    </w:p>
    <w:p w14:paraId="04E4741A" w14:textId="77777777" w:rsidR="00863DF5" w:rsidRPr="006F3B00" w:rsidRDefault="00863DF5" w:rsidP="00864ED0">
      <w:pPr>
        <w:pStyle w:val="ListParagraph"/>
        <w:numPr>
          <w:ilvl w:val="0"/>
          <w:numId w:val="42"/>
        </w:num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Participant’s own scores </w:t>
      </w:r>
    </w:p>
    <w:p w14:paraId="4B46CD2E" w14:textId="77777777" w:rsidR="00863DF5" w:rsidRPr="006F3B00" w:rsidRDefault="00863DF5" w:rsidP="00864ED0">
      <w:pPr>
        <w:pStyle w:val="ListParagraph"/>
        <w:numPr>
          <w:ilvl w:val="0"/>
          <w:numId w:val="42"/>
        </w:numPr>
        <w:spacing w:line="480" w:lineRule="auto"/>
        <w:rPr>
          <w:rFonts w:ascii="Times New Roman" w:hAnsi="Times New Roman" w:cs="Times New Roman"/>
          <w:sz w:val="24"/>
          <w:szCs w:val="24"/>
        </w:rPr>
      </w:pPr>
      <w:r w:rsidRPr="006F3B00">
        <w:rPr>
          <w:rFonts w:ascii="Times New Roman" w:hAnsi="Times New Roman" w:cs="Times New Roman"/>
          <w:sz w:val="24"/>
          <w:szCs w:val="24"/>
        </w:rPr>
        <w:t>Mean panel score</w:t>
      </w:r>
    </w:p>
    <w:p w14:paraId="763A3F57" w14:textId="77777777" w:rsidR="00863DF5" w:rsidRPr="006F3B00" w:rsidRDefault="00863DF5" w:rsidP="00864ED0">
      <w:pPr>
        <w:pStyle w:val="ListParagraph"/>
        <w:numPr>
          <w:ilvl w:val="0"/>
          <w:numId w:val="42"/>
        </w:numPr>
        <w:spacing w:line="480" w:lineRule="auto"/>
        <w:rPr>
          <w:rFonts w:ascii="Times New Roman" w:hAnsi="Times New Roman" w:cs="Times New Roman"/>
          <w:sz w:val="24"/>
          <w:szCs w:val="24"/>
        </w:rPr>
      </w:pPr>
      <w:r w:rsidRPr="006F3B00">
        <w:rPr>
          <w:rFonts w:ascii="Times New Roman" w:hAnsi="Times New Roman" w:cs="Times New Roman"/>
          <w:sz w:val="24"/>
          <w:szCs w:val="24"/>
        </w:rPr>
        <w:t>Range of scores for that item</w:t>
      </w:r>
    </w:p>
    <w:p w14:paraId="339CE072" w14:textId="77777777" w:rsidR="00863DF5" w:rsidRPr="006F3B00" w:rsidRDefault="00863DF5" w:rsidP="00864ED0">
      <w:pPr>
        <w:pStyle w:val="ListParagraph"/>
        <w:numPr>
          <w:ilvl w:val="0"/>
          <w:numId w:val="42"/>
        </w:numPr>
        <w:spacing w:line="480" w:lineRule="auto"/>
        <w:rPr>
          <w:rFonts w:ascii="Times New Roman" w:hAnsi="Times New Roman" w:cs="Times New Roman"/>
          <w:sz w:val="24"/>
          <w:szCs w:val="24"/>
        </w:rPr>
      </w:pPr>
      <w:r w:rsidRPr="006F3B00">
        <w:rPr>
          <w:rFonts w:ascii="Times New Roman" w:hAnsi="Times New Roman" w:cs="Times New Roman"/>
          <w:sz w:val="24"/>
          <w:szCs w:val="24"/>
        </w:rPr>
        <w:t>List of items which had reached consensus/non-consensus</w:t>
      </w:r>
    </w:p>
    <w:p w14:paraId="245B485D" w14:textId="77777777" w:rsidR="00863DF5" w:rsidRPr="006F3B00" w:rsidRDefault="00863DF5" w:rsidP="00864ED0">
      <w:pPr>
        <w:pStyle w:val="ListParagraph"/>
        <w:numPr>
          <w:ilvl w:val="0"/>
          <w:numId w:val="42"/>
        </w:numPr>
        <w:spacing w:line="480" w:lineRule="auto"/>
        <w:rPr>
          <w:rFonts w:ascii="Times New Roman" w:hAnsi="Times New Roman" w:cs="Times New Roman"/>
          <w:sz w:val="24"/>
          <w:szCs w:val="24"/>
        </w:rPr>
      </w:pPr>
      <w:r w:rsidRPr="006F3B00">
        <w:rPr>
          <w:rFonts w:ascii="Times New Roman" w:hAnsi="Times New Roman" w:cs="Times New Roman"/>
          <w:sz w:val="24"/>
          <w:szCs w:val="24"/>
        </w:rPr>
        <w:t>Any amendments to original items from round 1</w:t>
      </w:r>
    </w:p>
    <w:p w14:paraId="5CF3CE2F" w14:textId="77777777" w:rsidR="00863DF5" w:rsidRPr="006F3B00" w:rsidRDefault="00863DF5" w:rsidP="00864ED0">
      <w:pPr>
        <w:pStyle w:val="ListParagraph"/>
        <w:numPr>
          <w:ilvl w:val="0"/>
          <w:numId w:val="42"/>
        </w:numPr>
        <w:spacing w:line="480" w:lineRule="auto"/>
        <w:rPr>
          <w:rFonts w:ascii="Times New Roman" w:hAnsi="Times New Roman" w:cs="Times New Roman"/>
          <w:sz w:val="24"/>
          <w:szCs w:val="24"/>
        </w:rPr>
      </w:pPr>
      <w:r w:rsidRPr="006F3B00">
        <w:rPr>
          <w:rFonts w:ascii="Times New Roman" w:hAnsi="Times New Roman" w:cs="Times New Roman"/>
          <w:sz w:val="24"/>
          <w:szCs w:val="24"/>
        </w:rPr>
        <w:t>Any additional items from round 1</w:t>
      </w:r>
    </w:p>
    <w:p w14:paraId="1039B5F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Once all round 2 responses were returned, the following were calculated:</w:t>
      </w:r>
    </w:p>
    <w:p w14:paraId="1106BD38" w14:textId="77777777" w:rsidR="00863DF5" w:rsidRPr="006F3B00" w:rsidRDefault="00863DF5" w:rsidP="00864ED0">
      <w:pPr>
        <w:pStyle w:val="ListParagraph"/>
        <w:numPr>
          <w:ilvl w:val="0"/>
          <w:numId w:val="43"/>
        </w:num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Response rate </w:t>
      </w:r>
    </w:p>
    <w:p w14:paraId="4A95C3D1" w14:textId="77777777" w:rsidR="00863DF5" w:rsidRPr="006F3B00" w:rsidRDefault="00863DF5" w:rsidP="00864ED0">
      <w:pPr>
        <w:pStyle w:val="ListParagraph"/>
        <w:numPr>
          <w:ilvl w:val="0"/>
          <w:numId w:val="43"/>
        </w:numPr>
        <w:spacing w:line="480" w:lineRule="auto"/>
        <w:rPr>
          <w:rFonts w:ascii="Times New Roman" w:hAnsi="Times New Roman" w:cs="Times New Roman"/>
          <w:sz w:val="24"/>
          <w:szCs w:val="24"/>
        </w:rPr>
      </w:pPr>
      <w:r w:rsidRPr="006F3B00">
        <w:rPr>
          <w:rFonts w:ascii="Times New Roman" w:hAnsi="Times New Roman" w:cs="Times New Roman"/>
          <w:sz w:val="24"/>
          <w:szCs w:val="24"/>
        </w:rPr>
        <w:t>List of items which had reached consensus/non-consensus</w:t>
      </w:r>
    </w:p>
    <w:p w14:paraId="6E8604C9" w14:textId="77777777" w:rsidR="00863DF5" w:rsidRPr="006F3B00" w:rsidRDefault="00863DF5" w:rsidP="00864ED0">
      <w:pPr>
        <w:pStyle w:val="ListParagraph"/>
        <w:numPr>
          <w:ilvl w:val="0"/>
          <w:numId w:val="43"/>
        </w:numPr>
        <w:spacing w:line="480" w:lineRule="auto"/>
        <w:rPr>
          <w:rFonts w:ascii="Times New Roman" w:hAnsi="Times New Roman" w:cs="Times New Roman"/>
          <w:sz w:val="24"/>
          <w:szCs w:val="24"/>
        </w:rPr>
      </w:pPr>
      <w:r w:rsidRPr="006F3B00">
        <w:rPr>
          <w:rFonts w:ascii="Times New Roman" w:hAnsi="Times New Roman" w:cs="Times New Roman"/>
          <w:sz w:val="24"/>
          <w:szCs w:val="24"/>
        </w:rPr>
        <w:t>Mean, SD, median, range and IQR for each item</w:t>
      </w:r>
    </w:p>
    <w:p w14:paraId="26728763" w14:textId="77777777" w:rsidR="00863DF5" w:rsidRDefault="00863DF5" w:rsidP="00864ED0">
      <w:pPr>
        <w:pStyle w:val="ListParagraph"/>
        <w:numPr>
          <w:ilvl w:val="0"/>
          <w:numId w:val="43"/>
        </w:numPr>
        <w:spacing w:line="480" w:lineRule="auto"/>
        <w:rPr>
          <w:rFonts w:ascii="Times New Roman" w:hAnsi="Times New Roman" w:cs="Times New Roman"/>
          <w:sz w:val="24"/>
          <w:szCs w:val="24"/>
        </w:rPr>
      </w:pPr>
      <w:r w:rsidRPr="006F3B00">
        <w:rPr>
          <w:rFonts w:ascii="Times New Roman" w:hAnsi="Times New Roman" w:cs="Times New Roman"/>
          <w:sz w:val="24"/>
          <w:szCs w:val="24"/>
        </w:rPr>
        <w:t>Top 3 ranking items and bottom 3 ranking items</w:t>
      </w:r>
    </w:p>
    <w:p w14:paraId="12C097E4" w14:textId="64A39BEA" w:rsidR="00E40D33" w:rsidRPr="006F3B00" w:rsidRDefault="002E75CB" w:rsidP="00864ED0">
      <w:pPr>
        <w:pStyle w:val="ListParagraph"/>
        <w:numPr>
          <w:ilvl w:val="0"/>
          <w:numId w:val="43"/>
        </w:numPr>
        <w:spacing w:line="480" w:lineRule="auto"/>
        <w:rPr>
          <w:rFonts w:ascii="Times New Roman" w:hAnsi="Times New Roman" w:cs="Times New Roman"/>
          <w:sz w:val="24"/>
          <w:szCs w:val="24"/>
        </w:rPr>
      </w:pPr>
      <w:r w:rsidRPr="006F3B00">
        <w:rPr>
          <w:rFonts w:ascii="Times New Roman" w:hAnsi="Times New Roman" w:cs="Times New Roman"/>
          <w:sz w:val="24"/>
          <w:szCs w:val="24"/>
        </w:rPr>
        <w:t>Wilcoxon matched pairs signed rank test</w:t>
      </w:r>
      <w:r>
        <w:rPr>
          <w:rFonts w:ascii="Times New Roman" w:hAnsi="Times New Roman" w:cs="Times New Roman"/>
          <w:sz w:val="24"/>
          <w:szCs w:val="24"/>
        </w:rPr>
        <w:t xml:space="preserve"> to see if stability had been reached</w:t>
      </w:r>
    </w:p>
    <w:p w14:paraId="018FBEC7" w14:textId="12359827" w:rsidR="00863DF5" w:rsidRPr="006F3B00" w:rsidRDefault="007A712D" w:rsidP="00597DF6">
      <w:pPr>
        <w:pStyle w:val="Heading3"/>
        <w:rPr>
          <w:rFonts w:ascii="Times New Roman" w:hAnsi="Times New Roman" w:cs="Times New Roman"/>
          <w:color w:val="auto"/>
          <w:sz w:val="24"/>
          <w:szCs w:val="24"/>
        </w:rPr>
      </w:pPr>
      <w:bookmarkStart w:id="106" w:name="_Toc23243835"/>
      <w:r>
        <w:rPr>
          <w:rFonts w:ascii="Times New Roman" w:hAnsi="Times New Roman" w:cs="Times New Roman"/>
          <w:color w:val="auto"/>
          <w:sz w:val="24"/>
          <w:szCs w:val="24"/>
        </w:rPr>
        <w:t>5.3</w:t>
      </w:r>
      <w:r w:rsidR="00597DF6" w:rsidRPr="006F3B00">
        <w:rPr>
          <w:rFonts w:ascii="Times New Roman" w:hAnsi="Times New Roman" w:cs="Times New Roman"/>
          <w:color w:val="auto"/>
          <w:sz w:val="24"/>
          <w:szCs w:val="24"/>
        </w:rPr>
        <w:t xml:space="preserve">.4 </w:t>
      </w:r>
      <w:r w:rsidR="00863DF5" w:rsidRPr="006F3B00">
        <w:rPr>
          <w:rFonts w:ascii="Times New Roman" w:hAnsi="Times New Roman" w:cs="Times New Roman"/>
          <w:color w:val="auto"/>
          <w:sz w:val="24"/>
          <w:szCs w:val="24"/>
        </w:rPr>
        <w:t>Analysis</w:t>
      </w:r>
      <w:bookmarkEnd w:id="106"/>
    </w:p>
    <w:p w14:paraId="02968D92" w14:textId="77777777" w:rsidR="00597DF6" w:rsidRPr="006F3B00" w:rsidRDefault="00597DF6" w:rsidP="00597DF6">
      <w:pPr>
        <w:rPr>
          <w:rFonts w:ascii="Times New Roman" w:hAnsi="Times New Roman" w:cs="Times New Roman"/>
          <w:sz w:val="24"/>
          <w:szCs w:val="24"/>
          <w:lang w:val="en-GB"/>
        </w:rPr>
      </w:pPr>
    </w:p>
    <w:p w14:paraId="64C1D322" w14:textId="2EAEA9C6" w:rsidR="00863DF5" w:rsidRPr="006F3B00" w:rsidRDefault="00863DF5" w:rsidP="00863DF5">
      <w:pPr>
        <w:spacing w:after="120" w:line="480" w:lineRule="auto"/>
        <w:jc w:val="both"/>
        <w:rPr>
          <w:rFonts w:ascii="Times New Roman" w:hAnsi="Times New Roman" w:cs="Times New Roman"/>
          <w:sz w:val="24"/>
          <w:szCs w:val="24"/>
        </w:rPr>
      </w:pPr>
      <w:r w:rsidRPr="006F3B00">
        <w:rPr>
          <w:rFonts w:ascii="Times New Roman" w:hAnsi="Times New Roman" w:cs="Times New Roman"/>
          <w:sz w:val="24"/>
          <w:szCs w:val="24"/>
        </w:rPr>
        <w:t>Data was inputted into an Excel</w:t>
      </w:r>
      <w:r w:rsidRPr="006F3B00">
        <w:rPr>
          <w:rFonts w:ascii="Times New Roman" w:hAnsi="Times New Roman" w:cs="Times New Roman"/>
          <w:sz w:val="24"/>
          <w:szCs w:val="24"/>
          <w:vertAlign w:val="superscript"/>
        </w:rPr>
        <w:t>™</w:t>
      </w:r>
      <w:r w:rsidRPr="006F3B00">
        <w:rPr>
          <w:rFonts w:ascii="Times New Roman" w:hAnsi="Times New Roman" w:cs="Times New Roman"/>
          <w:sz w:val="24"/>
          <w:szCs w:val="24"/>
        </w:rPr>
        <w:t xml:space="preserve"> spreadsheet. Data governance and ethical protocols were adhered to as per the University of Sheffield Ethics Committee (ref. 008042). This ensured both probity of the research and protection of the participants. Basic descriptive statistics (mean, median, SD</w:t>
      </w:r>
      <w:r w:rsidR="0096505D">
        <w:rPr>
          <w:rFonts w:ascii="Times New Roman" w:hAnsi="Times New Roman" w:cs="Times New Roman"/>
          <w:sz w:val="24"/>
          <w:szCs w:val="24"/>
        </w:rPr>
        <w:t>,</w:t>
      </w:r>
      <w:r w:rsidRPr="006F3B00">
        <w:rPr>
          <w:rFonts w:ascii="Times New Roman" w:hAnsi="Times New Roman" w:cs="Times New Roman"/>
          <w:sz w:val="24"/>
          <w:szCs w:val="24"/>
        </w:rPr>
        <w:t xml:space="preserve"> range, IQR,) and inferential statistics (Wilcoxon matched pairs signed </w:t>
      </w:r>
      <w:r w:rsidRPr="006F3B00">
        <w:rPr>
          <w:rFonts w:ascii="Times New Roman" w:hAnsi="Times New Roman" w:cs="Times New Roman"/>
          <w:sz w:val="24"/>
          <w:szCs w:val="24"/>
        </w:rPr>
        <w:lastRenderedPageBreak/>
        <w:t xml:space="preserve">rank test) were calculated, the latter using </w:t>
      </w:r>
      <w:r w:rsidRPr="006F3B00">
        <w:rPr>
          <w:rStyle w:val="fmainbody"/>
          <w:rFonts w:ascii="Times New Roman" w:hAnsi="Times New Roman" w:cs="Times New Roman"/>
          <w:sz w:val="24"/>
          <w:szCs w:val="24"/>
        </w:rPr>
        <w:t xml:space="preserve">GraphPad Prism version 7.00 for Windows, GraphPad Software, La Jolla California USA, </w:t>
      </w:r>
      <w:hyperlink r:id="rId41" w:history="1">
        <w:r w:rsidRPr="006F3B00">
          <w:rPr>
            <w:rStyle w:val="Hyperlink"/>
            <w:rFonts w:ascii="Times New Roman" w:hAnsi="Times New Roman" w:cs="Times New Roman"/>
            <w:color w:val="auto"/>
            <w:sz w:val="24"/>
            <w:szCs w:val="24"/>
          </w:rPr>
          <w:t>www.graphpad.com</w:t>
        </w:r>
      </w:hyperlink>
      <w:r w:rsidRPr="006F3B00">
        <w:rPr>
          <w:rStyle w:val="fmainbody"/>
          <w:rFonts w:ascii="Times New Roman" w:hAnsi="Times New Roman" w:cs="Times New Roman"/>
          <w:sz w:val="24"/>
          <w:szCs w:val="24"/>
        </w:rPr>
        <w:t>.</w:t>
      </w:r>
      <w:r w:rsidRPr="006F3B00">
        <w:rPr>
          <w:rFonts w:ascii="Times New Roman" w:hAnsi="Times New Roman" w:cs="Times New Roman"/>
          <w:sz w:val="24"/>
          <w:szCs w:val="24"/>
        </w:rPr>
        <w:t xml:space="preserve"> Free text comments were analysed thematically</w:t>
      </w:r>
      <w:r w:rsidR="0091329D">
        <w:rPr>
          <w:rFonts w:ascii="Times New Roman" w:hAnsi="Times New Roman" w:cs="Times New Roman"/>
          <w:sz w:val="24"/>
          <w:szCs w:val="24"/>
        </w:rPr>
        <w:t xml:space="preserve">. </w:t>
      </w:r>
    </w:p>
    <w:p w14:paraId="7ACDB46C" w14:textId="42A1D11C"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Whilst it is acknowledged that Likert data is ordinal in nature and therefore, median and IQR are most appropriate, the mean and SD were also utili</w:t>
      </w:r>
      <w:r w:rsidR="00AD2984">
        <w:rPr>
          <w:rFonts w:ascii="Times New Roman" w:hAnsi="Times New Roman" w:cs="Times New Roman"/>
          <w:sz w:val="24"/>
          <w:szCs w:val="24"/>
        </w:rPr>
        <w:t>z</w:t>
      </w:r>
      <w:r w:rsidRPr="006F3B00">
        <w:rPr>
          <w:rFonts w:ascii="Times New Roman" w:hAnsi="Times New Roman" w:cs="Times New Roman"/>
          <w:sz w:val="24"/>
          <w:szCs w:val="24"/>
        </w:rPr>
        <w:t>ed in this study as they offer more insight into the degree of consensus between rounds. For instance, the mean and SD, when combined with the range/IQR and medians, can be used to show whether convergence has occurred, by a movement towards central tendency. The amount of convergence and therefore the strength of agreement is indicated by a comparison of SD (strength of aggregate judgement) while the range tells the researcher if outliers exist. This would not be possible using mean scores alone. This is in agreement with the findings of Greatorex and Dexter</w:t>
      </w:r>
      <w:r w:rsidR="003A3ACC">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{"citationItems":[{"id":"ITEM-1","itemData":{"DOI":"10.1046/j.1365-2648.2000.t01-1-01569.x","ISBN":"1365-2648","ISSN":"03092402","PMID":"11095243","abstract":"The Delphi method is used to investigate consensus amongst a panel of experts using repeated rounds of a questionnaire, often in healthcare settings. However, many Delphi studies do not report any investigation into what happens to the stability of consensus or the convergence of agreement between the rounds in the study, which may be of importance. In this paper an accessible analytical approach is outlined using graphical presentations of means and standard deviations to identify what happens between rounds. For Delphi studies where the scale upon which experts are expressing their opinions can be considered to be interval, the mean will represent the group opinion whilst the standard deviation will represent the level of agreement. An example Delphi study from a healthcare setting is used to illustrate the methodology.","author":[{"dropping-particle":"","family":"Greatorex","given":"Jackie","non-dropping-particle":"","parse-names":false,"suffix":""},{"dropping-particle":"","family":"Dexter","given":"Trevor","non-dropping-particle":"","parse-names":false,"suffix":""}],"container-title":"Journal of Advanced Nursing","id":"ITEM-1","issue":"4","issued":{"date-parts":[["2000"]]},"page":"1016-1024","title":"An accessible analytical approach for investigating what happens between the rounds of a Delphi study","type":"article-journal","volume":"32"},"uris":["http://www.mendeley.com/documents/?uuid=9b2b2f0b-a483-4760-ba55-539093215451"]}],"mendeley":{"formattedCitation":"(Greatorex and Dexter, 2000)","plainTextFormattedCitation":"(Greatorex and Dexter, 2000)","previouslyFormattedCitation":"(Greatorex and Dexter 2000)"},"properties":{"noteIndex":0},"schema":"https://github.com/citation-style-language/schema/raw/master/csl-citation.json"}</w:instrText>
      </w:r>
      <w:r w:rsidRPr="006F3B00">
        <w:rPr>
          <w:rFonts w:ascii="Times New Roman" w:hAnsi="Times New Roman" w:cs="Times New Roman"/>
          <w:sz w:val="24"/>
          <w:szCs w:val="24"/>
        </w:rPr>
        <w:fldChar w:fldCharType="separate"/>
      </w:r>
      <w:r w:rsidR="005F6190">
        <w:rPr>
          <w:rFonts w:ascii="Times New Roman" w:hAnsi="Times New Roman" w:cs="Times New Roman"/>
          <w:noProof/>
          <w:sz w:val="24"/>
          <w:szCs w:val="24"/>
        </w:rPr>
        <w:t>(</w:t>
      </w:r>
      <w:r w:rsidR="00BE3B6C" w:rsidRPr="00BE3B6C">
        <w:rPr>
          <w:rFonts w:ascii="Times New Roman" w:hAnsi="Times New Roman" w:cs="Times New Roman"/>
          <w:noProof/>
          <w:sz w:val="24"/>
          <w:szCs w:val="24"/>
        </w:rPr>
        <w:t>2000)</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 For example, they have previously recommended using a range of measures to help interpret the data, as this can offer more insight. When this information is used alongside free text comments, a more complete picture </w:t>
      </w:r>
      <w:r w:rsidR="00E40D33">
        <w:rPr>
          <w:rFonts w:ascii="Times New Roman" w:hAnsi="Times New Roman" w:cs="Times New Roman"/>
          <w:sz w:val="24"/>
          <w:szCs w:val="24"/>
        </w:rPr>
        <w:t xml:space="preserve">is built </w:t>
      </w:r>
      <w:r w:rsidRPr="006F3B00">
        <w:rPr>
          <w:rFonts w:ascii="Times New Roman" w:hAnsi="Times New Roman" w:cs="Times New Roman"/>
          <w:sz w:val="24"/>
          <w:szCs w:val="24"/>
        </w:rPr>
        <w:t xml:space="preserve">about what the Delphi panel think </w:t>
      </w:r>
      <w:r w:rsidR="00E40D33">
        <w:rPr>
          <w:rFonts w:ascii="Times New Roman" w:hAnsi="Times New Roman" w:cs="Times New Roman"/>
          <w:sz w:val="24"/>
          <w:szCs w:val="24"/>
        </w:rPr>
        <w:t>of</w:t>
      </w:r>
      <w:r w:rsidRPr="006F3B00">
        <w:rPr>
          <w:rFonts w:ascii="Times New Roman" w:hAnsi="Times New Roman" w:cs="Times New Roman"/>
          <w:sz w:val="24"/>
          <w:szCs w:val="24"/>
        </w:rPr>
        <w:t xml:space="preserve"> the different items presented to them.</w:t>
      </w:r>
    </w:p>
    <w:p w14:paraId="408F887F" w14:textId="5DDD1CBD" w:rsidR="00863DF5" w:rsidRPr="006F3B00" w:rsidRDefault="007A712D" w:rsidP="00597DF6">
      <w:pPr>
        <w:pStyle w:val="Heading2"/>
        <w:rPr>
          <w:rFonts w:ascii="Times New Roman" w:hAnsi="Times New Roman" w:cs="Times New Roman"/>
          <w:color w:val="auto"/>
          <w:sz w:val="24"/>
          <w:szCs w:val="24"/>
        </w:rPr>
      </w:pPr>
      <w:bookmarkStart w:id="107" w:name="_Toc23243836"/>
      <w:r>
        <w:rPr>
          <w:rFonts w:ascii="Times New Roman" w:hAnsi="Times New Roman" w:cs="Times New Roman"/>
          <w:color w:val="auto"/>
          <w:sz w:val="24"/>
          <w:szCs w:val="24"/>
        </w:rPr>
        <w:t>5.4</w:t>
      </w:r>
      <w:r w:rsidR="00597DF6"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Results</w:t>
      </w:r>
      <w:bookmarkEnd w:id="107"/>
    </w:p>
    <w:p w14:paraId="5D745450" w14:textId="77777777" w:rsidR="00597DF6" w:rsidRPr="006F3B00" w:rsidRDefault="00597DF6" w:rsidP="00597DF6">
      <w:pPr>
        <w:rPr>
          <w:rFonts w:ascii="Times New Roman" w:hAnsi="Times New Roman" w:cs="Times New Roman"/>
          <w:sz w:val="24"/>
          <w:szCs w:val="24"/>
          <w:lang w:val="en-GB"/>
        </w:rPr>
      </w:pPr>
    </w:p>
    <w:p w14:paraId="52D37BA5" w14:textId="21FB21E6" w:rsidR="00863DF5" w:rsidRPr="006F3B00" w:rsidRDefault="007A712D" w:rsidP="0087352C">
      <w:pPr>
        <w:pStyle w:val="Heading3"/>
        <w:rPr>
          <w:rFonts w:ascii="Times New Roman" w:hAnsi="Times New Roman" w:cs="Times New Roman"/>
          <w:color w:val="auto"/>
          <w:sz w:val="24"/>
          <w:szCs w:val="24"/>
        </w:rPr>
      </w:pPr>
      <w:bookmarkStart w:id="108" w:name="_Toc23243837"/>
      <w:r>
        <w:rPr>
          <w:rFonts w:ascii="Times New Roman" w:hAnsi="Times New Roman" w:cs="Times New Roman"/>
          <w:color w:val="auto"/>
          <w:sz w:val="24"/>
          <w:szCs w:val="24"/>
        </w:rPr>
        <w:t>5.4</w:t>
      </w:r>
      <w:r w:rsidR="0087352C" w:rsidRPr="006F3B00">
        <w:rPr>
          <w:rFonts w:ascii="Times New Roman" w:hAnsi="Times New Roman" w:cs="Times New Roman"/>
          <w:color w:val="auto"/>
          <w:sz w:val="24"/>
          <w:szCs w:val="24"/>
        </w:rPr>
        <w:t xml:space="preserve">.1 </w:t>
      </w:r>
      <w:r w:rsidR="00863DF5" w:rsidRPr="006F3B00">
        <w:rPr>
          <w:rFonts w:ascii="Times New Roman" w:hAnsi="Times New Roman" w:cs="Times New Roman"/>
          <w:color w:val="auto"/>
          <w:sz w:val="24"/>
          <w:szCs w:val="24"/>
        </w:rPr>
        <w:t>Round 1 rating of items</w:t>
      </w:r>
      <w:bookmarkEnd w:id="108"/>
    </w:p>
    <w:p w14:paraId="163B4914" w14:textId="77777777" w:rsidR="0087352C" w:rsidRPr="006F3B00" w:rsidRDefault="0087352C" w:rsidP="0087352C">
      <w:pPr>
        <w:rPr>
          <w:rFonts w:ascii="Times New Roman" w:hAnsi="Times New Roman" w:cs="Times New Roman"/>
          <w:sz w:val="24"/>
          <w:szCs w:val="24"/>
          <w:lang w:val="en-GB"/>
        </w:rPr>
      </w:pPr>
    </w:p>
    <w:p w14:paraId="1EA9C587" w14:textId="7B81B705" w:rsidR="00BD0453"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response rate for round 1 of the Delphi was 100%. The r</w:t>
      </w:r>
      <w:r w:rsidR="00810505">
        <w:rPr>
          <w:rFonts w:ascii="Times New Roman" w:hAnsi="Times New Roman" w:cs="Times New Roman"/>
          <w:sz w:val="24"/>
          <w:szCs w:val="24"/>
        </w:rPr>
        <w:t>esults are summarised in</w:t>
      </w:r>
      <w:r w:rsidR="00416BD6">
        <w:rPr>
          <w:rFonts w:ascii="Times New Roman" w:hAnsi="Times New Roman" w:cs="Times New Roman"/>
          <w:sz w:val="24"/>
          <w:szCs w:val="24"/>
        </w:rPr>
        <w:t xml:space="preserve"> T</w:t>
      </w:r>
      <w:r w:rsidR="00810505">
        <w:rPr>
          <w:rFonts w:ascii="Times New Roman" w:hAnsi="Times New Roman" w:cs="Times New Roman"/>
          <w:sz w:val="24"/>
          <w:szCs w:val="24"/>
        </w:rPr>
        <w:t>able</w:t>
      </w:r>
      <w:r w:rsidR="0091329D">
        <w:rPr>
          <w:rFonts w:ascii="Times New Roman" w:hAnsi="Times New Roman" w:cs="Times New Roman"/>
          <w:sz w:val="24"/>
          <w:szCs w:val="24"/>
        </w:rPr>
        <w:t xml:space="preserve"> 5.</w:t>
      </w:r>
      <w:r w:rsidR="00810505">
        <w:rPr>
          <w:rFonts w:ascii="Times New Roman" w:hAnsi="Times New Roman" w:cs="Times New Roman"/>
          <w:sz w:val="24"/>
          <w:szCs w:val="24"/>
        </w:rPr>
        <w:t>3</w:t>
      </w:r>
      <w:r w:rsidR="00BD0453">
        <w:rPr>
          <w:rFonts w:ascii="Times New Roman" w:hAnsi="Times New Roman" w:cs="Times New Roman"/>
          <w:sz w:val="24"/>
          <w:szCs w:val="24"/>
        </w:rPr>
        <w:t>.</w:t>
      </w:r>
    </w:p>
    <w:p w14:paraId="64441C75" w14:textId="2A356E10" w:rsidR="00BD0453" w:rsidRDefault="004F3F6F"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A total of 17 out of the 27 items reached “consensus in” after round 1. </w:t>
      </w:r>
      <w:r>
        <w:rPr>
          <w:rFonts w:ascii="Times New Roman" w:hAnsi="Times New Roman" w:cs="Times New Roman"/>
          <w:sz w:val="24"/>
          <w:szCs w:val="24"/>
        </w:rPr>
        <w:t>Ten items reached “no consensus”. No</w:t>
      </w:r>
      <w:r w:rsidRPr="006F3B00">
        <w:rPr>
          <w:rFonts w:ascii="Times New Roman" w:hAnsi="Times New Roman" w:cs="Times New Roman"/>
          <w:sz w:val="24"/>
          <w:szCs w:val="24"/>
        </w:rPr>
        <w:t xml:space="preserve"> items reached “consensus out”</w:t>
      </w:r>
      <w:r>
        <w:rPr>
          <w:rFonts w:ascii="Times New Roman" w:hAnsi="Times New Roman" w:cs="Times New Roman"/>
          <w:sz w:val="24"/>
          <w:szCs w:val="24"/>
        </w:rPr>
        <w:t>. These items are summarised in Table 5.4.</w:t>
      </w:r>
    </w:p>
    <w:p w14:paraId="53D278EE" w14:textId="35A7106B" w:rsidR="00E1668B" w:rsidRDefault="00E67F78" w:rsidP="004F3F6F">
      <w:pPr>
        <w:spacing w:line="240" w:lineRule="auto"/>
        <w:rPr>
          <w:rFonts w:ascii="Times New Roman" w:hAnsi="Times New Roman" w:cs="Times New Roman"/>
          <w:sz w:val="24"/>
          <w:szCs w:val="24"/>
        </w:rPr>
      </w:pPr>
      <w:r w:rsidRPr="00E67F78">
        <w:rPr>
          <w:noProof/>
        </w:rPr>
        <w:lastRenderedPageBreak/>
        <w:drawing>
          <wp:inline distT="0" distB="0" distL="0" distR="0" wp14:anchorId="6A26C52A" wp14:editId="23D6883B">
            <wp:extent cx="5486400" cy="6838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6838950"/>
                    </a:xfrm>
                    <a:prstGeom prst="rect">
                      <a:avLst/>
                    </a:prstGeom>
                    <a:noFill/>
                    <a:ln>
                      <a:noFill/>
                    </a:ln>
                  </pic:spPr>
                </pic:pic>
              </a:graphicData>
            </a:graphic>
          </wp:inline>
        </w:drawing>
      </w:r>
      <w:r w:rsidR="00E1668B">
        <w:rPr>
          <w:rFonts w:ascii="Times New Roman" w:hAnsi="Times New Roman" w:cs="Times New Roman"/>
          <w:b/>
          <w:sz w:val="24"/>
          <w:szCs w:val="24"/>
        </w:rPr>
        <w:t>Table 5.3</w:t>
      </w:r>
      <w:r w:rsidR="00E1668B" w:rsidRPr="006F3B00">
        <w:rPr>
          <w:rFonts w:ascii="Times New Roman" w:hAnsi="Times New Roman" w:cs="Times New Roman"/>
          <w:b/>
          <w:sz w:val="24"/>
          <w:szCs w:val="24"/>
        </w:rPr>
        <w:t xml:space="preserve">. Summary of results from round 1 of Delphi. </w:t>
      </w:r>
      <w:r w:rsidR="00E1668B">
        <w:rPr>
          <w:rFonts w:ascii="Times New Roman" w:hAnsi="Times New Roman" w:cs="Times New Roman"/>
          <w:sz w:val="24"/>
          <w:szCs w:val="24"/>
        </w:rPr>
        <w:t>Scores rounded to one decimal place</w:t>
      </w:r>
      <w:r w:rsidR="00E1668B" w:rsidRPr="00564573">
        <w:rPr>
          <w:rFonts w:ascii="Times New Roman" w:hAnsi="Times New Roman" w:cs="Times New Roman"/>
          <w:sz w:val="24"/>
          <w:szCs w:val="24"/>
        </w:rPr>
        <w:t xml:space="preserve">. Under consensus column, green indicates “consensus in” and red “no consensus”. Consensus in this study was defined as “consensus in” when &gt;70% of participants scored the item as 8-10 (definitely important) and &lt;15% have scored it 1-3 (definitely not important). “Consensus out” was when &gt;70% of participants scored an item 1-3 and &lt;15% participants scored it 8-10. All other combinations were considered to be ‘no </w:t>
      </w:r>
      <w:proofErr w:type="gramStart"/>
      <w:r w:rsidR="00E1668B" w:rsidRPr="00564573">
        <w:rPr>
          <w:rFonts w:ascii="Times New Roman" w:hAnsi="Times New Roman" w:cs="Times New Roman"/>
          <w:sz w:val="24"/>
          <w:szCs w:val="24"/>
        </w:rPr>
        <w:t>consensus</w:t>
      </w:r>
      <w:r w:rsidR="00E1668B">
        <w:rPr>
          <w:rFonts w:ascii="Times New Roman" w:hAnsi="Times New Roman" w:cs="Times New Roman"/>
          <w:sz w:val="24"/>
          <w:szCs w:val="24"/>
        </w:rPr>
        <w:t>’</w:t>
      </w:r>
      <w:proofErr w:type="gramEnd"/>
      <w:r w:rsidR="00E1668B">
        <w:rPr>
          <w:rFonts w:ascii="Times New Roman" w:hAnsi="Times New Roman" w:cs="Times New Roman"/>
          <w:sz w:val="24"/>
          <w:szCs w:val="24"/>
        </w:rPr>
        <w:t xml:space="preserve">. In addition, </w:t>
      </w:r>
      <w:r w:rsidR="00E1668B" w:rsidRPr="00CE02A1">
        <w:rPr>
          <w:rFonts w:ascii="Times New Roman" w:hAnsi="Times New Roman" w:cs="Times New Roman"/>
          <w:sz w:val="24"/>
          <w:szCs w:val="24"/>
        </w:rPr>
        <w:t>interquartile</w:t>
      </w:r>
      <w:r w:rsidR="00E1668B">
        <w:rPr>
          <w:rFonts w:ascii="Times New Roman" w:hAnsi="Times New Roman" w:cs="Times New Roman"/>
          <w:sz w:val="24"/>
          <w:szCs w:val="24"/>
        </w:rPr>
        <w:t xml:space="preserve"> range (IQR) had to</w:t>
      </w:r>
      <w:r w:rsidR="00E1668B" w:rsidRPr="00CE02A1">
        <w:rPr>
          <w:rFonts w:ascii="Times New Roman" w:hAnsi="Times New Roman" w:cs="Times New Roman"/>
          <w:sz w:val="24"/>
          <w:szCs w:val="24"/>
        </w:rPr>
        <w:t xml:space="preserve"> be 2 or less to achieve consensus </w:t>
      </w:r>
      <w:r w:rsidR="00E1668B">
        <w:rPr>
          <w:rFonts w:ascii="Times New Roman" w:hAnsi="Times New Roman" w:cs="Times New Roman"/>
          <w:sz w:val="24"/>
          <w:szCs w:val="24"/>
        </w:rPr>
        <w:t>‘</w:t>
      </w:r>
      <w:r w:rsidR="00E1668B" w:rsidRPr="00CE02A1">
        <w:rPr>
          <w:rFonts w:ascii="Times New Roman" w:hAnsi="Times New Roman" w:cs="Times New Roman"/>
          <w:sz w:val="24"/>
          <w:szCs w:val="24"/>
        </w:rPr>
        <w:t>in</w:t>
      </w:r>
      <w:r w:rsidR="00E1668B">
        <w:rPr>
          <w:rFonts w:ascii="Times New Roman" w:hAnsi="Times New Roman" w:cs="Times New Roman"/>
          <w:sz w:val="24"/>
          <w:szCs w:val="24"/>
        </w:rPr>
        <w:t>’</w:t>
      </w:r>
      <w:r w:rsidR="00E1668B" w:rsidRPr="00CE02A1">
        <w:rPr>
          <w:rFonts w:ascii="Times New Roman" w:hAnsi="Times New Roman" w:cs="Times New Roman"/>
          <w:sz w:val="24"/>
          <w:szCs w:val="24"/>
        </w:rPr>
        <w:t xml:space="preserve"> or </w:t>
      </w:r>
      <w:r w:rsidR="00E1668B">
        <w:rPr>
          <w:rFonts w:ascii="Times New Roman" w:hAnsi="Times New Roman" w:cs="Times New Roman"/>
          <w:sz w:val="24"/>
          <w:szCs w:val="24"/>
        </w:rPr>
        <w:t>‘</w:t>
      </w:r>
      <w:r w:rsidR="00E1668B" w:rsidRPr="00CE02A1">
        <w:rPr>
          <w:rFonts w:ascii="Times New Roman" w:hAnsi="Times New Roman" w:cs="Times New Roman"/>
          <w:sz w:val="24"/>
          <w:szCs w:val="24"/>
        </w:rPr>
        <w:t>out</w:t>
      </w:r>
      <w:r w:rsidR="00E1668B">
        <w:rPr>
          <w:rFonts w:ascii="Times New Roman" w:hAnsi="Times New Roman" w:cs="Times New Roman"/>
          <w:sz w:val="24"/>
          <w:szCs w:val="24"/>
        </w:rPr>
        <w:t>’. Range= difference between highest and lowest score given to that item. Items ranked from 1-27 according to mean score. (1=highest rank, 27 = lowest rank).</w:t>
      </w:r>
    </w:p>
    <w:tbl>
      <w:tblPr>
        <w:tblStyle w:val="TableGrid"/>
        <w:tblpPr w:leftFromText="180" w:rightFromText="180" w:vertAnchor="text" w:horzAnchor="margin" w:tblpY="181"/>
        <w:tblW w:w="8640" w:type="dxa"/>
        <w:tblLook w:val="04A0" w:firstRow="1" w:lastRow="0" w:firstColumn="1" w:lastColumn="0" w:noHBand="0" w:noVBand="1"/>
      </w:tblPr>
      <w:tblGrid>
        <w:gridCol w:w="8640"/>
      </w:tblGrid>
      <w:tr w:rsidR="004F3F6F" w14:paraId="34D18DEB" w14:textId="77777777" w:rsidTr="004F3F6F">
        <w:trPr>
          <w:trHeight w:val="286"/>
        </w:trPr>
        <w:tc>
          <w:tcPr>
            <w:tcW w:w="8640" w:type="dxa"/>
            <w:shd w:val="clear" w:color="auto" w:fill="D9D9D9" w:themeFill="background1" w:themeFillShade="D9"/>
          </w:tcPr>
          <w:p w14:paraId="6E2C4EA2" w14:textId="77777777" w:rsidR="004F3F6F" w:rsidRPr="00416BD6" w:rsidRDefault="004F3F6F" w:rsidP="004F3F6F">
            <w:pPr>
              <w:rPr>
                <w:rFonts w:ascii="Times New Roman" w:hAnsi="Times New Roman" w:cs="Times New Roman"/>
                <w:b/>
                <w:sz w:val="24"/>
                <w:szCs w:val="24"/>
              </w:rPr>
            </w:pPr>
            <w:r>
              <w:rPr>
                <w:rFonts w:ascii="Times New Roman" w:hAnsi="Times New Roman" w:cs="Times New Roman"/>
                <w:b/>
                <w:sz w:val="24"/>
                <w:szCs w:val="24"/>
              </w:rPr>
              <w:lastRenderedPageBreak/>
              <w:t>Stage of training</w:t>
            </w:r>
          </w:p>
        </w:tc>
      </w:tr>
      <w:tr w:rsidR="004F3F6F" w14:paraId="7F4184D2" w14:textId="77777777" w:rsidTr="004F3F6F">
        <w:trPr>
          <w:trHeight w:val="271"/>
        </w:trPr>
        <w:tc>
          <w:tcPr>
            <w:tcW w:w="8640" w:type="dxa"/>
            <w:shd w:val="clear" w:color="auto" w:fill="FF7C80"/>
          </w:tcPr>
          <w:p w14:paraId="663E4DF4" w14:textId="77777777" w:rsidR="004F3F6F" w:rsidRPr="0001645A" w:rsidRDefault="004F3F6F" w:rsidP="004F3F6F">
            <w:pPr>
              <w:rPr>
                <w:rFonts w:ascii="Times New Roman" w:hAnsi="Times New Roman" w:cs="Times New Roman"/>
              </w:rPr>
            </w:pPr>
            <w:r w:rsidRPr="0001645A">
              <w:rPr>
                <w:rFonts w:ascii="Times New Roman" w:hAnsi="Times New Roman" w:cs="Times New Roman"/>
                <w:sz w:val="24"/>
                <w:szCs w:val="24"/>
              </w:rPr>
              <w:t xml:space="preserve">1. </w:t>
            </w:r>
            <w:r w:rsidRPr="0001645A">
              <w:rPr>
                <w:rFonts w:ascii="Times New Roman" w:hAnsi="Times New Roman" w:cs="Times New Roman"/>
              </w:rPr>
              <w:t>The Stage of training e</w:t>
            </w:r>
            <w:r>
              <w:rPr>
                <w:rFonts w:ascii="Times New Roman" w:hAnsi="Times New Roman" w:cs="Times New Roman"/>
              </w:rPr>
              <w:t>.</w:t>
            </w:r>
            <w:r w:rsidRPr="0001645A">
              <w:rPr>
                <w:rFonts w:ascii="Times New Roman" w:hAnsi="Times New Roman" w:cs="Times New Roman"/>
              </w:rPr>
              <w:t>g</w:t>
            </w:r>
            <w:r>
              <w:rPr>
                <w:rFonts w:ascii="Times New Roman" w:hAnsi="Times New Roman" w:cs="Times New Roman"/>
              </w:rPr>
              <w:t>.</w:t>
            </w:r>
            <w:r w:rsidRPr="0001645A">
              <w:rPr>
                <w:rFonts w:ascii="Times New Roman" w:hAnsi="Times New Roman" w:cs="Times New Roman"/>
              </w:rPr>
              <w:t xml:space="preserve"> ST1 versus ST2</w:t>
            </w:r>
          </w:p>
        </w:tc>
      </w:tr>
      <w:tr w:rsidR="004F3F6F" w14:paraId="56C888DE" w14:textId="77777777" w:rsidTr="004F3F6F">
        <w:trPr>
          <w:trHeight w:val="271"/>
        </w:trPr>
        <w:tc>
          <w:tcPr>
            <w:tcW w:w="8640" w:type="dxa"/>
            <w:shd w:val="clear" w:color="auto" w:fill="FF7C80"/>
          </w:tcPr>
          <w:p w14:paraId="0F915DCF" w14:textId="77777777" w:rsidR="004F3F6F" w:rsidRPr="0001645A"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2. RCPath curricula and training guidelines</w:t>
            </w:r>
          </w:p>
        </w:tc>
      </w:tr>
      <w:tr w:rsidR="004F3F6F" w14:paraId="7C79CC35" w14:textId="77777777" w:rsidTr="004F3F6F">
        <w:trPr>
          <w:trHeight w:val="271"/>
        </w:trPr>
        <w:tc>
          <w:tcPr>
            <w:tcW w:w="8640" w:type="dxa"/>
            <w:shd w:val="clear" w:color="auto" w:fill="D9D9D9" w:themeFill="background1" w:themeFillShade="D9"/>
          </w:tcPr>
          <w:p w14:paraId="66378F1A" w14:textId="77777777" w:rsidR="004F3F6F" w:rsidRPr="0001645A" w:rsidRDefault="004F3F6F" w:rsidP="004F3F6F">
            <w:pPr>
              <w:rPr>
                <w:rFonts w:ascii="Times New Roman" w:hAnsi="Times New Roman" w:cs="Times New Roman"/>
                <w:b/>
                <w:sz w:val="24"/>
                <w:szCs w:val="24"/>
              </w:rPr>
            </w:pPr>
            <w:r w:rsidRPr="0001645A">
              <w:rPr>
                <w:rFonts w:ascii="Times New Roman" w:hAnsi="Times New Roman" w:cs="Times New Roman"/>
                <w:b/>
                <w:sz w:val="24"/>
                <w:szCs w:val="24"/>
              </w:rPr>
              <w:t>Timing</w:t>
            </w:r>
          </w:p>
        </w:tc>
      </w:tr>
      <w:tr w:rsidR="004F3F6F" w14:paraId="66A38B5C" w14:textId="77777777" w:rsidTr="004F3F6F">
        <w:trPr>
          <w:trHeight w:val="271"/>
        </w:trPr>
        <w:tc>
          <w:tcPr>
            <w:tcW w:w="8640" w:type="dxa"/>
            <w:shd w:val="clear" w:color="auto" w:fill="A8D08D" w:themeFill="accent6" w:themeFillTint="99"/>
          </w:tcPr>
          <w:p w14:paraId="679BFF71"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 xml:space="preserve">3. Placements/cases assessed longitudinally over a period of time. </w:t>
            </w:r>
          </w:p>
        </w:tc>
      </w:tr>
      <w:tr w:rsidR="004F3F6F" w14:paraId="716D50F7" w14:textId="77777777" w:rsidTr="004F3F6F">
        <w:trPr>
          <w:trHeight w:val="271"/>
        </w:trPr>
        <w:tc>
          <w:tcPr>
            <w:tcW w:w="8640" w:type="dxa"/>
            <w:shd w:val="clear" w:color="auto" w:fill="FF7C80"/>
          </w:tcPr>
          <w:p w14:paraId="2B26252F" w14:textId="77777777" w:rsidR="004F3F6F" w:rsidRPr="00416BD6"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4.  Individual cases in an examination setting</w:t>
            </w:r>
          </w:p>
        </w:tc>
      </w:tr>
      <w:tr w:rsidR="004F3F6F" w14:paraId="5A8976D1" w14:textId="77777777" w:rsidTr="004F3F6F">
        <w:trPr>
          <w:trHeight w:val="271"/>
        </w:trPr>
        <w:tc>
          <w:tcPr>
            <w:tcW w:w="8640" w:type="dxa"/>
            <w:shd w:val="clear" w:color="auto" w:fill="D9D9D9" w:themeFill="background1" w:themeFillShade="D9"/>
          </w:tcPr>
          <w:p w14:paraId="09C80C38" w14:textId="77777777" w:rsidR="004F3F6F" w:rsidRPr="0001645A" w:rsidRDefault="004F3F6F" w:rsidP="004F3F6F">
            <w:pPr>
              <w:rPr>
                <w:rFonts w:ascii="Times New Roman" w:hAnsi="Times New Roman" w:cs="Times New Roman"/>
                <w:b/>
                <w:sz w:val="24"/>
                <w:szCs w:val="24"/>
              </w:rPr>
            </w:pPr>
            <w:r w:rsidRPr="0001645A">
              <w:rPr>
                <w:rFonts w:ascii="Times New Roman" w:hAnsi="Times New Roman" w:cs="Times New Roman"/>
                <w:b/>
                <w:sz w:val="24"/>
                <w:szCs w:val="24"/>
              </w:rPr>
              <w:t xml:space="preserve">Professionalism </w:t>
            </w:r>
          </w:p>
        </w:tc>
      </w:tr>
      <w:tr w:rsidR="004F3F6F" w14:paraId="24F11263" w14:textId="77777777" w:rsidTr="004F3F6F">
        <w:trPr>
          <w:trHeight w:val="543"/>
        </w:trPr>
        <w:tc>
          <w:tcPr>
            <w:tcW w:w="8640" w:type="dxa"/>
            <w:shd w:val="clear" w:color="auto" w:fill="FF7C80"/>
          </w:tcPr>
          <w:p w14:paraId="66A00BC9" w14:textId="77777777" w:rsidR="004F3F6F" w:rsidRPr="00416BD6"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5. Trainee is organised and timely when conducting themselves in the department e.g. does not lose cases, is aware of turnaround times, triages urgent cases</w:t>
            </w:r>
          </w:p>
        </w:tc>
      </w:tr>
      <w:tr w:rsidR="004F3F6F" w14:paraId="748701E6" w14:textId="77777777" w:rsidTr="004F3F6F">
        <w:trPr>
          <w:trHeight w:val="271"/>
        </w:trPr>
        <w:tc>
          <w:tcPr>
            <w:tcW w:w="8640" w:type="dxa"/>
            <w:shd w:val="clear" w:color="auto" w:fill="A8D08D" w:themeFill="accent6" w:themeFillTint="99"/>
          </w:tcPr>
          <w:p w14:paraId="4F5B16D0"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 xml:space="preserve">6. Trainee communicates with all staff appropriately e.g. effectively, timely, politely </w:t>
            </w:r>
          </w:p>
        </w:tc>
      </w:tr>
      <w:tr w:rsidR="004F3F6F" w14:paraId="70B1FE14" w14:textId="77777777" w:rsidTr="004F3F6F">
        <w:trPr>
          <w:trHeight w:val="286"/>
        </w:trPr>
        <w:tc>
          <w:tcPr>
            <w:tcW w:w="8640" w:type="dxa"/>
            <w:shd w:val="clear" w:color="auto" w:fill="A8D08D" w:themeFill="accent6" w:themeFillTint="99"/>
          </w:tcPr>
          <w:p w14:paraId="7A60DAAC"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7. Trainee  works as part of a team e.g. works effectively with colleagues and does not create conflict</w:t>
            </w:r>
          </w:p>
        </w:tc>
      </w:tr>
      <w:tr w:rsidR="004F3F6F" w14:paraId="354B6723" w14:textId="77777777" w:rsidTr="004F3F6F">
        <w:trPr>
          <w:trHeight w:val="271"/>
        </w:trPr>
        <w:tc>
          <w:tcPr>
            <w:tcW w:w="8640" w:type="dxa"/>
            <w:shd w:val="clear" w:color="auto" w:fill="A8D08D" w:themeFill="accent6" w:themeFillTint="99"/>
          </w:tcPr>
          <w:p w14:paraId="776D405F"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8. Trainee is motivated and has a good attitude</w:t>
            </w:r>
          </w:p>
        </w:tc>
      </w:tr>
      <w:tr w:rsidR="004F3F6F" w14:paraId="798152EA" w14:textId="77777777" w:rsidTr="004F3F6F">
        <w:trPr>
          <w:trHeight w:val="271"/>
        </w:trPr>
        <w:tc>
          <w:tcPr>
            <w:tcW w:w="8640" w:type="dxa"/>
            <w:shd w:val="clear" w:color="auto" w:fill="D9D9D9" w:themeFill="background1" w:themeFillShade="D9"/>
          </w:tcPr>
          <w:p w14:paraId="28C06F7A" w14:textId="77777777" w:rsidR="004F3F6F" w:rsidRPr="0001645A" w:rsidRDefault="004F3F6F" w:rsidP="004F3F6F">
            <w:pPr>
              <w:rPr>
                <w:rFonts w:ascii="Times New Roman" w:hAnsi="Times New Roman" w:cs="Times New Roman"/>
                <w:b/>
                <w:sz w:val="24"/>
                <w:szCs w:val="24"/>
              </w:rPr>
            </w:pPr>
            <w:r w:rsidRPr="0001645A">
              <w:rPr>
                <w:rFonts w:ascii="Times New Roman" w:hAnsi="Times New Roman" w:cs="Times New Roman"/>
                <w:b/>
                <w:sz w:val="24"/>
                <w:szCs w:val="24"/>
              </w:rPr>
              <w:t>Forming a Diagnosis</w:t>
            </w:r>
          </w:p>
        </w:tc>
      </w:tr>
      <w:tr w:rsidR="004F3F6F" w14:paraId="2ADCC71C" w14:textId="77777777" w:rsidTr="004F3F6F">
        <w:trPr>
          <w:trHeight w:val="271"/>
        </w:trPr>
        <w:tc>
          <w:tcPr>
            <w:tcW w:w="8640" w:type="dxa"/>
            <w:shd w:val="clear" w:color="auto" w:fill="FF7C80"/>
          </w:tcPr>
          <w:p w14:paraId="7156D2AA" w14:textId="77777777" w:rsidR="004F3F6F" w:rsidRPr="00416BD6"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9. The diagnosis is correct</w:t>
            </w:r>
          </w:p>
        </w:tc>
      </w:tr>
      <w:tr w:rsidR="004F3F6F" w14:paraId="13F1464E" w14:textId="77777777" w:rsidTr="004F3F6F">
        <w:trPr>
          <w:trHeight w:val="271"/>
        </w:trPr>
        <w:tc>
          <w:tcPr>
            <w:tcW w:w="8640" w:type="dxa"/>
            <w:shd w:val="clear" w:color="auto" w:fill="FF7C80"/>
          </w:tcPr>
          <w:p w14:paraId="72CF40AE" w14:textId="77777777" w:rsidR="004F3F6F" w:rsidRPr="00416BD6"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10. Trainee consistently produces a correct diagnosis</w:t>
            </w:r>
          </w:p>
        </w:tc>
      </w:tr>
      <w:tr w:rsidR="004F3F6F" w14:paraId="14D7EA3D" w14:textId="77777777" w:rsidTr="004F3F6F">
        <w:trPr>
          <w:trHeight w:val="271"/>
        </w:trPr>
        <w:tc>
          <w:tcPr>
            <w:tcW w:w="8640" w:type="dxa"/>
            <w:shd w:val="clear" w:color="auto" w:fill="A8D08D" w:themeFill="accent6" w:themeFillTint="99"/>
          </w:tcPr>
          <w:p w14:paraId="2A22D1D0"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11. The histopathology report is accurate &amp; does not contain factual errors or omit important information</w:t>
            </w:r>
          </w:p>
        </w:tc>
      </w:tr>
      <w:tr w:rsidR="004F3F6F" w14:paraId="0B35D4AB" w14:textId="77777777" w:rsidTr="004F3F6F">
        <w:trPr>
          <w:trHeight w:val="271"/>
        </w:trPr>
        <w:tc>
          <w:tcPr>
            <w:tcW w:w="8640" w:type="dxa"/>
            <w:shd w:val="clear" w:color="auto" w:fill="A8D08D" w:themeFill="accent6" w:themeFillTint="99"/>
          </w:tcPr>
          <w:p w14:paraId="3A41D930"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12. Trainee shows evidence of cl</w:t>
            </w:r>
            <w:r>
              <w:rPr>
                <w:rFonts w:ascii="Times New Roman" w:hAnsi="Times New Roman" w:cs="Times New Roman"/>
                <w:sz w:val="24"/>
                <w:szCs w:val="24"/>
              </w:rPr>
              <w:t>inico-pathological correlation</w:t>
            </w:r>
          </w:p>
        </w:tc>
      </w:tr>
      <w:tr w:rsidR="004F3F6F" w14:paraId="5D0CF291" w14:textId="77777777" w:rsidTr="004F3F6F">
        <w:trPr>
          <w:trHeight w:val="271"/>
        </w:trPr>
        <w:tc>
          <w:tcPr>
            <w:tcW w:w="8640" w:type="dxa"/>
            <w:shd w:val="clear" w:color="auto" w:fill="A8D08D" w:themeFill="accent6" w:themeFillTint="99"/>
          </w:tcPr>
          <w:p w14:paraId="2B2C4983"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13. Trainee follows sound pathological p</w:t>
            </w:r>
            <w:r>
              <w:rPr>
                <w:rFonts w:ascii="Times New Roman" w:hAnsi="Times New Roman" w:cs="Times New Roman"/>
                <w:sz w:val="24"/>
                <w:szCs w:val="24"/>
              </w:rPr>
              <w:t>rinciples to reach a diagnosis</w:t>
            </w:r>
          </w:p>
        </w:tc>
      </w:tr>
      <w:tr w:rsidR="004F3F6F" w14:paraId="458A9378" w14:textId="77777777" w:rsidTr="004F3F6F">
        <w:trPr>
          <w:trHeight w:val="271"/>
        </w:trPr>
        <w:tc>
          <w:tcPr>
            <w:tcW w:w="8640" w:type="dxa"/>
            <w:shd w:val="clear" w:color="auto" w:fill="A8D08D" w:themeFill="accent6" w:themeFillTint="99"/>
          </w:tcPr>
          <w:p w14:paraId="54C2858F"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14. Trainee has appropriate</w:t>
            </w:r>
            <w:r>
              <w:rPr>
                <w:rFonts w:ascii="Times New Roman" w:hAnsi="Times New Roman" w:cs="Times New Roman"/>
                <w:sz w:val="24"/>
                <w:szCs w:val="24"/>
              </w:rPr>
              <w:t xml:space="preserve"> level of basic knowledge.</w:t>
            </w:r>
          </w:p>
        </w:tc>
      </w:tr>
      <w:tr w:rsidR="004F3F6F" w14:paraId="1DA2473E" w14:textId="77777777" w:rsidTr="004F3F6F">
        <w:trPr>
          <w:trHeight w:val="271"/>
        </w:trPr>
        <w:tc>
          <w:tcPr>
            <w:tcW w:w="8640" w:type="dxa"/>
            <w:shd w:val="clear" w:color="auto" w:fill="FF7C80"/>
          </w:tcPr>
          <w:p w14:paraId="7048383C" w14:textId="77777777" w:rsidR="004F3F6F" w:rsidRPr="00416BD6"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15. Trainee has appropriate level of up-to-date knowledge e.g. latest papers/datasets</w:t>
            </w:r>
          </w:p>
        </w:tc>
      </w:tr>
      <w:tr w:rsidR="004F3F6F" w14:paraId="419E5628" w14:textId="77777777" w:rsidTr="004F3F6F">
        <w:trPr>
          <w:trHeight w:val="271"/>
        </w:trPr>
        <w:tc>
          <w:tcPr>
            <w:tcW w:w="8640" w:type="dxa"/>
            <w:shd w:val="clear" w:color="auto" w:fill="D9D9D9" w:themeFill="background1" w:themeFillShade="D9"/>
          </w:tcPr>
          <w:p w14:paraId="7593C94C" w14:textId="77777777" w:rsidR="004F3F6F" w:rsidRPr="004B71BE" w:rsidRDefault="004F3F6F" w:rsidP="004F3F6F">
            <w:pPr>
              <w:rPr>
                <w:rFonts w:ascii="Times New Roman" w:hAnsi="Times New Roman" w:cs="Times New Roman"/>
                <w:b/>
                <w:sz w:val="24"/>
                <w:szCs w:val="24"/>
              </w:rPr>
            </w:pPr>
            <w:r w:rsidRPr="004B71BE">
              <w:rPr>
                <w:rFonts w:ascii="Times New Roman" w:hAnsi="Times New Roman" w:cs="Times New Roman"/>
                <w:b/>
                <w:sz w:val="24"/>
                <w:szCs w:val="24"/>
              </w:rPr>
              <w:t>Reflection</w:t>
            </w:r>
          </w:p>
        </w:tc>
      </w:tr>
      <w:tr w:rsidR="004F3F6F" w14:paraId="4F4F2927" w14:textId="77777777" w:rsidTr="004F3F6F">
        <w:trPr>
          <w:trHeight w:val="352"/>
        </w:trPr>
        <w:tc>
          <w:tcPr>
            <w:tcW w:w="8640" w:type="dxa"/>
            <w:shd w:val="clear" w:color="auto" w:fill="A8D08D" w:themeFill="accent6" w:themeFillTint="99"/>
          </w:tcPr>
          <w:p w14:paraId="725C0595" w14:textId="77777777" w:rsidR="004F3F6F" w:rsidRPr="00983635"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16. Trainee is aware of their own limitations</w:t>
            </w:r>
          </w:p>
        </w:tc>
      </w:tr>
      <w:tr w:rsidR="004F3F6F" w14:paraId="050075C8" w14:textId="77777777" w:rsidTr="004F3F6F">
        <w:trPr>
          <w:trHeight w:val="271"/>
        </w:trPr>
        <w:tc>
          <w:tcPr>
            <w:tcW w:w="8640" w:type="dxa"/>
            <w:shd w:val="clear" w:color="auto" w:fill="A8D08D" w:themeFill="accent6" w:themeFillTint="99"/>
          </w:tcPr>
          <w:p w14:paraId="2AEA991B"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17. Trainee reflects on their own limitations/performance</w:t>
            </w:r>
          </w:p>
        </w:tc>
      </w:tr>
      <w:tr w:rsidR="004F3F6F" w14:paraId="5DBA8451" w14:textId="77777777" w:rsidTr="004F3F6F">
        <w:trPr>
          <w:trHeight w:val="271"/>
        </w:trPr>
        <w:tc>
          <w:tcPr>
            <w:tcW w:w="8640" w:type="dxa"/>
            <w:shd w:val="clear" w:color="auto" w:fill="A8D08D" w:themeFill="accent6" w:themeFillTint="99"/>
          </w:tcPr>
          <w:p w14:paraId="7DB32C61"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18. Trainee shows evidence of improvement following reflection</w:t>
            </w:r>
          </w:p>
        </w:tc>
      </w:tr>
      <w:tr w:rsidR="004F3F6F" w14:paraId="6FFA8B3C" w14:textId="77777777" w:rsidTr="004F3F6F">
        <w:trPr>
          <w:trHeight w:val="271"/>
        </w:trPr>
        <w:tc>
          <w:tcPr>
            <w:tcW w:w="8640" w:type="dxa"/>
            <w:shd w:val="clear" w:color="auto" w:fill="D9D9D9" w:themeFill="background1" w:themeFillShade="D9"/>
          </w:tcPr>
          <w:p w14:paraId="5772F3A9" w14:textId="77777777" w:rsidR="004F3F6F" w:rsidRPr="004B71BE" w:rsidRDefault="004F3F6F" w:rsidP="004F3F6F">
            <w:pPr>
              <w:rPr>
                <w:rFonts w:ascii="Times New Roman" w:hAnsi="Times New Roman" w:cs="Times New Roman"/>
                <w:b/>
                <w:sz w:val="24"/>
                <w:szCs w:val="24"/>
              </w:rPr>
            </w:pPr>
            <w:r w:rsidRPr="004B71BE">
              <w:rPr>
                <w:rFonts w:ascii="Times New Roman" w:hAnsi="Times New Roman" w:cs="Times New Roman"/>
                <w:b/>
                <w:sz w:val="24"/>
                <w:szCs w:val="24"/>
              </w:rPr>
              <w:t>Trust</w:t>
            </w:r>
          </w:p>
        </w:tc>
      </w:tr>
      <w:tr w:rsidR="004F3F6F" w14:paraId="4C7F187E" w14:textId="77777777" w:rsidTr="004F3F6F">
        <w:trPr>
          <w:trHeight w:val="271"/>
        </w:trPr>
        <w:tc>
          <w:tcPr>
            <w:tcW w:w="8640" w:type="dxa"/>
            <w:shd w:val="clear" w:color="auto" w:fill="FF7C80"/>
          </w:tcPr>
          <w:p w14:paraId="79BC6BC3" w14:textId="77777777" w:rsidR="004F3F6F" w:rsidRPr="00416BD6"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19. Trainee can be trusted to carry out macroscopic examination and “cut-up” independently</w:t>
            </w:r>
          </w:p>
        </w:tc>
      </w:tr>
      <w:tr w:rsidR="004F3F6F" w14:paraId="773CE7B9" w14:textId="77777777" w:rsidTr="004F3F6F">
        <w:trPr>
          <w:trHeight w:val="271"/>
        </w:trPr>
        <w:tc>
          <w:tcPr>
            <w:tcW w:w="8640" w:type="dxa"/>
            <w:shd w:val="clear" w:color="auto" w:fill="A8D08D" w:themeFill="accent6" w:themeFillTint="99"/>
          </w:tcPr>
          <w:p w14:paraId="42DB6EF8"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20. Trainee can be trusted to report cases (however, the consultant will check the reports and authorise them)</w:t>
            </w:r>
          </w:p>
        </w:tc>
      </w:tr>
      <w:tr w:rsidR="004F3F6F" w14:paraId="70B4B92B" w14:textId="77777777" w:rsidTr="004F3F6F">
        <w:trPr>
          <w:trHeight w:val="558"/>
        </w:trPr>
        <w:tc>
          <w:tcPr>
            <w:tcW w:w="8640" w:type="dxa"/>
            <w:shd w:val="clear" w:color="auto" w:fill="FF7C80"/>
          </w:tcPr>
          <w:p w14:paraId="769296EB" w14:textId="77777777" w:rsidR="004F3F6F" w:rsidRPr="00416BD6"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21. Trainee can be trusted to report independently (the consultant does not check the report and the trainee authorises it)</w:t>
            </w:r>
          </w:p>
        </w:tc>
      </w:tr>
      <w:tr w:rsidR="004F3F6F" w14:paraId="42A85EFD" w14:textId="77777777" w:rsidTr="004F3F6F">
        <w:trPr>
          <w:trHeight w:val="271"/>
        </w:trPr>
        <w:tc>
          <w:tcPr>
            <w:tcW w:w="8640" w:type="dxa"/>
            <w:shd w:val="clear" w:color="auto" w:fill="A8D08D" w:themeFill="accent6" w:themeFillTint="99"/>
          </w:tcPr>
          <w:p w14:paraId="603093F1"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 xml:space="preserve">22. Trainee asks for </w:t>
            </w:r>
            <w:r>
              <w:rPr>
                <w:rFonts w:ascii="Times New Roman" w:hAnsi="Times New Roman" w:cs="Times New Roman"/>
                <w:sz w:val="24"/>
                <w:szCs w:val="24"/>
              </w:rPr>
              <w:t>help/second opinion when needed</w:t>
            </w:r>
          </w:p>
        </w:tc>
      </w:tr>
      <w:tr w:rsidR="004F3F6F" w14:paraId="4C85CC84" w14:textId="77777777" w:rsidTr="004F3F6F">
        <w:trPr>
          <w:trHeight w:val="271"/>
        </w:trPr>
        <w:tc>
          <w:tcPr>
            <w:tcW w:w="8640" w:type="dxa"/>
            <w:shd w:val="clear" w:color="auto" w:fill="FF7C80"/>
          </w:tcPr>
          <w:p w14:paraId="5050F2F7" w14:textId="77777777" w:rsidR="004F3F6F" w:rsidRPr="00416BD6" w:rsidRDefault="004F3F6F" w:rsidP="004F3F6F">
            <w:pPr>
              <w:rPr>
                <w:rFonts w:ascii="Times New Roman" w:hAnsi="Times New Roman" w:cs="Times New Roman"/>
                <w:sz w:val="24"/>
                <w:szCs w:val="24"/>
              </w:rPr>
            </w:pPr>
            <w:r w:rsidRPr="006F3B00">
              <w:rPr>
                <w:rFonts w:ascii="Times New Roman" w:hAnsi="Times New Roman" w:cs="Times New Roman"/>
                <w:sz w:val="24"/>
                <w:szCs w:val="24"/>
              </w:rPr>
              <w:t>23. Your opinion of a trainee’s diagnostic competence is related to an overall impression you have of th</w:t>
            </w:r>
            <w:r>
              <w:rPr>
                <w:rFonts w:ascii="Times New Roman" w:hAnsi="Times New Roman" w:cs="Times New Roman"/>
                <w:sz w:val="24"/>
                <w:szCs w:val="24"/>
              </w:rPr>
              <w:t>em</w:t>
            </w:r>
          </w:p>
        </w:tc>
      </w:tr>
      <w:tr w:rsidR="004F3F6F" w14:paraId="5D4A554A" w14:textId="77777777" w:rsidTr="004F3F6F">
        <w:trPr>
          <w:trHeight w:val="558"/>
        </w:trPr>
        <w:tc>
          <w:tcPr>
            <w:tcW w:w="8640" w:type="dxa"/>
            <w:shd w:val="clear" w:color="auto" w:fill="A8D08D" w:themeFill="accent6" w:themeFillTint="99"/>
          </w:tcPr>
          <w:p w14:paraId="4403B52D"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24. Your opinion of a trainee’s diagnostic competence is related to bringing all the evidence</w:t>
            </w:r>
            <w:r>
              <w:rPr>
                <w:rFonts w:ascii="Times New Roman" w:hAnsi="Times New Roman" w:cs="Times New Roman"/>
                <w:sz w:val="24"/>
                <w:szCs w:val="24"/>
              </w:rPr>
              <w:t xml:space="preserve"> </w:t>
            </w:r>
            <w:r w:rsidRPr="00416BD6">
              <w:rPr>
                <w:rFonts w:ascii="Times New Roman" w:hAnsi="Times New Roman" w:cs="Times New Roman"/>
                <w:sz w:val="24"/>
                <w:szCs w:val="24"/>
              </w:rPr>
              <w:t>together and triangulating findings from exams, workplace-based assessments, day-to-day work</w:t>
            </w:r>
          </w:p>
        </w:tc>
      </w:tr>
      <w:tr w:rsidR="004F3F6F" w14:paraId="0D8F8140" w14:textId="77777777" w:rsidTr="004F3F6F">
        <w:trPr>
          <w:trHeight w:val="271"/>
        </w:trPr>
        <w:tc>
          <w:tcPr>
            <w:tcW w:w="8640" w:type="dxa"/>
            <w:shd w:val="clear" w:color="auto" w:fill="D9D9D9" w:themeFill="background1" w:themeFillShade="D9"/>
          </w:tcPr>
          <w:p w14:paraId="07B6DED7" w14:textId="77777777" w:rsidR="004F3F6F" w:rsidRPr="004B71BE" w:rsidRDefault="004F3F6F" w:rsidP="004F3F6F">
            <w:pPr>
              <w:rPr>
                <w:rFonts w:ascii="Times New Roman" w:hAnsi="Times New Roman" w:cs="Times New Roman"/>
                <w:b/>
                <w:sz w:val="24"/>
                <w:szCs w:val="24"/>
              </w:rPr>
            </w:pPr>
            <w:r w:rsidRPr="004B71BE">
              <w:rPr>
                <w:rFonts w:ascii="Times New Roman" w:hAnsi="Times New Roman" w:cs="Times New Roman"/>
                <w:b/>
                <w:sz w:val="24"/>
                <w:szCs w:val="24"/>
              </w:rPr>
              <w:t>The patient’s report</w:t>
            </w:r>
          </w:p>
        </w:tc>
      </w:tr>
      <w:tr w:rsidR="004F3F6F" w14:paraId="193DAFB3" w14:textId="77777777" w:rsidTr="004F3F6F">
        <w:trPr>
          <w:trHeight w:val="271"/>
        </w:trPr>
        <w:tc>
          <w:tcPr>
            <w:tcW w:w="8640" w:type="dxa"/>
            <w:shd w:val="clear" w:color="auto" w:fill="A8D08D" w:themeFill="accent6" w:themeFillTint="99"/>
          </w:tcPr>
          <w:p w14:paraId="555E2EFE"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25. Report is useful to the clinician/surgeon e.g. it does not contain unnecessary in</w:t>
            </w:r>
            <w:r>
              <w:rPr>
                <w:rFonts w:ascii="Times New Roman" w:hAnsi="Times New Roman" w:cs="Times New Roman"/>
                <w:sz w:val="24"/>
                <w:szCs w:val="24"/>
              </w:rPr>
              <w:t>formation or detail</w:t>
            </w:r>
          </w:p>
        </w:tc>
      </w:tr>
      <w:tr w:rsidR="004F3F6F" w14:paraId="4645B5E7" w14:textId="77777777" w:rsidTr="004F3F6F">
        <w:trPr>
          <w:trHeight w:val="271"/>
        </w:trPr>
        <w:tc>
          <w:tcPr>
            <w:tcW w:w="8640" w:type="dxa"/>
            <w:shd w:val="clear" w:color="auto" w:fill="A8D08D" w:themeFill="accent6" w:themeFillTint="99"/>
          </w:tcPr>
          <w:p w14:paraId="6E8A2F4E"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26. Report ensures the clinician/surgeon recei</w:t>
            </w:r>
            <w:r>
              <w:rPr>
                <w:rFonts w:ascii="Times New Roman" w:hAnsi="Times New Roman" w:cs="Times New Roman"/>
                <w:sz w:val="24"/>
                <w:szCs w:val="24"/>
              </w:rPr>
              <w:t xml:space="preserve">ves the appropriate message </w:t>
            </w:r>
          </w:p>
        </w:tc>
      </w:tr>
      <w:tr w:rsidR="004F3F6F" w14:paraId="33E18DFF" w14:textId="77777777" w:rsidTr="004F3F6F">
        <w:trPr>
          <w:trHeight w:val="256"/>
        </w:trPr>
        <w:tc>
          <w:tcPr>
            <w:tcW w:w="8640" w:type="dxa"/>
            <w:shd w:val="clear" w:color="auto" w:fill="A8D08D" w:themeFill="accent6" w:themeFillTint="99"/>
          </w:tcPr>
          <w:p w14:paraId="7B602E6A" w14:textId="77777777" w:rsidR="004F3F6F" w:rsidRPr="00416BD6" w:rsidRDefault="004F3F6F" w:rsidP="004F3F6F">
            <w:pPr>
              <w:rPr>
                <w:rFonts w:ascii="Times New Roman" w:hAnsi="Times New Roman" w:cs="Times New Roman"/>
                <w:sz w:val="24"/>
                <w:szCs w:val="24"/>
              </w:rPr>
            </w:pPr>
            <w:r w:rsidRPr="00416BD6">
              <w:rPr>
                <w:rFonts w:ascii="Times New Roman" w:hAnsi="Times New Roman" w:cs="Times New Roman"/>
                <w:sz w:val="24"/>
                <w:szCs w:val="24"/>
              </w:rPr>
              <w:t>27. Report is organised ap</w:t>
            </w:r>
            <w:r>
              <w:rPr>
                <w:rFonts w:ascii="Times New Roman" w:hAnsi="Times New Roman" w:cs="Times New Roman"/>
                <w:sz w:val="24"/>
                <w:szCs w:val="24"/>
              </w:rPr>
              <w:t xml:space="preserve">propriately and well-written </w:t>
            </w:r>
          </w:p>
        </w:tc>
      </w:tr>
    </w:tbl>
    <w:p w14:paraId="13D7D7F2" w14:textId="015DE971" w:rsidR="00E1668B" w:rsidRPr="00514B6B" w:rsidRDefault="004F3F6F" w:rsidP="00E1668B">
      <w:pPr>
        <w:spacing w:line="240" w:lineRule="auto"/>
        <w:rPr>
          <w:rFonts w:ascii="Times New Roman" w:hAnsi="Times New Roman" w:cs="Times New Roman"/>
          <w:sz w:val="24"/>
          <w:szCs w:val="24"/>
        </w:rPr>
      </w:pPr>
      <w:r>
        <w:rPr>
          <w:rFonts w:ascii="Times New Roman" w:hAnsi="Times New Roman" w:cs="Times New Roman"/>
          <w:b/>
          <w:sz w:val="24"/>
          <w:szCs w:val="24"/>
        </w:rPr>
        <w:t>Table</w:t>
      </w:r>
      <w:r w:rsidR="00E1668B">
        <w:rPr>
          <w:rFonts w:ascii="Times New Roman" w:hAnsi="Times New Roman" w:cs="Times New Roman"/>
          <w:b/>
          <w:sz w:val="24"/>
          <w:szCs w:val="24"/>
        </w:rPr>
        <w:t xml:space="preserve"> 5.4</w:t>
      </w:r>
      <w:r w:rsidR="00E1668B" w:rsidRPr="006F3B00">
        <w:rPr>
          <w:rFonts w:ascii="Times New Roman" w:hAnsi="Times New Roman" w:cs="Times New Roman"/>
          <w:b/>
          <w:sz w:val="24"/>
          <w:szCs w:val="24"/>
        </w:rPr>
        <w:t>.</w:t>
      </w:r>
      <w:r w:rsidR="00E1668B">
        <w:rPr>
          <w:rFonts w:ascii="Times New Roman" w:hAnsi="Times New Roman" w:cs="Times New Roman"/>
          <w:b/>
          <w:sz w:val="24"/>
          <w:szCs w:val="24"/>
        </w:rPr>
        <w:t xml:space="preserve"> Summary of which items </w:t>
      </w:r>
      <w:r w:rsidR="00E1668B" w:rsidRPr="006F3B00">
        <w:rPr>
          <w:rFonts w:ascii="Times New Roman" w:hAnsi="Times New Roman" w:cs="Times New Roman"/>
          <w:b/>
          <w:sz w:val="24"/>
          <w:szCs w:val="24"/>
        </w:rPr>
        <w:t>reach</w:t>
      </w:r>
      <w:r w:rsidR="00E1668B">
        <w:rPr>
          <w:rFonts w:ascii="Times New Roman" w:hAnsi="Times New Roman" w:cs="Times New Roman"/>
          <w:b/>
          <w:sz w:val="24"/>
          <w:szCs w:val="24"/>
        </w:rPr>
        <w:t>ed</w:t>
      </w:r>
      <w:r w:rsidR="00E1668B" w:rsidRPr="006F3B00">
        <w:rPr>
          <w:rFonts w:ascii="Times New Roman" w:hAnsi="Times New Roman" w:cs="Times New Roman"/>
          <w:b/>
          <w:sz w:val="24"/>
          <w:szCs w:val="24"/>
        </w:rPr>
        <w:t xml:space="preserve"> </w:t>
      </w:r>
      <w:r w:rsidR="00BC24A3">
        <w:rPr>
          <w:rFonts w:ascii="Times New Roman" w:hAnsi="Times New Roman" w:cs="Times New Roman"/>
          <w:b/>
          <w:sz w:val="24"/>
          <w:szCs w:val="24"/>
        </w:rPr>
        <w:t>“</w:t>
      </w:r>
      <w:r w:rsidR="00E1668B" w:rsidRPr="006F3B00">
        <w:rPr>
          <w:rFonts w:ascii="Times New Roman" w:hAnsi="Times New Roman" w:cs="Times New Roman"/>
          <w:b/>
          <w:sz w:val="24"/>
          <w:szCs w:val="24"/>
        </w:rPr>
        <w:t>consensus</w:t>
      </w:r>
      <w:r w:rsidR="00BC24A3">
        <w:rPr>
          <w:rFonts w:ascii="Times New Roman" w:hAnsi="Times New Roman" w:cs="Times New Roman"/>
          <w:b/>
          <w:sz w:val="24"/>
          <w:szCs w:val="24"/>
        </w:rPr>
        <w:t xml:space="preserve"> in”</w:t>
      </w:r>
      <w:r w:rsidR="00E1668B">
        <w:rPr>
          <w:rFonts w:ascii="Times New Roman" w:hAnsi="Times New Roman" w:cs="Times New Roman"/>
          <w:b/>
          <w:sz w:val="24"/>
          <w:szCs w:val="24"/>
        </w:rPr>
        <w:t xml:space="preserve"> (green) or </w:t>
      </w:r>
      <w:r w:rsidR="00BC24A3">
        <w:rPr>
          <w:rFonts w:ascii="Times New Roman" w:hAnsi="Times New Roman" w:cs="Times New Roman"/>
          <w:b/>
          <w:sz w:val="24"/>
          <w:szCs w:val="24"/>
        </w:rPr>
        <w:t>“</w:t>
      </w:r>
      <w:r w:rsidR="00E1668B">
        <w:rPr>
          <w:rFonts w:ascii="Times New Roman" w:hAnsi="Times New Roman" w:cs="Times New Roman"/>
          <w:b/>
          <w:sz w:val="24"/>
          <w:szCs w:val="24"/>
        </w:rPr>
        <w:t>no consensus</w:t>
      </w:r>
      <w:r w:rsidR="00BC24A3">
        <w:rPr>
          <w:rFonts w:ascii="Times New Roman" w:hAnsi="Times New Roman" w:cs="Times New Roman"/>
          <w:b/>
          <w:sz w:val="24"/>
          <w:szCs w:val="24"/>
        </w:rPr>
        <w:t>”</w:t>
      </w:r>
      <w:r w:rsidR="00E1668B">
        <w:rPr>
          <w:rFonts w:ascii="Times New Roman" w:hAnsi="Times New Roman" w:cs="Times New Roman"/>
          <w:b/>
          <w:sz w:val="24"/>
          <w:szCs w:val="24"/>
        </w:rPr>
        <w:t xml:space="preserve"> (red)</w:t>
      </w:r>
      <w:r w:rsidR="00E1668B" w:rsidRPr="006F3B00">
        <w:rPr>
          <w:rFonts w:ascii="Times New Roman" w:hAnsi="Times New Roman" w:cs="Times New Roman"/>
          <w:b/>
          <w:sz w:val="24"/>
          <w:szCs w:val="24"/>
        </w:rPr>
        <w:t xml:space="preserve"> </w:t>
      </w:r>
      <w:r w:rsidR="00E1668B">
        <w:rPr>
          <w:rFonts w:ascii="Times New Roman" w:hAnsi="Times New Roman" w:cs="Times New Roman"/>
          <w:b/>
          <w:sz w:val="24"/>
          <w:szCs w:val="24"/>
        </w:rPr>
        <w:t xml:space="preserve">after round 1. </w:t>
      </w:r>
      <w:r w:rsidR="00BC24A3">
        <w:rPr>
          <w:rFonts w:ascii="Times New Roman" w:hAnsi="Times New Roman" w:cs="Times New Roman"/>
          <w:sz w:val="24"/>
          <w:szCs w:val="24"/>
        </w:rPr>
        <w:t>“C</w:t>
      </w:r>
      <w:r w:rsidR="00E1668B" w:rsidRPr="00983635">
        <w:rPr>
          <w:rFonts w:ascii="Times New Roman" w:hAnsi="Times New Roman" w:cs="Times New Roman"/>
          <w:sz w:val="24"/>
          <w:szCs w:val="24"/>
        </w:rPr>
        <w:t>onsensus in”</w:t>
      </w:r>
      <w:r w:rsidR="00E1668B">
        <w:rPr>
          <w:rFonts w:ascii="Times New Roman" w:hAnsi="Times New Roman" w:cs="Times New Roman"/>
          <w:b/>
          <w:sz w:val="24"/>
          <w:szCs w:val="24"/>
        </w:rPr>
        <w:t xml:space="preserve"> </w:t>
      </w:r>
      <w:r w:rsidR="00E1668B" w:rsidRPr="006F3B00">
        <w:rPr>
          <w:rFonts w:ascii="Times New Roman" w:hAnsi="Times New Roman" w:cs="Times New Roman"/>
          <w:sz w:val="24"/>
          <w:szCs w:val="24"/>
        </w:rPr>
        <w:t>&gt;70% of participants scored the item as 8-1</w:t>
      </w:r>
      <w:r w:rsidR="00E1668B">
        <w:rPr>
          <w:rFonts w:ascii="Times New Roman" w:hAnsi="Times New Roman" w:cs="Times New Roman"/>
          <w:sz w:val="24"/>
          <w:szCs w:val="24"/>
        </w:rPr>
        <w:t>0 (definitely important) and &lt;15%</w:t>
      </w:r>
      <w:r w:rsidR="00E1668B" w:rsidRPr="006F3B00">
        <w:rPr>
          <w:rFonts w:ascii="Times New Roman" w:hAnsi="Times New Roman" w:cs="Times New Roman"/>
          <w:sz w:val="24"/>
          <w:szCs w:val="24"/>
        </w:rPr>
        <w:t xml:space="preserve"> scored it 1-3 (definitel</w:t>
      </w:r>
      <w:r w:rsidR="00E1668B">
        <w:rPr>
          <w:rFonts w:ascii="Times New Roman" w:hAnsi="Times New Roman" w:cs="Times New Roman"/>
          <w:sz w:val="24"/>
          <w:szCs w:val="24"/>
        </w:rPr>
        <w:t>y not important). In a</w:t>
      </w:r>
      <w:r w:rsidR="00BC24A3">
        <w:rPr>
          <w:rFonts w:ascii="Times New Roman" w:hAnsi="Times New Roman" w:cs="Times New Roman"/>
          <w:sz w:val="24"/>
          <w:szCs w:val="24"/>
        </w:rPr>
        <w:t>ddition, the IQR was ≤2. S</w:t>
      </w:r>
      <w:r w:rsidR="00E1668B">
        <w:rPr>
          <w:rFonts w:ascii="Times New Roman" w:hAnsi="Times New Roman" w:cs="Times New Roman"/>
          <w:sz w:val="24"/>
          <w:szCs w:val="24"/>
        </w:rPr>
        <w:t>ome items have been shortened for reasons of clarity.</w:t>
      </w:r>
    </w:p>
    <w:p w14:paraId="1B063EC0" w14:textId="77777777" w:rsidR="00D831E9" w:rsidRDefault="00A5727F" w:rsidP="004F3F6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5.4</w:t>
      </w:r>
      <w:r w:rsidR="00570856" w:rsidRPr="00102777">
        <w:rPr>
          <w:rFonts w:ascii="Times New Roman" w:hAnsi="Times New Roman" w:cs="Times New Roman"/>
          <w:sz w:val="24"/>
          <w:szCs w:val="24"/>
        </w:rPr>
        <w:t xml:space="preserve"> shows that no items under ‘Stage of training’ reached consensus. In contrast, all item</w:t>
      </w:r>
      <w:r>
        <w:rPr>
          <w:rFonts w:ascii="Times New Roman" w:hAnsi="Times New Roman" w:cs="Times New Roman"/>
          <w:sz w:val="24"/>
          <w:szCs w:val="24"/>
        </w:rPr>
        <w:t>s under both “reflection” and “the patients report”</w:t>
      </w:r>
      <w:r w:rsidR="00570856" w:rsidRPr="00102777">
        <w:rPr>
          <w:rFonts w:ascii="Times New Roman" w:hAnsi="Times New Roman" w:cs="Times New Roman"/>
          <w:sz w:val="24"/>
          <w:szCs w:val="24"/>
        </w:rPr>
        <w:t xml:space="preserve"> reached consensus and as did </w:t>
      </w:r>
      <w:r>
        <w:rPr>
          <w:rFonts w:ascii="Times New Roman" w:hAnsi="Times New Roman" w:cs="Times New Roman"/>
          <w:sz w:val="24"/>
          <w:szCs w:val="24"/>
        </w:rPr>
        <w:t>three out of four items under “professionalism”.</w:t>
      </w:r>
      <w:r w:rsidR="00570856" w:rsidRPr="00102777">
        <w:rPr>
          <w:rFonts w:ascii="Times New Roman" w:hAnsi="Times New Roman" w:cs="Times New Roman"/>
          <w:sz w:val="24"/>
          <w:szCs w:val="24"/>
        </w:rPr>
        <w:t xml:space="preserve">   However only one out of two </w:t>
      </w:r>
      <w:r w:rsidR="00EE3C98">
        <w:rPr>
          <w:rFonts w:ascii="Times New Roman" w:hAnsi="Times New Roman" w:cs="Times New Roman"/>
          <w:sz w:val="24"/>
          <w:szCs w:val="24"/>
        </w:rPr>
        <w:t>items reached consensus under “timing”</w:t>
      </w:r>
      <w:r w:rsidR="00570856">
        <w:rPr>
          <w:rFonts w:ascii="Times New Roman" w:hAnsi="Times New Roman" w:cs="Times New Roman"/>
          <w:sz w:val="24"/>
          <w:szCs w:val="24"/>
        </w:rPr>
        <w:t>,</w:t>
      </w:r>
      <w:r w:rsidR="00EE3C98">
        <w:rPr>
          <w:rFonts w:ascii="Times New Roman" w:hAnsi="Times New Roman" w:cs="Times New Roman"/>
          <w:sz w:val="24"/>
          <w:szCs w:val="24"/>
        </w:rPr>
        <w:t xml:space="preserve"> four out of seven items under “forming a diagnosis” and three out of six under “trust”</w:t>
      </w:r>
      <w:r w:rsidR="00D8646A">
        <w:rPr>
          <w:rFonts w:ascii="Times New Roman" w:hAnsi="Times New Roman" w:cs="Times New Roman"/>
          <w:sz w:val="24"/>
          <w:szCs w:val="24"/>
        </w:rPr>
        <w:t xml:space="preserve">. </w:t>
      </w:r>
      <w:r w:rsidR="00863DF5" w:rsidRPr="006F3B00">
        <w:rPr>
          <w:rFonts w:ascii="Times New Roman" w:hAnsi="Times New Roman" w:cs="Times New Roman"/>
          <w:sz w:val="24"/>
          <w:szCs w:val="24"/>
        </w:rPr>
        <w:t>The items which did not reach con</w:t>
      </w:r>
      <w:r w:rsidR="00924448">
        <w:rPr>
          <w:rFonts w:ascii="Times New Roman" w:hAnsi="Times New Roman" w:cs="Times New Roman"/>
          <w:sz w:val="24"/>
          <w:szCs w:val="24"/>
        </w:rPr>
        <w:t>sensus are summari</w:t>
      </w:r>
      <w:r w:rsidR="00416BD6">
        <w:rPr>
          <w:rFonts w:ascii="Times New Roman" w:hAnsi="Times New Roman" w:cs="Times New Roman"/>
          <w:sz w:val="24"/>
          <w:szCs w:val="24"/>
        </w:rPr>
        <w:t>sed in T</w:t>
      </w:r>
      <w:r w:rsidR="00D8646A">
        <w:rPr>
          <w:rFonts w:ascii="Times New Roman" w:hAnsi="Times New Roman" w:cs="Times New Roman"/>
          <w:sz w:val="24"/>
          <w:szCs w:val="24"/>
        </w:rPr>
        <w:t>able 5.5</w:t>
      </w:r>
      <w:r w:rsidR="000A5350">
        <w:rPr>
          <w:rFonts w:ascii="Times New Roman" w:hAnsi="Times New Roman" w:cs="Times New Roman"/>
          <w:sz w:val="24"/>
          <w:szCs w:val="24"/>
        </w:rPr>
        <w:t>.</w:t>
      </w:r>
    </w:p>
    <w:p w14:paraId="0123E4AC" w14:textId="24533DE4" w:rsidR="004F3F6F" w:rsidRDefault="004F3F6F" w:rsidP="00E1668B">
      <w:pPr>
        <w:spacing w:line="480" w:lineRule="auto"/>
        <w:rPr>
          <w:rFonts w:ascii="Times New Roman" w:hAnsi="Times New Roman" w:cs="Times New Roman"/>
          <w:sz w:val="24"/>
          <w:szCs w:val="24"/>
        </w:rPr>
      </w:pPr>
    </w:p>
    <w:p w14:paraId="287A0F9F" w14:textId="2F368B3D" w:rsidR="00D831E9" w:rsidRDefault="00D831E9" w:rsidP="00E1668B">
      <w:pPr>
        <w:spacing w:line="480" w:lineRule="auto"/>
        <w:rPr>
          <w:rFonts w:ascii="Times New Roman" w:hAnsi="Times New Roman" w:cs="Times New Roman"/>
          <w:sz w:val="24"/>
          <w:szCs w:val="24"/>
        </w:rPr>
      </w:pPr>
    </w:p>
    <w:p w14:paraId="5A887A13" w14:textId="1A26257C" w:rsidR="00D831E9" w:rsidRDefault="00D831E9" w:rsidP="00E1668B">
      <w:pPr>
        <w:spacing w:line="480" w:lineRule="auto"/>
        <w:rPr>
          <w:rFonts w:ascii="Times New Roman" w:hAnsi="Times New Roman" w:cs="Times New Roman"/>
          <w:sz w:val="24"/>
          <w:szCs w:val="24"/>
        </w:rPr>
      </w:pPr>
    </w:p>
    <w:p w14:paraId="4478CB21" w14:textId="28304804" w:rsidR="00D831E9" w:rsidRDefault="00D831E9" w:rsidP="00E1668B">
      <w:pPr>
        <w:spacing w:line="480" w:lineRule="auto"/>
        <w:rPr>
          <w:rFonts w:ascii="Times New Roman" w:hAnsi="Times New Roman" w:cs="Times New Roman"/>
          <w:sz w:val="24"/>
          <w:szCs w:val="24"/>
        </w:rPr>
      </w:pPr>
    </w:p>
    <w:p w14:paraId="5F479B24" w14:textId="58D7AB8B" w:rsidR="00D831E9" w:rsidRDefault="00D831E9" w:rsidP="00E1668B">
      <w:pPr>
        <w:spacing w:line="480" w:lineRule="auto"/>
        <w:rPr>
          <w:rFonts w:ascii="Times New Roman" w:hAnsi="Times New Roman" w:cs="Times New Roman"/>
          <w:sz w:val="24"/>
          <w:szCs w:val="24"/>
        </w:rPr>
      </w:pPr>
    </w:p>
    <w:p w14:paraId="64DCE310" w14:textId="4D9769E9" w:rsidR="00D831E9" w:rsidRDefault="00D831E9" w:rsidP="00E1668B">
      <w:pPr>
        <w:spacing w:line="480" w:lineRule="auto"/>
        <w:rPr>
          <w:rFonts w:ascii="Times New Roman" w:hAnsi="Times New Roman" w:cs="Times New Roman"/>
          <w:sz w:val="24"/>
          <w:szCs w:val="24"/>
        </w:rPr>
      </w:pPr>
    </w:p>
    <w:p w14:paraId="44C6E237" w14:textId="08EE5BFB" w:rsidR="00D831E9" w:rsidRDefault="00D831E9" w:rsidP="00E1668B">
      <w:pPr>
        <w:spacing w:line="480" w:lineRule="auto"/>
        <w:rPr>
          <w:rFonts w:ascii="Times New Roman" w:hAnsi="Times New Roman" w:cs="Times New Roman"/>
          <w:sz w:val="24"/>
          <w:szCs w:val="24"/>
        </w:rPr>
      </w:pPr>
    </w:p>
    <w:p w14:paraId="3B4B7324" w14:textId="0FA14802" w:rsidR="00D831E9" w:rsidRDefault="00D831E9" w:rsidP="00E1668B">
      <w:pPr>
        <w:spacing w:line="480" w:lineRule="auto"/>
        <w:rPr>
          <w:rFonts w:ascii="Times New Roman" w:hAnsi="Times New Roman" w:cs="Times New Roman"/>
          <w:sz w:val="24"/>
          <w:szCs w:val="24"/>
        </w:rPr>
      </w:pPr>
    </w:p>
    <w:p w14:paraId="39541B51" w14:textId="01A3744D" w:rsidR="00D831E9" w:rsidRDefault="00D831E9" w:rsidP="00E1668B">
      <w:pPr>
        <w:spacing w:line="480" w:lineRule="auto"/>
        <w:rPr>
          <w:rFonts w:ascii="Times New Roman" w:hAnsi="Times New Roman" w:cs="Times New Roman"/>
          <w:sz w:val="24"/>
          <w:szCs w:val="24"/>
        </w:rPr>
      </w:pPr>
    </w:p>
    <w:p w14:paraId="76B1571B" w14:textId="01176D1A" w:rsidR="00D831E9" w:rsidRDefault="00D831E9" w:rsidP="00E1668B">
      <w:pPr>
        <w:spacing w:line="480" w:lineRule="auto"/>
        <w:rPr>
          <w:rFonts w:ascii="Times New Roman" w:hAnsi="Times New Roman" w:cs="Times New Roman"/>
          <w:sz w:val="24"/>
          <w:szCs w:val="24"/>
        </w:rPr>
      </w:pPr>
    </w:p>
    <w:p w14:paraId="7AC14087" w14:textId="31EF4D04" w:rsidR="00D831E9" w:rsidRDefault="00D831E9" w:rsidP="00E1668B">
      <w:pPr>
        <w:spacing w:line="480" w:lineRule="auto"/>
        <w:rPr>
          <w:rFonts w:ascii="Times New Roman" w:hAnsi="Times New Roman" w:cs="Times New Roman"/>
          <w:sz w:val="24"/>
          <w:szCs w:val="24"/>
        </w:rPr>
      </w:pPr>
    </w:p>
    <w:p w14:paraId="446A700A" w14:textId="6A9532E1" w:rsidR="00D831E9" w:rsidRDefault="00D831E9" w:rsidP="00E1668B">
      <w:pPr>
        <w:spacing w:line="480" w:lineRule="auto"/>
        <w:rPr>
          <w:rFonts w:ascii="Times New Roman" w:hAnsi="Times New Roman" w:cs="Times New Roman"/>
          <w:sz w:val="24"/>
          <w:szCs w:val="24"/>
        </w:rPr>
      </w:pPr>
    </w:p>
    <w:p w14:paraId="78CDC936" w14:textId="35492145" w:rsidR="00D831E9" w:rsidRDefault="00D831E9" w:rsidP="00E1668B">
      <w:pPr>
        <w:spacing w:line="480" w:lineRule="auto"/>
        <w:rPr>
          <w:rFonts w:ascii="Times New Roman" w:hAnsi="Times New Roman" w:cs="Times New Roman"/>
          <w:sz w:val="24"/>
          <w:szCs w:val="24"/>
        </w:rPr>
      </w:pPr>
    </w:p>
    <w:p w14:paraId="518E2B48" w14:textId="77777777" w:rsidR="00D831E9" w:rsidRPr="00924448" w:rsidRDefault="00D831E9" w:rsidP="00E1668B">
      <w:pPr>
        <w:spacing w:line="480" w:lineRule="auto"/>
        <w:rPr>
          <w:rFonts w:ascii="Times New Roman" w:hAnsi="Times New Roman" w:cs="Times New Roman"/>
          <w:sz w:val="24"/>
          <w:szCs w:val="24"/>
        </w:rPr>
      </w:pP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1553"/>
        <w:gridCol w:w="1507"/>
      </w:tblGrid>
      <w:tr w:rsidR="00863DF5" w:rsidRPr="006F3B00" w14:paraId="55431115" w14:textId="77777777" w:rsidTr="004F3F6F">
        <w:trPr>
          <w:trHeight w:val="656"/>
        </w:trPr>
        <w:tc>
          <w:tcPr>
            <w:tcW w:w="5580" w:type="dxa"/>
            <w:shd w:val="clear" w:color="auto" w:fill="E7E6E6" w:themeFill="background2"/>
          </w:tcPr>
          <w:p w14:paraId="2EC0A969" w14:textId="77777777" w:rsidR="00863DF5" w:rsidRPr="006F3B00" w:rsidRDefault="00863DF5" w:rsidP="00863DF5">
            <w:pPr>
              <w:rPr>
                <w:rFonts w:ascii="Times New Roman" w:hAnsi="Times New Roman" w:cs="Times New Roman"/>
                <w:b/>
                <w:sz w:val="24"/>
                <w:szCs w:val="24"/>
              </w:rPr>
            </w:pPr>
            <w:r w:rsidRPr="006F3B00">
              <w:rPr>
                <w:rFonts w:ascii="Times New Roman" w:hAnsi="Times New Roman" w:cs="Times New Roman"/>
                <w:b/>
                <w:sz w:val="24"/>
                <w:szCs w:val="24"/>
              </w:rPr>
              <w:lastRenderedPageBreak/>
              <w:t>Item</w:t>
            </w:r>
          </w:p>
          <w:p w14:paraId="302FF48A" w14:textId="77777777" w:rsidR="00863DF5" w:rsidRPr="006F3B00" w:rsidRDefault="00863DF5" w:rsidP="00863DF5">
            <w:pPr>
              <w:rPr>
                <w:rFonts w:ascii="Times New Roman" w:hAnsi="Times New Roman" w:cs="Times New Roman"/>
                <w:b/>
                <w:sz w:val="24"/>
                <w:szCs w:val="24"/>
              </w:rPr>
            </w:pPr>
          </w:p>
        </w:tc>
        <w:tc>
          <w:tcPr>
            <w:tcW w:w="1553" w:type="dxa"/>
            <w:shd w:val="clear" w:color="auto" w:fill="BDD6EE" w:themeFill="accent1" w:themeFillTint="66"/>
          </w:tcPr>
          <w:p w14:paraId="3AC53257" w14:textId="77777777" w:rsidR="00863DF5" w:rsidRPr="006F3B00" w:rsidRDefault="00863DF5" w:rsidP="00863DF5">
            <w:pPr>
              <w:rPr>
                <w:rFonts w:ascii="Times New Roman" w:hAnsi="Times New Roman" w:cs="Times New Roman"/>
                <w:b/>
                <w:sz w:val="24"/>
                <w:szCs w:val="24"/>
              </w:rPr>
            </w:pPr>
            <w:r w:rsidRPr="006F3B00">
              <w:rPr>
                <w:rFonts w:ascii="Times New Roman" w:hAnsi="Times New Roman" w:cs="Times New Roman"/>
                <w:b/>
                <w:sz w:val="24"/>
                <w:szCs w:val="24"/>
              </w:rPr>
              <w:t>Con</w:t>
            </w:r>
            <w:r w:rsidR="00924448">
              <w:rPr>
                <w:rFonts w:ascii="Times New Roman" w:hAnsi="Times New Roman" w:cs="Times New Roman"/>
                <w:b/>
                <w:sz w:val="24"/>
                <w:szCs w:val="24"/>
              </w:rPr>
              <w:t>dition 1 met?</w:t>
            </w:r>
          </w:p>
        </w:tc>
        <w:tc>
          <w:tcPr>
            <w:tcW w:w="1507" w:type="dxa"/>
            <w:shd w:val="clear" w:color="auto" w:fill="F7CAAC" w:themeFill="accent2" w:themeFillTint="66"/>
          </w:tcPr>
          <w:p w14:paraId="3A291623" w14:textId="77777777" w:rsidR="00863DF5" w:rsidRPr="006F3B00" w:rsidRDefault="00924448" w:rsidP="00863DF5">
            <w:pPr>
              <w:rPr>
                <w:rFonts w:ascii="Times New Roman" w:hAnsi="Times New Roman" w:cs="Times New Roman"/>
                <w:b/>
                <w:sz w:val="24"/>
                <w:szCs w:val="24"/>
              </w:rPr>
            </w:pPr>
            <w:r>
              <w:rPr>
                <w:rFonts w:ascii="Times New Roman" w:hAnsi="Times New Roman" w:cs="Times New Roman"/>
                <w:b/>
                <w:sz w:val="24"/>
                <w:szCs w:val="24"/>
              </w:rPr>
              <w:t>Condition 2 met?</w:t>
            </w:r>
          </w:p>
        </w:tc>
      </w:tr>
      <w:tr w:rsidR="00102777" w:rsidRPr="006F3B00" w14:paraId="2F0AAEA3" w14:textId="77777777" w:rsidTr="004F3F6F">
        <w:tc>
          <w:tcPr>
            <w:tcW w:w="8640" w:type="dxa"/>
            <w:gridSpan w:val="3"/>
            <w:shd w:val="clear" w:color="auto" w:fill="D9D9D9" w:themeFill="background1" w:themeFillShade="D9"/>
          </w:tcPr>
          <w:p w14:paraId="39C3FE97" w14:textId="30E60B23" w:rsidR="00102777" w:rsidRPr="006F3B00" w:rsidRDefault="00102777" w:rsidP="00863DF5">
            <w:pPr>
              <w:rPr>
                <w:rFonts w:ascii="Times New Roman" w:hAnsi="Times New Roman" w:cs="Times New Roman"/>
                <w:sz w:val="24"/>
                <w:szCs w:val="24"/>
              </w:rPr>
            </w:pPr>
            <w:r w:rsidRPr="00102777">
              <w:rPr>
                <w:rFonts w:ascii="Times New Roman" w:hAnsi="Times New Roman" w:cs="Times New Roman"/>
                <w:b/>
                <w:sz w:val="24"/>
                <w:szCs w:val="24"/>
              </w:rPr>
              <w:t>Stage of training</w:t>
            </w:r>
          </w:p>
        </w:tc>
      </w:tr>
      <w:tr w:rsidR="00863DF5" w:rsidRPr="006F3B00" w14:paraId="3F0F70C4" w14:textId="77777777" w:rsidTr="004F3F6F">
        <w:tc>
          <w:tcPr>
            <w:tcW w:w="5580" w:type="dxa"/>
            <w:shd w:val="clear" w:color="auto" w:fill="FF7C80"/>
          </w:tcPr>
          <w:p w14:paraId="08F340B4" w14:textId="77777777" w:rsidR="00863DF5" w:rsidRPr="006F3B00" w:rsidRDefault="00863DF5" w:rsidP="002577DE">
            <w:pPr>
              <w:spacing w:line="240" w:lineRule="auto"/>
              <w:rPr>
                <w:rFonts w:ascii="Times New Roman" w:hAnsi="Times New Roman" w:cs="Times New Roman"/>
                <w:sz w:val="24"/>
                <w:szCs w:val="24"/>
              </w:rPr>
            </w:pPr>
            <w:r w:rsidRPr="006F3B00">
              <w:rPr>
                <w:rFonts w:ascii="Times New Roman" w:hAnsi="Times New Roman" w:cs="Times New Roman"/>
                <w:sz w:val="24"/>
                <w:szCs w:val="24"/>
              </w:rPr>
              <w:t>1. The stage of training e.g. ST1 versus ST5</w:t>
            </w:r>
          </w:p>
        </w:tc>
        <w:tc>
          <w:tcPr>
            <w:tcW w:w="1553" w:type="dxa"/>
          </w:tcPr>
          <w:p w14:paraId="7705E658"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1507" w:type="dxa"/>
          </w:tcPr>
          <w:p w14:paraId="3862BD93"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r>
      <w:tr w:rsidR="00863DF5" w:rsidRPr="006F3B00" w14:paraId="45C513DB" w14:textId="77777777" w:rsidTr="004F3F6F">
        <w:tc>
          <w:tcPr>
            <w:tcW w:w="5580" w:type="dxa"/>
            <w:shd w:val="clear" w:color="auto" w:fill="FF7C80"/>
          </w:tcPr>
          <w:p w14:paraId="4E65EA2A" w14:textId="77777777" w:rsidR="00863DF5" w:rsidRPr="006F3B00" w:rsidRDefault="00863DF5" w:rsidP="002577DE">
            <w:pPr>
              <w:spacing w:line="240" w:lineRule="auto"/>
              <w:rPr>
                <w:rFonts w:ascii="Times New Roman" w:hAnsi="Times New Roman" w:cs="Times New Roman"/>
                <w:sz w:val="24"/>
                <w:szCs w:val="24"/>
              </w:rPr>
            </w:pPr>
            <w:r w:rsidRPr="006F3B00">
              <w:rPr>
                <w:rFonts w:ascii="Times New Roman" w:hAnsi="Times New Roman" w:cs="Times New Roman"/>
                <w:sz w:val="24"/>
                <w:szCs w:val="24"/>
              </w:rPr>
              <w:t>2. RCPath curricula and training guidelines</w:t>
            </w:r>
          </w:p>
        </w:tc>
        <w:tc>
          <w:tcPr>
            <w:tcW w:w="1553" w:type="dxa"/>
          </w:tcPr>
          <w:p w14:paraId="36D53ABB"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1507" w:type="dxa"/>
          </w:tcPr>
          <w:p w14:paraId="2D3AD9DF"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r>
      <w:tr w:rsidR="00102777" w:rsidRPr="006F3B00" w14:paraId="2E87CE21" w14:textId="77777777" w:rsidTr="004F3F6F">
        <w:tc>
          <w:tcPr>
            <w:tcW w:w="8640" w:type="dxa"/>
            <w:gridSpan w:val="3"/>
            <w:shd w:val="clear" w:color="auto" w:fill="D9D9D9" w:themeFill="background1" w:themeFillShade="D9"/>
          </w:tcPr>
          <w:p w14:paraId="0D526F63" w14:textId="1ADE8A85" w:rsidR="00102777" w:rsidRPr="006F3B00" w:rsidRDefault="00102777" w:rsidP="00863DF5">
            <w:pPr>
              <w:rPr>
                <w:rFonts w:ascii="Times New Roman" w:hAnsi="Times New Roman" w:cs="Times New Roman"/>
                <w:sz w:val="24"/>
                <w:szCs w:val="24"/>
              </w:rPr>
            </w:pPr>
            <w:r w:rsidRPr="00102777">
              <w:rPr>
                <w:rFonts w:ascii="Times New Roman" w:hAnsi="Times New Roman" w:cs="Times New Roman"/>
                <w:b/>
                <w:sz w:val="24"/>
                <w:szCs w:val="24"/>
              </w:rPr>
              <w:t>Timing</w:t>
            </w:r>
          </w:p>
        </w:tc>
      </w:tr>
      <w:tr w:rsidR="00863DF5" w:rsidRPr="006F3B00" w14:paraId="69A1D227" w14:textId="77777777" w:rsidTr="004F3F6F">
        <w:tc>
          <w:tcPr>
            <w:tcW w:w="5580" w:type="dxa"/>
            <w:shd w:val="clear" w:color="auto" w:fill="FF7C80"/>
          </w:tcPr>
          <w:p w14:paraId="34979C37" w14:textId="77777777" w:rsidR="00863DF5" w:rsidRPr="006F3B00" w:rsidRDefault="00863DF5" w:rsidP="002577DE">
            <w:pPr>
              <w:spacing w:line="240" w:lineRule="auto"/>
              <w:rPr>
                <w:rFonts w:ascii="Times New Roman" w:hAnsi="Times New Roman" w:cs="Times New Roman"/>
                <w:sz w:val="24"/>
                <w:szCs w:val="24"/>
              </w:rPr>
            </w:pPr>
            <w:r w:rsidRPr="006F3B00">
              <w:rPr>
                <w:rFonts w:ascii="Times New Roman" w:hAnsi="Times New Roman" w:cs="Times New Roman"/>
                <w:sz w:val="24"/>
                <w:szCs w:val="24"/>
              </w:rPr>
              <w:t>4.  Individual cases in an examination setting</w:t>
            </w:r>
          </w:p>
        </w:tc>
        <w:tc>
          <w:tcPr>
            <w:tcW w:w="1553" w:type="dxa"/>
          </w:tcPr>
          <w:p w14:paraId="3750B3C9"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1507" w:type="dxa"/>
          </w:tcPr>
          <w:p w14:paraId="2E0DFCA3"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r>
      <w:tr w:rsidR="00102777" w:rsidRPr="006F3B00" w14:paraId="15C3F6B9" w14:textId="77777777" w:rsidTr="004F3F6F">
        <w:tc>
          <w:tcPr>
            <w:tcW w:w="8640" w:type="dxa"/>
            <w:gridSpan w:val="3"/>
            <w:shd w:val="clear" w:color="auto" w:fill="D9D9D9" w:themeFill="background1" w:themeFillShade="D9"/>
          </w:tcPr>
          <w:p w14:paraId="477CB1F6" w14:textId="0EF267D7" w:rsidR="00102777" w:rsidRPr="006F3B00" w:rsidRDefault="00102777" w:rsidP="00863DF5">
            <w:pPr>
              <w:rPr>
                <w:rFonts w:ascii="Times New Roman" w:hAnsi="Times New Roman" w:cs="Times New Roman"/>
                <w:sz w:val="24"/>
                <w:szCs w:val="24"/>
              </w:rPr>
            </w:pPr>
            <w:r w:rsidRPr="00102777">
              <w:rPr>
                <w:rFonts w:ascii="Times New Roman" w:hAnsi="Times New Roman" w:cs="Times New Roman"/>
                <w:b/>
                <w:sz w:val="24"/>
                <w:szCs w:val="24"/>
              </w:rPr>
              <w:t>Professionalism</w:t>
            </w:r>
          </w:p>
        </w:tc>
      </w:tr>
      <w:tr w:rsidR="00863DF5" w:rsidRPr="006F3B00" w14:paraId="62923456" w14:textId="77777777" w:rsidTr="004F3F6F">
        <w:tc>
          <w:tcPr>
            <w:tcW w:w="5580" w:type="dxa"/>
            <w:shd w:val="clear" w:color="auto" w:fill="FF7C80"/>
          </w:tcPr>
          <w:p w14:paraId="00081350" w14:textId="77B8EB8E" w:rsidR="00863DF5" w:rsidRPr="006F3B00" w:rsidRDefault="00863DF5" w:rsidP="008917A8">
            <w:pPr>
              <w:spacing w:line="240" w:lineRule="auto"/>
              <w:rPr>
                <w:rFonts w:ascii="Times New Roman" w:hAnsi="Times New Roman" w:cs="Times New Roman"/>
                <w:sz w:val="24"/>
                <w:szCs w:val="24"/>
              </w:rPr>
            </w:pPr>
            <w:r w:rsidRPr="006F3B00">
              <w:rPr>
                <w:rFonts w:ascii="Times New Roman" w:hAnsi="Times New Roman" w:cs="Times New Roman"/>
                <w:sz w:val="24"/>
                <w:szCs w:val="24"/>
              </w:rPr>
              <w:t>5. Trainee is organised and timely when conducting themselv</w:t>
            </w:r>
            <w:r w:rsidR="008917A8">
              <w:rPr>
                <w:rFonts w:ascii="Times New Roman" w:hAnsi="Times New Roman" w:cs="Times New Roman"/>
                <w:sz w:val="24"/>
                <w:szCs w:val="24"/>
              </w:rPr>
              <w:t xml:space="preserve">es in the department </w:t>
            </w:r>
          </w:p>
        </w:tc>
        <w:tc>
          <w:tcPr>
            <w:tcW w:w="1553" w:type="dxa"/>
          </w:tcPr>
          <w:p w14:paraId="50D9A22D"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c>
          <w:tcPr>
            <w:tcW w:w="1507" w:type="dxa"/>
          </w:tcPr>
          <w:p w14:paraId="482F8871"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r>
      <w:tr w:rsidR="00102777" w:rsidRPr="006F3B00" w14:paraId="3339EA83" w14:textId="77777777" w:rsidTr="004F3F6F">
        <w:tc>
          <w:tcPr>
            <w:tcW w:w="8640" w:type="dxa"/>
            <w:gridSpan w:val="3"/>
            <w:shd w:val="clear" w:color="auto" w:fill="D9D9D9" w:themeFill="background1" w:themeFillShade="D9"/>
          </w:tcPr>
          <w:p w14:paraId="3BD69C60" w14:textId="13F32983" w:rsidR="00102777" w:rsidRPr="006F3B00" w:rsidRDefault="00102777" w:rsidP="00863DF5">
            <w:pPr>
              <w:rPr>
                <w:rFonts w:ascii="Times New Roman" w:hAnsi="Times New Roman" w:cs="Times New Roman"/>
                <w:sz w:val="24"/>
                <w:szCs w:val="24"/>
              </w:rPr>
            </w:pPr>
            <w:r w:rsidRPr="00102777">
              <w:rPr>
                <w:rFonts w:ascii="Times New Roman" w:hAnsi="Times New Roman" w:cs="Times New Roman"/>
                <w:b/>
                <w:sz w:val="24"/>
                <w:szCs w:val="24"/>
              </w:rPr>
              <w:t>Forming a diagnosis</w:t>
            </w:r>
          </w:p>
        </w:tc>
      </w:tr>
      <w:tr w:rsidR="00863DF5" w:rsidRPr="006F3B00" w14:paraId="0AC0A7D1" w14:textId="77777777" w:rsidTr="004F3F6F">
        <w:tc>
          <w:tcPr>
            <w:tcW w:w="5580" w:type="dxa"/>
            <w:shd w:val="clear" w:color="auto" w:fill="FF7C80"/>
          </w:tcPr>
          <w:p w14:paraId="1DEEA68E" w14:textId="77777777" w:rsidR="00863DF5" w:rsidRPr="006F3B00" w:rsidRDefault="00863DF5" w:rsidP="002577DE">
            <w:pPr>
              <w:spacing w:line="240" w:lineRule="auto"/>
              <w:rPr>
                <w:rFonts w:ascii="Times New Roman" w:hAnsi="Times New Roman" w:cs="Times New Roman"/>
                <w:sz w:val="24"/>
                <w:szCs w:val="24"/>
              </w:rPr>
            </w:pPr>
            <w:r w:rsidRPr="006F3B00">
              <w:rPr>
                <w:rFonts w:ascii="Times New Roman" w:hAnsi="Times New Roman" w:cs="Times New Roman"/>
                <w:sz w:val="24"/>
                <w:szCs w:val="24"/>
              </w:rPr>
              <w:t>9. The diagnosis is correct</w:t>
            </w:r>
          </w:p>
        </w:tc>
        <w:tc>
          <w:tcPr>
            <w:tcW w:w="1553" w:type="dxa"/>
          </w:tcPr>
          <w:p w14:paraId="67784ADC"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1507" w:type="dxa"/>
          </w:tcPr>
          <w:p w14:paraId="0CDCB962"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r>
      <w:tr w:rsidR="00863DF5" w:rsidRPr="006F3B00" w14:paraId="41312E84" w14:textId="77777777" w:rsidTr="004F3F6F">
        <w:tc>
          <w:tcPr>
            <w:tcW w:w="5580" w:type="dxa"/>
            <w:shd w:val="clear" w:color="auto" w:fill="FF7C80"/>
          </w:tcPr>
          <w:p w14:paraId="1BF2ADC8" w14:textId="77777777" w:rsidR="00863DF5" w:rsidRPr="006F3B00" w:rsidRDefault="00863DF5" w:rsidP="002577DE">
            <w:pPr>
              <w:spacing w:line="240" w:lineRule="auto"/>
              <w:rPr>
                <w:rFonts w:ascii="Times New Roman" w:hAnsi="Times New Roman" w:cs="Times New Roman"/>
                <w:sz w:val="24"/>
                <w:szCs w:val="24"/>
              </w:rPr>
            </w:pPr>
            <w:r w:rsidRPr="006F3B00">
              <w:rPr>
                <w:rFonts w:ascii="Times New Roman" w:hAnsi="Times New Roman" w:cs="Times New Roman"/>
                <w:sz w:val="24"/>
                <w:szCs w:val="24"/>
              </w:rPr>
              <w:t>10. Trainee consistently produces a correct diagnosis</w:t>
            </w:r>
          </w:p>
        </w:tc>
        <w:tc>
          <w:tcPr>
            <w:tcW w:w="1553" w:type="dxa"/>
          </w:tcPr>
          <w:p w14:paraId="4801959E"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1507" w:type="dxa"/>
          </w:tcPr>
          <w:p w14:paraId="7FD59E91"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r>
      <w:tr w:rsidR="00863DF5" w:rsidRPr="006F3B00" w14:paraId="7BF01ABF" w14:textId="77777777" w:rsidTr="004F3F6F">
        <w:tc>
          <w:tcPr>
            <w:tcW w:w="5580" w:type="dxa"/>
            <w:shd w:val="clear" w:color="auto" w:fill="FF7C80"/>
          </w:tcPr>
          <w:p w14:paraId="16D251F3" w14:textId="77777777" w:rsidR="00863DF5" w:rsidRPr="006F3B00" w:rsidRDefault="00863DF5" w:rsidP="002577DE">
            <w:pPr>
              <w:spacing w:line="240" w:lineRule="auto"/>
              <w:rPr>
                <w:rFonts w:ascii="Times New Roman" w:hAnsi="Times New Roman" w:cs="Times New Roman"/>
                <w:sz w:val="24"/>
                <w:szCs w:val="24"/>
              </w:rPr>
            </w:pPr>
            <w:r w:rsidRPr="006F3B00">
              <w:rPr>
                <w:rFonts w:ascii="Times New Roman" w:hAnsi="Times New Roman" w:cs="Times New Roman"/>
                <w:sz w:val="24"/>
                <w:szCs w:val="24"/>
              </w:rPr>
              <w:t>15. Trainee has appropriate level of up-to-date knowledge e.g. latest papers/datasets</w:t>
            </w:r>
          </w:p>
        </w:tc>
        <w:tc>
          <w:tcPr>
            <w:tcW w:w="1553" w:type="dxa"/>
          </w:tcPr>
          <w:p w14:paraId="1D9EA282"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1507" w:type="dxa"/>
          </w:tcPr>
          <w:p w14:paraId="69CD16C9"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r>
      <w:tr w:rsidR="00102777" w:rsidRPr="006F3B00" w14:paraId="0F8EA74D" w14:textId="77777777" w:rsidTr="004F3F6F">
        <w:tc>
          <w:tcPr>
            <w:tcW w:w="8640" w:type="dxa"/>
            <w:gridSpan w:val="3"/>
            <w:shd w:val="clear" w:color="auto" w:fill="D9D9D9" w:themeFill="background1" w:themeFillShade="D9"/>
          </w:tcPr>
          <w:p w14:paraId="62F5ECEA" w14:textId="210C2AD1" w:rsidR="00102777" w:rsidRPr="006F3B00" w:rsidRDefault="00102777" w:rsidP="00863DF5">
            <w:pPr>
              <w:rPr>
                <w:rFonts w:ascii="Times New Roman" w:hAnsi="Times New Roman" w:cs="Times New Roman"/>
                <w:sz w:val="24"/>
                <w:szCs w:val="24"/>
              </w:rPr>
            </w:pPr>
            <w:r w:rsidRPr="00102777">
              <w:rPr>
                <w:rFonts w:ascii="Times New Roman" w:hAnsi="Times New Roman" w:cs="Times New Roman"/>
                <w:b/>
                <w:sz w:val="24"/>
                <w:szCs w:val="24"/>
              </w:rPr>
              <w:t>Trust</w:t>
            </w:r>
          </w:p>
        </w:tc>
      </w:tr>
      <w:tr w:rsidR="00863DF5" w:rsidRPr="006F3B00" w14:paraId="1A48BFF3" w14:textId="77777777" w:rsidTr="004F3F6F">
        <w:tc>
          <w:tcPr>
            <w:tcW w:w="5580" w:type="dxa"/>
            <w:shd w:val="clear" w:color="auto" w:fill="FF7C80"/>
          </w:tcPr>
          <w:p w14:paraId="453F09A6" w14:textId="77777777" w:rsidR="00863DF5" w:rsidRPr="006F3B00" w:rsidRDefault="00863DF5" w:rsidP="002577DE">
            <w:pPr>
              <w:spacing w:line="240" w:lineRule="auto"/>
              <w:rPr>
                <w:rFonts w:ascii="Times New Roman" w:hAnsi="Times New Roman" w:cs="Times New Roman"/>
                <w:sz w:val="24"/>
                <w:szCs w:val="24"/>
              </w:rPr>
            </w:pPr>
            <w:r w:rsidRPr="006F3B00">
              <w:rPr>
                <w:rFonts w:ascii="Times New Roman" w:hAnsi="Times New Roman" w:cs="Times New Roman"/>
                <w:sz w:val="24"/>
                <w:szCs w:val="24"/>
              </w:rPr>
              <w:t>19. Trainee can be trusted to carry out macroscopic examination and “cut-up” independently</w:t>
            </w:r>
          </w:p>
        </w:tc>
        <w:tc>
          <w:tcPr>
            <w:tcW w:w="1553" w:type="dxa"/>
          </w:tcPr>
          <w:p w14:paraId="1E61ED50"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1507" w:type="dxa"/>
          </w:tcPr>
          <w:p w14:paraId="2DD9DEE5"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r>
      <w:tr w:rsidR="00863DF5" w:rsidRPr="006F3B00" w14:paraId="5FA43DF8" w14:textId="77777777" w:rsidTr="004F3F6F">
        <w:tc>
          <w:tcPr>
            <w:tcW w:w="5580" w:type="dxa"/>
            <w:shd w:val="clear" w:color="auto" w:fill="FF7C80"/>
          </w:tcPr>
          <w:p w14:paraId="73F88F10" w14:textId="77777777" w:rsidR="00863DF5" w:rsidRPr="006F3B00" w:rsidRDefault="00863DF5" w:rsidP="002577DE">
            <w:pPr>
              <w:spacing w:line="240" w:lineRule="auto"/>
              <w:rPr>
                <w:rFonts w:ascii="Times New Roman" w:hAnsi="Times New Roman" w:cs="Times New Roman"/>
                <w:sz w:val="24"/>
                <w:szCs w:val="24"/>
              </w:rPr>
            </w:pPr>
            <w:r w:rsidRPr="006F3B00">
              <w:rPr>
                <w:rFonts w:ascii="Times New Roman" w:hAnsi="Times New Roman" w:cs="Times New Roman"/>
                <w:sz w:val="24"/>
                <w:szCs w:val="24"/>
              </w:rPr>
              <w:t>21. Trainee can be trusted to report independently (the consultant does not check the report and the trainee authorises it)</w:t>
            </w:r>
          </w:p>
        </w:tc>
        <w:tc>
          <w:tcPr>
            <w:tcW w:w="1553" w:type="dxa"/>
          </w:tcPr>
          <w:p w14:paraId="21954516"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c>
          <w:tcPr>
            <w:tcW w:w="1507" w:type="dxa"/>
          </w:tcPr>
          <w:p w14:paraId="76882299"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r>
      <w:tr w:rsidR="00863DF5" w:rsidRPr="006F3B00" w14:paraId="1FA69376" w14:textId="77777777" w:rsidTr="004F3F6F">
        <w:tc>
          <w:tcPr>
            <w:tcW w:w="5580" w:type="dxa"/>
            <w:shd w:val="clear" w:color="auto" w:fill="FF7C80"/>
          </w:tcPr>
          <w:p w14:paraId="3AEA2CA2" w14:textId="784DF3AA" w:rsidR="00863DF5" w:rsidRPr="006F3B00" w:rsidRDefault="00863DF5" w:rsidP="008917A8">
            <w:pPr>
              <w:spacing w:line="240" w:lineRule="auto"/>
              <w:rPr>
                <w:rFonts w:ascii="Times New Roman" w:hAnsi="Times New Roman" w:cs="Times New Roman"/>
                <w:sz w:val="24"/>
                <w:szCs w:val="24"/>
              </w:rPr>
            </w:pPr>
            <w:r w:rsidRPr="006F3B00">
              <w:rPr>
                <w:rFonts w:ascii="Times New Roman" w:hAnsi="Times New Roman" w:cs="Times New Roman"/>
                <w:sz w:val="24"/>
                <w:szCs w:val="24"/>
              </w:rPr>
              <w:t>23. Your opinion of a trainee’s diagnostic competence is related to an overa</w:t>
            </w:r>
            <w:r w:rsidR="008917A8">
              <w:rPr>
                <w:rFonts w:ascii="Times New Roman" w:hAnsi="Times New Roman" w:cs="Times New Roman"/>
                <w:sz w:val="24"/>
                <w:szCs w:val="24"/>
              </w:rPr>
              <w:t>ll impression you have of them</w:t>
            </w:r>
          </w:p>
        </w:tc>
        <w:tc>
          <w:tcPr>
            <w:tcW w:w="1553" w:type="dxa"/>
          </w:tcPr>
          <w:p w14:paraId="44BF1F03"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1507" w:type="dxa"/>
          </w:tcPr>
          <w:p w14:paraId="73159FF6"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r>
    </w:tbl>
    <w:p w14:paraId="7EC546EF" w14:textId="1DA5DE01" w:rsidR="00E1668B" w:rsidRDefault="00E1668B" w:rsidP="00E1668B">
      <w:pPr>
        <w:spacing w:line="240" w:lineRule="auto"/>
        <w:rPr>
          <w:rFonts w:ascii="Times New Roman" w:hAnsi="Times New Roman" w:cs="Times New Roman"/>
          <w:sz w:val="24"/>
          <w:szCs w:val="24"/>
        </w:rPr>
      </w:pPr>
      <w:r>
        <w:rPr>
          <w:rFonts w:ascii="Times New Roman" w:hAnsi="Times New Roman" w:cs="Times New Roman"/>
          <w:b/>
          <w:sz w:val="24"/>
          <w:szCs w:val="24"/>
        </w:rPr>
        <w:t>Table 5.5</w:t>
      </w:r>
      <w:r w:rsidRPr="006F3B00">
        <w:rPr>
          <w:rFonts w:ascii="Times New Roman" w:hAnsi="Times New Roman" w:cs="Times New Roman"/>
          <w:b/>
          <w:sz w:val="24"/>
          <w:szCs w:val="24"/>
        </w:rPr>
        <w:t>. Summary of items which did not reach consensus</w:t>
      </w:r>
      <w:r>
        <w:rPr>
          <w:rFonts w:ascii="Times New Roman" w:hAnsi="Times New Roman" w:cs="Times New Roman"/>
          <w:b/>
          <w:sz w:val="24"/>
          <w:szCs w:val="24"/>
        </w:rPr>
        <w:t xml:space="preserve"> after round 1. </w:t>
      </w:r>
      <w:r w:rsidRPr="006F3B00">
        <w:rPr>
          <w:rFonts w:ascii="Times New Roman" w:hAnsi="Times New Roman" w:cs="Times New Roman"/>
          <w:sz w:val="24"/>
          <w:szCs w:val="24"/>
        </w:rPr>
        <w:t>Condition 1: “Consensus in” is when &gt;70% of participants scored the item as 8-1</w:t>
      </w:r>
      <w:r>
        <w:rPr>
          <w:rFonts w:ascii="Times New Roman" w:hAnsi="Times New Roman" w:cs="Times New Roman"/>
          <w:sz w:val="24"/>
          <w:szCs w:val="24"/>
        </w:rPr>
        <w:t>0 (definitely important) and &lt;15</w:t>
      </w:r>
      <w:r w:rsidRPr="006F3B00">
        <w:rPr>
          <w:rFonts w:ascii="Times New Roman" w:hAnsi="Times New Roman" w:cs="Times New Roman"/>
          <w:sz w:val="24"/>
          <w:szCs w:val="24"/>
        </w:rPr>
        <w:t>% have scored it 1-3 (definitely not important). “Consensus out” was when &gt;70% of participants scored an item 1-3 and &lt;1</w:t>
      </w:r>
      <w:r>
        <w:rPr>
          <w:rFonts w:ascii="Times New Roman" w:hAnsi="Times New Roman" w:cs="Times New Roman"/>
          <w:sz w:val="24"/>
          <w:szCs w:val="24"/>
        </w:rPr>
        <w:t xml:space="preserve">5% participants scored it 8-10. </w:t>
      </w:r>
      <w:r w:rsidRPr="006F3B00">
        <w:rPr>
          <w:rFonts w:ascii="Times New Roman" w:hAnsi="Times New Roman" w:cs="Times New Roman"/>
          <w:sz w:val="24"/>
          <w:szCs w:val="24"/>
        </w:rPr>
        <w:t>Condition 2: IQR must be ≤2 to reach consensus in or out.</w:t>
      </w:r>
      <w:r>
        <w:rPr>
          <w:rFonts w:ascii="Times New Roman" w:hAnsi="Times New Roman" w:cs="Times New Roman"/>
          <w:sz w:val="24"/>
          <w:szCs w:val="24"/>
        </w:rPr>
        <w:t xml:space="preserve"> Note, some items have been shortened for reasons of clarity.</w:t>
      </w:r>
    </w:p>
    <w:p w14:paraId="7F427D4A" w14:textId="77777777" w:rsidR="004F3F6F" w:rsidRPr="00924448" w:rsidRDefault="004F3F6F" w:rsidP="00E1668B">
      <w:pPr>
        <w:spacing w:line="240" w:lineRule="auto"/>
        <w:rPr>
          <w:rFonts w:ascii="Times New Roman" w:hAnsi="Times New Roman" w:cs="Times New Roman"/>
          <w:sz w:val="24"/>
          <w:szCs w:val="24"/>
        </w:rPr>
      </w:pPr>
    </w:p>
    <w:p w14:paraId="7B7571B8" w14:textId="77777777" w:rsidR="00D831E9" w:rsidRPr="00924448" w:rsidRDefault="00D831E9" w:rsidP="00D831E9">
      <w:pPr>
        <w:spacing w:line="480" w:lineRule="auto"/>
        <w:rPr>
          <w:rFonts w:ascii="Times New Roman" w:hAnsi="Times New Roman" w:cs="Times New Roman"/>
          <w:sz w:val="24"/>
          <w:szCs w:val="24"/>
        </w:rPr>
      </w:pPr>
      <w:r>
        <w:rPr>
          <w:rFonts w:ascii="Times New Roman" w:hAnsi="Times New Roman" w:cs="Times New Roman"/>
          <w:sz w:val="24"/>
          <w:szCs w:val="24"/>
        </w:rPr>
        <w:t>Table 5.5 shows that items 1, 2, 4, 9, 10 and 23 failed to meet both conditions 1 and 2. Items 5 and 21 failed to meet condition 1 only. Items 15 and 19 failed to meet condition 2 only.</w:t>
      </w:r>
    </w:p>
    <w:p w14:paraId="20916E0C" w14:textId="77777777" w:rsidR="00BC24A3" w:rsidRDefault="00BC24A3" w:rsidP="00863DF5">
      <w:pPr>
        <w:spacing w:line="480" w:lineRule="auto"/>
        <w:rPr>
          <w:rFonts w:ascii="Times New Roman" w:hAnsi="Times New Roman" w:cs="Times New Roman"/>
          <w:sz w:val="24"/>
          <w:szCs w:val="24"/>
        </w:rPr>
      </w:pPr>
    </w:p>
    <w:p w14:paraId="790006A3" w14:textId="4EBF85DB"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Five participants provided feedback on the 27 items pres</w:t>
      </w:r>
      <w:r w:rsidR="00621BC3">
        <w:rPr>
          <w:rFonts w:ascii="Times New Roman" w:hAnsi="Times New Roman" w:cs="Times New Roman"/>
          <w:sz w:val="24"/>
          <w:szCs w:val="24"/>
        </w:rPr>
        <w:t>ented to them in round 1. Feedback included</w:t>
      </w:r>
      <w:r w:rsidRPr="006F3B00">
        <w:rPr>
          <w:rFonts w:ascii="Times New Roman" w:hAnsi="Times New Roman" w:cs="Times New Roman"/>
          <w:sz w:val="24"/>
          <w:szCs w:val="24"/>
        </w:rPr>
        <w:t xml:space="preserve"> observations such as:</w:t>
      </w:r>
    </w:p>
    <w:p w14:paraId="110B9AF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i/>
          <w:sz w:val="24"/>
          <w:szCs w:val="24"/>
        </w:rPr>
        <w:t xml:space="preserve">“They are difficult propositions to rate because they are all very important. They are a bit like answering “When breathing, oxygen is important 1 …… 10”. </w:t>
      </w:r>
    </w:p>
    <w:p w14:paraId="0544EA66" w14:textId="27B79CCC"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i/>
          <w:sz w:val="24"/>
          <w:szCs w:val="24"/>
        </w:rPr>
        <w:t xml:space="preserve">“In this I have </w:t>
      </w:r>
      <w:r w:rsidR="00663624" w:rsidRPr="006F3B00">
        <w:rPr>
          <w:rFonts w:ascii="Times New Roman" w:hAnsi="Times New Roman" w:cs="Times New Roman"/>
          <w:i/>
          <w:sz w:val="24"/>
          <w:szCs w:val="24"/>
        </w:rPr>
        <w:t>focused</w:t>
      </w:r>
      <w:r w:rsidRPr="006F3B00">
        <w:rPr>
          <w:rFonts w:ascii="Times New Roman" w:hAnsi="Times New Roman" w:cs="Times New Roman"/>
          <w:i/>
          <w:sz w:val="24"/>
          <w:szCs w:val="24"/>
        </w:rPr>
        <w:t xml:space="preserve"> on diagnostic competence per se and largely ignored other factors which make one a rounded, safe and balanced senior clinician (of which there are a few within these questions).</w:t>
      </w:r>
      <w:r w:rsidRPr="006F3B00">
        <w:rPr>
          <w:rFonts w:ascii="Times New Roman" w:hAnsi="Times New Roman" w:cs="Times New Roman"/>
          <w:sz w:val="24"/>
          <w:szCs w:val="24"/>
        </w:rPr>
        <w:t xml:space="preserve"> </w:t>
      </w:r>
      <w:r w:rsidRPr="006F3B00">
        <w:rPr>
          <w:rFonts w:ascii="Times New Roman" w:hAnsi="Times New Roman" w:cs="Times New Roman"/>
          <w:i/>
          <w:sz w:val="24"/>
          <w:szCs w:val="24"/>
        </w:rPr>
        <w:t xml:space="preserve">Some of these are complexly interrelated and whilst on their own are not important, are functions of other traits”. </w:t>
      </w:r>
    </w:p>
    <w:p w14:paraId="3FE0F76A"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However, more specific feedback which related to how items might be amended for the next round included:</w:t>
      </w:r>
    </w:p>
    <w:p w14:paraId="3480655D" w14:textId="77777777" w:rsidR="00863DF5" w:rsidRPr="006F3B00" w:rsidRDefault="00863DF5" w:rsidP="00863DF5">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 xml:space="preserve"> “The questions do not differentiate between a year 1 trainee and a year 5 one. Some of my answers might be different if stage of training was included”</w:t>
      </w:r>
    </w:p>
    <w:p w14:paraId="3CBD820B" w14:textId="77777777" w:rsidR="00863DF5" w:rsidRPr="006F3B00" w:rsidRDefault="00863DF5" w:rsidP="00863DF5">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“Many of your statements need clarification with the year of training – because this will make a huge difference”.</w:t>
      </w:r>
    </w:p>
    <w:p w14:paraId="4D32B0FE" w14:textId="55160380" w:rsidR="00863DF5" w:rsidRPr="00756CB1"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As a result, the following items</w:t>
      </w:r>
      <w:r w:rsidR="00570856">
        <w:rPr>
          <w:rFonts w:ascii="Times New Roman" w:hAnsi="Times New Roman" w:cs="Times New Roman"/>
          <w:sz w:val="24"/>
          <w:szCs w:val="24"/>
        </w:rPr>
        <w:t xml:space="preserve"> (under their respective headings)</w:t>
      </w:r>
      <w:r w:rsidRPr="006F3B00">
        <w:rPr>
          <w:rFonts w:ascii="Times New Roman" w:hAnsi="Times New Roman" w:cs="Times New Roman"/>
          <w:sz w:val="24"/>
          <w:szCs w:val="24"/>
        </w:rPr>
        <w:t xml:space="preserve"> were amended for round 2 to </w:t>
      </w:r>
      <w:r w:rsidRPr="00756CB1">
        <w:rPr>
          <w:rFonts w:ascii="Times New Roman" w:hAnsi="Times New Roman" w:cs="Times New Roman"/>
          <w:sz w:val="24"/>
          <w:szCs w:val="24"/>
        </w:rPr>
        <w:t>incorporate the stage of training (</w:t>
      </w:r>
      <w:r w:rsidR="00756CB1" w:rsidRPr="00756CB1">
        <w:rPr>
          <w:rFonts w:ascii="Times New Roman" w:hAnsi="Times New Roman" w:cs="Times New Roman"/>
          <w:sz w:val="24"/>
          <w:szCs w:val="24"/>
        </w:rPr>
        <w:t>bold text</w:t>
      </w:r>
      <w:r w:rsidRPr="00756CB1">
        <w:rPr>
          <w:rFonts w:ascii="Times New Roman" w:hAnsi="Times New Roman" w:cs="Times New Roman"/>
          <w:sz w:val="24"/>
          <w:szCs w:val="24"/>
        </w:rPr>
        <w:t xml:space="preserve"> indicates amendment):</w:t>
      </w:r>
    </w:p>
    <w:p w14:paraId="63E4409C" w14:textId="6784B1F4" w:rsidR="00895929" w:rsidRPr="00E1668B" w:rsidRDefault="00895929" w:rsidP="00863DF5">
      <w:pPr>
        <w:spacing w:line="480" w:lineRule="auto"/>
        <w:rPr>
          <w:rFonts w:ascii="Times New Roman" w:hAnsi="Times New Roman" w:cs="Times New Roman"/>
          <w:sz w:val="24"/>
          <w:szCs w:val="24"/>
          <w:u w:val="single"/>
        </w:rPr>
      </w:pPr>
      <w:r w:rsidRPr="00E1668B">
        <w:rPr>
          <w:rFonts w:ascii="Times New Roman" w:hAnsi="Times New Roman" w:cs="Times New Roman"/>
          <w:sz w:val="24"/>
          <w:szCs w:val="24"/>
          <w:u w:val="single"/>
        </w:rPr>
        <w:t>Forming a diagnosis</w:t>
      </w:r>
    </w:p>
    <w:p w14:paraId="2CBCE7AD" w14:textId="77777777" w:rsidR="00863DF5" w:rsidRPr="00756CB1" w:rsidRDefault="00863DF5" w:rsidP="00863DF5">
      <w:pPr>
        <w:spacing w:line="480" w:lineRule="auto"/>
        <w:rPr>
          <w:rFonts w:ascii="Times New Roman" w:hAnsi="Times New Roman" w:cs="Times New Roman"/>
          <w:sz w:val="24"/>
          <w:szCs w:val="24"/>
        </w:rPr>
      </w:pPr>
      <w:r w:rsidRPr="00756CB1">
        <w:rPr>
          <w:rFonts w:ascii="Times New Roman" w:hAnsi="Times New Roman" w:cs="Times New Roman"/>
          <w:sz w:val="24"/>
          <w:szCs w:val="24"/>
        </w:rPr>
        <w:t xml:space="preserve">Item 9: The diagnosis </w:t>
      </w:r>
      <w:r w:rsidRPr="00756CB1">
        <w:rPr>
          <w:rFonts w:ascii="Times New Roman" w:hAnsi="Times New Roman" w:cs="Times New Roman"/>
          <w:b/>
          <w:sz w:val="24"/>
          <w:szCs w:val="24"/>
        </w:rPr>
        <w:t>is commensurate with stage of training</w:t>
      </w:r>
    </w:p>
    <w:p w14:paraId="6610A4CC" w14:textId="046D474B" w:rsidR="00863DF5" w:rsidRPr="00756CB1" w:rsidRDefault="00863DF5" w:rsidP="00863DF5">
      <w:pPr>
        <w:spacing w:line="480" w:lineRule="auto"/>
        <w:rPr>
          <w:rFonts w:ascii="Times New Roman" w:hAnsi="Times New Roman" w:cs="Times New Roman"/>
          <w:sz w:val="24"/>
          <w:szCs w:val="24"/>
        </w:rPr>
      </w:pPr>
      <w:r w:rsidRPr="00756CB1">
        <w:rPr>
          <w:rFonts w:ascii="Times New Roman" w:hAnsi="Times New Roman" w:cs="Times New Roman"/>
          <w:sz w:val="24"/>
          <w:szCs w:val="24"/>
        </w:rPr>
        <w:t xml:space="preserve">Item 10: Trainee consistently produces </w:t>
      </w:r>
      <w:r w:rsidRPr="00756CB1">
        <w:rPr>
          <w:rFonts w:ascii="Times New Roman" w:hAnsi="Times New Roman" w:cs="Times New Roman"/>
          <w:b/>
          <w:sz w:val="24"/>
          <w:szCs w:val="24"/>
        </w:rPr>
        <w:t>a diagnosis commensurate with stage of training</w:t>
      </w:r>
    </w:p>
    <w:p w14:paraId="6F54B760" w14:textId="065FA2E3" w:rsidR="00895929" w:rsidRPr="00E1668B" w:rsidRDefault="00B6247F" w:rsidP="00863DF5">
      <w:pPr>
        <w:spacing w:line="480" w:lineRule="auto"/>
        <w:rPr>
          <w:rFonts w:ascii="Times New Roman" w:hAnsi="Times New Roman" w:cs="Times New Roman"/>
          <w:sz w:val="24"/>
          <w:szCs w:val="24"/>
          <w:u w:val="single"/>
        </w:rPr>
      </w:pPr>
      <w:r w:rsidRPr="00E1668B">
        <w:rPr>
          <w:rFonts w:ascii="Times New Roman" w:hAnsi="Times New Roman" w:cs="Times New Roman"/>
          <w:sz w:val="24"/>
          <w:szCs w:val="24"/>
          <w:u w:val="single"/>
        </w:rPr>
        <w:t>Trust</w:t>
      </w:r>
    </w:p>
    <w:p w14:paraId="278F14DB" w14:textId="77777777" w:rsidR="00863DF5" w:rsidRPr="00756CB1" w:rsidRDefault="00863DF5" w:rsidP="00863DF5">
      <w:pPr>
        <w:spacing w:line="480" w:lineRule="auto"/>
        <w:rPr>
          <w:rFonts w:ascii="Times New Roman" w:hAnsi="Times New Roman" w:cs="Times New Roman"/>
          <w:sz w:val="24"/>
          <w:szCs w:val="24"/>
        </w:rPr>
      </w:pPr>
      <w:r w:rsidRPr="00756CB1">
        <w:rPr>
          <w:rFonts w:ascii="Times New Roman" w:hAnsi="Times New Roman" w:cs="Times New Roman"/>
          <w:sz w:val="24"/>
          <w:szCs w:val="24"/>
        </w:rPr>
        <w:lastRenderedPageBreak/>
        <w:t xml:space="preserve">Item 19: Trainee can be trusted to carry out macroscopic examination and “cut-up” independently </w:t>
      </w:r>
      <w:r w:rsidRPr="00756CB1">
        <w:rPr>
          <w:rFonts w:ascii="Times New Roman" w:hAnsi="Times New Roman" w:cs="Times New Roman"/>
          <w:b/>
          <w:sz w:val="24"/>
          <w:szCs w:val="24"/>
        </w:rPr>
        <w:t>commensurate with stage of training</w:t>
      </w:r>
    </w:p>
    <w:p w14:paraId="371FDADE" w14:textId="77777777" w:rsidR="00863DF5" w:rsidRPr="00756CB1" w:rsidRDefault="00863DF5" w:rsidP="00863DF5">
      <w:pPr>
        <w:spacing w:line="480" w:lineRule="auto"/>
        <w:rPr>
          <w:rFonts w:ascii="Times New Roman" w:hAnsi="Times New Roman" w:cs="Times New Roman"/>
          <w:sz w:val="24"/>
          <w:szCs w:val="24"/>
        </w:rPr>
      </w:pPr>
      <w:r w:rsidRPr="00756CB1">
        <w:rPr>
          <w:rFonts w:ascii="Times New Roman" w:hAnsi="Times New Roman" w:cs="Times New Roman"/>
          <w:sz w:val="24"/>
          <w:szCs w:val="24"/>
        </w:rPr>
        <w:t xml:space="preserve">Item 21: </w:t>
      </w:r>
      <w:r w:rsidRPr="00756CB1">
        <w:rPr>
          <w:rFonts w:ascii="Times New Roman" w:hAnsi="Times New Roman" w:cs="Times New Roman"/>
          <w:b/>
          <w:sz w:val="24"/>
          <w:szCs w:val="24"/>
        </w:rPr>
        <w:t>Senior trainees</w:t>
      </w:r>
      <w:r w:rsidRPr="00756CB1">
        <w:rPr>
          <w:rFonts w:ascii="Times New Roman" w:hAnsi="Times New Roman" w:cs="Times New Roman"/>
          <w:sz w:val="24"/>
          <w:szCs w:val="24"/>
        </w:rPr>
        <w:t xml:space="preserve"> can be trusted to report independently (the consultant does not check the report and the trainee authorises it).</w:t>
      </w:r>
    </w:p>
    <w:p w14:paraId="5C1C5129" w14:textId="46EF4AC8" w:rsidR="00863DF5" w:rsidRPr="00756CB1" w:rsidRDefault="00863DF5" w:rsidP="00863DF5">
      <w:pPr>
        <w:spacing w:line="480" w:lineRule="auto"/>
        <w:rPr>
          <w:rFonts w:ascii="Times New Roman" w:hAnsi="Times New Roman" w:cs="Times New Roman"/>
          <w:sz w:val="24"/>
          <w:szCs w:val="24"/>
        </w:rPr>
      </w:pPr>
      <w:r w:rsidRPr="00756CB1">
        <w:rPr>
          <w:rFonts w:ascii="Times New Roman" w:hAnsi="Times New Roman" w:cs="Times New Roman"/>
          <w:sz w:val="24"/>
          <w:szCs w:val="24"/>
        </w:rPr>
        <w:t xml:space="preserve">A further comment from a participant was </w:t>
      </w:r>
      <w:r w:rsidRPr="00756CB1">
        <w:rPr>
          <w:rFonts w:ascii="Times New Roman" w:hAnsi="Times New Roman" w:cs="Times New Roman"/>
          <w:i/>
          <w:sz w:val="24"/>
          <w:szCs w:val="24"/>
        </w:rPr>
        <w:t xml:space="preserve">“Exhibiting ownership of cases, i.e. acting to take responsibility and not as a consultant’s assistant pathologist, independent initiative to sort cases out”. </w:t>
      </w:r>
      <w:r w:rsidRPr="00756CB1">
        <w:rPr>
          <w:rFonts w:ascii="Times New Roman" w:hAnsi="Times New Roman" w:cs="Times New Roman"/>
          <w:sz w:val="24"/>
          <w:szCs w:val="24"/>
        </w:rPr>
        <w:t xml:space="preserve">Therefore item 20 </w:t>
      </w:r>
      <w:r w:rsidR="00B6247F" w:rsidRPr="00756CB1">
        <w:rPr>
          <w:rFonts w:ascii="Times New Roman" w:hAnsi="Times New Roman" w:cs="Times New Roman"/>
          <w:sz w:val="24"/>
          <w:szCs w:val="24"/>
        </w:rPr>
        <w:t xml:space="preserve">under ‘Trust’ </w:t>
      </w:r>
      <w:r w:rsidRPr="00756CB1">
        <w:rPr>
          <w:rFonts w:ascii="Times New Roman" w:hAnsi="Times New Roman" w:cs="Times New Roman"/>
          <w:sz w:val="24"/>
          <w:szCs w:val="24"/>
        </w:rPr>
        <w:t>was amended to reflect this stance:</w:t>
      </w:r>
      <w:r w:rsidR="00895929" w:rsidRPr="00756CB1">
        <w:rPr>
          <w:rFonts w:ascii="Times New Roman" w:hAnsi="Times New Roman" w:cs="Times New Roman"/>
          <w:sz w:val="24"/>
          <w:szCs w:val="24"/>
        </w:rPr>
        <w:t xml:space="preserve"> </w:t>
      </w:r>
    </w:p>
    <w:p w14:paraId="45627BEB" w14:textId="77777777" w:rsidR="00863DF5" w:rsidRPr="00756CB1" w:rsidRDefault="00863DF5" w:rsidP="00863DF5">
      <w:pPr>
        <w:spacing w:line="480" w:lineRule="auto"/>
        <w:rPr>
          <w:rFonts w:ascii="Times New Roman" w:hAnsi="Times New Roman" w:cs="Times New Roman"/>
          <w:sz w:val="24"/>
          <w:szCs w:val="24"/>
        </w:rPr>
      </w:pPr>
      <w:r w:rsidRPr="00756CB1">
        <w:rPr>
          <w:rFonts w:ascii="Times New Roman" w:hAnsi="Times New Roman" w:cs="Times New Roman"/>
          <w:sz w:val="24"/>
          <w:szCs w:val="24"/>
        </w:rPr>
        <w:t xml:space="preserve">Item 20: Trainee can be trusted to manage cases, </w:t>
      </w:r>
      <w:r w:rsidRPr="00756CB1">
        <w:rPr>
          <w:rFonts w:ascii="Times New Roman" w:hAnsi="Times New Roman" w:cs="Times New Roman"/>
          <w:b/>
          <w:sz w:val="24"/>
          <w:szCs w:val="24"/>
        </w:rPr>
        <w:t>showing ownership and initiative</w:t>
      </w:r>
      <w:r w:rsidRPr="00756CB1">
        <w:rPr>
          <w:rFonts w:ascii="Times New Roman" w:hAnsi="Times New Roman" w:cs="Times New Roman"/>
          <w:sz w:val="24"/>
          <w:szCs w:val="24"/>
        </w:rPr>
        <w:t xml:space="preserve"> (however, the consultant will check the reports and authorise them).</w:t>
      </w:r>
    </w:p>
    <w:p w14:paraId="5FFAD9CF" w14:textId="1C2C2B0B" w:rsidR="00570856" w:rsidRPr="00756CB1" w:rsidRDefault="00570856" w:rsidP="00863DF5">
      <w:pPr>
        <w:spacing w:line="480" w:lineRule="auto"/>
        <w:rPr>
          <w:rFonts w:ascii="Times New Roman" w:hAnsi="Times New Roman" w:cs="Times New Roman"/>
          <w:b/>
          <w:sz w:val="24"/>
          <w:szCs w:val="24"/>
        </w:rPr>
      </w:pPr>
      <w:r w:rsidRPr="00756CB1">
        <w:rPr>
          <w:rFonts w:ascii="Times New Roman" w:hAnsi="Times New Roman" w:cs="Times New Roman"/>
          <w:b/>
          <w:sz w:val="24"/>
          <w:szCs w:val="24"/>
        </w:rPr>
        <w:t>The patient’s report</w:t>
      </w:r>
    </w:p>
    <w:p w14:paraId="6E38C108" w14:textId="781F09E3" w:rsidR="00863DF5" w:rsidRPr="006F3B00" w:rsidRDefault="00863DF5" w:rsidP="00863DF5">
      <w:pPr>
        <w:spacing w:line="480" w:lineRule="auto"/>
        <w:rPr>
          <w:rFonts w:ascii="Times New Roman" w:hAnsi="Times New Roman" w:cs="Times New Roman"/>
          <w:sz w:val="24"/>
          <w:szCs w:val="24"/>
        </w:rPr>
      </w:pPr>
      <w:r w:rsidRPr="00756CB1">
        <w:rPr>
          <w:rFonts w:ascii="Times New Roman" w:hAnsi="Times New Roman" w:cs="Times New Roman"/>
          <w:sz w:val="24"/>
          <w:szCs w:val="24"/>
        </w:rPr>
        <w:t>In addition</w:t>
      </w:r>
      <w:r w:rsidR="00756CB1">
        <w:rPr>
          <w:rFonts w:ascii="Times New Roman" w:hAnsi="Times New Roman" w:cs="Times New Roman"/>
          <w:sz w:val="24"/>
          <w:szCs w:val="24"/>
        </w:rPr>
        <w:t>,</w:t>
      </w:r>
      <w:r w:rsidRPr="00756CB1">
        <w:rPr>
          <w:rFonts w:ascii="Times New Roman" w:hAnsi="Times New Roman" w:cs="Times New Roman"/>
          <w:sz w:val="24"/>
          <w:szCs w:val="24"/>
        </w:rPr>
        <w:t xml:space="preserve"> item 25</w:t>
      </w:r>
      <w:r w:rsidR="00756CB1">
        <w:rPr>
          <w:rFonts w:ascii="Times New Roman" w:hAnsi="Times New Roman" w:cs="Times New Roman"/>
          <w:sz w:val="24"/>
          <w:szCs w:val="24"/>
        </w:rPr>
        <w:t>,</w:t>
      </w:r>
      <w:r w:rsidRPr="00756CB1">
        <w:rPr>
          <w:rFonts w:ascii="Times New Roman" w:hAnsi="Times New Roman" w:cs="Times New Roman"/>
          <w:sz w:val="24"/>
          <w:szCs w:val="24"/>
        </w:rPr>
        <w:t xml:space="preserve"> </w:t>
      </w:r>
      <w:r w:rsidR="00895929" w:rsidRPr="00756CB1">
        <w:rPr>
          <w:rFonts w:ascii="Times New Roman" w:hAnsi="Times New Roman" w:cs="Times New Roman"/>
          <w:sz w:val="24"/>
          <w:szCs w:val="24"/>
        </w:rPr>
        <w:t xml:space="preserve">under ‘The patients report’ </w:t>
      </w:r>
      <w:r w:rsidRPr="00756CB1">
        <w:rPr>
          <w:rFonts w:ascii="Times New Roman" w:hAnsi="Times New Roman" w:cs="Times New Roman"/>
          <w:sz w:val="24"/>
          <w:szCs w:val="24"/>
        </w:rPr>
        <w:t xml:space="preserve">was amended </w:t>
      </w:r>
      <w:r w:rsidR="00663624" w:rsidRPr="00756CB1">
        <w:rPr>
          <w:rFonts w:ascii="Times New Roman" w:hAnsi="Times New Roman" w:cs="Times New Roman"/>
          <w:sz w:val="24"/>
          <w:szCs w:val="24"/>
        </w:rPr>
        <w:t>as in retr</w:t>
      </w:r>
      <w:r w:rsidR="000A5350" w:rsidRPr="00756CB1">
        <w:rPr>
          <w:rFonts w:ascii="Times New Roman" w:hAnsi="Times New Roman" w:cs="Times New Roman"/>
          <w:sz w:val="24"/>
          <w:szCs w:val="24"/>
        </w:rPr>
        <w:t xml:space="preserve">ospect it did not read clearly. </w:t>
      </w:r>
      <w:r w:rsidRPr="00756CB1">
        <w:rPr>
          <w:rFonts w:ascii="Times New Roman" w:hAnsi="Times New Roman" w:cs="Times New Roman"/>
          <w:sz w:val="24"/>
          <w:szCs w:val="24"/>
        </w:rPr>
        <w:t xml:space="preserve">In round 1 it read: “Report is useful to the clinician/surgeon e.g. it does not contain unnecessary information or detail; it shows the surgeon’s clinical differential diagnoses have been considered”. In round 2 it was changed to: </w:t>
      </w:r>
      <w:r w:rsidRPr="00756CB1">
        <w:rPr>
          <w:rFonts w:ascii="Times New Roman" w:hAnsi="Times New Roman" w:cs="Times New Roman"/>
          <w:b/>
          <w:sz w:val="24"/>
          <w:szCs w:val="24"/>
        </w:rPr>
        <w:t>The trainee ensures the</w:t>
      </w:r>
      <w:r w:rsidRPr="00756CB1">
        <w:rPr>
          <w:rFonts w:ascii="Times New Roman" w:hAnsi="Times New Roman" w:cs="Times New Roman"/>
          <w:sz w:val="24"/>
          <w:szCs w:val="24"/>
        </w:rPr>
        <w:t xml:space="preserve"> report is useful to the clinician/surgeon, </w:t>
      </w:r>
      <w:r w:rsidRPr="00756CB1">
        <w:rPr>
          <w:rFonts w:ascii="Times New Roman" w:hAnsi="Times New Roman" w:cs="Times New Roman"/>
          <w:b/>
          <w:sz w:val="24"/>
          <w:szCs w:val="24"/>
        </w:rPr>
        <w:t xml:space="preserve">only contains appropriate information and shows the </w:t>
      </w:r>
      <w:r w:rsidRPr="00756CB1">
        <w:rPr>
          <w:rFonts w:ascii="Times New Roman" w:hAnsi="Times New Roman" w:cs="Times New Roman"/>
          <w:sz w:val="24"/>
          <w:szCs w:val="24"/>
        </w:rPr>
        <w:t xml:space="preserve">surgeon’s clinical differential diagnoses </w:t>
      </w:r>
      <w:r w:rsidRPr="006F3B00">
        <w:rPr>
          <w:rFonts w:ascii="Times New Roman" w:hAnsi="Times New Roman" w:cs="Times New Roman"/>
          <w:sz w:val="24"/>
          <w:szCs w:val="24"/>
        </w:rPr>
        <w:t>have been considered</w:t>
      </w:r>
      <w:r w:rsidR="00AE61EB">
        <w:rPr>
          <w:rFonts w:ascii="Times New Roman" w:hAnsi="Times New Roman" w:cs="Times New Roman"/>
          <w:sz w:val="24"/>
          <w:szCs w:val="24"/>
        </w:rPr>
        <w:t xml:space="preserve">. </w:t>
      </w:r>
      <w:r w:rsidR="00756CB1">
        <w:rPr>
          <w:rFonts w:ascii="Times New Roman" w:hAnsi="Times New Roman" w:cs="Times New Roman"/>
          <w:sz w:val="24"/>
          <w:szCs w:val="24"/>
        </w:rPr>
        <w:t xml:space="preserve">Of note, however, </w:t>
      </w:r>
      <w:r w:rsidR="00AE61EB">
        <w:rPr>
          <w:rFonts w:ascii="Times New Roman" w:hAnsi="Times New Roman" w:cs="Times New Roman"/>
          <w:sz w:val="24"/>
          <w:szCs w:val="24"/>
        </w:rPr>
        <w:t xml:space="preserve">item 25 reached consensus in round 1. </w:t>
      </w:r>
    </w:p>
    <w:p w14:paraId="125247DF" w14:textId="3471B996" w:rsidR="00863DF5" w:rsidRPr="00924448" w:rsidRDefault="00895929" w:rsidP="00863DF5">
      <w:pPr>
        <w:spacing w:line="480" w:lineRule="auto"/>
        <w:rPr>
          <w:rFonts w:ascii="Times New Roman" w:hAnsi="Times New Roman" w:cs="Times New Roman"/>
          <w:sz w:val="24"/>
          <w:szCs w:val="24"/>
        </w:rPr>
      </w:pPr>
      <w:r>
        <w:rPr>
          <w:rFonts w:ascii="Times New Roman" w:hAnsi="Times New Roman" w:cs="Times New Roman"/>
          <w:sz w:val="24"/>
          <w:szCs w:val="24"/>
        </w:rPr>
        <w:t>Delphi p</w:t>
      </w:r>
      <w:r w:rsidR="00863DF5" w:rsidRPr="006F3B00">
        <w:rPr>
          <w:rFonts w:ascii="Times New Roman" w:hAnsi="Times New Roman" w:cs="Times New Roman"/>
          <w:sz w:val="24"/>
          <w:szCs w:val="24"/>
        </w:rPr>
        <w:t>anel members did not suggest any additional items to the origina</w:t>
      </w:r>
      <w:r w:rsidR="00924448">
        <w:rPr>
          <w:rFonts w:ascii="Times New Roman" w:hAnsi="Times New Roman" w:cs="Times New Roman"/>
          <w:sz w:val="24"/>
          <w:szCs w:val="24"/>
        </w:rPr>
        <w:t>l 27 items provided in round 1.</w:t>
      </w:r>
    </w:p>
    <w:p w14:paraId="799BE224" w14:textId="7B4F6A0B" w:rsidR="00863DF5" w:rsidRDefault="007A712D" w:rsidP="0087352C">
      <w:pPr>
        <w:pStyle w:val="Heading3"/>
        <w:rPr>
          <w:rFonts w:ascii="Times New Roman" w:hAnsi="Times New Roman" w:cs="Times New Roman"/>
          <w:color w:val="auto"/>
          <w:sz w:val="24"/>
          <w:szCs w:val="24"/>
        </w:rPr>
      </w:pPr>
      <w:bookmarkStart w:id="109" w:name="_Toc23243838"/>
      <w:r>
        <w:rPr>
          <w:rFonts w:ascii="Times New Roman" w:hAnsi="Times New Roman" w:cs="Times New Roman"/>
          <w:color w:val="auto"/>
          <w:sz w:val="24"/>
          <w:szCs w:val="24"/>
        </w:rPr>
        <w:t>5.4</w:t>
      </w:r>
      <w:r w:rsidR="0087352C" w:rsidRPr="006F3B00">
        <w:rPr>
          <w:rFonts w:ascii="Times New Roman" w:hAnsi="Times New Roman" w:cs="Times New Roman"/>
          <w:color w:val="auto"/>
          <w:sz w:val="24"/>
          <w:szCs w:val="24"/>
        </w:rPr>
        <w:t xml:space="preserve">.2 </w:t>
      </w:r>
      <w:r w:rsidR="00863DF5" w:rsidRPr="006F3B00">
        <w:rPr>
          <w:rFonts w:ascii="Times New Roman" w:hAnsi="Times New Roman" w:cs="Times New Roman"/>
          <w:color w:val="auto"/>
          <w:sz w:val="24"/>
          <w:szCs w:val="24"/>
        </w:rPr>
        <w:t>Round 2 rating of items</w:t>
      </w:r>
      <w:bookmarkEnd w:id="109"/>
    </w:p>
    <w:p w14:paraId="30A4183D" w14:textId="77777777" w:rsidR="00E1668B" w:rsidRPr="00E1668B" w:rsidRDefault="00E1668B" w:rsidP="00E1668B">
      <w:pPr>
        <w:rPr>
          <w:lang w:val="en-GB"/>
        </w:rPr>
      </w:pPr>
    </w:p>
    <w:p w14:paraId="7956B66C" w14:textId="77777777" w:rsidR="00BC24A3" w:rsidRDefault="00863DF5" w:rsidP="00BC24A3">
      <w:pPr>
        <w:spacing w:line="480" w:lineRule="auto"/>
        <w:rPr>
          <w:rFonts w:ascii="Times New Roman" w:hAnsi="Times New Roman" w:cs="Times New Roman"/>
          <w:sz w:val="24"/>
          <w:szCs w:val="24"/>
        </w:rPr>
      </w:pPr>
      <w:r w:rsidRPr="006F3B00">
        <w:rPr>
          <w:rFonts w:ascii="Times New Roman" w:hAnsi="Times New Roman" w:cs="Times New Roman"/>
          <w:sz w:val="24"/>
          <w:szCs w:val="24"/>
        </w:rPr>
        <w:t>The response rate for round 2 of the Delphi was 100%. The r</w:t>
      </w:r>
      <w:r w:rsidR="00621BC3">
        <w:rPr>
          <w:rFonts w:ascii="Times New Roman" w:hAnsi="Times New Roman" w:cs="Times New Roman"/>
          <w:sz w:val="24"/>
          <w:szCs w:val="24"/>
        </w:rPr>
        <w:t>esults are summarised in T</w:t>
      </w:r>
      <w:r w:rsidR="00810505">
        <w:rPr>
          <w:rFonts w:ascii="Times New Roman" w:hAnsi="Times New Roman" w:cs="Times New Roman"/>
          <w:sz w:val="24"/>
          <w:szCs w:val="24"/>
        </w:rPr>
        <w:t>able 5</w:t>
      </w:r>
      <w:r w:rsidR="00D8646A">
        <w:rPr>
          <w:rFonts w:ascii="Times New Roman" w:hAnsi="Times New Roman" w:cs="Times New Roman"/>
          <w:sz w:val="24"/>
          <w:szCs w:val="24"/>
        </w:rPr>
        <w:t>.6.</w:t>
      </w:r>
      <w:r w:rsidR="00BC24A3">
        <w:rPr>
          <w:rFonts w:ascii="Times New Roman" w:hAnsi="Times New Roman" w:cs="Times New Roman"/>
          <w:sz w:val="24"/>
          <w:szCs w:val="24"/>
        </w:rPr>
        <w:t xml:space="preserve"> </w:t>
      </w:r>
    </w:p>
    <w:p w14:paraId="2719EAA9" w14:textId="72386A66" w:rsidR="002349DF" w:rsidRPr="00BC24A3" w:rsidRDefault="00BC24A3" w:rsidP="00BC24A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Twenty two</w:t>
      </w:r>
      <w:r w:rsidRPr="006F3B00">
        <w:rPr>
          <w:rFonts w:ascii="Times New Roman" w:hAnsi="Times New Roman" w:cs="Times New Roman"/>
          <w:sz w:val="24"/>
          <w:szCs w:val="24"/>
        </w:rPr>
        <w:t xml:space="preserve"> items reached “consensus</w:t>
      </w:r>
      <w:r>
        <w:rPr>
          <w:rFonts w:ascii="Times New Roman" w:hAnsi="Times New Roman" w:cs="Times New Roman"/>
          <w:sz w:val="24"/>
          <w:szCs w:val="24"/>
        </w:rPr>
        <w:t xml:space="preserve"> in”. Five items reached “no consensus”. </w:t>
      </w:r>
      <w:r w:rsidRPr="006F3B00">
        <w:rPr>
          <w:rFonts w:ascii="Times New Roman" w:hAnsi="Times New Roman" w:cs="Times New Roman"/>
          <w:sz w:val="24"/>
          <w:szCs w:val="24"/>
        </w:rPr>
        <w:t>Once again, no items reached “consensus out”.</w:t>
      </w:r>
      <w:r>
        <w:rPr>
          <w:rFonts w:ascii="Times New Roman" w:hAnsi="Times New Roman" w:cs="Times New Roman"/>
          <w:sz w:val="24"/>
          <w:szCs w:val="24"/>
        </w:rPr>
        <w:t xml:space="preserve"> These outcomes are summarised in Table 5.7.</w:t>
      </w:r>
    </w:p>
    <w:p w14:paraId="0FD11F8B" w14:textId="258C411B" w:rsidR="00863DF5" w:rsidRPr="006F3B00" w:rsidRDefault="00D8646A" w:rsidP="00924448">
      <w:pPr>
        <w:spacing w:line="240" w:lineRule="auto"/>
        <w:rPr>
          <w:rFonts w:ascii="Times New Roman" w:hAnsi="Times New Roman" w:cs="Times New Roman"/>
          <w:b/>
          <w:sz w:val="24"/>
          <w:szCs w:val="24"/>
        </w:rPr>
      </w:pPr>
      <w:r w:rsidRPr="00E14CAF">
        <w:rPr>
          <w:noProof/>
        </w:rPr>
        <w:drawing>
          <wp:inline distT="0" distB="0" distL="0" distR="0" wp14:anchorId="60ECD60D" wp14:editId="2B93FB39">
            <wp:extent cx="5445905" cy="6352046"/>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5861" cy="6375322"/>
                    </a:xfrm>
                    <a:prstGeom prst="rect">
                      <a:avLst/>
                    </a:prstGeom>
                    <a:noFill/>
                    <a:ln>
                      <a:noFill/>
                    </a:ln>
                  </pic:spPr>
                </pic:pic>
              </a:graphicData>
            </a:graphic>
          </wp:inline>
        </w:drawing>
      </w:r>
    </w:p>
    <w:p w14:paraId="2329D2AC" w14:textId="70FA7F4A" w:rsidR="00E1668B" w:rsidRDefault="00E1668B" w:rsidP="00E1668B">
      <w:pPr>
        <w:spacing w:line="240" w:lineRule="auto"/>
        <w:rPr>
          <w:rFonts w:ascii="Times New Roman" w:hAnsi="Times New Roman" w:cs="Times New Roman"/>
          <w:sz w:val="24"/>
          <w:szCs w:val="24"/>
        </w:rPr>
      </w:pPr>
      <w:r>
        <w:rPr>
          <w:rFonts w:ascii="Times New Roman" w:hAnsi="Times New Roman" w:cs="Times New Roman"/>
          <w:b/>
          <w:sz w:val="24"/>
          <w:szCs w:val="24"/>
        </w:rPr>
        <w:t>Table 5</w:t>
      </w:r>
      <w:r w:rsidRPr="006F3B00">
        <w:rPr>
          <w:rFonts w:ascii="Times New Roman" w:hAnsi="Times New Roman" w:cs="Times New Roman"/>
          <w:b/>
          <w:sz w:val="24"/>
          <w:szCs w:val="24"/>
        </w:rPr>
        <w:t>.</w:t>
      </w:r>
      <w:r>
        <w:rPr>
          <w:rFonts w:ascii="Times New Roman" w:hAnsi="Times New Roman" w:cs="Times New Roman"/>
          <w:b/>
          <w:sz w:val="24"/>
          <w:szCs w:val="24"/>
        </w:rPr>
        <w:t>6.</w:t>
      </w:r>
      <w:r w:rsidRPr="006F3B00">
        <w:rPr>
          <w:rFonts w:ascii="Times New Roman" w:hAnsi="Times New Roman" w:cs="Times New Roman"/>
          <w:b/>
          <w:sz w:val="24"/>
          <w:szCs w:val="24"/>
        </w:rPr>
        <w:t xml:space="preserve"> Summary of results from round 2 of Delphi. </w:t>
      </w:r>
      <w:r>
        <w:rPr>
          <w:rFonts w:ascii="Times New Roman" w:hAnsi="Times New Roman" w:cs="Times New Roman"/>
          <w:sz w:val="24"/>
          <w:szCs w:val="24"/>
        </w:rPr>
        <w:t>Scores rounded to one decimal place</w:t>
      </w:r>
      <w:r w:rsidRPr="00564573">
        <w:rPr>
          <w:rFonts w:ascii="Times New Roman" w:hAnsi="Times New Roman" w:cs="Times New Roman"/>
          <w:sz w:val="24"/>
          <w:szCs w:val="24"/>
        </w:rPr>
        <w:t>. Under consensus column, green indicates “consensus in” and red “no consensus”. Consensus in this study was defined as “consensus in” when &gt;70% of participants scored the item as 8-10 (definitely important) and &lt;15% have scored it 1-3 (definitely not important). “Consensus out” was when &gt;70% of participants scored an item 1-3 and &lt;15% participants scored it 8-10. All other combinations were considered to be ‘no consensus</w:t>
      </w:r>
      <w:r>
        <w:rPr>
          <w:rFonts w:ascii="Times New Roman" w:hAnsi="Times New Roman" w:cs="Times New Roman"/>
          <w:sz w:val="24"/>
          <w:szCs w:val="24"/>
        </w:rPr>
        <w:t xml:space="preserve">. In addition, </w:t>
      </w:r>
      <w:r w:rsidRPr="00CE02A1">
        <w:rPr>
          <w:rFonts w:ascii="Times New Roman" w:hAnsi="Times New Roman" w:cs="Times New Roman"/>
          <w:sz w:val="24"/>
          <w:szCs w:val="24"/>
        </w:rPr>
        <w:t>interquartile</w:t>
      </w:r>
      <w:r>
        <w:rPr>
          <w:rFonts w:ascii="Times New Roman" w:hAnsi="Times New Roman" w:cs="Times New Roman"/>
          <w:sz w:val="24"/>
          <w:szCs w:val="24"/>
        </w:rPr>
        <w:t xml:space="preserve"> range (IQR) had to</w:t>
      </w:r>
      <w:r w:rsidRPr="00CE02A1">
        <w:rPr>
          <w:rFonts w:ascii="Times New Roman" w:hAnsi="Times New Roman" w:cs="Times New Roman"/>
          <w:sz w:val="24"/>
          <w:szCs w:val="24"/>
        </w:rPr>
        <w:t xml:space="preserve"> be 2 or less to achieve consensus </w:t>
      </w:r>
      <w:r>
        <w:rPr>
          <w:rFonts w:ascii="Times New Roman" w:hAnsi="Times New Roman" w:cs="Times New Roman"/>
          <w:sz w:val="24"/>
          <w:szCs w:val="24"/>
        </w:rPr>
        <w:t>‘</w:t>
      </w:r>
      <w:r w:rsidRPr="00CE02A1">
        <w:rPr>
          <w:rFonts w:ascii="Times New Roman" w:hAnsi="Times New Roman" w:cs="Times New Roman"/>
          <w:sz w:val="24"/>
          <w:szCs w:val="24"/>
        </w:rPr>
        <w:t>in</w:t>
      </w:r>
      <w:r>
        <w:rPr>
          <w:rFonts w:ascii="Times New Roman" w:hAnsi="Times New Roman" w:cs="Times New Roman"/>
          <w:sz w:val="24"/>
          <w:szCs w:val="24"/>
        </w:rPr>
        <w:t>’</w:t>
      </w:r>
      <w:r w:rsidRPr="00CE02A1">
        <w:rPr>
          <w:rFonts w:ascii="Times New Roman" w:hAnsi="Times New Roman" w:cs="Times New Roman"/>
          <w:sz w:val="24"/>
          <w:szCs w:val="24"/>
        </w:rPr>
        <w:t xml:space="preserve"> or </w:t>
      </w:r>
      <w:r>
        <w:rPr>
          <w:rFonts w:ascii="Times New Roman" w:hAnsi="Times New Roman" w:cs="Times New Roman"/>
          <w:sz w:val="24"/>
          <w:szCs w:val="24"/>
        </w:rPr>
        <w:t>‘</w:t>
      </w:r>
      <w:r w:rsidRPr="00CE02A1">
        <w:rPr>
          <w:rFonts w:ascii="Times New Roman" w:hAnsi="Times New Roman" w:cs="Times New Roman"/>
          <w:sz w:val="24"/>
          <w:szCs w:val="24"/>
        </w:rPr>
        <w:t>out</w:t>
      </w:r>
      <w:r>
        <w:rPr>
          <w:rFonts w:ascii="Times New Roman" w:hAnsi="Times New Roman" w:cs="Times New Roman"/>
          <w:sz w:val="24"/>
          <w:szCs w:val="24"/>
        </w:rPr>
        <w:t>’.  Range= difference between highest and lowest score given to that item. Items ranked from 1-27 according to mean score (1=highest rank, 27 = lowest rank).</w:t>
      </w:r>
    </w:p>
    <w:tbl>
      <w:tblPr>
        <w:tblStyle w:val="TableGrid"/>
        <w:tblpPr w:leftFromText="180" w:rightFromText="180" w:vertAnchor="text" w:horzAnchor="margin" w:tblpY="181"/>
        <w:tblW w:w="8640" w:type="dxa"/>
        <w:tblLook w:val="04A0" w:firstRow="1" w:lastRow="0" w:firstColumn="1" w:lastColumn="0" w:noHBand="0" w:noVBand="1"/>
      </w:tblPr>
      <w:tblGrid>
        <w:gridCol w:w="8640"/>
      </w:tblGrid>
      <w:tr w:rsidR="00BC24A3" w14:paraId="5B7794E7" w14:textId="77777777" w:rsidTr="00BC24A3">
        <w:tc>
          <w:tcPr>
            <w:tcW w:w="8640" w:type="dxa"/>
            <w:shd w:val="clear" w:color="auto" w:fill="D9D9D9" w:themeFill="background1" w:themeFillShade="D9"/>
          </w:tcPr>
          <w:p w14:paraId="736A98DF" w14:textId="77777777" w:rsidR="00BC24A3" w:rsidRPr="00416BD6" w:rsidRDefault="00BC24A3" w:rsidP="00BC24A3">
            <w:pPr>
              <w:rPr>
                <w:rFonts w:ascii="Times New Roman" w:hAnsi="Times New Roman" w:cs="Times New Roman"/>
                <w:b/>
                <w:sz w:val="24"/>
                <w:szCs w:val="24"/>
              </w:rPr>
            </w:pPr>
            <w:r>
              <w:rPr>
                <w:rFonts w:ascii="Times New Roman" w:hAnsi="Times New Roman" w:cs="Times New Roman"/>
                <w:b/>
                <w:sz w:val="24"/>
                <w:szCs w:val="24"/>
              </w:rPr>
              <w:lastRenderedPageBreak/>
              <w:t>Stage of training</w:t>
            </w:r>
          </w:p>
        </w:tc>
      </w:tr>
      <w:tr w:rsidR="00BC24A3" w14:paraId="0CC34CF2" w14:textId="77777777" w:rsidTr="00BC24A3">
        <w:tc>
          <w:tcPr>
            <w:tcW w:w="8640" w:type="dxa"/>
            <w:shd w:val="clear" w:color="auto" w:fill="A8D08D" w:themeFill="accent6" w:themeFillTint="99"/>
          </w:tcPr>
          <w:p w14:paraId="15983F5B" w14:textId="77777777" w:rsidR="00BC24A3" w:rsidRPr="0001645A" w:rsidRDefault="00BC24A3" w:rsidP="00BC24A3">
            <w:pPr>
              <w:rPr>
                <w:rFonts w:ascii="Times New Roman" w:hAnsi="Times New Roman" w:cs="Times New Roman"/>
              </w:rPr>
            </w:pPr>
            <w:r w:rsidRPr="0001645A">
              <w:rPr>
                <w:rFonts w:ascii="Times New Roman" w:hAnsi="Times New Roman" w:cs="Times New Roman"/>
                <w:sz w:val="24"/>
                <w:szCs w:val="24"/>
              </w:rPr>
              <w:t xml:space="preserve">1. </w:t>
            </w:r>
            <w:r w:rsidRPr="0001645A">
              <w:rPr>
                <w:rFonts w:ascii="Times New Roman" w:hAnsi="Times New Roman" w:cs="Times New Roman"/>
              </w:rPr>
              <w:t>The Stage of training e</w:t>
            </w:r>
            <w:r>
              <w:rPr>
                <w:rFonts w:ascii="Times New Roman" w:hAnsi="Times New Roman" w:cs="Times New Roman"/>
              </w:rPr>
              <w:t>.</w:t>
            </w:r>
            <w:r w:rsidRPr="0001645A">
              <w:rPr>
                <w:rFonts w:ascii="Times New Roman" w:hAnsi="Times New Roman" w:cs="Times New Roman"/>
              </w:rPr>
              <w:t>g</w:t>
            </w:r>
            <w:r>
              <w:rPr>
                <w:rFonts w:ascii="Times New Roman" w:hAnsi="Times New Roman" w:cs="Times New Roman"/>
              </w:rPr>
              <w:t>.</w:t>
            </w:r>
            <w:r w:rsidRPr="0001645A">
              <w:rPr>
                <w:rFonts w:ascii="Times New Roman" w:hAnsi="Times New Roman" w:cs="Times New Roman"/>
              </w:rPr>
              <w:t xml:space="preserve"> ST1 versus ST2</w:t>
            </w:r>
          </w:p>
        </w:tc>
      </w:tr>
      <w:tr w:rsidR="00BC24A3" w14:paraId="280B0020" w14:textId="77777777" w:rsidTr="00BC24A3">
        <w:tc>
          <w:tcPr>
            <w:tcW w:w="8640" w:type="dxa"/>
            <w:shd w:val="clear" w:color="auto" w:fill="FF7C80"/>
          </w:tcPr>
          <w:p w14:paraId="3B6B8CF2" w14:textId="77777777" w:rsidR="00BC24A3" w:rsidRPr="0001645A"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2. RCPath curricula and training guidelines</w:t>
            </w:r>
          </w:p>
        </w:tc>
      </w:tr>
      <w:tr w:rsidR="00BC24A3" w14:paraId="1A364B1E" w14:textId="77777777" w:rsidTr="00BC24A3">
        <w:tc>
          <w:tcPr>
            <w:tcW w:w="8640" w:type="dxa"/>
            <w:shd w:val="clear" w:color="auto" w:fill="D9D9D9" w:themeFill="background1" w:themeFillShade="D9"/>
          </w:tcPr>
          <w:p w14:paraId="491087CB" w14:textId="77777777" w:rsidR="00BC24A3" w:rsidRPr="0001645A" w:rsidRDefault="00BC24A3" w:rsidP="00BC24A3">
            <w:pPr>
              <w:rPr>
                <w:rFonts w:ascii="Times New Roman" w:hAnsi="Times New Roman" w:cs="Times New Roman"/>
                <w:b/>
                <w:sz w:val="24"/>
                <w:szCs w:val="24"/>
              </w:rPr>
            </w:pPr>
            <w:r w:rsidRPr="0001645A">
              <w:rPr>
                <w:rFonts w:ascii="Times New Roman" w:hAnsi="Times New Roman" w:cs="Times New Roman"/>
                <w:b/>
                <w:sz w:val="24"/>
                <w:szCs w:val="24"/>
              </w:rPr>
              <w:t>Timing</w:t>
            </w:r>
          </w:p>
        </w:tc>
      </w:tr>
      <w:tr w:rsidR="00BC24A3" w14:paraId="1FCE5EA2" w14:textId="77777777" w:rsidTr="00BC24A3">
        <w:tc>
          <w:tcPr>
            <w:tcW w:w="8640" w:type="dxa"/>
            <w:shd w:val="clear" w:color="auto" w:fill="A8D08D" w:themeFill="accent6" w:themeFillTint="99"/>
          </w:tcPr>
          <w:p w14:paraId="2FEC859B"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 xml:space="preserve">3. Placements/cases assessed longitudinally over a period of time. </w:t>
            </w:r>
          </w:p>
        </w:tc>
      </w:tr>
      <w:tr w:rsidR="00BC24A3" w14:paraId="6AFB0938" w14:textId="77777777" w:rsidTr="00BC24A3">
        <w:tc>
          <w:tcPr>
            <w:tcW w:w="8640" w:type="dxa"/>
            <w:shd w:val="clear" w:color="auto" w:fill="FF7C80"/>
          </w:tcPr>
          <w:p w14:paraId="4B111FBA" w14:textId="77777777" w:rsidR="00BC24A3" w:rsidRPr="00416BD6"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4.  Individual cases in an examination setting</w:t>
            </w:r>
          </w:p>
        </w:tc>
      </w:tr>
      <w:tr w:rsidR="00BC24A3" w14:paraId="299DFBB2" w14:textId="77777777" w:rsidTr="00BC24A3">
        <w:tc>
          <w:tcPr>
            <w:tcW w:w="8640" w:type="dxa"/>
            <w:shd w:val="clear" w:color="auto" w:fill="D9D9D9" w:themeFill="background1" w:themeFillShade="D9"/>
          </w:tcPr>
          <w:p w14:paraId="3B9DA3B4" w14:textId="77777777" w:rsidR="00BC24A3" w:rsidRPr="0001645A" w:rsidRDefault="00BC24A3" w:rsidP="00BC24A3">
            <w:pPr>
              <w:rPr>
                <w:rFonts w:ascii="Times New Roman" w:hAnsi="Times New Roman" w:cs="Times New Roman"/>
                <w:b/>
                <w:sz w:val="24"/>
                <w:szCs w:val="24"/>
              </w:rPr>
            </w:pPr>
            <w:r w:rsidRPr="0001645A">
              <w:rPr>
                <w:rFonts w:ascii="Times New Roman" w:hAnsi="Times New Roman" w:cs="Times New Roman"/>
                <w:b/>
                <w:sz w:val="24"/>
                <w:szCs w:val="24"/>
              </w:rPr>
              <w:t xml:space="preserve">Professionalism </w:t>
            </w:r>
          </w:p>
        </w:tc>
      </w:tr>
      <w:tr w:rsidR="00BC24A3" w14:paraId="6820E568" w14:textId="77777777" w:rsidTr="00BC24A3">
        <w:tc>
          <w:tcPr>
            <w:tcW w:w="8640" w:type="dxa"/>
            <w:shd w:val="clear" w:color="auto" w:fill="A8D08D" w:themeFill="accent6" w:themeFillTint="99"/>
          </w:tcPr>
          <w:p w14:paraId="2CCDA432" w14:textId="77777777" w:rsidR="00BC24A3" w:rsidRPr="00416BD6"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5. Trainee is organised and timely when conducting themselves in the department e.g. does not lose cases, is aware of turnaround times, triages urgent cases</w:t>
            </w:r>
          </w:p>
        </w:tc>
      </w:tr>
      <w:tr w:rsidR="00BC24A3" w14:paraId="17753049" w14:textId="77777777" w:rsidTr="00BC24A3">
        <w:tc>
          <w:tcPr>
            <w:tcW w:w="8640" w:type="dxa"/>
            <w:shd w:val="clear" w:color="auto" w:fill="A8D08D" w:themeFill="accent6" w:themeFillTint="99"/>
          </w:tcPr>
          <w:p w14:paraId="510DBF6A"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 xml:space="preserve">6. Trainee communicates with all staff appropriately e.g. effectively, timely, politely </w:t>
            </w:r>
          </w:p>
        </w:tc>
      </w:tr>
      <w:tr w:rsidR="00BC24A3" w14:paraId="337F5A0B" w14:textId="77777777" w:rsidTr="00BC24A3">
        <w:tc>
          <w:tcPr>
            <w:tcW w:w="8640" w:type="dxa"/>
            <w:shd w:val="clear" w:color="auto" w:fill="A8D08D" w:themeFill="accent6" w:themeFillTint="99"/>
          </w:tcPr>
          <w:p w14:paraId="05CA0DC8"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7. Trainee  works as part of a team e.g. works effectively with colleagues and does not create conflict</w:t>
            </w:r>
          </w:p>
        </w:tc>
      </w:tr>
      <w:tr w:rsidR="00BC24A3" w14:paraId="302DD6C1" w14:textId="77777777" w:rsidTr="00BC24A3">
        <w:tc>
          <w:tcPr>
            <w:tcW w:w="8640" w:type="dxa"/>
            <w:shd w:val="clear" w:color="auto" w:fill="A8D08D" w:themeFill="accent6" w:themeFillTint="99"/>
          </w:tcPr>
          <w:p w14:paraId="37AE2E2A"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8. Trainee is motivated and has a good attitude</w:t>
            </w:r>
          </w:p>
        </w:tc>
      </w:tr>
      <w:tr w:rsidR="00BC24A3" w14:paraId="7D4A0AD7" w14:textId="77777777" w:rsidTr="00BC24A3">
        <w:tc>
          <w:tcPr>
            <w:tcW w:w="8640" w:type="dxa"/>
            <w:shd w:val="clear" w:color="auto" w:fill="D9D9D9" w:themeFill="background1" w:themeFillShade="D9"/>
          </w:tcPr>
          <w:p w14:paraId="69946741" w14:textId="77777777" w:rsidR="00BC24A3" w:rsidRPr="0001645A" w:rsidRDefault="00BC24A3" w:rsidP="00BC24A3">
            <w:pPr>
              <w:rPr>
                <w:rFonts w:ascii="Times New Roman" w:hAnsi="Times New Roman" w:cs="Times New Roman"/>
                <w:b/>
                <w:sz w:val="24"/>
                <w:szCs w:val="24"/>
              </w:rPr>
            </w:pPr>
            <w:r w:rsidRPr="0001645A">
              <w:rPr>
                <w:rFonts w:ascii="Times New Roman" w:hAnsi="Times New Roman" w:cs="Times New Roman"/>
                <w:b/>
                <w:sz w:val="24"/>
                <w:szCs w:val="24"/>
              </w:rPr>
              <w:t>Forming a Diagnosis</w:t>
            </w:r>
          </w:p>
        </w:tc>
      </w:tr>
      <w:tr w:rsidR="00BC24A3" w14:paraId="301A71DB" w14:textId="77777777" w:rsidTr="00BC24A3">
        <w:tc>
          <w:tcPr>
            <w:tcW w:w="8640" w:type="dxa"/>
            <w:shd w:val="clear" w:color="auto" w:fill="FF7C80"/>
          </w:tcPr>
          <w:p w14:paraId="1C8EDF55" w14:textId="77777777" w:rsidR="00BC24A3" w:rsidRPr="00416BD6"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9. The diagnosis is correct</w:t>
            </w:r>
          </w:p>
        </w:tc>
      </w:tr>
      <w:tr w:rsidR="00BC24A3" w14:paraId="5C280882" w14:textId="77777777" w:rsidTr="00BC24A3">
        <w:tc>
          <w:tcPr>
            <w:tcW w:w="8640" w:type="dxa"/>
            <w:shd w:val="clear" w:color="auto" w:fill="FF7C80"/>
          </w:tcPr>
          <w:p w14:paraId="018EBE52" w14:textId="77777777" w:rsidR="00BC24A3" w:rsidRPr="00416BD6"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10. Trainee consistently produces a correct diagnosis</w:t>
            </w:r>
          </w:p>
        </w:tc>
      </w:tr>
      <w:tr w:rsidR="00BC24A3" w14:paraId="26A55114" w14:textId="77777777" w:rsidTr="00BC24A3">
        <w:tc>
          <w:tcPr>
            <w:tcW w:w="8640" w:type="dxa"/>
            <w:shd w:val="clear" w:color="auto" w:fill="A8D08D" w:themeFill="accent6" w:themeFillTint="99"/>
          </w:tcPr>
          <w:p w14:paraId="06DB5054"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11. The histopathology report is accurate &amp; does not contain factual errors or omit important information</w:t>
            </w:r>
          </w:p>
        </w:tc>
      </w:tr>
      <w:tr w:rsidR="00BC24A3" w14:paraId="18DF8251" w14:textId="77777777" w:rsidTr="00BC24A3">
        <w:tc>
          <w:tcPr>
            <w:tcW w:w="8640" w:type="dxa"/>
            <w:shd w:val="clear" w:color="auto" w:fill="A8D08D" w:themeFill="accent6" w:themeFillTint="99"/>
          </w:tcPr>
          <w:p w14:paraId="2F242656"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12. Trainee shows evidence of cl</w:t>
            </w:r>
            <w:r>
              <w:rPr>
                <w:rFonts w:ascii="Times New Roman" w:hAnsi="Times New Roman" w:cs="Times New Roman"/>
                <w:sz w:val="24"/>
                <w:szCs w:val="24"/>
              </w:rPr>
              <w:t>inico-pathological correlation</w:t>
            </w:r>
          </w:p>
        </w:tc>
      </w:tr>
      <w:tr w:rsidR="00BC24A3" w14:paraId="2E83DC28" w14:textId="77777777" w:rsidTr="00BC24A3">
        <w:tc>
          <w:tcPr>
            <w:tcW w:w="8640" w:type="dxa"/>
            <w:shd w:val="clear" w:color="auto" w:fill="A8D08D" w:themeFill="accent6" w:themeFillTint="99"/>
          </w:tcPr>
          <w:p w14:paraId="5197256E"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13. Trainee follows sound pathological p</w:t>
            </w:r>
            <w:r>
              <w:rPr>
                <w:rFonts w:ascii="Times New Roman" w:hAnsi="Times New Roman" w:cs="Times New Roman"/>
                <w:sz w:val="24"/>
                <w:szCs w:val="24"/>
              </w:rPr>
              <w:t>rinciples to reach a diagnosis</w:t>
            </w:r>
          </w:p>
        </w:tc>
      </w:tr>
      <w:tr w:rsidR="00BC24A3" w14:paraId="3D67DFAC" w14:textId="77777777" w:rsidTr="00BC24A3">
        <w:tc>
          <w:tcPr>
            <w:tcW w:w="8640" w:type="dxa"/>
            <w:shd w:val="clear" w:color="auto" w:fill="A8D08D" w:themeFill="accent6" w:themeFillTint="99"/>
          </w:tcPr>
          <w:p w14:paraId="13A1B34A"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14. Trainee has appropriate</w:t>
            </w:r>
            <w:r>
              <w:rPr>
                <w:rFonts w:ascii="Times New Roman" w:hAnsi="Times New Roman" w:cs="Times New Roman"/>
                <w:sz w:val="24"/>
                <w:szCs w:val="24"/>
              </w:rPr>
              <w:t xml:space="preserve"> level of basic knowledge.</w:t>
            </w:r>
          </w:p>
        </w:tc>
      </w:tr>
      <w:tr w:rsidR="00BC24A3" w14:paraId="7815DB39" w14:textId="77777777" w:rsidTr="00BC24A3">
        <w:tc>
          <w:tcPr>
            <w:tcW w:w="8640" w:type="dxa"/>
            <w:shd w:val="clear" w:color="auto" w:fill="A8D08D" w:themeFill="accent6" w:themeFillTint="99"/>
          </w:tcPr>
          <w:p w14:paraId="54FC8F64" w14:textId="77777777" w:rsidR="00BC24A3" w:rsidRPr="00416BD6"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15. Trainee has appropriate level of up-to-date knowledge e.g. latest papers/datasets</w:t>
            </w:r>
          </w:p>
        </w:tc>
      </w:tr>
      <w:tr w:rsidR="00BC24A3" w14:paraId="72D2EE5C" w14:textId="77777777" w:rsidTr="00BC24A3">
        <w:tc>
          <w:tcPr>
            <w:tcW w:w="8640" w:type="dxa"/>
            <w:shd w:val="clear" w:color="auto" w:fill="D9D9D9" w:themeFill="background1" w:themeFillShade="D9"/>
          </w:tcPr>
          <w:p w14:paraId="7988091F" w14:textId="77777777" w:rsidR="00BC24A3" w:rsidRPr="004B71BE" w:rsidRDefault="00BC24A3" w:rsidP="00BC24A3">
            <w:pPr>
              <w:rPr>
                <w:rFonts w:ascii="Times New Roman" w:hAnsi="Times New Roman" w:cs="Times New Roman"/>
                <w:b/>
                <w:sz w:val="24"/>
                <w:szCs w:val="24"/>
              </w:rPr>
            </w:pPr>
            <w:r w:rsidRPr="004B71BE">
              <w:rPr>
                <w:rFonts w:ascii="Times New Roman" w:hAnsi="Times New Roman" w:cs="Times New Roman"/>
                <w:b/>
                <w:sz w:val="24"/>
                <w:szCs w:val="24"/>
              </w:rPr>
              <w:t>Reflection</w:t>
            </w:r>
          </w:p>
        </w:tc>
      </w:tr>
      <w:tr w:rsidR="00BC24A3" w14:paraId="5CA1E191" w14:textId="77777777" w:rsidTr="00BC24A3">
        <w:trPr>
          <w:trHeight w:val="350"/>
        </w:trPr>
        <w:tc>
          <w:tcPr>
            <w:tcW w:w="8640" w:type="dxa"/>
            <w:shd w:val="clear" w:color="auto" w:fill="A8D08D" w:themeFill="accent6" w:themeFillTint="99"/>
          </w:tcPr>
          <w:p w14:paraId="210F2241" w14:textId="77777777" w:rsidR="00BC24A3" w:rsidRPr="00983635"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16. Trainee is aware of their own limitations</w:t>
            </w:r>
          </w:p>
        </w:tc>
      </w:tr>
      <w:tr w:rsidR="00BC24A3" w14:paraId="377A1422" w14:textId="77777777" w:rsidTr="00BC24A3">
        <w:tc>
          <w:tcPr>
            <w:tcW w:w="8640" w:type="dxa"/>
            <w:shd w:val="clear" w:color="auto" w:fill="A8D08D" w:themeFill="accent6" w:themeFillTint="99"/>
          </w:tcPr>
          <w:p w14:paraId="49575C3B"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17. Trainee reflects on their own limitations/performance</w:t>
            </w:r>
          </w:p>
        </w:tc>
      </w:tr>
      <w:tr w:rsidR="00BC24A3" w14:paraId="33FDC02D" w14:textId="77777777" w:rsidTr="00BC24A3">
        <w:tc>
          <w:tcPr>
            <w:tcW w:w="8640" w:type="dxa"/>
            <w:shd w:val="clear" w:color="auto" w:fill="A8D08D" w:themeFill="accent6" w:themeFillTint="99"/>
          </w:tcPr>
          <w:p w14:paraId="616327E1"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18. Trainee shows evidence of improvement following reflection</w:t>
            </w:r>
          </w:p>
        </w:tc>
      </w:tr>
      <w:tr w:rsidR="00BC24A3" w14:paraId="3FE6BBD4" w14:textId="77777777" w:rsidTr="00BC24A3">
        <w:tc>
          <w:tcPr>
            <w:tcW w:w="8640" w:type="dxa"/>
            <w:shd w:val="clear" w:color="auto" w:fill="D9D9D9" w:themeFill="background1" w:themeFillShade="D9"/>
          </w:tcPr>
          <w:p w14:paraId="28C2453B" w14:textId="77777777" w:rsidR="00BC24A3" w:rsidRPr="004B71BE" w:rsidRDefault="00BC24A3" w:rsidP="00BC24A3">
            <w:pPr>
              <w:rPr>
                <w:rFonts w:ascii="Times New Roman" w:hAnsi="Times New Roman" w:cs="Times New Roman"/>
                <w:b/>
                <w:sz w:val="24"/>
                <w:szCs w:val="24"/>
              </w:rPr>
            </w:pPr>
            <w:r w:rsidRPr="004B71BE">
              <w:rPr>
                <w:rFonts w:ascii="Times New Roman" w:hAnsi="Times New Roman" w:cs="Times New Roman"/>
                <w:b/>
                <w:sz w:val="24"/>
                <w:szCs w:val="24"/>
              </w:rPr>
              <w:t>Trust</w:t>
            </w:r>
          </w:p>
        </w:tc>
      </w:tr>
      <w:tr w:rsidR="00BC24A3" w14:paraId="2403313D" w14:textId="77777777" w:rsidTr="00BC24A3">
        <w:tc>
          <w:tcPr>
            <w:tcW w:w="8640" w:type="dxa"/>
            <w:shd w:val="clear" w:color="auto" w:fill="A8D08D" w:themeFill="accent6" w:themeFillTint="99"/>
          </w:tcPr>
          <w:p w14:paraId="11C0943A" w14:textId="77777777" w:rsidR="00BC24A3" w:rsidRPr="00416BD6"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19. Trainee can be trusted to carry out macroscopic examination and “cut-up” independently</w:t>
            </w:r>
          </w:p>
        </w:tc>
      </w:tr>
      <w:tr w:rsidR="00BC24A3" w14:paraId="659ABA1C" w14:textId="77777777" w:rsidTr="00BC24A3">
        <w:tc>
          <w:tcPr>
            <w:tcW w:w="8640" w:type="dxa"/>
            <w:shd w:val="clear" w:color="auto" w:fill="A8D08D" w:themeFill="accent6" w:themeFillTint="99"/>
          </w:tcPr>
          <w:p w14:paraId="2984C588"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20. Trainee can be trusted to report cases (however, the consultant will check the reports and authorise them)</w:t>
            </w:r>
          </w:p>
        </w:tc>
      </w:tr>
      <w:tr w:rsidR="00BC24A3" w14:paraId="449A53CC" w14:textId="77777777" w:rsidTr="00BC24A3">
        <w:tc>
          <w:tcPr>
            <w:tcW w:w="8640" w:type="dxa"/>
            <w:shd w:val="clear" w:color="auto" w:fill="A8D08D" w:themeFill="accent6" w:themeFillTint="99"/>
          </w:tcPr>
          <w:p w14:paraId="7BE2BDDA" w14:textId="77777777" w:rsidR="00BC24A3" w:rsidRPr="00416BD6"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21. Trainee can be trusted to report independently (the consultant does not check the report and the trainee authorises it)</w:t>
            </w:r>
          </w:p>
        </w:tc>
      </w:tr>
      <w:tr w:rsidR="00BC24A3" w14:paraId="2739AFB5" w14:textId="77777777" w:rsidTr="00BC24A3">
        <w:tc>
          <w:tcPr>
            <w:tcW w:w="8640" w:type="dxa"/>
            <w:shd w:val="clear" w:color="auto" w:fill="A8D08D" w:themeFill="accent6" w:themeFillTint="99"/>
          </w:tcPr>
          <w:p w14:paraId="6F8D9FD5"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 xml:space="preserve">22. Trainee asks for </w:t>
            </w:r>
            <w:r>
              <w:rPr>
                <w:rFonts w:ascii="Times New Roman" w:hAnsi="Times New Roman" w:cs="Times New Roman"/>
                <w:sz w:val="24"/>
                <w:szCs w:val="24"/>
              </w:rPr>
              <w:t>help/second opinion when needed</w:t>
            </w:r>
          </w:p>
        </w:tc>
      </w:tr>
      <w:tr w:rsidR="00BC24A3" w14:paraId="585394F6" w14:textId="77777777" w:rsidTr="00BC24A3">
        <w:tc>
          <w:tcPr>
            <w:tcW w:w="8640" w:type="dxa"/>
            <w:shd w:val="clear" w:color="auto" w:fill="FF7C80"/>
          </w:tcPr>
          <w:p w14:paraId="6B167A02" w14:textId="77777777" w:rsidR="00BC24A3" w:rsidRPr="00416BD6" w:rsidRDefault="00BC24A3" w:rsidP="00BC24A3">
            <w:pPr>
              <w:rPr>
                <w:rFonts w:ascii="Times New Roman" w:hAnsi="Times New Roman" w:cs="Times New Roman"/>
                <w:sz w:val="24"/>
                <w:szCs w:val="24"/>
              </w:rPr>
            </w:pPr>
            <w:r w:rsidRPr="006F3B00">
              <w:rPr>
                <w:rFonts w:ascii="Times New Roman" w:hAnsi="Times New Roman" w:cs="Times New Roman"/>
                <w:sz w:val="24"/>
                <w:szCs w:val="24"/>
              </w:rPr>
              <w:t>23. Your opinion of a trainee’s diagnostic competence is related to an overall impression you have of th</w:t>
            </w:r>
            <w:r>
              <w:rPr>
                <w:rFonts w:ascii="Times New Roman" w:hAnsi="Times New Roman" w:cs="Times New Roman"/>
                <w:sz w:val="24"/>
                <w:szCs w:val="24"/>
              </w:rPr>
              <w:t>em</w:t>
            </w:r>
          </w:p>
        </w:tc>
      </w:tr>
      <w:tr w:rsidR="00BC24A3" w14:paraId="5AD4C806" w14:textId="77777777" w:rsidTr="00BC24A3">
        <w:tc>
          <w:tcPr>
            <w:tcW w:w="8640" w:type="dxa"/>
            <w:shd w:val="clear" w:color="auto" w:fill="A8D08D" w:themeFill="accent6" w:themeFillTint="99"/>
          </w:tcPr>
          <w:p w14:paraId="1986937C"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24. Your opinion of a trainee’s diagnostic competence is related to bringing all the evidence</w:t>
            </w:r>
            <w:r>
              <w:rPr>
                <w:rFonts w:ascii="Times New Roman" w:hAnsi="Times New Roman" w:cs="Times New Roman"/>
                <w:sz w:val="24"/>
                <w:szCs w:val="24"/>
              </w:rPr>
              <w:t xml:space="preserve"> </w:t>
            </w:r>
            <w:r w:rsidRPr="00416BD6">
              <w:rPr>
                <w:rFonts w:ascii="Times New Roman" w:hAnsi="Times New Roman" w:cs="Times New Roman"/>
                <w:sz w:val="24"/>
                <w:szCs w:val="24"/>
              </w:rPr>
              <w:t>together and triangulating findings from exams, workplace-based assessments, day-to-day work</w:t>
            </w:r>
          </w:p>
        </w:tc>
      </w:tr>
      <w:tr w:rsidR="00BC24A3" w14:paraId="1B538D56" w14:textId="77777777" w:rsidTr="00BC24A3">
        <w:tc>
          <w:tcPr>
            <w:tcW w:w="8640" w:type="dxa"/>
            <w:shd w:val="clear" w:color="auto" w:fill="D9D9D9" w:themeFill="background1" w:themeFillShade="D9"/>
          </w:tcPr>
          <w:p w14:paraId="300A6F10" w14:textId="77777777" w:rsidR="00BC24A3" w:rsidRPr="004B71BE" w:rsidRDefault="00BC24A3" w:rsidP="00BC24A3">
            <w:pPr>
              <w:rPr>
                <w:rFonts w:ascii="Times New Roman" w:hAnsi="Times New Roman" w:cs="Times New Roman"/>
                <w:b/>
                <w:sz w:val="24"/>
                <w:szCs w:val="24"/>
              </w:rPr>
            </w:pPr>
            <w:r w:rsidRPr="004B71BE">
              <w:rPr>
                <w:rFonts w:ascii="Times New Roman" w:hAnsi="Times New Roman" w:cs="Times New Roman"/>
                <w:b/>
                <w:sz w:val="24"/>
                <w:szCs w:val="24"/>
              </w:rPr>
              <w:t>The patient’s report</w:t>
            </w:r>
          </w:p>
        </w:tc>
      </w:tr>
      <w:tr w:rsidR="00BC24A3" w14:paraId="15C99EC3" w14:textId="77777777" w:rsidTr="00BC24A3">
        <w:tc>
          <w:tcPr>
            <w:tcW w:w="8640" w:type="dxa"/>
            <w:shd w:val="clear" w:color="auto" w:fill="A8D08D" w:themeFill="accent6" w:themeFillTint="99"/>
          </w:tcPr>
          <w:p w14:paraId="6F61CB85"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25. Report is useful to the clinician/surgeon e.g. it does not contain unnecessary in</w:t>
            </w:r>
            <w:r>
              <w:rPr>
                <w:rFonts w:ascii="Times New Roman" w:hAnsi="Times New Roman" w:cs="Times New Roman"/>
                <w:sz w:val="24"/>
                <w:szCs w:val="24"/>
              </w:rPr>
              <w:t>formation or detail</w:t>
            </w:r>
          </w:p>
        </w:tc>
      </w:tr>
      <w:tr w:rsidR="00BC24A3" w14:paraId="095A3E96" w14:textId="77777777" w:rsidTr="00BC24A3">
        <w:tc>
          <w:tcPr>
            <w:tcW w:w="8640" w:type="dxa"/>
            <w:shd w:val="clear" w:color="auto" w:fill="A8D08D" w:themeFill="accent6" w:themeFillTint="99"/>
          </w:tcPr>
          <w:p w14:paraId="72DC529D"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26. Report ensures the clinician/surgeon recei</w:t>
            </w:r>
            <w:r>
              <w:rPr>
                <w:rFonts w:ascii="Times New Roman" w:hAnsi="Times New Roman" w:cs="Times New Roman"/>
                <w:sz w:val="24"/>
                <w:szCs w:val="24"/>
              </w:rPr>
              <w:t xml:space="preserve">ves the appropriate message </w:t>
            </w:r>
          </w:p>
        </w:tc>
      </w:tr>
      <w:tr w:rsidR="00BC24A3" w14:paraId="66C41FBC" w14:textId="77777777" w:rsidTr="00BC24A3">
        <w:tc>
          <w:tcPr>
            <w:tcW w:w="8640" w:type="dxa"/>
            <w:shd w:val="clear" w:color="auto" w:fill="A8D08D" w:themeFill="accent6" w:themeFillTint="99"/>
          </w:tcPr>
          <w:p w14:paraId="661FA32F" w14:textId="77777777" w:rsidR="00BC24A3" w:rsidRPr="00416BD6" w:rsidRDefault="00BC24A3" w:rsidP="00BC24A3">
            <w:pPr>
              <w:rPr>
                <w:rFonts w:ascii="Times New Roman" w:hAnsi="Times New Roman" w:cs="Times New Roman"/>
                <w:sz w:val="24"/>
                <w:szCs w:val="24"/>
              </w:rPr>
            </w:pPr>
            <w:r w:rsidRPr="00416BD6">
              <w:rPr>
                <w:rFonts w:ascii="Times New Roman" w:hAnsi="Times New Roman" w:cs="Times New Roman"/>
                <w:sz w:val="24"/>
                <w:szCs w:val="24"/>
              </w:rPr>
              <w:t>27. Report is organised ap</w:t>
            </w:r>
            <w:r>
              <w:rPr>
                <w:rFonts w:ascii="Times New Roman" w:hAnsi="Times New Roman" w:cs="Times New Roman"/>
                <w:sz w:val="24"/>
                <w:szCs w:val="24"/>
              </w:rPr>
              <w:t xml:space="preserve">propriately and well-written </w:t>
            </w:r>
          </w:p>
        </w:tc>
      </w:tr>
    </w:tbl>
    <w:p w14:paraId="69C17922" w14:textId="6C333B42" w:rsidR="00E1668B" w:rsidRPr="00514B6B" w:rsidRDefault="00E1668B" w:rsidP="00E1668B">
      <w:pPr>
        <w:spacing w:line="240" w:lineRule="auto"/>
        <w:rPr>
          <w:rFonts w:ascii="Times New Roman" w:hAnsi="Times New Roman" w:cs="Times New Roman"/>
          <w:sz w:val="24"/>
          <w:szCs w:val="24"/>
        </w:rPr>
      </w:pPr>
      <w:r>
        <w:rPr>
          <w:rFonts w:ascii="Times New Roman" w:hAnsi="Times New Roman" w:cs="Times New Roman"/>
          <w:b/>
          <w:sz w:val="24"/>
          <w:szCs w:val="24"/>
        </w:rPr>
        <w:t>Table 5.7</w:t>
      </w:r>
      <w:r w:rsidRPr="006F3B00">
        <w:rPr>
          <w:rFonts w:ascii="Times New Roman" w:hAnsi="Times New Roman" w:cs="Times New Roman"/>
          <w:b/>
          <w:sz w:val="24"/>
          <w:szCs w:val="24"/>
        </w:rPr>
        <w:t>.</w:t>
      </w:r>
      <w:r>
        <w:rPr>
          <w:rFonts w:ascii="Times New Roman" w:hAnsi="Times New Roman" w:cs="Times New Roman"/>
          <w:b/>
          <w:sz w:val="24"/>
          <w:szCs w:val="24"/>
        </w:rPr>
        <w:t xml:space="preserve"> Summary of items which did </w:t>
      </w:r>
      <w:r w:rsidRPr="006F3B00">
        <w:rPr>
          <w:rFonts w:ascii="Times New Roman" w:hAnsi="Times New Roman" w:cs="Times New Roman"/>
          <w:b/>
          <w:sz w:val="24"/>
          <w:szCs w:val="24"/>
        </w:rPr>
        <w:t xml:space="preserve">reach </w:t>
      </w:r>
      <w:r>
        <w:rPr>
          <w:rFonts w:ascii="Times New Roman" w:hAnsi="Times New Roman" w:cs="Times New Roman"/>
          <w:b/>
          <w:sz w:val="24"/>
          <w:szCs w:val="24"/>
        </w:rPr>
        <w:t>“</w:t>
      </w:r>
      <w:r w:rsidRPr="006F3B00">
        <w:rPr>
          <w:rFonts w:ascii="Times New Roman" w:hAnsi="Times New Roman" w:cs="Times New Roman"/>
          <w:b/>
          <w:sz w:val="24"/>
          <w:szCs w:val="24"/>
        </w:rPr>
        <w:t>consensus</w:t>
      </w:r>
      <w:r>
        <w:rPr>
          <w:rFonts w:ascii="Times New Roman" w:hAnsi="Times New Roman" w:cs="Times New Roman"/>
          <w:b/>
          <w:sz w:val="24"/>
          <w:szCs w:val="24"/>
        </w:rPr>
        <w:t xml:space="preserve"> in” (green) or “no consensus”</w:t>
      </w:r>
      <w:r w:rsidRPr="006F3B00">
        <w:rPr>
          <w:rFonts w:ascii="Times New Roman" w:hAnsi="Times New Roman" w:cs="Times New Roman"/>
          <w:b/>
          <w:sz w:val="24"/>
          <w:szCs w:val="24"/>
        </w:rPr>
        <w:t xml:space="preserve"> </w:t>
      </w:r>
      <w:r>
        <w:rPr>
          <w:rFonts w:ascii="Times New Roman" w:hAnsi="Times New Roman" w:cs="Times New Roman"/>
          <w:b/>
          <w:sz w:val="24"/>
          <w:szCs w:val="24"/>
        </w:rPr>
        <w:t xml:space="preserve">(red) after round 2. </w:t>
      </w:r>
      <w:r w:rsidR="00BC24A3">
        <w:rPr>
          <w:rFonts w:ascii="Times New Roman" w:hAnsi="Times New Roman" w:cs="Times New Roman"/>
          <w:sz w:val="24"/>
          <w:szCs w:val="24"/>
        </w:rPr>
        <w:t>“C</w:t>
      </w:r>
      <w:r w:rsidRPr="00983635">
        <w:rPr>
          <w:rFonts w:ascii="Times New Roman" w:hAnsi="Times New Roman" w:cs="Times New Roman"/>
          <w:sz w:val="24"/>
          <w:szCs w:val="24"/>
        </w:rPr>
        <w:t>onsensus in”</w:t>
      </w:r>
      <w:r>
        <w:rPr>
          <w:rFonts w:ascii="Times New Roman" w:hAnsi="Times New Roman" w:cs="Times New Roman"/>
          <w:b/>
          <w:sz w:val="24"/>
          <w:szCs w:val="24"/>
        </w:rPr>
        <w:t xml:space="preserve"> </w:t>
      </w:r>
      <w:r w:rsidRPr="006F3B00">
        <w:rPr>
          <w:rFonts w:ascii="Times New Roman" w:hAnsi="Times New Roman" w:cs="Times New Roman"/>
          <w:sz w:val="24"/>
          <w:szCs w:val="24"/>
        </w:rPr>
        <w:t>&gt;70% of participants scored the item as 8-1</w:t>
      </w:r>
      <w:r>
        <w:rPr>
          <w:rFonts w:ascii="Times New Roman" w:hAnsi="Times New Roman" w:cs="Times New Roman"/>
          <w:sz w:val="24"/>
          <w:szCs w:val="24"/>
        </w:rPr>
        <w:t>0 (definitely important) and &lt;15%</w:t>
      </w:r>
      <w:r w:rsidRPr="006F3B00">
        <w:rPr>
          <w:rFonts w:ascii="Times New Roman" w:hAnsi="Times New Roman" w:cs="Times New Roman"/>
          <w:sz w:val="24"/>
          <w:szCs w:val="24"/>
        </w:rPr>
        <w:t xml:space="preserve"> scored it 1-3 (definitel</w:t>
      </w:r>
      <w:r>
        <w:rPr>
          <w:rFonts w:ascii="Times New Roman" w:hAnsi="Times New Roman" w:cs="Times New Roman"/>
          <w:sz w:val="24"/>
          <w:szCs w:val="24"/>
        </w:rPr>
        <w:t>y not important). In a</w:t>
      </w:r>
      <w:r w:rsidR="00BC24A3">
        <w:rPr>
          <w:rFonts w:ascii="Times New Roman" w:hAnsi="Times New Roman" w:cs="Times New Roman"/>
          <w:sz w:val="24"/>
          <w:szCs w:val="24"/>
        </w:rPr>
        <w:t>ddition, the IQR was ≤2. S</w:t>
      </w:r>
      <w:r>
        <w:rPr>
          <w:rFonts w:ascii="Times New Roman" w:hAnsi="Times New Roman" w:cs="Times New Roman"/>
          <w:sz w:val="24"/>
          <w:szCs w:val="24"/>
        </w:rPr>
        <w:t>ome items have been shortened for reasons of clarity.</w:t>
      </w:r>
    </w:p>
    <w:p w14:paraId="6D5F8BBC" w14:textId="20D92C22" w:rsidR="00570856" w:rsidRDefault="00D8646A" w:rsidP="00863DF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5.7</w:t>
      </w:r>
      <w:r w:rsidR="00570856">
        <w:rPr>
          <w:rFonts w:ascii="Times New Roman" w:hAnsi="Times New Roman" w:cs="Times New Roman"/>
          <w:sz w:val="24"/>
          <w:szCs w:val="24"/>
        </w:rPr>
        <w:t xml:space="preserve"> shows that all the items under </w:t>
      </w:r>
      <w:r>
        <w:rPr>
          <w:rFonts w:ascii="Times New Roman" w:hAnsi="Times New Roman" w:cs="Times New Roman"/>
          <w:sz w:val="24"/>
          <w:szCs w:val="24"/>
        </w:rPr>
        <w:t>“</w:t>
      </w:r>
      <w:r w:rsidR="00570856">
        <w:rPr>
          <w:rFonts w:ascii="Times New Roman" w:hAnsi="Times New Roman" w:cs="Times New Roman"/>
          <w:sz w:val="24"/>
          <w:szCs w:val="24"/>
        </w:rPr>
        <w:t>professionalism</w:t>
      </w:r>
      <w:r>
        <w:rPr>
          <w:rFonts w:ascii="Times New Roman" w:hAnsi="Times New Roman" w:cs="Times New Roman"/>
          <w:sz w:val="24"/>
          <w:szCs w:val="24"/>
        </w:rPr>
        <w:t>”</w:t>
      </w:r>
      <w:r w:rsidR="00570856">
        <w:rPr>
          <w:rFonts w:ascii="Times New Roman" w:hAnsi="Times New Roman" w:cs="Times New Roman"/>
          <w:sz w:val="24"/>
          <w:szCs w:val="24"/>
        </w:rPr>
        <w:t xml:space="preserve">, </w:t>
      </w:r>
      <w:r>
        <w:rPr>
          <w:rFonts w:ascii="Times New Roman" w:hAnsi="Times New Roman" w:cs="Times New Roman"/>
          <w:sz w:val="24"/>
          <w:szCs w:val="24"/>
        </w:rPr>
        <w:t>“</w:t>
      </w:r>
      <w:r w:rsidR="00570856">
        <w:rPr>
          <w:rFonts w:ascii="Times New Roman" w:hAnsi="Times New Roman" w:cs="Times New Roman"/>
          <w:sz w:val="24"/>
          <w:szCs w:val="24"/>
        </w:rPr>
        <w:t>reflection</w:t>
      </w:r>
      <w:r>
        <w:rPr>
          <w:rFonts w:ascii="Times New Roman" w:hAnsi="Times New Roman" w:cs="Times New Roman"/>
          <w:sz w:val="24"/>
          <w:szCs w:val="24"/>
        </w:rPr>
        <w:t>”</w:t>
      </w:r>
      <w:r w:rsidR="00570856">
        <w:rPr>
          <w:rFonts w:ascii="Times New Roman" w:hAnsi="Times New Roman" w:cs="Times New Roman"/>
          <w:sz w:val="24"/>
          <w:szCs w:val="24"/>
        </w:rPr>
        <w:t xml:space="preserve"> and </w:t>
      </w:r>
      <w:r w:rsidR="00044AFF">
        <w:rPr>
          <w:rFonts w:ascii="Times New Roman" w:hAnsi="Times New Roman" w:cs="Times New Roman"/>
          <w:sz w:val="24"/>
          <w:szCs w:val="24"/>
        </w:rPr>
        <w:t xml:space="preserve">“the patient’s report” reached </w:t>
      </w:r>
      <w:r w:rsidR="00570856">
        <w:rPr>
          <w:rFonts w:ascii="Times New Roman" w:hAnsi="Times New Roman" w:cs="Times New Roman"/>
          <w:sz w:val="24"/>
          <w:szCs w:val="24"/>
        </w:rPr>
        <w:t>“consensus in”. In</w:t>
      </w:r>
      <w:r w:rsidR="00044AFF">
        <w:rPr>
          <w:rFonts w:ascii="Times New Roman" w:hAnsi="Times New Roman" w:cs="Times New Roman"/>
          <w:sz w:val="24"/>
          <w:szCs w:val="24"/>
        </w:rPr>
        <w:t xml:space="preserve"> contrast, this only occurred for</w:t>
      </w:r>
      <w:r w:rsidR="00570856">
        <w:rPr>
          <w:rFonts w:ascii="Times New Roman" w:hAnsi="Times New Roman" w:cs="Times New Roman"/>
          <w:sz w:val="24"/>
          <w:szCs w:val="24"/>
        </w:rPr>
        <w:t xml:space="preserve"> one of the two items given under the “stage of training” and “timing”. T</w:t>
      </w:r>
      <w:r w:rsidR="00044AFF">
        <w:rPr>
          <w:rFonts w:ascii="Times New Roman" w:hAnsi="Times New Roman" w:cs="Times New Roman"/>
          <w:sz w:val="24"/>
          <w:szCs w:val="24"/>
        </w:rPr>
        <w:t>wo items out of seven fai</w:t>
      </w:r>
      <w:r w:rsidR="00570856">
        <w:rPr>
          <w:rFonts w:ascii="Times New Roman" w:hAnsi="Times New Roman" w:cs="Times New Roman"/>
          <w:sz w:val="24"/>
          <w:szCs w:val="24"/>
        </w:rPr>
        <w:t>led to reach consensus under “forming a diagnosis” and</w:t>
      </w:r>
      <w:r w:rsidR="00044AFF">
        <w:rPr>
          <w:rFonts w:ascii="Times New Roman" w:hAnsi="Times New Roman" w:cs="Times New Roman"/>
          <w:sz w:val="24"/>
          <w:szCs w:val="24"/>
        </w:rPr>
        <w:t xml:space="preserve"> one out seven failed to reach consensus under “trust”.</w:t>
      </w:r>
    </w:p>
    <w:p w14:paraId="5CF27677" w14:textId="63A03528" w:rsidR="00863DF5" w:rsidRPr="00924448" w:rsidRDefault="00863DF5" w:rsidP="00E1668B">
      <w:pPr>
        <w:spacing w:line="480" w:lineRule="auto"/>
        <w:rPr>
          <w:rFonts w:ascii="Times New Roman" w:hAnsi="Times New Roman" w:cs="Times New Roman"/>
          <w:sz w:val="24"/>
          <w:szCs w:val="24"/>
        </w:rPr>
      </w:pPr>
      <w:r w:rsidRPr="006F3B00">
        <w:rPr>
          <w:rFonts w:ascii="Times New Roman" w:hAnsi="Times New Roman" w:cs="Times New Roman"/>
          <w:sz w:val="24"/>
          <w:szCs w:val="24"/>
        </w:rPr>
        <w:t>The five items which did not reach con</w:t>
      </w:r>
      <w:r w:rsidR="00456AF8">
        <w:rPr>
          <w:rFonts w:ascii="Times New Roman" w:hAnsi="Times New Roman" w:cs="Times New Roman"/>
          <w:sz w:val="24"/>
          <w:szCs w:val="24"/>
        </w:rPr>
        <w:t>sensus are summarised in T</w:t>
      </w:r>
      <w:r w:rsidR="00810505">
        <w:rPr>
          <w:rFonts w:ascii="Times New Roman" w:hAnsi="Times New Roman" w:cs="Times New Roman"/>
          <w:sz w:val="24"/>
          <w:szCs w:val="24"/>
        </w:rPr>
        <w:t>a</w:t>
      </w:r>
      <w:r w:rsidR="00D8646A">
        <w:rPr>
          <w:rFonts w:ascii="Times New Roman" w:hAnsi="Times New Roman" w:cs="Times New Roman"/>
          <w:sz w:val="24"/>
          <w:szCs w:val="24"/>
        </w:rPr>
        <w:t>ble 5.8</w:t>
      </w:r>
      <w:r w:rsidRPr="006F3B00">
        <w:rPr>
          <w:rFonts w:ascii="Times New Roman" w:hAnsi="Times New Roman" w:cs="Times New Roman"/>
          <w:sz w:val="24"/>
          <w:szCs w:val="24"/>
        </w:rPr>
        <w:t xml:space="preserve"> below</w:t>
      </w:r>
      <w:r w:rsidR="006673EC">
        <w:rPr>
          <w:rFonts w:ascii="Times New Roman" w:hAnsi="Times New Roman" w:cs="Times New Roman"/>
          <w:sz w:val="24"/>
          <w:szCs w:val="24"/>
        </w:rPr>
        <w:t>.</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1335"/>
        <w:gridCol w:w="1244"/>
      </w:tblGrid>
      <w:tr w:rsidR="00863DF5" w:rsidRPr="006F3B00" w14:paraId="0B54CA8F" w14:textId="77777777" w:rsidTr="002F36A9">
        <w:tc>
          <w:tcPr>
            <w:tcW w:w="6767" w:type="dxa"/>
            <w:shd w:val="clear" w:color="auto" w:fill="D9D9D9" w:themeFill="background1" w:themeFillShade="D9"/>
          </w:tcPr>
          <w:p w14:paraId="5CB79802" w14:textId="77777777" w:rsidR="00863DF5" w:rsidRPr="006F3B00" w:rsidRDefault="00983635" w:rsidP="00863DF5">
            <w:pPr>
              <w:rPr>
                <w:rFonts w:ascii="Times New Roman" w:hAnsi="Times New Roman" w:cs="Times New Roman"/>
                <w:b/>
                <w:sz w:val="24"/>
                <w:szCs w:val="24"/>
              </w:rPr>
            </w:pPr>
            <w:r>
              <w:rPr>
                <w:rFonts w:ascii="Times New Roman" w:hAnsi="Times New Roman" w:cs="Times New Roman"/>
                <w:b/>
                <w:sz w:val="24"/>
                <w:szCs w:val="24"/>
              </w:rPr>
              <w:t>Item</w:t>
            </w:r>
          </w:p>
        </w:tc>
        <w:tc>
          <w:tcPr>
            <w:tcW w:w="1350" w:type="dxa"/>
            <w:shd w:val="clear" w:color="auto" w:fill="BDD6EE" w:themeFill="accent1" w:themeFillTint="66"/>
          </w:tcPr>
          <w:p w14:paraId="0A4F6A55" w14:textId="77777777" w:rsidR="00863DF5" w:rsidRPr="006F3B00" w:rsidRDefault="00924448" w:rsidP="00863DF5">
            <w:pPr>
              <w:rPr>
                <w:rFonts w:ascii="Times New Roman" w:hAnsi="Times New Roman" w:cs="Times New Roman"/>
                <w:b/>
                <w:sz w:val="24"/>
                <w:szCs w:val="24"/>
              </w:rPr>
            </w:pPr>
            <w:r>
              <w:rPr>
                <w:rFonts w:ascii="Times New Roman" w:hAnsi="Times New Roman" w:cs="Times New Roman"/>
                <w:b/>
                <w:sz w:val="24"/>
                <w:szCs w:val="24"/>
              </w:rPr>
              <w:t>Condition 1 met?</w:t>
            </w:r>
          </w:p>
        </w:tc>
        <w:tc>
          <w:tcPr>
            <w:tcW w:w="518" w:type="dxa"/>
            <w:shd w:val="clear" w:color="auto" w:fill="F7CAAC" w:themeFill="accent2" w:themeFillTint="66"/>
          </w:tcPr>
          <w:p w14:paraId="23AEFE0C" w14:textId="77777777" w:rsidR="00863DF5" w:rsidRPr="006F3B00" w:rsidRDefault="00924448" w:rsidP="00863DF5">
            <w:pPr>
              <w:rPr>
                <w:rFonts w:ascii="Times New Roman" w:hAnsi="Times New Roman" w:cs="Times New Roman"/>
                <w:b/>
                <w:sz w:val="24"/>
                <w:szCs w:val="24"/>
              </w:rPr>
            </w:pPr>
            <w:r>
              <w:rPr>
                <w:rFonts w:ascii="Times New Roman" w:hAnsi="Times New Roman" w:cs="Times New Roman"/>
                <w:b/>
                <w:sz w:val="24"/>
                <w:szCs w:val="24"/>
              </w:rPr>
              <w:t>Condition 2 met?</w:t>
            </w:r>
          </w:p>
        </w:tc>
      </w:tr>
      <w:tr w:rsidR="00044AFF" w:rsidRPr="006F3B00" w14:paraId="78681BE8" w14:textId="77777777" w:rsidTr="002F36A9">
        <w:tc>
          <w:tcPr>
            <w:tcW w:w="8635" w:type="dxa"/>
            <w:gridSpan w:val="3"/>
            <w:shd w:val="clear" w:color="auto" w:fill="D9D9D9" w:themeFill="background1" w:themeFillShade="D9"/>
          </w:tcPr>
          <w:p w14:paraId="4BCFA7E0" w14:textId="0477CFBD" w:rsidR="00044AFF" w:rsidRPr="00044AFF" w:rsidRDefault="00044AFF" w:rsidP="00863DF5">
            <w:pPr>
              <w:rPr>
                <w:rFonts w:ascii="Times New Roman" w:hAnsi="Times New Roman" w:cs="Times New Roman"/>
                <w:b/>
                <w:sz w:val="24"/>
                <w:szCs w:val="24"/>
              </w:rPr>
            </w:pPr>
            <w:r w:rsidRPr="00044AFF">
              <w:rPr>
                <w:rFonts w:ascii="Times New Roman" w:hAnsi="Times New Roman" w:cs="Times New Roman"/>
                <w:b/>
                <w:sz w:val="24"/>
                <w:szCs w:val="24"/>
              </w:rPr>
              <w:t>Stage of training</w:t>
            </w:r>
          </w:p>
        </w:tc>
      </w:tr>
      <w:tr w:rsidR="00863DF5" w:rsidRPr="006F3B00" w14:paraId="5377ECA8" w14:textId="77777777" w:rsidTr="002F36A9">
        <w:tc>
          <w:tcPr>
            <w:tcW w:w="6767" w:type="dxa"/>
            <w:shd w:val="clear" w:color="auto" w:fill="FFA7A7"/>
          </w:tcPr>
          <w:p w14:paraId="4EEB8C44"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2. RCPath cu</w:t>
            </w:r>
            <w:r w:rsidR="00983635">
              <w:rPr>
                <w:rFonts w:ascii="Times New Roman" w:hAnsi="Times New Roman" w:cs="Times New Roman"/>
                <w:sz w:val="24"/>
                <w:szCs w:val="24"/>
              </w:rPr>
              <w:t>rricula and training guidelines</w:t>
            </w:r>
          </w:p>
        </w:tc>
        <w:tc>
          <w:tcPr>
            <w:tcW w:w="1350" w:type="dxa"/>
          </w:tcPr>
          <w:p w14:paraId="3D70EF02"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518" w:type="dxa"/>
          </w:tcPr>
          <w:p w14:paraId="308E058E"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r>
      <w:tr w:rsidR="00044AFF" w:rsidRPr="006F3B00" w14:paraId="481ADED9" w14:textId="77777777" w:rsidTr="002F36A9">
        <w:tc>
          <w:tcPr>
            <w:tcW w:w="8635" w:type="dxa"/>
            <w:gridSpan w:val="3"/>
            <w:shd w:val="clear" w:color="auto" w:fill="D9D9D9" w:themeFill="background1" w:themeFillShade="D9"/>
          </w:tcPr>
          <w:p w14:paraId="333D0CA5" w14:textId="629F9C09" w:rsidR="00044AFF" w:rsidRPr="00044AFF" w:rsidRDefault="00044AFF" w:rsidP="00863DF5">
            <w:pPr>
              <w:rPr>
                <w:rFonts w:ascii="Times New Roman" w:hAnsi="Times New Roman" w:cs="Times New Roman"/>
                <w:b/>
                <w:sz w:val="24"/>
                <w:szCs w:val="24"/>
              </w:rPr>
            </w:pPr>
            <w:r w:rsidRPr="00044AFF">
              <w:rPr>
                <w:rFonts w:ascii="Times New Roman" w:hAnsi="Times New Roman" w:cs="Times New Roman"/>
                <w:b/>
                <w:sz w:val="24"/>
                <w:szCs w:val="24"/>
              </w:rPr>
              <w:t>Timing</w:t>
            </w:r>
          </w:p>
        </w:tc>
      </w:tr>
      <w:tr w:rsidR="00863DF5" w:rsidRPr="006F3B00" w14:paraId="458A4D46" w14:textId="77777777" w:rsidTr="002F36A9">
        <w:tc>
          <w:tcPr>
            <w:tcW w:w="6767" w:type="dxa"/>
            <w:shd w:val="clear" w:color="auto" w:fill="FFA7A7"/>
          </w:tcPr>
          <w:p w14:paraId="3ABEBB3A"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 xml:space="preserve">4.  Individual </w:t>
            </w:r>
            <w:r w:rsidR="00983635">
              <w:rPr>
                <w:rFonts w:ascii="Times New Roman" w:hAnsi="Times New Roman" w:cs="Times New Roman"/>
                <w:sz w:val="24"/>
                <w:szCs w:val="24"/>
              </w:rPr>
              <w:t>cases in an examination setting</w:t>
            </w:r>
          </w:p>
        </w:tc>
        <w:tc>
          <w:tcPr>
            <w:tcW w:w="1350" w:type="dxa"/>
          </w:tcPr>
          <w:p w14:paraId="422183E0"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518" w:type="dxa"/>
          </w:tcPr>
          <w:p w14:paraId="1ACD001E"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r>
      <w:tr w:rsidR="00044AFF" w:rsidRPr="006F3B00" w14:paraId="6D2E2C38" w14:textId="77777777" w:rsidTr="002F36A9">
        <w:tc>
          <w:tcPr>
            <w:tcW w:w="8635" w:type="dxa"/>
            <w:gridSpan w:val="3"/>
            <w:shd w:val="clear" w:color="auto" w:fill="D9D9D9" w:themeFill="background1" w:themeFillShade="D9"/>
          </w:tcPr>
          <w:p w14:paraId="0AB21722" w14:textId="3AA4B0EB" w:rsidR="00044AFF" w:rsidRPr="006F3B00" w:rsidRDefault="00044AFF" w:rsidP="00863DF5">
            <w:pPr>
              <w:rPr>
                <w:rFonts w:ascii="Times New Roman" w:hAnsi="Times New Roman" w:cs="Times New Roman"/>
                <w:sz w:val="24"/>
                <w:szCs w:val="24"/>
              </w:rPr>
            </w:pPr>
            <w:r w:rsidRPr="00044AFF">
              <w:rPr>
                <w:rFonts w:ascii="Times New Roman" w:hAnsi="Times New Roman" w:cs="Times New Roman"/>
                <w:b/>
                <w:sz w:val="24"/>
                <w:szCs w:val="24"/>
              </w:rPr>
              <w:t>Forming a diagnosis</w:t>
            </w:r>
          </w:p>
        </w:tc>
      </w:tr>
      <w:tr w:rsidR="00863DF5" w:rsidRPr="006F3B00" w14:paraId="47FA148B" w14:textId="77777777" w:rsidTr="002F36A9">
        <w:tc>
          <w:tcPr>
            <w:tcW w:w="6767" w:type="dxa"/>
            <w:shd w:val="clear" w:color="auto" w:fill="FFA7A7"/>
          </w:tcPr>
          <w:p w14:paraId="65C3501E" w14:textId="77777777" w:rsidR="00863DF5" w:rsidRPr="006F3B00" w:rsidRDefault="00983635" w:rsidP="00863DF5">
            <w:pPr>
              <w:rPr>
                <w:rFonts w:ascii="Times New Roman" w:hAnsi="Times New Roman" w:cs="Times New Roman"/>
                <w:sz w:val="24"/>
                <w:szCs w:val="24"/>
              </w:rPr>
            </w:pPr>
            <w:r>
              <w:rPr>
                <w:rFonts w:ascii="Times New Roman" w:hAnsi="Times New Roman" w:cs="Times New Roman"/>
                <w:sz w:val="24"/>
                <w:szCs w:val="24"/>
              </w:rPr>
              <w:t>9. The diagnosis is correct</w:t>
            </w:r>
            <w:r w:rsidR="001A4133">
              <w:rPr>
                <w:rFonts w:ascii="Times New Roman" w:hAnsi="Times New Roman" w:cs="Times New Roman"/>
                <w:sz w:val="24"/>
                <w:szCs w:val="24"/>
              </w:rPr>
              <w:t xml:space="preserve"> commensurate with the stage of training</w:t>
            </w:r>
          </w:p>
        </w:tc>
        <w:tc>
          <w:tcPr>
            <w:tcW w:w="1350" w:type="dxa"/>
          </w:tcPr>
          <w:p w14:paraId="10E57900"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518" w:type="dxa"/>
          </w:tcPr>
          <w:p w14:paraId="4E5FB045"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r>
      <w:tr w:rsidR="00863DF5" w:rsidRPr="006F3B00" w14:paraId="121BB439" w14:textId="77777777" w:rsidTr="002F36A9">
        <w:tc>
          <w:tcPr>
            <w:tcW w:w="6767" w:type="dxa"/>
            <w:shd w:val="clear" w:color="auto" w:fill="FFA7A7"/>
          </w:tcPr>
          <w:p w14:paraId="5FF2EB4A"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10. Trainee consistent</w:t>
            </w:r>
            <w:r w:rsidR="00983635">
              <w:rPr>
                <w:rFonts w:ascii="Times New Roman" w:hAnsi="Times New Roman" w:cs="Times New Roman"/>
                <w:sz w:val="24"/>
                <w:szCs w:val="24"/>
              </w:rPr>
              <w:t>ly produces a correct diagnosis</w:t>
            </w:r>
            <w:r w:rsidR="001A4133">
              <w:rPr>
                <w:rFonts w:ascii="Times New Roman" w:hAnsi="Times New Roman" w:cs="Times New Roman"/>
                <w:sz w:val="24"/>
                <w:szCs w:val="24"/>
              </w:rPr>
              <w:t xml:space="preserve"> commensurate with the stage of training</w:t>
            </w:r>
          </w:p>
        </w:tc>
        <w:tc>
          <w:tcPr>
            <w:tcW w:w="1350" w:type="dxa"/>
          </w:tcPr>
          <w:p w14:paraId="05396B13"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518" w:type="dxa"/>
          </w:tcPr>
          <w:p w14:paraId="06CD6EAE"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r>
      <w:tr w:rsidR="00044AFF" w:rsidRPr="006F3B00" w14:paraId="01D6A766" w14:textId="77777777" w:rsidTr="002F36A9">
        <w:tc>
          <w:tcPr>
            <w:tcW w:w="8635" w:type="dxa"/>
            <w:gridSpan w:val="3"/>
            <w:shd w:val="clear" w:color="auto" w:fill="D9D9D9" w:themeFill="background1" w:themeFillShade="D9"/>
          </w:tcPr>
          <w:p w14:paraId="739A4F07" w14:textId="7AD33A81" w:rsidR="00044AFF" w:rsidRPr="006F3B00" w:rsidRDefault="00044AFF" w:rsidP="00863DF5">
            <w:pPr>
              <w:rPr>
                <w:rFonts w:ascii="Times New Roman" w:hAnsi="Times New Roman" w:cs="Times New Roman"/>
                <w:sz w:val="24"/>
                <w:szCs w:val="24"/>
              </w:rPr>
            </w:pPr>
            <w:r w:rsidRPr="00044AFF">
              <w:rPr>
                <w:rFonts w:ascii="Times New Roman" w:hAnsi="Times New Roman" w:cs="Times New Roman"/>
                <w:b/>
                <w:sz w:val="24"/>
                <w:szCs w:val="24"/>
              </w:rPr>
              <w:t>Trust</w:t>
            </w:r>
          </w:p>
        </w:tc>
      </w:tr>
      <w:tr w:rsidR="00863DF5" w:rsidRPr="006F3B00" w14:paraId="12E519B1" w14:textId="77777777" w:rsidTr="002F36A9">
        <w:tc>
          <w:tcPr>
            <w:tcW w:w="6767" w:type="dxa"/>
            <w:shd w:val="clear" w:color="auto" w:fill="FFA7A7"/>
          </w:tcPr>
          <w:p w14:paraId="4BDDAC39" w14:textId="553F4E0E" w:rsidR="00863DF5" w:rsidRPr="006F3B00" w:rsidRDefault="00863DF5" w:rsidP="008917A8">
            <w:pPr>
              <w:rPr>
                <w:rFonts w:ascii="Times New Roman" w:hAnsi="Times New Roman" w:cs="Times New Roman"/>
                <w:sz w:val="24"/>
                <w:szCs w:val="24"/>
              </w:rPr>
            </w:pPr>
            <w:r w:rsidRPr="006F3B00">
              <w:rPr>
                <w:rFonts w:ascii="Times New Roman" w:hAnsi="Times New Roman" w:cs="Times New Roman"/>
                <w:sz w:val="24"/>
                <w:szCs w:val="24"/>
              </w:rPr>
              <w:t>23. Your opinion of a trainee’s diagnostic competence is related to an overa</w:t>
            </w:r>
            <w:r w:rsidR="008917A8">
              <w:rPr>
                <w:rFonts w:ascii="Times New Roman" w:hAnsi="Times New Roman" w:cs="Times New Roman"/>
                <w:sz w:val="24"/>
                <w:szCs w:val="24"/>
              </w:rPr>
              <w:t>ll impression you have of them</w:t>
            </w:r>
          </w:p>
        </w:tc>
        <w:tc>
          <w:tcPr>
            <w:tcW w:w="1350" w:type="dxa"/>
          </w:tcPr>
          <w:p w14:paraId="1224E56B"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No</w:t>
            </w:r>
          </w:p>
        </w:tc>
        <w:tc>
          <w:tcPr>
            <w:tcW w:w="518" w:type="dxa"/>
          </w:tcPr>
          <w:p w14:paraId="2C820420"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Yes</w:t>
            </w:r>
          </w:p>
        </w:tc>
      </w:tr>
    </w:tbl>
    <w:p w14:paraId="1C6FB6A1" w14:textId="387D2D54" w:rsidR="00044AFF" w:rsidRDefault="00E1668B" w:rsidP="00E1668B">
      <w:pPr>
        <w:spacing w:line="240" w:lineRule="auto"/>
        <w:jc w:val="both"/>
        <w:rPr>
          <w:rFonts w:ascii="Times New Roman" w:hAnsi="Times New Roman" w:cs="Times New Roman"/>
          <w:sz w:val="24"/>
          <w:szCs w:val="24"/>
        </w:rPr>
      </w:pPr>
      <w:r>
        <w:rPr>
          <w:rFonts w:ascii="Times New Roman" w:hAnsi="Times New Roman" w:cs="Times New Roman"/>
          <w:b/>
          <w:sz w:val="24"/>
          <w:szCs w:val="24"/>
        </w:rPr>
        <w:t>Table 5.8</w:t>
      </w:r>
      <w:r w:rsidRPr="006F3B00">
        <w:rPr>
          <w:rFonts w:ascii="Times New Roman" w:hAnsi="Times New Roman" w:cs="Times New Roman"/>
          <w:b/>
          <w:sz w:val="24"/>
          <w:szCs w:val="24"/>
        </w:rPr>
        <w:t xml:space="preserve">. </w:t>
      </w:r>
      <w:r>
        <w:rPr>
          <w:rFonts w:ascii="Times New Roman" w:hAnsi="Times New Roman" w:cs="Times New Roman"/>
          <w:b/>
          <w:sz w:val="24"/>
          <w:szCs w:val="24"/>
        </w:rPr>
        <w:t xml:space="preserve">Summary of </w:t>
      </w:r>
      <w:r w:rsidRPr="006F3B00">
        <w:rPr>
          <w:rFonts w:ascii="Times New Roman" w:hAnsi="Times New Roman" w:cs="Times New Roman"/>
          <w:b/>
          <w:sz w:val="24"/>
          <w:szCs w:val="24"/>
        </w:rPr>
        <w:t>items</w:t>
      </w:r>
      <w:r>
        <w:rPr>
          <w:rFonts w:ascii="Times New Roman" w:hAnsi="Times New Roman" w:cs="Times New Roman"/>
          <w:b/>
          <w:sz w:val="24"/>
          <w:szCs w:val="24"/>
        </w:rPr>
        <w:t xml:space="preserve"> which</w:t>
      </w:r>
      <w:r w:rsidRPr="006F3B00">
        <w:rPr>
          <w:rFonts w:ascii="Times New Roman" w:hAnsi="Times New Roman" w:cs="Times New Roman"/>
          <w:b/>
          <w:sz w:val="24"/>
          <w:szCs w:val="24"/>
        </w:rPr>
        <w:t xml:space="preserve"> did not reach consensus</w:t>
      </w:r>
      <w:r>
        <w:rPr>
          <w:rFonts w:ascii="Times New Roman" w:hAnsi="Times New Roman" w:cs="Times New Roman"/>
          <w:b/>
          <w:sz w:val="24"/>
          <w:szCs w:val="24"/>
        </w:rPr>
        <w:t xml:space="preserve"> after round 2. </w:t>
      </w:r>
      <w:r w:rsidRPr="006F3B00">
        <w:rPr>
          <w:rFonts w:ascii="Times New Roman" w:hAnsi="Times New Roman" w:cs="Times New Roman"/>
          <w:sz w:val="24"/>
          <w:szCs w:val="24"/>
        </w:rPr>
        <w:t>Condition 1: “Consensus in” is when &gt;70% of participants scored the item as 8-1</w:t>
      </w:r>
      <w:r>
        <w:rPr>
          <w:rFonts w:ascii="Times New Roman" w:hAnsi="Times New Roman" w:cs="Times New Roman"/>
          <w:sz w:val="24"/>
          <w:szCs w:val="24"/>
        </w:rPr>
        <w:t>0 (definitely important) and &lt;15</w:t>
      </w:r>
      <w:r w:rsidRPr="006F3B00">
        <w:rPr>
          <w:rFonts w:ascii="Times New Roman" w:hAnsi="Times New Roman" w:cs="Times New Roman"/>
          <w:sz w:val="24"/>
          <w:szCs w:val="24"/>
        </w:rPr>
        <w:t>% have scored it 1-3 (definitely not important). “Consensus out” was when &gt;70% of participants scored an item 1-3 and &lt;1</w:t>
      </w:r>
      <w:r>
        <w:rPr>
          <w:rFonts w:ascii="Times New Roman" w:hAnsi="Times New Roman" w:cs="Times New Roman"/>
          <w:sz w:val="24"/>
          <w:szCs w:val="24"/>
        </w:rPr>
        <w:t xml:space="preserve">5% participants scored it 8-10. </w:t>
      </w:r>
      <w:r w:rsidRPr="006F3B00">
        <w:rPr>
          <w:rFonts w:ascii="Times New Roman" w:hAnsi="Times New Roman" w:cs="Times New Roman"/>
          <w:sz w:val="24"/>
          <w:szCs w:val="24"/>
        </w:rPr>
        <w:t>Condition 2: IQR must be ≤2 to reach consensus in or out.</w:t>
      </w:r>
      <w:r>
        <w:rPr>
          <w:rFonts w:ascii="Times New Roman" w:hAnsi="Times New Roman" w:cs="Times New Roman"/>
          <w:sz w:val="24"/>
          <w:szCs w:val="24"/>
        </w:rPr>
        <w:t xml:space="preserve"> Note, some items have been shortened for reasons of clarity.</w:t>
      </w:r>
    </w:p>
    <w:p w14:paraId="3540CC6D" w14:textId="77777777" w:rsidR="00E1668B" w:rsidRDefault="00E1668B" w:rsidP="00E1668B">
      <w:pPr>
        <w:spacing w:line="240" w:lineRule="auto"/>
        <w:jc w:val="both"/>
        <w:rPr>
          <w:rFonts w:ascii="Times New Roman" w:hAnsi="Times New Roman" w:cs="Times New Roman"/>
          <w:sz w:val="24"/>
          <w:szCs w:val="24"/>
        </w:rPr>
      </w:pPr>
    </w:p>
    <w:p w14:paraId="18955F89" w14:textId="1374E255" w:rsidR="00044AFF" w:rsidRDefault="00D8646A" w:rsidP="00863DF5">
      <w:pPr>
        <w:spacing w:line="480" w:lineRule="auto"/>
        <w:jc w:val="both"/>
        <w:rPr>
          <w:rFonts w:ascii="Times New Roman" w:hAnsi="Times New Roman" w:cs="Times New Roman"/>
          <w:sz w:val="24"/>
          <w:szCs w:val="24"/>
        </w:rPr>
      </w:pPr>
      <w:r>
        <w:rPr>
          <w:rFonts w:ascii="Times New Roman" w:hAnsi="Times New Roman" w:cs="Times New Roman"/>
          <w:sz w:val="24"/>
          <w:szCs w:val="24"/>
        </w:rPr>
        <w:t>Table 5.8</w:t>
      </w:r>
      <w:r w:rsidR="00044AFF">
        <w:rPr>
          <w:rFonts w:ascii="Times New Roman" w:hAnsi="Times New Roman" w:cs="Times New Roman"/>
          <w:sz w:val="24"/>
          <w:szCs w:val="24"/>
        </w:rPr>
        <w:t xml:space="preserve"> shows that all items which did not reach “consensus in” after round 2 were because condition 1 was not met. Two items did not reach “consensus in” under “forming a diagnosis” while “stage of training”, “timing” and “trust” each had one ite</w:t>
      </w:r>
      <w:r w:rsidR="00E1668B">
        <w:rPr>
          <w:rFonts w:ascii="Times New Roman" w:hAnsi="Times New Roman" w:cs="Times New Roman"/>
          <w:sz w:val="24"/>
          <w:szCs w:val="24"/>
        </w:rPr>
        <w:t>m fail to reach “consensus in”.</w:t>
      </w:r>
    </w:p>
    <w:p w14:paraId="6D1EA3FA" w14:textId="2C5A2049" w:rsidR="00863DF5" w:rsidRPr="006F3B00" w:rsidRDefault="00863DF5" w:rsidP="00863DF5">
      <w:pPr>
        <w:spacing w:line="480" w:lineRule="auto"/>
        <w:jc w:val="both"/>
        <w:rPr>
          <w:rFonts w:ascii="Times New Roman" w:hAnsi="Times New Roman" w:cs="Times New Roman"/>
          <w:color w:val="FF0000"/>
          <w:sz w:val="24"/>
          <w:szCs w:val="24"/>
        </w:rPr>
      </w:pPr>
      <w:r w:rsidRPr="006F3B00">
        <w:rPr>
          <w:rFonts w:ascii="Times New Roman" w:hAnsi="Times New Roman" w:cs="Times New Roman"/>
          <w:sz w:val="24"/>
          <w:szCs w:val="24"/>
        </w:rPr>
        <w:lastRenderedPageBreak/>
        <w:t xml:space="preserve">Two participants </w:t>
      </w:r>
      <w:r w:rsidR="00456AF8">
        <w:rPr>
          <w:rFonts w:ascii="Times New Roman" w:hAnsi="Times New Roman" w:cs="Times New Roman"/>
          <w:sz w:val="24"/>
          <w:szCs w:val="24"/>
        </w:rPr>
        <w:t xml:space="preserve">provided feedback on the rating exercise </w:t>
      </w:r>
      <w:r w:rsidRPr="006F3B00">
        <w:rPr>
          <w:rFonts w:ascii="Times New Roman" w:hAnsi="Times New Roman" w:cs="Times New Roman"/>
          <w:sz w:val="24"/>
          <w:szCs w:val="24"/>
        </w:rPr>
        <w:t>in round 2:</w:t>
      </w:r>
    </w:p>
    <w:p w14:paraId="4B85A388" w14:textId="77777777" w:rsidR="00863DF5" w:rsidRPr="006F3B00" w:rsidRDefault="00863DF5" w:rsidP="00863DF5">
      <w:pPr>
        <w:spacing w:line="480" w:lineRule="auto"/>
        <w:jc w:val="both"/>
        <w:rPr>
          <w:rFonts w:ascii="Times New Roman" w:hAnsi="Times New Roman" w:cs="Times New Roman"/>
          <w:i/>
          <w:sz w:val="24"/>
          <w:szCs w:val="24"/>
        </w:rPr>
      </w:pPr>
      <w:r w:rsidRPr="006F3B00">
        <w:rPr>
          <w:rFonts w:ascii="Times New Roman" w:hAnsi="Times New Roman" w:cs="Times New Roman"/>
          <w:i/>
          <w:sz w:val="24"/>
          <w:szCs w:val="24"/>
        </w:rPr>
        <w:t>“Ability to trim and orientate complex surgical resections according to stage of training. This is often assessed here in WBAs (DOPs). Occasionally trainees have problems with orientating a specimen and take few or too many blocks. Covered in q19 but perhaps more specific requirements needed?”</w:t>
      </w:r>
    </w:p>
    <w:p w14:paraId="60DF8008" w14:textId="77777777" w:rsidR="00863DF5" w:rsidRDefault="00863DF5" w:rsidP="00AF6599">
      <w:pPr>
        <w:spacing w:line="480" w:lineRule="auto"/>
        <w:jc w:val="both"/>
        <w:rPr>
          <w:rFonts w:ascii="Times New Roman" w:hAnsi="Times New Roman" w:cs="Times New Roman"/>
          <w:i/>
          <w:sz w:val="24"/>
          <w:szCs w:val="24"/>
        </w:rPr>
      </w:pPr>
      <w:r w:rsidRPr="006F3B00">
        <w:rPr>
          <w:rFonts w:ascii="Times New Roman" w:hAnsi="Times New Roman" w:cs="Times New Roman"/>
          <w:i/>
          <w:sz w:val="24"/>
          <w:szCs w:val="24"/>
        </w:rPr>
        <w:t>“I think you have covered all the important aspects. Under general professionalism, you could have specifically considered Stress Management, Conflict Management, responding to Own Errors (i.e. reflection and not reflex over-correction like calling t</w:t>
      </w:r>
      <w:r w:rsidR="00AF6599">
        <w:rPr>
          <w:rFonts w:ascii="Times New Roman" w:hAnsi="Times New Roman" w:cs="Times New Roman"/>
          <w:i/>
          <w:sz w:val="24"/>
          <w:szCs w:val="24"/>
        </w:rPr>
        <w:t>hen next xxx cases malignant)”.</w:t>
      </w:r>
    </w:p>
    <w:p w14:paraId="173ADF39" w14:textId="74C68A2B" w:rsidR="007B62CB" w:rsidRDefault="006673EC" w:rsidP="00AF6599">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As the Delphi was stopped after round 2, these comments could not be used to </w:t>
      </w:r>
      <w:r w:rsidR="00C52045">
        <w:rPr>
          <w:rFonts w:ascii="Times New Roman" w:hAnsi="Times New Roman" w:cs="Times New Roman"/>
          <w:sz w:val="24"/>
          <w:szCs w:val="24"/>
        </w:rPr>
        <w:t>inform</w:t>
      </w:r>
      <w:r>
        <w:rPr>
          <w:rFonts w:ascii="Times New Roman" w:hAnsi="Times New Roman" w:cs="Times New Roman"/>
          <w:sz w:val="24"/>
          <w:szCs w:val="24"/>
        </w:rPr>
        <w:t xml:space="preserve"> a round 3</w:t>
      </w:r>
      <w:r w:rsidR="007B62CB">
        <w:rPr>
          <w:rFonts w:ascii="Times New Roman" w:hAnsi="Times New Roman" w:cs="Times New Roman"/>
          <w:sz w:val="24"/>
          <w:szCs w:val="24"/>
        </w:rPr>
        <w:t xml:space="preserve">. </w:t>
      </w:r>
      <w:r w:rsidR="007B62CB" w:rsidRPr="00C52045">
        <w:rPr>
          <w:rFonts w:ascii="Times New Roman" w:hAnsi="Times New Roman" w:cs="Times New Roman"/>
          <w:sz w:val="24"/>
          <w:szCs w:val="24"/>
        </w:rPr>
        <w:t>No more rounds were conducted following round 2 as stability had been reached</w:t>
      </w:r>
      <w:r w:rsidR="00B6247F">
        <w:rPr>
          <w:rFonts w:ascii="Times New Roman" w:hAnsi="Times New Roman" w:cs="Times New Roman"/>
          <w:sz w:val="24"/>
          <w:szCs w:val="24"/>
        </w:rPr>
        <w:t xml:space="preserve">. </w:t>
      </w:r>
      <w:r w:rsidR="007B62CB" w:rsidRPr="00C52045">
        <w:rPr>
          <w:rFonts w:ascii="Times New Roman" w:hAnsi="Times New Roman" w:cs="Times New Roman"/>
          <w:sz w:val="24"/>
          <w:szCs w:val="24"/>
        </w:rPr>
        <w:t xml:space="preserve"> Wilcoxon matched pairs signed rank test showed no significant difference between round 1 and roun</w:t>
      </w:r>
      <w:r w:rsidR="00C33B1B">
        <w:rPr>
          <w:rFonts w:ascii="Times New Roman" w:hAnsi="Times New Roman" w:cs="Times New Roman"/>
          <w:sz w:val="24"/>
          <w:szCs w:val="24"/>
        </w:rPr>
        <w:t>d 2 responses for each of the twenty-seven</w:t>
      </w:r>
      <w:r w:rsidR="002C1C04">
        <w:rPr>
          <w:rFonts w:ascii="Times New Roman" w:hAnsi="Times New Roman" w:cs="Times New Roman"/>
          <w:sz w:val="24"/>
          <w:szCs w:val="24"/>
        </w:rPr>
        <w:t xml:space="preserve"> items, see Table 5.9.</w:t>
      </w:r>
      <w:r w:rsidR="004A307C">
        <w:rPr>
          <w:rFonts w:ascii="Times New Roman" w:hAnsi="Times New Roman" w:cs="Times New Roman"/>
          <w:sz w:val="24"/>
          <w:szCs w:val="24"/>
        </w:rPr>
        <w:t xml:space="preserve"> </w:t>
      </w:r>
    </w:p>
    <w:p w14:paraId="450E2302" w14:textId="77777777" w:rsidR="00E1668B" w:rsidRDefault="00E1668B" w:rsidP="000A7A7C">
      <w:pPr>
        <w:rPr>
          <w:rFonts w:ascii="Times New Roman" w:hAnsi="Times New Roman" w:cs="Times New Roman"/>
          <w:b/>
          <w:sz w:val="24"/>
          <w:szCs w:val="24"/>
        </w:rPr>
      </w:pPr>
    </w:p>
    <w:p w14:paraId="535EB261" w14:textId="77777777" w:rsidR="00E1668B" w:rsidRDefault="00E1668B" w:rsidP="000A7A7C">
      <w:pPr>
        <w:rPr>
          <w:rFonts w:ascii="Times New Roman" w:hAnsi="Times New Roman" w:cs="Times New Roman"/>
          <w:b/>
          <w:sz w:val="24"/>
          <w:szCs w:val="24"/>
        </w:rPr>
      </w:pPr>
    </w:p>
    <w:p w14:paraId="06B7A0F7" w14:textId="77777777" w:rsidR="00E1668B" w:rsidRDefault="00E1668B" w:rsidP="000A7A7C">
      <w:pPr>
        <w:rPr>
          <w:rFonts w:ascii="Times New Roman" w:hAnsi="Times New Roman" w:cs="Times New Roman"/>
          <w:b/>
          <w:sz w:val="24"/>
          <w:szCs w:val="24"/>
        </w:rPr>
      </w:pPr>
    </w:p>
    <w:p w14:paraId="3CF6FCCD" w14:textId="77777777" w:rsidR="00E1668B" w:rsidRDefault="00E1668B" w:rsidP="000A7A7C">
      <w:pPr>
        <w:rPr>
          <w:rFonts w:ascii="Times New Roman" w:hAnsi="Times New Roman" w:cs="Times New Roman"/>
          <w:b/>
          <w:sz w:val="24"/>
          <w:szCs w:val="24"/>
        </w:rPr>
      </w:pPr>
    </w:p>
    <w:p w14:paraId="6FC1674F" w14:textId="77777777" w:rsidR="00E1668B" w:rsidRDefault="00E1668B" w:rsidP="000A7A7C">
      <w:pPr>
        <w:rPr>
          <w:rFonts w:ascii="Times New Roman" w:hAnsi="Times New Roman" w:cs="Times New Roman"/>
          <w:b/>
          <w:sz w:val="24"/>
          <w:szCs w:val="24"/>
        </w:rPr>
      </w:pPr>
    </w:p>
    <w:p w14:paraId="4A6B044D" w14:textId="77777777" w:rsidR="00E1668B" w:rsidRDefault="00E1668B" w:rsidP="000A7A7C">
      <w:pPr>
        <w:rPr>
          <w:rFonts w:ascii="Times New Roman" w:hAnsi="Times New Roman" w:cs="Times New Roman"/>
          <w:b/>
          <w:sz w:val="24"/>
          <w:szCs w:val="24"/>
        </w:rPr>
      </w:pPr>
    </w:p>
    <w:p w14:paraId="425044D6" w14:textId="77777777" w:rsidR="00E1668B" w:rsidRDefault="00E1668B" w:rsidP="000A7A7C">
      <w:pPr>
        <w:rPr>
          <w:rFonts w:ascii="Times New Roman" w:hAnsi="Times New Roman" w:cs="Times New Roman"/>
          <w:b/>
          <w:sz w:val="24"/>
          <w:szCs w:val="24"/>
        </w:rPr>
      </w:pPr>
    </w:p>
    <w:p w14:paraId="67F75F1C" w14:textId="77777777" w:rsidR="00E1668B" w:rsidRDefault="00E1668B" w:rsidP="000A7A7C">
      <w:pPr>
        <w:rPr>
          <w:rFonts w:ascii="Times New Roman" w:hAnsi="Times New Roman" w:cs="Times New Roman"/>
          <w:b/>
          <w:sz w:val="24"/>
          <w:szCs w:val="24"/>
        </w:rPr>
      </w:pPr>
    </w:p>
    <w:p w14:paraId="5198388B" w14:textId="77777777" w:rsidR="00E1668B" w:rsidRDefault="00E1668B" w:rsidP="000A7A7C">
      <w:pPr>
        <w:rPr>
          <w:rFonts w:ascii="Times New Roman" w:hAnsi="Times New Roman" w:cs="Times New Roman"/>
          <w:b/>
          <w:sz w:val="24"/>
          <w:szCs w:val="24"/>
        </w:rPr>
      </w:pPr>
    </w:p>
    <w:p w14:paraId="3B213969" w14:textId="77777777" w:rsidR="00E1668B" w:rsidRDefault="00E1668B" w:rsidP="000A7A7C">
      <w:pPr>
        <w:rPr>
          <w:rFonts w:ascii="Times New Roman" w:hAnsi="Times New Roman" w:cs="Times New Roman"/>
          <w:b/>
          <w:sz w:val="24"/>
          <w:szCs w:val="24"/>
        </w:rPr>
      </w:pPr>
    </w:p>
    <w:p w14:paraId="5527637A" w14:textId="77777777" w:rsidR="00E1668B" w:rsidRDefault="00E1668B" w:rsidP="000A7A7C">
      <w:pPr>
        <w:rPr>
          <w:rFonts w:ascii="Times New Roman" w:hAnsi="Times New Roman" w:cs="Times New Roman"/>
          <w:b/>
          <w:sz w:val="24"/>
          <w:szCs w:val="24"/>
        </w:rPr>
      </w:pPr>
    </w:p>
    <w:p w14:paraId="0A6A37C0" w14:textId="77777777" w:rsidR="00E1668B" w:rsidRDefault="00E1668B" w:rsidP="000A7A7C">
      <w:pPr>
        <w:rPr>
          <w:rFonts w:ascii="Times New Roman" w:hAnsi="Times New Roman" w:cs="Times New Roman"/>
          <w:b/>
          <w:sz w:val="24"/>
          <w:szCs w:val="24"/>
        </w:rPr>
      </w:pPr>
    </w:p>
    <w:p w14:paraId="30B598E6" w14:textId="1EFD0D91" w:rsidR="00C52045" w:rsidRDefault="00C52045" w:rsidP="00AF6599">
      <w:pPr>
        <w:spacing w:line="480" w:lineRule="auto"/>
        <w:jc w:val="both"/>
        <w:rPr>
          <w:rFonts w:ascii="Times New Roman" w:hAnsi="Times New Roman" w:cs="Times New Roman"/>
          <w:sz w:val="24"/>
          <w:szCs w:val="24"/>
        </w:rPr>
      </w:pPr>
    </w:p>
    <w:tbl>
      <w:tblPr>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860"/>
        <w:gridCol w:w="2480"/>
      </w:tblGrid>
      <w:tr w:rsidR="00C52045" w:rsidRPr="006F3B00" w14:paraId="070933C2" w14:textId="77777777" w:rsidTr="006E4A82">
        <w:trPr>
          <w:trHeight w:val="300"/>
        </w:trPr>
        <w:tc>
          <w:tcPr>
            <w:tcW w:w="1780" w:type="dxa"/>
            <w:shd w:val="clear" w:color="000000" w:fill="000000"/>
            <w:noWrap/>
            <w:vAlign w:val="bottom"/>
            <w:hideMark/>
          </w:tcPr>
          <w:p w14:paraId="41B77E01" w14:textId="6992BB9A" w:rsidR="00C52045" w:rsidRPr="006F3B00" w:rsidRDefault="00B21184" w:rsidP="006E4A82">
            <w:pPr>
              <w:spacing w:after="0" w:line="240" w:lineRule="auto"/>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lastRenderedPageBreak/>
              <w:t>Item</w:t>
            </w:r>
          </w:p>
        </w:tc>
        <w:tc>
          <w:tcPr>
            <w:tcW w:w="1860" w:type="dxa"/>
            <w:shd w:val="clear" w:color="000000" w:fill="000000"/>
            <w:noWrap/>
            <w:vAlign w:val="bottom"/>
            <w:hideMark/>
          </w:tcPr>
          <w:p w14:paraId="3769CD06" w14:textId="7F4C18E3" w:rsidR="00D831E9" w:rsidRPr="006F3B00" w:rsidRDefault="00C52045" w:rsidP="006E4A82">
            <w:pPr>
              <w:spacing w:after="0" w:line="240" w:lineRule="auto"/>
              <w:rPr>
                <w:rFonts w:ascii="Times New Roman" w:eastAsia="Times New Roman" w:hAnsi="Times New Roman" w:cs="Times New Roman"/>
                <w:b/>
                <w:bCs/>
                <w:color w:val="FFFFFF"/>
                <w:sz w:val="24"/>
                <w:szCs w:val="24"/>
              </w:rPr>
            </w:pPr>
            <w:r w:rsidRPr="006F3B00">
              <w:rPr>
                <w:rFonts w:ascii="Times New Roman" w:eastAsia="Times New Roman" w:hAnsi="Times New Roman" w:cs="Times New Roman"/>
                <w:b/>
                <w:bCs/>
                <w:color w:val="FFFFFF"/>
                <w:sz w:val="24"/>
                <w:szCs w:val="24"/>
              </w:rPr>
              <w:t>p value</w:t>
            </w:r>
          </w:p>
        </w:tc>
        <w:tc>
          <w:tcPr>
            <w:tcW w:w="2480" w:type="dxa"/>
            <w:shd w:val="clear" w:color="000000" w:fill="000000"/>
            <w:noWrap/>
            <w:vAlign w:val="bottom"/>
            <w:hideMark/>
          </w:tcPr>
          <w:p w14:paraId="70EB1ECB" w14:textId="77777777" w:rsidR="00C52045" w:rsidRPr="006F3B00" w:rsidRDefault="00C52045" w:rsidP="006E4A82">
            <w:pPr>
              <w:spacing w:after="0" w:line="240" w:lineRule="auto"/>
              <w:rPr>
                <w:rFonts w:ascii="Times New Roman" w:eastAsia="Times New Roman" w:hAnsi="Times New Roman" w:cs="Times New Roman"/>
                <w:b/>
                <w:bCs/>
                <w:color w:val="FFFFFF"/>
                <w:sz w:val="24"/>
                <w:szCs w:val="24"/>
              </w:rPr>
            </w:pPr>
            <w:r w:rsidRPr="006F3B00">
              <w:rPr>
                <w:rFonts w:ascii="Times New Roman" w:eastAsia="Times New Roman" w:hAnsi="Times New Roman" w:cs="Times New Roman"/>
                <w:b/>
                <w:bCs/>
                <w:color w:val="FFFFFF"/>
                <w:sz w:val="24"/>
                <w:szCs w:val="24"/>
              </w:rPr>
              <w:t>Result</w:t>
            </w:r>
          </w:p>
        </w:tc>
      </w:tr>
      <w:tr w:rsidR="00C52045" w:rsidRPr="006F3B00" w14:paraId="2F95F161" w14:textId="77777777" w:rsidTr="006E4A82">
        <w:trPr>
          <w:trHeight w:val="300"/>
        </w:trPr>
        <w:tc>
          <w:tcPr>
            <w:tcW w:w="1780" w:type="dxa"/>
            <w:shd w:val="clear" w:color="auto" w:fill="auto"/>
            <w:noWrap/>
            <w:vAlign w:val="bottom"/>
            <w:hideMark/>
          </w:tcPr>
          <w:p w14:paraId="07133D12"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w:t>
            </w:r>
          </w:p>
        </w:tc>
        <w:tc>
          <w:tcPr>
            <w:tcW w:w="1860" w:type="dxa"/>
            <w:shd w:val="clear" w:color="auto" w:fill="auto"/>
            <w:noWrap/>
            <w:vAlign w:val="bottom"/>
            <w:hideMark/>
          </w:tcPr>
          <w:p w14:paraId="081A99BC"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7F886BA1"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484995B9" w14:textId="77777777" w:rsidTr="006E4A82">
        <w:trPr>
          <w:trHeight w:val="300"/>
        </w:trPr>
        <w:tc>
          <w:tcPr>
            <w:tcW w:w="1780" w:type="dxa"/>
            <w:shd w:val="clear" w:color="auto" w:fill="auto"/>
            <w:noWrap/>
            <w:vAlign w:val="bottom"/>
            <w:hideMark/>
          </w:tcPr>
          <w:p w14:paraId="2659F3AD"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w:t>
            </w:r>
          </w:p>
        </w:tc>
        <w:tc>
          <w:tcPr>
            <w:tcW w:w="1860" w:type="dxa"/>
            <w:shd w:val="clear" w:color="auto" w:fill="auto"/>
            <w:noWrap/>
            <w:vAlign w:val="bottom"/>
            <w:hideMark/>
          </w:tcPr>
          <w:p w14:paraId="63E5FABA"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08D0AB55"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1157775C" w14:textId="77777777" w:rsidTr="006E4A82">
        <w:trPr>
          <w:trHeight w:val="300"/>
        </w:trPr>
        <w:tc>
          <w:tcPr>
            <w:tcW w:w="1780" w:type="dxa"/>
            <w:shd w:val="clear" w:color="auto" w:fill="auto"/>
            <w:noWrap/>
            <w:vAlign w:val="bottom"/>
            <w:hideMark/>
          </w:tcPr>
          <w:p w14:paraId="4A01BCBD"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3</w:t>
            </w:r>
          </w:p>
        </w:tc>
        <w:tc>
          <w:tcPr>
            <w:tcW w:w="1860" w:type="dxa"/>
            <w:shd w:val="clear" w:color="auto" w:fill="auto"/>
            <w:noWrap/>
            <w:vAlign w:val="bottom"/>
            <w:hideMark/>
          </w:tcPr>
          <w:p w14:paraId="3FB27308"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3BF3C19D"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67BE0178" w14:textId="77777777" w:rsidTr="006E4A82">
        <w:trPr>
          <w:trHeight w:val="300"/>
        </w:trPr>
        <w:tc>
          <w:tcPr>
            <w:tcW w:w="1780" w:type="dxa"/>
            <w:shd w:val="clear" w:color="auto" w:fill="auto"/>
            <w:noWrap/>
            <w:vAlign w:val="bottom"/>
            <w:hideMark/>
          </w:tcPr>
          <w:p w14:paraId="638AB74C"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4</w:t>
            </w:r>
          </w:p>
        </w:tc>
        <w:tc>
          <w:tcPr>
            <w:tcW w:w="1860" w:type="dxa"/>
            <w:shd w:val="clear" w:color="auto" w:fill="auto"/>
            <w:noWrap/>
            <w:vAlign w:val="bottom"/>
            <w:hideMark/>
          </w:tcPr>
          <w:p w14:paraId="5BA6C543"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0.765</w:t>
            </w:r>
          </w:p>
        </w:tc>
        <w:tc>
          <w:tcPr>
            <w:tcW w:w="2480" w:type="dxa"/>
            <w:shd w:val="clear" w:color="auto" w:fill="auto"/>
            <w:noWrap/>
            <w:vAlign w:val="bottom"/>
            <w:hideMark/>
          </w:tcPr>
          <w:p w14:paraId="27EA6F56"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439995A1" w14:textId="77777777" w:rsidTr="006E4A82">
        <w:trPr>
          <w:trHeight w:val="300"/>
        </w:trPr>
        <w:tc>
          <w:tcPr>
            <w:tcW w:w="1780" w:type="dxa"/>
            <w:shd w:val="clear" w:color="auto" w:fill="auto"/>
            <w:noWrap/>
            <w:vAlign w:val="bottom"/>
            <w:hideMark/>
          </w:tcPr>
          <w:p w14:paraId="7F4B4084"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5</w:t>
            </w:r>
          </w:p>
        </w:tc>
        <w:tc>
          <w:tcPr>
            <w:tcW w:w="1860" w:type="dxa"/>
            <w:shd w:val="clear" w:color="auto" w:fill="auto"/>
            <w:noWrap/>
            <w:vAlign w:val="bottom"/>
            <w:hideMark/>
          </w:tcPr>
          <w:p w14:paraId="04F705B0"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0.688</w:t>
            </w:r>
          </w:p>
        </w:tc>
        <w:tc>
          <w:tcPr>
            <w:tcW w:w="2480" w:type="dxa"/>
            <w:shd w:val="clear" w:color="auto" w:fill="auto"/>
            <w:noWrap/>
            <w:vAlign w:val="bottom"/>
            <w:hideMark/>
          </w:tcPr>
          <w:p w14:paraId="13A1DCA0"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2E7B14DE" w14:textId="77777777" w:rsidTr="006E4A82">
        <w:trPr>
          <w:trHeight w:val="300"/>
        </w:trPr>
        <w:tc>
          <w:tcPr>
            <w:tcW w:w="1780" w:type="dxa"/>
            <w:shd w:val="clear" w:color="auto" w:fill="auto"/>
            <w:noWrap/>
            <w:vAlign w:val="bottom"/>
            <w:hideMark/>
          </w:tcPr>
          <w:p w14:paraId="760E2178"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6</w:t>
            </w:r>
          </w:p>
        </w:tc>
        <w:tc>
          <w:tcPr>
            <w:tcW w:w="1860" w:type="dxa"/>
            <w:shd w:val="clear" w:color="auto" w:fill="auto"/>
            <w:noWrap/>
            <w:vAlign w:val="bottom"/>
            <w:hideMark/>
          </w:tcPr>
          <w:p w14:paraId="1726EC96"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0.703</w:t>
            </w:r>
          </w:p>
        </w:tc>
        <w:tc>
          <w:tcPr>
            <w:tcW w:w="2480" w:type="dxa"/>
            <w:shd w:val="clear" w:color="auto" w:fill="auto"/>
            <w:noWrap/>
            <w:vAlign w:val="bottom"/>
            <w:hideMark/>
          </w:tcPr>
          <w:p w14:paraId="4B4EF0DC"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0C8CBAFF" w14:textId="77777777" w:rsidTr="006E4A82">
        <w:trPr>
          <w:trHeight w:val="300"/>
        </w:trPr>
        <w:tc>
          <w:tcPr>
            <w:tcW w:w="1780" w:type="dxa"/>
            <w:shd w:val="clear" w:color="auto" w:fill="auto"/>
            <w:noWrap/>
            <w:vAlign w:val="bottom"/>
            <w:hideMark/>
          </w:tcPr>
          <w:p w14:paraId="42DC6689"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7</w:t>
            </w:r>
          </w:p>
        </w:tc>
        <w:tc>
          <w:tcPr>
            <w:tcW w:w="1860" w:type="dxa"/>
            <w:shd w:val="clear" w:color="auto" w:fill="auto"/>
            <w:noWrap/>
            <w:vAlign w:val="bottom"/>
            <w:hideMark/>
          </w:tcPr>
          <w:p w14:paraId="1C56601A"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0.812</w:t>
            </w:r>
          </w:p>
        </w:tc>
        <w:tc>
          <w:tcPr>
            <w:tcW w:w="2480" w:type="dxa"/>
            <w:shd w:val="clear" w:color="auto" w:fill="auto"/>
            <w:noWrap/>
            <w:vAlign w:val="bottom"/>
            <w:hideMark/>
          </w:tcPr>
          <w:p w14:paraId="38B1801D"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71374E81" w14:textId="77777777" w:rsidTr="006E4A82">
        <w:trPr>
          <w:trHeight w:val="300"/>
        </w:trPr>
        <w:tc>
          <w:tcPr>
            <w:tcW w:w="1780" w:type="dxa"/>
            <w:shd w:val="clear" w:color="auto" w:fill="auto"/>
            <w:noWrap/>
            <w:vAlign w:val="bottom"/>
            <w:hideMark/>
          </w:tcPr>
          <w:p w14:paraId="0DEE6FAE"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8</w:t>
            </w:r>
          </w:p>
        </w:tc>
        <w:tc>
          <w:tcPr>
            <w:tcW w:w="1860" w:type="dxa"/>
            <w:shd w:val="clear" w:color="auto" w:fill="auto"/>
            <w:noWrap/>
            <w:vAlign w:val="bottom"/>
            <w:hideMark/>
          </w:tcPr>
          <w:p w14:paraId="0F3F0BAE"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0.75</w:t>
            </w:r>
          </w:p>
        </w:tc>
        <w:tc>
          <w:tcPr>
            <w:tcW w:w="2480" w:type="dxa"/>
            <w:shd w:val="clear" w:color="auto" w:fill="auto"/>
            <w:noWrap/>
            <w:vAlign w:val="bottom"/>
            <w:hideMark/>
          </w:tcPr>
          <w:p w14:paraId="00AFBECC"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62C82A79" w14:textId="77777777" w:rsidTr="006E4A82">
        <w:trPr>
          <w:trHeight w:val="300"/>
        </w:trPr>
        <w:tc>
          <w:tcPr>
            <w:tcW w:w="1780" w:type="dxa"/>
            <w:shd w:val="clear" w:color="auto" w:fill="auto"/>
            <w:noWrap/>
            <w:vAlign w:val="bottom"/>
            <w:hideMark/>
          </w:tcPr>
          <w:p w14:paraId="71CBA61E"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9</w:t>
            </w:r>
          </w:p>
        </w:tc>
        <w:tc>
          <w:tcPr>
            <w:tcW w:w="1860" w:type="dxa"/>
            <w:shd w:val="clear" w:color="auto" w:fill="auto"/>
            <w:noWrap/>
            <w:vAlign w:val="bottom"/>
            <w:hideMark/>
          </w:tcPr>
          <w:p w14:paraId="2CB0D100"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0.23</w:t>
            </w:r>
          </w:p>
        </w:tc>
        <w:tc>
          <w:tcPr>
            <w:tcW w:w="2480" w:type="dxa"/>
            <w:shd w:val="clear" w:color="auto" w:fill="auto"/>
            <w:noWrap/>
            <w:vAlign w:val="bottom"/>
            <w:hideMark/>
          </w:tcPr>
          <w:p w14:paraId="164EA978"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3EDB7AB9" w14:textId="77777777" w:rsidTr="006E4A82">
        <w:trPr>
          <w:trHeight w:val="300"/>
        </w:trPr>
        <w:tc>
          <w:tcPr>
            <w:tcW w:w="1780" w:type="dxa"/>
            <w:shd w:val="clear" w:color="auto" w:fill="auto"/>
            <w:noWrap/>
            <w:vAlign w:val="bottom"/>
            <w:hideMark/>
          </w:tcPr>
          <w:p w14:paraId="3412418B"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10</w:t>
            </w:r>
          </w:p>
        </w:tc>
        <w:tc>
          <w:tcPr>
            <w:tcW w:w="1860" w:type="dxa"/>
            <w:shd w:val="clear" w:color="auto" w:fill="auto"/>
            <w:noWrap/>
            <w:vAlign w:val="bottom"/>
            <w:hideMark/>
          </w:tcPr>
          <w:p w14:paraId="3B694651"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0.62</w:t>
            </w:r>
          </w:p>
        </w:tc>
        <w:tc>
          <w:tcPr>
            <w:tcW w:w="2480" w:type="dxa"/>
            <w:shd w:val="clear" w:color="auto" w:fill="auto"/>
            <w:noWrap/>
            <w:vAlign w:val="bottom"/>
            <w:hideMark/>
          </w:tcPr>
          <w:p w14:paraId="50BB5C94"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7B90F94B" w14:textId="77777777" w:rsidTr="006E4A82">
        <w:trPr>
          <w:trHeight w:val="300"/>
        </w:trPr>
        <w:tc>
          <w:tcPr>
            <w:tcW w:w="1780" w:type="dxa"/>
            <w:shd w:val="clear" w:color="auto" w:fill="auto"/>
            <w:noWrap/>
            <w:vAlign w:val="bottom"/>
            <w:hideMark/>
          </w:tcPr>
          <w:p w14:paraId="04FFE6B3"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11</w:t>
            </w:r>
          </w:p>
        </w:tc>
        <w:tc>
          <w:tcPr>
            <w:tcW w:w="1860" w:type="dxa"/>
            <w:shd w:val="clear" w:color="auto" w:fill="auto"/>
            <w:noWrap/>
            <w:vAlign w:val="bottom"/>
            <w:hideMark/>
          </w:tcPr>
          <w:p w14:paraId="68420C2F"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0.5</w:t>
            </w:r>
          </w:p>
        </w:tc>
        <w:tc>
          <w:tcPr>
            <w:tcW w:w="2480" w:type="dxa"/>
            <w:shd w:val="clear" w:color="auto" w:fill="auto"/>
            <w:noWrap/>
            <w:vAlign w:val="bottom"/>
            <w:hideMark/>
          </w:tcPr>
          <w:p w14:paraId="48DA58E4"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0E3BF198" w14:textId="77777777" w:rsidTr="006E4A82">
        <w:trPr>
          <w:trHeight w:val="300"/>
        </w:trPr>
        <w:tc>
          <w:tcPr>
            <w:tcW w:w="1780" w:type="dxa"/>
            <w:shd w:val="clear" w:color="auto" w:fill="auto"/>
            <w:noWrap/>
            <w:vAlign w:val="bottom"/>
            <w:hideMark/>
          </w:tcPr>
          <w:p w14:paraId="03B8A39E"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12</w:t>
            </w:r>
          </w:p>
        </w:tc>
        <w:tc>
          <w:tcPr>
            <w:tcW w:w="1860" w:type="dxa"/>
            <w:shd w:val="clear" w:color="auto" w:fill="auto"/>
            <w:noWrap/>
            <w:vAlign w:val="bottom"/>
            <w:hideMark/>
          </w:tcPr>
          <w:p w14:paraId="5D699121"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35F189B0"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389D4F38" w14:textId="77777777" w:rsidTr="006E4A82">
        <w:trPr>
          <w:trHeight w:val="300"/>
        </w:trPr>
        <w:tc>
          <w:tcPr>
            <w:tcW w:w="1780" w:type="dxa"/>
            <w:shd w:val="clear" w:color="auto" w:fill="auto"/>
            <w:noWrap/>
            <w:vAlign w:val="bottom"/>
            <w:hideMark/>
          </w:tcPr>
          <w:p w14:paraId="2CB000BA"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13</w:t>
            </w:r>
          </w:p>
        </w:tc>
        <w:tc>
          <w:tcPr>
            <w:tcW w:w="1860" w:type="dxa"/>
            <w:shd w:val="clear" w:color="auto" w:fill="auto"/>
            <w:noWrap/>
            <w:vAlign w:val="bottom"/>
            <w:hideMark/>
          </w:tcPr>
          <w:p w14:paraId="7718B55C"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09F289CE"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6D0EEB28" w14:textId="77777777" w:rsidTr="006E4A82">
        <w:trPr>
          <w:trHeight w:val="300"/>
        </w:trPr>
        <w:tc>
          <w:tcPr>
            <w:tcW w:w="1780" w:type="dxa"/>
            <w:shd w:val="clear" w:color="auto" w:fill="auto"/>
            <w:noWrap/>
            <w:vAlign w:val="bottom"/>
            <w:hideMark/>
          </w:tcPr>
          <w:p w14:paraId="05F4F7B5"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14</w:t>
            </w:r>
          </w:p>
        </w:tc>
        <w:tc>
          <w:tcPr>
            <w:tcW w:w="1860" w:type="dxa"/>
            <w:shd w:val="clear" w:color="auto" w:fill="auto"/>
            <w:noWrap/>
            <w:vAlign w:val="bottom"/>
            <w:hideMark/>
          </w:tcPr>
          <w:p w14:paraId="21CF7E7F"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0.687</w:t>
            </w:r>
          </w:p>
        </w:tc>
        <w:tc>
          <w:tcPr>
            <w:tcW w:w="2480" w:type="dxa"/>
            <w:shd w:val="clear" w:color="auto" w:fill="auto"/>
            <w:noWrap/>
            <w:vAlign w:val="bottom"/>
            <w:hideMark/>
          </w:tcPr>
          <w:p w14:paraId="30349A44"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6AD8EF39" w14:textId="77777777" w:rsidTr="006E4A82">
        <w:trPr>
          <w:trHeight w:val="300"/>
        </w:trPr>
        <w:tc>
          <w:tcPr>
            <w:tcW w:w="1780" w:type="dxa"/>
            <w:shd w:val="clear" w:color="auto" w:fill="auto"/>
            <w:noWrap/>
            <w:vAlign w:val="bottom"/>
            <w:hideMark/>
          </w:tcPr>
          <w:p w14:paraId="7060502B"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15</w:t>
            </w:r>
          </w:p>
        </w:tc>
        <w:tc>
          <w:tcPr>
            <w:tcW w:w="1860" w:type="dxa"/>
            <w:shd w:val="clear" w:color="auto" w:fill="auto"/>
            <w:noWrap/>
            <w:vAlign w:val="bottom"/>
            <w:hideMark/>
          </w:tcPr>
          <w:p w14:paraId="39F07E87"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0.25</w:t>
            </w:r>
          </w:p>
        </w:tc>
        <w:tc>
          <w:tcPr>
            <w:tcW w:w="2480" w:type="dxa"/>
            <w:shd w:val="clear" w:color="auto" w:fill="auto"/>
            <w:noWrap/>
            <w:vAlign w:val="bottom"/>
            <w:hideMark/>
          </w:tcPr>
          <w:p w14:paraId="5A32D317"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6385CBDA" w14:textId="77777777" w:rsidTr="006E4A82">
        <w:trPr>
          <w:trHeight w:val="300"/>
        </w:trPr>
        <w:tc>
          <w:tcPr>
            <w:tcW w:w="1780" w:type="dxa"/>
            <w:shd w:val="clear" w:color="auto" w:fill="auto"/>
            <w:noWrap/>
            <w:vAlign w:val="bottom"/>
            <w:hideMark/>
          </w:tcPr>
          <w:p w14:paraId="1F5E3DB1"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16</w:t>
            </w:r>
          </w:p>
        </w:tc>
        <w:tc>
          <w:tcPr>
            <w:tcW w:w="1860" w:type="dxa"/>
            <w:shd w:val="clear" w:color="auto" w:fill="auto"/>
            <w:noWrap/>
            <w:vAlign w:val="bottom"/>
            <w:hideMark/>
          </w:tcPr>
          <w:p w14:paraId="7D717CFF"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0.5</w:t>
            </w:r>
          </w:p>
        </w:tc>
        <w:tc>
          <w:tcPr>
            <w:tcW w:w="2480" w:type="dxa"/>
            <w:shd w:val="clear" w:color="auto" w:fill="auto"/>
            <w:noWrap/>
            <w:vAlign w:val="bottom"/>
            <w:hideMark/>
          </w:tcPr>
          <w:p w14:paraId="05D550B4" w14:textId="142420D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37E913BD" w14:textId="77777777" w:rsidTr="006E4A82">
        <w:trPr>
          <w:trHeight w:val="300"/>
        </w:trPr>
        <w:tc>
          <w:tcPr>
            <w:tcW w:w="1780" w:type="dxa"/>
            <w:shd w:val="clear" w:color="auto" w:fill="auto"/>
            <w:noWrap/>
            <w:vAlign w:val="bottom"/>
            <w:hideMark/>
          </w:tcPr>
          <w:p w14:paraId="1EEA4875"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17</w:t>
            </w:r>
          </w:p>
        </w:tc>
        <w:tc>
          <w:tcPr>
            <w:tcW w:w="1860" w:type="dxa"/>
            <w:shd w:val="clear" w:color="auto" w:fill="auto"/>
            <w:noWrap/>
            <w:vAlign w:val="bottom"/>
            <w:hideMark/>
          </w:tcPr>
          <w:p w14:paraId="1CEA7750"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69F0047D"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7043639B" w14:textId="77777777" w:rsidTr="006E4A82">
        <w:trPr>
          <w:trHeight w:val="300"/>
        </w:trPr>
        <w:tc>
          <w:tcPr>
            <w:tcW w:w="1780" w:type="dxa"/>
            <w:shd w:val="clear" w:color="auto" w:fill="auto"/>
            <w:noWrap/>
            <w:vAlign w:val="bottom"/>
            <w:hideMark/>
          </w:tcPr>
          <w:p w14:paraId="03A71BD2"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18</w:t>
            </w:r>
          </w:p>
        </w:tc>
        <w:tc>
          <w:tcPr>
            <w:tcW w:w="1860" w:type="dxa"/>
            <w:shd w:val="clear" w:color="auto" w:fill="auto"/>
            <w:noWrap/>
            <w:vAlign w:val="bottom"/>
            <w:hideMark/>
          </w:tcPr>
          <w:p w14:paraId="3CE2F8D1"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0.5</w:t>
            </w:r>
          </w:p>
        </w:tc>
        <w:tc>
          <w:tcPr>
            <w:tcW w:w="2480" w:type="dxa"/>
            <w:shd w:val="clear" w:color="auto" w:fill="auto"/>
            <w:noWrap/>
            <w:vAlign w:val="bottom"/>
            <w:hideMark/>
          </w:tcPr>
          <w:p w14:paraId="6A70463C"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5E021526" w14:textId="77777777" w:rsidTr="006E4A82">
        <w:trPr>
          <w:trHeight w:val="300"/>
        </w:trPr>
        <w:tc>
          <w:tcPr>
            <w:tcW w:w="1780" w:type="dxa"/>
            <w:shd w:val="clear" w:color="auto" w:fill="auto"/>
            <w:noWrap/>
            <w:vAlign w:val="bottom"/>
            <w:hideMark/>
          </w:tcPr>
          <w:p w14:paraId="64511C28"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19</w:t>
            </w:r>
          </w:p>
        </w:tc>
        <w:tc>
          <w:tcPr>
            <w:tcW w:w="1860" w:type="dxa"/>
            <w:shd w:val="clear" w:color="auto" w:fill="auto"/>
            <w:noWrap/>
            <w:vAlign w:val="bottom"/>
            <w:hideMark/>
          </w:tcPr>
          <w:p w14:paraId="16B20546"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0.187</w:t>
            </w:r>
          </w:p>
        </w:tc>
        <w:tc>
          <w:tcPr>
            <w:tcW w:w="2480" w:type="dxa"/>
            <w:shd w:val="clear" w:color="auto" w:fill="auto"/>
            <w:noWrap/>
            <w:vAlign w:val="bottom"/>
            <w:hideMark/>
          </w:tcPr>
          <w:p w14:paraId="468100A2"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4516A760" w14:textId="77777777" w:rsidTr="006E4A82">
        <w:trPr>
          <w:trHeight w:val="300"/>
        </w:trPr>
        <w:tc>
          <w:tcPr>
            <w:tcW w:w="1780" w:type="dxa"/>
            <w:shd w:val="clear" w:color="auto" w:fill="auto"/>
            <w:noWrap/>
            <w:vAlign w:val="bottom"/>
            <w:hideMark/>
          </w:tcPr>
          <w:p w14:paraId="10F24BE4"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20</w:t>
            </w:r>
          </w:p>
        </w:tc>
        <w:tc>
          <w:tcPr>
            <w:tcW w:w="1860" w:type="dxa"/>
            <w:shd w:val="clear" w:color="auto" w:fill="auto"/>
            <w:noWrap/>
            <w:vAlign w:val="bottom"/>
            <w:hideMark/>
          </w:tcPr>
          <w:p w14:paraId="3A5631AF"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17BCE7D5"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7D9D6EDF" w14:textId="77777777" w:rsidTr="006E4A82">
        <w:trPr>
          <w:trHeight w:val="300"/>
        </w:trPr>
        <w:tc>
          <w:tcPr>
            <w:tcW w:w="1780" w:type="dxa"/>
            <w:shd w:val="clear" w:color="auto" w:fill="auto"/>
            <w:noWrap/>
            <w:vAlign w:val="bottom"/>
            <w:hideMark/>
          </w:tcPr>
          <w:p w14:paraId="111FF547"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21</w:t>
            </w:r>
          </w:p>
        </w:tc>
        <w:tc>
          <w:tcPr>
            <w:tcW w:w="1860" w:type="dxa"/>
            <w:shd w:val="clear" w:color="auto" w:fill="auto"/>
            <w:noWrap/>
            <w:vAlign w:val="bottom"/>
            <w:hideMark/>
          </w:tcPr>
          <w:p w14:paraId="121171BF"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424574C5"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56A4EB80" w14:textId="77777777" w:rsidTr="006E4A82">
        <w:trPr>
          <w:trHeight w:val="300"/>
        </w:trPr>
        <w:tc>
          <w:tcPr>
            <w:tcW w:w="1780" w:type="dxa"/>
            <w:shd w:val="clear" w:color="auto" w:fill="auto"/>
            <w:noWrap/>
            <w:vAlign w:val="bottom"/>
            <w:hideMark/>
          </w:tcPr>
          <w:p w14:paraId="1BB361E4"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22</w:t>
            </w:r>
          </w:p>
        </w:tc>
        <w:tc>
          <w:tcPr>
            <w:tcW w:w="1860" w:type="dxa"/>
            <w:shd w:val="clear" w:color="auto" w:fill="auto"/>
            <w:noWrap/>
            <w:vAlign w:val="bottom"/>
            <w:hideMark/>
          </w:tcPr>
          <w:p w14:paraId="4BBF2B7D"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0.5</w:t>
            </w:r>
          </w:p>
        </w:tc>
        <w:tc>
          <w:tcPr>
            <w:tcW w:w="2480" w:type="dxa"/>
            <w:shd w:val="clear" w:color="auto" w:fill="auto"/>
            <w:noWrap/>
            <w:vAlign w:val="bottom"/>
            <w:hideMark/>
          </w:tcPr>
          <w:p w14:paraId="7FF43512"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0C00846F" w14:textId="77777777" w:rsidTr="006E4A82">
        <w:trPr>
          <w:trHeight w:val="300"/>
        </w:trPr>
        <w:tc>
          <w:tcPr>
            <w:tcW w:w="1780" w:type="dxa"/>
            <w:shd w:val="clear" w:color="auto" w:fill="auto"/>
            <w:noWrap/>
            <w:vAlign w:val="bottom"/>
            <w:hideMark/>
          </w:tcPr>
          <w:p w14:paraId="0FEB6000"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23</w:t>
            </w:r>
          </w:p>
        </w:tc>
        <w:tc>
          <w:tcPr>
            <w:tcW w:w="1860" w:type="dxa"/>
            <w:shd w:val="clear" w:color="auto" w:fill="auto"/>
            <w:noWrap/>
            <w:vAlign w:val="bottom"/>
            <w:hideMark/>
          </w:tcPr>
          <w:p w14:paraId="53CE92F3"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0.313</w:t>
            </w:r>
          </w:p>
        </w:tc>
        <w:tc>
          <w:tcPr>
            <w:tcW w:w="2480" w:type="dxa"/>
            <w:shd w:val="clear" w:color="auto" w:fill="auto"/>
            <w:noWrap/>
            <w:vAlign w:val="bottom"/>
            <w:hideMark/>
          </w:tcPr>
          <w:p w14:paraId="36E861E6"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2BA34E14" w14:textId="77777777" w:rsidTr="006E4A82">
        <w:trPr>
          <w:trHeight w:val="300"/>
        </w:trPr>
        <w:tc>
          <w:tcPr>
            <w:tcW w:w="1780" w:type="dxa"/>
            <w:shd w:val="clear" w:color="auto" w:fill="auto"/>
            <w:noWrap/>
            <w:vAlign w:val="bottom"/>
            <w:hideMark/>
          </w:tcPr>
          <w:p w14:paraId="0AE53B91"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24</w:t>
            </w:r>
          </w:p>
        </w:tc>
        <w:tc>
          <w:tcPr>
            <w:tcW w:w="1860" w:type="dxa"/>
            <w:shd w:val="clear" w:color="auto" w:fill="auto"/>
            <w:noWrap/>
            <w:vAlign w:val="bottom"/>
            <w:hideMark/>
          </w:tcPr>
          <w:p w14:paraId="172AE7B8"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6408409A"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066326D6" w14:textId="77777777" w:rsidTr="006E4A82">
        <w:trPr>
          <w:trHeight w:val="300"/>
        </w:trPr>
        <w:tc>
          <w:tcPr>
            <w:tcW w:w="1780" w:type="dxa"/>
            <w:shd w:val="clear" w:color="auto" w:fill="auto"/>
            <w:noWrap/>
            <w:vAlign w:val="bottom"/>
            <w:hideMark/>
          </w:tcPr>
          <w:p w14:paraId="32F731F4"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25</w:t>
            </w:r>
          </w:p>
        </w:tc>
        <w:tc>
          <w:tcPr>
            <w:tcW w:w="1860" w:type="dxa"/>
            <w:shd w:val="clear" w:color="auto" w:fill="auto"/>
            <w:noWrap/>
            <w:vAlign w:val="bottom"/>
            <w:hideMark/>
          </w:tcPr>
          <w:p w14:paraId="50442B91"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0.609</w:t>
            </w:r>
          </w:p>
        </w:tc>
        <w:tc>
          <w:tcPr>
            <w:tcW w:w="2480" w:type="dxa"/>
            <w:shd w:val="clear" w:color="auto" w:fill="auto"/>
            <w:noWrap/>
            <w:vAlign w:val="bottom"/>
            <w:hideMark/>
          </w:tcPr>
          <w:p w14:paraId="62482FEB"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54940AB3" w14:textId="77777777" w:rsidTr="006E4A82">
        <w:trPr>
          <w:trHeight w:val="300"/>
        </w:trPr>
        <w:tc>
          <w:tcPr>
            <w:tcW w:w="1780" w:type="dxa"/>
            <w:shd w:val="clear" w:color="auto" w:fill="auto"/>
            <w:noWrap/>
            <w:vAlign w:val="bottom"/>
            <w:hideMark/>
          </w:tcPr>
          <w:p w14:paraId="24D598C4"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26</w:t>
            </w:r>
          </w:p>
        </w:tc>
        <w:tc>
          <w:tcPr>
            <w:tcW w:w="1860" w:type="dxa"/>
            <w:shd w:val="clear" w:color="auto" w:fill="auto"/>
            <w:noWrap/>
            <w:vAlign w:val="bottom"/>
            <w:hideMark/>
          </w:tcPr>
          <w:p w14:paraId="31525372"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0.999</w:t>
            </w:r>
          </w:p>
        </w:tc>
        <w:tc>
          <w:tcPr>
            <w:tcW w:w="2480" w:type="dxa"/>
            <w:shd w:val="clear" w:color="auto" w:fill="auto"/>
            <w:noWrap/>
            <w:vAlign w:val="bottom"/>
            <w:hideMark/>
          </w:tcPr>
          <w:p w14:paraId="3E5817C1"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r w:rsidR="00C52045" w:rsidRPr="006F3B00" w14:paraId="0E6B8550" w14:textId="77777777" w:rsidTr="006E4A82">
        <w:trPr>
          <w:trHeight w:val="300"/>
        </w:trPr>
        <w:tc>
          <w:tcPr>
            <w:tcW w:w="1780" w:type="dxa"/>
            <w:shd w:val="clear" w:color="auto" w:fill="auto"/>
            <w:noWrap/>
            <w:vAlign w:val="bottom"/>
            <w:hideMark/>
          </w:tcPr>
          <w:p w14:paraId="4E6B48B9"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27</w:t>
            </w:r>
          </w:p>
        </w:tc>
        <w:tc>
          <w:tcPr>
            <w:tcW w:w="1860" w:type="dxa"/>
            <w:shd w:val="clear" w:color="auto" w:fill="auto"/>
            <w:noWrap/>
            <w:vAlign w:val="bottom"/>
            <w:hideMark/>
          </w:tcPr>
          <w:p w14:paraId="04D1B6EE" w14:textId="77777777" w:rsidR="00C52045" w:rsidRPr="006F3B00" w:rsidRDefault="00C52045" w:rsidP="006E4A82">
            <w:pPr>
              <w:spacing w:after="0" w:line="240" w:lineRule="auto"/>
              <w:jc w:val="right"/>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0.687</w:t>
            </w:r>
          </w:p>
        </w:tc>
        <w:tc>
          <w:tcPr>
            <w:tcW w:w="2480" w:type="dxa"/>
            <w:shd w:val="clear" w:color="auto" w:fill="auto"/>
            <w:noWrap/>
            <w:vAlign w:val="bottom"/>
            <w:hideMark/>
          </w:tcPr>
          <w:p w14:paraId="7C637424" w14:textId="77777777" w:rsidR="00C52045" w:rsidRPr="006F3B00" w:rsidRDefault="00C52045" w:rsidP="006E4A82">
            <w:pPr>
              <w:spacing w:after="0" w:line="240" w:lineRule="auto"/>
              <w:rPr>
                <w:rFonts w:ascii="Times New Roman" w:eastAsia="Times New Roman" w:hAnsi="Times New Roman" w:cs="Times New Roman"/>
                <w:color w:val="000000"/>
                <w:sz w:val="24"/>
                <w:szCs w:val="24"/>
              </w:rPr>
            </w:pPr>
            <w:r w:rsidRPr="006F3B00">
              <w:rPr>
                <w:rFonts w:ascii="Times New Roman" w:eastAsia="Times New Roman" w:hAnsi="Times New Roman" w:cs="Times New Roman"/>
                <w:color w:val="000000"/>
                <w:sz w:val="24"/>
                <w:szCs w:val="24"/>
              </w:rPr>
              <w:t>Not sign</w:t>
            </w:r>
            <w:r>
              <w:rPr>
                <w:rFonts w:ascii="Times New Roman" w:eastAsia="Times New Roman" w:hAnsi="Times New Roman" w:cs="Times New Roman"/>
                <w:color w:val="000000"/>
                <w:sz w:val="24"/>
                <w:szCs w:val="24"/>
              </w:rPr>
              <w:t>i</w:t>
            </w:r>
            <w:r w:rsidRPr="006F3B00">
              <w:rPr>
                <w:rFonts w:ascii="Times New Roman" w:eastAsia="Times New Roman" w:hAnsi="Times New Roman" w:cs="Times New Roman"/>
                <w:color w:val="000000"/>
                <w:sz w:val="24"/>
                <w:szCs w:val="24"/>
              </w:rPr>
              <w:t>ficant</w:t>
            </w:r>
          </w:p>
        </w:tc>
      </w:tr>
    </w:tbl>
    <w:p w14:paraId="174AC98C" w14:textId="667E4EC7" w:rsidR="00E1668B" w:rsidRPr="00C52045" w:rsidRDefault="00E1668B" w:rsidP="00E1668B">
      <w:pPr>
        <w:rPr>
          <w:rFonts w:ascii="Times New Roman" w:hAnsi="Times New Roman" w:cs="Times New Roman"/>
          <w:sz w:val="24"/>
          <w:szCs w:val="24"/>
        </w:rPr>
      </w:pPr>
      <w:r w:rsidRPr="00686222">
        <w:rPr>
          <w:rFonts w:ascii="Times New Roman" w:hAnsi="Times New Roman" w:cs="Times New Roman"/>
          <w:b/>
          <w:sz w:val="24"/>
          <w:szCs w:val="24"/>
        </w:rPr>
        <w:t xml:space="preserve">Table 5.9. Wilcoxon matched pairs signed rank test comparing </w:t>
      </w:r>
      <w:r w:rsidR="002F36A9">
        <w:rPr>
          <w:rFonts w:ascii="Times New Roman" w:hAnsi="Times New Roman" w:cs="Times New Roman"/>
          <w:b/>
          <w:sz w:val="24"/>
          <w:szCs w:val="24"/>
        </w:rPr>
        <w:t xml:space="preserve">scores </w:t>
      </w:r>
      <w:r w:rsidRPr="00686222">
        <w:rPr>
          <w:rFonts w:ascii="Times New Roman" w:hAnsi="Times New Roman" w:cs="Times New Roman"/>
          <w:b/>
          <w:sz w:val="24"/>
          <w:szCs w:val="24"/>
        </w:rPr>
        <w:t>for each item between round 1 and round 2.</w:t>
      </w:r>
      <w:r>
        <w:rPr>
          <w:rFonts w:ascii="Times New Roman" w:hAnsi="Times New Roman" w:cs="Times New Roman"/>
          <w:sz w:val="24"/>
          <w:szCs w:val="24"/>
        </w:rPr>
        <w:t xml:space="preserve"> </w:t>
      </w:r>
      <w:r w:rsidRPr="00C52045">
        <w:rPr>
          <w:rFonts w:ascii="Times New Roman" w:hAnsi="Times New Roman" w:cs="Times New Roman"/>
          <w:sz w:val="24"/>
          <w:szCs w:val="24"/>
        </w:rPr>
        <w:t xml:space="preserve"> 2 tailed, with p&lt;0.05 considered significant</w:t>
      </w:r>
    </w:p>
    <w:p w14:paraId="24322EDF" w14:textId="77777777" w:rsidR="00E1668B" w:rsidRDefault="00E1668B" w:rsidP="00AF6599">
      <w:pPr>
        <w:spacing w:line="480" w:lineRule="auto"/>
        <w:jc w:val="both"/>
        <w:rPr>
          <w:rFonts w:ascii="Times New Roman" w:hAnsi="Times New Roman" w:cs="Times New Roman"/>
          <w:sz w:val="24"/>
          <w:szCs w:val="24"/>
        </w:rPr>
      </w:pPr>
    </w:p>
    <w:p w14:paraId="0CC751F2" w14:textId="49A6EF2B" w:rsidR="006673EC" w:rsidRPr="006673EC" w:rsidRDefault="006673EC" w:rsidP="00AF6599">
      <w:pPr>
        <w:spacing w:line="480" w:lineRule="auto"/>
        <w:jc w:val="both"/>
        <w:rPr>
          <w:rFonts w:ascii="Times New Roman" w:hAnsi="Times New Roman" w:cs="Times New Roman"/>
          <w:sz w:val="24"/>
          <w:szCs w:val="24"/>
        </w:rPr>
        <w:sectPr w:rsidR="006673EC" w:rsidRPr="006673EC" w:rsidSect="00602D3C">
          <w:pgSz w:w="11906" w:h="16838" w:code="9"/>
          <w:pgMar w:top="1440" w:right="1152" w:bottom="1440" w:left="2160" w:header="706" w:footer="706" w:gutter="0"/>
          <w:cols w:space="708"/>
          <w:docGrid w:linePitch="360"/>
        </w:sectPr>
      </w:pPr>
      <w:r>
        <w:rPr>
          <w:rFonts w:ascii="Times New Roman" w:hAnsi="Times New Roman" w:cs="Times New Roman"/>
          <w:sz w:val="24"/>
          <w:szCs w:val="24"/>
        </w:rPr>
        <w:t>A summary of round 1 and round 2 results is shown in Table</w:t>
      </w:r>
      <w:r w:rsidR="0008625E">
        <w:rPr>
          <w:rFonts w:ascii="Times New Roman" w:hAnsi="Times New Roman" w:cs="Times New Roman"/>
          <w:sz w:val="24"/>
          <w:szCs w:val="24"/>
        </w:rPr>
        <w:t xml:space="preserve"> 5.10.</w:t>
      </w:r>
    </w:p>
    <w:p w14:paraId="64F59BB2" w14:textId="77777777" w:rsidR="00E1668B" w:rsidRDefault="00E1668B" w:rsidP="00437C2D">
      <w:pPr>
        <w:spacing w:line="240" w:lineRule="auto"/>
        <w:rPr>
          <w:rFonts w:ascii="Times New Roman" w:hAnsi="Times New Roman" w:cs="Times New Roman"/>
          <w:b/>
          <w:sz w:val="24"/>
          <w:szCs w:val="24"/>
        </w:rPr>
      </w:pPr>
      <w:r w:rsidRPr="008917A8">
        <w:rPr>
          <w:noProof/>
        </w:rPr>
        <w:lastRenderedPageBreak/>
        <w:drawing>
          <wp:inline distT="0" distB="0" distL="0" distR="0" wp14:anchorId="6ABDEEC1" wp14:editId="326F5EB5">
            <wp:extent cx="9210675" cy="4457483"/>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75188" cy="4488704"/>
                    </a:xfrm>
                    <a:prstGeom prst="rect">
                      <a:avLst/>
                    </a:prstGeom>
                    <a:noFill/>
                    <a:ln>
                      <a:noFill/>
                    </a:ln>
                  </pic:spPr>
                </pic:pic>
              </a:graphicData>
            </a:graphic>
          </wp:inline>
        </w:drawing>
      </w:r>
    </w:p>
    <w:p w14:paraId="5EA76454" w14:textId="300EBB6C" w:rsidR="00AF6599" w:rsidRDefault="00E1668B" w:rsidP="00437C2D">
      <w:pPr>
        <w:spacing w:line="240" w:lineRule="auto"/>
        <w:rPr>
          <w:rFonts w:ascii="Times New Roman" w:hAnsi="Times New Roman" w:cs="Times New Roman"/>
          <w:sz w:val="24"/>
          <w:szCs w:val="24"/>
        </w:rPr>
      </w:pPr>
      <w:r>
        <w:rPr>
          <w:rFonts w:ascii="Times New Roman" w:hAnsi="Times New Roman" w:cs="Times New Roman"/>
          <w:b/>
          <w:sz w:val="24"/>
          <w:szCs w:val="24"/>
        </w:rPr>
        <w:t>Table 5.10.</w:t>
      </w:r>
      <w:r w:rsidRPr="006F3B00">
        <w:rPr>
          <w:rFonts w:ascii="Times New Roman" w:hAnsi="Times New Roman" w:cs="Times New Roman"/>
          <w:b/>
          <w:sz w:val="24"/>
          <w:szCs w:val="24"/>
        </w:rPr>
        <w:t xml:space="preserve"> Compariso</w:t>
      </w:r>
      <w:r>
        <w:rPr>
          <w:rFonts w:ascii="Times New Roman" w:hAnsi="Times New Roman" w:cs="Times New Roman"/>
          <w:b/>
          <w:sz w:val="24"/>
          <w:szCs w:val="24"/>
        </w:rPr>
        <w:t>n of round 1 and round 2 results.</w:t>
      </w:r>
      <w:r>
        <w:rPr>
          <w:rFonts w:ascii="Times New Roman" w:hAnsi="Times New Roman" w:cs="Times New Roman"/>
          <w:sz w:val="24"/>
          <w:szCs w:val="24"/>
        </w:rPr>
        <w:t xml:space="preserve"> </w:t>
      </w:r>
      <w:r w:rsidR="0008625E">
        <w:rPr>
          <w:rFonts w:ascii="Times New Roman" w:hAnsi="Times New Roman" w:cs="Times New Roman"/>
          <w:sz w:val="24"/>
          <w:szCs w:val="24"/>
        </w:rPr>
        <w:t>Scores rounded to one decimal place</w:t>
      </w:r>
      <w:r w:rsidR="0008625E" w:rsidRPr="00564573">
        <w:rPr>
          <w:rFonts w:ascii="Times New Roman" w:hAnsi="Times New Roman" w:cs="Times New Roman"/>
          <w:sz w:val="24"/>
          <w:szCs w:val="24"/>
        </w:rPr>
        <w:t>. Under consensus column, green indicates “consensus in” and red “no consensus”. Consensus in this study was defined as “consensus in” when &gt;70% of participants scored the item as 8-10 (definitely important) and &lt;15% have scored it 1-3 (definitely not important). “Consensus out” was when &gt;70% of participants scored an item 1-3 and &lt;15% participants scored it 8-10. All other combinations were considered to be ‘no consensus</w:t>
      </w:r>
      <w:r w:rsidR="0008625E">
        <w:rPr>
          <w:rFonts w:ascii="Times New Roman" w:hAnsi="Times New Roman" w:cs="Times New Roman"/>
          <w:sz w:val="24"/>
          <w:szCs w:val="24"/>
        </w:rPr>
        <w:t xml:space="preserve">. In addition, </w:t>
      </w:r>
      <w:r w:rsidR="0008625E" w:rsidRPr="00CE02A1">
        <w:rPr>
          <w:rFonts w:ascii="Times New Roman" w:hAnsi="Times New Roman" w:cs="Times New Roman"/>
          <w:sz w:val="24"/>
          <w:szCs w:val="24"/>
        </w:rPr>
        <w:t>interquartile</w:t>
      </w:r>
      <w:r w:rsidR="0008625E">
        <w:rPr>
          <w:rFonts w:ascii="Times New Roman" w:hAnsi="Times New Roman" w:cs="Times New Roman"/>
          <w:sz w:val="24"/>
          <w:szCs w:val="24"/>
        </w:rPr>
        <w:t xml:space="preserve"> range (IQR) had to</w:t>
      </w:r>
      <w:r w:rsidR="0008625E" w:rsidRPr="00CE02A1">
        <w:rPr>
          <w:rFonts w:ascii="Times New Roman" w:hAnsi="Times New Roman" w:cs="Times New Roman"/>
          <w:sz w:val="24"/>
          <w:szCs w:val="24"/>
        </w:rPr>
        <w:t xml:space="preserve"> be 2 or less to achieve consensus </w:t>
      </w:r>
      <w:r w:rsidR="0008625E">
        <w:rPr>
          <w:rFonts w:ascii="Times New Roman" w:hAnsi="Times New Roman" w:cs="Times New Roman"/>
          <w:sz w:val="24"/>
          <w:szCs w:val="24"/>
        </w:rPr>
        <w:t>‘</w:t>
      </w:r>
      <w:r w:rsidR="0008625E" w:rsidRPr="00CE02A1">
        <w:rPr>
          <w:rFonts w:ascii="Times New Roman" w:hAnsi="Times New Roman" w:cs="Times New Roman"/>
          <w:sz w:val="24"/>
          <w:szCs w:val="24"/>
        </w:rPr>
        <w:t>in</w:t>
      </w:r>
      <w:r w:rsidR="0008625E">
        <w:rPr>
          <w:rFonts w:ascii="Times New Roman" w:hAnsi="Times New Roman" w:cs="Times New Roman"/>
          <w:sz w:val="24"/>
          <w:szCs w:val="24"/>
        </w:rPr>
        <w:t>’</w:t>
      </w:r>
      <w:r w:rsidR="0008625E" w:rsidRPr="00CE02A1">
        <w:rPr>
          <w:rFonts w:ascii="Times New Roman" w:hAnsi="Times New Roman" w:cs="Times New Roman"/>
          <w:sz w:val="24"/>
          <w:szCs w:val="24"/>
        </w:rPr>
        <w:t xml:space="preserve"> or </w:t>
      </w:r>
      <w:r w:rsidR="0008625E">
        <w:rPr>
          <w:rFonts w:ascii="Times New Roman" w:hAnsi="Times New Roman" w:cs="Times New Roman"/>
          <w:sz w:val="24"/>
          <w:szCs w:val="24"/>
        </w:rPr>
        <w:t>‘</w:t>
      </w:r>
      <w:r w:rsidR="0008625E" w:rsidRPr="00CE02A1">
        <w:rPr>
          <w:rFonts w:ascii="Times New Roman" w:hAnsi="Times New Roman" w:cs="Times New Roman"/>
          <w:sz w:val="24"/>
          <w:szCs w:val="24"/>
        </w:rPr>
        <w:t>out</w:t>
      </w:r>
      <w:r w:rsidR="0008625E">
        <w:rPr>
          <w:rFonts w:ascii="Times New Roman" w:hAnsi="Times New Roman" w:cs="Times New Roman"/>
          <w:sz w:val="24"/>
          <w:szCs w:val="24"/>
        </w:rPr>
        <w:t xml:space="preserve">’. </w:t>
      </w:r>
    </w:p>
    <w:p w14:paraId="6307FCFF" w14:textId="77777777" w:rsidR="00044AFF" w:rsidRDefault="00044AFF" w:rsidP="008917A8">
      <w:pPr>
        <w:spacing w:line="480" w:lineRule="auto"/>
        <w:rPr>
          <w:rFonts w:ascii="Times New Roman" w:hAnsi="Times New Roman" w:cs="Times New Roman"/>
          <w:sz w:val="24"/>
          <w:szCs w:val="24"/>
        </w:rPr>
        <w:sectPr w:rsidR="00044AFF" w:rsidSect="00E41ED0">
          <w:pgSz w:w="16838" w:h="11906" w:orient="landscape" w:code="9"/>
          <w:pgMar w:top="2160" w:right="1152" w:bottom="1152" w:left="1152" w:header="706" w:footer="706" w:gutter="0"/>
          <w:cols w:space="708"/>
          <w:docGrid w:linePitch="360"/>
        </w:sectPr>
      </w:pPr>
    </w:p>
    <w:tbl>
      <w:tblPr>
        <w:tblStyle w:val="TableGrid"/>
        <w:tblpPr w:leftFromText="180" w:rightFromText="180" w:vertAnchor="text" w:horzAnchor="margin" w:tblpY="2521"/>
        <w:tblW w:w="0" w:type="auto"/>
        <w:tblLook w:val="04A0" w:firstRow="1" w:lastRow="0" w:firstColumn="1" w:lastColumn="0" w:noHBand="0" w:noVBand="1"/>
      </w:tblPr>
      <w:tblGrid>
        <w:gridCol w:w="8584"/>
      </w:tblGrid>
      <w:tr w:rsidR="005C0898" w14:paraId="067DB562" w14:textId="77777777" w:rsidTr="005C0898">
        <w:tc>
          <w:tcPr>
            <w:tcW w:w="8584" w:type="dxa"/>
            <w:shd w:val="clear" w:color="auto" w:fill="D9D9D9" w:themeFill="background1" w:themeFillShade="D9"/>
          </w:tcPr>
          <w:p w14:paraId="4176D2B1" w14:textId="77777777" w:rsidR="005C0898" w:rsidRPr="00DB4F9F" w:rsidRDefault="005C0898" w:rsidP="005C0898">
            <w:pPr>
              <w:spacing w:line="480" w:lineRule="auto"/>
              <w:rPr>
                <w:rFonts w:ascii="Times New Roman" w:hAnsi="Times New Roman" w:cs="Times New Roman"/>
                <w:b/>
                <w:color w:val="FF0000"/>
              </w:rPr>
            </w:pPr>
            <w:r w:rsidRPr="00DB4F9F">
              <w:rPr>
                <w:rFonts w:ascii="Times New Roman" w:hAnsi="Times New Roman" w:cs="Times New Roman"/>
                <w:b/>
              </w:rPr>
              <w:lastRenderedPageBreak/>
              <w:t>Item</w:t>
            </w:r>
          </w:p>
        </w:tc>
      </w:tr>
      <w:tr w:rsidR="005C0898" w14:paraId="151EE397" w14:textId="77777777" w:rsidTr="005C0898">
        <w:tc>
          <w:tcPr>
            <w:tcW w:w="8584" w:type="dxa"/>
          </w:tcPr>
          <w:p w14:paraId="7739C2BC" w14:textId="298ED8DA" w:rsidR="005C0898" w:rsidRPr="001F2DFF" w:rsidRDefault="001F2DFF" w:rsidP="005C0898">
            <w:pPr>
              <w:rPr>
                <w:rFonts w:ascii="Times New Roman" w:hAnsi="Times New Roman" w:cs="Times New Roman"/>
                <w:b/>
                <w:sz w:val="24"/>
                <w:szCs w:val="24"/>
              </w:rPr>
            </w:pPr>
            <w:r>
              <w:rPr>
                <w:rFonts w:ascii="Times New Roman" w:hAnsi="Times New Roman" w:cs="Times New Roman"/>
                <w:b/>
                <w:sz w:val="24"/>
                <w:szCs w:val="24"/>
              </w:rPr>
              <w:t>Stage of training</w:t>
            </w:r>
          </w:p>
          <w:p w14:paraId="7DF0ACB7" w14:textId="77777777" w:rsidR="005C0898" w:rsidRPr="00384BF0" w:rsidRDefault="005C0898" w:rsidP="005C0898">
            <w:pPr>
              <w:rPr>
                <w:rFonts w:ascii="Times New Roman" w:hAnsi="Times New Roman" w:cs="Times New Roman"/>
                <w:sz w:val="24"/>
                <w:szCs w:val="24"/>
              </w:rPr>
            </w:pPr>
            <w:r w:rsidRPr="00384BF0">
              <w:rPr>
                <w:rFonts w:ascii="Times New Roman" w:hAnsi="Times New Roman" w:cs="Times New Roman"/>
                <w:sz w:val="24"/>
                <w:szCs w:val="24"/>
              </w:rPr>
              <w:t>1.</w:t>
            </w:r>
            <w:r>
              <w:rPr>
                <w:rFonts w:ascii="Times New Roman" w:hAnsi="Times New Roman" w:cs="Times New Roman"/>
                <w:sz w:val="24"/>
                <w:szCs w:val="24"/>
              </w:rPr>
              <w:t xml:space="preserve"> </w:t>
            </w:r>
            <w:r w:rsidRPr="00384BF0">
              <w:rPr>
                <w:rFonts w:ascii="Times New Roman" w:hAnsi="Times New Roman" w:cs="Times New Roman"/>
                <w:sz w:val="24"/>
                <w:szCs w:val="24"/>
              </w:rPr>
              <w:t>The stage of training e.g. ST1 versus ST5</w:t>
            </w:r>
          </w:p>
        </w:tc>
      </w:tr>
      <w:tr w:rsidR="005C0898" w14:paraId="6421C9C1" w14:textId="77777777" w:rsidTr="005C0898">
        <w:tc>
          <w:tcPr>
            <w:tcW w:w="8584" w:type="dxa"/>
          </w:tcPr>
          <w:p w14:paraId="77C23094" w14:textId="07F65064" w:rsidR="005C0898" w:rsidRPr="001F2DFF" w:rsidRDefault="001F2DFF" w:rsidP="005C0898">
            <w:pPr>
              <w:rPr>
                <w:rFonts w:ascii="Times New Roman" w:hAnsi="Times New Roman" w:cs="Times New Roman"/>
                <w:b/>
                <w:sz w:val="24"/>
                <w:szCs w:val="24"/>
              </w:rPr>
            </w:pPr>
            <w:r>
              <w:rPr>
                <w:rFonts w:ascii="Times New Roman" w:hAnsi="Times New Roman" w:cs="Times New Roman"/>
                <w:b/>
                <w:sz w:val="24"/>
                <w:szCs w:val="24"/>
              </w:rPr>
              <w:t>Professionalism</w:t>
            </w:r>
          </w:p>
          <w:p w14:paraId="6FCE9B1E" w14:textId="77777777" w:rsidR="005C0898" w:rsidRPr="00DB4F9F" w:rsidRDefault="005C0898" w:rsidP="005C0898">
            <w:r w:rsidRPr="00DB4F9F">
              <w:rPr>
                <w:rFonts w:ascii="Times New Roman" w:hAnsi="Times New Roman" w:cs="Times New Roman"/>
                <w:sz w:val="24"/>
                <w:szCs w:val="24"/>
              </w:rPr>
              <w:t>5. Trainee is organised and timely when conducting themselves in the department e.g. does not lose cases, is aware of turnaround times, triages urgent cases</w:t>
            </w:r>
          </w:p>
        </w:tc>
      </w:tr>
      <w:tr w:rsidR="005C0898" w14:paraId="7A44D03C" w14:textId="77777777" w:rsidTr="005C0898">
        <w:tc>
          <w:tcPr>
            <w:tcW w:w="8584" w:type="dxa"/>
          </w:tcPr>
          <w:p w14:paraId="7F45D4B0" w14:textId="77777777" w:rsidR="005C0898" w:rsidRPr="00E45D19" w:rsidRDefault="005C0898" w:rsidP="005C0898">
            <w:pPr>
              <w:rPr>
                <w:rFonts w:ascii="Times New Roman" w:hAnsi="Times New Roman" w:cs="Times New Roman"/>
                <w:b/>
                <w:sz w:val="24"/>
                <w:szCs w:val="24"/>
              </w:rPr>
            </w:pPr>
            <w:r w:rsidRPr="00E45D19">
              <w:rPr>
                <w:rFonts w:ascii="Times New Roman" w:hAnsi="Times New Roman" w:cs="Times New Roman"/>
                <w:b/>
                <w:sz w:val="24"/>
                <w:szCs w:val="24"/>
              </w:rPr>
              <w:t>Forming a diagnosis</w:t>
            </w:r>
          </w:p>
          <w:p w14:paraId="34FD7380" w14:textId="77777777" w:rsidR="005C0898" w:rsidRPr="00DB4F9F" w:rsidRDefault="005C0898" w:rsidP="005C0898">
            <w:pPr>
              <w:rPr>
                <w:rFonts w:ascii="Times New Roman" w:hAnsi="Times New Roman" w:cs="Times New Roman"/>
                <w:sz w:val="24"/>
                <w:szCs w:val="24"/>
              </w:rPr>
            </w:pPr>
            <w:r w:rsidRPr="00DB4F9F">
              <w:rPr>
                <w:rFonts w:ascii="Times New Roman" w:hAnsi="Times New Roman" w:cs="Times New Roman"/>
                <w:sz w:val="24"/>
                <w:szCs w:val="24"/>
              </w:rPr>
              <w:t>15. Trainee has appropriate level of up-to-date knowledge e.g. latest papers/datasets</w:t>
            </w:r>
          </w:p>
        </w:tc>
      </w:tr>
      <w:tr w:rsidR="005C0898" w14:paraId="1BCFC27A" w14:textId="77777777" w:rsidTr="005C0898">
        <w:tc>
          <w:tcPr>
            <w:tcW w:w="8584" w:type="dxa"/>
          </w:tcPr>
          <w:p w14:paraId="3CF58CBA" w14:textId="77777777" w:rsidR="005C0898" w:rsidRPr="00E45D19" w:rsidRDefault="005C0898" w:rsidP="005C0898">
            <w:pPr>
              <w:rPr>
                <w:rFonts w:ascii="Times New Roman" w:hAnsi="Times New Roman" w:cs="Times New Roman"/>
                <w:b/>
                <w:sz w:val="24"/>
                <w:szCs w:val="24"/>
              </w:rPr>
            </w:pPr>
            <w:r w:rsidRPr="00E45D19">
              <w:rPr>
                <w:rFonts w:ascii="Times New Roman" w:hAnsi="Times New Roman" w:cs="Times New Roman"/>
                <w:b/>
                <w:sz w:val="24"/>
                <w:szCs w:val="24"/>
              </w:rPr>
              <w:t>Trust</w:t>
            </w:r>
          </w:p>
          <w:p w14:paraId="33248A05" w14:textId="77777777" w:rsidR="005C0898" w:rsidRPr="00DB4F9F" w:rsidRDefault="005C0898" w:rsidP="005C0898">
            <w:pPr>
              <w:rPr>
                <w:rFonts w:ascii="Times New Roman" w:hAnsi="Times New Roman" w:cs="Times New Roman"/>
                <w:sz w:val="24"/>
                <w:szCs w:val="24"/>
              </w:rPr>
            </w:pPr>
            <w:r w:rsidRPr="00DB4F9F">
              <w:rPr>
                <w:rFonts w:ascii="Times New Roman" w:hAnsi="Times New Roman" w:cs="Times New Roman"/>
                <w:sz w:val="24"/>
                <w:szCs w:val="24"/>
              </w:rPr>
              <w:t>19. Trainee can be trusted to carry out macroscopic examination and “cut-up” independently</w:t>
            </w:r>
          </w:p>
        </w:tc>
      </w:tr>
      <w:tr w:rsidR="005C0898" w14:paraId="4D99A96F" w14:textId="77777777" w:rsidTr="005C0898">
        <w:tc>
          <w:tcPr>
            <w:tcW w:w="8584" w:type="dxa"/>
          </w:tcPr>
          <w:p w14:paraId="06D98FD6" w14:textId="455D6A48" w:rsidR="005C0898" w:rsidRPr="001F2DFF" w:rsidRDefault="001F2DFF" w:rsidP="005C0898">
            <w:pPr>
              <w:rPr>
                <w:rFonts w:ascii="Times New Roman" w:hAnsi="Times New Roman" w:cs="Times New Roman"/>
                <w:b/>
                <w:sz w:val="24"/>
                <w:szCs w:val="24"/>
              </w:rPr>
            </w:pPr>
            <w:r>
              <w:rPr>
                <w:rFonts w:ascii="Times New Roman" w:hAnsi="Times New Roman" w:cs="Times New Roman"/>
                <w:b/>
                <w:sz w:val="24"/>
                <w:szCs w:val="24"/>
              </w:rPr>
              <w:t>Trust</w:t>
            </w:r>
          </w:p>
          <w:p w14:paraId="636FA855" w14:textId="77777777" w:rsidR="005C0898" w:rsidRPr="006673EC" w:rsidRDefault="005C0898" w:rsidP="005C0898">
            <w:r w:rsidRPr="00DB4F9F">
              <w:rPr>
                <w:rFonts w:ascii="Times New Roman" w:hAnsi="Times New Roman" w:cs="Times New Roman"/>
                <w:sz w:val="24"/>
                <w:szCs w:val="24"/>
              </w:rPr>
              <w:t>21. Trainee can be trusted to report independently (the consultant does not check the report and the trainee authorises it)</w:t>
            </w:r>
          </w:p>
        </w:tc>
      </w:tr>
    </w:tbl>
    <w:p w14:paraId="500A5BB2" w14:textId="7168D932" w:rsidR="00DB4F9F" w:rsidRPr="00AD0203" w:rsidRDefault="00AF6599" w:rsidP="00E1668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Comparing round 1 and round 2 results, 5 more items reached </w:t>
      </w:r>
      <w:r w:rsidR="00DB4F9F">
        <w:rPr>
          <w:rFonts w:ascii="Times New Roman" w:hAnsi="Times New Roman" w:cs="Times New Roman"/>
          <w:sz w:val="24"/>
          <w:szCs w:val="24"/>
        </w:rPr>
        <w:t>“</w:t>
      </w:r>
      <w:r>
        <w:rPr>
          <w:rFonts w:ascii="Times New Roman" w:hAnsi="Times New Roman" w:cs="Times New Roman"/>
          <w:sz w:val="24"/>
          <w:szCs w:val="24"/>
        </w:rPr>
        <w:t>consensus in”</w:t>
      </w:r>
      <w:r w:rsidR="00DB4F9F">
        <w:rPr>
          <w:rFonts w:ascii="Times New Roman" w:hAnsi="Times New Roman" w:cs="Times New Roman"/>
          <w:sz w:val="24"/>
          <w:szCs w:val="24"/>
        </w:rPr>
        <w:t xml:space="preserve"> </w:t>
      </w:r>
      <w:r w:rsidR="007B62CB">
        <w:rPr>
          <w:rFonts w:ascii="Times New Roman" w:hAnsi="Times New Roman" w:cs="Times New Roman"/>
          <w:sz w:val="24"/>
          <w:szCs w:val="24"/>
        </w:rPr>
        <w:t>compared to</w:t>
      </w:r>
      <w:r w:rsidR="00C33B1B">
        <w:rPr>
          <w:rFonts w:ascii="Times New Roman" w:hAnsi="Times New Roman" w:cs="Times New Roman"/>
          <w:sz w:val="24"/>
          <w:szCs w:val="24"/>
        </w:rPr>
        <w:t xml:space="preserve"> round 1 (Table</w:t>
      </w:r>
      <w:r w:rsidR="00F96819">
        <w:rPr>
          <w:rFonts w:ascii="Times New Roman" w:hAnsi="Times New Roman" w:cs="Times New Roman"/>
          <w:sz w:val="24"/>
          <w:szCs w:val="24"/>
        </w:rPr>
        <w:t>s</w:t>
      </w:r>
      <w:r w:rsidR="00C33B1B">
        <w:rPr>
          <w:rFonts w:ascii="Times New Roman" w:hAnsi="Times New Roman" w:cs="Times New Roman"/>
          <w:sz w:val="24"/>
          <w:szCs w:val="24"/>
        </w:rPr>
        <w:t xml:space="preserve"> </w:t>
      </w:r>
      <w:r w:rsidR="00F96819">
        <w:rPr>
          <w:rFonts w:ascii="Times New Roman" w:hAnsi="Times New Roman" w:cs="Times New Roman"/>
          <w:sz w:val="24"/>
          <w:szCs w:val="24"/>
        </w:rPr>
        <w:t>5.</w:t>
      </w:r>
      <w:r w:rsidR="00C33B1B">
        <w:rPr>
          <w:rFonts w:ascii="Times New Roman" w:hAnsi="Times New Roman" w:cs="Times New Roman"/>
          <w:sz w:val="24"/>
          <w:szCs w:val="24"/>
        </w:rPr>
        <w:t>10</w:t>
      </w:r>
      <w:r w:rsidR="008D6EE9">
        <w:rPr>
          <w:rFonts w:ascii="Times New Roman" w:hAnsi="Times New Roman" w:cs="Times New Roman"/>
          <w:sz w:val="24"/>
          <w:szCs w:val="24"/>
        </w:rPr>
        <w:t xml:space="preserve"> and 5.11</w:t>
      </w:r>
      <w:r w:rsidR="00DB4F9F">
        <w:rPr>
          <w:rFonts w:ascii="Times New Roman" w:hAnsi="Times New Roman" w:cs="Times New Roman"/>
          <w:sz w:val="24"/>
          <w:szCs w:val="24"/>
        </w:rPr>
        <w:t>).</w:t>
      </w:r>
      <w:r>
        <w:rPr>
          <w:rFonts w:ascii="Times New Roman" w:hAnsi="Times New Roman" w:cs="Times New Roman"/>
          <w:sz w:val="24"/>
          <w:szCs w:val="24"/>
        </w:rPr>
        <w:t xml:space="preserve"> Five less items reached </w:t>
      </w:r>
      <w:r w:rsidR="00F96819">
        <w:rPr>
          <w:rFonts w:ascii="Times New Roman" w:hAnsi="Times New Roman" w:cs="Times New Roman"/>
          <w:sz w:val="24"/>
          <w:szCs w:val="24"/>
        </w:rPr>
        <w:t>“</w:t>
      </w:r>
      <w:r>
        <w:rPr>
          <w:rFonts w:ascii="Times New Roman" w:hAnsi="Times New Roman" w:cs="Times New Roman"/>
          <w:sz w:val="24"/>
          <w:szCs w:val="24"/>
        </w:rPr>
        <w:t xml:space="preserve">no </w:t>
      </w:r>
      <w:r w:rsidR="00F96819">
        <w:rPr>
          <w:rFonts w:ascii="Times New Roman" w:hAnsi="Times New Roman" w:cs="Times New Roman"/>
          <w:sz w:val="24"/>
          <w:szCs w:val="24"/>
        </w:rPr>
        <w:t>consensus”</w:t>
      </w:r>
      <w:r>
        <w:rPr>
          <w:rFonts w:ascii="Times New Roman" w:hAnsi="Times New Roman" w:cs="Times New Roman"/>
          <w:sz w:val="24"/>
          <w:szCs w:val="24"/>
        </w:rPr>
        <w:t>.</w:t>
      </w:r>
      <w:r w:rsidRPr="006F3B00">
        <w:rPr>
          <w:rFonts w:ascii="Times New Roman" w:hAnsi="Times New Roman" w:cs="Times New Roman"/>
          <w:sz w:val="24"/>
          <w:szCs w:val="24"/>
        </w:rPr>
        <w:t xml:space="preserve">  </w:t>
      </w:r>
      <w:r>
        <w:rPr>
          <w:rFonts w:ascii="Times New Roman" w:hAnsi="Times New Roman" w:cs="Times New Roman"/>
          <w:sz w:val="24"/>
          <w:szCs w:val="24"/>
        </w:rPr>
        <w:t>All items which had reached “consensus in” in round 1 remained “consensus in” in round 2.</w:t>
      </w:r>
      <w:r w:rsidR="00DB4F9F">
        <w:rPr>
          <w:rFonts w:ascii="Times New Roman" w:hAnsi="Times New Roman" w:cs="Times New Roman"/>
          <w:sz w:val="24"/>
          <w:szCs w:val="24"/>
        </w:rPr>
        <w:t xml:space="preserve"> </w:t>
      </w:r>
      <w:r w:rsidR="006673EC">
        <w:rPr>
          <w:rFonts w:ascii="Times New Roman" w:hAnsi="Times New Roman" w:cs="Times New Roman"/>
          <w:sz w:val="24"/>
          <w:szCs w:val="24"/>
        </w:rPr>
        <w:t>In addition, the SD</w:t>
      </w:r>
      <w:r w:rsidR="008D6EE9">
        <w:rPr>
          <w:rFonts w:ascii="Times New Roman" w:hAnsi="Times New Roman" w:cs="Times New Roman"/>
          <w:sz w:val="24"/>
          <w:szCs w:val="24"/>
        </w:rPr>
        <w:t xml:space="preserve"> and IQR</w:t>
      </w:r>
      <w:r w:rsidR="006673EC">
        <w:rPr>
          <w:rFonts w:ascii="Times New Roman" w:hAnsi="Times New Roman" w:cs="Times New Roman"/>
          <w:sz w:val="24"/>
          <w:szCs w:val="24"/>
        </w:rPr>
        <w:t xml:space="preserve"> </w:t>
      </w:r>
      <w:r w:rsidR="008D6EE9">
        <w:rPr>
          <w:rFonts w:ascii="Times New Roman" w:hAnsi="Times New Roman" w:cs="Times New Roman"/>
          <w:sz w:val="24"/>
          <w:szCs w:val="24"/>
        </w:rPr>
        <w:t xml:space="preserve">stayed the same or </w:t>
      </w:r>
      <w:r w:rsidR="00DB4F9F" w:rsidRPr="00DB4F9F">
        <w:rPr>
          <w:rFonts w:ascii="Times New Roman" w:hAnsi="Times New Roman" w:cs="Times New Roman"/>
          <w:sz w:val="24"/>
          <w:szCs w:val="24"/>
        </w:rPr>
        <w:t xml:space="preserve">reduced </w:t>
      </w:r>
      <w:r w:rsidR="008D6EE9">
        <w:rPr>
          <w:rFonts w:ascii="Times New Roman" w:hAnsi="Times New Roman" w:cs="Times New Roman"/>
          <w:sz w:val="24"/>
          <w:szCs w:val="24"/>
        </w:rPr>
        <w:t xml:space="preserve">for 23 of the 27 items </w:t>
      </w:r>
      <w:r w:rsidR="00DB4F9F" w:rsidRPr="00DB4F9F">
        <w:rPr>
          <w:rFonts w:ascii="Times New Roman" w:hAnsi="Times New Roman" w:cs="Times New Roman"/>
          <w:sz w:val="24"/>
          <w:szCs w:val="24"/>
        </w:rPr>
        <w:t>showing a move towards central tend</w:t>
      </w:r>
      <w:r w:rsidR="00F96819">
        <w:rPr>
          <w:rFonts w:ascii="Times New Roman" w:hAnsi="Times New Roman" w:cs="Times New Roman"/>
          <w:sz w:val="24"/>
          <w:szCs w:val="24"/>
        </w:rPr>
        <w:t>ency</w:t>
      </w:r>
      <w:r w:rsidR="008D6EE9">
        <w:rPr>
          <w:rFonts w:ascii="Times New Roman" w:hAnsi="Times New Roman" w:cs="Times New Roman"/>
          <w:sz w:val="24"/>
          <w:szCs w:val="24"/>
        </w:rPr>
        <w:t xml:space="preserve"> and consensus.</w:t>
      </w:r>
      <w:r w:rsidR="00E1668B">
        <w:rPr>
          <w:rFonts w:ascii="Times New Roman" w:hAnsi="Times New Roman" w:cs="Times New Roman"/>
          <w:b/>
          <w:sz w:val="24"/>
          <w:szCs w:val="24"/>
        </w:rPr>
        <w:t xml:space="preserve"> </w:t>
      </w:r>
    </w:p>
    <w:p w14:paraId="33899F8B" w14:textId="57B65D81" w:rsidR="00E1668B" w:rsidRDefault="00AD0203" w:rsidP="002F36A9">
      <w:pPr>
        <w:spacing w:line="240" w:lineRule="auto"/>
        <w:rPr>
          <w:rFonts w:ascii="Times New Roman" w:hAnsi="Times New Roman" w:cs="Times New Roman"/>
          <w:b/>
          <w:sz w:val="24"/>
          <w:szCs w:val="24"/>
        </w:rPr>
      </w:pPr>
      <w:r>
        <w:rPr>
          <w:rFonts w:ascii="Times New Roman" w:hAnsi="Times New Roman" w:cs="Times New Roman"/>
          <w:b/>
          <w:sz w:val="24"/>
          <w:szCs w:val="24"/>
        </w:rPr>
        <w:t>Table 5.11</w:t>
      </w:r>
      <w:r w:rsidR="00E1668B">
        <w:rPr>
          <w:rFonts w:ascii="Times New Roman" w:hAnsi="Times New Roman" w:cs="Times New Roman"/>
          <w:b/>
          <w:sz w:val="24"/>
          <w:szCs w:val="24"/>
        </w:rPr>
        <w:t>.</w:t>
      </w:r>
      <w:r w:rsidR="00E1668B" w:rsidRPr="00DB4F9F">
        <w:rPr>
          <w:rFonts w:ascii="Times New Roman" w:hAnsi="Times New Roman" w:cs="Times New Roman"/>
          <w:b/>
          <w:sz w:val="24"/>
          <w:szCs w:val="24"/>
        </w:rPr>
        <w:t xml:space="preserve"> List of items which moved</w:t>
      </w:r>
      <w:r w:rsidR="00E1668B">
        <w:rPr>
          <w:rFonts w:ascii="Times New Roman" w:hAnsi="Times New Roman" w:cs="Times New Roman"/>
          <w:b/>
          <w:sz w:val="24"/>
          <w:szCs w:val="24"/>
        </w:rPr>
        <w:t xml:space="preserve"> from “no consensus”</w:t>
      </w:r>
      <w:r w:rsidR="00E1668B" w:rsidRPr="00DB4F9F">
        <w:rPr>
          <w:rFonts w:ascii="Times New Roman" w:hAnsi="Times New Roman" w:cs="Times New Roman"/>
          <w:b/>
          <w:sz w:val="24"/>
          <w:szCs w:val="24"/>
        </w:rPr>
        <w:t xml:space="preserve"> to “consensus in” after</w:t>
      </w:r>
      <w:r w:rsidR="002F36A9">
        <w:rPr>
          <w:rFonts w:ascii="Times New Roman" w:hAnsi="Times New Roman" w:cs="Times New Roman"/>
          <w:b/>
          <w:sz w:val="24"/>
          <w:szCs w:val="24"/>
        </w:rPr>
        <w:t xml:space="preserve"> round 2</w:t>
      </w:r>
    </w:p>
    <w:p w14:paraId="0A2DF755" w14:textId="77777777" w:rsidR="002F36A9" w:rsidRPr="002F36A9" w:rsidRDefault="002F36A9" w:rsidP="002F36A9">
      <w:pPr>
        <w:spacing w:line="240" w:lineRule="auto"/>
        <w:rPr>
          <w:rFonts w:ascii="Times New Roman" w:hAnsi="Times New Roman" w:cs="Times New Roman"/>
          <w:b/>
          <w:sz w:val="24"/>
          <w:szCs w:val="24"/>
        </w:rPr>
      </w:pPr>
    </w:p>
    <w:p w14:paraId="1306F3D9" w14:textId="6478E854" w:rsidR="005E7689" w:rsidRDefault="00C32EA6" w:rsidP="002F36A9">
      <w:pPr>
        <w:spacing w:line="480" w:lineRule="auto"/>
        <w:rPr>
          <w:rFonts w:ascii="Times New Roman" w:hAnsi="Times New Roman" w:cs="Times New Roman"/>
          <w:sz w:val="24"/>
          <w:szCs w:val="24"/>
        </w:rPr>
      </w:pPr>
      <w:r>
        <w:rPr>
          <w:rFonts w:ascii="Times New Roman" w:hAnsi="Times New Roman" w:cs="Times New Roman"/>
          <w:sz w:val="24"/>
          <w:szCs w:val="24"/>
        </w:rPr>
        <w:t>Table 5.10 indicates that f</w:t>
      </w:r>
      <w:r w:rsidR="004C0C85" w:rsidRPr="00BA15D3">
        <w:rPr>
          <w:rFonts w:ascii="Times New Roman" w:hAnsi="Times New Roman" w:cs="Times New Roman"/>
          <w:sz w:val="24"/>
          <w:szCs w:val="24"/>
        </w:rPr>
        <w:t>or item 1, t</w:t>
      </w:r>
      <w:r w:rsidR="008F5F6E" w:rsidRPr="00BA15D3">
        <w:rPr>
          <w:rFonts w:ascii="Times New Roman" w:hAnsi="Times New Roman" w:cs="Times New Roman"/>
          <w:sz w:val="24"/>
          <w:szCs w:val="24"/>
        </w:rPr>
        <w:t>he mean</w:t>
      </w:r>
      <w:r w:rsidR="004C0C85" w:rsidRPr="00BA15D3">
        <w:rPr>
          <w:rFonts w:ascii="Times New Roman" w:hAnsi="Times New Roman" w:cs="Times New Roman"/>
          <w:sz w:val="24"/>
          <w:szCs w:val="24"/>
        </w:rPr>
        <w:t xml:space="preserve"> score</w:t>
      </w:r>
      <w:r w:rsidR="008F5F6E" w:rsidRPr="00BA15D3">
        <w:rPr>
          <w:rFonts w:ascii="Times New Roman" w:hAnsi="Times New Roman" w:cs="Times New Roman"/>
          <w:sz w:val="24"/>
          <w:szCs w:val="24"/>
        </w:rPr>
        <w:t xml:space="preserve"> increased slightly</w:t>
      </w:r>
      <w:r w:rsidR="001E57D8" w:rsidRPr="00BA15D3">
        <w:rPr>
          <w:rFonts w:ascii="Times New Roman" w:hAnsi="Times New Roman" w:cs="Times New Roman"/>
          <w:sz w:val="24"/>
          <w:szCs w:val="24"/>
        </w:rPr>
        <w:t xml:space="preserve"> (from 8.4 to 8.7)</w:t>
      </w:r>
      <w:r w:rsidR="008F5F6E" w:rsidRPr="00BA15D3">
        <w:rPr>
          <w:rFonts w:ascii="Times New Roman" w:hAnsi="Times New Roman" w:cs="Times New Roman"/>
          <w:sz w:val="24"/>
          <w:szCs w:val="24"/>
        </w:rPr>
        <w:t xml:space="preserve"> showing it was rated more highly and the SD</w:t>
      </w:r>
      <w:r w:rsidR="001E57D8" w:rsidRPr="00BA15D3">
        <w:rPr>
          <w:rFonts w:ascii="Times New Roman" w:hAnsi="Times New Roman" w:cs="Times New Roman"/>
          <w:sz w:val="24"/>
          <w:szCs w:val="24"/>
        </w:rPr>
        <w:t xml:space="preserve"> (1.9 to 1.2)</w:t>
      </w:r>
      <w:r w:rsidR="008F5F6E" w:rsidRPr="00BA15D3">
        <w:rPr>
          <w:rFonts w:ascii="Times New Roman" w:hAnsi="Times New Roman" w:cs="Times New Roman"/>
          <w:sz w:val="24"/>
          <w:szCs w:val="24"/>
        </w:rPr>
        <w:t xml:space="preserve"> and IQR</w:t>
      </w:r>
      <w:r w:rsidR="001E57D8" w:rsidRPr="00BA15D3">
        <w:rPr>
          <w:rFonts w:ascii="Times New Roman" w:hAnsi="Times New Roman" w:cs="Times New Roman"/>
          <w:sz w:val="24"/>
          <w:szCs w:val="24"/>
        </w:rPr>
        <w:t xml:space="preserve"> (3.0 to 1.25)</w:t>
      </w:r>
      <w:r w:rsidR="008F5F6E" w:rsidRPr="00BA15D3">
        <w:rPr>
          <w:rFonts w:ascii="Times New Roman" w:hAnsi="Times New Roman" w:cs="Times New Roman"/>
          <w:sz w:val="24"/>
          <w:szCs w:val="24"/>
        </w:rPr>
        <w:t xml:space="preserve"> reduced</w:t>
      </w:r>
      <w:r w:rsidR="001E57D8" w:rsidRPr="00BA15D3">
        <w:rPr>
          <w:rFonts w:ascii="Times New Roman" w:hAnsi="Times New Roman" w:cs="Times New Roman"/>
          <w:sz w:val="24"/>
          <w:szCs w:val="24"/>
        </w:rPr>
        <w:t>, suggesting increasing agreement between participants</w:t>
      </w:r>
      <w:r w:rsidR="008F5F6E" w:rsidRPr="00BA15D3">
        <w:rPr>
          <w:rFonts w:ascii="Times New Roman" w:hAnsi="Times New Roman" w:cs="Times New Roman"/>
          <w:sz w:val="24"/>
          <w:szCs w:val="24"/>
        </w:rPr>
        <w:t xml:space="preserve">. </w:t>
      </w:r>
      <w:r w:rsidR="004C0C85" w:rsidRPr="00BA15D3">
        <w:rPr>
          <w:rFonts w:ascii="Times New Roman" w:hAnsi="Times New Roman" w:cs="Times New Roman"/>
          <w:sz w:val="24"/>
          <w:szCs w:val="24"/>
        </w:rPr>
        <w:t xml:space="preserve"> </w:t>
      </w:r>
      <w:r w:rsidR="00B3410C" w:rsidRPr="00BA15D3">
        <w:rPr>
          <w:rFonts w:ascii="Times New Roman" w:hAnsi="Times New Roman" w:cs="Times New Roman"/>
          <w:sz w:val="24"/>
          <w:szCs w:val="24"/>
        </w:rPr>
        <w:t>This result is comparable to</w:t>
      </w:r>
      <w:r w:rsidR="001E57D8" w:rsidRPr="00BA15D3">
        <w:rPr>
          <w:rFonts w:ascii="Times New Roman" w:hAnsi="Times New Roman" w:cs="Times New Roman"/>
          <w:sz w:val="24"/>
          <w:szCs w:val="24"/>
        </w:rPr>
        <w:t xml:space="preserve"> items 19 and 21 which showed a similar pattern. </w:t>
      </w:r>
      <w:r w:rsidR="004C0C85" w:rsidRPr="00BA15D3">
        <w:rPr>
          <w:rFonts w:ascii="Times New Roman" w:hAnsi="Times New Roman" w:cs="Times New Roman"/>
          <w:sz w:val="24"/>
          <w:szCs w:val="24"/>
        </w:rPr>
        <w:t>For item 19 the mean</w:t>
      </w:r>
      <w:r w:rsidR="00C76B21" w:rsidRPr="00BA15D3">
        <w:rPr>
          <w:rFonts w:ascii="Times New Roman" w:hAnsi="Times New Roman" w:cs="Times New Roman"/>
          <w:sz w:val="24"/>
          <w:szCs w:val="24"/>
        </w:rPr>
        <w:t xml:space="preserve"> increased</w:t>
      </w:r>
      <w:r w:rsidR="001E57D8" w:rsidRPr="00BA15D3">
        <w:rPr>
          <w:rFonts w:ascii="Times New Roman" w:hAnsi="Times New Roman" w:cs="Times New Roman"/>
          <w:sz w:val="24"/>
          <w:szCs w:val="24"/>
        </w:rPr>
        <w:t xml:space="preserve"> from 7.8 to 8.3 and the SD (1.5 to 0.9) and </w:t>
      </w:r>
      <w:r w:rsidR="00794A99" w:rsidRPr="00BA15D3">
        <w:rPr>
          <w:rFonts w:ascii="Times New Roman" w:hAnsi="Times New Roman" w:cs="Times New Roman"/>
          <w:sz w:val="24"/>
          <w:szCs w:val="24"/>
        </w:rPr>
        <w:t xml:space="preserve">IQR </w:t>
      </w:r>
      <w:r w:rsidR="001E57D8" w:rsidRPr="00BA15D3">
        <w:rPr>
          <w:rFonts w:ascii="Times New Roman" w:hAnsi="Times New Roman" w:cs="Times New Roman"/>
          <w:sz w:val="24"/>
          <w:szCs w:val="24"/>
        </w:rPr>
        <w:t>(</w:t>
      </w:r>
      <w:r w:rsidR="00794A99" w:rsidRPr="00BA15D3">
        <w:rPr>
          <w:rFonts w:ascii="Times New Roman" w:hAnsi="Times New Roman" w:cs="Times New Roman"/>
          <w:sz w:val="24"/>
          <w:szCs w:val="24"/>
        </w:rPr>
        <w:t>2 to 1.25</w:t>
      </w:r>
      <w:r w:rsidR="001E57D8" w:rsidRPr="00BA15D3">
        <w:rPr>
          <w:rFonts w:ascii="Times New Roman" w:hAnsi="Times New Roman" w:cs="Times New Roman"/>
          <w:sz w:val="24"/>
          <w:szCs w:val="24"/>
        </w:rPr>
        <w:t>) reduced</w:t>
      </w:r>
      <w:r w:rsidR="00794A99" w:rsidRPr="00BA15D3">
        <w:rPr>
          <w:rFonts w:ascii="Times New Roman" w:hAnsi="Times New Roman" w:cs="Times New Roman"/>
          <w:sz w:val="24"/>
          <w:szCs w:val="24"/>
        </w:rPr>
        <w:t>.</w:t>
      </w:r>
      <w:r w:rsidR="00C76B21" w:rsidRPr="00BA15D3">
        <w:rPr>
          <w:rFonts w:ascii="Times New Roman" w:hAnsi="Times New Roman" w:cs="Times New Roman"/>
          <w:sz w:val="24"/>
          <w:szCs w:val="24"/>
        </w:rPr>
        <w:t xml:space="preserve"> For item 21, the </w:t>
      </w:r>
      <w:r w:rsidR="001E57D8" w:rsidRPr="00BA15D3">
        <w:rPr>
          <w:rFonts w:ascii="Times New Roman" w:hAnsi="Times New Roman" w:cs="Times New Roman"/>
          <w:sz w:val="24"/>
          <w:szCs w:val="24"/>
        </w:rPr>
        <w:t xml:space="preserve">mean increased from 8.0 to 8.2 and </w:t>
      </w:r>
      <w:r w:rsidR="00C76B21" w:rsidRPr="00BA15D3">
        <w:rPr>
          <w:rFonts w:ascii="Times New Roman" w:hAnsi="Times New Roman" w:cs="Times New Roman"/>
          <w:sz w:val="24"/>
          <w:szCs w:val="24"/>
        </w:rPr>
        <w:t>the</w:t>
      </w:r>
      <w:r w:rsidR="001E57D8" w:rsidRPr="00BA15D3">
        <w:rPr>
          <w:rFonts w:ascii="Times New Roman" w:hAnsi="Times New Roman" w:cs="Times New Roman"/>
          <w:sz w:val="24"/>
          <w:szCs w:val="24"/>
        </w:rPr>
        <w:t xml:space="preserve"> SD (2.5 to 1.7) and</w:t>
      </w:r>
      <w:r w:rsidR="00C76B21" w:rsidRPr="00BA15D3">
        <w:rPr>
          <w:rFonts w:ascii="Times New Roman" w:hAnsi="Times New Roman" w:cs="Times New Roman"/>
          <w:sz w:val="24"/>
          <w:szCs w:val="24"/>
        </w:rPr>
        <w:t xml:space="preserve"> IQR</w:t>
      </w:r>
      <w:r w:rsidR="00B3410C" w:rsidRPr="00BA15D3">
        <w:rPr>
          <w:rFonts w:ascii="Times New Roman" w:hAnsi="Times New Roman" w:cs="Times New Roman"/>
          <w:sz w:val="24"/>
          <w:szCs w:val="24"/>
        </w:rPr>
        <w:t xml:space="preserve"> (2.25 to 1.0)</w:t>
      </w:r>
      <w:r w:rsidR="001E57D8" w:rsidRPr="00BA15D3">
        <w:rPr>
          <w:rFonts w:ascii="Times New Roman" w:hAnsi="Times New Roman" w:cs="Times New Roman"/>
          <w:sz w:val="24"/>
          <w:szCs w:val="24"/>
        </w:rPr>
        <w:t xml:space="preserve"> reduced.</w:t>
      </w:r>
      <w:r w:rsidR="00B3410C" w:rsidRPr="00BA15D3">
        <w:rPr>
          <w:rFonts w:ascii="Times New Roman" w:hAnsi="Times New Roman" w:cs="Times New Roman"/>
          <w:sz w:val="24"/>
          <w:szCs w:val="24"/>
        </w:rPr>
        <w:t xml:space="preserve"> However, for item 5, the mean score was identical (so was rated the same) but the SD (1.6 to 0.9) and IQR (2.25 to 0.25) reduced suggesting increasing agreement</w:t>
      </w:r>
      <w:r w:rsidR="00756CB1">
        <w:rPr>
          <w:rFonts w:ascii="Times New Roman" w:hAnsi="Times New Roman" w:cs="Times New Roman"/>
          <w:sz w:val="24"/>
          <w:szCs w:val="24"/>
        </w:rPr>
        <w:t xml:space="preserve">. </w:t>
      </w:r>
      <w:r>
        <w:rPr>
          <w:rFonts w:ascii="Times New Roman" w:hAnsi="Times New Roman" w:cs="Times New Roman"/>
          <w:sz w:val="24"/>
          <w:szCs w:val="24"/>
        </w:rPr>
        <w:t xml:space="preserve">However </w:t>
      </w:r>
      <w:r w:rsidR="00B3410C" w:rsidRPr="00BA15D3">
        <w:rPr>
          <w:rFonts w:ascii="Times New Roman" w:hAnsi="Times New Roman" w:cs="Times New Roman"/>
          <w:sz w:val="24"/>
          <w:szCs w:val="24"/>
        </w:rPr>
        <w:t xml:space="preserve">as the mean stayed the same, some participants must have increased their scores while others reduced theirs. </w:t>
      </w:r>
      <w:r w:rsidR="001E57D8" w:rsidRPr="00BA15D3">
        <w:rPr>
          <w:rFonts w:ascii="Times New Roman" w:hAnsi="Times New Roman" w:cs="Times New Roman"/>
          <w:sz w:val="24"/>
          <w:szCs w:val="24"/>
        </w:rPr>
        <w:t>For item 15 the mean score increased from 7.7 to 8.0</w:t>
      </w:r>
      <w:r w:rsidR="00756CB1">
        <w:rPr>
          <w:rFonts w:ascii="Times New Roman" w:hAnsi="Times New Roman" w:cs="Times New Roman"/>
          <w:sz w:val="24"/>
          <w:szCs w:val="24"/>
        </w:rPr>
        <w:t xml:space="preserve"> </w:t>
      </w:r>
      <w:r w:rsidR="00B3410C" w:rsidRPr="00BA15D3">
        <w:rPr>
          <w:rFonts w:ascii="Times New Roman" w:hAnsi="Times New Roman" w:cs="Times New Roman"/>
          <w:sz w:val="24"/>
          <w:szCs w:val="24"/>
        </w:rPr>
        <w:t>showing it was rated more highly</w:t>
      </w:r>
      <w:r w:rsidR="001E57D8" w:rsidRPr="00BA15D3">
        <w:rPr>
          <w:rFonts w:ascii="Times New Roman" w:hAnsi="Times New Roman" w:cs="Times New Roman"/>
          <w:sz w:val="24"/>
          <w:szCs w:val="24"/>
        </w:rPr>
        <w:t xml:space="preserve"> but at the same time the SD (0.8 to 0.9) and IQR (1.0 to 1.15) increased</w:t>
      </w:r>
      <w:r w:rsidR="00B3410C" w:rsidRPr="00BA15D3">
        <w:rPr>
          <w:rFonts w:ascii="Times New Roman" w:hAnsi="Times New Roman" w:cs="Times New Roman"/>
          <w:sz w:val="24"/>
          <w:szCs w:val="24"/>
        </w:rPr>
        <w:t xml:space="preserve"> suggesting slightly less agreement.</w:t>
      </w:r>
    </w:p>
    <w:p w14:paraId="4C6A8E73" w14:textId="268337F8" w:rsidR="00863DF5" w:rsidRPr="006F3B00" w:rsidRDefault="007A712D" w:rsidP="0087352C">
      <w:pPr>
        <w:pStyle w:val="Heading3"/>
        <w:rPr>
          <w:rFonts w:ascii="Times New Roman" w:hAnsi="Times New Roman" w:cs="Times New Roman"/>
          <w:color w:val="auto"/>
          <w:sz w:val="24"/>
          <w:szCs w:val="24"/>
        </w:rPr>
      </w:pPr>
      <w:bookmarkStart w:id="110" w:name="_Toc23243839"/>
      <w:r>
        <w:rPr>
          <w:rFonts w:ascii="Times New Roman" w:hAnsi="Times New Roman" w:cs="Times New Roman"/>
          <w:color w:val="auto"/>
          <w:sz w:val="24"/>
          <w:szCs w:val="24"/>
        </w:rPr>
        <w:lastRenderedPageBreak/>
        <w:t>5.4</w:t>
      </w:r>
      <w:r w:rsidR="0087352C" w:rsidRPr="006F3B00">
        <w:rPr>
          <w:rFonts w:ascii="Times New Roman" w:hAnsi="Times New Roman" w:cs="Times New Roman"/>
          <w:color w:val="auto"/>
          <w:sz w:val="24"/>
          <w:szCs w:val="24"/>
        </w:rPr>
        <w:t xml:space="preserve">.3 </w:t>
      </w:r>
      <w:r w:rsidR="00863DF5" w:rsidRPr="006F3B00">
        <w:rPr>
          <w:rFonts w:ascii="Times New Roman" w:hAnsi="Times New Roman" w:cs="Times New Roman"/>
          <w:color w:val="auto"/>
          <w:sz w:val="24"/>
          <w:szCs w:val="24"/>
        </w:rPr>
        <w:t>Round 1 ranking of items</w:t>
      </w:r>
      <w:bookmarkEnd w:id="110"/>
    </w:p>
    <w:p w14:paraId="2EE7B3A3" w14:textId="77777777" w:rsidR="0087352C" w:rsidRPr="006F3B00" w:rsidRDefault="0087352C" w:rsidP="0087352C">
      <w:pPr>
        <w:rPr>
          <w:rFonts w:ascii="Times New Roman" w:hAnsi="Times New Roman" w:cs="Times New Roman"/>
          <w:sz w:val="24"/>
          <w:szCs w:val="24"/>
          <w:lang w:val="en-GB"/>
        </w:rPr>
      </w:pPr>
    </w:p>
    <w:p w14:paraId="07D3B6C0" w14:textId="199E325E" w:rsidR="00E1668B" w:rsidRDefault="001A1B84" w:rsidP="005E7689">
      <w:pPr>
        <w:spacing w:line="480" w:lineRule="auto"/>
        <w:rPr>
          <w:rFonts w:ascii="Times New Roman" w:hAnsi="Times New Roman" w:cs="Times New Roman"/>
          <w:sz w:val="24"/>
          <w:szCs w:val="24"/>
        </w:rPr>
      </w:pPr>
      <w:r>
        <w:rPr>
          <w:rFonts w:ascii="Times New Roman" w:hAnsi="Times New Roman" w:cs="Times New Roman"/>
          <w:sz w:val="24"/>
          <w:szCs w:val="24"/>
        </w:rPr>
        <w:t>Table 5.12</w:t>
      </w:r>
      <w:r w:rsidR="000A5350" w:rsidRPr="00B207B5">
        <w:rPr>
          <w:rFonts w:ascii="Times New Roman" w:hAnsi="Times New Roman" w:cs="Times New Roman"/>
          <w:sz w:val="24"/>
          <w:szCs w:val="24"/>
        </w:rPr>
        <w:t xml:space="preserve"> </w:t>
      </w:r>
      <w:r w:rsidR="00863DF5" w:rsidRPr="00B207B5">
        <w:rPr>
          <w:rFonts w:ascii="Times New Roman" w:hAnsi="Times New Roman" w:cs="Times New Roman"/>
          <w:sz w:val="24"/>
          <w:szCs w:val="24"/>
        </w:rPr>
        <w:t>shows those items which had the highest mean score and also the items which were ranked as being most important when determining diagnostic competence after round 1.</w:t>
      </w:r>
      <w:r w:rsidR="007D30DF" w:rsidRPr="00B207B5">
        <w:rPr>
          <w:rFonts w:ascii="Times New Roman" w:hAnsi="Times New Roman" w:cs="Times New Roman"/>
          <w:sz w:val="24"/>
          <w:szCs w:val="24"/>
        </w:rPr>
        <w:t xml:space="preserve"> </w:t>
      </w:r>
      <w:r w:rsidR="006673EC" w:rsidRPr="00B207B5">
        <w:rPr>
          <w:rFonts w:ascii="Times New Roman" w:hAnsi="Times New Roman" w:cs="Times New Roman"/>
          <w:sz w:val="24"/>
          <w:szCs w:val="24"/>
        </w:rPr>
        <w:t>Item 16</w:t>
      </w:r>
      <w:r w:rsidR="00F96819">
        <w:rPr>
          <w:rFonts w:ascii="Times New Roman" w:hAnsi="Times New Roman" w:cs="Times New Roman"/>
          <w:sz w:val="24"/>
          <w:szCs w:val="24"/>
        </w:rPr>
        <w:t xml:space="preserve"> </w:t>
      </w:r>
      <w:r w:rsidR="00C32EA6">
        <w:rPr>
          <w:rFonts w:ascii="Times New Roman" w:hAnsi="Times New Roman" w:cs="Times New Roman"/>
          <w:sz w:val="24"/>
          <w:szCs w:val="24"/>
        </w:rPr>
        <w:t xml:space="preserve">‘Trainee is aware of their limitations’ </w:t>
      </w:r>
      <w:r w:rsidR="00F96819">
        <w:rPr>
          <w:rFonts w:ascii="Times New Roman" w:hAnsi="Times New Roman" w:cs="Times New Roman"/>
          <w:sz w:val="24"/>
          <w:szCs w:val="24"/>
        </w:rPr>
        <w:t xml:space="preserve">(under the heading </w:t>
      </w:r>
      <w:r w:rsidR="00EB5B0E">
        <w:rPr>
          <w:rFonts w:ascii="Times New Roman" w:hAnsi="Times New Roman" w:cs="Times New Roman"/>
          <w:sz w:val="24"/>
          <w:szCs w:val="24"/>
        </w:rPr>
        <w:t>R</w:t>
      </w:r>
      <w:r w:rsidR="00F96819">
        <w:rPr>
          <w:rFonts w:ascii="Times New Roman" w:hAnsi="Times New Roman" w:cs="Times New Roman"/>
          <w:sz w:val="24"/>
          <w:szCs w:val="24"/>
        </w:rPr>
        <w:t>eflection)</w:t>
      </w:r>
      <w:r w:rsidR="006673EC" w:rsidRPr="00B207B5">
        <w:rPr>
          <w:rFonts w:ascii="Times New Roman" w:hAnsi="Times New Roman" w:cs="Times New Roman"/>
          <w:sz w:val="24"/>
          <w:szCs w:val="24"/>
        </w:rPr>
        <w:t xml:space="preserve"> a</w:t>
      </w:r>
      <w:r w:rsidR="00C33B1B" w:rsidRPr="00B207B5">
        <w:rPr>
          <w:rFonts w:ascii="Times New Roman" w:hAnsi="Times New Roman" w:cs="Times New Roman"/>
          <w:sz w:val="24"/>
          <w:szCs w:val="24"/>
        </w:rPr>
        <w:t xml:space="preserve">ppeared on both sides </w:t>
      </w:r>
      <w:r>
        <w:rPr>
          <w:rFonts w:ascii="Times New Roman" w:hAnsi="Times New Roman" w:cs="Times New Roman"/>
          <w:sz w:val="24"/>
          <w:szCs w:val="24"/>
        </w:rPr>
        <w:t>of Table 5.12</w:t>
      </w:r>
      <w:r w:rsidR="006673EC" w:rsidRPr="00B207B5">
        <w:rPr>
          <w:rFonts w:ascii="Times New Roman" w:hAnsi="Times New Roman" w:cs="Times New Roman"/>
          <w:sz w:val="24"/>
          <w:szCs w:val="24"/>
        </w:rPr>
        <w:t xml:space="preserve"> (e.g. high mean score and rank), but the </w:t>
      </w:r>
      <w:r w:rsidR="000A5350" w:rsidRPr="00B207B5">
        <w:rPr>
          <w:rFonts w:ascii="Times New Roman" w:hAnsi="Times New Roman" w:cs="Times New Roman"/>
          <w:sz w:val="24"/>
          <w:szCs w:val="24"/>
        </w:rPr>
        <w:t>other items in the table varied and did not appear on both sides.</w:t>
      </w:r>
      <w:r w:rsidR="00F96819">
        <w:rPr>
          <w:rFonts w:ascii="Times New Roman" w:hAnsi="Times New Roman" w:cs="Times New Roman"/>
          <w:sz w:val="24"/>
          <w:szCs w:val="24"/>
        </w:rPr>
        <w:t xml:space="preserve"> Two</w:t>
      </w:r>
      <w:r w:rsidR="001445B6" w:rsidRPr="00B207B5">
        <w:rPr>
          <w:rFonts w:ascii="Times New Roman" w:hAnsi="Times New Roman" w:cs="Times New Roman"/>
          <w:sz w:val="24"/>
          <w:szCs w:val="24"/>
        </w:rPr>
        <w:t xml:space="preserve"> item</w:t>
      </w:r>
      <w:r w:rsidR="00F96819">
        <w:rPr>
          <w:rFonts w:ascii="Times New Roman" w:hAnsi="Times New Roman" w:cs="Times New Roman"/>
          <w:sz w:val="24"/>
          <w:szCs w:val="24"/>
        </w:rPr>
        <w:t>s</w:t>
      </w:r>
      <w:r w:rsidR="001445B6" w:rsidRPr="00B207B5">
        <w:rPr>
          <w:rFonts w:ascii="Times New Roman" w:hAnsi="Times New Roman" w:cs="Times New Roman"/>
          <w:sz w:val="24"/>
          <w:szCs w:val="24"/>
        </w:rPr>
        <w:t xml:space="preserve"> (16</w:t>
      </w:r>
      <w:r w:rsidR="00F96819">
        <w:rPr>
          <w:rFonts w:ascii="Times New Roman" w:hAnsi="Times New Roman" w:cs="Times New Roman"/>
          <w:sz w:val="24"/>
          <w:szCs w:val="24"/>
        </w:rPr>
        <w:t xml:space="preserve"> </w:t>
      </w:r>
      <w:r w:rsidR="00756CB1">
        <w:rPr>
          <w:rFonts w:ascii="Times New Roman" w:hAnsi="Times New Roman" w:cs="Times New Roman"/>
          <w:sz w:val="24"/>
          <w:szCs w:val="24"/>
        </w:rPr>
        <w:t>‘</w:t>
      </w:r>
      <w:r w:rsidR="00EB5B0E">
        <w:rPr>
          <w:rFonts w:ascii="Times New Roman" w:hAnsi="Times New Roman" w:cs="Times New Roman"/>
          <w:sz w:val="24"/>
          <w:szCs w:val="24"/>
        </w:rPr>
        <w:t>Trainee is aware of limitations ‘and</w:t>
      </w:r>
      <w:r w:rsidR="00F96819">
        <w:rPr>
          <w:rFonts w:ascii="Times New Roman" w:hAnsi="Times New Roman" w:cs="Times New Roman"/>
          <w:sz w:val="24"/>
          <w:szCs w:val="24"/>
        </w:rPr>
        <w:t xml:space="preserve"> 18</w:t>
      </w:r>
      <w:r w:rsidR="00EB5B0E">
        <w:rPr>
          <w:rFonts w:ascii="Times New Roman" w:hAnsi="Times New Roman" w:cs="Times New Roman"/>
          <w:sz w:val="24"/>
          <w:szCs w:val="24"/>
        </w:rPr>
        <w:t xml:space="preserve"> ‘Trainee shows evidence of improvement after reflection’</w:t>
      </w:r>
      <w:r w:rsidR="00F96819">
        <w:rPr>
          <w:rFonts w:ascii="Times New Roman" w:hAnsi="Times New Roman" w:cs="Times New Roman"/>
          <w:sz w:val="24"/>
          <w:szCs w:val="24"/>
        </w:rPr>
        <w:t xml:space="preserve">) </w:t>
      </w:r>
      <w:r w:rsidR="00EB5B0E">
        <w:rPr>
          <w:rFonts w:ascii="Times New Roman" w:hAnsi="Times New Roman" w:cs="Times New Roman"/>
          <w:sz w:val="24"/>
          <w:szCs w:val="24"/>
        </w:rPr>
        <w:t xml:space="preserve">both </w:t>
      </w:r>
      <w:r w:rsidR="00F96819">
        <w:rPr>
          <w:rFonts w:ascii="Times New Roman" w:hAnsi="Times New Roman" w:cs="Times New Roman"/>
          <w:sz w:val="24"/>
          <w:szCs w:val="24"/>
        </w:rPr>
        <w:t>under the heading ‘</w:t>
      </w:r>
      <w:r w:rsidR="00EB5B0E">
        <w:rPr>
          <w:rFonts w:ascii="Times New Roman" w:hAnsi="Times New Roman" w:cs="Times New Roman"/>
          <w:sz w:val="24"/>
          <w:szCs w:val="24"/>
        </w:rPr>
        <w:t>R</w:t>
      </w:r>
      <w:r w:rsidR="001445B6" w:rsidRPr="00B207B5">
        <w:rPr>
          <w:rFonts w:ascii="Times New Roman" w:hAnsi="Times New Roman" w:cs="Times New Roman"/>
          <w:sz w:val="24"/>
          <w:szCs w:val="24"/>
        </w:rPr>
        <w:t>eflection’</w:t>
      </w:r>
      <w:r w:rsidR="00F96819">
        <w:rPr>
          <w:rFonts w:ascii="Times New Roman" w:hAnsi="Times New Roman" w:cs="Times New Roman"/>
          <w:sz w:val="24"/>
          <w:szCs w:val="24"/>
        </w:rPr>
        <w:t xml:space="preserve"> </w:t>
      </w:r>
      <w:r w:rsidR="001445B6" w:rsidRPr="00B207B5">
        <w:rPr>
          <w:rFonts w:ascii="Times New Roman" w:hAnsi="Times New Roman" w:cs="Times New Roman"/>
          <w:sz w:val="24"/>
          <w:szCs w:val="24"/>
        </w:rPr>
        <w:t>and on</w:t>
      </w:r>
      <w:r w:rsidR="00F96819">
        <w:rPr>
          <w:rFonts w:ascii="Times New Roman" w:hAnsi="Times New Roman" w:cs="Times New Roman"/>
          <w:sz w:val="24"/>
          <w:szCs w:val="24"/>
        </w:rPr>
        <w:t>e item (26</w:t>
      </w:r>
      <w:r w:rsidR="00EB5B0E">
        <w:rPr>
          <w:rFonts w:ascii="Times New Roman" w:hAnsi="Times New Roman" w:cs="Times New Roman"/>
          <w:sz w:val="24"/>
          <w:szCs w:val="24"/>
        </w:rPr>
        <w:t xml:space="preserve"> ‘R</w:t>
      </w:r>
      <w:r w:rsidR="00EB5B0E" w:rsidRPr="00EB5B0E">
        <w:rPr>
          <w:rFonts w:ascii="Times New Roman" w:hAnsi="Times New Roman" w:cs="Times New Roman"/>
          <w:sz w:val="24"/>
          <w:szCs w:val="24"/>
        </w:rPr>
        <w:t>eport ensures the clinician/surgeon receives the appropriate message</w:t>
      </w:r>
      <w:r w:rsidR="00EB5B0E">
        <w:rPr>
          <w:rFonts w:ascii="Times New Roman" w:hAnsi="Times New Roman" w:cs="Times New Roman"/>
          <w:sz w:val="24"/>
          <w:szCs w:val="24"/>
        </w:rPr>
        <w:t>’</w:t>
      </w:r>
      <w:r w:rsidR="00F96819">
        <w:rPr>
          <w:rFonts w:ascii="Times New Roman" w:hAnsi="Times New Roman" w:cs="Times New Roman"/>
          <w:sz w:val="24"/>
          <w:szCs w:val="24"/>
        </w:rPr>
        <w:t>) under the heading ‘</w:t>
      </w:r>
      <w:r w:rsidR="00EB5B0E">
        <w:rPr>
          <w:rFonts w:ascii="Times New Roman" w:hAnsi="Times New Roman" w:cs="Times New Roman"/>
          <w:sz w:val="24"/>
          <w:szCs w:val="24"/>
        </w:rPr>
        <w:t>T</w:t>
      </w:r>
      <w:r w:rsidR="001445B6" w:rsidRPr="00B207B5">
        <w:rPr>
          <w:rFonts w:ascii="Times New Roman" w:hAnsi="Times New Roman" w:cs="Times New Roman"/>
          <w:sz w:val="24"/>
          <w:szCs w:val="24"/>
        </w:rPr>
        <w:t>he patients report’ received the highest mean scores. For those items ranked highest</w:t>
      </w:r>
      <w:r w:rsidR="00044AFF" w:rsidRPr="00B207B5">
        <w:rPr>
          <w:rFonts w:ascii="Times New Roman" w:hAnsi="Times New Roman" w:cs="Times New Roman"/>
          <w:sz w:val="24"/>
          <w:szCs w:val="24"/>
        </w:rPr>
        <w:t>,</w:t>
      </w:r>
      <w:r w:rsidR="001445B6" w:rsidRPr="00B207B5">
        <w:rPr>
          <w:rFonts w:ascii="Times New Roman" w:hAnsi="Times New Roman" w:cs="Times New Roman"/>
          <w:sz w:val="24"/>
          <w:szCs w:val="24"/>
        </w:rPr>
        <w:t xml:space="preserve"> o</w:t>
      </w:r>
      <w:r w:rsidR="00F96819">
        <w:rPr>
          <w:rFonts w:ascii="Times New Roman" w:hAnsi="Times New Roman" w:cs="Times New Roman"/>
          <w:sz w:val="24"/>
          <w:szCs w:val="24"/>
        </w:rPr>
        <w:t>ne (12</w:t>
      </w:r>
      <w:r w:rsidR="00EB5B0E">
        <w:rPr>
          <w:rFonts w:ascii="Times New Roman" w:hAnsi="Times New Roman" w:cs="Times New Roman"/>
          <w:sz w:val="24"/>
          <w:szCs w:val="24"/>
        </w:rPr>
        <w:t xml:space="preserve"> ‘T</w:t>
      </w:r>
      <w:r w:rsidR="00EB5B0E" w:rsidRPr="00EB5B0E">
        <w:rPr>
          <w:rFonts w:ascii="Times New Roman" w:hAnsi="Times New Roman" w:cs="Times New Roman"/>
          <w:sz w:val="24"/>
          <w:szCs w:val="24"/>
        </w:rPr>
        <w:t>rainee shows evidence of clini</w:t>
      </w:r>
      <w:r w:rsidR="00EB5B0E">
        <w:rPr>
          <w:rFonts w:ascii="Times New Roman" w:hAnsi="Times New Roman" w:cs="Times New Roman"/>
          <w:sz w:val="24"/>
          <w:szCs w:val="24"/>
        </w:rPr>
        <w:t>c</w:t>
      </w:r>
      <w:r w:rsidR="00EB5B0E" w:rsidRPr="00EB5B0E">
        <w:rPr>
          <w:rFonts w:ascii="Times New Roman" w:hAnsi="Times New Roman" w:cs="Times New Roman"/>
          <w:sz w:val="24"/>
          <w:szCs w:val="24"/>
        </w:rPr>
        <w:t>o-pathological correlation</w:t>
      </w:r>
      <w:r w:rsidR="00F96819">
        <w:rPr>
          <w:rFonts w:ascii="Times New Roman" w:hAnsi="Times New Roman" w:cs="Times New Roman"/>
          <w:sz w:val="24"/>
          <w:szCs w:val="24"/>
        </w:rPr>
        <w:t>) was under the heading ‘f</w:t>
      </w:r>
      <w:r w:rsidR="001445B6" w:rsidRPr="00B207B5">
        <w:rPr>
          <w:rFonts w:ascii="Times New Roman" w:hAnsi="Times New Roman" w:cs="Times New Roman"/>
          <w:sz w:val="24"/>
          <w:szCs w:val="24"/>
        </w:rPr>
        <w:t>orming a diagnosis’, one (16</w:t>
      </w:r>
      <w:r w:rsidR="00EB5B0E" w:rsidRPr="00EB5B0E">
        <w:rPr>
          <w:rFonts w:ascii="Times New Roman" w:hAnsi="Times New Roman" w:cs="Times New Roman"/>
          <w:sz w:val="24"/>
          <w:szCs w:val="24"/>
        </w:rPr>
        <w:t xml:space="preserve"> </w:t>
      </w:r>
      <w:r w:rsidR="00EB5B0E">
        <w:rPr>
          <w:rFonts w:ascii="Times New Roman" w:hAnsi="Times New Roman" w:cs="Times New Roman"/>
          <w:sz w:val="24"/>
          <w:szCs w:val="24"/>
        </w:rPr>
        <w:t>‘T</w:t>
      </w:r>
      <w:r w:rsidR="00EB5B0E" w:rsidRPr="00EB5B0E">
        <w:rPr>
          <w:rFonts w:ascii="Times New Roman" w:hAnsi="Times New Roman" w:cs="Times New Roman"/>
          <w:sz w:val="24"/>
          <w:szCs w:val="24"/>
        </w:rPr>
        <w:t>rainee is aware of their own limitations</w:t>
      </w:r>
      <w:r w:rsidR="00756CB1">
        <w:rPr>
          <w:rFonts w:ascii="Times New Roman" w:hAnsi="Times New Roman" w:cs="Times New Roman"/>
          <w:sz w:val="24"/>
          <w:szCs w:val="24"/>
        </w:rPr>
        <w:t>’</w:t>
      </w:r>
      <w:r w:rsidR="001445B6" w:rsidRPr="00B207B5">
        <w:rPr>
          <w:rFonts w:ascii="Times New Roman" w:hAnsi="Times New Roman" w:cs="Times New Roman"/>
          <w:sz w:val="24"/>
          <w:szCs w:val="24"/>
        </w:rPr>
        <w:t>) under ‘</w:t>
      </w:r>
      <w:r w:rsidR="00EB5B0E">
        <w:rPr>
          <w:rFonts w:ascii="Times New Roman" w:hAnsi="Times New Roman" w:cs="Times New Roman"/>
          <w:sz w:val="24"/>
          <w:szCs w:val="24"/>
        </w:rPr>
        <w:t>R</w:t>
      </w:r>
      <w:r w:rsidR="001445B6" w:rsidRPr="00B207B5">
        <w:rPr>
          <w:rFonts w:ascii="Times New Roman" w:hAnsi="Times New Roman" w:cs="Times New Roman"/>
          <w:sz w:val="24"/>
          <w:szCs w:val="24"/>
        </w:rPr>
        <w:t>eflection’ and one (8</w:t>
      </w:r>
      <w:r w:rsidR="00EB5B0E">
        <w:rPr>
          <w:rFonts w:ascii="Times New Roman" w:hAnsi="Times New Roman" w:cs="Times New Roman"/>
          <w:sz w:val="24"/>
          <w:szCs w:val="24"/>
        </w:rPr>
        <w:t xml:space="preserve"> ‘</w:t>
      </w:r>
      <w:r w:rsidR="00EB5B0E" w:rsidRPr="00EB5B0E">
        <w:rPr>
          <w:rFonts w:ascii="Times New Roman" w:hAnsi="Times New Roman" w:cs="Times New Roman"/>
          <w:sz w:val="24"/>
          <w:szCs w:val="24"/>
        </w:rPr>
        <w:t>Trainee is motivated and has a good attitude</w:t>
      </w:r>
      <w:r w:rsidR="001445B6" w:rsidRPr="00B207B5">
        <w:rPr>
          <w:rFonts w:ascii="Times New Roman" w:hAnsi="Times New Roman" w:cs="Times New Roman"/>
          <w:sz w:val="24"/>
          <w:szCs w:val="24"/>
        </w:rPr>
        <w:t>) under ‘</w:t>
      </w:r>
      <w:r w:rsidR="00EB5B0E">
        <w:rPr>
          <w:rFonts w:ascii="Times New Roman" w:hAnsi="Times New Roman" w:cs="Times New Roman"/>
          <w:sz w:val="24"/>
          <w:szCs w:val="24"/>
        </w:rPr>
        <w:t>P</w:t>
      </w:r>
      <w:r w:rsidR="001445B6" w:rsidRPr="00B207B5">
        <w:rPr>
          <w:rFonts w:ascii="Times New Roman" w:hAnsi="Times New Roman" w:cs="Times New Roman"/>
          <w:sz w:val="24"/>
          <w:szCs w:val="24"/>
        </w:rPr>
        <w:t xml:space="preserve">rofessionalism’. </w:t>
      </w:r>
    </w:p>
    <w:tbl>
      <w:tblPr>
        <w:tblpPr w:leftFromText="180" w:rightFromText="180" w:vertAnchor="page" w:horzAnchor="margin" w:tblpY="8641"/>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875"/>
        <w:gridCol w:w="1800"/>
        <w:gridCol w:w="2710"/>
      </w:tblGrid>
      <w:tr w:rsidR="001F2DFF" w:rsidRPr="006F3B00" w14:paraId="06531064" w14:textId="77777777" w:rsidTr="001F2DFF">
        <w:tc>
          <w:tcPr>
            <w:tcW w:w="1260" w:type="dxa"/>
            <w:shd w:val="clear" w:color="auto" w:fill="F2F2F2" w:themeFill="background1" w:themeFillShade="F2"/>
          </w:tcPr>
          <w:p w14:paraId="0291C027" w14:textId="77777777" w:rsidR="001F2DFF" w:rsidRPr="006F3B00" w:rsidRDefault="001F2DFF" w:rsidP="001F2DFF">
            <w:pPr>
              <w:jc w:val="center"/>
              <w:rPr>
                <w:rFonts w:ascii="Times New Roman" w:hAnsi="Times New Roman" w:cs="Times New Roman"/>
                <w:b/>
                <w:sz w:val="24"/>
                <w:szCs w:val="24"/>
              </w:rPr>
            </w:pPr>
            <w:r w:rsidRPr="006F3B00">
              <w:rPr>
                <w:rFonts w:ascii="Times New Roman" w:hAnsi="Times New Roman" w:cs="Times New Roman"/>
                <w:b/>
                <w:sz w:val="24"/>
                <w:szCs w:val="24"/>
              </w:rPr>
              <w:t>Highest mean score</w:t>
            </w:r>
          </w:p>
        </w:tc>
        <w:tc>
          <w:tcPr>
            <w:tcW w:w="2875" w:type="dxa"/>
            <w:shd w:val="clear" w:color="auto" w:fill="F2F2F2" w:themeFill="background1" w:themeFillShade="F2"/>
          </w:tcPr>
          <w:p w14:paraId="2C8537CA" w14:textId="77777777" w:rsidR="001F2DFF" w:rsidRPr="006F3B00" w:rsidRDefault="001F2DFF" w:rsidP="001F2DFF">
            <w:pPr>
              <w:jc w:val="center"/>
              <w:rPr>
                <w:rFonts w:ascii="Times New Roman" w:hAnsi="Times New Roman" w:cs="Times New Roman"/>
                <w:b/>
                <w:sz w:val="24"/>
                <w:szCs w:val="24"/>
              </w:rPr>
            </w:pPr>
            <w:r w:rsidRPr="006F3B00">
              <w:rPr>
                <w:rFonts w:ascii="Times New Roman" w:hAnsi="Times New Roman" w:cs="Times New Roman"/>
                <w:b/>
                <w:sz w:val="24"/>
                <w:szCs w:val="24"/>
              </w:rPr>
              <w:t>Item</w:t>
            </w:r>
          </w:p>
        </w:tc>
        <w:tc>
          <w:tcPr>
            <w:tcW w:w="1800" w:type="dxa"/>
            <w:shd w:val="clear" w:color="auto" w:fill="D5DCE4" w:themeFill="text2" w:themeFillTint="33"/>
          </w:tcPr>
          <w:p w14:paraId="0DBA0CE4" w14:textId="77777777" w:rsidR="001F2DFF" w:rsidRPr="006F3B00" w:rsidRDefault="001F2DFF" w:rsidP="001F2DFF">
            <w:pPr>
              <w:rPr>
                <w:rFonts w:ascii="Times New Roman" w:hAnsi="Times New Roman" w:cs="Times New Roman"/>
                <w:b/>
                <w:sz w:val="24"/>
                <w:szCs w:val="24"/>
              </w:rPr>
            </w:pPr>
            <w:r w:rsidRPr="006F3B00">
              <w:rPr>
                <w:rFonts w:ascii="Times New Roman" w:hAnsi="Times New Roman" w:cs="Times New Roman"/>
                <w:b/>
                <w:sz w:val="24"/>
                <w:szCs w:val="24"/>
              </w:rPr>
              <w:t>Highest rank (rank 1 = most important)</w:t>
            </w:r>
          </w:p>
        </w:tc>
        <w:tc>
          <w:tcPr>
            <w:tcW w:w="2710" w:type="dxa"/>
            <w:shd w:val="clear" w:color="auto" w:fill="D5DCE4" w:themeFill="text2" w:themeFillTint="33"/>
          </w:tcPr>
          <w:p w14:paraId="358D3C67" w14:textId="77777777" w:rsidR="001F2DFF" w:rsidRPr="006F3B00" w:rsidRDefault="001F2DFF" w:rsidP="001F2DFF">
            <w:pPr>
              <w:jc w:val="center"/>
              <w:rPr>
                <w:rFonts w:ascii="Times New Roman" w:hAnsi="Times New Roman" w:cs="Times New Roman"/>
                <w:b/>
                <w:sz w:val="24"/>
                <w:szCs w:val="24"/>
              </w:rPr>
            </w:pPr>
            <w:r w:rsidRPr="006F3B00">
              <w:rPr>
                <w:rFonts w:ascii="Times New Roman" w:hAnsi="Times New Roman" w:cs="Times New Roman"/>
                <w:b/>
                <w:sz w:val="24"/>
                <w:szCs w:val="24"/>
              </w:rPr>
              <w:t>Item</w:t>
            </w:r>
          </w:p>
        </w:tc>
      </w:tr>
      <w:tr w:rsidR="001F2DFF" w:rsidRPr="006F3B00" w14:paraId="265578D3" w14:textId="77777777" w:rsidTr="001F2DFF">
        <w:tc>
          <w:tcPr>
            <w:tcW w:w="1260" w:type="dxa"/>
          </w:tcPr>
          <w:p w14:paraId="3BA87F0E"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9.6</w:t>
            </w:r>
          </w:p>
        </w:tc>
        <w:tc>
          <w:tcPr>
            <w:tcW w:w="2875" w:type="dxa"/>
          </w:tcPr>
          <w:p w14:paraId="4A1F14CD" w14:textId="77777777" w:rsidR="001F2DFF" w:rsidRPr="00613779" w:rsidRDefault="001F2DFF" w:rsidP="001F2DFF">
            <w:pPr>
              <w:rPr>
                <w:rFonts w:ascii="Times New Roman" w:hAnsi="Times New Roman" w:cs="Times New Roman"/>
                <w:b/>
                <w:sz w:val="24"/>
                <w:szCs w:val="24"/>
              </w:rPr>
            </w:pPr>
            <w:r w:rsidRPr="00613779">
              <w:rPr>
                <w:rFonts w:ascii="Times New Roman" w:hAnsi="Times New Roman" w:cs="Times New Roman"/>
                <w:b/>
                <w:sz w:val="24"/>
                <w:szCs w:val="24"/>
              </w:rPr>
              <w:t>Reflection</w:t>
            </w:r>
          </w:p>
          <w:p w14:paraId="256DD8B6"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16. Trainee is aware of limitations</w:t>
            </w:r>
          </w:p>
        </w:tc>
        <w:tc>
          <w:tcPr>
            <w:tcW w:w="1800" w:type="dxa"/>
          </w:tcPr>
          <w:p w14:paraId="021F889A"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1</w:t>
            </w:r>
          </w:p>
        </w:tc>
        <w:tc>
          <w:tcPr>
            <w:tcW w:w="2710" w:type="dxa"/>
          </w:tcPr>
          <w:p w14:paraId="0EC81E31" w14:textId="77777777" w:rsidR="001F2DFF" w:rsidRPr="00613779" w:rsidRDefault="001F2DFF" w:rsidP="001F2DFF">
            <w:pPr>
              <w:rPr>
                <w:rFonts w:ascii="Times New Roman" w:hAnsi="Times New Roman" w:cs="Times New Roman"/>
                <w:b/>
                <w:sz w:val="24"/>
                <w:szCs w:val="24"/>
              </w:rPr>
            </w:pPr>
            <w:r w:rsidRPr="00613779">
              <w:rPr>
                <w:rFonts w:ascii="Times New Roman" w:hAnsi="Times New Roman" w:cs="Times New Roman"/>
                <w:b/>
                <w:sz w:val="24"/>
                <w:szCs w:val="24"/>
              </w:rPr>
              <w:t>Forming a diagnosis</w:t>
            </w:r>
          </w:p>
          <w:p w14:paraId="2E3AF1A8"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12. Trainee shows evidence of clini</w:t>
            </w:r>
            <w:r>
              <w:rPr>
                <w:rFonts w:ascii="Times New Roman" w:hAnsi="Times New Roman" w:cs="Times New Roman"/>
                <w:sz w:val="24"/>
                <w:szCs w:val="24"/>
              </w:rPr>
              <w:t>c</w:t>
            </w:r>
            <w:r w:rsidRPr="006F3B00">
              <w:rPr>
                <w:rFonts w:ascii="Times New Roman" w:hAnsi="Times New Roman" w:cs="Times New Roman"/>
                <w:sz w:val="24"/>
                <w:szCs w:val="24"/>
              </w:rPr>
              <w:t>o-pathological correlation</w:t>
            </w:r>
          </w:p>
        </w:tc>
      </w:tr>
      <w:tr w:rsidR="001F2DFF" w:rsidRPr="006F3B00" w14:paraId="34FC4676" w14:textId="77777777" w:rsidTr="001F2DFF">
        <w:tc>
          <w:tcPr>
            <w:tcW w:w="1260" w:type="dxa"/>
          </w:tcPr>
          <w:p w14:paraId="3808F25F"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9.6</w:t>
            </w:r>
          </w:p>
        </w:tc>
        <w:tc>
          <w:tcPr>
            <w:tcW w:w="2875" w:type="dxa"/>
          </w:tcPr>
          <w:p w14:paraId="4A46F76F" w14:textId="77777777" w:rsidR="001F2DFF" w:rsidRPr="00613779" w:rsidRDefault="001F2DFF" w:rsidP="001F2DFF">
            <w:pPr>
              <w:rPr>
                <w:rFonts w:ascii="Times New Roman" w:hAnsi="Times New Roman" w:cs="Times New Roman"/>
                <w:b/>
                <w:sz w:val="24"/>
                <w:szCs w:val="24"/>
              </w:rPr>
            </w:pPr>
            <w:r w:rsidRPr="00613779">
              <w:rPr>
                <w:rFonts w:ascii="Times New Roman" w:hAnsi="Times New Roman" w:cs="Times New Roman"/>
                <w:b/>
                <w:sz w:val="24"/>
                <w:szCs w:val="24"/>
              </w:rPr>
              <w:t>Reflection</w:t>
            </w:r>
          </w:p>
          <w:p w14:paraId="1F8F3DC2"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18. Trainee shows evidence of improvement following reflection</w:t>
            </w:r>
          </w:p>
        </w:tc>
        <w:tc>
          <w:tcPr>
            <w:tcW w:w="1800" w:type="dxa"/>
          </w:tcPr>
          <w:p w14:paraId="55410C8C"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2</w:t>
            </w:r>
          </w:p>
        </w:tc>
        <w:tc>
          <w:tcPr>
            <w:tcW w:w="2710" w:type="dxa"/>
          </w:tcPr>
          <w:p w14:paraId="3B8B453B" w14:textId="77777777" w:rsidR="001F2DFF" w:rsidRPr="00613779" w:rsidRDefault="001F2DFF" w:rsidP="001F2DFF">
            <w:pPr>
              <w:rPr>
                <w:rFonts w:ascii="Times New Roman" w:hAnsi="Times New Roman" w:cs="Times New Roman"/>
                <w:b/>
                <w:sz w:val="24"/>
                <w:szCs w:val="24"/>
              </w:rPr>
            </w:pPr>
            <w:r w:rsidRPr="00613779">
              <w:rPr>
                <w:rFonts w:ascii="Times New Roman" w:hAnsi="Times New Roman" w:cs="Times New Roman"/>
                <w:b/>
                <w:sz w:val="24"/>
                <w:szCs w:val="24"/>
              </w:rPr>
              <w:t>Reflection</w:t>
            </w:r>
          </w:p>
          <w:p w14:paraId="68EBB143"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16. Trainee is aware of their own limitations</w:t>
            </w:r>
          </w:p>
        </w:tc>
      </w:tr>
      <w:tr w:rsidR="001F2DFF" w:rsidRPr="006F3B00" w14:paraId="40313E57" w14:textId="77777777" w:rsidTr="001F2DFF">
        <w:tc>
          <w:tcPr>
            <w:tcW w:w="1260" w:type="dxa"/>
          </w:tcPr>
          <w:p w14:paraId="4D27DEA7"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9.5</w:t>
            </w:r>
          </w:p>
        </w:tc>
        <w:tc>
          <w:tcPr>
            <w:tcW w:w="2875" w:type="dxa"/>
          </w:tcPr>
          <w:p w14:paraId="0D9598F1" w14:textId="77777777" w:rsidR="001F2DFF" w:rsidRPr="00613779" w:rsidRDefault="001F2DFF" w:rsidP="001F2DFF">
            <w:pPr>
              <w:rPr>
                <w:rFonts w:ascii="Times New Roman" w:hAnsi="Times New Roman" w:cs="Times New Roman"/>
                <w:b/>
                <w:sz w:val="24"/>
                <w:szCs w:val="24"/>
              </w:rPr>
            </w:pPr>
            <w:r w:rsidRPr="00613779">
              <w:rPr>
                <w:rFonts w:ascii="Times New Roman" w:hAnsi="Times New Roman" w:cs="Times New Roman"/>
                <w:b/>
                <w:sz w:val="24"/>
                <w:szCs w:val="24"/>
              </w:rPr>
              <w:t>The patient’s report</w:t>
            </w:r>
          </w:p>
          <w:p w14:paraId="3F191B16"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26. Report ensures the clinician/surgeon receives the appropriate message</w:t>
            </w:r>
          </w:p>
        </w:tc>
        <w:tc>
          <w:tcPr>
            <w:tcW w:w="1800" w:type="dxa"/>
          </w:tcPr>
          <w:p w14:paraId="4130E40C"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3</w:t>
            </w:r>
          </w:p>
        </w:tc>
        <w:tc>
          <w:tcPr>
            <w:tcW w:w="2710" w:type="dxa"/>
          </w:tcPr>
          <w:p w14:paraId="0BA97E06" w14:textId="77777777" w:rsidR="001F2DFF" w:rsidRPr="00613779" w:rsidRDefault="001F2DFF" w:rsidP="001F2DFF">
            <w:pPr>
              <w:rPr>
                <w:rFonts w:ascii="Times New Roman" w:hAnsi="Times New Roman" w:cs="Times New Roman"/>
                <w:b/>
                <w:sz w:val="24"/>
                <w:szCs w:val="24"/>
              </w:rPr>
            </w:pPr>
            <w:r w:rsidRPr="00613779">
              <w:rPr>
                <w:rFonts w:ascii="Times New Roman" w:hAnsi="Times New Roman" w:cs="Times New Roman"/>
                <w:b/>
                <w:sz w:val="24"/>
                <w:szCs w:val="24"/>
              </w:rPr>
              <w:t>Professionalism</w:t>
            </w:r>
          </w:p>
          <w:p w14:paraId="0054619C" w14:textId="77777777" w:rsidR="001F2DFF" w:rsidRPr="006F3B00" w:rsidRDefault="001F2DFF" w:rsidP="001F2DFF">
            <w:pPr>
              <w:rPr>
                <w:rFonts w:ascii="Times New Roman" w:hAnsi="Times New Roman" w:cs="Times New Roman"/>
                <w:sz w:val="24"/>
                <w:szCs w:val="24"/>
              </w:rPr>
            </w:pPr>
            <w:r w:rsidRPr="006F3B00">
              <w:rPr>
                <w:rFonts w:ascii="Times New Roman" w:hAnsi="Times New Roman" w:cs="Times New Roman"/>
                <w:sz w:val="24"/>
                <w:szCs w:val="24"/>
              </w:rPr>
              <w:t>8. Trainee is motivated and has a good attitude</w:t>
            </w:r>
          </w:p>
        </w:tc>
      </w:tr>
    </w:tbl>
    <w:p w14:paraId="688E5C92" w14:textId="6351A004" w:rsidR="00E1668B" w:rsidRPr="006F3B00" w:rsidRDefault="001A1B84" w:rsidP="00E1668B">
      <w:pPr>
        <w:spacing w:line="240" w:lineRule="auto"/>
        <w:rPr>
          <w:rFonts w:ascii="Times New Roman" w:hAnsi="Times New Roman" w:cs="Times New Roman"/>
          <w:b/>
          <w:sz w:val="24"/>
          <w:szCs w:val="24"/>
        </w:rPr>
      </w:pPr>
      <w:r>
        <w:rPr>
          <w:rFonts w:ascii="Times New Roman" w:hAnsi="Times New Roman" w:cs="Times New Roman"/>
          <w:b/>
          <w:sz w:val="24"/>
          <w:szCs w:val="24"/>
        </w:rPr>
        <w:t>Table 5.12</w:t>
      </w:r>
      <w:r w:rsidR="00E1668B">
        <w:rPr>
          <w:rFonts w:ascii="Times New Roman" w:hAnsi="Times New Roman" w:cs="Times New Roman"/>
          <w:b/>
          <w:sz w:val="24"/>
          <w:szCs w:val="24"/>
        </w:rPr>
        <w:t>.</w:t>
      </w:r>
      <w:r w:rsidR="00E1668B" w:rsidRPr="006F3B00">
        <w:rPr>
          <w:rFonts w:ascii="Times New Roman" w:hAnsi="Times New Roman" w:cs="Times New Roman"/>
          <w:b/>
          <w:sz w:val="24"/>
          <w:szCs w:val="24"/>
        </w:rPr>
        <w:t xml:space="preserve"> Items which had the highest mean score or were ranked as being most important</w:t>
      </w:r>
      <w:r w:rsidR="00E1668B">
        <w:rPr>
          <w:rFonts w:ascii="Times New Roman" w:hAnsi="Times New Roman" w:cs="Times New Roman"/>
          <w:b/>
          <w:sz w:val="24"/>
          <w:szCs w:val="24"/>
        </w:rPr>
        <w:t xml:space="preserve"> in round 1. </w:t>
      </w:r>
      <w:r w:rsidR="00E1668B">
        <w:rPr>
          <w:rFonts w:ascii="Times New Roman" w:hAnsi="Times New Roman" w:cs="Times New Roman"/>
          <w:sz w:val="24"/>
          <w:szCs w:val="24"/>
        </w:rPr>
        <w:t>Note, some items have been shortened for reasons of clarity.</w:t>
      </w:r>
    </w:p>
    <w:p w14:paraId="600D3B81" w14:textId="77777777" w:rsidR="002F36A9" w:rsidRDefault="002F36A9" w:rsidP="005E7689">
      <w:pPr>
        <w:spacing w:line="480" w:lineRule="auto"/>
        <w:rPr>
          <w:rFonts w:ascii="Times New Roman" w:hAnsi="Times New Roman" w:cs="Times New Roman"/>
          <w:sz w:val="24"/>
          <w:szCs w:val="24"/>
        </w:rPr>
      </w:pPr>
    </w:p>
    <w:p w14:paraId="486EB86D" w14:textId="263F28CE" w:rsidR="00E1668B" w:rsidRPr="005E7689" w:rsidRDefault="001A1B84" w:rsidP="005E768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5.13</w:t>
      </w:r>
      <w:r w:rsidR="00863DF5" w:rsidRPr="006F3B00">
        <w:rPr>
          <w:rFonts w:ascii="Times New Roman" w:hAnsi="Times New Roman" w:cs="Times New Roman"/>
          <w:sz w:val="24"/>
          <w:szCs w:val="24"/>
        </w:rPr>
        <w:t xml:space="preserve"> shows those items which had the lowest mean score and also the items which were ranked as being least important when determining dia</w:t>
      </w:r>
      <w:r w:rsidR="000A5350">
        <w:rPr>
          <w:rFonts w:ascii="Times New Roman" w:hAnsi="Times New Roman" w:cs="Times New Roman"/>
          <w:sz w:val="24"/>
          <w:szCs w:val="24"/>
        </w:rPr>
        <w:t>gnostic competence after round 1</w:t>
      </w:r>
      <w:r w:rsidR="00863DF5" w:rsidRPr="006F3B00">
        <w:rPr>
          <w:rFonts w:ascii="Times New Roman" w:hAnsi="Times New Roman" w:cs="Times New Roman"/>
          <w:sz w:val="24"/>
          <w:szCs w:val="24"/>
        </w:rPr>
        <w:t>.</w:t>
      </w:r>
      <w:r w:rsidR="00DB4F9F">
        <w:rPr>
          <w:rFonts w:ascii="Times New Roman" w:hAnsi="Times New Roman" w:cs="Times New Roman"/>
          <w:sz w:val="24"/>
          <w:szCs w:val="24"/>
        </w:rPr>
        <w:t xml:space="preserve"> Item 23</w:t>
      </w:r>
      <w:r w:rsidR="004A582B">
        <w:rPr>
          <w:rFonts w:ascii="Times New Roman" w:hAnsi="Times New Roman" w:cs="Times New Roman"/>
          <w:sz w:val="24"/>
          <w:szCs w:val="24"/>
        </w:rPr>
        <w:t xml:space="preserve"> </w:t>
      </w:r>
      <w:r w:rsidR="00756CB1">
        <w:rPr>
          <w:rFonts w:ascii="Times New Roman" w:hAnsi="Times New Roman" w:cs="Times New Roman"/>
          <w:sz w:val="24"/>
          <w:szCs w:val="24"/>
        </w:rPr>
        <w:t>(</w:t>
      </w:r>
      <w:r w:rsidR="00EB5B0E" w:rsidRPr="00EB5B0E">
        <w:rPr>
          <w:rFonts w:ascii="Times New Roman" w:hAnsi="Times New Roman" w:cs="Times New Roman"/>
          <w:sz w:val="24"/>
          <w:szCs w:val="24"/>
        </w:rPr>
        <w:t>Your opinion of a trainee’s diagnostic competence is related to an overall impression</w:t>
      </w:r>
      <w:r w:rsidR="00EB5B0E">
        <w:rPr>
          <w:rFonts w:ascii="Times New Roman" w:hAnsi="Times New Roman" w:cs="Times New Roman"/>
          <w:sz w:val="24"/>
          <w:szCs w:val="24"/>
        </w:rPr>
        <w:t xml:space="preserve">) </w:t>
      </w:r>
      <w:r w:rsidR="004A582B">
        <w:rPr>
          <w:rFonts w:ascii="Times New Roman" w:hAnsi="Times New Roman" w:cs="Times New Roman"/>
          <w:sz w:val="24"/>
          <w:szCs w:val="24"/>
        </w:rPr>
        <w:t>under the heading “Trust”</w:t>
      </w:r>
      <w:r w:rsidR="00DB4F9F">
        <w:rPr>
          <w:rFonts w:ascii="Times New Roman" w:hAnsi="Times New Roman" w:cs="Times New Roman"/>
          <w:sz w:val="24"/>
          <w:szCs w:val="24"/>
        </w:rPr>
        <w:t xml:space="preserve"> received the lowest mean score and lowest rank.</w:t>
      </w:r>
      <w:r w:rsidR="006673EC">
        <w:rPr>
          <w:rFonts w:ascii="Times New Roman" w:hAnsi="Times New Roman" w:cs="Times New Roman"/>
          <w:sz w:val="24"/>
          <w:szCs w:val="24"/>
        </w:rPr>
        <w:t xml:space="preserve"> Item 2</w:t>
      </w:r>
      <w:r w:rsidR="00EB5B0E">
        <w:rPr>
          <w:rFonts w:ascii="Times New Roman" w:hAnsi="Times New Roman" w:cs="Times New Roman"/>
          <w:sz w:val="24"/>
          <w:szCs w:val="24"/>
        </w:rPr>
        <w:t xml:space="preserve"> (</w:t>
      </w:r>
      <w:r w:rsidR="00EB5B0E" w:rsidRPr="00EB5B0E">
        <w:rPr>
          <w:rFonts w:ascii="Times New Roman" w:hAnsi="Times New Roman" w:cs="Times New Roman"/>
          <w:sz w:val="24"/>
          <w:szCs w:val="24"/>
        </w:rPr>
        <w:t>RCPath cu</w:t>
      </w:r>
      <w:r w:rsidR="00756CB1">
        <w:rPr>
          <w:rFonts w:ascii="Times New Roman" w:hAnsi="Times New Roman" w:cs="Times New Roman"/>
          <w:sz w:val="24"/>
          <w:szCs w:val="24"/>
        </w:rPr>
        <w:t>rricula and training guidelines</w:t>
      </w:r>
      <w:r w:rsidR="00EB5B0E">
        <w:rPr>
          <w:rFonts w:ascii="Times New Roman" w:hAnsi="Times New Roman" w:cs="Times New Roman"/>
          <w:sz w:val="24"/>
          <w:szCs w:val="24"/>
        </w:rPr>
        <w:t>)</w:t>
      </w:r>
      <w:r w:rsidR="004A582B">
        <w:rPr>
          <w:rFonts w:ascii="Times New Roman" w:hAnsi="Times New Roman" w:cs="Times New Roman"/>
          <w:sz w:val="24"/>
          <w:szCs w:val="24"/>
        </w:rPr>
        <w:t>, under the heading “</w:t>
      </w:r>
      <w:r w:rsidR="00EB5B0E">
        <w:rPr>
          <w:rFonts w:ascii="Times New Roman" w:hAnsi="Times New Roman" w:cs="Times New Roman"/>
          <w:sz w:val="24"/>
          <w:szCs w:val="24"/>
        </w:rPr>
        <w:t>S</w:t>
      </w:r>
      <w:r w:rsidR="004A582B">
        <w:rPr>
          <w:rFonts w:ascii="Times New Roman" w:hAnsi="Times New Roman" w:cs="Times New Roman"/>
          <w:sz w:val="24"/>
          <w:szCs w:val="24"/>
        </w:rPr>
        <w:t>tage of training”</w:t>
      </w:r>
      <w:r w:rsidR="006673EC">
        <w:rPr>
          <w:rFonts w:ascii="Times New Roman" w:hAnsi="Times New Roman" w:cs="Times New Roman"/>
          <w:sz w:val="24"/>
          <w:szCs w:val="24"/>
        </w:rPr>
        <w:t xml:space="preserve"> also appeared on both sides of the table (e.g. low mean</w:t>
      </w:r>
      <w:r w:rsidR="000A5350">
        <w:rPr>
          <w:rFonts w:ascii="Times New Roman" w:hAnsi="Times New Roman" w:cs="Times New Roman"/>
          <w:sz w:val="24"/>
          <w:szCs w:val="24"/>
        </w:rPr>
        <w:t xml:space="preserve"> score and rank). However, item 9</w:t>
      </w:r>
      <w:r w:rsidR="004A582B">
        <w:rPr>
          <w:rFonts w:ascii="Times New Roman" w:hAnsi="Times New Roman" w:cs="Times New Roman"/>
          <w:sz w:val="24"/>
          <w:szCs w:val="24"/>
        </w:rPr>
        <w:t xml:space="preserve"> </w:t>
      </w:r>
      <w:r w:rsidR="00EB5B0E">
        <w:rPr>
          <w:rFonts w:ascii="Times New Roman" w:hAnsi="Times New Roman" w:cs="Times New Roman"/>
          <w:sz w:val="24"/>
          <w:szCs w:val="24"/>
        </w:rPr>
        <w:t>(</w:t>
      </w:r>
      <w:r w:rsidR="00EB5B0E" w:rsidRPr="00EB5B0E">
        <w:rPr>
          <w:rFonts w:ascii="Times New Roman" w:hAnsi="Times New Roman" w:cs="Times New Roman"/>
          <w:sz w:val="24"/>
          <w:szCs w:val="24"/>
        </w:rPr>
        <w:t>The diagnosis is correct</w:t>
      </w:r>
      <w:r w:rsidR="00EB5B0E">
        <w:rPr>
          <w:rFonts w:ascii="Times New Roman" w:hAnsi="Times New Roman" w:cs="Times New Roman"/>
          <w:sz w:val="24"/>
          <w:szCs w:val="24"/>
        </w:rPr>
        <w:t xml:space="preserve">) </w:t>
      </w:r>
      <w:r w:rsidR="004A582B">
        <w:rPr>
          <w:rFonts w:ascii="Times New Roman" w:hAnsi="Times New Roman" w:cs="Times New Roman"/>
          <w:sz w:val="24"/>
          <w:szCs w:val="24"/>
        </w:rPr>
        <w:t>under “</w:t>
      </w:r>
      <w:r w:rsidR="00EB5B0E">
        <w:rPr>
          <w:rFonts w:ascii="Times New Roman" w:hAnsi="Times New Roman" w:cs="Times New Roman"/>
          <w:sz w:val="24"/>
          <w:szCs w:val="24"/>
        </w:rPr>
        <w:t>F</w:t>
      </w:r>
      <w:r w:rsidR="004A582B">
        <w:rPr>
          <w:rFonts w:ascii="Times New Roman" w:hAnsi="Times New Roman" w:cs="Times New Roman"/>
          <w:sz w:val="24"/>
          <w:szCs w:val="24"/>
        </w:rPr>
        <w:t>orming a diagnosis”</w:t>
      </w:r>
      <w:r w:rsidR="000A5350">
        <w:rPr>
          <w:rFonts w:ascii="Times New Roman" w:hAnsi="Times New Roman" w:cs="Times New Roman"/>
          <w:sz w:val="24"/>
          <w:szCs w:val="24"/>
        </w:rPr>
        <w:t xml:space="preserve"> (low mean score) and item 4</w:t>
      </w:r>
      <w:r w:rsidR="004A582B">
        <w:rPr>
          <w:rFonts w:ascii="Times New Roman" w:hAnsi="Times New Roman" w:cs="Times New Roman"/>
          <w:sz w:val="24"/>
          <w:szCs w:val="24"/>
        </w:rPr>
        <w:t xml:space="preserve"> </w:t>
      </w:r>
      <w:r w:rsidR="00EB5B0E">
        <w:rPr>
          <w:rFonts w:ascii="Times New Roman" w:hAnsi="Times New Roman" w:cs="Times New Roman"/>
          <w:sz w:val="24"/>
          <w:szCs w:val="24"/>
        </w:rPr>
        <w:t>(</w:t>
      </w:r>
      <w:r w:rsidR="00EB5B0E" w:rsidRPr="00EB5B0E">
        <w:rPr>
          <w:rFonts w:ascii="Times New Roman" w:hAnsi="Times New Roman" w:cs="Times New Roman"/>
          <w:sz w:val="24"/>
          <w:szCs w:val="24"/>
        </w:rPr>
        <w:t xml:space="preserve">Individual </w:t>
      </w:r>
      <w:r w:rsidR="0073511C">
        <w:rPr>
          <w:rFonts w:ascii="Times New Roman" w:hAnsi="Times New Roman" w:cs="Times New Roman"/>
          <w:sz w:val="24"/>
          <w:szCs w:val="24"/>
        </w:rPr>
        <w:t>cases in an examination setting</w:t>
      </w:r>
      <w:r w:rsidR="00EB5B0E">
        <w:rPr>
          <w:rFonts w:ascii="Times New Roman" w:hAnsi="Times New Roman" w:cs="Times New Roman"/>
          <w:sz w:val="24"/>
          <w:szCs w:val="24"/>
        </w:rPr>
        <w:t xml:space="preserve">) </w:t>
      </w:r>
      <w:r w:rsidR="004A582B">
        <w:rPr>
          <w:rFonts w:ascii="Times New Roman" w:hAnsi="Times New Roman" w:cs="Times New Roman"/>
          <w:sz w:val="24"/>
          <w:szCs w:val="24"/>
        </w:rPr>
        <w:t>under “</w:t>
      </w:r>
      <w:r w:rsidR="00EB5B0E">
        <w:rPr>
          <w:rFonts w:ascii="Times New Roman" w:hAnsi="Times New Roman" w:cs="Times New Roman"/>
          <w:sz w:val="24"/>
          <w:szCs w:val="24"/>
        </w:rPr>
        <w:t>T</w:t>
      </w:r>
      <w:r w:rsidR="004A582B">
        <w:rPr>
          <w:rFonts w:ascii="Times New Roman" w:hAnsi="Times New Roman" w:cs="Times New Roman"/>
          <w:sz w:val="24"/>
          <w:szCs w:val="24"/>
        </w:rPr>
        <w:t>iming”</w:t>
      </w:r>
      <w:r w:rsidR="000A5350">
        <w:rPr>
          <w:rFonts w:ascii="Times New Roman" w:hAnsi="Times New Roman" w:cs="Times New Roman"/>
          <w:sz w:val="24"/>
          <w:szCs w:val="24"/>
        </w:rPr>
        <w:t xml:space="preserve"> (low rank) did</w:t>
      </w:r>
      <w:r w:rsidR="00EB5B0E">
        <w:rPr>
          <w:rFonts w:ascii="Times New Roman" w:hAnsi="Times New Roman" w:cs="Times New Roman"/>
          <w:sz w:val="24"/>
          <w:szCs w:val="24"/>
        </w:rPr>
        <w:t xml:space="preserve"> not </w:t>
      </w:r>
      <w:r w:rsidR="001B18AD">
        <w:rPr>
          <w:rFonts w:ascii="Times New Roman" w:hAnsi="Times New Roman" w:cs="Times New Roman"/>
          <w:sz w:val="24"/>
          <w:szCs w:val="24"/>
        </w:rPr>
        <w:t>appear on both sides of the table.</w:t>
      </w:r>
      <w:r w:rsidR="00D35E79">
        <w:rPr>
          <w:rFonts w:ascii="Times New Roman" w:hAnsi="Times New Roman" w:cs="Times New Roman"/>
          <w:sz w:val="24"/>
          <w:szCs w:val="24"/>
        </w:rPr>
        <w:t xml:space="preserve"> </w:t>
      </w: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3190"/>
        <w:gridCol w:w="1980"/>
        <w:gridCol w:w="2520"/>
      </w:tblGrid>
      <w:tr w:rsidR="00863DF5" w:rsidRPr="006F3B00" w14:paraId="79CA1C3F" w14:textId="77777777" w:rsidTr="001F2DFF">
        <w:tc>
          <w:tcPr>
            <w:tcW w:w="950" w:type="dxa"/>
            <w:shd w:val="clear" w:color="auto" w:fill="F2F2F2" w:themeFill="background1" w:themeFillShade="F2"/>
          </w:tcPr>
          <w:p w14:paraId="5BD2162C"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Lowest mean score</w:t>
            </w:r>
          </w:p>
        </w:tc>
        <w:tc>
          <w:tcPr>
            <w:tcW w:w="3190" w:type="dxa"/>
            <w:shd w:val="clear" w:color="auto" w:fill="F2F2F2" w:themeFill="background1" w:themeFillShade="F2"/>
          </w:tcPr>
          <w:p w14:paraId="25A981A9"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Item</w:t>
            </w:r>
          </w:p>
        </w:tc>
        <w:tc>
          <w:tcPr>
            <w:tcW w:w="1980" w:type="dxa"/>
            <w:shd w:val="clear" w:color="auto" w:fill="D5DCE4" w:themeFill="text2" w:themeFillTint="33"/>
          </w:tcPr>
          <w:p w14:paraId="72DFF002" w14:textId="77777777" w:rsidR="00863DF5" w:rsidRPr="006F3B00" w:rsidRDefault="00863DF5" w:rsidP="00863DF5">
            <w:pPr>
              <w:rPr>
                <w:rFonts w:ascii="Times New Roman" w:hAnsi="Times New Roman" w:cs="Times New Roman"/>
                <w:b/>
                <w:sz w:val="24"/>
                <w:szCs w:val="24"/>
              </w:rPr>
            </w:pPr>
            <w:r w:rsidRPr="006F3B00">
              <w:rPr>
                <w:rFonts w:ascii="Times New Roman" w:hAnsi="Times New Roman" w:cs="Times New Roman"/>
                <w:b/>
                <w:sz w:val="24"/>
                <w:szCs w:val="24"/>
              </w:rPr>
              <w:t>Lowest rank (rank 1 = least important)</w:t>
            </w:r>
          </w:p>
        </w:tc>
        <w:tc>
          <w:tcPr>
            <w:tcW w:w="2520" w:type="dxa"/>
            <w:shd w:val="clear" w:color="auto" w:fill="D5DCE4" w:themeFill="text2" w:themeFillTint="33"/>
          </w:tcPr>
          <w:p w14:paraId="14075EBC"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Item</w:t>
            </w:r>
          </w:p>
        </w:tc>
      </w:tr>
      <w:tr w:rsidR="00863DF5" w:rsidRPr="006F3B00" w14:paraId="0AA3D4A7" w14:textId="77777777" w:rsidTr="001F2DFF">
        <w:tc>
          <w:tcPr>
            <w:tcW w:w="950" w:type="dxa"/>
          </w:tcPr>
          <w:p w14:paraId="59AAA7CD"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5.8</w:t>
            </w:r>
          </w:p>
        </w:tc>
        <w:tc>
          <w:tcPr>
            <w:tcW w:w="3190" w:type="dxa"/>
          </w:tcPr>
          <w:p w14:paraId="5A4836F7" w14:textId="77777777" w:rsidR="00613779" w:rsidRDefault="00613779" w:rsidP="00863DF5">
            <w:pPr>
              <w:rPr>
                <w:rFonts w:ascii="Times New Roman" w:hAnsi="Times New Roman" w:cs="Times New Roman"/>
                <w:b/>
                <w:sz w:val="24"/>
                <w:szCs w:val="24"/>
              </w:rPr>
            </w:pPr>
            <w:r>
              <w:rPr>
                <w:rFonts w:ascii="Times New Roman" w:hAnsi="Times New Roman" w:cs="Times New Roman"/>
                <w:b/>
                <w:sz w:val="24"/>
                <w:szCs w:val="24"/>
              </w:rPr>
              <w:t>Trust</w:t>
            </w:r>
          </w:p>
          <w:p w14:paraId="02F45AB0" w14:textId="18143529" w:rsidR="00863DF5" w:rsidRPr="00613779" w:rsidRDefault="00613779" w:rsidP="00863DF5">
            <w:pPr>
              <w:rPr>
                <w:rFonts w:ascii="Times New Roman" w:hAnsi="Times New Roman" w:cs="Times New Roman"/>
                <w:b/>
                <w:sz w:val="24"/>
                <w:szCs w:val="24"/>
              </w:rPr>
            </w:pPr>
            <w:r>
              <w:rPr>
                <w:rFonts w:ascii="Times New Roman" w:hAnsi="Times New Roman" w:cs="Times New Roman"/>
                <w:sz w:val="24"/>
                <w:szCs w:val="24"/>
              </w:rPr>
              <w:t>2</w:t>
            </w:r>
            <w:r w:rsidR="00863DF5" w:rsidRPr="006F3B00">
              <w:rPr>
                <w:rFonts w:ascii="Times New Roman" w:hAnsi="Times New Roman" w:cs="Times New Roman"/>
                <w:sz w:val="24"/>
                <w:szCs w:val="24"/>
              </w:rPr>
              <w:t>3. Your opinion of a trainee’s diagnostic competence is related to an overall impression</w:t>
            </w:r>
          </w:p>
        </w:tc>
        <w:tc>
          <w:tcPr>
            <w:tcW w:w="1980" w:type="dxa"/>
          </w:tcPr>
          <w:p w14:paraId="7347C509"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1</w:t>
            </w:r>
          </w:p>
        </w:tc>
        <w:tc>
          <w:tcPr>
            <w:tcW w:w="2520" w:type="dxa"/>
          </w:tcPr>
          <w:p w14:paraId="7DF96A0E" w14:textId="77777777" w:rsidR="00D9063F" w:rsidRPr="002164C0" w:rsidRDefault="00D9063F" w:rsidP="00863DF5">
            <w:pPr>
              <w:rPr>
                <w:rFonts w:ascii="Times New Roman" w:hAnsi="Times New Roman" w:cs="Times New Roman"/>
                <w:b/>
                <w:sz w:val="24"/>
                <w:szCs w:val="24"/>
              </w:rPr>
            </w:pPr>
            <w:r w:rsidRPr="002164C0">
              <w:rPr>
                <w:rFonts w:ascii="Times New Roman" w:hAnsi="Times New Roman" w:cs="Times New Roman"/>
                <w:b/>
                <w:sz w:val="24"/>
                <w:szCs w:val="24"/>
              </w:rPr>
              <w:t>Trust</w:t>
            </w:r>
          </w:p>
          <w:p w14:paraId="235EE5D5" w14:textId="23D0026A"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23. Your opinion of a trainee’s diagnostic competence is related to an overall impression</w:t>
            </w:r>
          </w:p>
        </w:tc>
      </w:tr>
      <w:tr w:rsidR="00863DF5" w:rsidRPr="006F3B00" w14:paraId="14AE2E64" w14:textId="77777777" w:rsidTr="001F2DFF">
        <w:tc>
          <w:tcPr>
            <w:tcW w:w="950" w:type="dxa"/>
          </w:tcPr>
          <w:p w14:paraId="4A21CDF4"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7.1</w:t>
            </w:r>
          </w:p>
        </w:tc>
        <w:tc>
          <w:tcPr>
            <w:tcW w:w="3190" w:type="dxa"/>
          </w:tcPr>
          <w:p w14:paraId="6F350C9A" w14:textId="77777777" w:rsidR="00D9063F" w:rsidRPr="002164C0" w:rsidRDefault="00D9063F" w:rsidP="00863DF5">
            <w:pPr>
              <w:rPr>
                <w:rFonts w:ascii="Times New Roman" w:hAnsi="Times New Roman" w:cs="Times New Roman"/>
                <w:b/>
                <w:sz w:val="24"/>
                <w:szCs w:val="24"/>
              </w:rPr>
            </w:pPr>
            <w:r w:rsidRPr="002164C0">
              <w:rPr>
                <w:rFonts w:ascii="Times New Roman" w:hAnsi="Times New Roman" w:cs="Times New Roman"/>
                <w:b/>
                <w:sz w:val="24"/>
                <w:szCs w:val="24"/>
              </w:rPr>
              <w:t>Stage of Training</w:t>
            </w:r>
          </w:p>
          <w:p w14:paraId="6E586FDA" w14:textId="7D2F16E1"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2. RCPath cu</w:t>
            </w:r>
            <w:r w:rsidR="00613779">
              <w:rPr>
                <w:rFonts w:ascii="Times New Roman" w:hAnsi="Times New Roman" w:cs="Times New Roman"/>
                <w:sz w:val="24"/>
                <w:szCs w:val="24"/>
              </w:rPr>
              <w:t>rricula and training guidelines</w:t>
            </w:r>
          </w:p>
        </w:tc>
        <w:tc>
          <w:tcPr>
            <w:tcW w:w="1980" w:type="dxa"/>
          </w:tcPr>
          <w:p w14:paraId="51C7F51B"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2</w:t>
            </w:r>
          </w:p>
        </w:tc>
        <w:tc>
          <w:tcPr>
            <w:tcW w:w="2520" w:type="dxa"/>
          </w:tcPr>
          <w:p w14:paraId="19EDF10F" w14:textId="77777777" w:rsidR="00D9063F" w:rsidRPr="002164C0" w:rsidRDefault="00D9063F" w:rsidP="00863DF5">
            <w:pPr>
              <w:rPr>
                <w:rFonts w:ascii="Times New Roman" w:hAnsi="Times New Roman" w:cs="Times New Roman"/>
                <w:b/>
                <w:sz w:val="24"/>
                <w:szCs w:val="24"/>
              </w:rPr>
            </w:pPr>
            <w:r w:rsidRPr="002164C0">
              <w:rPr>
                <w:rFonts w:ascii="Times New Roman" w:hAnsi="Times New Roman" w:cs="Times New Roman"/>
                <w:b/>
                <w:sz w:val="24"/>
                <w:szCs w:val="24"/>
              </w:rPr>
              <w:t>Timing</w:t>
            </w:r>
          </w:p>
          <w:p w14:paraId="7F12F0D6" w14:textId="209547BD"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 xml:space="preserve">4. Individual cases in an examination setting </w:t>
            </w:r>
          </w:p>
        </w:tc>
      </w:tr>
      <w:tr w:rsidR="00863DF5" w:rsidRPr="006F3B00" w14:paraId="7C6356C8" w14:textId="77777777" w:rsidTr="001F2DFF">
        <w:tc>
          <w:tcPr>
            <w:tcW w:w="950" w:type="dxa"/>
          </w:tcPr>
          <w:p w14:paraId="7936747D"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7.1</w:t>
            </w:r>
          </w:p>
        </w:tc>
        <w:tc>
          <w:tcPr>
            <w:tcW w:w="3190" w:type="dxa"/>
          </w:tcPr>
          <w:p w14:paraId="35273F56" w14:textId="77777777" w:rsidR="00BA7E91" w:rsidRPr="002164C0" w:rsidRDefault="00BA7E91" w:rsidP="00863DF5">
            <w:pPr>
              <w:rPr>
                <w:rFonts w:ascii="Times New Roman" w:hAnsi="Times New Roman" w:cs="Times New Roman"/>
                <w:b/>
                <w:sz w:val="24"/>
                <w:szCs w:val="24"/>
              </w:rPr>
            </w:pPr>
            <w:r w:rsidRPr="002164C0">
              <w:rPr>
                <w:rFonts w:ascii="Times New Roman" w:hAnsi="Times New Roman" w:cs="Times New Roman"/>
                <w:b/>
                <w:sz w:val="24"/>
                <w:szCs w:val="24"/>
              </w:rPr>
              <w:t>Forming a diagnosis</w:t>
            </w:r>
          </w:p>
          <w:p w14:paraId="134EA457" w14:textId="45ECA57C" w:rsidR="00863DF5" w:rsidRPr="006F3B00" w:rsidRDefault="00613779" w:rsidP="00863DF5">
            <w:pPr>
              <w:rPr>
                <w:rFonts w:ascii="Times New Roman" w:hAnsi="Times New Roman" w:cs="Times New Roman"/>
                <w:sz w:val="24"/>
                <w:szCs w:val="24"/>
              </w:rPr>
            </w:pPr>
            <w:r>
              <w:rPr>
                <w:rFonts w:ascii="Times New Roman" w:hAnsi="Times New Roman" w:cs="Times New Roman"/>
                <w:sz w:val="24"/>
                <w:szCs w:val="24"/>
              </w:rPr>
              <w:t>9. The diagnosis is correct</w:t>
            </w:r>
          </w:p>
        </w:tc>
        <w:tc>
          <w:tcPr>
            <w:tcW w:w="1980" w:type="dxa"/>
          </w:tcPr>
          <w:p w14:paraId="4B03501B"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3</w:t>
            </w:r>
          </w:p>
        </w:tc>
        <w:tc>
          <w:tcPr>
            <w:tcW w:w="2520" w:type="dxa"/>
          </w:tcPr>
          <w:p w14:paraId="7A12BEA0" w14:textId="565F9BE4" w:rsidR="00BA7E91" w:rsidRPr="002164C0" w:rsidRDefault="00BA7E91" w:rsidP="00863DF5">
            <w:pPr>
              <w:rPr>
                <w:rFonts w:ascii="Times New Roman" w:hAnsi="Times New Roman" w:cs="Times New Roman"/>
                <w:b/>
                <w:sz w:val="24"/>
                <w:szCs w:val="24"/>
              </w:rPr>
            </w:pPr>
            <w:r w:rsidRPr="002164C0">
              <w:rPr>
                <w:rFonts w:ascii="Times New Roman" w:hAnsi="Times New Roman" w:cs="Times New Roman"/>
                <w:b/>
                <w:sz w:val="24"/>
                <w:szCs w:val="24"/>
              </w:rPr>
              <w:t>Stage of training</w:t>
            </w:r>
          </w:p>
          <w:p w14:paraId="592505FB" w14:textId="72030CE6"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2. RCPath curricula and training guidelines</w:t>
            </w:r>
          </w:p>
        </w:tc>
      </w:tr>
    </w:tbl>
    <w:p w14:paraId="40FAAA5A" w14:textId="7324AA30" w:rsidR="00E1668B" w:rsidRPr="006F3B00" w:rsidRDefault="001A1B84" w:rsidP="00E1668B">
      <w:pPr>
        <w:spacing w:line="240" w:lineRule="auto"/>
        <w:rPr>
          <w:rFonts w:ascii="Times New Roman" w:hAnsi="Times New Roman" w:cs="Times New Roman"/>
          <w:b/>
          <w:sz w:val="24"/>
          <w:szCs w:val="24"/>
        </w:rPr>
      </w:pPr>
      <w:r>
        <w:rPr>
          <w:rFonts w:ascii="Times New Roman" w:hAnsi="Times New Roman" w:cs="Times New Roman"/>
          <w:b/>
          <w:sz w:val="24"/>
          <w:szCs w:val="24"/>
        </w:rPr>
        <w:t>Table 5.13</w:t>
      </w:r>
      <w:r w:rsidR="00E1668B">
        <w:rPr>
          <w:rFonts w:ascii="Times New Roman" w:hAnsi="Times New Roman" w:cs="Times New Roman"/>
          <w:b/>
          <w:sz w:val="24"/>
          <w:szCs w:val="24"/>
        </w:rPr>
        <w:t>.</w:t>
      </w:r>
      <w:r w:rsidR="00E1668B" w:rsidRPr="006F3B00">
        <w:rPr>
          <w:rFonts w:ascii="Times New Roman" w:hAnsi="Times New Roman" w:cs="Times New Roman"/>
          <w:b/>
          <w:sz w:val="24"/>
          <w:szCs w:val="24"/>
        </w:rPr>
        <w:t xml:space="preserve"> Items which had the lowest mean score or were ranked as being least important</w:t>
      </w:r>
      <w:r w:rsidR="00E1668B">
        <w:rPr>
          <w:rFonts w:ascii="Times New Roman" w:hAnsi="Times New Roman" w:cs="Times New Roman"/>
          <w:b/>
          <w:sz w:val="24"/>
          <w:szCs w:val="24"/>
        </w:rPr>
        <w:t xml:space="preserve"> in round 1. </w:t>
      </w:r>
      <w:r w:rsidR="00E1668B">
        <w:rPr>
          <w:rFonts w:ascii="Times New Roman" w:hAnsi="Times New Roman" w:cs="Times New Roman"/>
          <w:sz w:val="24"/>
          <w:szCs w:val="24"/>
        </w:rPr>
        <w:t>Note, some items have been shortened for reasons of brevity.</w:t>
      </w:r>
    </w:p>
    <w:p w14:paraId="0A052661" w14:textId="672A95BB" w:rsidR="00863DF5" w:rsidRDefault="00863DF5" w:rsidP="00863DF5">
      <w:pPr>
        <w:spacing w:line="480" w:lineRule="auto"/>
        <w:rPr>
          <w:rFonts w:ascii="Times New Roman" w:hAnsi="Times New Roman" w:cs="Times New Roman"/>
          <w:sz w:val="24"/>
          <w:szCs w:val="24"/>
        </w:rPr>
      </w:pPr>
    </w:p>
    <w:p w14:paraId="67BF1201" w14:textId="68E69C67" w:rsidR="005E7689" w:rsidRDefault="005E7689" w:rsidP="00863DF5">
      <w:pPr>
        <w:spacing w:line="480" w:lineRule="auto"/>
        <w:rPr>
          <w:rFonts w:ascii="Times New Roman" w:hAnsi="Times New Roman" w:cs="Times New Roman"/>
          <w:sz w:val="24"/>
          <w:szCs w:val="24"/>
        </w:rPr>
      </w:pPr>
    </w:p>
    <w:p w14:paraId="720B121A" w14:textId="512F2C59" w:rsidR="005E7689" w:rsidRDefault="005E7689" w:rsidP="00863DF5">
      <w:pPr>
        <w:spacing w:line="480" w:lineRule="auto"/>
        <w:rPr>
          <w:rFonts w:ascii="Times New Roman" w:hAnsi="Times New Roman" w:cs="Times New Roman"/>
          <w:sz w:val="24"/>
          <w:szCs w:val="24"/>
        </w:rPr>
      </w:pPr>
    </w:p>
    <w:p w14:paraId="19C5432D" w14:textId="77777777" w:rsidR="005E7689" w:rsidRPr="006F3B00" w:rsidRDefault="005E7689" w:rsidP="00863DF5">
      <w:pPr>
        <w:spacing w:line="480" w:lineRule="auto"/>
        <w:rPr>
          <w:rFonts w:ascii="Times New Roman" w:hAnsi="Times New Roman" w:cs="Times New Roman"/>
          <w:sz w:val="24"/>
          <w:szCs w:val="24"/>
        </w:rPr>
      </w:pPr>
    </w:p>
    <w:p w14:paraId="029E0420" w14:textId="6D9AC982" w:rsidR="00863DF5" w:rsidRDefault="007A712D" w:rsidP="007A712D">
      <w:pPr>
        <w:pStyle w:val="Heading3"/>
        <w:rPr>
          <w:rFonts w:ascii="Times New Roman" w:hAnsi="Times New Roman" w:cs="Times New Roman"/>
          <w:color w:val="auto"/>
          <w:sz w:val="24"/>
          <w:szCs w:val="24"/>
        </w:rPr>
      </w:pPr>
      <w:bookmarkStart w:id="111" w:name="_Toc23243840"/>
      <w:r w:rsidRPr="007A712D">
        <w:rPr>
          <w:rFonts w:ascii="Times New Roman" w:hAnsi="Times New Roman" w:cs="Times New Roman"/>
          <w:color w:val="auto"/>
          <w:sz w:val="24"/>
          <w:szCs w:val="24"/>
        </w:rPr>
        <w:lastRenderedPageBreak/>
        <w:t xml:space="preserve">5.4.4 </w:t>
      </w:r>
      <w:r w:rsidR="00863DF5" w:rsidRPr="007A712D">
        <w:rPr>
          <w:rFonts w:ascii="Times New Roman" w:hAnsi="Times New Roman" w:cs="Times New Roman"/>
          <w:color w:val="auto"/>
          <w:sz w:val="24"/>
          <w:szCs w:val="24"/>
        </w:rPr>
        <w:t>Round 1 comments relating to ranking items</w:t>
      </w:r>
      <w:bookmarkEnd w:id="111"/>
    </w:p>
    <w:p w14:paraId="66316E4B" w14:textId="77777777" w:rsidR="007A712D" w:rsidRPr="007A712D" w:rsidRDefault="007A712D" w:rsidP="007A712D">
      <w:pPr>
        <w:rPr>
          <w:lang w:val="en-GB"/>
        </w:rPr>
      </w:pPr>
    </w:p>
    <w:p w14:paraId="0310EB89" w14:textId="54CFB3D7" w:rsidR="007D30DF" w:rsidRPr="00B46E57" w:rsidRDefault="00B46E57" w:rsidP="004139B4">
      <w:pPr>
        <w:spacing w:line="480" w:lineRule="auto"/>
        <w:rPr>
          <w:rFonts w:ascii="Times New Roman" w:hAnsi="Times New Roman" w:cs="Times New Roman"/>
          <w:sz w:val="24"/>
          <w:szCs w:val="24"/>
        </w:rPr>
      </w:pPr>
      <w:r w:rsidRPr="00B46E57">
        <w:rPr>
          <w:rFonts w:ascii="Times New Roman" w:hAnsi="Times New Roman" w:cs="Times New Roman"/>
        </w:rPr>
        <w:t xml:space="preserve">Where applicable, these comments have been </w:t>
      </w:r>
      <w:r w:rsidR="00C33B1B">
        <w:rPr>
          <w:rFonts w:ascii="Times New Roman" w:hAnsi="Times New Roman" w:cs="Times New Roman"/>
        </w:rPr>
        <w:t>compared to Tables</w:t>
      </w:r>
      <w:r w:rsidR="001A1B84">
        <w:rPr>
          <w:rFonts w:ascii="Times New Roman" w:hAnsi="Times New Roman" w:cs="Times New Roman"/>
        </w:rPr>
        <w:t xml:space="preserve"> 5.12</w:t>
      </w:r>
      <w:r w:rsidR="001B18AD">
        <w:rPr>
          <w:rFonts w:ascii="Times New Roman" w:hAnsi="Times New Roman" w:cs="Times New Roman"/>
        </w:rPr>
        <w:t xml:space="preserve"> </w:t>
      </w:r>
      <w:r w:rsidR="009F7866">
        <w:rPr>
          <w:rFonts w:ascii="Times New Roman" w:hAnsi="Times New Roman" w:cs="Times New Roman"/>
        </w:rPr>
        <w:t xml:space="preserve">(highest mean score or ranked items) </w:t>
      </w:r>
      <w:r w:rsidR="001A1B84">
        <w:rPr>
          <w:rFonts w:ascii="Times New Roman" w:hAnsi="Times New Roman" w:cs="Times New Roman"/>
        </w:rPr>
        <w:t>and 5.13</w:t>
      </w:r>
      <w:r w:rsidR="002164C0">
        <w:rPr>
          <w:rFonts w:ascii="Times New Roman" w:hAnsi="Times New Roman" w:cs="Times New Roman"/>
        </w:rPr>
        <w:t xml:space="preserve"> </w:t>
      </w:r>
      <w:r w:rsidR="009F7866">
        <w:rPr>
          <w:rFonts w:ascii="Times New Roman" w:hAnsi="Times New Roman" w:cs="Times New Roman"/>
        </w:rPr>
        <w:t>(low</w:t>
      </w:r>
      <w:r w:rsidR="002164C0">
        <w:rPr>
          <w:rFonts w:ascii="Times New Roman" w:hAnsi="Times New Roman" w:cs="Times New Roman"/>
        </w:rPr>
        <w:t>est mean score or ranked items)</w:t>
      </w:r>
      <w:r w:rsidR="001B18AD">
        <w:rPr>
          <w:rFonts w:ascii="Times New Roman" w:hAnsi="Times New Roman" w:cs="Times New Roman"/>
        </w:rPr>
        <w:t xml:space="preserve"> to see </w:t>
      </w:r>
      <w:r w:rsidR="00EB5B0E">
        <w:rPr>
          <w:rFonts w:ascii="Times New Roman" w:hAnsi="Times New Roman" w:cs="Times New Roman"/>
        </w:rPr>
        <w:t xml:space="preserve">their relationship to </w:t>
      </w:r>
      <w:r w:rsidR="001B18AD">
        <w:rPr>
          <w:rFonts w:ascii="Times New Roman" w:hAnsi="Times New Roman" w:cs="Times New Roman"/>
        </w:rPr>
        <w:t>the results</w:t>
      </w:r>
      <w:r w:rsidR="00F91872">
        <w:rPr>
          <w:rFonts w:ascii="Times New Roman" w:hAnsi="Times New Roman" w:cs="Times New Roman"/>
        </w:rPr>
        <w:t>.</w:t>
      </w:r>
    </w:p>
    <w:p w14:paraId="3B28AB2F" w14:textId="77777777" w:rsidR="00B46E57" w:rsidRDefault="00863DF5" w:rsidP="004139B4">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“A good trainee seems no limits on what they might learn or what interests them, they cover the curriculum almost without thinking about it and range well beyond it. Reflective learning – over valued and not applicable to all learning styles (no improvement after reflection is important). Overall impressions are too easily swayed, though as training progresses I hope my overall impression converges with the evidence base”.</w:t>
      </w:r>
    </w:p>
    <w:p w14:paraId="223BEE55" w14:textId="4B34F29B" w:rsidR="00B46E57" w:rsidRPr="00B46E57" w:rsidRDefault="00B46E57" w:rsidP="004139B4">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comment supports item </w:t>
      </w:r>
      <w:r w:rsidRPr="006F3B00">
        <w:rPr>
          <w:rFonts w:ascii="Times New Roman" w:hAnsi="Times New Roman" w:cs="Times New Roman"/>
          <w:sz w:val="24"/>
          <w:szCs w:val="24"/>
        </w:rPr>
        <w:t xml:space="preserve">16. </w:t>
      </w:r>
      <w:r>
        <w:rPr>
          <w:rFonts w:ascii="Times New Roman" w:hAnsi="Times New Roman" w:cs="Times New Roman"/>
          <w:sz w:val="24"/>
          <w:szCs w:val="24"/>
        </w:rPr>
        <w:t>“</w:t>
      </w:r>
      <w:r w:rsidRPr="006F3B00">
        <w:rPr>
          <w:rFonts w:ascii="Times New Roman" w:hAnsi="Times New Roman" w:cs="Times New Roman"/>
          <w:sz w:val="24"/>
          <w:szCs w:val="24"/>
        </w:rPr>
        <w:t>Trainee is aware of limitations</w:t>
      </w:r>
      <w:r>
        <w:rPr>
          <w:rFonts w:ascii="Times New Roman" w:hAnsi="Times New Roman" w:cs="Times New Roman"/>
          <w:sz w:val="24"/>
          <w:szCs w:val="24"/>
        </w:rPr>
        <w:t xml:space="preserve">” and item </w:t>
      </w:r>
      <w:r w:rsidRPr="006F3B00">
        <w:rPr>
          <w:rFonts w:ascii="Times New Roman" w:hAnsi="Times New Roman" w:cs="Times New Roman"/>
          <w:sz w:val="24"/>
          <w:szCs w:val="24"/>
        </w:rPr>
        <w:t xml:space="preserve">8. </w:t>
      </w:r>
      <w:r>
        <w:rPr>
          <w:rFonts w:ascii="Times New Roman" w:hAnsi="Times New Roman" w:cs="Times New Roman"/>
          <w:sz w:val="24"/>
          <w:szCs w:val="24"/>
        </w:rPr>
        <w:t>“</w:t>
      </w:r>
      <w:r w:rsidRPr="006F3B00">
        <w:rPr>
          <w:rFonts w:ascii="Times New Roman" w:hAnsi="Times New Roman" w:cs="Times New Roman"/>
          <w:sz w:val="24"/>
          <w:szCs w:val="24"/>
        </w:rPr>
        <w:t>Trainee is motivated and has a good attitude</w:t>
      </w:r>
      <w:r>
        <w:rPr>
          <w:rFonts w:ascii="Times New Roman" w:hAnsi="Times New Roman" w:cs="Times New Roman"/>
          <w:sz w:val="24"/>
          <w:szCs w:val="24"/>
        </w:rPr>
        <w:t>”</w:t>
      </w:r>
      <w:r w:rsidR="00D35E79">
        <w:rPr>
          <w:rFonts w:ascii="Times New Roman" w:hAnsi="Times New Roman" w:cs="Times New Roman"/>
          <w:sz w:val="24"/>
          <w:szCs w:val="24"/>
        </w:rPr>
        <w:t xml:space="preserve"> which are under the headings ‘Trust’ and ‘</w:t>
      </w:r>
      <w:r w:rsidR="00EB5B0E">
        <w:rPr>
          <w:rFonts w:ascii="Times New Roman" w:hAnsi="Times New Roman" w:cs="Times New Roman"/>
          <w:sz w:val="24"/>
          <w:szCs w:val="24"/>
        </w:rPr>
        <w:t>Professionalism</w:t>
      </w:r>
      <w:r w:rsidR="00D35E79">
        <w:rPr>
          <w:rFonts w:ascii="Times New Roman" w:hAnsi="Times New Roman" w:cs="Times New Roman"/>
          <w:sz w:val="24"/>
          <w:szCs w:val="24"/>
        </w:rPr>
        <w:t xml:space="preserve"> respectively. These were both</w:t>
      </w:r>
      <w:r>
        <w:rPr>
          <w:rFonts w:ascii="Times New Roman" w:hAnsi="Times New Roman" w:cs="Times New Roman"/>
          <w:sz w:val="24"/>
          <w:szCs w:val="24"/>
        </w:rPr>
        <w:t xml:space="preserve"> rated</w:t>
      </w:r>
      <w:r w:rsidR="001B18AD">
        <w:rPr>
          <w:rFonts w:ascii="Times New Roman" w:hAnsi="Times New Roman" w:cs="Times New Roman"/>
          <w:sz w:val="24"/>
          <w:szCs w:val="24"/>
        </w:rPr>
        <w:t xml:space="preserve"> and/</w:t>
      </w:r>
      <w:r w:rsidR="001A1B84">
        <w:rPr>
          <w:rFonts w:ascii="Times New Roman" w:hAnsi="Times New Roman" w:cs="Times New Roman"/>
          <w:sz w:val="24"/>
          <w:szCs w:val="24"/>
        </w:rPr>
        <w:t>or ranked highly in Table 5.12</w:t>
      </w:r>
      <w:r>
        <w:rPr>
          <w:rFonts w:ascii="Times New Roman" w:hAnsi="Times New Roman" w:cs="Times New Roman"/>
          <w:sz w:val="24"/>
          <w:szCs w:val="24"/>
        </w:rPr>
        <w:t xml:space="preserve">. However it </w:t>
      </w:r>
      <w:r w:rsidR="00D35E79">
        <w:rPr>
          <w:rFonts w:ascii="Times New Roman" w:hAnsi="Times New Roman" w:cs="Times New Roman"/>
          <w:sz w:val="24"/>
          <w:szCs w:val="24"/>
        </w:rPr>
        <w:t xml:space="preserve">does not support </w:t>
      </w:r>
      <w:r>
        <w:rPr>
          <w:rFonts w:ascii="Times New Roman" w:hAnsi="Times New Roman" w:cs="Times New Roman"/>
          <w:sz w:val="24"/>
          <w:szCs w:val="24"/>
        </w:rPr>
        <w:t xml:space="preserve">item </w:t>
      </w:r>
      <w:r w:rsidRPr="006F3B00">
        <w:rPr>
          <w:rFonts w:ascii="Times New Roman" w:hAnsi="Times New Roman" w:cs="Times New Roman"/>
          <w:sz w:val="24"/>
          <w:szCs w:val="24"/>
        </w:rPr>
        <w:t xml:space="preserve">18. </w:t>
      </w:r>
      <w:r>
        <w:rPr>
          <w:rFonts w:ascii="Times New Roman" w:hAnsi="Times New Roman" w:cs="Times New Roman"/>
          <w:sz w:val="24"/>
          <w:szCs w:val="24"/>
        </w:rPr>
        <w:t>“</w:t>
      </w:r>
      <w:r w:rsidRPr="006F3B00">
        <w:rPr>
          <w:rFonts w:ascii="Times New Roman" w:hAnsi="Times New Roman" w:cs="Times New Roman"/>
          <w:sz w:val="24"/>
          <w:szCs w:val="24"/>
        </w:rPr>
        <w:t>Trainee shows evidence of improvement following reflection</w:t>
      </w:r>
      <w:r>
        <w:rPr>
          <w:rFonts w:ascii="Times New Roman" w:hAnsi="Times New Roman" w:cs="Times New Roman"/>
          <w:sz w:val="24"/>
          <w:szCs w:val="24"/>
        </w:rPr>
        <w:t xml:space="preserve">” </w:t>
      </w:r>
      <w:r w:rsidR="00D35E79">
        <w:rPr>
          <w:rFonts w:ascii="Times New Roman" w:hAnsi="Times New Roman" w:cs="Times New Roman"/>
          <w:sz w:val="24"/>
          <w:szCs w:val="24"/>
        </w:rPr>
        <w:t>(under the heading ‘</w:t>
      </w:r>
      <w:r w:rsidR="00250904">
        <w:rPr>
          <w:rFonts w:ascii="Times New Roman" w:hAnsi="Times New Roman" w:cs="Times New Roman"/>
          <w:sz w:val="24"/>
          <w:szCs w:val="24"/>
        </w:rPr>
        <w:t>R</w:t>
      </w:r>
      <w:r w:rsidR="00D35E79">
        <w:rPr>
          <w:rFonts w:ascii="Times New Roman" w:hAnsi="Times New Roman" w:cs="Times New Roman"/>
          <w:sz w:val="24"/>
          <w:szCs w:val="24"/>
        </w:rPr>
        <w:t xml:space="preserve">eflection’) which </w:t>
      </w:r>
      <w:r>
        <w:rPr>
          <w:rFonts w:ascii="Times New Roman" w:hAnsi="Times New Roman" w:cs="Times New Roman"/>
          <w:sz w:val="24"/>
          <w:szCs w:val="24"/>
        </w:rPr>
        <w:t>receiv</w:t>
      </w:r>
      <w:r w:rsidR="00D35E79">
        <w:rPr>
          <w:rFonts w:ascii="Times New Roman" w:hAnsi="Times New Roman" w:cs="Times New Roman"/>
          <w:sz w:val="24"/>
          <w:szCs w:val="24"/>
        </w:rPr>
        <w:t>ed</w:t>
      </w:r>
      <w:r>
        <w:rPr>
          <w:rFonts w:ascii="Times New Roman" w:hAnsi="Times New Roman" w:cs="Times New Roman"/>
          <w:sz w:val="24"/>
          <w:szCs w:val="24"/>
        </w:rPr>
        <w:t xml:space="preserve"> the joint highest mean score for importance.</w:t>
      </w:r>
    </w:p>
    <w:p w14:paraId="7032F0EB" w14:textId="35227CCE" w:rsidR="00863DF5" w:rsidRDefault="00863DF5" w:rsidP="004139B4">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 xml:space="preserve">“I put 25 first because a </w:t>
      </w:r>
      <w:r w:rsidR="00250904" w:rsidRPr="006F3B00">
        <w:rPr>
          <w:rFonts w:ascii="Times New Roman" w:hAnsi="Times New Roman" w:cs="Times New Roman"/>
          <w:i/>
          <w:sz w:val="24"/>
          <w:szCs w:val="24"/>
        </w:rPr>
        <w:t>trainee’s</w:t>
      </w:r>
      <w:r w:rsidRPr="006F3B00">
        <w:rPr>
          <w:rFonts w:ascii="Times New Roman" w:hAnsi="Times New Roman" w:cs="Times New Roman"/>
          <w:i/>
          <w:sz w:val="24"/>
          <w:szCs w:val="24"/>
        </w:rPr>
        <w:t xml:space="preserve"> report is structured around exam requirements and tends to include superfluous information which can be omitted once they are senior. In theory trainees could write an exam version and another version to be sent out to the clinicians, but in practice there is not time to fiddle with that”.</w:t>
      </w:r>
    </w:p>
    <w:p w14:paraId="6D51507E" w14:textId="77777777" w:rsidR="00257554" w:rsidRPr="006F3B00" w:rsidRDefault="00257554" w:rsidP="004139B4">
      <w:pPr>
        <w:spacing w:line="480" w:lineRule="auto"/>
        <w:rPr>
          <w:rFonts w:ascii="Times New Roman" w:hAnsi="Times New Roman" w:cs="Times New Roman"/>
          <w:i/>
          <w:sz w:val="24"/>
          <w:szCs w:val="24"/>
        </w:rPr>
      </w:pPr>
      <w:r>
        <w:rPr>
          <w:rFonts w:ascii="Times New Roman" w:hAnsi="Times New Roman" w:cs="Times New Roman"/>
          <w:sz w:val="24"/>
          <w:szCs w:val="24"/>
        </w:rPr>
        <w:t>This comment does not provide insight into the ranking exercise but suggests expectations change during training</w:t>
      </w:r>
    </w:p>
    <w:p w14:paraId="6389EBFB" w14:textId="77777777" w:rsidR="00863DF5" w:rsidRDefault="00863DF5" w:rsidP="004139B4">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“As above-there are other considerations as to overall professional behaviour in addition to competence in diagnosis. I have found this exercise difficult and almost all of them could be discussed from "well if you look at it this way" point of view.”</w:t>
      </w:r>
    </w:p>
    <w:p w14:paraId="3D2EDFEA" w14:textId="193DE802" w:rsidR="004139B4" w:rsidRPr="004139B4" w:rsidRDefault="004139B4" w:rsidP="004139B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This comment supports items relating to professionalism</w:t>
      </w:r>
      <w:r w:rsidR="009F7866">
        <w:rPr>
          <w:rFonts w:ascii="Times New Roman" w:hAnsi="Times New Roman" w:cs="Times New Roman"/>
          <w:sz w:val="24"/>
          <w:szCs w:val="24"/>
        </w:rPr>
        <w:t xml:space="preserve"> (item 8</w:t>
      </w:r>
      <w:r w:rsidR="002164C0">
        <w:rPr>
          <w:rFonts w:ascii="Times New Roman" w:hAnsi="Times New Roman" w:cs="Times New Roman"/>
          <w:sz w:val="24"/>
          <w:szCs w:val="24"/>
        </w:rPr>
        <w:t>.</w:t>
      </w:r>
      <w:r w:rsidR="009F7866">
        <w:rPr>
          <w:rFonts w:ascii="Times New Roman" w:hAnsi="Times New Roman" w:cs="Times New Roman"/>
          <w:sz w:val="24"/>
          <w:szCs w:val="24"/>
        </w:rPr>
        <w:t xml:space="preserve"> </w:t>
      </w:r>
      <w:r w:rsidR="002164C0">
        <w:rPr>
          <w:rFonts w:ascii="Times New Roman" w:hAnsi="Times New Roman" w:cs="Times New Roman"/>
          <w:sz w:val="24"/>
          <w:szCs w:val="24"/>
        </w:rPr>
        <w:t>“</w:t>
      </w:r>
      <w:r w:rsidR="009F7866" w:rsidRPr="006F3B00">
        <w:rPr>
          <w:rFonts w:ascii="Times New Roman" w:hAnsi="Times New Roman" w:cs="Times New Roman"/>
          <w:sz w:val="24"/>
          <w:szCs w:val="24"/>
        </w:rPr>
        <w:t>Trainee is motivated and has a good attitude</w:t>
      </w:r>
      <w:r w:rsidR="009F7866">
        <w:rPr>
          <w:rFonts w:ascii="Times New Roman" w:hAnsi="Times New Roman" w:cs="Times New Roman"/>
          <w:sz w:val="24"/>
          <w:szCs w:val="24"/>
        </w:rPr>
        <w:t>”)</w:t>
      </w:r>
      <w:r>
        <w:rPr>
          <w:rFonts w:ascii="Times New Roman" w:hAnsi="Times New Roman" w:cs="Times New Roman"/>
          <w:sz w:val="24"/>
          <w:szCs w:val="24"/>
        </w:rPr>
        <w:t xml:space="preserve"> and reflection </w:t>
      </w:r>
      <w:r w:rsidR="009F7866">
        <w:rPr>
          <w:rFonts w:ascii="Times New Roman" w:hAnsi="Times New Roman" w:cs="Times New Roman"/>
          <w:sz w:val="24"/>
          <w:szCs w:val="24"/>
        </w:rPr>
        <w:t>(items 16</w:t>
      </w:r>
      <w:r w:rsidR="002164C0">
        <w:rPr>
          <w:rFonts w:ascii="Times New Roman" w:hAnsi="Times New Roman" w:cs="Times New Roman"/>
          <w:sz w:val="24"/>
          <w:szCs w:val="24"/>
        </w:rPr>
        <w:t>.</w:t>
      </w:r>
      <w:r w:rsidR="009F7866">
        <w:rPr>
          <w:rFonts w:ascii="Times New Roman" w:hAnsi="Times New Roman" w:cs="Times New Roman"/>
          <w:sz w:val="24"/>
          <w:szCs w:val="24"/>
        </w:rPr>
        <w:t xml:space="preserve"> </w:t>
      </w:r>
      <w:r w:rsidR="002164C0">
        <w:rPr>
          <w:rFonts w:ascii="Times New Roman" w:hAnsi="Times New Roman" w:cs="Times New Roman"/>
          <w:sz w:val="24"/>
          <w:szCs w:val="24"/>
        </w:rPr>
        <w:t>“</w:t>
      </w:r>
      <w:r w:rsidR="009F7866" w:rsidRPr="006F3B00">
        <w:rPr>
          <w:rFonts w:ascii="Times New Roman" w:hAnsi="Times New Roman" w:cs="Times New Roman"/>
          <w:sz w:val="24"/>
          <w:szCs w:val="24"/>
        </w:rPr>
        <w:t>Trainee is aware of limitations</w:t>
      </w:r>
      <w:r w:rsidR="002164C0">
        <w:rPr>
          <w:rFonts w:ascii="Times New Roman" w:hAnsi="Times New Roman" w:cs="Times New Roman"/>
          <w:sz w:val="24"/>
          <w:szCs w:val="24"/>
        </w:rPr>
        <w:t>”</w:t>
      </w:r>
      <w:r w:rsidR="009F7866">
        <w:rPr>
          <w:rFonts w:ascii="Times New Roman" w:hAnsi="Times New Roman" w:cs="Times New Roman"/>
          <w:sz w:val="24"/>
          <w:szCs w:val="24"/>
        </w:rPr>
        <w:t xml:space="preserve"> </w:t>
      </w:r>
      <w:r w:rsidR="002164C0">
        <w:rPr>
          <w:rFonts w:ascii="Times New Roman" w:hAnsi="Times New Roman" w:cs="Times New Roman"/>
          <w:sz w:val="24"/>
          <w:szCs w:val="24"/>
        </w:rPr>
        <w:t>and</w:t>
      </w:r>
      <w:r w:rsidR="009F7866">
        <w:rPr>
          <w:rFonts w:ascii="Times New Roman" w:hAnsi="Times New Roman" w:cs="Times New Roman"/>
          <w:sz w:val="24"/>
          <w:szCs w:val="24"/>
        </w:rPr>
        <w:t xml:space="preserve"> 18</w:t>
      </w:r>
      <w:r w:rsidR="002164C0">
        <w:rPr>
          <w:rFonts w:ascii="Times New Roman" w:hAnsi="Times New Roman" w:cs="Times New Roman"/>
          <w:sz w:val="24"/>
          <w:szCs w:val="24"/>
        </w:rPr>
        <w:t>.</w:t>
      </w:r>
      <w:r w:rsidR="009F7866" w:rsidRPr="009F7866">
        <w:rPr>
          <w:rFonts w:ascii="Times New Roman" w:hAnsi="Times New Roman" w:cs="Times New Roman"/>
          <w:sz w:val="24"/>
          <w:szCs w:val="24"/>
        </w:rPr>
        <w:t xml:space="preserve"> </w:t>
      </w:r>
      <w:r w:rsidR="002164C0">
        <w:rPr>
          <w:rFonts w:ascii="Times New Roman" w:hAnsi="Times New Roman" w:cs="Times New Roman"/>
          <w:sz w:val="24"/>
          <w:szCs w:val="24"/>
        </w:rPr>
        <w:t>“</w:t>
      </w:r>
      <w:r w:rsidR="009F7866" w:rsidRPr="006F3B00">
        <w:rPr>
          <w:rFonts w:ascii="Times New Roman" w:hAnsi="Times New Roman" w:cs="Times New Roman"/>
          <w:sz w:val="24"/>
          <w:szCs w:val="24"/>
        </w:rPr>
        <w:t>Trainee shows evidence of improvement following reflection</w:t>
      </w:r>
      <w:r w:rsidR="009F7866">
        <w:rPr>
          <w:rFonts w:ascii="Times New Roman" w:hAnsi="Times New Roman" w:cs="Times New Roman"/>
          <w:sz w:val="24"/>
          <w:szCs w:val="24"/>
        </w:rPr>
        <w:t>”) which were</w:t>
      </w:r>
      <w:r>
        <w:rPr>
          <w:rFonts w:ascii="Times New Roman" w:hAnsi="Times New Roman" w:cs="Times New Roman"/>
          <w:sz w:val="24"/>
          <w:szCs w:val="24"/>
        </w:rPr>
        <w:t xml:space="preserve"> rated or ranked highly</w:t>
      </w:r>
      <w:r w:rsidR="001A1B84">
        <w:rPr>
          <w:rFonts w:ascii="Times New Roman" w:hAnsi="Times New Roman" w:cs="Times New Roman"/>
          <w:sz w:val="24"/>
          <w:szCs w:val="24"/>
        </w:rPr>
        <w:t xml:space="preserve"> (see Table 5.12</w:t>
      </w:r>
      <w:r w:rsidR="00616573">
        <w:rPr>
          <w:rFonts w:ascii="Times New Roman" w:hAnsi="Times New Roman" w:cs="Times New Roman"/>
          <w:sz w:val="24"/>
          <w:szCs w:val="24"/>
        </w:rPr>
        <w:t>)</w:t>
      </w:r>
      <w:r w:rsidR="009F7866">
        <w:rPr>
          <w:rFonts w:ascii="Times New Roman" w:hAnsi="Times New Roman" w:cs="Times New Roman"/>
          <w:sz w:val="24"/>
          <w:szCs w:val="24"/>
        </w:rPr>
        <w:t xml:space="preserve">. </w:t>
      </w:r>
      <w:r w:rsidR="00616573">
        <w:rPr>
          <w:rFonts w:ascii="Times New Roman" w:hAnsi="Times New Roman" w:cs="Times New Roman"/>
          <w:sz w:val="24"/>
          <w:szCs w:val="24"/>
        </w:rPr>
        <w:t>In contrast</w:t>
      </w:r>
      <w:r w:rsidR="00637866">
        <w:rPr>
          <w:rFonts w:ascii="Times New Roman" w:hAnsi="Times New Roman" w:cs="Times New Roman"/>
          <w:sz w:val="24"/>
          <w:szCs w:val="24"/>
        </w:rPr>
        <w:t xml:space="preserve">, although the comment suggests competence in diagnosis may be important, </w:t>
      </w:r>
      <w:r>
        <w:rPr>
          <w:rFonts w:ascii="Times New Roman" w:hAnsi="Times New Roman" w:cs="Times New Roman"/>
          <w:sz w:val="24"/>
          <w:szCs w:val="24"/>
        </w:rPr>
        <w:t xml:space="preserve">item </w:t>
      </w:r>
      <w:r w:rsidRPr="006F3B00">
        <w:rPr>
          <w:rFonts w:ascii="Times New Roman" w:hAnsi="Times New Roman" w:cs="Times New Roman"/>
          <w:sz w:val="24"/>
          <w:szCs w:val="24"/>
        </w:rPr>
        <w:t xml:space="preserve">9. </w:t>
      </w:r>
      <w:r>
        <w:rPr>
          <w:rFonts w:ascii="Times New Roman" w:hAnsi="Times New Roman" w:cs="Times New Roman"/>
          <w:sz w:val="24"/>
          <w:szCs w:val="24"/>
        </w:rPr>
        <w:t>“</w:t>
      </w:r>
      <w:r w:rsidRPr="006F3B00">
        <w:rPr>
          <w:rFonts w:ascii="Times New Roman" w:hAnsi="Times New Roman" w:cs="Times New Roman"/>
          <w:sz w:val="24"/>
          <w:szCs w:val="24"/>
        </w:rPr>
        <w:t>The diagnosis is correct</w:t>
      </w:r>
      <w:r>
        <w:rPr>
          <w:rFonts w:ascii="Times New Roman" w:hAnsi="Times New Roman" w:cs="Times New Roman"/>
          <w:sz w:val="24"/>
          <w:szCs w:val="24"/>
        </w:rPr>
        <w:t>”, received the third lowest mean score</w:t>
      </w:r>
      <w:r w:rsidR="00616573">
        <w:rPr>
          <w:rFonts w:ascii="Times New Roman" w:hAnsi="Times New Roman" w:cs="Times New Roman"/>
          <w:sz w:val="24"/>
          <w:szCs w:val="24"/>
        </w:rPr>
        <w:t xml:space="preserve"> (Table</w:t>
      </w:r>
      <w:r w:rsidR="00637866">
        <w:rPr>
          <w:rFonts w:ascii="Times New Roman" w:hAnsi="Times New Roman" w:cs="Times New Roman"/>
          <w:sz w:val="24"/>
          <w:szCs w:val="24"/>
        </w:rPr>
        <w:t xml:space="preserve"> </w:t>
      </w:r>
      <w:r w:rsidR="001A1B84">
        <w:rPr>
          <w:rFonts w:ascii="Times New Roman" w:hAnsi="Times New Roman" w:cs="Times New Roman"/>
          <w:sz w:val="24"/>
          <w:szCs w:val="24"/>
        </w:rPr>
        <w:t>5.13</w:t>
      </w:r>
      <w:r w:rsidR="00616573">
        <w:rPr>
          <w:rFonts w:ascii="Times New Roman" w:hAnsi="Times New Roman" w:cs="Times New Roman"/>
          <w:sz w:val="24"/>
          <w:szCs w:val="24"/>
        </w:rPr>
        <w:t>)</w:t>
      </w:r>
      <w:r>
        <w:rPr>
          <w:rFonts w:ascii="Times New Roman" w:hAnsi="Times New Roman" w:cs="Times New Roman"/>
          <w:sz w:val="24"/>
          <w:szCs w:val="24"/>
        </w:rPr>
        <w:t>.</w:t>
      </w:r>
    </w:p>
    <w:p w14:paraId="4A50E4C8" w14:textId="77777777" w:rsidR="00863DF5" w:rsidRDefault="00863DF5" w:rsidP="004139B4">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“It is essential to consider the stage of training. Trainees need to receive positive constructive feedback, so even if diagnosis is wrong, improvement happens.”</w:t>
      </w:r>
    </w:p>
    <w:p w14:paraId="1C659F28" w14:textId="6257FDA3" w:rsidR="004139B4" w:rsidRPr="004139B4" w:rsidRDefault="004139B4" w:rsidP="004139B4">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second sentence of this comment supports item </w:t>
      </w:r>
      <w:r w:rsidRPr="006F3B00">
        <w:rPr>
          <w:rFonts w:ascii="Times New Roman" w:hAnsi="Times New Roman" w:cs="Times New Roman"/>
          <w:sz w:val="24"/>
          <w:szCs w:val="24"/>
        </w:rPr>
        <w:t xml:space="preserve">18. </w:t>
      </w:r>
      <w:r>
        <w:rPr>
          <w:rFonts w:ascii="Times New Roman" w:hAnsi="Times New Roman" w:cs="Times New Roman"/>
          <w:sz w:val="24"/>
          <w:szCs w:val="24"/>
        </w:rPr>
        <w:t>“</w:t>
      </w:r>
      <w:r w:rsidRPr="006F3B00">
        <w:rPr>
          <w:rFonts w:ascii="Times New Roman" w:hAnsi="Times New Roman" w:cs="Times New Roman"/>
          <w:sz w:val="24"/>
          <w:szCs w:val="24"/>
        </w:rPr>
        <w:t>Trainee shows evidence of improvement following reflection</w:t>
      </w:r>
      <w:r>
        <w:rPr>
          <w:rFonts w:ascii="Times New Roman" w:hAnsi="Times New Roman" w:cs="Times New Roman"/>
          <w:sz w:val="24"/>
          <w:szCs w:val="24"/>
        </w:rPr>
        <w:t xml:space="preserve">” </w:t>
      </w:r>
      <w:r w:rsidR="009F7866">
        <w:rPr>
          <w:rFonts w:ascii="Times New Roman" w:hAnsi="Times New Roman" w:cs="Times New Roman"/>
          <w:sz w:val="24"/>
          <w:szCs w:val="24"/>
        </w:rPr>
        <w:t xml:space="preserve">which </w:t>
      </w:r>
      <w:r>
        <w:rPr>
          <w:rFonts w:ascii="Times New Roman" w:hAnsi="Times New Roman" w:cs="Times New Roman"/>
          <w:sz w:val="24"/>
          <w:szCs w:val="24"/>
        </w:rPr>
        <w:t>receiv</w:t>
      </w:r>
      <w:r w:rsidR="009F7866">
        <w:rPr>
          <w:rFonts w:ascii="Times New Roman" w:hAnsi="Times New Roman" w:cs="Times New Roman"/>
          <w:sz w:val="24"/>
          <w:szCs w:val="24"/>
        </w:rPr>
        <w:t>ed</w:t>
      </w:r>
      <w:r>
        <w:rPr>
          <w:rFonts w:ascii="Times New Roman" w:hAnsi="Times New Roman" w:cs="Times New Roman"/>
          <w:sz w:val="24"/>
          <w:szCs w:val="24"/>
        </w:rPr>
        <w:t xml:space="preserve"> the joint highest mean score</w:t>
      </w:r>
      <w:r w:rsidR="001A1B84">
        <w:rPr>
          <w:rFonts w:ascii="Times New Roman" w:hAnsi="Times New Roman" w:cs="Times New Roman"/>
          <w:sz w:val="24"/>
          <w:szCs w:val="24"/>
        </w:rPr>
        <w:t xml:space="preserve"> (Table 5.12</w:t>
      </w:r>
      <w:r w:rsidR="00616573">
        <w:rPr>
          <w:rFonts w:ascii="Times New Roman" w:hAnsi="Times New Roman" w:cs="Times New Roman"/>
          <w:sz w:val="24"/>
          <w:szCs w:val="24"/>
        </w:rPr>
        <w:t>)</w:t>
      </w:r>
      <w:r>
        <w:rPr>
          <w:rFonts w:ascii="Times New Roman" w:hAnsi="Times New Roman" w:cs="Times New Roman"/>
          <w:sz w:val="24"/>
          <w:szCs w:val="24"/>
        </w:rPr>
        <w:t>.</w:t>
      </w:r>
    </w:p>
    <w:p w14:paraId="0197747D" w14:textId="77777777" w:rsidR="00863DF5" w:rsidRDefault="00863DF5" w:rsidP="004139B4">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“Motivation and self-awareness are really important.”</w:t>
      </w:r>
    </w:p>
    <w:p w14:paraId="2A5C804E" w14:textId="28A1B7F5" w:rsidR="00B46E57" w:rsidRPr="00B46E57" w:rsidRDefault="00B46E57" w:rsidP="004139B4">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comment supports item </w:t>
      </w:r>
      <w:r w:rsidRPr="006F3B00">
        <w:rPr>
          <w:rFonts w:ascii="Times New Roman" w:hAnsi="Times New Roman" w:cs="Times New Roman"/>
          <w:sz w:val="24"/>
          <w:szCs w:val="24"/>
        </w:rPr>
        <w:t xml:space="preserve">8. </w:t>
      </w:r>
      <w:r>
        <w:rPr>
          <w:rFonts w:ascii="Times New Roman" w:hAnsi="Times New Roman" w:cs="Times New Roman"/>
          <w:sz w:val="24"/>
          <w:szCs w:val="24"/>
        </w:rPr>
        <w:t>“</w:t>
      </w:r>
      <w:r w:rsidRPr="006F3B00">
        <w:rPr>
          <w:rFonts w:ascii="Times New Roman" w:hAnsi="Times New Roman" w:cs="Times New Roman"/>
          <w:sz w:val="24"/>
          <w:szCs w:val="24"/>
        </w:rPr>
        <w:t>Trainee is motivated and has a good attitude</w:t>
      </w:r>
      <w:r>
        <w:rPr>
          <w:rFonts w:ascii="Times New Roman" w:hAnsi="Times New Roman" w:cs="Times New Roman"/>
          <w:sz w:val="24"/>
          <w:szCs w:val="24"/>
        </w:rPr>
        <w:t xml:space="preserve">” </w:t>
      </w:r>
      <w:r w:rsidR="00616573">
        <w:rPr>
          <w:rFonts w:ascii="Times New Roman" w:hAnsi="Times New Roman" w:cs="Times New Roman"/>
          <w:sz w:val="24"/>
          <w:szCs w:val="24"/>
        </w:rPr>
        <w:t xml:space="preserve">which </w:t>
      </w:r>
      <w:r w:rsidR="004139B4">
        <w:rPr>
          <w:rFonts w:ascii="Times New Roman" w:hAnsi="Times New Roman" w:cs="Times New Roman"/>
          <w:sz w:val="24"/>
          <w:szCs w:val="24"/>
        </w:rPr>
        <w:t>was</w:t>
      </w:r>
      <w:r>
        <w:rPr>
          <w:rFonts w:ascii="Times New Roman" w:hAnsi="Times New Roman" w:cs="Times New Roman"/>
          <w:sz w:val="24"/>
          <w:szCs w:val="24"/>
        </w:rPr>
        <w:t xml:space="preserve"> ranked the third most important</w:t>
      </w:r>
      <w:r w:rsidR="001A1B84">
        <w:rPr>
          <w:rFonts w:ascii="Times New Roman" w:hAnsi="Times New Roman" w:cs="Times New Roman"/>
          <w:sz w:val="24"/>
          <w:szCs w:val="24"/>
        </w:rPr>
        <w:t xml:space="preserve"> (Table 5.12</w:t>
      </w:r>
      <w:r w:rsidR="00616573">
        <w:rPr>
          <w:rFonts w:ascii="Times New Roman" w:hAnsi="Times New Roman" w:cs="Times New Roman"/>
          <w:sz w:val="24"/>
          <w:szCs w:val="24"/>
        </w:rPr>
        <w:t>)</w:t>
      </w:r>
      <w:r>
        <w:rPr>
          <w:rFonts w:ascii="Times New Roman" w:hAnsi="Times New Roman" w:cs="Times New Roman"/>
          <w:sz w:val="24"/>
          <w:szCs w:val="24"/>
        </w:rPr>
        <w:t>.</w:t>
      </w:r>
    </w:p>
    <w:p w14:paraId="39B30036" w14:textId="77777777" w:rsidR="00863DF5" w:rsidRDefault="00863DF5" w:rsidP="004139B4">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“My least important selection is a bit arbitrary as all are important, so would have preferred an N/A choice”.</w:t>
      </w:r>
    </w:p>
    <w:p w14:paraId="231BEEB9" w14:textId="0C54F425" w:rsidR="004139B4" w:rsidRPr="0076659A" w:rsidRDefault="00720D92" w:rsidP="004139B4">
      <w:pPr>
        <w:spacing w:line="480" w:lineRule="auto"/>
        <w:rPr>
          <w:rFonts w:ascii="Times New Roman" w:hAnsi="Times New Roman" w:cs="Times New Roman"/>
          <w:sz w:val="24"/>
          <w:szCs w:val="24"/>
          <w:lang w:val="en-GB"/>
        </w:rPr>
      </w:pPr>
      <w:r>
        <w:rPr>
          <w:rFonts w:ascii="Times New Roman" w:hAnsi="Times New Roman" w:cs="Times New Roman"/>
          <w:sz w:val="24"/>
          <w:szCs w:val="24"/>
        </w:rPr>
        <w:t>G</w:t>
      </w:r>
      <w:r w:rsidR="004139B4">
        <w:rPr>
          <w:rFonts w:ascii="Times New Roman" w:hAnsi="Times New Roman" w:cs="Times New Roman"/>
          <w:sz w:val="24"/>
          <w:szCs w:val="24"/>
        </w:rPr>
        <w:t xml:space="preserve">iven that </w:t>
      </w:r>
      <w:r w:rsidR="00FA3293" w:rsidRPr="004139B4">
        <w:rPr>
          <w:rFonts w:ascii="Times New Roman" w:hAnsi="Times New Roman" w:cs="Times New Roman"/>
          <w:sz w:val="24"/>
          <w:szCs w:val="24"/>
          <w:lang w:val="en-GB"/>
        </w:rPr>
        <w:t>93% of items had mean scores of 7 or more</w:t>
      </w:r>
      <w:r w:rsidR="004139B4">
        <w:rPr>
          <w:rFonts w:ascii="Times New Roman" w:hAnsi="Times New Roman" w:cs="Times New Roman"/>
          <w:sz w:val="24"/>
          <w:szCs w:val="24"/>
          <w:lang w:val="en-GB"/>
        </w:rPr>
        <w:t xml:space="preserve">, the comment does </w:t>
      </w:r>
      <w:r w:rsidR="009F7866">
        <w:rPr>
          <w:rFonts w:ascii="Times New Roman" w:hAnsi="Times New Roman" w:cs="Times New Roman"/>
          <w:sz w:val="24"/>
          <w:szCs w:val="24"/>
          <w:lang w:val="en-GB"/>
        </w:rPr>
        <w:t xml:space="preserve">provide </w:t>
      </w:r>
      <w:r w:rsidR="004139B4">
        <w:rPr>
          <w:rFonts w:ascii="Times New Roman" w:hAnsi="Times New Roman" w:cs="Times New Roman"/>
          <w:sz w:val="24"/>
          <w:szCs w:val="24"/>
          <w:lang w:val="en-GB"/>
        </w:rPr>
        <w:t xml:space="preserve">support </w:t>
      </w:r>
      <w:r w:rsidR="009F7866">
        <w:rPr>
          <w:rFonts w:ascii="Times New Roman" w:hAnsi="Times New Roman" w:cs="Times New Roman"/>
          <w:sz w:val="24"/>
          <w:szCs w:val="24"/>
          <w:lang w:val="en-GB"/>
        </w:rPr>
        <w:t xml:space="preserve">that </w:t>
      </w:r>
      <w:r w:rsidR="004139B4">
        <w:rPr>
          <w:rFonts w:ascii="Times New Roman" w:hAnsi="Times New Roman" w:cs="Times New Roman"/>
          <w:sz w:val="24"/>
          <w:szCs w:val="24"/>
          <w:lang w:val="en-GB"/>
        </w:rPr>
        <w:t xml:space="preserve">many statements </w:t>
      </w:r>
      <w:r w:rsidR="009F7866">
        <w:rPr>
          <w:rFonts w:ascii="Times New Roman" w:hAnsi="Times New Roman" w:cs="Times New Roman"/>
          <w:sz w:val="24"/>
          <w:szCs w:val="24"/>
          <w:lang w:val="en-GB"/>
        </w:rPr>
        <w:t xml:space="preserve">are </w:t>
      </w:r>
      <w:r w:rsidR="004139B4">
        <w:rPr>
          <w:rFonts w:ascii="Times New Roman" w:hAnsi="Times New Roman" w:cs="Times New Roman"/>
          <w:sz w:val="24"/>
          <w:szCs w:val="24"/>
          <w:lang w:val="en-GB"/>
        </w:rPr>
        <w:t>important.</w:t>
      </w:r>
    </w:p>
    <w:p w14:paraId="425125DC" w14:textId="77777777" w:rsidR="005E7689" w:rsidRDefault="005E7689" w:rsidP="0087352C">
      <w:pPr>
        <w:pStyle w:val="Heading3"/>
        <w:rPr>
          <w:rFonts w:ascii="Times New Roman" w:hAnsi="Times New Roman" w:cs="Times New Roman"/>
          <w:color w:val="auto"/>
          <w:sz w:val="24"/>
          <w:szCs w:val="24"/>
        </w:rPr>
      </w:pPr>
    </w:p>
    <w:p w14:paraId="3A151A06" w14:textId="77777777" w:rsidR="005E7689" w:rsidRDefault="005E7689" w:rsidP="0087352C">
      <w:pPr>
        <w:pStyle w:val="Heading3"/>
        <w:rPr>
          <w:rFonts w:ascii="Times New Roman" w:hAnsi="Times New Roman" w:cs="Times New Roman"/>
          <w:color w:val="auto"/>
          <w:sz w:val="24"/>
          <w:szCs w:val="24"/>
        </w:rPr>
      </w:pPr>
    </w:p>
    <w:p w14:paraId="080D542E" w14:textId="77777777" w:rsidR="005E7689" w:rsidRDefault="005E7689" w:rsidP="0087352C">
      <w:pPr>
        <w:pStyle w:val="Heading3"/>
        <w:rPr>
          <w:rFonts w:ascii="Times New Roman" w:hAnsi="Times New Roman" w:cs="Times New Roman"/>
          <w:color w:val="auto"/>
          <w:sz w:val="24"/>
          <w:szCs w:val="24"/>
        </w:rPr>
      </w:pPr>
    </w:p>
    <w:p w14:paraId="6A55D282" w14:textId="77777777" w:rsidR="005E7689" w:rsidRDefault="005E7689" w:rsidP="0087352C">
      <w:pPr>
        <w:pStyle w:val="Heading3"/>
        <w:rPr>
          <w:rFonts w:ascii="Times New Roman" w:hAnsi="Times New Roman" w:cs="Times New Roman"/>
          <w:color w:val="auto"/>
          <w:sz w:val="24"/>
          <w:szCs w:val="24"/>
        </w:rPr>
      </w:pPr>
    </w:p>
    <w:p w14:paraId="7546FDAE" w14:textId="598E8564" w:rsidR="005E7689" w:rsidRDefault="005E7689" w:rsidP="0087352C">
      <w:pPr>
        <w:pStyle w:val="Heading3"/>
        <w:rPr>
          <w:rFonts w:ascii="Times New Roman" w:hAnsi="Times New Roman" w:cs="Times New Roman"/>
          <w:color w:val="auto"/>
          <w:sz w:val="24"/>
          <w:szCs w:val="24"/>
        </w:rPr>
      </w:pPr>
    </w:p>
    <w:p w14:paraId="4BA0407E" w14:textId="4F545C2F" w:rsidR="005E7689" w:rsidRDefault="005E7689" w:rsidP="005E7689">
      <w:pPr>
        <w:rPr>
          <w:lang w:val="en-GB"/>
        </w:rPr>
      </w:pPr>
    </w:p>
    <w:p w14:paraId="7261691D" w14:textId="77777777" w:rsidR="005E7689" w:rsidRPr="005E7689" w:rsidRDefault="005E7689" w:rsidP="005E7689">
      <w:pPr>
        <w:rPr>
          <w:lang w:val="en-GB"/>
        </w:rPr>
      </w:pPr>
    </w:p>
    <w:p w14:paraId="01A1FBF0" w14:textId="036EBBB4" w:rsidR="00863DF5" w:rsidRPr="006F3B00" w:rsidRDefault="007A712D" w:rsidP="0087352C">
      <w:pPr>
        <w:pStyle w:val="Heading3"/>
        <w:rPr>
          <w:rFonts w:ascii="Times New Roman" w:hAnsi="Times New Roman" w:cs="Times New Roman"/>
          <w:color w:val="auto"/>
          <w:sz w:val="24"/>
          <w:szCs w:val="24"/>
        </w:rPr>
      </w:pPr>
      <w:bookmarkStart w:id="112" w:name="_Toc23243841"/>
      <w:r>
        <w:rPr>
          <w:rFonts w:ascii="Times New Roman" w:hAnsi="Times New Roman" w:cs="Times New Roman"/>
          <w:color w:val="auto"/>
          <w:sz w:val="24"/>
          <w:szCs w:val="24"/>
        </w:rPr>
        <w:lastRenderedPageBreak/>
        <w:t>5.4.5</w:t>
      </w:r>
      <w:r w:rsidR="0087352C"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Round 2 ranking of items</w:t>
      </w:r>
      <w:bookmarkEnd w:id="112"/>
    </w:p>
    <w:p w14:paraId="3E4AD9AA" w14:textId="77777777" w:rsidR="0087352C" w:rsidRPr="006F3B00" w:rsidRDefault="0087352C" w:rsidP="0087352C">
      <w:pPr>
        <w:rPr>
          <w:rFonts w:ascii="Times New Roman" w:hAnsi="Times New Roman" w:cs="Times New Roman"/>
          <w:sz w:val="24"/>
          <w:szCs w:val="24"/>
          <w:lang w:val="en-GB"/>
        </w:rPr>
      </w:pPr>
    </w:p>
    <w:p w14:paraId="392200D1" w14:textId="11A8125F" w:rsidR="00863DF5" w:rsidRPr="00E1668B" w:rsidRDefault="00863DF5" w:rsidP="00E1668B">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Table </w:t>
      </w:r>
      <w:r w:rsidR="001A1B84">
        <w:rPr>
          <w:rFonts w:ascii="Times New Roman" w:hAnsi="Times New Roman" w:cs="Times New Roman"/>
          <w:sz w:val="24"/>
          <w:szCs w:val="24"/>
        </w:rPr>
        <w:t>5.14</w:t>
      </w:r>
      <w:r w:rsidRPr="006F3B00">
        <w:rPr>
          <w:rFonts w:ascii="Times New Roman" w:hAnsi="Times New Roman" w:cs="Times New Roman"/>
          <w:sz w:val="24"/>
          <w:szCs w:val="24"/>
        </w:rPr>
        <w:t xml:space="preserve"> shows those items which had the highest mean score and also the items which were ranked as being most important when determining diagn</w:t>
      </w:r>
      <w:r w:rsidR="004139B4">
        <w:rPr>
          <w:rFonts w:ascii="Times New Roman" w:hAnsi="Times New Roman" w:cs="Times New Roman"/>
          <w:sz w:val="24"/>
          <w:szCs w:val="24"/>
        </w:rPr>
        <w:t>ostic competence after round 2.</w:t>
      </w:r>
      <w:r w:rsidR="004A582B">
        <w:rPr>
          <w:rFonts w:ascii="Times New Roman" w:hAnsi="Times New Roman" w:cs="Times New Roman"/>
          <w:sz w:val="24"/>
          <w:szCs w:val="24"/>
        </w:rPr>
        <w:t xml:space="preserve"> Item 16</w:t>
      </w:r>
      <w:r w:rsidR="00250904">
        <w:rPr>
          <w:rFonts w:ascii="Times New Roman" w:hAnsi="Times New Roman" w:cs="Times New Roman"/>
          <w:sz w:val="24"/>
          <w:szCs w:val="24"/>
        </w:rPr>
        <w:t xml:space="preserve"> (</w:t>
      </w:r>
      <w:r w:rsidR="00250904" w:rsidRPr="00250904">
        <w:rPr>
          <w:rFonts w:ascii="Times New Roman" w:hAnsi="Times New Roman" w:cs="Times New Roman"/>
          <w:sz w:val="24"/>
          <w:szCs w:val="24"/>
        </w:rPr>
        <w:t>Trainee is aware of their own limitations</w:t>
      </w:r>
      <w:r w:rsidR="00250904">
        <w:rPr>
          <w:rFonts w:ascii="Times New Roman" w:hAnsi="Times New Roman" w:cs="Times New Roman"/>
          <w:sz w:val="24"/>
          <w:szCs w:val="24"/>
        </w:rPr>
        <w:t xml:space="preserve">) </w:t>
      </w:r>
      <w:r w:rsidR="004A582B">
        <w:rPr>
          <w:rFonts w:ascii="Times New Roman" w:hAnsi="Times New Roman" w:cs="Times New Roman"/>
          <w:sz w:val="24"/>
          <w:szCs w:val="24"/>
        </w:rPr>
        <w:t>under the heading “</w:t>
      </w:r>
      <w:r w:rsidR="00250904">
        <w:rPr>
          <w:rFonts w:ascii="Times New Roman" w:hAnsi="Times New Roman" w:cs="Times New Roman"/>
          <w:sz w:val="24"/>
          <w:szCs w:val="24"/>
        </w:rPr>
        <w:t>R</w:t>
      </w:r>
      <w:r w:rsidR="004A582B">
        <w:rPr>
          <w:rFonts w:ascii="Times New Roman" w:hAnsi="Times New Roman" w:cs="Times New Roman"/>
          <w:sz w:val="24"/>
          <w:szCs w:val="24"/>
        </w:rPr>
        <w:t>eflection” was</w:t>
      </w:r>
      <w:r w:rsidR="003E37FA">
        <w:rPr>
          <w:rFonts w:ascii="Times New Roman" w:hAnsi="Times New Roman" w:cs="Times New Roman"/>
          <w:sz w:val="24"/>
          <w:szCs w:val="24"/>
        </w:rPr>
        <w:t xml:space="preserve"> the only item to appear on both sides of the table (i.e. a high mean score and rank). </w:t>
      </w:r>
      <w:r w:rsidR="006673EC">
        <w:rPr>
          <w:rFonts w:ascii="Times New Roman" w:hAnsi="Times New Roman" w:cs="Times New Roman"/>
          <w:sz w:val="24"/>
          <w:szCs w:val="24"/>
        </w:rPr>
        <w:t xml:space="preserve">However, </w:t>
      </w:r>
      <w:r w:rsidR="001B18AD">
        <w:rPr>
          <w:rFonts w:ascii="Times New Roman" w:hAnsi="Times New Roman" w:cs="Times New Roman"/>
        </w:rPr>
        <w:t xml:space="preserve">the other items </w:t>
      </w:r>
      <w:r w:rsidR="00D9063F">
        <w:rPr>
          <w:rFonts w:ascii="Times New Roman" w:hAnsi="Times New Roman" w:cs="Times New Roman"/>
        </w:rPr>
        <w:t xml:space="preserve">which received the highest mean score differed from those which were ranked highly. </w:t>
      </w:r>
      <w:r w:rsidR="0073511C">
        <w:rPr>
          <w:rFonts w:ascii="Times New Roman" w:hAnsi="Times New Roman" w:cs="Times New Roman"/>
        </w:rPr>
        <w:t>For example, item 26 (</w:t>
      </w:r>
      <w:r w:rsidR="0073511C" w:rsidRPr="006F3B00">
        <w:rPr>
          <w:rFonts w:ascii="Times New Roman" w:hAnsi="Times New Roman" w:cs="Times New Roman"/>
          <w:sz w:val="24"/>
          <w:szCs w:val="24"/>
        </w:rPr>
        <w:t>Report ensures the clinician/surgeon receives the appropriate message</w:t>
      </w:r>
      <w:r w:rsidR="0073511C">
        <w:rPr>
          <w:rFonts w:ascii="Times New Roman" w:hAnsi="Times New Roman" w:cs="Times New Roman"/>
          <w:sz w:val="24"/>
          <w:szCs w:val="24"/>
        </w:rPr>
        <w:t>) under “The patient’s report” and item 18 (</w:t>
      </w:r>
      <w:r w:rsidR="006624F4">
        <w:rPr>
          <w:rFonts w:ascii="Times New Roman" w:hAnsi="Times New Roman" w:cs="Times New Roman"/>
          <w:sz w:val="24"/>
          <w:szCs w:val="24"/>
        </w:rPr>
        <w:t>“</w:t>
      </w:r>
      <w:r w:rsidR="0073511C" w:rsidRPr="006F3B00">
        <w:rPr>
          <w:rFonts w:ascii="Times New Roman" w:hAnsi="Times New Roman" w:cs="Times New Roman"/>
          <w:sz w:val="24"/>
          <w:szCs w:val="24"/>
        </w:rPr>
        <w:t>Trainee shows evidence of improvement following reflection</w:t>
      </w:r>
      <w:r w:rsidR="006624F4">
        <w:rPr>
          <w:rFonts w:ascii="Times New Roman" w:hAnsi="Times New Roman" w:cs="Times New Roman"/>
          <w:sz w:val="24"/>
          <w:szCs w:val="24"/>
        </w:rPr>
        <w:t>”</w:t>
      </w:r>
      <w:r w:rsidR="0073511C">
        <w:rPr>
          <w:rFonts w:ascii="Times New Roman" w:hAnsi="Times New Roman" w:cs="Times New Roman"/>
          <w:sz w:val="24"/>
          <w:szCs w:val="24"/>
        </w:rPr>
        <w:t>) under “Reflection” received the highest and third highest mean score, respectively. However, they did not rank as highly, with item 13 (</w:t>
      </w:r>
      <w:r w:rsidR="006624F4">
        <w:rPr>
          <w:rFonts w:ascii="Times New Roman" w:hAnsi="Times New Roman" w:cs="Times New Roman"/>
          <w:sz w:val="24"/>
          <w:szCs w:val="24"/>
        </w:rPr>
        <w:t>“</w:t>
      </w:r>
      <w:r w:rsidR="0073511C">
        <w:rPr>
          <w:rFonts w:ascii="Times New Roman" w:hAnsi="Times New Roman" w:cs="Times New Roman"/>
          <w:sz w:val="24"/>
          <w:szCs w:val="24"/>
        </w:rPr>
        <w:t>Trainee follows sounds pathological principles to reach a diagnosis</w:t>
      </w:r>
      <w:r w:rsidR="006624F4">
        <w:rPr>
          <w:rFonts w:ascii="Times New Roman" w:hAnsi="Times New Roman" w:cs="Times New Roman"/>
          <w:sz w:val="24"/>
          <w:szCs w:val="24"/>
        </w:rPr>
        <w:t>”</w:t>
      </w:r>
      <w:r w:rsidR="0073511C">
        <w:rPr>
          <w:rFonts w:ascii="Times New Roman" w:hAnsi="Times New Roman" w:cs="Times New Roman"/>
          <w:sz w:val="24"/>
          <w:szCs w:val="24"/>
        </w:rPr>
        <w:t>) under “Forming a diagnosis” and item 22 (</w:t>
      </w:r>
      <w:r w:rsidR="006624F4">
        <w:rPr>
          <w:rFonts w:ascii="Times New Roman" w:hAnsi="Times New Roman" w:cs="Times New Roman"/>
          <w:sz w:val="24"/>
          <w:szCs w:val="24"/>
        </w:rPr>
        <w:t>“</w:t>
      </w:r>
      <w:r w:rsidR="0073511C">
        <w:rPr>
          <w:rFonts w:ascii="Times New Roman" w:hAnsi="Times New Roman" w:cs="Times New Roman"/>
          <w:sz w:val="24"/>
          <w:szCs w:val="24"/>
        </w:rPr>
        <w:t>Trainee asks for help/second opinion when needed</w:t>
      </w:r>
      <w:r w:rsidR="006624F4">
        <w:rPr>
          <w:rFonts w:ascii="Times New Roman" w:hAnsi="Times New Roman" w:cs="Times New Roman"/>
          <w:sz w:val="24"/>
          <w:szCs w:val="24"/>
        </w:rPr>
        <w:t>”</w:t>
      </w:r>
      <w:r w:rsidR="0073511C">
        <w:rPr>
          <w:rFonts w:ascii="Times New Roman" w:hAnsi="Times New Roman" w:cs="Times New Roman"/>
          <w:sz w:val="24"/>
          <w:szCs w:val="24"/>
        </w:rPr>
        <w:t>) under “Trust” being the 2</w:t>
      </w:r>
      <w:r w:rsidR="0073511C" w:rsidRPr="0073511C">
        <w:rPr>
          <w:rFonts w:ascii="Times New Roman" w:hAnsi="Times New Roman" w:cs="Times New Roman"/>
          <w:sz w:val="24"/>
          <w:szCs w:val="24"/>
          <w:vertAlign w:val="superscript"/>
        </w:rPr>
        <w:t>nd</w:t>
      </w:r>
      <w:r w:rsidR="0073511C">
        <w:rPr>
          <w:rFonts w:ascii="Times New Roman" w:hAnsi="Times New Roman" w:cs="Times New Roman"/>
          <w:sz w:val="24"/>
          <w:szCs w:val="24"/>
        </w:rPr>
        <w:t xml:space="preserve"> and 3</w:t>
      </w:r>
      <w:r w:rsidR="0073511C" w:rsidRPr="0073511C">
        <w:rPr>
          <w:rFonts w:ascii="Times New Roman" w:hAnsi="Times New Roman" w:cs="Times New Roman"/>
          <w:sz w:val="24"/>
          <w:szCs w:val="24"/>
          <w:vertAlign w:val="superscript"/>
        </w:rPr>
        <w:t>rd</w:t>
      </w:r>
      <w:r w:rsidR="0073511C">
        <w:rPr>
          <w:rFonts w:ascii="Times New Roman" w:hAnsi="Times New Roman" w:cs="Times New Roman"/>
          <w:sz w:val="24"/>
          <w:szCs w:val="24"/>
        </w:rPr>
        <w:t xml:space="preserve"> highest ranked items, respectively.</w:t>
      </w: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776"/>
        <w:gridCol w:w="1980"/>
        <w:gridCol w:w="2880"/>
      </w:tblGrid>
      <w:tr w:rsidR="00863DF5" w:rsidRPr="006F3B00" w14:paraId="63605AE8" w14:textId="77777777" w:rsidTr="001F2DFF">
        <w:trPr>
          <w:trHeight w:val="1250"/>
        </w:trPr>
        <w:tc>
          <w:tcPr>
            <w:tcW w:w="1004" w:type="dxa"/>
            <w:shd w:val="clear" w:color="auto" w:fill="F2F2F2" w:themeFill="background1" w:themeFillShade="F2"/>
          </w:tcPr>
          <w:p w14:paraId="68861822"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Highest mean score</w:t>
            </w:r>
          </w:p>
        </w:tc>
        <w:tc>
          <w:tcPr>
            <w:tcW w:w="2776" w:type="dxa"/>
            <w:shd w:val="clear" w:color="auto" w:fill="F2F2F2" w:themeFill="background1" w:themeFillShade="F2"/>
          </w:tcPr>
          <w:p w14:paraId="7B58B1C1"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Item</w:t>
            </w:r>
          </w:p>
        </w:tc>
        <w:tc>
          <w:tcPr>
            <w:tcW w:w="1980" w:type="dxa"/>
            <w:shd w:val="clear" w:color="auto" w:fill="D5DCE4" w:themeFill="text2" w:themeFillTint="33"/>
          </w:tcPr>
          <w:p w14:paraId="14A83E6A" w14:textId="77777777" w:rsidR="00863DF5" w:rsidRPr="006F3B00" w:rsidRDefault="00863DF5" w:rsidP="00863DF5">
            <w:pPr>
              <w:rPr>
                <w:rFonts w:ascii="Times New Roman" w:hAnsi="Times New Roman" w:cs="Times New Roman"/>
                <w:b/>
                <w:sz w:val="24"/>
                <w:szCs w:val="24"/>
              </w:rPr>
            </w:pPr>
            <w:r w:rsidRPr="006F3B00">
              <w:rPr>
                <w:rFonts w:ascii="Times New Roman" w:hAnsi="Times New Roman" w:cs="Times New Roman"/>
                <w:b/>
                <w:sz w:val="24"/>
                <w:szCs w:val="24"/>
              </w:rPr>
              <w:t>Highest rank (rank 1 = most important)</w:t>
            </w:r>
          </w:p>
        </w:tc>
        <w:tc>
          <w:tcPr>
            <w:tcW w:w="2880" w:type="dxa"/>
            <w:shd w:val="clear" w:color="auto" w:fill="D5DCE4" w:themeFill="text2" w:themeFillTint="33"/>
          </w:tcPr>
          <w:p w14:paraId="156F2162" w14:textId="77777777" w:rsidR="00863DF5" w:rsidRPr="006F3B00" w:rsidRDefault="00863DF5" w:rsidP="00863DF5">
            <w:pPr>
              <w:jc w:val="center"/>
              <w:rPr>
                <w:rFonts w:ascii="Times New Roman" w:hAnsi="Times New Roman" w:cs="Times New Roman"/>
                <w:b/>
                <w:sz w:val="24"/>
                <w:szCs w:val="24"/>
              </w:rPr>
            </w:pPr>
            <w:r w:rsidRPr="006F3B00">
              <w:rPr>
                <w:rFonts w:ascii="Times New Roman" w:hAnsi="Times New Roman" w:cs="Times New Roman"/>
                <w:b/>
                <w:sz w:val="24"/>
                <w:szCs w:val="24"/>
              </w:rPr>
              <w:t>Item</w:t>
            </w:r>
          </w:p>
        </w:tc>
      </w:tr>
      <w:tr w:rsidR="00863DF5" w:rsidRPr="006F3B00" w14:paraId="059E0747" w14:textId="77777777" w:rsidTr="001F2DFF">
        <w:tc>
          <w:tcPr>
            <w:tcW w:w="1004" w:type="dxa"/>
          </w:tcPr>
          <w:p w14:paraId="028C59DD"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9.4</w:t>
            </w:r>
          </w:p>
        </w:tc>
        <w:tc>
          <w:tcPr>
            <w:tcW w:w="2776" w:type="dxa"/>
          </w:tcPr>
          <w:p w14:paraId="64F74708" w14:textId="29768810" w:rsidR="00613779" w:rsidRDefault="00613779" w:rsidP="007C4CD8">
            <w:pPr>
              <w:rPr>
                <w:rFonts w:ascii="Times New Roman" w:hAnsi="Times New Roman" w:cs="Times New Roman"/>
                <w:b/>
                <w:sz w:val="24"/>
                <w:szCs w:val="24"/>
              </w:rPr>
            </w:pPr>
            <w:r>
              <w:rPr>
                <w:rFonts w:ascii="Times New Roman" w:hAnsi="Times New Roman" w:cs="Times New Roman"/>
                <w:b/>
                <w:sz w:val="24"/>
                <w:szCs w:val="24"/>
              </w:rPr>
              <w:t>The patient’s report</w:t>
            </w:r>
          </w:p>
          <w:p w14:paraId="5D60361F" w14:textId="6BC0F802" w:rsidR="00863DF5" w:rsidRPr="00613779" w:rsidRDefault="00863DF5" w:rsidP="007C4CD8">
            <w:pPr>
              <w:rPr>
                <w:rFonts w:ascii="Times New Roman" w:hAnsi="Times New Roman" w:cs="Times New Roman"/>
                <w:b/>
                <w:sz w:val="24"/>
                <w:szCs w:val="24"/>
              </w:rPr>
            </w:pPr>
            <w:r w:rsidRPr="006F3B00">
              <w:rPr>
                <w:rFonts w:ascii="Times New Roman" w:hAnsi="Times New Roman" w:cs="Times New Roman"/>
                <w:sz w:val="24"/>
                <w:szCs w:val="24"/>
              </w:rPr>
              <w:t xml:space="preserve">26. Report ensures the clinician/surgeon receives the appropriate message </w:t>
            </w:r>
          </w:p>
        </w:tc>
        <w:tc>
          <w:tcPr>
            <w:tcW w:w="1980" w:type="dxa"/>
          </w:tcPr>
          <w:p w14:paraId="4F091E00"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1</w:t>
            </w:r>
          </w:p>
        </w:tc>
        <w:tc>
          <w:tcPr>
            <w:tcW w:w="2880" w:type="dxa"/>
          </w:tcPr>
          <w:p w14:paraId="503E1FDF" w14:textId="77777777" w:rsidR="00D9063F" w:rsidRPr="00637866" w:rsidRDefault="00D9063F" w:rsidP="00863DF5">
            <w:pPr>
              <w:rPr>
                <w:rFonts w:ascii="Times New Roman" w:hAnsi="Times New Roman" w:cs="Times New Roman"/>
                <w:b/>
                <w:sz w:val="24"/>
                <w:szCs w:val="24"/>
              </w:rPr>
            </w:pPr>
            <w:r w:rsidRPr="00637866">
              <w:rPr>
                <w:rFonts w:ascii="Times New Roman" w:hAnsi="Times New Roman" w:cs="Times New Roman"/>
                <w:b/>
                <w:sz w:val="24"/>
                <w:szCs w:val="24"/>
              </w:rPr>
              <w:t>Reflection</w:t>
            </w:r>
          </w:p>
          <w:p w14:paraId="2BD0D592" w14:textId="0022C076"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16. Trainee is aware of their own limitations</w:t>
            </w:r>
          </w:p>
        </w:tc>
      </w:tr>
      <w:tr w:rsidR="00863DF5" w:rsidRPr="006F3B00" w14:paraId="7B492108" w14:textId="77777777" w:rsidTr="001F2DFF">
        <w:tc>
          <w:tcPr>
            <w:tcW w:w="1004" w:type="dxa"/>
          </w:tcPr>
          <w:p w14:paraId="1A89DBFA"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9.3</w:t>
            </w:r>
          </w:p>
        </w:tc>
        <w:tc>
          <w:tcPr>
            <w:tcW w:w="2776" w:type="dxa"/>
          </w:tcPr>
          <w:p w14:paraId="1E3022A3" w14:textId="263BBB1F" w:rsidR="00D9063F" w:rsidRPr="00637866" w:rsidRDefault="00D9063F" w:rsidP="00863DF5">
            <w:pPr>
              <w:rPr>
                <w:rFonts w:ascii="Times New Roman" w:hAnsi="Times New Roman" w:cs="Times New Roman"/>
                <w:b/>
                <w:sz w:val="24"/>
                <w:szCs w:val="24"/>
              </w:rPr>
            </w:pPr>
            <w:r w:rsidRPr="00637866">
              <w:rPr>
                <w:rFonts w:ascii="Times New Roman" w:hAnsi="Times New Roman" w:cs="Times New Roman"/>
                <w:b/>
                <w:sz w:val="24"/>
                <w:szCs w:val="24"/>
              </w:rPr>
              <w:t>Reflection</w:t>
            </w:r>
          </w:p>
          <w:p w14:paraId="35C8CD9A" w14:textId="392A1338"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16. Trainee is aware of their own limitations</w:t>
            </w:r>
          </w:p>
        </w:tc>
        <w:tc>
          <w:tcPr>
            <w:tcW w:w="1980" w:type="dxa"/>
          </w:tcPr>
          <w:p w14:paraId="7384673B"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2</w:t>
            </w:r>
          </w:p>
        </w:tc>
        <w:tc>
          <w:tcPr>
            <w:tcW w:w="2880" w:type="dxa"/>
          </w:tcPr>
          <w:p w14:paraId="14454F1B" w14:textId="77777777" w:rsidR="00D9063F" w:rsidRPr="00637866" w:rsidRDefault="00D9063F" w:rsidP="00863DF5">
            <w:pPr>
              <w:rPr>
                <w:rFonts w:ascii="Times New Roman" w:hAnsi="Times New Roman" w:cs="Times New Roman"/>
                <w:b/>
                <w:sz w:val="24"/>
                <w:szCs w:val="24"/>
              </w:rPr>
            </w:pPr>
            <w:r w:rsidRPr="00637866">
              <w:rPr>
                <w:rFonts w:ascii="Times New Roman" w:hAnsi="Times New Roman" w:cs="Times New Roman"/>
                <w:b/>
                <w:sz w:val="24"/>
                <w:szCs w:val="24"/>
              </w:rPr>
              <w:t>Forming a diagnosis</w:t>
            </w:r>
          </w:p>
          <w:p w14:paraId="39793DEB" w14:textId="0D4E6A01"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 xml:space="preserve">13. Trainee follows sound pathological principles to reach a diagnosis </w:t>
            </w:r>
          </w:p>
        </w:tc>
      </w:tr>
      <w:tr w:rsidR="00863DF5" w:rsidRPr="006F3B00" w14:paraId="0E011095" w14:textId="77777777" w:rsidTr="001F2DFF">
        <w:tc>
          <w:tcPr>
            <w:tcW w:w="1004" w:type="dxa"/>
          </w:tcPr>
          <w:p w14:paraId="3F8526BE"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9.3</w:t>
            </w:r>
          </w:p>
        </w:tc>
        <w:tc>
          <w:tcPr>
            <w:tcW w:w="2776" w:type="dxa"/>
          </w:tcPr>
          <w:p w14:paraId="254294F9" w14:textId="77777777" w:rsidR="00D9063F" w:rsidRPr="00637866" w:rsidRDefault="00D9063F" w:rsidP="00863DF5">
            <w:pPr>
              <w:rPr>
                <w:rFonts w:ascii="Times New Roman" w:hAnsi="Times New Roman" w:cs="Times New Roman"/>
                <w:b/>
                <w:sz w:val="24"/>
                <w:szCs w:val="24"/>
              </w:rPr>
            </w:pPr>
            <w:r w:rsidRPr="00637866">
              <w:rPr>
                <w:rFonts w:ascii="Times New Roman" w:hAnsi="Times New Roman" w:cs="Times New Roman"/>
                <w:b/>
                <w:sz w:val="24"/>
                <w:szCs w:val="24"/>
              </w:rPr>
              <w:t>Reflection</w:t>
            </w:r>
          </w:p>
          <w:p w14:paraId="722C2428" w14:textId="1086FA72"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18. Trainee shows evidence of improvement following reflection</w:t>
            </w:r>
          </w:p>
        </w:tc>
        <w:tc>
          <w:tcPr>
            <w:tcW w:w="1980" w:type="dxa"/>
          </w:tcPr>
          <w:p w14:paraId="22740A45" w14:textId="77777777"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3</w:t>
            </w:r>
          </w:p>
        </w:tc>
        <w:tc>
          <w:tcPr>
            <w:tcW w:w="2880" w:type="dxa"/>
          </w:tcPr>
          <w:p w14:paraId="4F60A0DD" w14:textId="77777777" w:rsidR="00D9063F" w:rsidRPr="00637866" w:rsidRDefault="00D9063F" w:rsidP="00863DF5">
            <w:pPr>
              <w:rPr>
                <w:rFonts w:ascii="Times New Roman" w:hAnsi="Times New Roman" w:cs="Times New Roman"/>
                <w:b/>
                <w:sz w:val="24"/>
                <w:szCs w:val="24"/>
              </w:rPr>
            </w:pPr>
            <w:r w:rsidRPr="00637866">
              <w:rPr>
                <w:rFonts w:ascii="Times New Roman" w:hAnsi="Times New Roman" w:cs="Times New Roman"/>
                <w:b/>
                <w:sz w:val="24"/>
                <w:szCs w:val="24"/>
              </w:rPr>
              <w:t>Trust</w:t>
            </w:r>
          </w:p>
          <w:p w14:paraId="58BAB6BB" w14:textId="6C673B73" w:rsidR="00863DF5" w:rsidRPr="006F3B00" w:rsidRDefault="00863DF5" w:rsidP="00863DF5">
            <w:pPr>
              <w:rPr>
                <w:rFonts w:ascii="Times New Roman" w:hAnsi="Times New Roman" w:cs="Times New Roman"/>
                <w:sz w:val="24"/>
                <w:szCs w:val="24"/>
              </w:rPr>
            </w:pPr>
            <w:r w:rsidRPr="006F3B00">
              <w:rPr>
                <w:rFonts w:ascii="Times New Roman" w:hAnsi="Times New Roman" w:cs="Times New Roman"/>
                <w:sz w:val="24"/>
                <w:szCs w:val="24"/>
              </w:rPr>
              <w:t>22. Trainee asks for help/second opinion when needed</w:t>
            </w:r>
          </w:p>
        </w:tc>
      </w:tr>
    </w:tbl>
    <w:p w14:paraId="3CEE4B6D" w14:textId="3A19C1B6" w:rsidR="00E1668B" w:rsidRPr="006F3B00" w:rsidRDefault="001A1B84" w:rsidP="00E1668B">
      <w:pPr>
        <w:spacing w:line="240" w:lineRule="auto"/>
        <w:rPr>
          <w:rFonts w:ascii="Times New Roman" w:hAnsi="Times New Roman" w:cs="Times New Roman"/>
          <w:b/>
          <w:sz w:val="24"/>
          <w:szCs w:val="24"/>
        </w:rPr>
      </w:pPr>
      <w:r>
        <w:rPr>
          <w:rFonts w:ascii="Times New Roman" w:hAnsi="Times New Roman" w:cs="Times New Roman"/>
          <w:b/>
          <w:sz w:val="24"/>
          <w:szCs w:val="24"/>
        </w:rPr>
        <w:t>Table 5.14</w:t>
      </w:r>
      <w:r w:rsidR="00E1668B">
        <w:rPr>
          <w:rFonts w:ascii="Times New Roman" w:hAnsi="Times New Roman" w:cs="Times New Roman"/>
          <w:b/>
          <w:sz w:val="24"/>
          <w:szCs w:val="24"/>
        </w:rPr>
        <w:t>.</w:t>
      </w:r>
      <w:r w:rsidR="00E1668B" w:rsidRPr="006F3B00">
        <w:rPr>
          <w:rFonts w:ascii="Times New Roman" w:hAnsi="Times New Roman" w:cs="Times New Roman"/>
          <w:b/>
          <w:sz w:val="24"/>
          <w:szCs w:val="24"/>
        </w:rPr>
        <w:t xml:space="preserve"> Items which had the highest mean score or were ranked as being most important</w:t>
      </w:r>
      <w:r w:rsidR="00E1668B">
        <w:rPr>
          <w:rFonts w:ascii="Times New Roman" w:hAnsi="Times New Roman" w:cs="Times New Roman"/>
          <w:b/>
          <w:sz w:val="24"/>
          <w:szCs w:val="24"/>
        </w:rPr>
        <w:t xml:space="preserve"> in round 2. </w:t>
      </w:r>
      <w:r w:rsidR="00E1668B">
        <w:rPr>
          <w:rFonts w:ascii="Times New Roman" w:hAnsi="Times New Roman" w:cs="Times New Roman"/>
          <w:sz w:val="24"/>
          <w:szCs w:val="24"/>
        </w:rPr>
        <w:t>Note, some items have been shortened for reasons of clarity.</w:t>
      </w:r>
    </w:p>
    <w:p w14:paraId="1079835D" w14:textId="57428305" w:rsidR="00863DF5" w:rsidRPr="005E7689" w:rsidRDefault="001A1B84" w:rsidP="005E768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5.15</w:t>
      </w:r>
      <w:r w:rsidR="00863DF5" w:rsidRPr="006F3B00">
        <w:rPr>
          <w:rFonts w:ascii="Times New Roman" w:hAnsi="Times New Roman" w:cs="Times New Roman"/>
          <w:sz w:val="24"/>
          <w:szCs w:val="24"/>
        </w:rPr>
        <w:t xml:space="preserve"> shows those items which had the lowest mean score and also the items which were ranked as being least important when determining diagnostic competence after round 2.</w:t>
      </w:r>
      <w:r w:rsidR="003E37FA">
        <w:rPr>
          <w:rFonts w:ascii="Times New Roman" w:hAnsi="Times New Roman" w:cs="Times New Roman"/>
          <w:sz w:val="24"/>
          <w:szCs w:val="24"/>
        </w:rPr>
        <w:t xml:space="preserve"> Ite</w:t>
      </w:r>
      <w:r w:rsidR="00532530">
        <w:rPr>
          <w:rFonts w:ascii="Times New Roman" w:hAnsi="Times New Roman" w:cs="Times New Roman"/>
          <w:sz w:val="24"/>
          <w:szCs w:val="24"/>
        </w:rPr>
        <w:t>ms 2</w:t>
      </w:r>
      <w:r w:rsidR="00250904">
        <w:rPr>
          <w:rFonts w:ascii="Times New Roman" w:hAnsi="Times New Roman" w:cs="Times New Roman"/>
          <w:sz w:val="24"/>
          <w:szCs w:val="24"/>
        </w:rPr>
        <w:t xml:space="preserve"> (</w:t>
      </w:r>
      <w:r w:rsidR="006624F4">
        <w:rPr>
          <w:rFonts w:ascii="Times New Roman" w:hAnsi="Times New Roman" w:cs="Times New Roman"/>
          <w:sz w:val="24"/>
          <w:szCs w:val="24"/>
        </w:rPr>
        <w:t>“</w:t>
      </w:r>
      <w:r w:rsidR="00250904" w:rsidRPr="00250904">
        <w:rPr>
          <w:rFonts w:ascii="Times New Roman" w:hAnsi="Times New Roman" w:cs="Times New Roman"/>
          <w:sz w:val="24"/>
          <w:szCs w:val="24"/>
        </w:rPr>
        <w:t>RCPath curricula and training guidelines</w:t>
      </w:r>
      <w:r w:rsidR="006624F4">
        <w:rPr>
          <w:rFonts w:ascii="Times New Roman" w:hAnsi="Times New Roman" w:cs="Times New Roman"/>
          <w:sz w:val="24"/>
          <w:szCs w:val="24"/>
        </w:rPr>
        <w:t>”</w:t>
      </w:r>
      <w:r w:rsidR="00250904">
        <w:rPr>
          <w:rFonts w:ascii="Times New Roman" w:hAnsi="Times New Roman" w:cs="Times New Roman"/>
          <w:sz w:val="24"/>
          <w:szCs w:val="24"/>
        </w:rPr>
        <w:t>)</w:t>
      </w:r>
      <w:r w:rsidR="006624F4">
        <w:rPr>
          <w:rFonts w:ascii="Times New Roman" w:hAnsi="Times New Roman" w:cs="Times New Roman"/>
          <w:sz w:val="24"/>
          <w:szCs w:val="24"/>
        </w:rPr>
        <w:t xml:space="preserve"> </w:t>
      </w:r>
      <w:r w:rsidR="004A582B">
        <w:rPr>
          <w:rFonts w:ascii="Times New Roman" w:hAnsi="Times New Roman" w:cs="Times New Roman"/>
          <w:sz w:val="24"/>
          <w:szCs w:val="24"/>
        </w:rPr>
        <w:t>under “</w:t>
      </w:r>
      <w:r w:rsidR="00250904">
        <w:rPr>
          <w:rFonts w:ascii="Times New Roman" w:hAnsi="Times New Roman" w:cs="Times New Roman"/>
          <w:sz w:val="24"/>
          <w:szCs w:val="24"/>
        </w:rPr>
        <w:t>S</w:t>
      </w:r>
      <w:r w:rsidR="006624F4">
        <w:rPr>
          <w:rFonts w:ascii="Times New Roman" w:hAnsi="Times New Roman" w:cs="Times New Roman"/>
          <w:sz w:val="24"/>
          <w:szCs w:val="24"/>
        </w:rPr>
        <w:t>tage of training”</w:t>
      </w:r>
      <w:r w:rsidR="00532530">
        <w:rPr>
          <w:rFonts w:ascii="Times New Roman" w:hAnsi="Times New Roman" w:cs="Times New Roman"/>
          <w:sz w:val="24"/>
          <w:szCs w:val="24"/>
        </w:rPr>
        <w:t>, 4</w:t>
      </w:r>
      <w:r w:rsidR="00250904">
        <w:rPr>
          <w:rFonts w:ascii="Times New Roman" w:hAnsi="Times New Roman" w:cs="Times New Roman"/>
          <w:sz w:val="24"/>
          <w:szCs w:val="24"/>
        </w:rPr>
        <w:t xml:space="preserve"> (</w:t>
      </w:r>
      <w:r w:rsidR="006624F4">
        <w:rPr>
          <w:rFonts w:ascii="Times New Roman" w:hAnsi="Times New Roman" w:cs="Times New Roman"/>
          <w:sz w:val="24"/>
          <w:szCs w:val="24"/>
        </w:rPr>
        <w:t>“</w:t>
      </w:r>
      <w:r w:rsidR="00250904" w:rsidRPr="00250904">
        <w:rPr>
          <w:rFonts w:ascii="Times New Roman" w:hAnsi="Times New Roman" w:cs="Times New Roman"/>
          <w:sz w:val="24"/>
          <w:szCs w:val="24"/>
        </w:rPr>
        <w:t>Individual cases in an examination setting</w:t>
      </w:r>
      <w:r w:rsidR="00250904">
        <w:rPr>
          <w:rFonts w:ascii="Times New Roman" w:hAnsi="Times New Roman" w:cs="Times New Roman"/>
          <w:sz w:val="24"/>
          <w:szCs w:val="24"/>
        </w:rPr>
        <w:t>’)</w:t>
      </w:r>
      <w:r w:rsidR="006624F4">
        <w:rPr>
          <w:rFonts w:ascii="Times New Roman" w:hAnsi="Times New Roman" w:cs="Times New Roman"/>
          <w:sz w:val="24"/>
          <w:szCs w:val="24"/>
        </w:rPr>
        <w:t xml:space="preserve"> </w:t>
      </w:r>
      <w:r w:rsidR="004A582B">
        <w:rPr>
          <w:rFonts w:ascii="Times New Roman" w:hAnsi="Times New Roman" w:cs="Times New Roman"/>
          <w:sz w:val="24"/>
          <w:szCs w:val="24"/>
        </w:rPr>
        <w:t>under “</w:t>
      </w:r>
      <w:r w:rsidR="00250904">
        <w:rPr>
          <w:rFonts w:ascii="Times New Roman" w:hAnsi="Times New Roman" w:cs="Times New Roman"/>
          <w:sz w:val="24"/>
          <w:szCs w:val="24"/>
        </w:rPr>
        <w:t>T</w:t>
      </w:r>
      <w:r w:rsidR="006624F4">
        <w:rPr>
          <w:rFonts w:ascii="Times New Roman" w:hAnsi="Times New Roman" w:cs="Times New Roman"/>
          <w:sz w:val="24"/>
          <w:szCs w:val="24"/>
        </w:rPr>
        <w:t>iming”</w:t>
      </w:r>
      <w:r w:rsidR="00532530">
        <w:rPr>
          <w:rFonts w:ascii="Times New Roman" w:hAnsi="Times New Roman" w:cs="Times New Roman"/>
          <w:sz w:val="24"/>
          <w:szCs w:val="24"/>
        </w:rPr>
        <w:t xml:space="preserve"> and 23</w:t>
      </w:r>
      <w:r w:rsidR="004A582B">
        <w:rPr>
          <w:rFonts w:ascii="Times New Roman" w:hAnsi="Times New Roman" w:cs="Times New Roman"/>
          <w:sz w:val="24"/>
          <w:szCs w:val="24"/>
        </w:rPr>
        <w:t xml:space="preserve"> </w:t>
      </w:r>
      <w:r w:rsidR="006624F4">
        <w:rPr>
          <w:rFonts w:ascii="Times New Roman" w:hAnsi="Times New Roman" w:cs="Times New Roman"/>
          <w:sz w:val="24"/>
          <w:szCs w:val="24"/>
        </w:rPr>
        <w:t>(“</w:t>
      </w:r>
      <w:r w:rsidR="00250904" w:rsidRPr="00250904">
        <w:rPr>
          <w:rFonts w:ascii="Times New Roman" w:hAnsi="Times New Roman" w:cs="Times New Roman"/>
          <w:sz w:val="24"/>
          <w:szCs w:val="24"/>
        </w:rPr>
        <w:t>Your opinion of a trainee’s diagnostic competence is related to an overall impression</w:t>
      </w:r>
      <w:r w:rsidR="006624F4">
        <w:rPr>
          <w:rFonts w:ascii="Times New Roman" w:hAnsi="Times New Roman" w:cs="Times New Roman"/>
          <w:sz w:val="24"/>
          <w:szCs w:val="24"/>
        </w:rPr>
        <w:t>”</w:t>
      </w:r>
      <w:r w:rsidR="00250904">
        <w:rPr>
          <w:rFonts w:ascii="Times New Roman" w:hAnsi="Times New Roman" w:cs="Times New Roman"/>
          <w:sz w:val="24"/>
          <w:szCs w:val="24"/>
        </w:rPr>
        <w:t>)</w:t>
      </w:r>
      <w:r w:rsidR="00250904" w:rsidRPr="00250904">
        <w:rPr>
          <w:rFonts w:ascii="Times New Roman" w:hAnsi="Times New Roman" w:cs="Times New Roman"/>
          <w:sz w:val="24"/>
          <w:szCs w:val="24"/>
        </w:rPr>
        <w:t xml:space="preserve"> </w:t>
      </w:r>
      <w:r w:rsidR="004A582B">
        <w:rPr>
          <w:rFonts w:ascii="Times New Roman" w:hAnsi="Times New Roman" w:cs="Times New Roman"/>
          <w:sz w:val="24"/>
          <w:szCs w:val="24"/>
        </w:rPr>
        <w:t>under “</w:t>
      </w:r>
      <w:r w:rsidR="00250904">
        <w:rPr>
          <w:rFonts w:ascii="Times New Roman" w:hAnsi="Times New Roman" w:cs="Times New Roman"/>
          <w:sz w:val="24"/>
          <w:szCs w:val="24"/>
        </w:rPr>
        <w:t>T</w:t>
      </w:r>
      <w:r w:rsidR="004A582B">
        <w:rPr>
          <w:rFonts w:ascii="Times New Roman" w:hAnsi="Times New Roman" w:cs="Times New Roman"/>
          <w:sz w:val="24"/>
          <w:szCs w:val="24"/>
        </w:rPr>
        <w:t>rust”</w:t>
      </w:r>
      <w:r w:rsidR="00532530">
        <w:rPr>
          <w:rFonts w:ascii="Times New Roman" w:hAnsi="Times New Roman" w:cs="Times New Roman"/>
          <w:sz w:val="24"/>
          <w:szCs w:val="24"/>
        </w:rPr>
        <w:t xml:space="preserve"> </w:t>
      </w:r>
      <w:r w:rsidR="00BA7E91">
        <w:rPr>
          <w:rFonts w:ascii="Times New Roman" w:hAnsi="Times New Roman" w:cs="Times New Roman"/>
          <w:sz w:val="24"/>
          <w:szCs w:val="24"/>
        </w:rPr>
        <w:t xml:space="preserve">received </w:t>
      </w:r>
      <w:r w:rsidR="00532530">
        <w:rPr>
          <w:rFonts w:ascii="Times New Roman" w:hAnsi="Times New Roman" w:cs="Times New Roman"/>
          <w:sz w:val="24"/>
          <w:szCs w:val="24"/>
        </w:rPr>
        <w:t xml:space="preserve">both </w:t>
      </w:r>
      <w:r w:rsidR="00BA7E91">
        <w:rPr>
          <w:rFonts w:ascii="Times New Roman" w:hAnsi="Times New Roman" w:cs="Times New Roman"/>
          <w:sz w:val="24"/>
          <w:szCs w:val="24"/>
        </w:rPr>
        <w:t xml:space="preserve">the </w:t>
      </w:r>
      <w:r w:rsidR="00532530">
        <w:rPr>
          <w:rFonts w:ascii="Times New Roman" w:hAnsi="Times New Roman" w:cs="Times New Roman"/>
          <w:sz w:val="24"/>
          <w:szCs w:val="24"/>
        </w:rPr>
        <w:t>lowest mean score</w:t>
      </w:r>
      <w:r w:rsidR="00BA7E91">
        <w:rPr>
          <w:rFonts w:ascii="Times New Roman" w:hAnsi="Times New Roman" w:cs="Times New Roman"/>
          <w:sz w:val="24"/>
          <w:szCs w:val="24"/>
        </w:rPr>
        <w:t>s</w:t>
      </w:r>
      <w:r w:rsidR="00532530">
        <w:rPr>
          <w:rFonts w:ascii="Times New Roman" w:hAnsi="Times New Roman" w:cs="Times New Roman"/>
          <w:sz w:val="24"/>
          <w:szCs w:val="24"/>
        </w:rPr>
        <w:t xml:space="preserve"> and </w:t>
      </w:r>
      <w:r w:rsidR="00BA7E91">
        <w:rPr>
          <w:rFonts w:ascii="Times New Roman" w:hAnsi="Times New Roman" w:cs="Times New Roman"/>
          <w:sz w:val="24"/>
          <w:szCs w:val="24"/>
        </w:rPr>
        <w:t xml:space="preserve">were </w:t>
      </w:r>
      <w:r w:rsidR="00532530">
        <w:rPr>
          <w:rFonts w:ascii="Times New Roman" w:hAnsi="Times New Roman" w:cs="Times New Roman"/>
          <w:sz w:val="24"/>
          <w:szCs w:val="24"/>
        </w:rPr>
        <w:t xml:space="preserve">ranked </w:t>
      </w:r>
      <w:r w:rsidR="00BA7E91">
        <w:rPr>
          <w:rFonts w:ascii="Times New Roman" w:hAnsi="Times New Roman" w:cs="Times New Roman"/>
          <w:sz w:val="24"/>
          <w:szCs w:val="24"/>
        </w:rPr>
        <w:t xml:space="preserve">least important. </w:t>
      </w:r>
      <w:r w:rsidR="00532530">
        <w:rPr>
          <w:rFonts w:ascii="Times New Roman" w:hAnsi="Times New Roman" w:cs="Times New Roman"/>
          <w:sz w:val="24"/>
          <w:szCs w:val="24"/>
        </w:rPr>
        <w:t xml:space="preserve"> </w:t>
      </w:r>
      <w:r w:rsidR="00BA7E91">
        <w:rPr>
          <w:rFonts w:ascii="Times New Roman" w:hAnsi="Times New Roman" w:cs="Times New Roman"/>
          <w:sz w:val="24"/>
          <w:szCs w:val="24"/>
        </w:rPr>
        <w:t xml:space="preserve">In addition </w:t>
      </w:r>
      <w:r w:rsidR="001B18AD">
        <w:rPr>
          <w:rFonts w:ascii="Times New Roman" w:hAnsi="Times New Roman" w:cs="Times New Roman"/>
          <w:sz w:val="24"/>
          <w:szCs w:val="24"/>
        </w:rPr>
        <w:t xml:space="preserve">item 23 </w:t>
      </w:r>
      <w:r w:rsidR="00BA7E91">
        <w:rPr>
          <w:rFonts w:ascii="Times New Roman" w:hAnsi="Times New Roman" w:cs="Times New Roman"/>
          <w:sz w:val="24"/>
          <w:szCs w:val="24"/>
        </w:rPr>
        <w:t xml:space="preserve">received the lowest mean score and was ranked jointly with item 4 as the least important. </w:t>
      </w:r>
    </w:p>
    <w:tbl>
      <w:tblPr>
        <w:tblpPr w:leftFromText="180" w:rightFromText="180" w:vertAnchor="page" w:horzAnchor="margin" w:tblpY="5581"/>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2285"/>
        <w:gridCol w:w="2520"/>
        <w:gridCol w:w="2880"/>
      </w:tblGrid>
      <w:tr w:rsidR="001F2DFF" w:rsidRPr="006F3B00" w14:paraId="498AF0F0" w14:textId="77777777" w:rsidTr="001F2DFF">
        <w:trPr>
          <w:trHeight w:val="1070"/>
        </w:trPr>
        <w:tc>
          <w:tcPr>
            <w:tcW w:w="950" w:type="dxa"/>
            <w:shd w:val="clear" w:color="auto" w:fill="F2F2F2" w:themeFill="background1" w:themeFillShade="F2"/>
          </w:tcPr>
          <w:p w14:paraId="720C211F" w14:textId="77777777" w:rsidR="001F2DFF" w:rsidRPr="006F3B00" w:rsidRDefault="001F2DFF" w:rsidP="001F2DFF">
            <w:pPr>
              <w:jc w:val="center"/>
              <w:rPr>
                <w:rFonts w:ascii="Times New Roman" w:hAnsi="Times New Roman" w:cs="Times New Roman"/>
                <w:b/>
                <w:sz w:val="24"/>
                <w:szCs w:val="24"/>
              </w:rPr>
            </w:pPr>
            <w:r w:rsidRPr="006F3B00">
              <w:rPr>
                <w:rFonts w:ascii="Times New Roman" w:hAnsi="Times New Roman" w:cs="Times New Roman"/>
                <w:b/>
                <w:sz w:val="24"/>
                <w:szCs w:val="24"/>
              </w:rPr>
              <w:t>Lowest mean score</w:t>
            </w:r>
          </w:p>
        </w:tc>
        <w:tc>
          <w:tcPr>
            <w:tcW w:w="2285" w:type="dxa"/>
            <w:shd w:val="clear" w:color="auto" w:fill="F2F2F2" w:themeFill="background1" w:themeFillShade="F2"/>
          </w:tcPr>
          <w:p w14:paraId="565FA2D6" w14:textId="77777777" w:rsidR="001F2DFF" w:rsidRPr="006F3B00" w:rsidRDefault="001F2DFF" w:rsidP="001F2DFF">
            <w:pPr>
              <w:jc w:val="center"/>
              <w:rPr>
                <w:rFonts w:ascii="Times New Roman" w:hAnsi="Times New Roman" w:cs="Times New Roman"/>
                <w:b/>
                <w:sz w:val="24"/>
                <w:szCs w:val="24"/>
              </w:rPr>
            </w:pPr>
            <w:r w:rsidRPr="006F3B00">
              <w:rPr>
                <w:rFonts w:ascii="Times New Roman" w:hAnsi="Times New Roman" w:cs="Times New Roman"/>
                <w:b/>
                <w:sz w:val="24"/>
                <w:szCs w:val="24"/>
              </w:rPr>
              <w:t>Item</w:t>
            </w:r>
          </w:p>
        </w:tc>
        <w:tc>
          <w:tcPr>
            <w:tcW w:w="2520" w:type="dxa"/>
            <w:shd w:val="clear" w:color="auto" w:fill="D5DCE4" w:themeFill="text2" w:themeFillTint="33"/>
          </w:tcPr>
          <w:p w14:paraId="2DF6E042" w14:textId="77777777" w:rsidR="001F2DFF" w:rsidRPr="006F3B00" w:rsidRDefault="001F2DFF" w:rsidP="001F2DFF">
            <w:pPr>
              <w:rPr>
                <w:rFonts w:ascii="Times New Roman" w:hAnsi="Times New Roman" w:cs="Times New Roman"/>
                <w:b/>
                <w:sz w:val="24"/>
                <w:szCs w:val="24"/>
              </w:rPr>
            </w:pPr>
            <w:r w:rsidRPr="006F3B00">
              <w:rPr>
                <w:rFonts w:ascii="Times New Roman" w:hAnsi="Times New Roman" w:cs="Times New Roman"/>
                <w:b/>
                <w:sz w:val="24"/>
                <w:szCs w:val="24"/>
              </w:rPr>
              <w:t>Lowest rank (rank 1 = least important)</w:t>
            </w:r>
          </w:p>
        </w:tc>
        <w:tc>
          <w:tcPr>
            <w:tcW w:w="2880" w:type="dxa"/>
            <w:shd w:val="clear" w:color="auto" w:fill="D5DCE4" w:themeFill="text2" w:themeFillTint="33"/>
          </w:tcPr>
          <w:p w14:paraId="730608C2" w14:textId="77777777" w:rsidR="001F2DFF" w:rsidRPr="006F3B00" w:rsidRDefault="001F2DFF" w:rsidP="001F2DFF">
            <w:pPr>
              <w:jc w:val="center"/>
              <w:rPr>
                <w:rFonts w:ascii="Times New Roman" w:hAnsi="Times New Roman" w:cs="Times New Roman"/>
                <w:b/>
                <w:sz w:val="24"/>
                <w:szCs w:val="24"/>
              </w:rPr>
            </w:pPr>
            <w:r w:rsidRPr="006F3B00">
              <w:rPr>
                <w:rFonts w:ascii="Times New Roman" w:hAnsi="Times New Roman" w:cs="Times New Roman"/>
                <w:b/>
                <w:sz w:val="24"/>
                <w:szCs w:val="24"/>
              </w:rPr>
              <w:t>Item</w:t>
            </w:r>
          </w:p>
        </w:tc>
      </w:tr>
      <w:tr w:rsidR="001F2DFF" w:rsidRPr="006F3B00" w14:paraId="57D15FD4" w14:textId="77777777" w:rsidTr="001F2DFF">
        <w:trPr>
          <w:trHeight w:val="1982"/>
        </w:trPr>
        <w:tc>
          <w:tcPr>
            <w:tcW w:w="950" w:type="dxa"/>
          </w:tcPr>
          <w:p w14:paraId="724A07C4"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6.2</w:t>
            </w:r>
          </w:p>
        </w:tc>
        <w:tc>
          <w:tcPr>
            <w:tcW w:w="2285" w:type="dxa"/>
          </w:tcPr>
          <w:p w14:paraId="1D18EF94" w14:textId="77777777" w:rsidR="001F2DFF" w:rsidRDefault="001F2DFF" w:rsidP="001F2DFF">
            <w:pPr>
              <w:spacing w:line="240" w:lineRule="auto"/>
              <w:rPr>
                <w:rFonts w:ascii="Times New Roman" w:hAnsi="Times New Roman" w:cs="Times New Roman"/>
                <w:b/>
                <w:sz w:val="24"/>
                <w:szCs w:val="24"/>
              </w:rPr>
            </w:pPr>
            <w:r w:rsidRPr="00613779">
              <w:rPr>
                <w:rFonts w:ascii="Times New Roman" w:hAnsi="Times New Roman" w:cs="Times New Roman"/>
                <w:b/>
                <w:sz w:val="24"/>
                <w:szCs w:val="24"/>
              </w:rPr>
              <w:t>Trust</w:t>
            </w:r>
          </w:p>
          <w:p w14:paraId="60ABC087" w14:textId="77777777" w:rsidR="001F2DFF" w:rsidRPr="00613779" w:rsidRDefault="001F2DFF" w:rsidP="001F2DFF">
            <w:pPr>
              <w:spacing w:line="240" w:lineRule="auto"/>
              <w:rPr>
                <w:rFonts w:ascii="Times New Roman" w:hAnsi="Times New Roman" w:cs="Times New Roman"/>
                <w:b/>
                <w:sz w:val="24"/>
                <w:szCs w:val="24"/>
              </w:rPr>
            </w:pPr>
            <w:r w:rsidRPr="006F3B00">
              <w:rPr>
                <w:rFonts w:ascii="Times New Roman" w:hAnsi="Times New Roman" w:cs="Times New Roman"/>
                <w:sz w:val="24"/>
                <w:szCs w:val="24"/>
              </w:rPr>
              <w:t xml:space="preserve">23. Your opinion of a trainee’s diagnostic competence is related to an overall impression </w:t>
            </w:r>
          </w:p>
        </w:tc>
        <w:tc>
          <w:tcPr>
            <w:tcW w:w="2520" w:type="dxa"/>
          </w:tcPr>
          <w:p w14:paraId="3805EAFD"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=1</w:t>
            </w:r>
          </w:p>
        </w:tc>
        <w:tc>
          <w:tcPr>
            <w:tcW w:w="2880" w:type="dxa"/>
          </w:tcPr>
          <w:p w14:paraId="5614AD9F" w14:textId="77777777" w:rsidR="001F2DFF" w:rsidRDefault="001F2DFF" w:rsidP="001F2DFF">
            <w:pPr>
              <w:spacing w:line="240" w:lineRule="auto"/>
              <w:rPr>
                <w:rFonts w:ascii="Times New Roman" w:hAnsi="Times New Roman" w:cs="Times New Roman"/>
                <w:b/>
                <w:sz w:val="24"/>
                <w:szCs w:val="24"/>
              </w:rPr>
            </w:pPr>
            <w:r w:rsidRPr="00613779">
              <w:rPr>
                <w:rFonts w:ascii="Times New Roman" w:hAnsi="Times New Roman" w:cs="Times New Roman"/>
                <w:b/>
                <w:sz w:val="24"/>
                <w:szCs w:val="24"/>
              </w:rPr>
              <w:t>Trust</w:t>
            </w:r>
          </w:p>
          <w:p w14:paraId="72559210" w14:textId="77777777" w:rsidR="001F2DFF" w:rsidRPr="00613779" w:rsidRDefault="001F2DFF" w:rsidP="001F2DFF">
            <w:pPr>
              <w:spacing w:line="240" w:lineRule="auto"/>
              <w:rPr>
                <w:rFonts w:ascii="Times New Roman" w:hAnsi="Times New Roman" w:cs="Times New Roman"/>
                <w:b/>
                <w:sz w:val="24"/>
                <w:szCs w:val="24"/>
              </w:rPr>
            </w:pPr>
            <w:r w:rsidRPr="001B18AD">
              <w:rPr>
                <w:rFonts w:ascii="Times New Roman" w:hAnsi="Times New Roman" w:cs="Times New Roman"/>
                <w:sz w:val="24"/>
                <w:szCs w:val="24"/>
              </w:rPr>
              <w:t>23. Your opinion of a trainee’s diagnostic competence is related to an overall impression</w:t>
            </w:r>
          </w:p>
        </w:tc>
      </w:tr>
      <w:tr w:rsidR="001F2DFF" w:rsidRPr="006F3B00" w14:paraId="7B8A727F" w14:textId="77777777" w:rsidTr="001F2DFF">
        <w:trPr>
          <w:trHeight w:val="1264"/>
        </w:trPr>
        <w:tc>
          <w:tcPr>
            <w:tcW w:w="950" w:type="dxa"/>
          </w:tcPr>
          <w:p w14:paraId="16563723"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6.8</w:t>
            </w:r>
          </w:p>
        </w:tc>
        <w:tc>
          <w:tcPr>
            <w:tcW w:w="2285" w:type="dxa"/>
          </w:tcPr>
          <w:p w14:paraId="048DFB81" w14:textId="77777777" w:rsidR="001F2DFF" w:rsidRPr="00613779" w:rsidRDefault="001F2DFF" w:rsidP="001F2DFF">
            <w:pPr>
              <w:spacing w:line="240" w:lineRule="auto"/>
              <w:rPr>
                <w:rFonts w:ascii="Times New Roman" w:hAnsi="Times New Roman" w:cs="Times New Roman"/>
                <w:b/>
                <w:sz w:val="24"/>
                <w:szCs w:val="24"/>
              </w:rPr>
            </w:pPr>
            <w:r w:rsidRPr="00613779">
              <w:rPr>
                <w:rFonts w:ascii="Times New Roman" w:hAnsi="Times New Roman" w:cs="Times New Roman"/>
                <w:b/>
                <w:sz w:val="24"/>
                <w:szCs w:val="24"/>
              </w:rPr>
              <w:t>Timing</w:t>
            </w:r>
          </w:p>
          <w:p w14:paraId="55F649C5"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4. Individual cases in an examination setting</w:t>
            </w:r>
          </w:p>
        </w:tc>
        <w:tc>
          <w:tcPr>
            <w:tcW w:w="2520" w:type="dxa"/>
          </w:tcPr>
          <w:p w14:paraId="6478F676"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=1</w:t>
            </w:r>
          </w:p>
        </w:tc>
        <w:tc>
          <w:tcPr>
            <w:tcW w:w="2880" w:type="dxa"/>
          </w:tcPr>
          <w:p w14:paraId="0F93FC4A" w14:textId="77777777" w:rsidR="001F2DFF" w:rsidRPr="00613779" w:rsidRDefault="001F2DFF" w:rsidP="001F2DFF">
            <w:pPr>
              <w:spacing w:line="240" w:lineRule="auto"/>
              <w:rPr>
                <w:rFonts w:ascii="Times New Roman" w:hAnsi="Times New Roman" w:cs="Times New Roman"/>
                <w:b/>
                <w:sz w:val="24"/>
                <w:szCs w:val="24"/>
              </w:rPr>
            </w:pPr>
            <w:r w:rsidRPr="00613779">
              <w:rPr>
                <w:rFonts w:ascii="Times New Roman" w:hAnsi="Times New Roman" w:cs="Times New Roman"/>
                <w:b/>
                <w:sz w:val="24"/>
                <w:szCs w:val="24"/>
              </w:rPr>
              <w:t>Timing</w:t>
            </w:r>
          </w:p>
          <w:p w14:paraId="3B425A2E"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4. Individual cases in an examination setting</w:t>
            </w:r>
          </w:p>
        </w:tc>
      </w:tr>
      <w:tr w:rsidR="001F2DFF" w:rsidRPr="006F3B00" w14:paraId="36BCDC1F" w14:textId="77777777" w:rsidTr="001F2DFF">
        <w:trPr>
          <w:trHeight w:val="1250"/>
        </w:trPr>
        <w:tc>
          <w:tcPr>
            <w:tcW w:w="950" w:type="dxa"/>
          </w:tcPr>
          <w:p w14:paraId="09575F89"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7</w:t>
            </w:r>
          </w:p>
        </w:tc>
        <w:tc>
          <w:tcPr>
            <w:tcW w:w="2285" w:type="dxa"/>
          </w:tcPr>
          <w:p w14:paraId="77F8C5BC" w14:textId="77777777" w:rsidR="001F2DFF" w:rsidRPr="00613779" w:rsidRDefault="001F2DFF" w:rsidP="001F2DFF">
            <w:pPr>
              <w:spacing w:line="240" w:lineRule="auto"/>
              <w:rPr>
                <w:rFonts w:ascii="Times New Roman" w:hAnsi="Times New Roman" w:cs="Times New Roman"/>
                <w:b/>
                <w:sz w:val="24"/>
                <w:szCs w:val="24"/>
              </w:rPr>
            </w:pPr>
            <w:r w:rsidRPr="00613779">
              <w:rPr>
                <w:rFonts w:ascii="Times New Roman" w:hAnsi="Times New Roman" w:cs="Times New Roman"/>
                <w:b/>
                <w:sz w:val="24"/>
                <w:szCs w:val="24"/>
              </w:rPr>
              <w:t>Stage of training</w:t>
            </w:r>
          </w:p>
          <w:p w14:paraId="1DC6BBA1"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2. RCPath cu</w:t>
            </w:r>
            <w:r>
              <w:rPr>
                <w:rFonts w:ascii="Times New Roman" w:hAnsi="Times New Roman" w:cs="Times New Roman"/>
                <w:sz w:val="24"/>
                <w:szCs w:val="24"/>
              </w:rPr>
              <w:t>rricula and training guidelines</w:t>
            </w:r>
          </w:p>
        </w:tc>
        <w:tc>
          <w:tcPr>
            <w:tcW w:w="2520" w:type="dxa"/>
          </w:tcPr>
          <w:p w14:paraId="6C18CC8D"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3</w:t>
            </w:r>
          </w:p>
        </w:tc>
        <w:tc>
          <w:tcPr>
            <w:tcW w:w="2880" w:type="dxa"/>
          </w:tcPr>
          <w:p w14:paraId="0E6C3EDA" w14:textId="77777777" w:rsidR="001F2DFF" w:rsidRPr="00613779" w:rsidRDefault="001F2DFF" w:rsidP="001F2DFF">
            <w:pPr>
              <w:spacing w:line="240" w:lineRule="auto"/>
              <w:rPr>
                <w:rFonts w:ascii="Times New Roman" w:hAnsi="Times New Roman" w:cs="Times New Roman"/>
                <w:b/>
                <w:sz w:val="24"/>
                <w:szCs w:val="24"/>
              </w:rPr>
            </w:pPr>
            <w:r w:rsidRPr="00613779">
              <w:rPr>
                <w:rFonts w:ascii="Times New Roman" w:hAnsi="Times New Roman" w:cs="Times New Roman"/>
                <w:b/>
                <w:sz w:val="24"/>
                <w:szCs w:val="24"/>
              </w:rPr>
              <w:t>Stage of training</w:t>
            </w:r>
          </w:p>
          <w:p w14:paraId="69B3EDF6" w14:textId="77777777" w:rsidR="001F2DFF" w:rsidRPr="006F3B00" w:rsidRDefault="001F2DFF" w:rsidP="001F2DFF">
            <w:pPr>
              <w:spacing w:line="240" w:lineRule="auto"/>
              <w:rPr>
                <w:rFonts w:ascii="Times New Roman" w:hAnsi="Times New Roman" w:cs="Times New Roman"/>
                <w:sz w:val="24"/>
                <w:szCs w:val="24"/>
              </w:rPr>
            </w:pPr>
            <w:r w:rsidRPr="006F3B00">
              <w:rPr>
                <w:rFonts w:ascii="Times New Roman" w:hAnsi="Times New Roman" w:cs="Times New Roman"/>
                <w:sz w:val="24"/>
                <w:szCs w:val="24"/>
              </w:rPr>
              <w:t xml:space="preserve">2. RCPath curricula and </w:t>
            </w:r>
            <w:r>
              <w:rPr>
                <w:rFonts w:ascii="Times New Roman" w:hAnsi="Times New Roman" w:cs="Times New Roman"/>
                <w:sz w:val="24"/>
                <w:szCs w:val="24"/>
              </w:rPr>
              <w:t>training guidelines</w:t>
            </w:r>
          </w:p>
        </w:tc>
      </w:tr>
    </w:tbl>
    <w:p w14:paraId="0BA0F30F" w14:textId="77777777" w:rsidR="001F2DFF" w:rsidRPr="006F3B00" w:rsidRDefault="001F2DFF" w:rsidP="001F2DFF">
      <w:pPr>
        <w:spacing w:line="240" w:lineRule="auto"/>
        <w:rPr>
          <w:rFonts w:ascii="Times New Roman" w:hAnsi="Times New Roman" w:cs="Times New Roman"/>
          <w:b/>
          <w:sz w:val="24"/>
          <w:szCs w:val="24"/>
        </w:rPr>
      </w:pPr>
      <w:r>
        <w:rPr>
          <w:rFonts w:ascii="Times New Roman" w:hAnsi="Times New Roman" w:cs="Times New Roman"/>
          <w:b/>
          <w:sz w:val="24"/>
          <w:szCs w:val="24"/>
        </w:rPr>
        <w:t>Table 5.15.</w:t>
      </w:r>
      <w:r w:rsidRPr="006F3B00">
        <w:rPr>
          <w:rFonts w:ascii="Times New Roman" w:hAnsi="Times New Roman" w:cs="Times New Roman"/>
          <w:b/>
          <w:sz w:val="24"/>
          <w:szCs w:val="24"/>
        </w:rPr>
        <w:t xml:space="preserve"> Items which had the lowest mean score or were ranked as being least important</w:t>
      </w:r>
      <w:r>
        <w:rPr>
          <w:rFonts w:ascii="Times New Roman" w:hAnsi="Times New Roman" w:cs="Times New Roman"/>
          <w:b/>
          <w:sz w:val="24"/>
          <w:szCs w:val="24"/>
        </w:rPr>
        <w:t xml:space="preserve"> in round 2. </w:t>
      </w:r>
      <w:r>
        <w:rPr>
          <w:rFonts w:ascii="Times New Roman" w:hAnsi="Times New Roman" w:cs="Times New Roman"/>
          <w:sz w:val="24"/>
          <w:szCs w:val="24"/>
        </w:rPr>
        <w:t>Note, some items have been shortened for reasons of clarity.</w:t>
      </w:r>
    </w:p>
    <w:p w14:paraId="5F32977F" w14:textId="57100005" w:rsidR="001F2DFF" w:rsidRDefault="001F2DFF" w:rsidP="001F2DFF">
      <w:pPr>
        <w:rPr>
          <w:lang w:val="en-GB"/>
        </w:rPr>
      </w:pPr>
    </w:p>
    <w:p w14:paraId="1BDDB0D0" w14:textId="599818DB" w:rsidR="001F2DFF" w:rsidRDefault="001F2DFF" w:rsidP="001F2DFF">
      <w:pPr>
        <w:rPr>
          <w:lang w:val="en-GB"/>
        </w:rPr>
      </w:pPr>
    </w:p>
    <w:p w14:paraId="3AFE7DEC" w14:textId="6E848472" w:rsidR="001F2DFF" w:rsidRDefault="001F2DFF" w:rsidP="001F2DFF">
      <w:pPr>
        <w:rPr>
          <w:lang w:val="en-GB"/>
        </w:rPr>
      </w:pPr>
    </w:p>
    <w:p w14:paraId="6CDA0711" w14:textId="5975A154" w:rsidR="001F2DFF" w:rsidRDefault="001F2DFF" w:rsidP="001F2DFF">
      <w:pPr>
        <w:rPr>
          <w:lang w:val="en-GB"/>
        </w:rPr>
      </w:pPr>
    </w:p>
    <w:p w14:paraId="10BAEA23" w14:textId="2A54DA48" w:rsidR="001F2DFF" w:rsidRDefault="001F2DFF" w:rsidP="001F2DFF">
      <w:pPr>
        <w:rPr>
          <w:lang w:val="en-GB"/>
        </w:rPr>
      </w:pPr>
    </w:p>
    <w:p w14:paraId="1446B34E" w14:textId="266C374B" w:rsidR="001F2DFF" w:rsidRDefault="001F2DFF" w:rsidP="001F2DFF">
      <w:pPr>
        <w:rPr>
          <w:lang w:val="en-GB"/>
        </w:rPr>
      </w:pPr>
    </w:p>
    <w:p w14:paraId="20920EDE" w14:textId="77777777" w:rsidR="001F2DFF" w:rsidRPr="001F2DFF" w:rsidRDefault="001F2DFF" w:rsidP="001F2DFF">
      <w:pPr>
        <w:rPr>
          <w:lang w:val="en-GB"/>
        </w:rPr>
      </w:pPr>
    </w:p>
    <w:p w14:paraId="03082415" w14:textId="55EFA2CB" w:rsidR="00863DF5" w:rsidRDefault="007A712D" w:rsidP="007A712D">
      <w:pPr>
        <w:pStyle w:val="Heading3"/>
        <w:rPr>
          <w:rFonts w:ascii="Times New Roman" w:hAnsi="Times New Roman" w:cs="Times New Roman"/>
          <w:color w:val="auto"/>
          <w:sz w:val="24"/>
          <w:szCs w:val="24"/>
        </w:rPr>
      </w:pPr>
      <w:bookmarkStart w:id="113" w:name="_Toc23243842"/>
      <w:r w:rsidRPr="007A712D">
        <w:rPr>
          <w:rFonts w:ascii="Times New Roman" w:hAnsi="Times New Roman" w:cs="Times New Roman"/>
          <w:color w:val="auto"/>
          <w:sz w:val="24"/>
          <w:szCs w:val="24"/>
        </w:rPr>
        <w:lastRenderedPageBreak/>
        <w:t>5.4.</w:t>
      </w:r>
      <w:r>
        <w:rPr>
          <w:rFonts w:ascii="Times New Roman" w:hAnsi="Times New Roman" w:cs="Times New Roman"/>
          <w:color w:val="auto"/>
          <w:sz w:val="24"/>
          <w:szCs w:val="24"/>
        </w:rPr>
        <w:t>6</w:t>
      </w:r>
      <w:r w:rsidRPr="007A712D">
        <w:rPr>
          <w:rFonts w:ascii="Times New Roman" w:hAnsi="Times New Roman" w:cs="Times New Roman"/>
          <w:color w:val="auto"/>
          <w:sz w:val="24"/>
          <w:szCs w:val="24"/>
        </w:rPr>
        <w:t xml:space="preserve"> </w:t>
      </w:r>
      <w:r w:rsidR="00863DF5" w:rsidRPr="007A712D">
        <w:rPr>
          <w:rFonts w:ascii="Times New Roman" w:hAnsi="Times New Roman" w:cs="Times New Roman"/>
          <w:color w:val="auto"/>
          <w:sz w:val="24"/>
          <w:szCs w:val="24"/>
        </w:rPr>
        <w:t>Round 2 comments relating to ranking items</w:t>
      </w:r>
      <w:bookmarkEnd w:id="113"/>
    </w:p>
    <w:p w14:paraId="1F1D1F2C" w14:textId="77777777" w:rsidR="007A712D" w:rsidRPr="007A712D" w:rsidRDefault="007A712D" w:rsidP="007A712D">
      <w:pPr>
        <w:rPr>
          <w:lang w:val="en-GB"/>
        </w:rPr>
      </w:pPr>
    </w:p>
    <w:p w14:paraId="0E42D3F4" w14:textId="0B48C068" w:rsidR="00F91872" w:rsidRPr="00F91872" w:rsidRDefault="00F91872" w:rsidP="00863DF5">
      <w:pPr>
        <w:spacing w:line="480" w:lineRule="auto"/>
        <w:rPr>
          <w:rFonts w:ascii="Times New Roman" w:hAnsi="Times New Roman" w:cs="Times New Roman"/>
          <w:sz w:val="24"/>
          <w:szCs w:val="24"/>
        </w:rPr>
      </w:pPr>
      <w:r w:rsidRPr="00B46E57">
        <w:rPr>
          <w:rFonts w:ascii="Times New Roman" w:hAnsi="Times New Roman" w:cs="Times New Roman"/>
        </w:rPr>
        <w:t xml:space="preserve">Where applicable, these comments have been </w:t>
      </w:r>
      <w:r w:rsidR="002879AC">
        <w:rPr>
          <w:rFonts w:ascii="Times New Roman" w:hAnsi="Times New Roman" w:cs="Times New Roman"/>
        </w:rPr>
        <w:t>comp</w:t>
      </w:r>
      <w:r w:rsidR="001A1B84">
        <w:rPr>
          <w:rFonts w:ascii="Times New Roman" w:hAnsi="Times New Roman" w:cs="Times New Roman"/>
        </w:rPr>
        <w:t>ared to Tables 5.14</w:t>
      </w:r>
      <w:r>
        <w:rPr>
          <w:rFonts w:ascii="Times New Roman" w:hAnsi="Times New Roman" w:cs="Times New Roman"/>
        </w:rPr>
        <w:t xml:space="preserve"> </w:t>
      </w:r>
      <w:r w:rsidR="00BA7E91">
        <w:rPr>
          <w:rFonts w:ascii="Times New Roman" w:hAnsi="Times New Roman" w:cs="Times New Roman"/>
        </w:rPr>
        <w:t xml:space="preserve">(highest mean score or ranked items) </w:t>
      </w:r>
      <w:r w:rsidR="00F277C6">
        <w:rPr>
          <w:rFonts w:ascii="Times New Roman" w:hAnsi="Times New Roman" w:cs="Times New Roman"/>
        </w:rPr>
        <w:t>and</w:t>
      </w:r>
      <w:r w:rsidR="001A1B84">
        <w:rPr>
          <w:rFonts w:ascii="Times New Roman" w:hAnsi="Times New Roman" w:cs="Times New Roman"/>
        </w:rPr>
        <w:t xml:space="preserve"> 5.15</w:t>
      </w:r>
      <w:r w:rsidR="002879AC">
        <w:rPr>
          <w:rFonts w:ascii="Times New Roman" w:hAnsi="Times New Roman" w:cs="Times New Roman"/>
        </w:rPr>
        <w:t xml:space="preserve"> </w:t>
      </w:r>
      <w:r w:rsidR="00BA7E91">
        <w:rPr>
          <w:rFonts w:ascii="Times New Roman" w:hAnsi="Times New Roman" w:cs="Times New Roman"/>
        </w:rPr>
        <w:t xml:space="preserve">(lowest mean scores and ranked items) </w:t>
      </w:r>
      <w:r>
        <w:rPr>
          <w:rFonts w:ascii="Times New Roman" w:hAnsi="Times New Roman" w:cs="Times New Roman"/>
        </w:rPr>
        <w:t xml:space="preserve">to see </w:t>
      </w:r>
      <w:r w:rsidR="00250904">
        <w:rPr>
          <w:rFonts w:ascii="Times New Roman" w:hAnsi="Times New Roman" w:cs="Times New Roman"/>
        </w:rPr>
        <w:t xml:space="preserve">their relationship to </w:t>
      </w:r>
      <w:r>
        <w:rPr>
          <w:rFonts w:ascii="Times New Roman" w:hAnsi="Times New Roman" w:cs="Times New Roman"/>
        </w:rPr>
        <w:t>the results.</w:t>
      </w:r>
    </w:p>
    <w:p w14:paraId="0A099619" w14:textId="1B9BDD42" w:rsidR="00863DF5" w:rsidRDefault="00863DF5" w:rsidP="00863DF5">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“Repeat scoring is interesting – is there anchoring bias here – I do like the concept that one can change their mind having seen the bigger picture though. Ranking the 3 least important more difficult than most important. If a trainee completes with sound principles in box 13 then their training has been successful in my opinion. If they are good at 13 with the aid of 10 then that is even better – they will be good consultants”.</w:t>
      </w:r>
    </w:p>
    <w:p w14:paraId="2CCFFAC0" w14:textId="686CAD3E" w:rsidR="007C4CD8" w:rsidRDefault="007C4CD8" w:rsidP="00720D92">
      <w:pPr>
        <w:spacing w:line="480" w:lineRule="auto"/>
        <w:rPr>
          <w:rFonts w:ascii="Times New Roman" w:hAnsi="Times New Roman" w:cs="Times New Roman"/>
          <w:sz w:val="24"/>
          <w:szCs w:val="24"/>
        </w:rPr>
      </w:pPr>
      <w:r>
        <w:rPr>
          <w:rFonts w:ascii="Times New Roman" w:hAnsi="Times New Roman" w:cs="Times New Roman"/>
          <w:sz w:val="24"/>
          <w:szCs w:val="24"/>
        </w:rPr>
        <w:t>This comment supports item 13.</w:t>
      </w:r>
      <w:r w:rsidRPr="006F3B00">
        <w:rPr>
          <w:rFonts w:ascii="Times New Roman" w:hAnsi="Times New Roman" w:cs="Times New Roman"/>
          <w:sz w:val="24"/>
          <w:szCs w:val="24"/>
        </w:rPr>
        <w:t xml:space="preserve"> </w:t>
      </w:r>
      <w:r>
        <w:rPr>
          <w:rFonts w:ascii="Times New Roman" w:hAnsi="Times New Roman" w:cs="Times New Roman"/>
          <w:sz w:val="24"/>
          <w:szCs w:val="24"/>
        </w:rPr>
        <w:t>“</w:t>
      </w:r>
      <w:r w:rsidRPr="006F3B00">
        <w:rPr>
          <w:rFonts w:ascii="Times New Roman" w:hAnsi="Times New Roman" w:cs="Times New Roman"/>
          <w:sz w:val="24"/>
          <w:szCs w:val="24"/>
        </w:rPr>
        <w:t>Trainee follows sound pathological principles to reach a diagnosis</w:t>
      </w:r>
      <w:r>
        <w:rPr>
          <w:rFonts w:ascii="Times New Roman" w:hAnsi="Times New Roman" w:cs="Times New Roman"/>
          <w:sz w:val="24"/>
          <w:szCs w:val="24"/>
        </w:rPr>
        <w:t xml:space="preserve">” </w:t>
      </w:r>
      <w:r w:rsidR="00DB73DE">
        <w:rPr>
          <w:rFonts w:ascii="Times New Roman" w:hAnsi="Times New Roman" w:cs="Times New Roman"/>
          <w:sz w:val="24"/>
          <w:szCs w:val="24"/>
        </w:rPr>
        <w:t xml:space="preserve">which was </w:t>
      </w:r>
      <w:r>
        <w:rPr>
          <w:rFonts w:ascii="Times New Roman" w:hAnsi="Times New Roman" w:cs="Times New Roman"/>
          <w:sz w:val="24"/>
          <w:szCs w:val="24"/>
        </w:rPr>
        <w:t>ranked as the second most important item</w:t>
      </w:r>
      <w:r w:rsidR="001A1B84">
        <w:rPr>
          <w:rFonts w:ascii="Times New Roman" w:hAnsi="Times New Roman" w:cs="Times New Roman"/>
          <w:sz w:val="24"/>
          <w:szCs w:val="24"/>
        </w:rPr>
        <w:t xml:space="preserve"> (Table 5.14</w:t>
      </w:r>
      <w:r w:rsidR="00DB73DE">
        <w:rPr>
          <w:rFonts w:ascii="Times New Roman" w:hAnsi="Times New Roman" w:cs="Times New Roman"/>
          <w:sz w:val="24"/>
          <w:szCs w:val="24"/>
        </w:rPr>
        <w:t>)</w:t>
      </w:r>
      <w:r>
        <w:rPr>
          <w:rFonts w:ascii="Times New Roman" w:hAnsi="Times New Roman" w:cs="Times New Roman"/>
          <w:sz w:val="24"/>
          <w:szCs w:val="24"/>
        </w:rPr>
        <w:t>.</w:t>
      </w:r>
      <w:r w:rsidR="00F91872">
        <w:rPr>
          <w:rFonts w:ascii="Times New Roman" w:hAnsi="Times New Roman" w:cs="Times New Roman"/>
          <w:sz w:val="24"/>
          <w:szCs w:val="24"/>
        </w:rPr>
        <w:t xml:space="preserve"> However, in contrast, item 10 “</w:t>
      </w:r>
      <w:r w:rsidR="00F91872" w:rsidRPr="006F3B00">
        <w:rPr>
          <w:rFonts w:ascii="Times New Roman" w:hAnsi="Times New Roman" w:cs="Times New Roman"/>
          <w:sz w:val="24"/>
          <w:szCs w:val="24"/>
        </w:rPr>
        <w:t>Trainee consistent</w:t>
      </w:r>
      <w:r w:rsidR="00F91872">
        <w:rPr>
          <w:rFonts w:ascii="Times New Roman" w:hAnsi="Times New Roman" w:cs="Times New Roman"/>
          <w:sz w:val="24"/>
          <w:szCs w:val="24"/>
        </w:rPr>
        <w:t>ly produces a correct diagnosis commensurate with the stage of training” did n</w:t>
      </w:r>
      <w:r w:rsidR="00F03D7D">
        <w:rPr>
          <w:rFonts w:ascii="Times New Roman" w:hAnsi="Times New Roman" w:cs="Times New Roman"/>
          <w:sz w:val="24"/>
          <w:szCs w:val="24"/>
        </w:rPr>
        <w:t>ot score highly (mean score 7.7</w:t>
      </w:r>
      <w:r w:rsidR="00F91872">
        <w:rPr>
          <w:rFonts w:ascii="Times New Roman" w:hAnsi="Times New Roman" w:cs="Times New Roman"/>
          <w:sz w:val="24"/>
          <w:szCs w:val="24"/>
        </w:rPr>
        <w:t>) nor reach “consensus in” after 2 rounds</w:t>
      </w:r>
      <w:r w:rsidR="00F03D7D">
        <w:rPr>
          <w:rFonts w:ascii="Times New Roman" w:hAnsi="Times New Roman" w:cs="Times New Roman"/>
          <w:sz w:val="24"/>
          <w:szCs w:val="24"/>
        </w:rPr>
        <w:t xml:space="preserve"> (</w:t>
      </w:r>
      <w:r w:rsidR="002879AC">
        <w:rPr>
          <w:rFonts w:ascii="Times New Roman" w:hAnsi="Times New Roman" w:cs="Times New Roman"/>
          <w:sz w:val="24"/>
          <w:szCs w:val="24"/>
        </w:rPr>
        <w:t>Table 5.8</w:t>
      </w:r>
      <w:r w:rsidR="0021526D">
        <w:rPr>
          <w:rFonts w:ascii="Times New Roman" w:hAnsi="Times New Roman" w:cs="Times New Roman"/>
          <w:sz w:val="24"/>
          <w:szCs w:val="24"/>
        </w:rPr>
        <w:t>).</w:t>
      </w:r>
    </w:p>
    <w:p w14:paraId="401AA44B" w14:textId="77777777" w:rsidR="00F91872" w:rsidRDefault="00F91872" w:rsidP="00F91872">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“Snapshots and adherence to tick boxes (ticking off the curriculum etc.) is of limited benefit and can be gamed.  Accuracy, the basis of which is understood and reflected on is what is required.”</w:t>
      </w:r>
    </w:p>
    <w:p w14:paraId="6E5C5836" w14:textId="35D19E79" w:rsidR="00F91872" w:rsidRPr="007C4CD8" w:rsidRDefault="00F91872" w:rsidP="00720D92">
      <w:pPr>
        <w:spacing w:line="480" w:lineRule="auto"/>
        <w:rPr>
          <w:rFonts w:ascii="Times New Roman" w:hAnsi="Times New Roman" w:cs="Times New Roman"/>
          <w:sz w:val="24"/>
          <w:szCs w:val="24"/>
        </w:rPr>
      </w:pPr>
      <w:r w:rsidRPr="00720D92">
        <w:rPr>
          <w:rFonts w:ascii="Times New Roman" w:hAnsi="Times New Roman" w:cs="Times New Roman"/>
          <w:sz w:val="24"/>
          <w:szCs w:val="24"/>
        </w:rPr>
        <w:t>This comment</w:t>
      </w:r>
      <w:r>
        <w:rPr>
          <w:rFonts w:ascii="Times New Roman" w:hAnsi="Times New Roman" w:cs="Times New Roman"/>
          <w:sz w:val="24"/>
          <w:szCs w:val="24"/>
        </w:rPr>
        <w:t xml:space="preserve"> supports item 16 “</w:t>
      </w:r>
      <w:r w:rsidRPr="00720D92">
        <w:rPr>
          <w:rFonts w:ascii="Times New Roman" w:hAnsi="Times New Roman" w:cs="Times New Roman"/>
          <w:sz w:val="24"/>
          <w:szCs w:val="24"/>
        </w:rPr>
        <w:t>Trainee is aware of their own limitations</w:t>
      </w:r>
      <w:r>
        <w:rPr>
          <w:rFonts w:ascii="Times New Roman" w:hAnsi="Times New Roman" w:cs="Times New Roman"/>
          <w:sz w:val="24"/>
          <w:szCs w:val="24"/>
        </w:rPr>
        <w:t>”</w:t>
      </w:r>
      <w:r w:rsidRPr="00720D92">
        <w:rPr>
          <w:rFonts w:ascii="Times New Roman" w:hAnsi="Times New Roman" w:cs="Times New Roman"/>
          <w:sz w:val="24"/>
          <w:szCs w:val="24"/>
        </w:rPr>
        <w:t xml:space="preserve"> and item 18. </w:t>
      </w:r>
      <w:r>
        <w:rPr>
          <w:rFonts w:ascii="Times New Roman" w:hAnsi="Times New Roman" w:cs="Times New Roman"/>
          <w:sz w:val="24"/>
          <w:szCs w:val="24"/>
        </w:rPr>
        <w:t>“</w:t>
      </w:r>
      <w:r w:rsidRPr="00720D92">
        <w:rPr>
          <w:rFonts w:ascii="Times New Roman" w:hAnsi="Times New Roman" w:cs="Times New Roman"/>
          <w:sz w:val="24"/>
          <w:szCs w:val="24"/>
        </w:rPr>
        <w:t>Trainee shows evidence of improvement following reflection</w:t>
      </w:r>
      <w:r>
        <w:rPr>
          <w:rFonts w:ascii="Times New Roman" w:hAnsi="Times New Roman" w:cs="Times New Roman"/>
          <w:sz w:val="24"/>
          <w:szCs w:val="24"/>
        </w:rPr>
        <w:t>”</w:t>
      </w:r>
      <w:r w:rsidRPr="00720D92">
        <w:rPr>
          <w:rFonts w:ascii="Times New Roman" w:hAnsi="Times New Roman" w:cs="Times New Roman"/>
          <w:sz w:val="24"/>
          <w:szCs w:val="24"/>
        </w:rPr>
        <w:t xml:space="preserve"> </w:t>
      </w:r>
      <w:r w:rsidR="00DB73DE">
        <w:rPr>
          <w:rFonts w:ascii="Times New Roman" w:hAnsi="Times New Roman" w:cs="Times New Roman"/>
          <w:sz w:val="24"/>
          <w:szCs w:val="24"/>
        </w:rPr>
        <w:t>which were among the three highes</w:t>
      </w:r>
      <w:r w:rsidR="00304EB8">
        <w:rPr>
          <w:rFonts w:ascii="Times New Roman" w:hAnsi="Times New Roman" w:cs="Times New Roman"/>
          <w:sz w:val="24"/>
          <w:szCs w:val="24"/>
        </w:rPr>
        <w:t>t</w:t>
      </w:r>
      <w:r w:rsidR="00DB73DE">
        <w:rPr>
          <w:rFonts w:ascii="Times New Roman" w:hAnsi="Times New Roman" w:cs="Times New Roman"/>
          <w:sz w:val="24"/>
          <w:szCs w:val="24"/>
        </w:rPr>
        <w:t xml:space="preserve"> </w:t>
      </w:r>
      <w:r w:rsidR="00304EB8">
        <w:rPr>
          <w:rFonts w:ascii="Times New Roman" w:hAnsi="Times New Roman" w:cs="Times New Roman"/>
          <w:sz w:val="24"/>
          <w:szCs w:val="24"/>
        </w:rPr>
        <w:t xml:space="preserve">rated and </w:t>
      </w:r>
      <w:r w:rsidR="00DB73DE">
        <w:rPr>
          <w:rFonts w:ascii="Times New Roman" w:hAnsi="Times New Roman" w:cs="Times New Roman"/>
          <w:sz w:val="24"/>
          <w:szCs w:val="24"/>
        </w:rPr>
        <w:t>ranked</w:t>
      </w:r>
      <w:r w:rsidR="00304EB8">
        <w:rPr>
          <w:rFonts w:ascii="Times New Roman" w:hAnsi="Times New Roman" w:cs="Times New Roman"/>
          <w:sz w:val="24"/>
          <w:szCs w:val="24"/>
        </w:rPr>
        <w:t xml:space="preserve"> items – see </w:t>
      </w:r>
      <w:r w:rsidR="001A1B84">
        <w:rPr>
          <w:rFonts w:ascii="Times New Roman" w:hAnsi="Times New Roman" w:cs="Times New Roman"/>
          <w:sz w:val="24"/>
          <w:szCs w:val="24"/>
        </w:rPr>
        <w:t>Table 5.14</w:t>
      </w:r>
      <w:r>
        <w:rPr>
          <w:rFonts w:ascii="Times New Roman" w:hAnsi="Times New Roman" w:cs="Times New Roman"/>
          <w:sz w:val="24"/>
          <w:szCs w:val="24"/>
        </w:rPr>
        <w:t>.</w:t>
      </w:r>
    </w:p>
    <w:p w14:paraId="1F121BE6" w14:textId="15897E25" w:rsidR="00F91872" w:rsidRPr="00F91872" w:rsidRDefault="00F91872"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following comments do not help to explain the ranking but suggest the exercise was not straight-forward. </w:t>
      </w:r>
    </w:p>
    <w:p w14:paraId="41D35E08" w14:textId="023AA680" w:rsidR="00863DF5" w:rsidRPr="006F3B00" w:rsidRDefault="00863DF5" w:rsidP="00863DF5">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“I made a reading mistake on 23 first time that I rated it”.</w:t>
      </w:r>
    </w:p>
    <w:p w14:paraId="64CB4148" w14:textId="4CE88CF1" w:rsidR="007C4CD8" w:rsidRPr="006F3B00" w:rsidRDefault="00863DF5" w:rsidP="00863DF5">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lastRenderedPageBreak/>
        <w:t>“I have steered away from least important. College criteria are likely to change with new curriculum. Is competence the same as exam-based proof of ability? I’d a</w:t>
      </w:r>
      <w:r w:rsidR="00F91872">
        <w:rPr>
          <w:rFonts w:ascii="Times New Roman" w:hAnsi="Times New Roman" w:cs="Times New Roman"/>
          <w:i/>
          <w:sz w:val="24"/>
          <w:szCs w:val="24"/>
        </w:rPr>
        <w:t>rgue not – but this doesn’t</w:t>
      </w:r>
      <w:r w:rsidRPr="006F3B00">
        <w:rPr>
          <w:rFonts w:ascii="Times New Roman" w:hAnsi="Times New Roman" w:cs="Times New Roman"/>
          <w:i/>
          <w:sz w:val="24"/>
          <w:szCs w:val="24"/>
        </w:rPr>
        <w:t xml:space="preserve"> devalue the role of the exam”!</w:t>
      </w:r>
    </w:p>
    <w:p w14:paraId="649441F8" w14:textId="77777777" w:rsidR="00863DF5" w:rsidRDefault="00863DF5" w:rsidP="00863DF5">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“24 really important but is a summary so I haven’t put it in the first ranking”.</w:t>
      </w:r>
    </w:p>
    <w:p w14:paraId="06148D14" w14:textId="2D1084B3" w:rsidR="005E7689" w:rsidRPr="001F2DFF" w:rsidRDefault="00863DF5" w:rsidP="001F2DFF">
      <w:pPr>
        <w:spacing w:line="480" w:lineRule="auto"/>
        <w:rPr>
          <w:rFonts w:ascii="Times New Roman" w:hAnsi="Times New Roman" w:cs="Times New Roman"/>
          <w:i/>
          <w:sz w:val="24"/>
          <w:szCs w:val="24"/>
        </w:rPr>
      </w:pPr>
      <w:r w:rsidRPr="006F3B00">
        <w:rPr>
          <w:rFonts w:ascii="Times New Roman" w:hAnsi="Times New Roman" w:cs="Times New Roman"/>
          <w:i/>
          <w:sz w:val="24"/>
          <w:szCs w:val="24"/>
        </w:rPr>
        <w:t>“As before, difficult to decide on least important items.”</w:t>
      </w:r>
    </w:p>
    <w:p w14:paraId="41AA60AD" w14:textId="51E9815C" w:rsidR="00F91872" w:rsidRDefault="007A712D" w:rsidP="00F91872">
      <w:pPr>
        <w:pStyle w:val="Heading3"/>
        <w:rPr>
          <w:rFonts w:ascii="Times New Roman" w:hAnsi="Times New Roman" w:cs="Times New Roman"/>
          <w:color w:val="auto"/>
          <w:sz w:val="24"/>
          <w:szCs w:val="24"/>
        </w:rPr>
      </w:pPr>
      <w:bookmarkStart w:id="114" w:name="_Toc23243843"/>
      <w:r>
        <w:rPr>
          <w:rFonts w:ascii="Times New Roman" w:hAnsi="Times New Roman" w:cs="Times New Roman"/>
          <w:color w:val="auto"/>
          <w:sz w:val="24"/>
          <w:szCs w:val="24"/>
        </w:rPr>
        <w:t>5.4.7</w:t>
      </w:r>
      <w:r w:rsidR="00F91872" w:rsidRPr="00F91872">
        <w:rPr>
          <w:rFonts w:ascii="Times New Roman" w:hAnsi="Times New Roman" w:cs="Times New Roman"/>
          <w:color w:val="auto"/>
          <w:sz w:val="24"/>
          <w:szCs w:val="24"/>
        </w:rPr>
        <w:t xml:space="preserve"> Comparison of round 1 and round 2 ranking of items</w:t>
      </w:r>
      <w:bookmarkEnd w:id="114"/>
    </w:p>
    <w:p w14:paraId="395EE9DF" w14:textId="77777777" w:rsidR="00F91872" w:rsidRPr="00F91872" w:rsidRDefault="00F91872" w:rsidP="00F91872">
      <w:pPr>
        <w:rPr>
          <w:lang w:val="en-GB"/>
        </w:rPr>
      </w:pPr>
    </w:p>
    <w:p w14:paraId="7C8337E8" w14:textId="62523617" w:rsidR="004B24B7" w:rsidRPr="005E7689" w:rsidRDefault="004B24B7" w:rsidP="005E7689">
      <w:pPr>
        <w:spacing w:line="480" w:lineRule="auto"/>
        <w:rPr>
          <w:rFonts w:ascii="Times New Roman" w:hAnsi="Times New Roman" w:cs="Times New Roman"/>
          <w:sz w:val="24"/>
          <w:szCs w:val="24"/>
        </w:rPr>
      </w:pPr>
      <w:r w:rsidRPr="004B24B7">
        <w:rPr>
          <w:rFonts w:ascii="Times New Roman" w:hAnsi="Times New Roman" w:cs="Times New Roman"/>
        </w:rPr>
        <w:t xml:space="preserve">Tables </w:t>
      </w:r>
      <w:r w:rsidR="001A1B84">
        <w:rPr>
          <w:rFonts w:ascii="Times New Roman" w:hAnsi="Times New Roman" w:cs="Times New Roman"/>
        </w:rPr>
        <w:t>5.16 and 5.17</w:t>
      </w:r>
      <w:r w:rsidR="006673EC">
        <w:rPr>
          <w:rFonts w:ascii="Times New Roman" w:hAnsi="Times New Roman" w:cs="Times New Roman"/>
        </w:rPr>
        <w:t xml:space="preserve"> compare the</w:t>
      </w:r>
      <w:r w:rsidRPr="004B24B7">
        <w:rPr>
          <w:rFonts w:ascii="Times New Roman" w:hAnsi="Times New Roman" w:cs="Times New Roman"/>
        </w:rPr>
        <w:t xml:space="preserve"> </w:t>
      </w:r>
      <w:r w:rsidR="00D944D5">
        <w:rPr>
          <w:rFonts w:ascii="Times New Roman" w:hAnsi="Times New Roman" w:cs="Times New Roman"/>
        </w:rPr>
        <w:t xml:space="preserve">highest and lowest ranked </w:t>
      </w:r>
      <w:r w:rsidRPr="004B24B7">
        <w:rPr>
          <w:rFonts w:ascii="Times New Roman" w:hAnsi="Times New Roman" w:cs="Times New Roman"/>
        </w:rPr>
        <w:t>items</w:t>
      </w:r>
      <w:r w:rsidR="00D944D5">
        <w:rPr>
          <w:rFonts w:ascii="Times New Roman" w:hAnsi="Times New Roman" w:cs="Times New Roman"/>
        </w:rPr>
        <w:t xml:space="preserve"> respectively</w:t>
      </w:r>
      <w:r w:rsidRPr="004B24B7">
        <w:rPr>
          <w:rFonts w:ascii="Times New Roman" w:hAnsi="Times New Roman" w:cs="Times New Roman"/>
        </w:rPr>
        <w:t xml:space="preserve"> between rounds 1 and 2. </w:t>
      </w:r>
      <w:r w:rsidR="005B6303">
        <w:rPr>
          <w:rFonts w:ascii="Times New Roman" w:hAnsi="Times New Roman" w:cs="Times New Roman"/>
        </w:rPr>
        <w:t>In T</w:t>
      </w:r>
      <w:r w:rsidR="001A1B84">
        <w:rPr>
          <w:rFonts w:ascii="Times New Roman" w:hAnsi="Times New Roman" w:cs="Times New Roman"/>
        </w:rPr>
        <w:t>able 5.16</w:t>
      </w:r>
      <w:r w:rsidR="00304EB8">
        <w:rPr>
          <w:rFonts w:ascii="Times New Roman" w:hAnsi="Times New Roman" w:cs="Times New Roman"/>
        </w:rPr>
        <w:t xml:space="preserve">, </w:t>
      </w:r>
      <w:r w:rsidR="005B6303">
        <w:rPr>
          <w:rFonts w:ascii="Times New Roman" w:hAnsi="Times New Roman" w:cs="Times New Roman"/>
        </w:rPr>
        <w:t>only item 16</w:t>
      </w:r>
      <w:r w:rsidR="005E5816">
        <w:rPr>
          <w:rFonts w:ascii="Times New Roman" w:hAnsi="Times New Roman" w:cs="Times New Roman"/>
        </w:rPr>
        <w:t xml:space="preserve"> (‘</w:t>
      </w:r>
      <w:r w:rsidR="005E5816" w:rsidRPr="005E5816">
        <w:rPr>
          <w:rFonts w:ascii="Times New Roman" w:hAnsi="Times New Roman" w:cs="Times New Roman"/>
        </w:rPr>
        <w:t>Trainee is aware of their own limitations</w:t>
      </w:r>
      <w:r w:rsidR="005E5816">
        <w:rPr>
          <w:rFonts w:ascii="Times New Roman" w:hAnsi="Times New Roman" w:cs="Times New Roman"/>
        </w:rPr>
        <w:t xml:space="preserve">’) </w:t>
      </w:r>
      <w:r w:rsidR="006F7447">
        <w:rPr>
          <w:rFonts w:ascii="Times New Roman" w:hAnsi="Times New Roman" w:cs="Times New Roman"/>
        </w:rPr>
        <w:t xml:space="preserve">under </w:t>
      </w:r>
      <w:r w:rsidR="005E7689">
        <w:rPr>
          <w:rFonts w:ascii="Times New Roman" w:hAnsi="Times New Roman" w:cs="Times New Roman"/>
        </w:rPr>
        <w:t>“</w:t>
      </w:r>
      <w:r w:rsidR="005E5816">
        <w:rPr>
          <w:rFonts w:ascii="Times New Roman" w:hAnsi="Times New Roman" w:cs="Times New Roman"/>
        </w:rPr>
        <w:t>R</w:t>
      </w:r>
      <w:r w:rsidR="006F7447">
        <w:rPr>
          <w:rFonts w:ascii="Times New Roman" w:hAnsi="Times New Roman" w:cs="Times New Roman"/>
        </w:rPr>
        <w:t>eflection</w:t>
      </w:r>
      <w:r w:rsidR="005E7689">
        <w:rPr>
          <w:rFonts w:ascii="Times New Roman" w:hAnsi="Times New Roman" w:cs="Times New Roman"/>
        </w:rPr>
        <w:t>”</w:t>
      </w:r>
      <w:r w:rsidR="006F7447">
        <w:rPr>
          <w:rFonts w:ascii="Times New Roman" w:hAnsi="Times New Roman" w:cs="Times New Roman"/>
        </w:rPr>
        <w:t xml:space="preserve"> </w:t>
      </w:r>
      <w:r w:rsidR="005B6303">
        <w:rPr>
          <w:rFonts w:ascii="Times New Roman" w:hAnsi="Times New Roman" w:cs="Times New Roman"/>
        </w:rPr>
        <w:t>was ranked within the top three for both rounds</w:t>
      </w:r>
      <w:r w:rsidR="006F7447">
        <w:rPr>
          <w:rFonts w:ascii="Times New Roman" w:hAnsi="Times New Roman" w:cs="Times New Roman"/>
        </w:rPr>
        <w:t xml:space="preserve">. </w:t>
      </w:r>
      <w:r w:rsidR="00D944D5">
        <w:rPr>
          <w:rFonts w:ascii="Times New Roman" w:hAnsi="Times New Roman" w:cs="Times New Roman"/>
        </w:rPr>
        <w:t>T</w:t>
      </w:r>
      <w:r w:rsidR="005B6303">
        <w:rPr>
          <w:rFonts w:ascii="Times New Roman" w:hAnsi="Times New Roman" w:cs="Times New Roman"/>
        </w:rPr>
        <w:t xml:space="preserve">he other items </w:t>
      </w:r>
      <w:r w:rsidR="006F7447">
        <w:rPr>
          <w:rFonts w:ascii="Times New Roman" w:hAnsi="Times New Roman" w:cs="Times New Roman"/>
        </w:rPr>
        <w:t>differed. In round 1 items</w:t>
      </w:r>
      <w:r w:rsidR="00D944D5">
        <w:rPr>
          <w:rFonts w:ascii="Times New Roman" w:hAnsi="Times New Roman" w:cs="Times New Roman"/>
        </w:rPr>
        <w:t xml:space="preserve"> 12</w:t>
      </w:r>
      <w:r w:rsidR="005E5816">
        <w:rPr>
          <w:rFonts w:ascii="Times New Roman" w:hAnsi="Times New Roman" w:cs="Times New Roman"/>
        </w:rPr>
        <w:t xml:space="preserve"> (‘</w:t>
      </w:r>
      <w:r w:rsidR="005E5816" w:rsidRPr="005E5816">
        <w:rPr>
          <w:rFonts w:ascii="Times New Roman" w:hAnsi="Times New Roman" w:cs="Times New Roman"/>
        </w:rPr>
        <w:t>Trainee shows evidence of clinico-pathological correlation</w:t>
      </w:r>
      <w:r w:rsidR="005E5816">
        <w:rPr>
          <w:rFonts w:ascii="Times New Roman" w:hAnsi="Times New Roman" w:cs="Times New Roman"/>
        </w:rPr>
        <w:t>’)</w:t>
      </w:r>
      <w:r w:rsidR="00D944D5">
        <w:rPr>
          <w:rFonts w:ascii="Times New Roman" w:hAnsi="Times New Roman" w:cs="Times New Roman"/>
        </w:rPr>
        <w:t xml:space="preserve"> </w:t>
      </w:r>
      <w:r w:rsidR="004A582B">
        <w:rPr>
          <w:rFonts w:ascii="Times New Roman" w:hAnsi="Times New Roman" w:cs="Times New Roman"/>
        </w:rPr>
        <w:t>under “</w:t>
      </w:r>
      <w:r w:rsidR="005E5816">
        <w:rPr>
          <w:rFonts w:ascii="Times New Roman" w:hAnsi="Times New Roman" w:cs="Times New Roman"/>
        </w:rPr>
        <w:t>F</w:t>
      </w:r>
      <w:r w:rsidR="004A582B">
        <w:rPr>
          <w:rFonts w:ascii="Times New Roman" w:hAnsi="Times New Roman" w:cs="Times New Roman"/>
        </w:rPr>
        <w:t>orming a diagnosis”</w:t>
      </w:r>
      <w:r w:rsidR="006F7447">
        <w:rPr>
          <w:rFonts w:ascii="Times New Roman" w:hAnsi="Times New Roman" w:cs="Times New Roman"/>
        </w:rPr>
        <w:t xml:space="preserve"> and 8</w:t>
      </w:r>
      <w:r w:rsidR="004A582B">
        <w:rPr>
          <w:rFonts w:ascii="Times New Roman" w:hAnsi="Times New Roman" w:cs="Times New Roman"/>
        </w:rPr>
        <w:t xml:space="preserve"> (</w:t>
      </w:r>
      <w:r w:rsidR="005E5816">
        <w:rPr>
          <w:rFonts w:ascii="Times New Roman" w:hAnsi="Times New Roman" w:cs="Times New Roman"/>
        </w:rPr>
        <w:t>‘</w:t>
      </w:r>
      <w:r w:rsidR="005E5816" w:rsidRPr="005E5816">
        <w:rPr>
          <w:rFonts w:ascii="Times New Roman" w:hAnsi="Times New Roman" w:cs="Times New Roman"/>
        </w:rPr>
        <w:t>Trainee is motivated and has a good attitude</w:t>
      </w:r>
      <w:r w:rsidR="005E5816">
        <w:rPr>
          <w:rFonts w:ascii="Times New Roman" w:hAnsi="Times New Roman" w:cs="Times New Roman"/>
        </w:rPr>
        <w:t xml:space="preserve">) </w:t>
      </w:r>
      <w:r w:rsidR="004A582B">
        <w:rPr>
          <w:rFonts w:ascii="Times New Roman" w:hAnsi="Times New Roman" w:cs="Times New Roman"/>
        </w:rPr>
        <w:t>under “</w:t>
      </w:r>
      <w:r w:rsidR="005E5816">
        <w:rPr>
          <w:rFonts w:ascii="Times New Roman" w:hAnsi="Times New Roman" w:cs="Times New Roman"/>
        </w:rPr>
        <w:t>P</w:t>
      </w:r>
      <w:r w:rsidR="004A582B">
        <w:rPr>
          <w:rFonts w:ascii="Times New Roman" w:hAnsi="Times New Roman" w:cs="Times New Roman"/>
        </w:rPr>
        <w:t>rofessionalism”</w:t>
      </w:r>
      <w:r w:rsidR="00D944D5">
        <w:rPr>
          <w:rFonts w:ascii="Times New Roman" w:hAnsi="Times New Roman" w:cs="Times New Roman"/>
        </w:rPr>
        <w:t xml:space="preserve"> were rated high</w:t>
      </w:r>
      <w:r w:rsidR="00637866">
        <w:rPr>
          <w:rFonts w:ascii="Times New Roman" w:hAnsi="Times New Roman" w:cs="Times New Roman"/>
        </w:rPr>
        <w:t>ly whereas in round 2,</w:t>
      </w:r>
      <w:r w:rsidR="00D944D5" w:rsidRPr="00D944D5">
        <w:rPr>
          <w:rFonts w:ascii="Times New Roman" w:hAnsi="Times New Roman" w:cs="Times New Roman"/>
          <w:sz w:val="24"/>
          <w:szCs w:val="24"/>
        </w:rPr>
        <w:t xml:space="preserve"> </w:t>
      </w:r>
      <w:r w:rsidR="00637866">
        <w:rPr>
          <w:rFonts w:ascii="Times New Roman" w:hAnsi="Times New Roman" w:cs="Times New Roman"/>
          <w:sz w:val="24"/>
          <w:szCs w:val="24"/>
        </w:rPr>
        <w:t>i</w:t>
      </w:r>
      <w:r w:rsidR="00D944D5">
        <w:rPr>
          <w:rFonts w:ascii="Times New Roman" w:hAnsi="Times New Roman" w:cs="Times New Roman"/>
          <w:sz w:val="24"/>
          <w:szCs w:val="24"/>
        </w:rPr>
        <w:t xml:space="preserve">tems </w:t>
      </w:r>
      <w:r w:rsidR="00B207B5">
        <w:rPr>
          <w:rFonts w:ascii="Times New Roman" w:hAnsi="Times New Roman" w:cs="Times New Roman"/>
          <w:sz w:val="24"/>
          <w:szCs w:val="24"/>
        </w:rPr>
        <w:t>13</w:t>
      </w:r>
      <w:r w:rsidR="00D944D5" w:rsidRPr="004B24B7">
        <w:rPr>
          <w:rFonts w:ascii="Times New Roman" w:hAnsi="Times New Roman" w:cs="Times New Roman"/>
          <w:sz w:val="24"/>
          <w:szCs w:val="24"/>
        </w:rPr>
        <w:t xml:space="preserve"> </w:t>
      </w:r>
      <w:r w:rsidR="00637866">
        <w:rPr>
          <w:rFonts w:ascii="Times New Roman" w:hAnsi="Times New Roman" w:cs="Times New Roman"/>
          <w:sz w:val="24"/>
          <w:szCs w:val="24"/>
        </w:rPr>
        <w:t>“</w:t>
      </w:r>
      <w:r w:rsidR="00D944D5" w:rsidRPr="004B24B7">
        <w:rPr>
          <w:rFonts w:ascii="Times New Roman" w:hAnsi="Times New Roman" w:cs="Times New Roman"/>
          <w:sz w:val="24"/>
          <w:szCs w:val="24"/>
        </w:rPr>
        <w:t>Trainee follows sound pathological principles to reach a diagnosis</w:t>
      </w:r>
      <w:r w:rsidR="00637866">
        <w:rPr>
          <w:rFonts w:ascii="Times New Roman" w:hAnsi="Times New Roman" w:cs="Times New Roman"/>
          <w:sz w:val="24"/>
          <w:szCs w:val="24"/>
        </w:rPr>
        <w:t>”</w:t>
      </w:r>
      <w:r w:rsidR="004A582B">
        <w:rPr>
          <w:rFonts w:ascii="Times New Roman" w:hAnsi="Times New Roman" w:cs="Times New Roman"/>
          <w:sz w:val="24"/>
          <w:szCs w:val="24"/>
        </w:rPr>
        <w:t xml:space="preserve"> (under “</w:t>
      </w:r>
      <w:r w:rsidR="005E5816">
        <w:rPr>
          <w:rFonts w:ascii="Times New Roman" w:hAnsi="Times New Roman" w:cs="Times New Roman"/>
          <w:sz w:val="24"/>
          <w:szCs w:val="24"/>
        </w:rPr>
        <w:t>F</w:t>
      </w:r>
      <w:r w:rsidR="004A582B">
        <w:rPr>
          <w:rFonts w:ascii="Times New Roman" w:hAnsi="Times New Roman" w:cs="Times New Roman"/>
          <w:sz w:val="24"/>
          <w:szCs w:val="24"/>
        </w:rPr>
        <w:t>orming a diagnosis”</w:t>
      </w:r>
      <w:r w:rsidR="00B207B5">
        <w:rPr>
          <w:rFonts w:ascii="Times New Roman" w:hAnsi="Times New Roman" w:cs="Times New Roman"/>
          <w:sz w:val="24"/>
          <w:szCs w:val="24"/>
        </w:rPr>
        <w:t>)</w:t>
      </w:r>
      <w:r w:rsidR="004A582B">
        <w:rPr>
          <w:rFonts w:ascii="Times New Roman" w:hAnsi="Times New Roman" w:cs="Times New Roman"/>
          <w:sz w:val="24"/>
          <w:szCs w:val="24"/>
        </w:rPr>
        <w:t xml:space="preserve"> </w:t>
      </w:r>
      <w:r w:rsidR="00D944D5">
        <w:rPr>
          <w:rFonts w:ascii="Times New Roman" w:hAnsi="Times New Roman" w:cs="Times New Roman"/>
          <w:sz w:val="24"/>
          <w:szCs w:val="24"/>
        </w:rPr>
        <w:t xml:space="preserve">and </w:t>
      </w:r>
      <w:r w:rsidR="00B207B5">
        <w:rPr>
          <w:rFonts w:ascii="Times New Roman" w:hAnsi="Times New Roman" w:cs="Times New Roman"/>
          <w:sz w:val="24"/>
          <w:szCs w:val="24"/>
        </w:rPr>
        <w:t>22</w:t>
      </w:r>
      <w:r w:rsidR="004A582B">
        <w:rPr>
          <w:rFonts w:ascii="Times New Roman" w:hAnsi="Times New Roman" w:cs="Times New Roman"/>
          <w:sz w:val="24"/>
          <w:szCs w:val="24"/>
        </w:rPr>
        <w:t xml:space="preserve"> (</w:t>
      </w:r>
      <w:r w:rsidR="005E5816">
        <w:rPr>
          <w:rFonts w:ascii="Times New Roman" w:hAnsi="Times New Roman" w:cs="Times New Roman"/>
          <w:sz w:val="24"/>
          <w:szCs w:val="24"/>
        </w:rPr>
        <w:t>‘</w:t>
      </w:r>
      <w:r w:rsidR="005E5816" w:rsidRPr="005E5816">
        <w:rPr>
          <w:rFonts w:ascii="Times New Roman" w:hAnsi="Times New Roman" w:cs="Times New Roman"/>
          <w:sz w:val="24"/>
          <w:szCs w:val="24"/>
        </w:rPr>
        <w:t>Trainee asks for help/second opinion when needed</w:t>
      </w:r>
      <w:r w:rsidR="005E5816">
        <w:rPr>
          <w:rFonts w:ascii="Times New Roman" w:hAnsi="Times New Roman" w:cs="Times New Roman"/>
          <w:sz w:val="24"/>
          <w:szCs w:val="24"/>
        </w:rPr>
        <w:t>’)</w:t>
      </w:r>
      <w:r w:rsidR="006624F4">
        <w:rPr>
          <w:rFonts w:ascii="Times New Roman" w:hAnsi="Times New Roman" w:cs="Times New Roman"/>
          <w:sz w:val="24"/>
          <w:szCs w:val="24"/>
        </w:rPr>
        <w:t xml:space="preserve"> </w:t>
      </w:r>
      <w:r w:rsidR="004A582B">
        <w:rPr>
          <w:rFonts w:ascii="Times New Roman" w:hAnsi="Times New Roman" w:cs="Times New Roman"/>
          <w:sz w:val="24"/>
          <w:szCs w:val="24"/>
        </w:rPr>
        <w:t>under “</w:t>
      </w:r>
      <w:r w:rsidR="005E5816">
        <w:rPr>
          <w:rFonts w:ascii="Times New Roman" w:hAnsi="Times New Roman" w:cs="Times New Roman"/>
          <w:sz w:val="24"/>
          <w:szCs w:val="24"/>
        </w:rPr>
        <w:t>T</w:t>
      </w:r>
      <w:r w:rsidR="004A582B">
        <w:rPr>
          <w:rFonts w:ascii="Times New Roman" w:hAnsi="Times New Roman" w:cs="Times New Roman"/>
          <w:sz w:val="24"/>
          <w:szCs w:val="24"/>
        </w:rPr>
        <w:t>rust”</w:t>
      </w:r>
      <w:r w:rsidR="00D944D5">
        <w:rPr>
          <w:rFonts w:ascii="Times New Roman" w:hAnsi="Times New Roman" w:cs="Times New Roman"/>
          <w:sz w:val="24"/>
          <w:szCs w:val="24"/>
        </w:rPr>
        <w:t xml:space="preserve"> were considered more important. </w:t>
      </w:r>
    </w:p>
    <w:tbl>
      <w:tblPr>
        <w:tblStyle w:val="TableGrid"/>
        <w:tblW w:w="0" w:type="auto"/>
        <w:tblLook w:val="04A0" w:firstRow="1" w:lastRow="0" w:firstColumn="1" w:lastColumn="0" w:noHBand="0" w:noVBand="1"/>
      </w:tblPr>
      <w:tblGrid>
        <w:gridCol w:w="3641"/>
        <w:gridCol w:w="730"/>
        <w:gridCol w:w="3348"/>
        <w:gridCol w:w="865"/>
      </w:tblGrid>
      <w:tr w:rsidR="004B24B7" w14:paraId="59F5B764" w14:textId="77777777" w:rsidTr="005E7689">
        <w:tc>
          <w:tcPr>
            <w:tcW w:w="3842" w:type="dxa"/>
            <w:shd w:val="clear" w:color="auto" w:fill="F2F2F2" w:themeFill="background1" w:themeFillShade="F2"/>
          </w:tcPr>
          <w:p w14:paraId="56C3007A" w14:textId="77777777" w:rsidR="004B24B7" w:rsidRDefault="004B24B7" w:rsidP="004B24B7">
            <w:pPr>
              <w:rPr>
                <w:rFonts w:ascii="Times New Roman" w:hAnsi="Times New Roman" w:cs="Times New Roman"/>
                <w:b/>
              </w:rPr>
            </w:pPr>
            <w:r w:rsidRPr="004B24B7">
              <w:rPr>
                <w:rFonts w:ascii="Times New Roman" w:hAnsi="Times New Roman" w:cs="Times New Roman"/>
                <w:b/>
              </w:rPr>
              <w:t>Round 1</w:t>
            </w:r>
          </w:p>
          <w:p w14:paraId="746321DD" w14:textId="77777777" w:rsidR="004528D8" w:rsidRDefault="004528D8" w:rsidP="004B24B7">
            <w:pPr>
              <w:rPr>
                <w:rFonts w:ascii="Times New Roman" w:hAnsi="Times New Roman" w:cs="Times New Roman"/>
                <w:b/>
              </w:rPr>
            </w:pPr>
          </w:p>
          <w:p w14:paraId="5104AF26" w14:textId="40721A2E" w:rsidR="004528D8" w:rsidRPr="004B24B7" w:rsidRDefault="004528D8" w:rsidP="004B24B7">
            <w:pPr>
              <w:rPr>
                <w:rFonts w:ascii="Times New Roman" w:hAnsi="Times New Roman" w:cs="Times New Roman"/>
                <w:b/>
              </w:rPr>
            </w:pPr>
          </w:p>
        </w:tc>
        <w:tc>
          <w:tcPr>
            <w:tcW w:w="730" w:type="dxa"/>
            <w:shd w:val="clear" w:color="auto" w:fill="F2F2F2" w:themeFill="background1" w:themeFillShade="F2"/>
          </w:tcPr>
          <w:p w14:paraId="3BC03187" w14:textId="77777777" w:rsidR="004B24B7" w:rsidRPr="004B24B7" w:rsidRDefault="004B24B7" w:rsidP="004B24B7">
            <w:pPr>
              <w:rPr>
                <w:rFonts w:ascii="Times New Roman" w:hAnsi="Times New Roman" w:cs="Times New Roman"/>
                <w:b/>
              </w:rPr>
            </w:pPr>
            <w:r w:rsidRPr="004B24B7">
              <w:rPr>
                <w:rFonts w:ascii="Times New Roman" w:hAnsi="Times New Roman" w:cs="Times New Roman"/>
                <w:b/>
              </w:rPr>
              <w:t>Rank</w:t>
            </w:r>
          </w:p>
        </w:tc>
        <w:tc>
          <w:tcPr>
            <w:tcW w:w="3564" w:type="dxa"/>
            <w:shd w:val="clear" w:color="auto" w:fill="D5DCE4" w:themeFill="text2" w:themeFillTint="33"/>
          </w:tcPr>
          <w:p w14:paraId="5738D106" w14:textId="77777777" w:rsidR="004B24B7" w:rsidRDefault="004B24B7" w:rsidP="004B24B7">
            <w:pPr>
              <w:rPr>
                <w:rFonts w:ascii="Times New Roman" w:hAnsi="Times New Roman" w:cs="Times New Roman"/>
                <w:b/>
              </w:rPr>
            </w:pPr>
            <w:r w:rsidRPr="004B24B7">
              <w:rPr>
                <w:rFonts w:ascii="Times New Roman" w:hAnsi="Times New Roman" w:cs="Times New Roman"/>
                <w:b/>
              </w:rPr>
              <w:t>Round 2</w:t>
            </w:r>
          </w:p>
          <w:p w14:paraId="39B7A9DF" w14:textId="77777777" w:rsidR="0056592D" w:rsidRPr="004B24B7" w:rsidRDefault="0056592D" w:rsidP="004B24B7">
            <w:pPr>
              <w:rPr>
                <w:rFonts w:ascii="Times New Roman" w:hAnsi="Times New Roman" w:cs="Times New Roman"/>
                <w:b/>
              </w:rPr>
            </w:pPr>
          </w:p>
        </w:tc>
        <w:tc>
          <w:tcPr>
            <w:tcW w:w="880" w:type="dxa"/>
            <w:shd w:val="clear" w:color="auto" w:fill="D5DCE4" w:themeFill="text2" w:themeFillTint="33"/>
          </w:tcPr>
          <w:p w14:paraId="55FCAFEB" w14:textId="77777777" w:rsidR="004B24B7" w:rsidRPr="004B24B7" w:rsidRDefault="004B24B7" w:rsidP="004B24B7">
            <w:pPr>
              <w:rPr>
                <w:rFonts w:ascii="Times New Roman" w:hAnsi="Times New Roman" w:cs="Times New Roman"/>
                <w:b/>
              </w:rPr>
            </w:pPr>
            <w:r w:rsidRPr="004B24B7">
              <w:rPr>
                <w:rFonts w:ascii="Times New Roman" w:hAnsi="Times New Roman" w:cs="Times New Roman"/>
                <w:b/>
              </w:rPr>
              <w:t>Rank</w:t>
            </w:r>
          </w:p>
        </w:tc>
      </w:tr>
      <w:tr w:rsidR="004B24B7" w14:paraId="59703C26" w14:textId="77777777" w:rsidTr="005E7689">
        <w:tc>
          <w:tcPr>
            <w:tcW w:w="3842" w:type="dxa"/>
          </w:tcPr>
          <w:p w14:paraId="420C218A" w14:textId="093DF34B"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Forming a diagnosis</w:t>
            </w:r>
          </w:p>
          <w:p w14:paraId="28AB36F9" w14:textId="77777777" w:rsidR="001F2DFF" w:rsidRPr="00613779" w:rsidRDefault="001F2DFF" w:rsidP="004B24B7">
            <w:pPr>
              <w:rPr>
                <w:rFonts w:ascii="Times New Roman" w:hAnsi="Times New Roman" w:cs="Times New Roman"/>
                <w:b/>
                <w:sz w:val="24"/>
                <w:szCs w:val="24"/>
              </w:rPr>
            </w:pPr>
          </w:p>
          <w:p w14:paraId="42895C2F" w14:textId="216F3334" w:rsidR="004B24B7" w:rsidRPr="004B24B7" w:rsidRDefault="004B24B7" w:rsidP="004B24B7">
            <w:r w:rsidRPr="004B24B7">
              <w:rPr>
                <w:rFonts w:ascii="Times New Roman" w:hAnsi="Times New Roman" w:cs="Times New Roman"/>
                <w:sz w:val="24"/>
                <w:szCs w:val="24"/>
              </w:rPr>
              <w:t>12. Trainee shows evidence of clini</w:t>
            </w:r>
            <w:r w:rsidR="00D944D5">
              <w:rPr>
                <w:rFonts w:ascii="Times New Roman" w:hAnsi="Times New Roman" w:cs="Times New Roman"/>
                <w:sz w:val="24"/>
                <w:szCs w:val="24"/>
              </w:rPr>
              <w:t>c</w:t>
            </w:r>
            <w:r w:rsidRPr="004B24B7">
              <w:rPr>
                <w:rFonts w:ascii="Times New Roman" w:hAnsi="Times New Roman" w:cs="Times New Roman"/>
                <w:sz w:val="24"/>
                <w:szCs w:val="24"/>
              </w:rPr>
              <w:t>o-pathological correlation</w:t>
            </w:r>
          </w:p>
          <w:p w14:paraId="2AA23D49" w14:textId="77777777" w:rsidR="004B24B7" w:rsidRPr="004B24B7" w:rsidRDefault="004B24B7" w:rsidP="004B24B7">
            <w:pPr>
              <w:rPr>
                <w:rFonts w:ascii="Times New Roman" w:hAnsi="Times New Roman" w:cs="Times New Roman"/>
                <w:b/>
              </w:rPr>
            </w:pPr>
          </w:p>
        </w:tc>
        <w:tc>
          <w:tcPr>
            <w:tcW w:w="730" w:type="dxa"/>
          </w:tcPr>
          <w:p w14:paraId="2D15D491" w14:textId="77777777" w:rsidR="004B24B7" w:rsidRPr="00613779" w:rsidRDefault="004B24B7" w:rsidP="004B24B7">
            <w:pPr>
              <w:rPr>
                <w:rFonts w:ascii="Times New Roman" w:hAnsi="Times New Roman" w:cs="Times New Roman"/>
              </w:rPr>
            </w:pPr>
            <w:r w:rsidRPr="00613779">
              <w:rPr>
                <w:rFonts w:ascii="Times New Roman" w:hAnsi="Times New Roman" w:cs="Times New Roman"/>
              </w:rPr>
              <w:t>1</w:t>
            </w:r>
          </w:p>
        </w:tc>
        <w:tc>
          <w:tcPr>
            <w:tcW w:w="3564" w:type="dxa"/>
          </w:tcPr>
          <w:p w14:paraId="34370E8A" w14:textId="15CA23A6"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Reflection</w:t>
            </w:r>
          </w:p>
          <w:p w14:paraId="06C641B8" w14:textId="77777777" w:rsidR="001F2DFF" w:rsidRPr="00613779" w:rsidRDefault="001F2DFF" w:rsidP="004B24B7">
            <w:pPr>
              <w:rPr>
                <w:rFonts w:ascii="Times New Roman" w:hAnsi="Times New Roman" w:cs="Times New Roman"/>
                <w:b/>
                <w:sz w:val="24"/>
                <w:szCs w:val="24"/>
              </w:rPr>
            </w:pPr>
          </w:p>
          <w:p w14:paraId="3988773F" w14:textId="6375AB3C" w:rsidR="004B24B7" w:rsidRPr="004B24B7" w:rsidRDefault="004B24B7" w:rsidP="004B24B7">
            <w:r w:rsidRPr="004B24B7">
              <w:rPr>
                <w:rFonts w:ascii="Times New Roman" w:hAnsi="Times New Roman" w:cs="Times New Roman"/>
                <w:sz w:val="24"/>
                <w:szCs w:val="24"/>
              </w:rPr>
              <w:t>16. Trainee is aware of their own limitations</w:t>
            </w:r>
          </w:p>
          <w:p w14:paraId="43538B0C" w14:textId="77777777" w:rsidR="004B24B7" w:rsidRPr="004B24B7" w:rsidRDefault="004B24B7" w:rsidP="004B24B7">
            <w:pPr>
              <w:rPr>
                <w:rFonts w:ascii="Times New Roman" w:hAnsi="Times New Roman" w:cs="Times New Roman"/>
                <w:b/>
              </w:rPr>
            </w:pPr>
          </w:p>
        </w:tc>
        <w:tc>
          <w:tcPr>
            <w:tcW w:w="880" w:type="dxa"/>
          </w:tcPr>
          <w:p w14:paraId="770A190F" w14:textId="77777777" w:rsidR="004B24B7" w:rsidRPr="00613779" w:rsidRDefault="004B24B7" w:rsidP="004B24B7">
            <w:pPr>
              <w:rPr>
                <w:rFonts w:ascii="Times New Roman" w:hAnsi="Times New Roman" w:cs="Times New Roman"/>
              </w:rPr>
            </w:pPr>
            <w:r w:rsidRPr="00613779">
              <w:rPr>
                <w:rFonts w:ascii="Times New Roman" w:hAnsi="Times New Roman" w:cs="Times New Roman"/>
              </w:rPr>
              <w:t>1</w:t>
            </w:r>
          </w:p>
        </w:tc>
      </w:tr>
      <w:tr w:rsidR="004B24B7" w14:paraId="1E678135" w14:textId="77777777" w:rsidTr="005E7689">
        <w:tc>
          <w:tcPr>
            <w:tcW w:w="3842" w:type="dxa"/>
          </w:tcPr>
          <w:p w14:paraId="2644BD71" w14:textId="540D1BB8"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R</w:t>
            </w:r>
            <w:r w:rsidR="00613779">
              <w:rPr>
                <w:rFonts w:ascii="Times New Roman" w:hAnsi="Times New Roman" w:cs="Times New Roman"/>
                <w:b/>
                <w:sz w:val="24"/>
                <w:szCs w:val="24"/>
              </w:rPr>
              <w:t>eflection</w:t>
            </w:r>
          </w:p>
          <w:p w14:paraId="15ED54DD" w14:textId="77777777" w:rsidR="001F2DFF" w:rsidRPr="00613779" w:rsidRDefault="001F2DFF" w:rsidP="004B24B7">
            <w:pPr>
              <w:rPr>
                <w:rFonts w:ascii="Times New Roman" w:hAnsi="Times New Roman" w:cs="Times New Roman"/>
                <w:b/>
                <w:sz w:val="24"/>
                <w:szCs w:val="24"/>
              </w:rPr>
            </w:pPr>
          </w:p>
          <w:p w14:paraId="41C066A1" w14:textId="7DCFA8B0" w:rsidR="004B24B7" w:rsidRPr="004B24B7" w:rsidRDefault="004B24B7" w:rsidP="004B24B7">
            <w:r w:rsidRPr="004B24B7">
              <w:rPr>
                <w:rFonts w:ascii="Times New Roman" w:hAnsi="Times New Roman" w:cs="Times New Roman"/>
                <w:sz w:val="24"/>
                <w:szCs w:val="24"/>
              </w:rPr>
              <w:t>16. Trainee is aware of their own limitations</w:t>
            </w:r>
          </w:p>
        </w:tc>
        <w:tc>
          <w:tcPr>
            <w:tcW w:w="730" w:type="dxa"/>
          </w:tcPr>
          <w:p w14:paraId="0D2E0CC0" w14:textId="77777777" w:rsidR="004B24B7" w:rsidRPr="00613779" w:rsidRDefault="004B24B7" w:rsidP="004B24B7">
            <w:pPr>
              <w:rPr>
                <w:rFonts w:ascii="Times New Roman" w:hAnsi="Times New Roman" w:cs="Times New Roman"/>
              </w:rPr>
            </w:pPr>
            <w:r w:rsidRPr="00613779">
              <w:rPr>
                <w:rFonts w:ascii="Times New Roman" w:hAnsi="Times New Roman" w:cs="Times New Roman"/>
              </w:rPr>
              <w:t>2</w:t>
            </w:r>
          </w:p>
        </w:tc>
        <w:tc>
          <w:tcPr>
            <w:tcW w:w="3564" w:type="dxa"/>
          </w:tcPr>
          <w:p w14:paraId="53FA67EC" w14:textId="5FF5BA63"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Forming a diagnosis</w:t>
            </w:r>
          </w:p>
          <w:p w14:paraId="70FC597B" w14:textId="77777777" w:rsidR="001F2DFF" w:rsidRPr="00613779" w:rsidRDefault="001F2DFF" w:rsidP="004B24B7">
            <w:pPr>
              <w:rPr>
                <w:rFonts w:ascii="Times New Roman" w:hAnsi="Times New Roman" w:cs="Times New Roman"/>
                <w:b/>
                <w:sz w:val="24"/>
                <w:szCs w:val="24"/>
              </w:rPr>
            </w:pPr>
          </w:p>
          <w:p w14:paraId="3AABE88F" w14:textId="40972E97" w:rsidR="004B24B7" w:rsidRPr="005B6303" w:rsidRDefault="004B24B7" w:rsidP="004B24B7">
            <w:pPr>
              <w:rPr>
                <w:rFonts w:ascii="Times New Roman" w:hAnsi="Times New Roman" w:cs="Times New Roman"/>
                <w:sz w:val="24"/>
                <w:szCs w:val="24"/>
              </w:rPr>
            </w:pPr>
            <w:r w:rsidRPr="004B24B7">
              <w:rPr>
                <w:rFonts w:ascii="Times New Roman" w:hAnsi="Times New Roman" w:cs="Times New Roman"/>
                <w:sz w:val="24"/>
                <w:szCs w:val="24"/>
              </w:rPr>
              <w:t xml:space="preserve">13. Trainee follows sound pathological principles to reach a diagnosis </w:t>
            </w:r>
          </w:p>
        </w:tc>
        <w:tc>
          <w:tcPr>
            <w:tcW w:w="880" w:type="dxa"/>
          </w:tcPr>
          <w:p w14:paraId="70058260" w14:textId="77777777" w:rsidR="004B24B7" w:rsidRPr="00613779" w:rsidRDefault="004B24B7" w:rsidP="004B24B7">
            <w:pPr>
              <w:rPr>
                <w:rFonts w:ascii="Times New Roman" w:hAnsi="Times New Roman" w:cs="Times New Roman"/>
              </w:rPr>
            </w:pPr>
            <w:r w:rsidRPr="00613779">
              <w:rPr>
                <w:rFonts w:ascii="Times New Roman" w:hAnsi="Times New Roman" w:cs="Times New Roman"/>
              </w:rPr>
              <w:t>2</w:t>
            </w:r>
          </w:p>
        </w:tc>
      </w:tr>
      <w:tr w:rsidR="004B24B7" w14:paraId="4D34A8A6" w14:textId="77777777" w:rsidTr="005E7689">
        <w:tc>
          <w:tcPr>
            <w:tcW w:w="3842" w:type="dxa"/>
          </w:tcPr>
          <w:p w14:paraId="469CDAEA" w14:textId="0A82C437"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Professionalism</w:t>
            </w:r>
          </w:p>
          <w:p w14:paraId="55AE2CF3" w14:textId="77777777" w:rsidR="001F2DFF" w:rsidRPr="00613779" w:rsidRDefault="001F2DFF" w:rsidP="004B24B7">
            <w:pPr>
              <w:rPr>
                <w:rFonts w:ascii="Times New Roman" w:hAnsi="Times New Roman" w:cs="Times New Roman"/>
                <w:b/>
                <w:sz w:val="24"/>
                <w:szCs w:val="24"/>
              </w:rPr>
            </w:pPr>
          </w:p>
          <w:p w14:paraId="03D48A20" w14:textId="3B9130FA" w:rsidR="004B24B7" w:rsidRPr="004B24B7" w:rsidRDefault="004B24B7" w:rsidP="004B24B7">
            <w:r w:rsidRPr="004B24B7">
              <w:rPr>
                <w:rFonts w:ascii="Times New Roman" w:hAnsi="Times New Roman" w:cs="Times New Roman"/>
                <w:sz w:val="24"/>
                <w:szCs w:val="24"/>
              </w:rPr>
              <w:t>8. Trainee is motivated and has a good attitude</w:t>
            </w:r>
          </w:p>
        </w:tc>
        <w:tc>
          <w:tcPr>
            <w:tcW w:w="730" w:type="dxa"/>
          </w:tcPr>
          <w:p w14:paraId="0BC3A620" w14:textId="77777777" w:rsidR="004B24B7" w:rsidRPr="00613779" w:rsidRDefault="004B24B7" w:rsidP="004B24B7">
            <w:pPr>
              <w:rPr>
                <w:rFonts w:ascii="Times New Roman" w:hAnsi="Times New Roman" w:cs="Times New Roman"/>
              </w:rPr>
            </w:pPr>
            <w:r w:rsidRPr="00613779">
              <w:rPr>
                <w:rFonts w:ascii="Times New Roman" w:hAnsi="Times New Roman" w:cs="Times New Roman"/>
              </w:rPr>
              <w:t>3</w:t>
            </w:r>
          </w:p>
        </w:tc>
        <w:tc>
          <w:tcPr>
            <w:tcW w:w="3564" w:type="dxa"/>
          </w:tcPr>
          <w:p w14:paraId="219A37FF" w14:textId="1C34B8EB"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Trust</w:t>
            </w:r>
          </w:p>
          <w:p w14:paraId="2DA6E04C" w14:textId="77777777" w:rsidR="001F2DFF" w:rsidRPr="00613779" w:rsidRDefault="001F2DFF" w:rsidP="004B24B7">
            <w:pPr>
              <w:rPr>
                <w:rFonts w:ascii="Times New Roman" w:hAnsi="Times New Roman" w:cs="Times New Roman"/>
                <w:b/>
                <w:sz w:val="24"/>
                <w:szCs w:val="24"/>
              </w:rPr>
            </w:pPr>
          </w:p>
          <w:p w14:paraId="6BC8CB73" w14:textId="6E572E5A" w:rsidR="004B24B7" w:rsidRPr="004B24B7" w:rsidRDefault="004B24B7" w:rsidP="004B24B7">
            <w:r w:rsidRPr="004B24B7">
              <w:rPr>
                <w:rFonts w:ascii="Times New Roman" w:hAnsi="Times New Roman" w:cs="Times New Roman"/>
                <w:sz w:val="24"/>
                <w:szCs w:val="24"/>
              </w:rPr>
              <w:t>22. Trainee asks for help/second opinion when needed</w:t>
            </w:r>
          </w:p>
          <w:p w14:paraId="1131F2F7" w14:textId="77777777" w:rsidR="004B24B7" w:rsidRPr="004B24B7" w:rsidRDefault="004B24B7" w:rsidP="004B24B7">
            <w:pPr>
              <w:rPr>
                <w:rFonts w:ascii="Times New Roman" w:hAnsi="Times New Roman" w:cs="Times New Roman"/>
                <w:b/>
              </w:rPr>
            </w:pPr>
          </w:p>
        </w:tc>
        <w:tc>
          <w:tcPr>
            <w:tcW w:w="880" w:type="dxa"/>
          </w:tcPr>
          <w:p w14:paraId="4442AEB2" w14:textId="77777777" w:rsidR="004B24B7" w:rsidRPr="00613779" w:rsidRDefault="004B24B7" w:rsidP="004B24B7">
            <w:pPr>
              <w:rPr>
                <w:rFonts w:ascii="Times New Roman" w:hAnsi="Times New Roman" w:cs="Times New Roman"/>
              </w:rPr>
            </w:pPr>
            <w:r w:rsidRPr="00613779">
              <w:rPr>
                <w:rFonts w:ascii="Times New Roman" w:hAnsi="Times New Roman" w:cs="Times New Roman"/>
              </w:rPr>
              <w:t>3</w:t>
            </w:r>
          </w:p>
        </w:tc>
      </w:tr>
    </w:tbl>
    <w:p w14:paraId="38557DD1" w14:textId="631B5CEA" w:rsidR="005E7689" w:rsidRPr="00686222" w:rsidRDefault="001A1B84" w:rsidP="005E7689">
      <w:pPr>
        <w:spacing w:line="240" w:lineRule="auto"/>
        <w:rPr>
          <w:rFonts w:ascii="Times New Roman" w:hAnsi="Times New Roman" w:cs="Times New Roman"/>
          <w:b/>
          <w:sz w:val="24"/>
          <w:szCs w:val="24"/>
        </w:rPr>
      </w:pPr>
      <w:r>
        <w:rPr>
          <w:rFonts w:ascii="Times New Roman" w:hAnsi="Times New Roman" w:cs="Times New Roman"/>
          <w:b/>
          <w:sz w:val="24"/>
          <w:szCs w:val="24"/>
        </w:rPr>
        <w:t>Table 5.16</w:t>
      </w:r>
      <w:r w:rsidR="005E7689" w:rsidRPr="00686222">
        <w:rPr>
          <w:rFonts w:ascii="Times New Roman" w:hAnsi="Times New Roman" w:cs="Times New Roman"/>
          <w:b/>
          <w:sz w:val="24"/>
          <w:szCs w:val="24"/>
        </w:rPr>
        <w:t xml:space="preserve">. Comparison of highest ranked items in rounds 1 and 2. </w:t>
      </w:r>
      <w:r w:rsidR="005E7689" w:rsidRPr="00686222">
        <w:rPr>
          <w:rFonts w:ascii="Times New Roman" w:hAnsi="Times New Roman" w:cs="Times New Roman"/>
          <w:sz w:val="24"/>
          <w:szCs w:val="24"/>
        </w:rPr>
        <w:t xml:space="preserve">Note, some items have been shortened for reasons of </w:t>
      </w:r>
      <w:r w:rsidR="005E7689">
        <w:rPr>
          <w:rFonts w:ascii="Times New Roman" w:hAnsi="Times New Roman" w:cs="Times New Roman"/>
          <w:sz w:val="24"/>
          <w:szCs w:val="24"/>
        </w:rPr>
        <w:t>clarity</w:t>
      </w:r>
      <w:r w:rsidR="005E7689" w:rsidRPr="00686222">
        <w:rPr>
          <w:rFonts w:ascii="Times New Roman" w:hAnsi="Times New Roman" w:cs="Times New Roman"/>
          <w:sz w:val="24"/>
          <w:szCs w:val="24"/>
        </w:rPr>
        <w:t>.</w:t>
      </w:r>
    </w:p>
    <w:p w14:paraId="7E7025C0" w14:textId="77777777" w:rsidR="005E7689" w:rsidRDefault="005E7689" w:rsidP="00143135">
      <w:pPr>
        <w:spacing w:line="480" w:lineRule="auto"/>
        <w:rPr>
          <w:rFonts w:ascii="Times New Roman" w:hAnsi="Times New Roman" w:cs="Times New Roman"/>
        </w:rPr>
      </w:pPr>
    </w:p>
    <w:p w14:paraId="689A222A" w14:textId="06D13AC2" w:rsidR="005E7689" w:rsidRPr="005E7689" w:rsidRDefault="005B6303" w:rsidP="005E7689">
      <w:pPr>
        <w:spacing w:line="480" w:lineRule="auto"/>
        <w:rPr>
          <w:rFonts w:ascii="Times New Roman" w:hAnsi="Times New Roman" w:cs="Times New Roman"/>
          <w:sz w:val="24"/>
          <w:szCs w:val="24"/>
        </w:rPr>
      </w:pPr>
      <w:r w:rsidRPr="00686222">
        <w:rPr>
          <w:rFonts w:ascii="Times New Roman" w:hAnsi="Times New Roman" w:cs="Times New Roman"/>
          <w:sz w:val="24"/>
          <w:szCs w:val="24"/>
        </w:rPr>
        <w:lastRenderedPageBreak/>
        <w:t>In T</w:t>
      </w:r>
      <w:r w:rsidR="001A1B84">
        <w:rPr>
          <w:rFonts w:ascii="Times New Roman" w:hAnsi="Times New Roman" w:cs="Times New Roman"/>
          <w:sz w:val="24"/>
          <w:szCs w:val="24"/>
        </w:rPr>
        <w:t>able 5.17</w:t>
      </w:r>
      <w:r w:rsidRPr="00686222">
        <w:rPr>
          <w:rFonts w:ascii="Times New Roman" w:hAnsi="Times New Roman" w:cs="Times New Roman"/>
          <w:sz w:val="24"/>
          <w:szCs w:val="24"/>
        </w:rPr>
        <w:t>,</w:t>
      </w:r>
      <w:r w:rsidR="000B6CB8" w:rsidRPr="00686222">
        <w:rPr>
          <w:rFonts w:ascii="Times New Roman" w:hAnsi="Times New Roman" w:cs="Times New Roman"/>
          <w:sz w:val="24"/>
          <w:szCs w:val="24"/>
        </w:rPr>
        <w:t xml:space="preserve"> </w:t>
      </w:r>
      <w:r w:rsidR="0056592D" w:rsidRPr="00686222">
        <w:rPr>
          <w:rFonts w:ascii="Times New Roman" w:hAnsi="Times New Roman" w:cs="Times New Roman"/>
          <w:sz w:val="24"/>
          <w:szCs w:val="24"/>
        </w:rPr>
        <w:t>items 2</w:t>
      </w:r>
      <w:r w:rsidR="004A582B" w:rsidRPr="00686222">
        <w:rPr>
          <w:rFonts w:ascii="Times New Roman" w:hAnsi="Times New Roman" w:cs="Times New Roman"/>
          <w:sz w:val="24"/>
          <w:szCs w:val="24"/>
        </w:rPr>
        <w:t xml:space="preserve"> </w:t>
      </w:r>
      <w:r w:rsidR="005E5816">
        <w:rPr>
          <w:rFonts w:ascii="Times New Roman" w:hAnsi="Times New Roman" w:cs="Times New Roman"/>
          <w:sz w:val="24"/>
          <w:szCs w:val="24"/>
        </w:rPr>
        <w:t>(‘</w:t>
      </w:r>
      <w:r w:rsidR="005E5816" w:rsidRPr="005E5816">
        <w:rPr>
          <w:rFonts w:ascii="Times New Roman" w:hAnsi="Times New Roman" w:cs="Times New Roman"/>
          <w:sz w:val="24"/>
          <w:szCs w:val="24"/>
        </w:rPr>
        <w:t>RCPath curricula and training guidelines</w:t>
      </w:r>
      <w:r w:rsidR="005E5816">
        <w:rPr>
          <w:rFonts w:ascii="Times New Roman" w:hAnsi="Times New Roman" w:cs="Times New Roman"/>
          <w:sz w:val="24"/>
          <w:szCs w:val="24"/>
        </w:rPr>
        <w:t>’)</w:t>
      </w:r>
      <w:r w:rsidR="005E5816" w:rsidRPr="005E5816">
        <w:rPr>
          <w:rFonts w:ascii="Times New Roman" w:hAnsi="Times New Roman" w:cs="Times New Roman"/>
          <w:sz w:val="24"/>
          <w:szCs w:val="24"/>
        </w:rPr>
        <w:t xml:space="preserve"> </w:t>
      </w:r>
      <w:r w:rsidR="004A582B" w:rsidRPr="00686222">
        <w:rPr>
          <w:rFonts w:ascii="Times New Roman" w:hAnsi="Times New Roman" w:cs="Times New Roman"/>
          <w:sz w:val="24"/>
          <w:szCs w:val="24"/>
        </w:rPr>
        <w:t xml:space="preserve">under </w:t>
      </w:r>
      <w:r w:rsidR="00FD5ADC">
        <w:rPr>
          <w:rFonts w:ascii="Times New Roman" w:hAnsi="Times New Roman" w:cs="Times New Roman"/>
          <w:sz w:val="24"/>
          <w:szCs w:val="24"/>
        </w:rPr>
        <w:t>“</w:t>
      </w:r>
      <w:r w:rsidR="005E5816">
        <w:rPr>
          <w:rFonts w:ascii="Times New Roman" w:hAnsi="Times New Roman" w:cs="Times New Roman"/>
          <w:sz w:val="24"/>
          <w:szCs w:val="24"/>
        </w:rPr>
        <w:t>S</w:t>
      </w:r>
      <w:r w:rsidR="004A582B" w:rsidRPr="00686222">
        <w:rPr>
          <w:rFonts w:ascii="Times New Roman" w:hAnsi="Times New Roman" w:cs="Times New Roman"/>
          <w:sz w:val="24"/>
          <w:szCs w:val="24"/>
        </w:rPr>
        <w:t>tage of training</w:t>
      </w:r>
      <w:r w:rsidR="00FD5ADC">
        <w:rPr>
          <w:rFonts w:ascii="Times New Roman" w:hAnsi="Times New Roman" w:cs="Times New Roman"/>
          <w:sz w:val="24"/>
          <w:szCs w:val="24"/>
        </w:rPr>
        <w:t>”</w:t>
      </w:r>
      <w:r w:rsidR="0056592D" w:rsidRPr="00686222">
        <w:rPr>
          <w:rFonts w:ascii="Times New Roman" w:hAnsi="Times New Roman" w:cs="Times New Roman"/>
          <w:sz w:val="24"/>
          <w:szCs w:val="24"/>
        </w:rPr>
        <w:t>, 4</w:t>
      </w:r>
      <w:r w:rsidR="004A582B" w:rsidRPr="00686222">
        <w:rPr>
          <w:rFonts w:ascii="Times New Roman" w:hAnsi="Times New Roman" w:cs="Times New Roman"/>
          <w:sz w:val="24"/>
          <w:szCs w:val="24"/>
        </w:rPr>
        <w:t xml:space="preserve"> (</w:t>
      </w:r>
      <w:r w:rsidR="000D2D6E">
        <w:rPr>
          <w:rFonts w:ascii="Times New Roman" w:hAnsi="Times New Roman" w:cs="Times New Roman"/>
          <w:sz w:val="24"/>
          <w:szCs w:val="24"/>
        </w:rPr>
        <w:t>‘</w:t>
      </w:r>
      <w:r w:rsidR="005E5816" w:rsidRPr="005E5816">
        <w:rPr>
          <w:rFonts w:ascii="Times New Roman" w:hAnsi="Times New Roman" w:cs="Times New Roman"/>
          <w:sz w:val="24"/>
          <w:szCs w:val="24"/>
        </w:rPr>
        <w:t xml:space="preserve">Individual </w:t>
      </w:r>
      <w:r w:rsidR="000D2D6E">
        <w:rPr>
          <w:rFonts w:ascii="Times New Roman" w:hAnsi="Times New Roman" w:cs="Times New Roman"/>
          <w:sz w:val="24"/>
          <w:szCs w:val="24"/>
        </w:rPr>
        <w:t>cases in an examination setting’)</w:t>
      </w:r>
      <w:r w:rsidR="00FD5ADC">
        <w:rPr>
          <w:rFonts w:ascii="Times New Roman" w:hAnsi="Times New Roman" w:cs="Times New Roman"/>
          <w:sz w:val="24"/>
          <w:szCs w:val="24"/>
        </w:rPr>
        <w:t xml:space="preserve"> </w:t>
      </w:r>
      <w:r w:rsidR="004A582B" w:rsidRPr="00686222">
        <w:rPr>
          <w:rFonts w:ascii="Times New Roman" w:hAnsi="Times New Roman" w:cs="Times New Roman"/>
          <w:sz w:val="24"/>
          <w:szCs w:val="24"/>
        </w:rPr>
        <w:t>under “</w:t>
      </w:r>
      <w:r w:rsidR="000D2D6E">
        <w:rPr>
          <w:rFonts w:ascii="Times New Roman" w:hAnsi="Times New Roman" w:cs="Times New Roman"/>
          <w:sz w:val="24"/>
          <w:szCs w:val="24"/>
        </w:rPr>
        <w:t>T</w:t>
      </w:r>
      <w:r w:rsidR="004A582B" w:rsidRPr="00686222">
        <w:rPr>
          <w:rFonts w:ascii="Times New Roman" w:hAnsi="Times New Roman" w:cs="Times New Roman"/>
          <w:sz w:val="24"/>
          <w:szCs w:val="24"/>
        </w:rPr>
        <w:t>iming”</w:t>
      </w:r>
      <w:r w:rsidR="0056592D" w:rsidRPr="00686222">
        <w:rPr>
          <w:rFonts w:ascii="Times New Roman" w:hAnsi="Times New Roman" w:cs="Times New Roman"/>
          <w:sz w:val="24"/>
          <w:szCs w:val="24"/>
        </w:rPr>
        <w:t xml:space="preserve"> and 23</w:t>
      </w:r>
      <w:r w:rsidR="004A582B" w:rsidRPr="00686222">
        <w:rPr>
          <w:rFonts w:ascii="Times New Roman" w:hAnsi="Times New Roman" w:cs="Times New Roman"/>
          <w:sz w:val="24"/>
          <w:szCs w:val="24"/>
        </w:rPr>
        <w:t xml:space="preserve"> (</w:t>
      </w:r>
      <w:proofErr w:type="gramStart"/>
      <w:r w:rsidR="000D2D6E">
        <w:rPr>
          <w:rFonts w:ascii="Times New Roman" w:hAnsi="Times New Roman" w:cs="Times New Roman"/>
          <w:sz w:val="24"/>
          <w:szCs w:val="24"/>
        </w:rPr>
        <w:t>‘</w:t>
      </w:r>
      <w:r w:rsidR="000D2D6E" w:rsidRPr="000D2D6E">
        <w:rPr>
          <w:rFonts w:ascii="Times New Roman" w:hAnsi="Times New Roman" w:cs="Times New Roman"/>
          <w:sz w:val="24"/>
          <w:szCs w:val="24"/>
        </w:rPr>
        <w:t>Your</w:t>
      </w:r>
      <w:proofErr w:type="gramEnd"/>
      <w:r w:rsidR="000D2D6E" w:rsidRPr="000D2D6E">
        <w:rPr>
          <w:rFonts w:ascii="Times New Roman" w:hAnsi="Times New Roman" w:cs="Times New Roman"/>
          <w:sz w:val="24"/>
          <w:szCs w:val="24"/>
        </w:rPr>
        <w:t xml:space="preserve"> opinion of a trainee’s diagnostic competence is related to an overall impression</w:t>
      </w:r>
      <w:r w:rsidR="000D2D6E">
        <w:rPr>
          <w:rFonts w:ascii="Times New Roman" w:hAnsi="Times New Roman" w:cs="Times New Roman"/>
          <w:sz w:val="24"/>
          <w:szCs w:val="24"/>
        </w:rPr>
        <w:t>’)</w:t>
      </w:r>
      <w:r w:rsidR="000D2D6E" w:rsidRPr="000D2D6E">
        <w:rPr>
          <w:rFonts w:ascii="Times New Roman" w:hAnsi="Times New Roman" w:cs="Times New Roman"/>
          <w:sz w:val="24"/>
          <w:szCs w:val="24"/>
        </w:rPr>
        <w:t xml:space="preserve"> </w:t>
      </w:r>
      <w:r w:rsidR="004A582B" w:rsidRPr="00686222">
        <w:rPr>
          <w:rFonts w:ascii="Times New Roman" w:hAnsi="Times New Roman" w:cs="Times New Roman"/>
          <w:sz w:val="24"/>
          <w:szCs w:val="24"/>
        </w:rPr>
        <w:t>under “</w:t>
      </w:r>
      <w:r w:rsidR="000D2D6E">
        <w:rPr>
          <w:rFonts w:ascii="Times New Roman" w:hAnsi="Times New Roman" w:cs="Times New Roman"/>
          <w:sz w:val="24"/>
          <w:szCs w:val="24"/>
        </w:rPr>
        <w:t>T</w:t>
      </w:r>
      <w:r w:rsidR="004A582B" w:rsidRPr="00686222">
        <w:rPr>
          <w:rFonts w:ascii="Times New Roman" w:hAnsi="Times New Roman" w:cs="Times New Roman"/>
          <w:sz w:val="24"/>
          <w:szCs w:val="24"/>
        </w:rPr>
        <w:t>rust”</w:t>
      </w:r>
      <w:r w:rsidR="0056592D" w:rsidRPr="00686222">
        <w:rPr>
          <w:rFonts w:ascii="Times New Roman" w:hAnsi="Times New Roman" w:cs="Times New Roman"/>
          <w:sz w:val="24"/>
          <w:szCs w:val="24"/>
        </w:rPr>
        <w:t xml:space="preserve"> all ranked within the bottom three for both rou</w:t>
      </w:r>
      <w:r w:rsidR="00B2148E" w:rsidRPr="00686222">
        <w:rPr>
          <w:rFonts w:ascii="Times New Roman" w:hAnsi="Times New Roman" w:cs="Times New Roman"/>
          <w:sz w:val="24"/>
          <w:szCs w:val="24"/>
        </w:rPr>
        <w:t>nds</w:t>
      </w:r>
      <w:r w:rsidR="00637866" w:rsidRPr="00686222">
        <w:rPr>
          <w:rFonts w:ascii="Times New Roman" w:hAnsi="Times New Roman" w:cs="Times New Roman"/>
          <w:sz w:val="24"/>
          <w:szCs w:val="24"/>
        </w:rPr>
        <w:t xml:space="preserve">. </w:t>
      </w:r>
      <w:r w:rsidR="00B2148E" w:rsidRPr="00686222">
        <w:rPr>
          <w:rFonts w:ascii="Times New Roman" w:hAnsi="Times New Roman" w:cs="Times New Roman"/>
          <w:sz w:val="24"/>
          <w:szCs w:val="24"/>
        </w:rPr>
        <w:t>However, item 4 became relatively more important in round 2</w:t>
      </w:r>
      <w:r w:rsidR="00D944D5" w:rsidRPr="00686222">
        <w:rPr>
          <w:rFonts w:ascii="Times New Roman" w:hAnsi="Times New Roman" w:cs="Times New Roman"/>
          <w:sz w:val="24"/>
          <w:szCs w:val="24"/>
        </w:rPr>
        <w:t xml:space="preserve"> as it was ranked joint first with item 23 whereas it was ranked second in round 1. </w:t>
      </w:r>
    </w:p>
    <w:tbl>
      <w:tblPr>
        <w:tblStyle w:val="TableGrid"/>
        <w:tblW w:w="0" w:type="auto"/>
        <w:tblLook w:val="04A0" w:firstRow="1" w:lastRow="0" w:firstColumn="1" w:lastColumn="0" w:noHBand="0" w:noVBand="1"/>
      </w:tblPr>
      <w:tblGrid>
        <w:gridCol w:w="3565"/>
        <w:gridCol w:w="803"/>
        <w:gridCol w:w="3346"/>
        <w:gridCol w:w="870"/>
      </w:tblGrid>
      <w:tr w:rsidR="004B24B7" w14:paraId="5937BE7B" w14:textId="77777777" w:rsidTr="005E7689">
        <w:tc>
          <w:tcPr>
            <w:tcW w:w="3782" w:type="dxa"/>
            <w:shd w:val="clear" w:color="auto" w:fill="F2F2F2" w:themeFill="background1" w:themeFillShade="F2"/>
          </w:tcPr>
          <w:p w14:paraId="6C5B2A3A" w14:textId="77777777" w:rsidR="004B24B7" w:rsidRPr="004B24B7" w:rsidRDefault="004B24B7" w:rsidP="006E4A82">
            <w:pPr>
              <w:spacing w:line="480" w:lineRule="auto"/>
              <w:rPr>
                <w:rFonts w:ascii="Times New Roman" w:hAnsi="Times New Roman" w:cs="Times New Roman"/>
                <w:b/>
              </w:rPr>
            </w:pPr>
            <w:r w:rsidRPr="004B24B7">
              <w:rPr>
                <w:rFonts w:ascii="Times New Roman" w:hAnsi="Times New Roman" w:cs="Times New Roman"/>
                <w:b/>
              </w:rPr>
              <w:t>Round 1</w:t>
            </w:r>
          </w:p>
        </w:tc>
        <w:tc>
          <w:tcPr>
            <w:tcW w:w="810" w:type="dxa"/>
            <w:shd w:val="clear" w:color="auto" w:fill="F2F2F2" w:themeFill="background1" w:themeFillShade="F2"/>
          </w:tcPr>
          <w:p w14:paraId="006FF23A" w14:textId="77777777" w:rsidR="004B24B7" w:rsidRPr="004B24B7" w:rsidRDefault="004B24B7" w:rsidP="006E4A82">
            <w:pPr>
              <w:spacing w:line="480" w:lineRule="auto"/>
              <w:rPr>
                <w:rFonts w:ascii="Times New Roman" w:hAnsi="Times New Roman" w:cs="Times New Roman"/>
                <w:b/>
              </w:rPr>
            </w:pPr>
            <w:r w:rsidRPr="004B24B7">
              <w:rPr>
                <w:rFonts w:ascii="Times New Roman" w:hAnsi="Times New Roman" w:cs="Times New Roman"/>
                <w:b/>
              </w:rPr>
              <w:t>Rank</w:t>
            </w:r>
          </w:p>
        </w:tc>
        <w:tc>
          <w:tcPr>
            <w:tcW w:w="3540" w:type="dxa"/>
            <w:shd w:val="clear" w:color="auto" w:fill="D5DCE4" w:themeFill="text2" w:themeFillTint="33"/>
          </w:tcPr>
          <w:p w14:paraId="61AC57FC" w14:textId="77777777" w:rsidR="004B24B7" w:rsidRPr="004B24B7" w:rsidRDefault="004B24B7" w:rsidP="006E4A82">
            <w:pPr>
              <w:spacing w:line="480" w:lineRule="auto"/>
              <w:rPr>
                <w:rFonts w:ascii="Times New Roman" w:hAnsi="Times New Roman" w:cs="Times New Roman"/>
                <w:b/>
              </w:rPr>
            </w:pPr>
            <w:r w:rsidRPr="004B24B7">
              <w:rPr>
                <w:rFonts w:ascii="Times New Roman" w:hAnsi="Times New Roman" w:cs="Times New Roman"/>
                <w:b/>
              </w:rPr>
              <w:t>Round 2</w:t>
            </w:r>
          </w:p>
        </w:tc>
        <w:tc>
          <w:tcPr>
            <w:tcW w:w="884" w:type="dxa"/>
            <w:shd w:val="clear" w:color="auto" w:fill="D5DCE4" w:themeFill="text2" w:themeFillTint="33"/>
          </w:tcPr>
          <w:p w14:paraId="2BB8523D" w14:textId="77777777" w:rsidR="004B24B7" w:rsidRPr="004B24B7" w:rsidRDefault="004B24B7" w:rsidP="006E4A82">
            <w:pPr>
              <w:spacing w:line="480" w:lineRule="auto"/>
              <w:rPr>
                <w:rFonts w:ascii="Times New Roman" w:hAnsi="Times New Roman" w:cs="Times New Roman"/>
                <w:b/>
              </w:rPr>
            </w:pPr>
            <w:r w:rsidRPr="004B24B7">
              <w:rPr>
                <w:rFonts w:ascii="Times New Roman" w:hAnsi="Times New Roman" w:cs="Times New Roman"/>
                <w:b/>
              </w:rPr>
              <w:t>Rank</w:t>
            </w:r>
          </w:p>
        </w:tc>
      </w:tr>
      <w:tr w:rsidR="004B24B7" w14:paraId="0D7A3CA2" w14:textId="77777777" w:rsidTr="005E7689">
        <w:tc>
          <w:tcPr>
            <w:tcW w:w="3782" w:type="dxa"/>
          </w:tcPr>
          <w:p w14:paraId="5FFB23C0" w14:textId="5136CBEE"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Trust</w:t>
            </w:r>
          </w:p>
          <w:p w14:paraId="3E3A4C97" w14:textId="77777777" w:rsidR="00497E48" w:rsidRPr="00613779" w:rsidRDefault="00497E48" w:rsidP="004B24B7">
            <w:pPr>
              <w:rPr>
                <w:rFonts w:ascii="Times New Roman" w:hAnsi="Times New Roman" w:cs="Times New Roman"/>
                <w:b/>
                <w:sz w:val="24"/>
                <w:szCs w:val="24"/>
              </w:rPr>
            </w:pPr>
          </w:p>
          <w:p w14:paraId="4A936A19" w14:textId="71CCFC62" w:rsidR="004B24B7" w:rsidRPr="004B24B7" w:rsidRDefault="004B24B7" w:rsidP="004B24B7">
            <w:r w:rsidRPr="006F3B00">
              <w:rPr>
                <w:rFonts w:ascii="Times New Roman" w:hAnsi="Times New Roman" w:cs="Times New Roman"/>
                <w:sz w:val="24"/>
                <w:szCs w:val="24"/>
              </w:rPr>
              <w:t>23. Your opinion of a trainee’s diagnostic competence is related to an overall impression</w:t>
            </w:r>
          </w:p>
        </w:tc>
        <w:tc>
          <w:tcPr>
            <w:tcW w:w="810" w:type="dxa"/>
          </w:tcPr>
          <w:p w14:paraId="145A0CC3" w14:textId="77777777" w:rsidR="004B24B7" w:rsidRPr="00613779" w:rsidRDefault="004B24B7" w:rsidP="006E4A82">
            <w:pPr>
              <w:spacing w:line="480" w:lineRule="auto"/>
              <w:rPr>
                <w:rFonts w:ascii="Times New Roman" w:hAnsi="Times New Roman" w:cs="Times New Roman"/>
              </w:rPr>
            </w:pPr>
            <w:r w:rsidRPr="00613779">
              <w:rPr>
                <w:rFonts w:ascii="Times New Roman" w:hAnsi="Times New Roman" w:cs="Times New Roman"/>
              </w:rPr>
              <w:t>1</w:t>
            </w:r>
          </w:p>
        </w:tc>
        <w:tc>
          <w:tcPr>
            <w:tcW w:w="3540" w:type="dxa"/>
          </w:tcPr>
          <w:p w14:paraId="6C42DF50" w14:textId="7793D5BE" w:rsidR="0075152B" w:rsidRDefault="0075152B" w:rsidP="00F91872">
            <w:pPr>
              <w:rPr>
                <w:rFonts w:ascii="Times New Roman" w:hAnsi="Times New Roman" w:cs="Times New Roman"/>
                <w:b/>
                <w:sz w:val="24"/>
                <w:szCs w:val="24"/>
              </w:rPr>
            </w:pPr>
            <w:r w:rsidRPr="0075152B">
              <w:rPr>
                <w:rFonts w:ascii="Times New Roman" w:hAnsi="Times New Roman" w:cs="Times New Roman"/>
                <w:b/>
                <w:sz w:val="24"/>
                <w:szCs w:val="24"/>
              </w:rPr>
              <w:t>Trust</w:t>
            </w:r>
          </w:p>
          <w:p w14:paraId="7D7BC59E" w14:textId="77777777" w:rsidR="00497E48" w:rsidRPr="00613779" w:rsidRDefault="00497E48" w:rsidP="00F91872">
            <w:pPr>
              <w:rPr>
                <w:rFonts w:ascii="Times New Roman" w:hAnsi="Times New Roman" w:cs="Times New Roman"/>
                <w:b/>
                <w:sz w:val="24"/>
                <w:szCs w:val="24"/>
              </w:rPr>
            </w:pPr>
          </w:p>
          <w:p w14:paraId="1E8BBED6" w14:textId="19910A3F" w:rsidR="004B24B7" w:rsidRPr="004B24B7" w:rsidRDefault="00F91872" w:rsidP="00F91872">
            <w:pPr>
              <w:rPr>
                <w:rFonts w:ascii="Times New Roman" w:hAnsi="Times New Roman" w:cs="Times New Roman"/>
                <w:b/>
              </w:rPr>
            </w:pPr>
            <w:r w:rsidRPr="006F3B00">
              <w:rPr>
                <w:rFonts w:ascii="Times New Roman" w:hAnsi="Times New Roman" w:cs="Times New Roman"/>
                <w:sz w:val="24"/>
                <w:szCs w:val="24"/>
              </w:rPr>
              <w:t>23. Your opinion of a trainee’s diagnostic competence is related to an overall impression</w:t>
            </w:r>
          </w:p>
        </w:tc>
        <w:tc>
          <w:tcPr>
            <w:tcW w:w="884" w:type="dxa"/>
          </w:tcPr>
          <w:p w14:paraId="7224EBE2" w14:textId="77777777" w:rsidR="004B24B7" w:rsidRPr="00613779" w:rsidRDefault="004B24B7" w:rsidP="006E4A82">
            <w:pPr>
              <w:spacing w:line="480" w:lineRule="auto"/>
              <w:rPr>
                <w:rFonts w:ascii="Times New Roman" w:hAnsi="Times New Roman" w:cs="Times New Roman"/>
              </w:rPr>
            </w:pPr>
            <w:r w:rsidRPr="00613779">
              <w:rPr>
                <w:rFonts w:ascii="Times New Roman" w:hAnsi="Times New Roman" w:cs="Times New Roman"/>
              </w:rPr>
              <w:t>=1</w:t>
            </w:r>
          </w:p>
        </w:tc>
      </w:tr>
      <w:tr w:rsidR="004B24B7" w14:paraId="0D2A294A" w14:textId="77777777" w:rsidTr="005E7689">
        <w:tc>
          <w:tcPr>
            <w:tcW w:w="3782" w:type="dxa"/>
          </w:tcPr>
          <w:p w14:paraId="7BE1F606" w14:textId="3976C1AD"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Timing</w:t>
            </w:r>
          </w:p>
          <w:p w14:paraId="1BF0D4C7" w14:textId="77777777" w:rsidR="00497E48" w:rsidRPr="00613779" w:rsidRDefault="00497E48" w:rsidP="004B24B7">
            <w:pPr>
              <w:rPr>
                <w:rFonts w:ascii="Times New Roman" w:hAnsi="Times New Roman" w:cs="Times New Roman"/>
                <w:b/>
                <w:sz w:val="24"/>
                <w:szCs w:val="24"/>
              </w:rPr>
            </w:pPr>
          </w:p>
          <w:p w14:paraId="0CCF4BD8" w14:textId="2CC8ACB1" w:rsidR="004B24B7" w:rsidRPr="0075152B" w:rsidRDefault="004B24B7" w:rsidP="004B24B7">
            <w:r w:rsidRPr="006F3B00">
              <w:rPr>
                <w:rFonts w:ascii="Times New Roman" w:hAnsi="Times New Roman" w:cs="Times New Roman"/>
                <w:sz w:val="24"/>
                <w:szCs w:val="24"/>
              </w:rPr>
              <w:t xml:space="preserve">4. Individual cases in an examination setting </w:t>
            </w:r>
          </w:p>
        </w:tc>
        <w:tc>
          <w:tcPr>
            <w:tcW w:w="810" w:type="dxa"/>
          </w:tcPr>
          <w:p w14:paraId="079D6015" w14:textId="77777777" w:rsidR="004B24B7" w:rsidRPr="00613779" w:rsidRDefault="004B24B7" w:rsidP="006E4A82">
            <w:pPr>
              <w:spacing w:line="480" w:lineRule="auto"/>
              <w:rPr>
                <w:rFonts w:ascii="Times New Roman" w:hAnsi="Times New Roman" w:cs="Times New Roman"/>
              </w:rPr>
            </w:pPr>
            <w:r w:rsidRPr="00613779">
              <w:rPr>
                <w:rFonts w:ascii="Times New Roman" w:hAnsi="Times New Roman" w:cs="Times New Roman"/>
              </w:rPr>
              <w:t>2</w:t>
            </w:r>
          </w:p>
        </w:tc>
        <w:tc>
          <w:tcPr>
            <w:tcW w:w="3540" w:type="dxa"/>
          </w:tcPr>
          <w:p w14:paraId="1448A018" w14:textId="5ACA379E" w:rsidR="0075152B" w:rsidRDefault="0075152B" w:rsidP="00F91872">
            <w:pPr>
              <w:rPr>
                <w:rFonts w:ascii="Times New Roman" w:hAnsi="Times New Roman" w:cs="Times New Roman"/>
                <w:b/>
                <w:sz w:val="24"/>
                <w:szCs w:val="24"/>
              </w:rPr>
            </w:pPr>
            <w:r w:rsidRPr="0075152B">
              <w:rPr>
                <w:rFonts w:ascii="Times New Roman" w:hAnsi="Times New Roman" w:cs="Times New Roman"/>
                <w:b/>
                <w:sz w:val="24"/>
                <w:szCs w:val="24"/>
              </w:rPr>
              <w:t>Timing</w:t>
            </w:r>
          </w:p>
          <w:p w14:paraId="1AC49EDD" w14:textId="77777777" w:rsidR="00497E48" w:rsidRPr="00613779" w:rsidRDefault="00497E48" w:rsidP="00F91872">
            <w:pPr>
              <w:rPr>
                <w:rFonts w:ascii="Times New Roman" w:hAnsi="Times New Roman" w:cs="Times New Roman"/>
                <w:b/>
                <w:sz w:val="24"/>
                <w:szCs w:val="24"/>
              </w:rPr>
            </w:pPr>
          </w:p>
          <w:p w14:paraId="3B7BCB76" w14:textId="2CDC43C8" w:rsidR="004B24B7" w:rsidRPr="0075152B" w:rsidRDefault="00F91872" w:rsidP="004B24B7">
            <w:r w:rsidRPr="006F3B00">
              <w:rPr>
                <w:rFonts w:ascii="Times New Roman" w:hAnsi="Times New Roman" w:cs="Times New Roman"/>
                <w:sz w:val="24"/>
                <w:szCs w:val="24"/>
              </w:rPr>
              <w:t xml:space="preserve">4. Individual cases in an examination setting </w:t>
            </w:r>
          </w:p>
        </w:tc>
        <w:tc>
          <w:tcPr>
            <w:tcW w:w="884" w:type="dxa"/>
          </w:tcPr>
          <w:p w14:paraId="173952CC" w14:textId="77777777" w:rsidR="004B24B7" w:rsidRPr="00613779" w:rsidRDefault="004B24B7" w:rsidP="006E4A82">
            <w:pPr>
              <w:spacing w:line="480" w:lineRule="auto"/>
              <w:rPr>
                <w:rFonts w:ascii="Times New Roman" w:hAnsi="Times New Roman" w:cs="Times New Roman"/>
              </w:rPr>
            </w:pPr>
            <w:r w:rsidRPr="00613779">
              <w:rPr>
                <w:rFonts w:ascii="Times New Roman" w:hAnsi="Times New Roman" w:cs="Times New Roman"/>
              </w:rPr>
              <w:t>=1</w:t>
            </w:r>
          </w:p>
        </w:tc>
      </w:tr>
      <w:tr w:rsidR="004B24B7" w14:paraId="1FB62FC9" w14:textId="77777777" w:rsidTr="005E7689">
        <w:tc>
          <w:tcPr>
            <w:tcW w:w="3782" w:type="dxa"/>
          </w:tcPr>
          <w:p w14:paraId="6EF8B8BA" w14:textId="32EF3982" w:rsidR="0075152B" w:rsidRDefault="0075152B" w:rsidP="004B24B7">
            <w:pPr>
              <w:rPr>
                <w:rFonts w:ascii="Times New Roman" w:hAnsi="Times New Roman" w:cs="Times New Roman"/>
                <w:b/>
                <w:sz w:val="24"/>
                <w:szCs w:val="24"/>
              </w:rPr>
            </w:pPr>
            <w:r w:rsidRPr="0075152B">
              <w:rPr>
                <w:rFonts w:ascii="Times New Roman" w:hAnsi="Times New Roman" w:cs="Times New Roman"/>
                <w:b/>
                <w:sz w:val="24"/>
                <w:szCs w:val="24"/>
              </w:rPr>
              <w:t>Stage of training</w:t>
            </w:r>
          </w:p>
          <w:p w14:paraId="1E7DED5F" w14:textId="77777777" w:rsidR="00497E48" w:rsidRPr="00613779" w:rsidRDefault="00497E48" w:rsidP="004B24B7">
            <w:pPr>
              <w:rPr>
                <w:rFonts w:ascii="Times New Roman" w:hAnsi="Times New Roman" w:cs="Times New Roman"/>
                <w:b/>
                <w:sz w:val="24"/>
                <w:szCs w:val="24"/>
              </w:rPr>
            </w:pPr>
          </w:p>
          <w:p w14:paraId="257EB2CF" w14:textId="22749EB1" w:rsidR="004B24B7" w:rsidRPr="004B24B7" w:rsidRDefault="004B24B7" w:rsidP="004B24B7">
            <w:r w:rsidRPr="006F3B00">
              <w:rPr>
                <w:rFonts w:ascii="Times New Roman" w:hAnsi="Times New Roman" w:cs="Times New Roman"/>
                <w:sz w:val="24"/>
                <w:szCs w:val="24"/>
              </w:rPr>
              <w:t>2. RCPath curricula and training guidelines</w:t>
            </w:r>
          </w:p>
        </w:tc>
        <w:tc>
          <w:tcPr>
            <w:tcW w:w="810" w:type="dxa"/>
          </w:tcPr>
          <w:p w14:paraId="089E6826" w14:textId="77777777" w:rsidR="004B24B7" w:rsidRPr="00613779" w:rsidRDefault="004B24B7" w:rsidP="006E4A82">
            <w:pPr>
              <w:spacing w:line="480" w:lineRule="auto"/>
              <w:rPr>
                <w:rFonts w:ascii="Times New Roman" w:hAnsi="Times New Roman" w:cs="Times New Roman"/>
              </w:rPr>
            </w:pPr>
            <w:r w:rsidRPr="00613779">
              <w:rPr>
                <w:rFonts w:ascii="Times New Roman" w:hAnsi="Times New Roman" w:cs="Times New Roman"/>
              </w:rPr>
              <w:t>3</w:t>
            </w:r>
          </w:p>
        </w:tc>
        <w:tc>
          <w:tcPr>
            <w:tcW w:w="3540" w:type="dxa"/>
          </w:tcPr>
          <w:p w14:paraId="6C2A09D2" w14:textId="550E146B" w:rsidR="0075152B" w:rsidRDefault="0075152B" w:rsidP="000B6CB8">
            <w:pPr>
              <w:rPr>
                <w:rFonts w:ascii="Times New Roman" w:hAnsi="Times New Roman" w:cs="Times New Roman"/>
                <w:b/>
                <w:sz w:val="24"/>
                <w:szCs w:val="24"/>
              </w:rPr>
            </w:pPr>
            <w:r w:rsidRPr="0075152B">
              <w:rPr>
                <w:rFonts w:ascii="Times New Roman" w:hAnsi="Times New Roman" w:cs="Times New Roman"/>
                <w:b/>
                <w:sz w:val="24"/>
                <w:szCs w:val="24"/>
              </w:rPr>
              <w:t>Stage of training</w:t>
            </w:r>
          </w:p>
          <w:p w14:paraId="1832406A" w14:textId="77777777" w:rsidR="00497E48" w:rsidRPr="00613779" w:rsidRDefault="00497E48" w:rsidP="000B6CB8">
            <w:pPr>
              <w:rPr>
                <w:rFonts w:ascii="Times New Roman" w:hAnsi="Times New Roman" w:cs="Times New Roman"/>
                <w:b/>
                <w:sz w:val="24"/>
                <w:szCs w:val="24"/>
              </w:rPr>
            </w:pPr>
          </w:p>
          <w:p w14:paraId="400E2F14" w14:textId="6943E160" w:rsidR="004B24B7" w:rsidRPr="000B6CB8" w:rsidRDefault="004B24B7" w:rsidP="000B6CB8">
            <w:pPr>
              <w:rPr>
                <w:rFonts w:ascii="Times New Roman" w:hAnsi="Times New Roman" w:cs="Times New Roman"/>
                <w:sz w:val="24"/>
                <w:szCs w:val="24"/>
              </w:rPr>
            </w:pPr>
            <w:r w:rsidRPr="006F3B00">
              <w:rPr>
                <w:rFonts w:ascii="Times New Roman" w:hAnsi="Times New Roman" w:cs="Times New Roman"/>
                <w:sz w:val="24"/>
                <w:szCs w:val="24"/>
              </w:rPr>
              <w:t>2. RCPath cu</w:t>
            </w:r>
            <w:r w:rsidR="000B6CB8">
              <w:rPr>
                <w:rFonts w:ascii="Times New Roman" w:hAnsi="Times New Roman" w:cs="Times New Roman"/>
                <w:sz w:val="24"/>
                <w:szCs w:val="24"/>
              </w:rPr>
              <w:t>rricula and training guidelines</w:t>
            </w:r>
          </w:p>
        </w:tc>
        <w:tc>
          <w:tcPr>
            <w:tcW w:w="884" w:type="dxa"/>
          </w:tcPr>
          <w:p w14:paraId="7B30F1B9" w14:textId="77777777" w:rsidR="004B24B7" w:rsidRPr="00613779" w:rsidRDefault="004B24B7" w:rsidP="006E4A82">
            <w:pPr>
              <w:spacing w:line="480" w:lineRule="auto"/>
              <w:rPr>
                <w:rFonts w:ascii="Times New Roman" w:hAnsi="Times New Roman" w:cs="Times New Roman"/>
              </w:rPr>
            </w:pPr>
            <w:r w:rsidRPr="00613779">
              <w:rPr>
                <w:rFonts w:ascii="Times New Roman" w:hAnsi="Times New Roman" w:cs="Times New Roman"/>
              </w:rPr>
              <w:t>3</w:t>
            </w:r>
          </w:p>
        </w:tc>
      </w:tr>
    </w:tbl>
    <w:p w14:paraId="66D401DC" w14:textId="5E121643" w:rsidR="005E7689" w:rsidRPr="004B24B7" w:rsidRDefault="005E7689" w:rsidP="005E7689">
      <w:pPr>
        <w:spacing w:line="240" w:lineRule="auto"/>
        <w:rPr>
          <w:rFonts w:ascii="Times New Roman" w:hAnsi="Times New Roman" w:cs="Times New Roman"/>
          <w:b/>
        </w:rPr>
      </w:pPr>
      <w:r w:rsidRPr="00754786">
        <w:rPr>
          <w:rFonts w:ascii="Times New Roman" w:hAnsi="Times New Roman" w:cs="Times New Roman"/>
          <w:b/>
          <w:sz w:val="24"/>
          <w:szCs w:val="24"/>
        </w:rPr>
        <w:t>T</w:t>
      </w:r>
      <w:r w:rsidR="001A1B84">
        <w:rPr>
          <w:rFonts w:ascii="Times New Roman" w:hAnsi="Times New Roman" w:cs="Times New Roman"/>
          <w:b/>
          <w:sz w:val="24"/>
          <w:szCs w:val="24"/>
        </w:rPr>
        <w:t>able 5.17</w:t>
      </w:r>
      <w:r>
        <w:rPr>
          <w:rFonts w:ascii="Times New Roman" w:hAnsi="Times New Roman" w:cs="Times New Roman"/>
          <w:b/>
          <w:sz w:val="24"/>
          <w:szCs w:val="24"/>
        </w:rPr>
        <w:t>.</w:t>
      </w:r>
      <w:r w:rsidRPr="00754786">
        <w:rPr>
          <w:rFonts w:ascii="Times New Roman" w:hAnsi="Times New Roman" w:cs="Times New Roman"/>
          <w:b/>
          <w:sz w:val="24"/>
          <w:szCs w:val="24"/>
        </w:rPr>
        <w:t xml:space="preserve"> Comparison of lowest ranked items in rounds 1 and 2</w:t>
      </w:r>
      <w:r>
        <w:rPr>
          <w:rFonts w:ascii="Times New Roman" w:hAnsi="Times New Roman" w:cs="Times New Roman"/>
          <w:sz w:val="24"/>
          <w:szCs w:val="24"/>
        </w:rPr>
        <w:t>.</w:t>
      </w:r>
      <w:r>
        <w:rPr>
          <w:rFonts w:ascii="Times New Roman" w:hAnsi="Times New Roman" w:cs="Times New Roman"/>
          <w:b/>
        </w:rPr>
        <w:t xml:space="preserve"> </w:t>
      </w:r>
      <w:r>
        <w:rPr>
          <w:rFonts w:ascii="Times New Roman" w:hAnsi="Times New Roman" w:cs="Times New Roman"/>
          <w:sz w:val="24"/>
          <w:szCs w:val="24"/>
        </w:rPr>
        <w:t>Note, some items have been shortened for reasons of clarity.</w:t>
      </w:r>
    </w:p>
    <w:p w14:paraId="2B53E2F3" w14:textId="41E5C2B5" w:rsidR="004B24B7" w:rsidRDefault="004B24B7" w:rsidP="00143135">
      <w:pPr>
        <w:spacing w:line="480" w:lineRule="auto"/>
        <w:rPr>
          <w:rFonts w:ascii="Times New Roman" w:hAnsi="Times New Roman" w:cs="Times New Roman"/>
          <w:b/>
          <w:color w:val="FF0000"/>
          <w:sz w:val="24"/>
          <w:szCs w:val="24"/>
        </w:rPr>
      </w:pPr>
    </w:p>
    <w:p w14:paraId="266B7698" w14:textId="385430BE" w:rsidR="005E7689" w:rsidRDefault="005E7689" w:rsidP="00143135">
      <w:pPr>
        <w:spacing w:line="480" w:lineRule="auto"/>
        <w:rPr>
          <w:rFonts w:ascii="Times New Roman" w:hAnsi="Times New Roman" w:cs="Times New Roman"/>
          <w:b/>
          <w:color w:val="FF0000"/>
          <w:sz w:val="24"/>
          <w:szCs w:val="24"/>
        </w:rPr>
      </w:pPr>
    </w:p>
    <w:p w14:paraId="10DEB4B4" w14:textId="64E06731" w:rsidR="005E7689" w:rsidRDefault="005E7689" w:rsidP="00143135">
      <w:pPr>
        <w:spacing w:line="480" w:lineRule="auto"/>
        <w:rPr>
          <w:rFonts w:ascii="Times New Roman" w:hAnsi="Times New Roman" w:cs="Times New Roman"/>
          <w:b/>
          <w:color w:val="FF0000"/>
          <w:sz w:val="24"/>
          <w:szCs w:val="24"/>
        </w:rPr>
      </w:pPr>
    </w:p>
    <w:p w14:paraId="0FE3BF56" w14:textId="0F42E46E" w:rsidR="005E7689" w:rsidRDefault="005E7689" w:rsidP="00143135">
      <w:pPr>
        <w:spacing w:line="480" w:lineRule="auto"/>
        <w:rPr>
          <w:rFonts w:ascii="Times New Roman" w:hAnsi="Times New Roman" w:cs="Times New Roman"/>
          <w:b/>
          <w:color w:val="FF0000"/>
          <w:sz w:val="24"/>
          <w:szCs w:val="24"/>
        </w:rPr>
      </w:pPr>
    </w:p>
    <w:p w14:paraId="1442005E" w14:textId="3000C2DF" w:rsidR="005E7689" w:rsidRDefault="005E7689" w:rsidP="00143135">
      <w:pPr>
        <w:spacing w:line="480" w:lineRule="auto"/>
        <w:rPr>
          <w:rFonts w:ascii="Times New Roman" w:hAnsi="Times New Roman" w:cs="Times New Roman"/>
          <w:b/>
          <w:color w:val="FF0000"/>
          <w:sz w:val="24"/>
          <w:szCs w:val="24"/>
        </w:rPr>
      </w:pPr>
    </w:p>
    <w:p w14:paraId="2840C286" w14:textId="3D4A3672" w:rsidR="005E7689" w:rsidRDefault="005E7689" w:rsidP="00143135">
      <w:pPr>
        <w:spacing w:line="480" w:lineRule="auto"/>
        <w:rPr>
          <w:rFonts w:ascii="Times New Roman" w:hAnsi="Times New Roman" w:cs="Times New Roman"/>
          <w:b/>
          <w:color w:val="FF0000"/>
          <w:sz w:val="24"/>
          <w:szCs w:val="24"/>
        </w:rPr>
      </w:pPr>
    </w:p>
    <w:p w14:paraId="631781CA" w14:textId="275D0E77" w:rsidR="005E7689" w:rsidRDefault="005E7689" w:rsidP="00143135">
      <w:pPr>
        <w:spacing w:line="480" w:lineRule="auto"/>
        <w:rPr>
          <w:rFonts w:ascii="Times New Roman" w:hAnsi="Times New Roman" w:cs="Times New Roman"/>
          <w:b/>
          <w:color w:val="FF0000"/>
          <w:sz w:val="24"/>
          <w:szCs w:val="24"/>
        </w:rPr>
      </w:pPr>
    </w:p>
    <w:p w14:paraId="3800AD65" w14:textId="315581AB" w:rsidR="005E7689" w:rsidRDefault="005E7689" w:rsidP="00143135">
      <w:pPr>
        <w:spacing w:line="480" w:lineRule="auto"/>
        <w:rPr>
          <w:rFonts w:ascii="Times New Roman" w:hAnsi="Times New Roman" w:cs="Times New Roman"/>
          <w:b/>
          <w:color w:val="FF0000"/>
          <w:sz w:val="24"/>
          <w:szCs w:val="24"/>
        </w:rPr>
      </w:pPr>
    </w:p>
    <w:p w14:paraId="385C5C35" w14:textId="7857ACD9" w:rsidR="005E7689" w:rsidRDefault="005E7689" w:rsidP="00143135">
      <w:pPr>
        <w:spacing w:line="480" w:lineRule="auto"/>
        <w:rPr>
          <w:rFonts w:ascii="Times New Roman" w:hAnsi="Times New Roman" w:cs="Times New Roman"/>
          <w:b/>
          <w:color w:val="FF0000"/>
          <w:sz w:val="24"/>
          <w:szCs w:val="24"/>
        </w:rPr>
      </w:pPr>
    </w:p>
    <w:p w14:paraId="490AD084" w14:textId="2AA78D4B" w:rsidR="007A712D" w:rsidRPr="00754786" w:rsidRDefault="007A712D" w:rsidP="007A712D">
      <w:pPr>
        <w:pStyle w:val="Heading3"/>
        <w:rPr>
          <w:rFonts w:ascii="Times New Roman" w:hAnsi="Times New Roman" w:cs="Times New Roman"/>
          <w:color w:val="auto"/>
          <w:sz w:val="24"/>
          <w:szCs w:val="24"/>
        </w:rPr>
      </w:pPr>
      <w:bookmarkStart w:id="115" w:name="_Toc23243844"/>
      <w:r w:rsidRPr="00754786">
        <w:rPr>
          <w:rFonts w:ascii="Times New Roman" w:hAnsi="Times New Roman" w:cs="Times New Roman"/>
          <w:color w:val="auto"/>
          <w:sz w:val="24"/>
          <w:szCs w:val="24"/>
        </w:rPr>
        <w:lastRenderedPageBreak/>
        <w:t xml:space="preserve">5.4.8 Comparison of round 1 and round 2 </w:t>
      </w:r>
      <w:r w:rsidR="000D2D6E">
        <w:rPr>
          <w:rFonts w:ascii="Times New Roman" w:hAnsi="Times New Roman" w:cs="Times New Roman"/>
          <w:color w:val="auto"/>
          <w:sz w:val="24"/>
          <w:szCs w:val="24"/>
        </w:rPr>
        <w:t>highest rated</w:t>
      </w:r>
      <w:r w:rsidR="005E7689">
        <w:rPr>
          <w:rFonts w:ascii="Times New Roman" w:hAnsi="Times New Roman" w:cs="Times New Roman"/>
          <w:color w:val="auto"/>
          <w:sz w:val="24"/>
          <w:szCs w:val="24"/>
        </w:rPr>
        <w:t xml:space="preserve"> by</w:t>
      </w:r>
      <w:r w:rsidR="000D2D6E">
        <w:rPr>
          <w:rFonts w:ascii="Times New Roman" w:hAnsi="Times New Roman" w:cs="Times New Roman"/>
          <w:color w:val="auto"/>
          <w:sz w:val="24"/>
          <w:szCs w:val="24"/>
        </w:rPr>
        <w:t xml:space="preserve"> </w:t>
      </w:r>
      <w:r w:rsidRPr="00754786">
        <w:rPr>
          <w:rFonts w:ascii="Times New Roman" w:hAnsi="Times New Roman" w:cs="Times New Roman"/>
          <w:color w:val="auto"/>
          <w:sz w:val="24"/>
          <w:szCs w:val="24"/>
        </w:rPr>
        <w:t>mean score</w:t>
      </w:r>
      <w:bookmarkEnd w:id="115"/>
    </w:p>
    <w:p w14:paraId="651D48D7" w14:textId="77777777" w:rsidR="00754786" w:rsidRDefault="00754786" w:rsidP="007A712D">
      <w:pPr>
        <w:rPr>
          <w:rFonts w:ascii="Times New Roman" w:hAnsi="Times New Roman" w:cs="Times New Roman"/>
        </w:rPr>
      </w:pPr>
    </w:p>
    <w:p w14:paraId="3828F7E1" w14:textId="721CA51E" w:rsidR="005E7689" w:rsidRPr="005E7689" w:rsidRDefault="001A1B84" w:rsidP="005E7689">
      <w:pPr>
        <w:spacing w:line="480" w:lineRule="auto"/>
        <w:rPr>
          <w:rFonts w:ascii="Times New Roman" w:hAnsi="Times New Roman" w:cs="Times New Roman"/>
          <w:sz w:val="24"/>
          <w:szCs w:val="24"/>
          <w:lang w:val="en-GB"/>
        </w:rPr>
      </w:pPr>
      <w:r>
        <w:rPr>
          <w:rFonts w:ascii="Times New Roman" w:hAnsi="Times New Roman" w:cs="Times New Roman"/>
          <w:sz w:val="24"/>
          <w:szCs w:val="24"/>
        </w:rPr>
        <w:t>Tables 5.18 and 5.19</w:t>
      </w:r>
      <w:r w:rsidR="00754786" w:rsidRPr="00754786">
        <w:rPr>
          <w:rFonts w:ascii="Times New Roman" w:hAnsi="Times New Roman" w:cs="Times New Roman"/>
          <w:sz w:val="24"/>
          <w:szCs w:val="24"/>
        </w:rPr>
        <w:t xml:space="preserve"> compare the highest rated items by mean score for rounds 1 and 2.</w:t>
      </w:r>
      <w:r w:rsidR="00754786" w:rsidRPr="00754786">
        <w:rPr>
          <w:rFonts w:ascii="Times New Roman" w:hAnsi="Times New Roman" w:cs="Times New Roman"/>
          <w:sz w:val="24"/>
          <w:szCs w:val="24"/>
          <w:lang w:val="en-GB"/>
        </w:rPr>
        <w:t xml:space="preserve"> </w:t>
      </w:r>
      <w:r>
        <w:rPr>
          <w:rFonts w:ascii="Times New Roman" w:hAnsi="Times New Roman" w:cs="Times New Roman"/>
          <w:sz w:val="24"/>
          <w:szCs w:val="24"/>
          <w:lang w:val="en-GB"/>
        </w:rPr>
        <w:t>In Table 5.18</w:t>
      </w:r>
      <w:r w:rsidR="00F711E6">
        <w:rPr>
          <w:rFonts w:ascii="Times New Roman" w:hAnsi="Times New Roman" w:cs="Times New Roman"/>
          <w:sz w:val="24"/>
          <w:szCs w:val="24"/>
          <w:lang w:val="en-GB"/>
        </w:rPr>
        <w:t>, it can be seen that items 16</w:t>
      </w:r>
      <w:r w:rsidR="000D2D6E">
        <w:rPr>
          <w:rFonts w:ascii="Times New Roman" w:hAnsi="Times New Roman" w:cs="Times New Roman"/>
          <w:sz w:val="24"/>
          <w:szCs w:val="24"/>
          <w:lang w:val="en-GB"/>
        </w:rPr>
        <w:t xml:space="preserve"> (‘</w:t>
      </w:r>
      <w:r w:rsidR="000D2D6E" w:rsidRPr="000D2D6E">
        <w:rPr>
          <w:rFonts w:ascii="Times New Roman" w:hAnsi="Times New Roman" w:cs="Times New Roman"/>
          <w:sz w:val="24"/>
          <w:szCs w:val="24"/>
        </w:rPr>
        <w:t>Trainee is aware of limitations</w:t>
      </w:r>
      <w:r w:rsidR="000D2D6E">
        <w:rPr>
          <w:rFonts w:ascii="Times New Roman" w:hAnsi="Times New Roman" w:cs="Times New Roman"/>
          <w:sz w:val="24"/>
          <w:szCs w:val="24"/>
        </w:rPr>
        <w:t>’)</w:t>
      </w:r>
      <w:r w:rsidR="00F711E6">
        <w:rPr>
          <w:rFonts w:ascii="Times New Roman" w:hAnsi="Times New Roman" w:cs="Times New Roman"/>
          <w:sz w:val="24"/>
          <w:szCs w:val="24"/>
          <w:lang w:val="en-GB"/>
        </w:rPr>
        <w:t>, 18</w:t>
      </w:r>
      <w:r w:rsidR="00FD5ADC">
        <w:rPr>
          <w:rFonts w:ascii="Times New Roman" w:hAnsi="Times New Roman" w:cs="Times New Roman"/>
          <w:sz w:val="24"/>
          <w:szCs w:val="24"/>
          <w:lang w:val="en-GB"/>
        </w:rPr>
        <w:t xml:space="preserve"> </w:t>
      </w:r>
      <w:r w:rsidR="000D2D6E">
        <w:rPr>
          <w:rFonts w:ascii="Times New Roman" w:hAnsi="Times New Roman" w:cs="Times New Roman"/>
          <w:sz w:val="24"/>
          <w:szCs w:val="24"/>
          <w:lang w:val="en-GB"/>
        </w:rPr>
        <w:t>(‘</w:t>
      </w:r>
      <w:r w:rsidR="000D2D6E" w:rsidRPr="000D2D6E">
        <w:rPr>
          <w:rFonts w:ascii="Times New Roman" w:hAnsi="Times New Roman" w:cs="Times New Roman"/>
          <w:sz w:val="24"/>
          <w:szCs w:val="24"/>
        </w:rPr>
        <w:t>Trainee shows evidence of improvement following reflection</w:t>
      </w:r>
      <w:r w:rsidR="000D2D6E">
        <w:rPr>
          <w:rFonts w:ascii="Times New Roman" w:hAnsi="Times New Roman" w:cs="Times New Roman"/>
          <w:sz w:val="24"/>
          <w:szCs w:val="24"/>
        </w:rPr>
        <w:t>’)</w:t>
      </w:r>
      <w:r w:rsidR="00F711E6">
        <w:rPr>
          <w:rFonts w:ascii="Times New Roman" w:hAnsi="Times New Roman" w:cs="Times New Roman"/>
          <w:sz w:val="24"/>
          <w:szCs w:val="24"/>
          <w:lang w:val="en-GB"/>
        </w:rPr>
        <w:t xml:space="preserve"> and 26</w:t>
      </w:r>
      <w:r w:rsidR="000D2D6E">
        <w:rPr>
          <w:rFonts w:ascii="Times New Roman" w:hAnsi="Times New Roman" w:cs="Times New Roman"/>
          <w:sz w:val="24"/>
          <w:szCs w:val="24"/>
          <w:lang w:val="en-GB"/>
        </w:rPr>
        <w:t xml:space="preserve"> (‘</w:t>
      </w:r>
      <w:r w:rsidR="000D2D6E" w:rsidRPr="000D2D6E">
        <w:rPr>
          <w:rFonts w:ascii="Times New Roman" w:hAnsi="Times New Roman" w:cs="Times New Roman"/>
          <w:sz w:val="24"/>
          <w:szCs w:val="24"/>
        </w:rPr>
        <w:t>Report ensures the clinician/surgeon receives the appropriate message</w:t>
      </w:r>
      <w:r w:rsidR="000D2D6E">
        <w:rPr>
          <w:rFonts w:ascii="Times New Roman" w:hAnsi="Times New Roman" w:cs="Times New Roman"/>
          <w:sz w:val="24"/>
          <w:szCs w:val="24"/>
        </w:rPr>
        <w:t>’)</w:t>
      </w:r>
      <w:r w:rsidR="000D2D6E" w:rsidRPr="000D2D6E">
        <w:rPr>
          <w:rFonts w:ascii="Times New Roman" w:hAnsi="Times New Roman" w:cs="Times New Roman"/>
          <w:sz w:val="24"/>
          <w:szCs w:val="24"/>
          <w:lang w:val="en-GB"/>
        </w:rPr>
        <w:t xml:space="preserve"> </w:t>
      </w:r>
      <w:r w:rsidR="00F711E6">
        <w:rPr>
          <w:rFonts w:ascii="Times New Roman" w:hAnsi="Times New Roman" w:cs="Times New Roman"/>
          <w:sz w:val="24"/>
          <w:szCs w:val="24"/>
          <w:lang w:val="en-GB"/>
        </w:rPr>
        <w:t>had the highest scores in both rounds 1 and 2. In round 1, it</w:t>
      </w:r>
      <w:r w:rsidR="004A582B">
        <w:rPr>
          <w:rFonts w:ascii="Times New Roman" w:hAnsi="Times New Roman" w:cs="Times New Roman"/>
          <w:sz w:val="24"/>
          <w:szCs w:val="24"/>
          <w:lang w:val="en-GB"/>
        </w:rPr>
        <w:t>ems 16 and 18 (under</w:t>
      </w:r>
      <w:r w:rsidR="00F711E6">
        <w:rPr>
          <w:rFonts w:ascii="Times New Roman" w:hAnsi="Times New Roman" w:cs="Times New Roman"/>
          <w:sz w:val="24"/>
          <w:szCs w:val="24"/>
          <w:lang w:val="en-GB"/>
        </w:rPr>
        <w:t xml:space="preserve"> “</w:t>
      </w:r>
      <w:r w:rsidR="000D2D6E">
        <w:rPr>
          <w:rFonts w:ascii="Times New Roman" w:hAnsi="Times New Roman" w:cs="Times New Roman"/>
          <w:sz w:val="24"/>
          <w:szCs w:val="24"/>
          <w:lang w:val="en-GB"/>
        </w:rPr>
        <w:t>R</w:t>
      </w:r>
      <w:r w:rsidR="00F711E6">
        <w:rPr>
          <w:rFonts w:ascii="Times New Roman" w:hAnsi="Times New Roman" w:cs="Times New Roman"/>
          <w:sz w:val="24"/>
          <w:szCs w:val="24"/>
          <w:lang w:val="en-GB"/>
        </w:rPr>
        <w:t>eflection”) appeared</w:t>
      </w:r>
      <w:r w:rsidR="00487338">
        <w:rPr>
          <w:rFonts w:ascii="Times New Roman" w:hAnsi="Times New Roman" w:cs="Times New Roman"/>
          <w:sz w:val="24"/>
          <w:szCs w:val="24"/>
          <w:lang w:val="en-GB"/>
        </w:rPr>
        <w:t xml:space="preserve"> in</w:t>
      </w:r>
      <w:r w:rsidR="00F711E6">
        <w:rPr>
          <w:rFonts w:ascii="Times New Roman" w:hAnsi="Times New Roman" w:cs="Times New Roman"/>
          <w:sz w:val="24"/>
          <w:szCs w:val="24"/>
          <w:lang w:val="en-GB"/>
        </w:rPr>
        <w:t xml:space="preserve"> first and second position</w:t>
      </w:r>
      <w:r w:rsidR="00487338">
        <w:rPr>
          <w:rFonts w:ascii="Times New Roman" w:hAnsi="Times New Roman" w:cs="Times New Roman"/>
          <w:sz w:val="24"/>
          <w:szCs w:val="24"/>
          <w:lang w:val="en-GB"/>
        </w:rPr>
        <w:t>s</w:t>
      </w:r>
      <w:r w:rsidR="002879AC">
        <w:rPr>
          <w:rFonts w:ascii="Times New Roman" w:hAnsi="Times New Roman" w:cs="Times New Roman"/>
          <w:sz w:val="24"/>
          <w:szCs w:val="24"/>
          <w:lang w:val="en-GB"/>
        </w:rPr>
        <w:t>,</w:t>
      </w:r>
      <w:r w:rsidR="00F711E6">
        <w:rPr>
          <w:rFonts w:ascii="Times New Roman" w:hAnsi="Times New Roman" w:cs="Times New Roman"/>
          <w:sz w:val="24"/>
          <w:szCs w:val="24"/>
          <w:lang w:val="en-GB"/>
        </w:rPr>
        <w:t xml:space="preserve"> respectively. However, in round 2, item 26</w:t>
      </w:r>
      <w:r w:rsidR="004A582B">
        <w:rPr>
          <w:rFonts w:ascii="Times New Roman" w:hAnsi="Times New Roman" w:cs="Times New Roman"/>
          <w:sz w:val="24"/>
          <w:szCs w:val="24"/>
          <w:lang w:val="en-GB"/>
        </w:rPr>
        <w:t xml:space="preserve"> (under</w:t>
      </w:r>
      <w:r w:rsidR="00F711E6">
        <w:rPr>
          <w:rFonts w:ascii="Times New Roman" w:hAnsi="Times New Roman" w:cs="Times New Roman"/>
          <w:sz w:val="24"/>
          <w:szCs w:val="24"/>
          <w:lang w:val="en-GB"/>
        </w:rPr>
        <w:t xml:space="preserve"> “</w:t>
      </w:r>
      <w:r w:rsidR="000D2D6E">
        <w:rPr>
          <w:rFonts w:ascii="Times New Roman" w:hAnsi="Times New Roman" w:cs="Times New Roman"/>
          <w:sz w:val="24"/>
          <w:szCs w:val="24"/>
          <w:lang w:val="en-GB"/>
        </w:rPr>
        <w:t>T</w:t>
      </w:r>
      <w:r w:rsidR="00F711E6">
        <w:rPr>
          <w:rFonts w:ascii="Times New Roman" w:hAnsi="Times New Roman" w:cs="Times New Roman"/>
          <w:sz w:val="24"/>
          <w:szCs w:val="24"/>
          <w:lang w:val="en-GB"/>
        </w:rPr>
        <w:t>he patient’s report”) became more important and had the highest mean score (9.4). Overall, the mean score for all three items fell from round 1 to round 2.</w:t>
      </w:r>
    </w:p>
    <w:tbl>
      <w:tblPr>
        <w:tblStyle w:val="TableGrid"/>
        <w:tblW w:w="0" w:type="auto"/>
        <w:tblLook w:val="04A0" w:firstRow="1" w:lastRow="0" w:firstColumn="1" w:lastColumn="0" w:noHBand="0" w:noVBand="1"/>
      </w:tblPr>
      <w:tblGrid>
        <w:gridCol w:w="3561"/>
        <w:gridCol w:w="804"/>
        <w:gridCol w:w="3350"/>
        <w:gridCol w:w="869"/>
      </w:tblGrid>
      <w:tr w:rsidR="007A712D" w:rsidRPr="004B24B7" w14:paraId="222E4B2B" w14:textId="77777777" w:rsidTr="005E7689">
        <w:tc>
          <w:tcPr>
            <w:tcW w:w="3779" w:type="dxa"/>
            <w:shd w:val="clear" w:color="auto" w:fill="F2F2F2" w:themeFill="background1" w:themeFillShade="F2"/>
          </w:tcPr>
          <w:p w14:paraId="18666C6F" w14:textId="77777777" w:rsidR="007A712D" w:rsidRPr="004B24B7" w:rsidRDefault="007A712D" w:rsidP="007A712D">
            <w:pPr>
              <w:spacing w:line="480" w:lineRule="auto"/>
              <w:rPr>
                <w:rFonts w:ascii="Times New Roman" w:hAnsi="Times New Roman" w:cs="Times New Roman"/>
                <w:b/>
              </w:rPr>
            </w:pPr>
            <w:r w:rsidRPr="004B24B7">
              <w:rPr>
                <w:rFonts w:ascii="Times New Roman" w:hAnsi="Times New Roman" w:cs="Times New Roman"/>
                <w:b/>
              </w:rPr>
              <w:t>Round 1</w:t>
            </w:r>
          </w:p>
        </w:tc>
        <w:tc>
          <w:tcPr>
            <w:tcW w:w="811" w:type="dxa"/>
            <w:shd w:val="clear" w:color="auto" w:fill="F2F2F2" w:themeFill="background1" w:themeFillShade="F2"/>
          </w:tcPr>
          <w:p w14:paraId="2C5A8B5C" w14:textId="731A738F" w:rsidR="007A712D" w:rsidRPr="004B24B7" w:rsidRDefault="007A712D" w:rsidP="007A712D">
            <w:pPr>
              <w:spacing w:line="480" w:lineRule="auto"/>
              <w:rPr>
                <w:rFonts w:ascii="Times New Roman" w:hAnsi="Times New Roman" w:cs="Times New Roman"/>
                <w:b/>
              </w:rPr>
            </w:pPr>
            <w:r>
              <w:rPr>
                <w:rFonts w:ascii="Times New Roman" w:hAnsi="Times New Roman" w:cs="Times New Roman"/>
                <w:b/>
              </w:rPr>
              <w:t>Mean score</w:t>
            </w:r>
          </w:p>
        </w:tc>
        <w:tc>
          <w:tcPr>
            <w:tcW w:w="3542" w:type="dxa"/>
            <w:shd w:val="clear" w:color="auto" w:fill="D5DCE4" w:themeFill="text2" w:themeFillTint="33"/>
          </w:tcPr>
          <w:p w14:paraId="28A10245" w14:textId="77777777" w:rsidR="007A712D" w:rsidRPr="004B24B7" w:rsidRDefault="007A712D" w:rsidP="007A712D">
            <w:pPr>
              <w:spacing w:line="480" w:lineRule="auto"/>
              <w:rPr>
                <w:rFonts w:ascii="Times New Roman" w:hAnsi="Times New Roman" w:cs="Times New Roman"/>
                <w:b/>
              </w:rPr>
            </w:pPr>
            <w:r w:rsidRPr="004B24B7">
              <w:rPr>
                <w:rFonts w:ascii="Times New Roman" w:hAnsi="Times New Roman" w:cs="Times New Roman"/>
                <w:b/>
              </w:rPr>
              <w:t>Round 2</w:t>
            </w:r>
          </w:p>
        </w:tc>
        <w:tc>
          <w:tcPr>
            <w:tcW w:w="884" w:type="dxa"/>
            <w:shd w:val="clear" w:color="auto" w:fill="D5DCE4" w:themeFill="text2" w:themeFillTint="33"/>
          </w:tcPr>
          <w:p w14:paraId="43E0CD3C" w14:textId="5B7A5AD5" w:rsidR="007A712D" w:rsidRPr="004B24B7" w:rsidRDefault="007A712D" w:rsidP="007A712D">
            <w:pPr>
              <w:spacing w:line="480" w:lineRule="auto"/>
              <w:rPr>
                <w:rFonts w:ascii="Times New Roman" w:hAnsi="Times New Roman" w:cs="Times New Roman"/>
                <w:b/>
              </w:rPr>
            </w:pPr>
            <w:r>
              <w:rPr>
                <w:rFonts w:ascii="Times New Roman" w:hAnsi="Times New Roman" w:cs="Times New Roman"/>
                <w:b/>
              </w:rPr>
              <w:t>Mean score</w:t>
            </w:r>
          </w:p>
        </w:tc>
      </w:tr>
      <w:tr w:rsidR="0075152B" w:rsidRPr="004B24B7" w14:paraId="12153BBD" w14:textId="77777777" w:rsidTr="005E7689">
        <w:tc>
          <w:tcPr>
            <w:tcW w:w="3779" w:type="dxa"/>
          </w:tcPr>
          <w:p w14:paraId="5613CB2D" w14:textId="4B56CA57" w:rsidR="00613779" w:rsidRPr="00613779" w:rsidRDefault="00613779" w:rsidP="0075152B">
            <w:pPr>
              <w:rPr>
                <w:rFonts w:ascii="Times New Roman" w:hAnsi="Times New Roman" w:cs="Times New Roman"/>
                <w:b/>
                <w:sz w:val="24"/>
                <w:szCs w:val="24"/>
              </w:rPr>
            </w:pPr>
            <w:r w:rsidRPr="00613779">
              <w:rPr>
                <w:rFonts w:ascii="Times New Roman" w:hAnsi="Times New Roman" w:cs="Times New Roman"/>
                <w:b/>
                <w:sz w:val="24"/>
                <w:szCs w:val="24"/>
              </w:rPr>
              <w:t>Reflection</w:t>
            </w:r>
          </w:p>
          <w:p w14:paraId="651D3080" w14:textId="77777777" w:rsidR="00613779" w:rsidRDefault="00613779" w:rsidP="0075152B">
            <w:pPr>
              <w:rPr>
                <w:rFonts w:ascii="Times New Roman" w:hAnsi="Times New Roman" w:cs="Times New Roman"/>
                <w:sz w:val="24"/>
                <w:szCs w:val="24"/>
              </w:rPr>
            </w:pPr>
          </w:p>
          <w:p w14:paraId="65067853" w14:textId="5F5BF043" w:rsidR="0075152B" w:rsidRPr="004B24B7" w:rsidRDefault="00613779" w:rsidP="0075152B">
            <w:r w:rsidRPr="006F3B00">
              <w:rPr>
                <w:rFonts w:ascii="Times New Roman" w:hAnsi="Times New Roman" w:cs="Times New Roman"/>
                <w:sz w:val="24"/>
                <w:szCs w:val="24"/>
              </w:rPr>
              <w:t>16. Trainee is aware of limitations</w:t>
            </w:r>
          </w:p>
        </w:tc>
        <w:tc>
          <w:tcPr>
            <w:tcW w:w="811" w:type="dxa"/>
          </w:tcPr>
          <w:p w14:paraId="444301D6" w14:textId="4921A271" w:rsidR="0075152B" w:rsidRPr="00613779" w:rsidRDefault="00613779" w:rsidP="0075152B">
            <w:pPr>
              <w:spacing w:line="480" w:lineRule="auto"/>
              <w:rPr>
                <w:rFonts w:ascii="Times New Roman" w:hAnsi="Times New Roman" w:cs="Times New Roman"/>
              </w:rPr>
            </w:pPr>
            <w:r w:rsidRPr="00613779">
              <w:rPr>
                <w:rFonts w:ascii="Times New Roman" w:hAnsi="Times New Roman" w:cs="Times New Roman"/>
              </w:rPr>
              <w:t>9.6</w:t>
            </w:r>
          </w:p>
        </w:tc>
        <w:tc>
          <w:tcPr>
            <w:tcW w:w="3542" w:type="dxa"/>
          </w:tcPr>
          <w:p w14:paraId="6E7B6DED" w14:textId="32DC20A1" w:rsidR="0075152B" w:rsidRDefault="0075152B" w:rsidP="0075152B">
            <w:pPr>
              <w:rPr>
                <w:rFonts w:ascii="Times New Roman" w:hAnsi="Times New Roman" w:cs="Times New Roman"/>
                <w:b/>
                <w:sz w:val="24"/>
                <w:szCs w:val="24"/>
              </w:rPr>
            </w:pPr>
            <w:r w:rsidRPr="00637866">
              <w:rPr>
                <w:rFonts w:ascii="Times New Roman" w:hAnsi="Times New Roman" w:cs="Times New Roman"/>
                <w:b/>
                <w:sz w:val="24"/>
                <w:szCs w:val="24"/>
              </w:rPr>
              <w:t>The patient</w:t>
            </w:r>
            <w:r w:rsidR="00613779">
              <w:rPr>
                <w:rFonts w:ascii="Times New Roman" w:hAnsi="Times New Roman" w:cs="Times New Roman"/>
                <w:b/>
                <w:sz w:val="24"/>
                <w:szCs w:val="24"/>
              </w:rPr>
              <w:t>’</w:t>
            </w:r>
            <w:r w:rsidRPr="00637866">
              <w:rPr>
                <w:rFonts w:ascii="Times New Roman" w:hAnsi="Times New Roman" w:cs="Times New Roman"/>
                <w:b/>
                <w:sz w:val="24"/>
                <w:szCs w:val="24"/>
              </w:rPr>
              <w:t>s report</w:t>
            </w:r>
          </w:p>
          <w:p w14:paraId="0F441133" w14:textId="77777777" w:rsidR="00613779" w:rsidRPr="00637866" w:rsidRDefault="00613779" w:rsidP="0075152B">
            <w:pPr>
              <w:rPr>
                <w:rFonts w:ascii="Times New Roman" w:hAnsi="Times New Roman" w:cs="Times New Roman"/>
                <w:b/>
                <w:sz w:val="24"/>
                <w:szCs w:val="24"/>
              </w:rPr>
            </w:pPr>
          </w:p>
          <w:p w14:paraId="59AA47FB" w14:textId="103507B9" w:rsidR="0075152B" w:rsidRPr="004B24B7" w:rsidRDefault="0075152B" w:rsidP="0075152B">
            <w:pPr>
              <w:rPr>
                <w:rFonts w:ascii="Times New Roman" w:hAnsi="Times New Roman" w:cs="Times New Roman"/>
                <w:b/>
              </w:rPr>
            </w:pPr>
            <w:r w:rsidRPr="006F3B00">
              <w:rPr>
                <w:rFonts w:ascii="Times New Roman" w:hAnsi="Times New Roman" w:cs="Times New Roman"/>
                <w:sz w:val="24"/>
                <w:szCs w:val="24"/>
              </w:rPr>
              <w:t xml:space="preserve">26. Report ensures the clinician/surgeon receives the appropriate message </w:t>
            </w:r>
          </w:p>
        </w:tc>
        <w:tc>
          <w:tcPr>
            <w:tcW w:w="884" w:type="dxa"/>
          </w:tcPr>
          <w:p w14:paraId="74984ED5" w14:textId="57E36A72" w:rsidR="0075152B" w:rsidRPr="00613779" w:rsidRDefault="0075152B" w:rsidP="0075152B">
            <w:pPr>
              <w:spacing w:line="480" w:lineRule="auto"/>
              <w:rPr>
                <w:rFonts w:ascii="Times New Roman" w:hAnsi="Times New Roman" w:cs="Times New Roman"/>
              </w:rPr>
            </w:pPr>
            <w:r w:rsidRPr="00613779">
              <w:rPr>
                <w:rFonts w:ascii="Times New Roman" w:hAnsi="Times New Roman" w:cs="Times New Roman"/>
              </w:rPr>
              <w:t>9.4</w:t>
            </w:r>
          </w:p>
        </w:tc>
      </w:tr>
      <w:tr w:rsidR="00613779" w:rsidRPr="004B24B7" w14:paraId="2C05E9FC" w14:textId="77777777" w:rsidTr="005E7689">
        <w:tc>
          <w:tcPr>
            <w:tcW w:w="3779" w:type="dxa"/>
          </w:tcPr>
          <w:p w14:paraId="5A7D0827" w14:textId="5A6A8704" w:rsidR="00613779" w:rsidRPr="00613779" w:rsidRDefault="00613779" w:rsidP="00613779">
            <w:pPr>
              <w:rPr>
                <w:rFonts w:ascii="Times New Roman" w:hAnsi="Times New Roman" w:cs="Times New Roman"/>
                <w:b/>
                <w:sz w:val="24"/>
                <w:szCs w:val="24"/>
              </w:rPr>
            </w:pPr>
            <w:r w:rsidRPr="00613779">
              <w:rPr>
                <w:rFonts w:ascii="Times New Roman" w:hAnsi="Times New Roman" w:cs="Times New Roman"/>
                <w:b/>
                <w:sz w:val="24"/>
                <w:szCs w:val="24"/>
              </w:rPr>
              <w:t>Reflection</w:t>
            </w:r>
          </w:p>
          <w:p w14:paraId="43CA7E84" w14:textId="77777777" w:rsidR="00613779" w:rsidRDefault="00613779" w:rsidP="00613779">
            <w:pPr>
              <w:rPr>
                <w:rFonts w:ascii="Times New Roman" w:hAnsi="Times New Roman" w:cs="Times New Roman"/>
                <w:sz w:val="24"/>
                <w:szCs w:val="24"/>
              </w:rPr>
            </w:pPr>
          </w:p>
          <w:p w14:paraId="77A9A842" w14:textId="027841B2" w:rsidR="00613779" w:rsidRPr="004B24B7" w:rsidRDefault="00613779" w:rsidP="00613779">
            <w:pPr>
              <w:rPr>
                <w:rFonts w:ascii="Times New Roman" w:hAnsi="Times New Roman" w:cs="Times New Roman"/>
                <w:b/>
              </w:rPr>
            </w:pPr>
            <w:r w:rsidRPr="006F3B00">
              <w:rPr>
                <w:rFonts w:ascii="Times New Roman" w:hAnsi="Times New Roman" w:cs="Times New Roman"/>
                <w:sz w:val="24"/>
                <w:szCs w:val="24"/>
              </w:rPr>
              <w:t>18. Trainee shows evidence of improvement following reflection</w:t>
            </w:r>
          </w:p>
        </w:tc>
        <w:tc>
          <w:tcPr>
            <w:tcW w:w="811" w:type="dxa"/>
          </w:tcPr>
          <w:p w14:paraId="42A8E596" w14:textId="4481174A" w:rsidR="00613779" w:rsidRPr="00613779" w:rsidRDefault="00613779" w:rsidP="00613779">
            <w:pPr>
              <w:spacing w:line="480" w:lineRule="auto"/>
              <w:rPr>
                <w:rFonts w:ascii="Times New Roman" w:hAnsi="Times New Roman" w:cs="Times New Roman"/>
              </w:rPr>
            </w:pPr>
            <w:r w:rsidRPr="00613779">
              <w:rPr>
                <w:rFonts w:ascii="Times New Roman" w:hAnsi="Times New Roman" w:cs="Times New Roman"/>
              </w:rPr>
              <w:t>9.6</w:t>
            </w:r>
          </w:p>
        </w:tc>
        <w:tc>
          <w:tcPr>
            <w:tcW w:w="3542" w:type="dxa"/>
          </w:tcPr>
          <w:p w14:paraId="0715F26F" w14:textId="504E951F" w:rsidR="00613779" w:rsidRDefault="00613779" w:rsidP="00613779">
            <w:pPr>
              <w:rPr>
                <w:rFonts w:ascii="Times New Roman" w:hAnsi="Times New Roman" w:cs="Times New Roman"/>
                <w:b/>
                <w:sz w:val="24"/>
                <w:szCs w:val="24"/>
              </w:rPr>
            </w:pPr>
            <w:r w:rsidRPr="00637866">
              <w:rPr>
                <w:rFonts w:ascii="Times New Roman" w:hAnsi="Times New Roman" w:cs="Times New Roman"/>
                <w:b/>
                <w:sz w:val="24"/>
                <w:szCs w:val="24"/>
              </w:rPr>
              <w:t>Reflection</w:t>
            </w:r>
          </w:p>
          <w:p w14:paraId="71BBAAF6" w14:textId="77777777" w:rsidR="00613779" w:rsidRPr="00637866" w:rsidRDefault="00613779" w:rsidP="00613779">
            <w:pPr>
              <w:rPr>
                <w:rFonts w:ascii="Times New Roman" w:hAnsi="Times New Roman" w:cs="Times New Roman"/>
                <w:b/>
                <w:sz w:val="24"/>
                <w:szCs w:val="24"/>
              </w:rPr>
            </w:pPr>
          </w:p>
          <w:p w14:paraId="16F46C7C" w14:textId="70023322" w:rsidR="00613779" w:rsidRPr="004B24B7" w:rsidRDefault="00613779" w:rsidP="00613779">
            <w:pPr>
              <w:rPr>
                <w:rFonts w:ascii="Times New Roman" w:hAnsi="Times New Roman" w:cs="Times New Roman"/>
                <w:b/>
              </w:rPr>
            </w:pPr>
            <w:r w:rsidRPr="006F3B00">
              <w:rPr>
                <w:rFonts w:ascii="Times New Roman" w:hAnsi="Times New Roman" w:cs="Times New Roman"/>
                <w:sz w:val="24"/>
                <w:szCs w:val="24"/>
              </w:rPr>
              <w:t>16. Trainee is aware of their own limitations</w:t>
            </w:r>
          </w:p>
        </w:tc>
        <w:tc>
          <w:tcPr>
            <w:tcW w:w="884" w:type="dxa"/>
          </w:tcPr>
          <w:p w14:paraId="39F2A08C" w14:textId="2CF1F30E" w:rsidR="00613779" w:rsidRPr="00613779" w:rsidRDefault="00613779" w:rsidP="00613779">
            <w:pPr>
              <w:spacing w:line="480" w:lineRule="auto"/>
              <w:rPr>
                <w:rFonts w:ascii="Times New Roman" w:hAnsi="Times New Roman" w:cs="Times New Roman"/>
              </w:rPr>
            </w:pPr>
            <w:r w:rsidRPr="00613779">
              <w:rPr>
                <w:rFonts w:ascii="Times New Roman" w:hAnsi="Times New Roman" w:cs="Times New Roman"/>
              </w:rPr>
              <w:t>9.3</w:t>
            </w:r>
          </w:p>
        </w:tc>
      </w:tr>
      <w:tr w:rsidR="00613779" w:rsidRPr="004B24B7" w14:paraId="2EAA66E2" w14:textId="77777777" w:rsidTr="005E7689">
        <w:tc>
          <w:tcPr>
            <w:tcW w:w="3779" w:type="dxa"/>
          </w:tcPr>
          <w:p w14:paraId="06799934" w14:textId="1FD8E681" w:rsidR="00613779" w:rsidRPr="00613779" w:rsidRDefault="00613779" w:rsidP="00613779">
            <w:pPr>
              <w:rPr>
                <w:rFonts w:ascii="Times New Roman" w:hAnsi="Times New Roman" w:cs="Times New Roman"/>
                <w:b/>
                <w:sz w:val="24"/>
                <w:szCs w:val="24"/>
              </w:rPr>
            </w:pPr>
            <w:r w:rsidRPr="00613779">
              <w:rPr>
                <w:rFonts w:ascii="Times New Roman" w:hAnsi="Times New Roman" w:cs="Times New Roman"/>
                <w:b/>
                <w:sz w:val="24"/>
                <w:szCs w:val="24"/>
              </w:rPr>
              <w:t>The patient’s report</w:t>
            </w:r>
          </w:p>
          <w:p w14:paraId="5F0F9CDB" w14:textId="77777777" w:rsidR="00613779" w:rsidRDefault="00613779" w:rsidP="00613779">
            <w:pPr>
              <w:rPr>
                <w:rFonts w:ascii="Times New Roman" w:hAnsi="Times New Roman" w:cs="Times New Roman"/>
                <w:sz w:val="24"/>
                <w:szCs w:val="24"/>
              </w:rPr>
            </w:pPr>
          </w:p>
          <w:p w14:paraId="79EE3B31" w14:textId="5466CAA9" w:rsidR="00613779" w:rsidRPr="004B24B7" w:rsidRDefault="00613779" w:rsidP="00613779">
            <w:r w:rsidRPr="006F3B00">
              <w:rPr>
                <w:rFonts w:ascii="Times New Roman" w:hAnsi="Times New Roman" w:cs="Times New Roman"/>
                <w:sz w:val="24"/>
                <w:szCs w:val="24"/>
              </w:rPr>
              <w:t>26. Report ensures the clinician/surgeon receives the appropriate message</w:t>
            </w:r>
          </w:p>
        </w:tc>
        <w:tc>
          <w:tcPr>
            <w:tcW w:w="811" w:type="dxa"/>
          </w:tcPr>
          <w:p w14:paraId="4361AE0D" w14:textId="34514699" w:rsidR="00613779" w:rsidRPr="00613779" w:rsidRDefault="00613779" w:rsidP="00613779">
            <w:pPr>
              <w:spacing w:line="480" w:lineRule="auto"/>
              <w:rPr>
                <w:rFonts w:ascii="Times New Roman" w:hAnsi="Times New Roman" w:cs="Times New Roman"/>
              </w:rPr>
            </w:pPr>
            <w:r w:rsidRPr="00613779">
              <w:rPr>
                <w:rFonts w:ascii="Times New Roman" w:hAnsi="Times New Roman" w:cs="Times New Roman"/>
              </w:rPr>
              <w:t>9.5</w:t>
            </w:r>
          </w:p>
        </w:tc>
        <w:tc>
          <w:tcPr>
            <w:tcW w:w="3542" w:type="dxa"/>
          </w:tcPr>
          <w:p w14:paraId="1741BA4C" w14:textId="09F1FFBF" w:rsidR="00613779" w:rsidRDefault="00613779" w:rsidP="00613779">
            <w:pPr>
              <w:rPr>
                <w:rFonts w:ascii="Times New Roman" w:hAnsi="Times New Roman" w:cs="Times New Roman"/>
                <w:b/>
                <w:sz w:val="24"/>
                <w:szCs w:val="24"/>
              </w:rPr>
            </w:pPr>
            <w:r w:rsidRPr="00637866">
              <w:rPr>
                <w:rFonts w:ascii="Times New Roman" w:hAnsi="Times New Roman" w:cs="Times New Roman"/>
                <w:b/>
                <w:sz w:val="24"/>
                <w:szCs w:val="24"/>
              </w:rPr>
              <w:t>Reflection</w:t>
            </w:r>
          </w:p>
          <w:p w14:paraId="23ED05D3" w14:textId="77777777" w:rsidR="00613779" w:rsidRPr="00637866" w:rsidRDefault="00613779" w:rsidP="00613779">
            <w:pPr>
              <w:rPr>
                <w:rFonts w:ascii="Times New Roman" w:hAnsi="Times New Roman" w:cs="Times New Roman"/>
                <w:b/>
                <w:sz w:val="24"/>
                <w:szCs w:val="24"/>
              </w:rPr>
            </w:pPr>
          </w:p>
          <w:p w14:paraId="155F0E41" w14:textId="4F94AC9B" w:rsidR="00613779" w:rsidRPr="000B6CB8" w:rsidRDefault="00613779" w:rsidP="00613779">
            <w:pPr>
              <w:rPr>
                <w:rFonts w:ascii="Times New Roman" w:hAnsi="Times New Roman" w:cs="Times New Roman"/>
                <w:sz w:val="24"/>
                <w:szCs w:val="24"/>
              </w:rPr>
            </w:pPr>
            <w:r w:rsidRPr="006F3B00">
              <w:rPr>
                <w:rFonts w:ascii="Times New Roman" w:hAnsi="Times New Roman" w:cs="Times New Roman"/>
                <w:sz w:val="24"/>
                <w:szCs w:val="24"/>
              </w:rPr>
              <w:t>18. Trainee shows evidence of improvement following reflection</w:t>
            </w:r>
          </w:p>
        </w:tc>
        <w:tc>
          <w:tcPr>
            <w:tcW w:w="884" w:type="dxa"/>
          </w:tcPr>
          <w:p w14:paraId="7AB28BCE" w14:textId="2C5273EF" w:rsidR="00613779" w:rsidRPr="00613779" w:rsidRDefault="00613779" w:rsidP="00613779">
            <w:pPr>
              <w:spacing w:line="480" w:lineRule="auto"/>
              <w:rPr>
                <w:rFonts w:ascii="Times New Roman" w:hAnsi="Times New Roman" w:cs="Times New Roman"/>
              </w:rPr>
            </w:pPr>
            <w:r w:rsidRPr="00613779">
              <w:rPr>
                <w:rFonts w:ascii="Times New Roman" w:hAnsi="Times New Roman" w:cs="Times New Roman"/>
              </w:rPr>
              <w:t>9.3</w:t>
            </w:r>
          </w:p>
        </w:tc>
      </w:tr>
    </w:tbl>
    <w:p w14:paraId="04827846" w14:textId="4F7874B2" w:rsidR="005E7689" w:rsidRPr="0021526D" w:rsidRDefault="005E7689" w:rsidP="005E7689">
      <w:pPr>
        <w:spacing w:line="240" w:lineRule="auto"/>
        <w:rPr>
          <w:rFonts w:ascii="Times New Roman" w:hAnsi="Times New Roman" w:cs="Times New Roman"/>
          <w:b/>
          <w:sz w:val="24"/>
          <w:szCs w:val="24"/>
        </w:rPr>
      </w:pPr>
      <w:r w:rsidRPr="007A712D">
        <w:rPr>
          <w:rFonts w:ascii="Times New Roman" w:hAnsi="Times New Roman" w:cs="Times New Roman"/>
          <w:b/>
          <w:sz w:val="24"/>
          <w:szCs w:val="24"/>
          <w:lang w:val="en-GB"/>
        </w:rPr>
        <w:t>T</w:t>
      </w:r>
      <w:r w:rsidR="001A1B84">
        <w:rPr>
          <w:rFonts w:ascii="Times New Roman" w:hAnsi="Times New Roman" w:cs="Times New Roman"/>
          <w:b/>
          <w:sz w:val="24"/>
          <w:szCs w:val="24"/>
          <w:lang w:val="en-GB"/>
        </w:rPr>
        <w:t>able 5.18</w:t>
      </w:r>
      <w:r>
        <w:rPr>
          <w:rFonts w:ascii="Times New Roman" w:hAnsi="Times New Roman" w:cs="Times New Roman"/>
          <w:b/>
          <w:sz w:val="24"/>
          <w:szCs w:val="24"/>
          <w:lang w:val="en-GB"/>
        </w:rPr>
        <w:t>.</w:t>
      </w:r>
      <w:r w:rsidRPr="007A712D">
        <w:rPr>
          <w:rFonts w:ascii="Times New Roman" w:hAnsi="Times New Roman" w:cs="Times New Roman"/>
          <w:b/>
          <w:sz w:val="24"/>
          <w:szCs w:val="24"/>
          <w:lang w:val="en-GB"/>
        </w:rPr>
        <w:t xml:space="preserve"> </w:t>
      </w:r>
      <w:r w:rsidRPr="007A712D">
        <w:rPr>
          <w:rFonts w:ascii="Times New Roman" w:hAnsi="Times New Roman" w:cs="Times New Roman"/>
          <w:b/>
          <w:sz w:val="24"/>
          <w:szCs w:val="24"/>
        </w:rPr>
        <w:t xml:space="preserve">Comparison of highest rated items </w:t>
      </w:r>
      <w:r>
        <w:rPr>
          <w:rFonts w:ascii="Times New Roman" w:hAnsi="Times New Roman" w:cs="Times New Roman"/>
          <w:b/>
          <w:sz w:val="24"/>
          <w:szCs w:val="24"/>
        </w:rPr>
        <w:t xml:space="preserve">by mean score in rounds 1 and 2. </w:t>
      </w:r>
      <w:r>
        <w:rPr>
          <w:rFonts w:ascii="Times New Roman" w:hAnsi="Times New Roman" w:cs="Times New Roman"/>
          <w:sz w:val="24"/>
          <w:szCs w:val="24"/>
        </w:rPr>
        <w:t>Note, some items have been shortened for reasons of clarity.</w:t>
      </w:r>
    </w:p>
    <w:p w14:paraId="64D36F76" w14:textId="77777777" w:rsidR="00102777" w:rsidRDefault="00102777" w:rsidP="007A712D">
      <w:pPr>
        <w:rPr>
          <w:rFonts w:ascii="Times New Roman" w:hAnsi="Times New Roman" w:cs="Times New Roman"/>
          <w:sz w:val="24"/>
          <w:szCs w:val="24"/>
          <w:lang w:val="en-GB"/>
        </w:rPr>
      </w:pPr>
    </w:p>
    <w:p w14:paraId="7E295D34" w14:textId="77777777" w:rsidR="005E7689" w:rsidRDefault="005E7689" w:rsidP="00F277C6">
      <w:pPr>
        <w:spacing w:line="480" w:lineRule="auto"/>
        <w:rPr>
          <w:rFonts w:ascii="Times New Roman" w:hAnsi="Times New Roman" w:cs="Times New Roman"/>
          <w:sz w:val="24"/>
          <w:szCs w:val="24"/>
          <w:lang w:val="en-GB"/>
        </w:rPr>
      </w:pPr>
    </w:p>
    <w:p w14:paraId="770941D0" w14:textId="77777777" w:rsidR="005E7689" w:rsidRDefault="005E7689" w:rsidP="00F277C6">
      <w:pPr>
        <w:spacing w:line="480" w:lineRule="auto"/>
        <w:rPr>
          <w:rFonts w:ascii="Times New Roman" w:hAnsi="Times New Roman" w:cs="Times New Roman"/>
          <w:sz w:val="24"/>
          <w:szCs w:val="24"/>
          <w:lang w:val="en-GB"/>
        </w:rPr>
      </w:pPr>
    </w:p>
    <w:p w14:paraId="573DE745" w14:textId="77777777" w:rsidR="005E7689" w:rsidRDefault="005E7689" w:rsidP="00F277C6">
      <w:pPr>
        <w:spacing w:line="480" w:lineRule="auto"/>
        <w:rPr>
          <w:rFonts w:ascii="Times New Roman" w:hAnsi="Times New Roman" w:cs="Times New Roman"/>
          <w:sz w:val="24"/>
          <w:szCs w:val="24"/>
          <w:lang w:val="en-GB"/>
        </w:rPr>
      </w:pPr>
    </w:p>
    <w:p w14:paraId="04C31390" w14:textId="77777777" w:rsidR="005E7689" w:rsidRDefault="005E7689" w:rsidP="00F277C6">
      <w:pPr>
        <w:spacing w:line="480" w:lineRule="auto"/>
        <w:rPr>
          <w:rFonts w:ascii="Times New Roman" w:hAnsi="Times New Roman" w:cs="Times New Roman"/>
          <w:sz w:val="24"/>
          <w:szCs w:val="24"/>
          <w:lang w:val="en-GB"/>
        </w:rPr>
      </w:pPr>
    </w:p>
    <w:p w14:paraId="39FCBBD4" w14:textId="3A7D3552" w:rsidR="005E7689" w:rsidRPr="005E7689" w:rsidRDefault="00487338" w:rsidP="005E7689">
      <w:pPr>
        <w:spacing w:line="480" w:lineRule="auto"/>
        <w:rPr>
          <w:rFonts w:ascii="Times New Roman" w:hAnsi="Times New Roman" w:cs="Times New Roman"/>
          <w:sz w:val="24"/>
          <w:szCs w:val="24"/>
          <w:lang w:val="en-GB"/>
        </w:rPr>
      </w:pPr>
      <w:r w:rsidRPr="00487338">
        <w:rPr>
          <w:rFonts w:ascii="Times New Roman" w:hAnsi="Times New Roman" w:cs="Times New Roman"/>
          <w:sz w:val="24"/>
          <w:szCs w:val="24"/>
          <w:lang w:val="en-GB"/>
        </w:rPr>
        <w:lastRenderedPageBreak/>
        <w:t>I</w:t>
      </w:r>
      <w:r w:rsidR="004A582B">
        <w:rPr>
          <w:rFonts w:ascii="Times New Roman" w:hAnsi="Times New Roman" w:cs="Times New Roman"/>
          <w:sz w:val="24"/>
          <w:szCs w:val="24"/>
          <w:lang w:val="en-GB"/>
        </w:rPr>
        <w:t>n T</w:t>
      </w:r>
      <w:r w:rsidR="001A1B84">
        <w:rPr>
          <w:rFonts w:ascii="Times New Roman" w:hAnsi="Times New Roman" w:cs="Times New Roman"/>
          <w:sz w:val="24"/>
          <w:szCs w:val="24"/>
          <w:lang w:val="en-GB"/>
        </w:rPr>
        <w:t>able 5.19</w:t>
      </w:r>
      <w:r w:rsidRPr="00487338">
        <w:rPr>
          <w:rFonts w:ascii="Times New Roman" w:hAnsi="Times New Roman" w:cs="Times New Roman"/>
          <w:sz w:val="24"/>
          <w:szCs w:val="24"/>
          <w:lang w:val="en-GB"/>
        </w:rPr>
        <w:t>, it can be seen that</w:t>
      </w:r>
      <w:r>
        <w:rPr>
          <w:rFonts w:ascii="Times New Roman" w:hAnsi="Times New Roman" w:cs="Times New Roman"/>
          <w:sz w:val="24"/>
          <w:szCs w:val="24"/>
          <w:lang w:val="en-GB"/>
        </w:rPr>
        <w:t xml:space="preserve"> item 23</w:t>
      </w:r>
      <w:r w:rsidR="000D2D6E">
        <w:rPr>
          <w:rFonts w:ascii="Times New Roman" w:hAnsi="Times New Roman" w:cs="Times New Roman"/>
          <w:sz w:val="24"/>
          <w:szCs w:val="24"/>
          <w:lang w:val="en-GB"/>
        </w:rPr>
        <w:t xml:space="preserve"> (</w:t>
      </w:r>
      <w:proofErr w:type="gramStart"/>
      <w:r w:rsidR="000D2D6E">
        <w:rPr>
          <w:rFonts w:ascii="Times New Roman" w:hAnsi="Times New Roman" w:cs="Times New Roman"/>
          <w:sz w:val="24"/>
          <w:szCs w:val="24"/>
          <w:lang w:val="en-GB"/>
        </w:rPr>
        <w:t>‘</w:t>
      </w:r>
      <w:r w:rsidR="000D2D6E" w:rsidRPr="000D2D6E">
        <w:rPr>
          <w:rFonts w:ascii="Times New Roman" w:hAnsi="Times New Roman" w:cs="Times New Roman"/>
          <w:sz w:val="24"/>
          <w:szCs w:val="24"/>
        </w:rPr>
        <w:t>Your</w:t>
      </w:r>
      <w:proofErr w:type="gramEnd"/>
      <w:r w:rsidR="000D2D6E" w:rsidRPr="000D2D6E">
        <w:rPr>
          <w:rFonts w:ascii="Times New Roman" w:hAnsi="Times New Roman" w:cs="Times New Roman"/>
          <w:sz w:val="24"/>
          <w:szCs w:val="24"/>
        </w:rPr>
        <w:t xml:space="preserve"> opinion of a trainee’s diagnostic competence is related to an overall impression</w:t>
      </w:r>
      <w:r w:rsidR="000D2D6E">
        <w:rPr>
          <w:rFonts w:ascii="Times New Roman" w:hAnsi="Times New Roman" w:cs="Times New Roman"/>
          <w:sz w:val="24"/>
          <w:szCs w:val="24"/>
        </w:rPr>
        <w:t xml:space="preserve">’) </w:t>
      </w:r>
      <w:r>
        <w:rPr>
          <w:rFonts w:ascii="Times New Roman" w:hAnsi="Times New Roman" w:cs="Times New Roman"/>
          <w:sz w:val="24"/>
          <w:szCs w:val="24"/>
          <w:lang w:val="en-GB"/>
        </w:rPr>
        <w:t>under “</w:t>
      </w:r>
      <w:r w:rsidR="000D2D6E">
        <w:rPr>
          <w:rFonts w:ascii="Times New Roman" w:hAnsi="Times New Roman" w:cs="Times New Roman"/>
          <w:sz w:val="24"/>
          <w:szCs w:val="24"/>
          <w:lang w:val="en-GB"/>
        </w:rPr>
        <w:t>T</w:t>
      </w:r>
      <w:r>
        <w:rPr>
          <w:rFonts w:ascii="Times New Roman" w:hAnsi="Times New Roman" w:cs="Times New Roman"/>
          <w:sz w:val="24"/>
          <w:szCs w:val="24"/>
          <w:lang w:val="en-GB"/>
        </w:rPr>
        <w:t>rust</w:t>
      </w:r>
      <w:r w:rsidR="004A582B">
        <w:rPr>
          <w:rFonts w:ascii="Times New Roman" w:hAnsi="Times New Roman" w:cs="Times New Roman"/>
          <w:sz w:val="24"/>
          <w:szCs w:val="24"/>
          <w:lang w:val="en-GB"/>
        </w:rPr>
        <w:t>”</w:t>
      </w:r>
      <w:r>
        <w:rPr>
          <w:rFonts w:ascii="Times New Roman" w:hAnsi="Times New Roman" w:cs="Times New Roman"/>
          <w:sz w:val="24"/>
          <w:szCs w:val="24"/>
          <w:lang w:val="en-GB"/>
        </w:rPr>
        <w:t xml:space="preserve"> received the lowest mean score in both rounds 1 and 2. However, its score did rise by 0.</w:t>
      </w:r>
      <w:r w:rsidR="000D2D6E">
        <w:rPr>
          <w:rFonts w:ascii="Times New Roman" w:hAnsi="Times New Roman" w:cs="Times New Roman"/>
          <w:sz w:val="24"/>
          <w:szCs w:val="24"/>
          <w:lang w:val="en-GB"/>
        </w:rPr>
        <w:t>4</w:t>
      </w:r>
      <w:r>
        <w:rPr>
          <w:rFonts w:ascii="Times New Roman" w:hAnsi="Times New Roman" w:cs="Times New Roman"/>
          <w:sz w:val="24"/>
          <w:szCs w:val="24"/>
          <w:lang w:val="en-GB"/>
        </w:rPr>
        <w:t xml:space="preserve"> points</w:t>
      </w:r>
      <w:r w:rsidR="00C21082">
        <w:rPr>
          <w:rFonts w:ascii="Times New Roman" w:hAnsi="Times New Roman" w:cs="Times New Roman"/>
          <w:sz w:val="24"/>
          <w:szCs w:val="24"/>
          <w:lang w:val="en-GB"/>
        </w:rPr>
        <w:t xml:space="preserve"> between rounds</w:t>
      </w:r>
      <w:r>
        <w:rPr>
          <w:rFonts w:ascii="Times New Roman" w:hAnsi="Times New Roman" w:cs="Times New Roman"/>
          <w:sz w:val="24"/>
          <w:szCs w:val="24"/>
          <w:lang w:val="en-GB"/>
        </w:rPr>
        <w:t>.  I</w:t>
      </w:r>
      <w:r w:rsidR="004A582B">
        <w:rPr>
          <w:rFonts w:ascii="Times New Roman" w:hAnsi="Times New Roman" w:cs="Times New Roman"/>
          <w:sz w:val="24"/>
          <w:szCs w:val="24"/>
          <w:lang w:val="en-GB"/>
        </w:rPr>
        <w:t>tem 2 (</w:t>
      </w:r>
      <w:r w:rsidR="000D2D6E">
        <w:rPr>
          <w:rFonts w:ascii="Times New Roman" w:hAnsi="Times New Roman" w:cs="Times New Roman"/>
          <w:sz w:val="24"/>
          <w:szCs w:val="24"/>
          <w:lang w:val="en-GB"/>
        </w:rPr>
        <w:t>‘</w:t>
      </w:r>
      <w:r w:rsidR="000D2D6E" w:rsidRPr="000D2D6E">
        <w:rPr>
          <w:rFonts w:ascii="Times New Roman" w:hAnsi="Times New Roman" w:cs="Times New Roman"/>
          <w:sz w:val="24"/>
          <w:szCs w:val="24"/>
        </w:rPr>
        <w:t>RCPath curricula and training guidelines</w:t>
      </w:r>
      <w:r w:rsidR="000D2D6E">
        <w:rPr>
          <w:rFonts w:ascii="Times New Roman" w:hAnsi="Times New Roman" w:cs="Times New Roman"/>
          <w:sz w:val="24"/>
          <w:szCs w:val="24"/>
        </w:rPr>
        <w:t>’)</w:t>
      </w:r>
      <w:r w:rsidR="000D2D6E" w:rsidRPr="000D2D6E">
        <w:rPr>
          <w:rFonts w:ascii="Times New Roman" w:hAnsi="Times New Roman" w:cs="Times New Roman"/>
          <w:sz w:val="24"/>
          <w:szCs w:val="24"/>
          <w:lang w:val="en-GB"/>
        </w:rPr>
        <w:t xml:space="preserve"> </w:t>
      </w:r>
      <w:r w:rsidR="004A582B">
        <w:rPr>
          <w:rFonts w:ascii="Times New Roman" w:hAnsi="Times New Roman" w:cs="Times New Roman"/>
          <w:sz w:val="24"/>
          <w:szCs w:val="24"/>
          <w:lang w:val="en-GB"/>
        </w:rPr>
        <w:t xml:space="preserve">under </w:t>
      </w:r>
      <w:r>
        <w:rPr>
          <w:rFonts w:ascii="Times New Roman" w:hAnsi="Times New Roman" w:cs="Times New Roman"/>
          <w:sz w:val="24"/>
          <w:szCs w:val="24"/>
          <w:lang w:val="en-GB"/>
        </w:rPr>
        <w:t>“</w:t>
      </w:r>
      <w:r w:rsidR="000D2D6E">
        <w:rPr>
          <w:rFonts w:ascii="Times New Roman" w:hAnsi="Times New Roman" w:cs="Times New Roman"/>
          <w:sz w:val="24"/>
          <w:szCs w:val="24"/>
          <w:lang w:val="en-GB"/>
        </w:rPr>
        <w:t>S</w:t>
      </w:r>
      <w:r>
        <w:rPr>
          <w:rFonts w:ascii="Times New Roman" w:hAnsi="Times New Roman" w:cs="Times New Roman"/>
          <w:sz w:val="24"/>
          <w:szCs w:val="24"/>
          <w:lang w:val="en-GB"/>
        </w:rPr>
        <w:t>tage of training” received a low score in rounds 1 (second lowest) and 2 (third lowest).  Item 9</w:t>
      </w:r>
      <w:r w:rsidR="004A582B">
        <w:rPr>
          <w:rFonts w:ascii="Times New Roman" w:hAnsi="Times New Roman" w:cs="Times New Roman"/>
          <w:sz w:val="24"/>
          <w:szCs w:val="24"/>
          <w:lang w:val="en-GB"/>
        </w:rPr>
        <w:t xml:space="preserve"> </w:t>
      </w:r>
      <w:r w:rsidR="000D2D6E">
        <w:rPr>
          <w:rFonts w:ascii="Times New Roman" w:hAnsi="Times New Roman" w:cs="Times New Roman"/>
          <w:sz w:val="24"/>
          <w:szCs w:val="24"/>
          <w:lang w:val="en-GB"/>
        </w:rPr>
        <w:t>(‘</w:t>
      </w:r>
      <w:r w:rsidR="000D2D6E" w:rsidRPr="000D2D6E">
        <w:rPr>
          <w:rFonts w:ascii="Times New Roman" w:hAnsi="Times New Roman" w:cs="Times New Roman"/>
          <w:sz w:val="24"/>
          <w:szCs w:val="24"/>
        </w:rPr>
        <w:t>The diagnosis is correct</w:t>
      </w:r>
      <w:r w:rsidR="000D2D6E" w:rsidRPr="000D2D6E">
        <w:rPr>
          <w:rFonts w:ascii="Times New Roman" w:hAnsi="Times New Roman" w:cs="Times New Roman"/>
          <w:sz w:val="24"/>
          <w:szCs w:val="24"/>
          <w:lang w:val="en-GB"/>
        </w:rPr>
        <w:t xml:space="preserve"> </w:t>
      </w:r>
      <w:r w:rsidR="000D2D6E">
        <w:rPr>
          <w:rFonts w:ascii="Times New Roman" w:hAnsi="Times New Roman" w:cs="Times New Roman"/>
          <w:sz w:val="24"/>
          <w:szCs w:val="24"/>
          <w:lang w:val="en-GB"/>
        </w:rPr>
        <w:t xml:space="preserve">‘) </w:t>
      </w:r>
      <w:r w:rsidR="004A582B">
        <w:rPr>
          <w:rFonts w:ascii="Times New Roman" w:hAnsi="Times New Roman" w:cs="Times New Roman"/>
          <w:sz w:val="24"/>
          <w:szCs w:val="24"/>
          <w:lang w:val="en-GB"/>
        </w:rPr>
        <w:t>under “</w:t>
      </w:r>
      <w:r w:rsidR="000D2D6E">
        <w:rPr>
          <w:rFonts w:ascii="Times New Roman" w:hAnsi="Times New Roman" w:cs="Times New Roman"/>
          <w:sz w:val="24"/>
          <w:szCs w:val="24"/>
          <w:lang w:val="en-GB"/>
        </w:rPr>
        <w:t xml:space="preserve">Forming </w:t>
      </w:r>
      <w:r w:rsidR="004A582B">
        <w:rPr>
          <w:rFonts w:ascii="Times New Roman" w:hAnsi="Times New Roman" w:cs="Times New Roman"/>
          <w:sz w:val="24"/>
          <w:szCs w:val="24"/>
          <w:lang w:val="en-GB"/>
        </w:rPr>
        <w:t>a diagnosis”</w:t>
      </w:r>
      <w:r>
        <w:rPr>
          <w:rFonts w:ascii="Times New Roman" w:hAnsi="Times New Roman" w:cs="Times New Roman"/>
          <w:sz w:val="24"/>
          <w:szCs w:val="24"/>
          <w:lang w:val="en-GB"/>
        </w:rPr>
        <w:t xml:space="preserve"> appeared as the third lowest scored item in round 1 (7.1) but received a higher mean score of 7.8 in round 2 so was no longer one of t</w:t>
      </w:r>
      <w:r w:rsidR="002879AC">
        <w:rPr>
          <w:rFonts w:ascii="Times New Roman" w:hAnsi="Times New Roman" w:cs="Times New Roman"/>
          <w:sz w:val="24"/>
          <w:szCs w:val="24"/>
          <w:lang w:val="en-GB"/>
        </w:rPr>
        <w:t>he lowest scored items (Table 5.10)</w:t>
      </w:r>
      <w:r>
        <w:rPr>
          <w:rFonts w:ascii="Times New Roman" w:hAnsi="Times New Roman" w:cs="Times New Roman"/>
          <w:sz w:val="24"/>
          <w:szCs w:val="24"/>
          <w:lang w:val="en-GB"/>
        </w:rPr>
        <w:t xml:space="preserve">. Item </w:t>
      </w:r>
      <w:r w:rsidR="004A582B">
        <w:rPr>
          <w:rFonts w:ascii="Times New Roman" w:hAnsi="Times New Roman" w:cs="Times New Roman"/>
          <w:sz w:val="24"/>
          <w:szCs w:val="24"/>
          <w:lang w:val="en-GB"/>
        </w:rPr>
        <w:t>4 (</w:t>
      </w:r>
      <w:r w:rsidR="000D2D6E">
        <w:rPr>
          <w:rFonts w:ascii="Times New Roman" w:hAnsi="Times New Roman" w:cs="Times New Roman"/>
          <w:sz w:val="24"/>
          <w:szCs w:val="24"/>
          <w:lang w:val="en-GB"/>
        </w:rPr>
        <w:t>‘</w:t>
      </w:r>
      <w:r w:rsidR="000D2D6E" w:rsidRPr="000D2D6E">
        <w:rPr>
          <w:rFonts w:ascii="Times New Roman" w:hAnsi="Times New Roman" w:cs="Times New Roman"/>
          <w:sz w:val="24"/>
          <w:szCs w:val="24"/>
        </w:rPr>
        <w:t>Individual cases in an examination setting</w:t>
      </w:r>
      <w:r w:rsidR="000D2D6E">
        <w:rPr>
          <w:rFonts w:ascii="Times New Roman" w:hAnsi="Times New Roman" w:cs="Times New Roman"/>
          <w:sz w:val="24"/>
          <w:szCs w:val="24"/>
        </w:rPr>
        <w:t>’</w:t>
      </w:r>
      <w:r w:rsidR="000D2D6E">
        <w:rPr>
          <w:rFonts w:ascii="Times New Roman" w:hAnsi="Times New Roman" w:cs="Times New Roman"/>
          <w:sz w:val="24"/>
          <w:szCs w:val="24"/>
          <w:lang w:val="en-GB"/>
        </w:rPr>
        <w:t>)</w:t>
      </w:r>
      <w:r w:rsidR="00FD5ADC">
        <w:rPr>
          <w:rFonts w:ascii="Times New Roman" w:hAnsi="Times New Roman" w:cs="Times New Roman"/>
          <w:sz w:val="24"/>
          <w:szCs w:val="24"/>
          <w:lang w:val="en-GB"/>
        </w:rPr>
        <w:t xml:space="preserve"> </w:t>
      </w:r>
      <w:r w:rsidR="004A582B">
        <w:rPr>
          <w:rFonts w:ascii="Times New Roman" w:hAnsi="Times New Roman" w:cs="Times New Roman"/>
          <w:sz w:val="24"/>
          <w:szCs w:val="24"/>
          <w:lang w:val="en-GB"/>
        </w:rPr>
        <w:t xml:space="preserve">under </w:t>
      </w:r>
      <w:r>
        <w:rPr>
          <w:rFonts w:ascii="Times New Roman" w:hAnsi="Times New Roman" w:cs="Times New Roman"/>
          <w:sz w:val="24"/>
          <w:szCs w:val="24"/>
          <w:lang w:val="en-GB"/>
        </w:rPr>
        <w:t>“</w:t>
      </w:r>
      <w:r w:rsidR="000D2D6E">
        <w:rPr>
          <w:rFonts w:ascii="Times New Roman" w:hAnsi="Times New Roman" w:cs="Times New Roman"/>
          <w:sz w:val="24"/>
          <w:szCs w:val="24"/>
          <w:lang w:val="en-GB"/>
        </w:rPr>
        <w:t>T</w:t>
      </w:r>
      <w:r>
        <w:rPr>
          <w:rFonts w:ascii="Times New Roman" w:hAnsi="Times New Roman" w:cs="Times New Roman"/>
          <w:sz w:val="24"/>
          <w:szCs w:val="24"/>
          <w:lang w:val="en-GB"/>
        </w:rPr>
        <w:t>iming” did not appear in the bottom three in round 1 but did in round 2</w:t>
      </w:r>
      <w:r w:rsidR="004A582B">
        <w:rPr>
          <w:rFonts w:ascii="Times New Roman" w:hAnsi="Times New Roman" w:cs="Times New Roman"/>
          <w:sz w:val="24"/>
          <w:szCs w:val="24"/>
          <w:lang w:val="en-GB"/>
        </w:rPr>
        <w:t xml:space="preserve"> (its mean score fell from 6.9 to 6.8).</w:t>
      </w:r>
    </w:p>
    <w:tbl>
      <w:tblPr>
        <w:tblStyle w:val="TableGrid"/>
        <w:tblW w:w="0" w:type="auto"/>
        <w:tblLook w:val="04A0" w:firstRow="1" w:lastRow="0" w:firstColumn="1" w:lastColumn="0" w:noHBand="0" w:noVBand="1"/>
      </w:tblPr>
      <w:tblGrid>
        <w:gridCol w:w="3558"/>
        <w:gridCol w:w="807"/>
        <w:gridCol w:w="3345"/>
        <w:gridCol w:w="874"/>
      </w:tblGrid>
      <w:tr w:rsidR="0075152B" w:rsidRPr="004B24B7" w14:paraId="21C41BB2" w14:textId="77777777" w:rsidTr="005E7689">
        <w:tc>
          <w:tcPr>
            <w:tcW w:w="3778" w:type="dxa"/>
            <w:shd w:val="clear" w:color="auto" w:fill="F2F2F2" w:themeFill="background1" w:themeFillShade="F2"/>
          </w:tcPr>
          <w:p w14:paraId="732F97EE" w14:textId="77777777" w:rsidR="0075152B" w:rsidRPr="004B24B7" w:rsidRDefault="0075152B" w:rsidP="00D6233B">
            <w:pPr>
              <w:spacing w:line="480" w:lineRule="auto"/>
              <w:rPr>
                <w:rFonts w:ascii="Times New Roman" w:hAnsi="Times New Roman" w:cs="Times New Roman"/>
                <w:b/>
              </w:rPr>
            </w:pPr>
            <w:r w:rsidRPr="004B24B7">
              <w:rPr>
                <w:rFonts w:ascii="Times New Roman" w:hAnsi="Times New Roman" w:cs="Times New Roman"/>
                <w:b/>
              </w:rPr>
              <w:t>Round 1</w:t>
            </w:r>
          </w:p>
        </w:tc>
        <w:tc>
          <w:tcPr>
            <w:tcW w:w="812" w:type="dxa"/>
            <w:shd w:val="clear" w:color="auto" w:fill="F2F2F2" w:themeFill="background1" w:themeFillShade="F2"/>
          </w:tcPr>
          <w:p w14:paraId="03E48944" w14:textId="77777777" w:rsidR="0075152B" w:rsidRPr="004B24B7" w:rsidRDefault="0075152B" w:rsidP="00D6233B">
            <w:pPr>
              <w:spacing w:line="480" w:lineRule="auto"/>
              <w:rPr>
                <w:rFonts w:ascii="Times New Roman" w:hAnsi="Times New Roman" w:cs="Times New Roman"/>
                <w:b/>
              </w:rPr>
            </w:pPr>
            <w:r>
              <w:rPr>
                <w:rFonts w:ascii="Times New Roman" w:hAnsi="Times New Roman" w:cs="Times New Roman"/>
                <w:b/>
              </w:rPr>
              <w:t>Mean score</w:t>
            </w:r>
          </w:p>
        </w:tc>
        <w:tc>
          <w:tcPr>
            <w:tcW w:w="3540" w:type="dxa"/>
            <w:shd w:val="clear" w:color="auto" w:fill="D5DCE4" w:themeFill="text2" w:themeFillTint="33"/>
          </w:tcPr>
          <w:p w14:paraId="7172964B" w14:textId="77777777" w:rsidR="0075152B" w:rsidRPr="004B24B7" w:rsidRDefault="0075152B" w:rsidP="00D6233B">
            <w:pPr>
              <w:spacing w:line="480" w:lineRule="auto"/>
              <w:rPr>
                <w:rFonts w:ascii="Times New Roman" w:hAnsi="Times New Roman" w:cs="Times New Roman"/>
                <w:b/>
              </w:rPr>
            </w:pPr>
            <w:r w:rsidRPr="004B24B7">
              <w:rPr>
                <w:rFonts w:ascii="Times New Roman" w:hAnsi="Times New Roman" w:cs="Times New Roman"/>
                <w:b/>
              </w:rPr>
              <w:t>Round 2</w:t>
            </w:r>
          </w:p>
        </w:tc>
        <w:tc>
          <w:tcPr>
            <w:tcW w:w="886" w:type="dxa"/>
            <w:shd w:val="clear" w:color="auto" w:fill="D5DCE4" w:themeFill="text2" w:themeFillTint="33"/>
          </w:tcPr>
          <w:p w14:paraId="53FCBBF9" w14:textId="77777777" w:rsidR="0075152B" w:rsidRPr="004B24B7" w:rsidRDefault="0075152B" w:rsidP="00D6233B">
            <w:pPr>
              <w:spacing w:line="480" w:lineRule="auto"/>
              <w:rPr>
                <w:rFonts w:ascii="Times New Roman" w:hAnsi="Times New Roman" w:cs="Times New Roman"/>
                <w:b/>
              </w:rPr>
            </w:pPr>
            <w:r>
              <w:rPr>
                <w:rFonts w:ascii="Times New Roman" w:hAnsi="Times New Roman" w:cs="Times New Roman"/>
                <w:b/>
              </w:rPr>
              <w:t>Mean score</w:t>
            </w:r>
          </w:p>
        </w:tc>
      </w:tr>
      <w:tr w:rsidR="0075152B" w:rsidRPr="004B24B7" w14:paraId="1B31F743" w14:textId="77777777" w:rsidTr="005E7689">
        <w:tc>
          <w:tcPr>
            <w:tcW w:w="3778" w:type="dxa"/>
          </w:tcPr>
          <w:p w14:paraId="415353C4" w14:textId="162B030A" w:rsidR="00613779" w:rsidRDefault="00613779" w:rsidP="00613779">
            <w:pPr>
              <w:rPr>
                <w:rFonts w:ascii="Times New Roman" w:hAnsi="Times New Roman" w:cs="Times New Roman"/>
                <w:b/>
                <w:sz w:val="24"/>
                <w:szCs w:val="24"/>
              </w:rPr>
            </w:pPr>
            <w:r>
              <w:rPr>
                <w:rFonts w:ascii="Times New Roman" w:hAnsi="Times New Roman" w:cs="Times New Roman"/>
                <w:b/>
                <w:sz w:val="24"/>
                <w:szCs w:val="24"/>
              </w:rPr>
              <w:t>Trust</w:t>
            </w:r>
          </w:p>
          <w:p w14:paraId="0B20628A" w14:textId="77777777" w:rsidR="00613779" w:rsidRDefault="00613779" w:rsidP="00613779">
            <w:pPr>
              <w:rPr>
                <w:rFonts w:ascii="Times New Roman" w:hAnsi="Times New Roman" w:cs="Times New Roman"/>
                <w:b/>
                <w:sz w:val="24"/>
                <w:szCs w:val="24"/>
              </w:rPr>
            </w:pPr>
          </w:p>
          <w:p w14:paraId="7B674624" w14:textId="34C14E83" w:rsidR="0075152B" w:rsidRPr="004B24B7" w:rsidRDefault="00613779" w:rsidP="00613779">
            <w:r>
              <w:rPr>
                <w:rFonts w:ascii="Times New Roman" w:hAnsi="Times New Roman" w:cs="Times New Roman"/>
                <w:sz w:val="24"/>
                <w:szCs w:val="24"/>
              </w:rPr>
              <w:t>2</w:t>
            </w:r>
            <w:r w:rsidRPr="006F3B00">
              <w:rPr>
                <w:rFonts w:ascii="Times New Roman" w:hAnsi="Times New Roman" w:cs="Times New Roman"/>
                <w:sz w:val="24"/>
                <w:szCs w:val="24"/>
              </w:rPr>
              <w:t>3. Your opinion of a trainee’s diagnostic competence is related to an overall impression</w:t>
            </w:r>
          </w:p>
        </w:tc>
        <w:tc>
          <w:tcPr>
            <w:tcW w:w="812" w:type="dxa"/>
          </w:tcPr>
          <w:p w14:paraId="43FAC20C" w14:textId="40ADBECA" w:rsidR="0075152B" w:rsidRPr="00613779" w:rsidRDefault="00613779" w:rsidP="00D6233B">
            <w:pPr>
              <w:spacing w:line="480" w:lineRule="auto"/>
              <w:rPr>
                <w:rFonts w:ascii="Times New Roman" w:hAnsi="Times New Roman" w:cs="Times New Roman"/>
              </w:rPr>
            </w:pPr>
            <w:r w:rsidRPr="00613779">
              <w:rPr>
                <w:rFonts w:ascii="Times New Roman" w:hAnsi="Times New Roman" w:cs="Times New Roman"/>
              </w:rPr>
              <w:t>5.8</w:t>
            </w:r>
          </w:p>
        </w:tc>
        <w:tc>
          <w:tcPr>
            <w:tcW w:w="3540" w:type="dxa"/>
          </w:tcPr>
          <w:p w14:paraId="5B042F9D" w14:textId="117E5B2E" w:rsidR="00613779" w:rsidRDefault="00613779" w:rsidP="00613779">
            <w:pPr>
              <w:rPr>
                <w:rFonts w:ascii="Times New Roman" w:hAnsi="Times New Roman" w:cs="Times New Roman"/>
                <w:b/>
                <w:sz w:val="24"/>
                <w:szCs w:val="24"/>
              </w:rPr>
            </w:pPr>
            <w:r w:rsidRPr="00613779">
              <w:rPr>
                <w:rFonts w:ascii="Times New Roman" w:hAnsi="Times New Roman" w:cs="Times New Roman"/>
                <w:b/>
                <w:sz w:val="24"/>
                <w:szCs w:val="24"/>
              </w:rPr>
              <w:t>Trust</w:t>
            </w:r>
          </w:p>
          <w:p w14:paraId="377CA158" w14:textId="77777777" w:rsidR="00613779" w:rsidRPr="00613779" w:rsidRDefault="00613779" w:rsidP="00613779">
            <w:pPr>
              <w:rPr>
                <w:rFonts w:ascii="Times New Roman" w:hAnsi="Times New Roman" w:cs="Times New Roman"/>
                <w:b/>
                <w:sz w:val="24"/>
                <w:szCs w:val="24"/>
              </w:rPr>
            </w:pPr>
          </w:p>
          <w:p w14:paraId="05F320A7" w14:textId="4AA3899A" w:rsidR="0075152B" w:rsidRPr="004B24B7" w:rsidRDefault="00613779" w:rsidP="00613779">
            <w:pPr>
              <w:rPr>
                <w:rFonts w:ascii="Times New Roman" w:hAnsi="Times New Roman" w:cs="Times New Roman"/>
                <w:b/>
              </w:rPr>
            </w:pPr>
            <w:r w:rsidRPr="006F3B00">
              <w:rPr>
                <w:rFonts w:ascii="Times New Roman" w:hAnsi="Times New Roman" w:cs="Times New Roman"/>
                <w:sz w:val="24"/>
                <w:szCs w:val="24"/>
              </w:rPr>
              <w:t>23. Your opinion of a trainee’s diagnostic competence is related to an overall impression</w:t>
            </w:r>
          </w:p>
        </w:tc>
        <w:tc>
          <w:tcPr>
            <w:tcW w:w="886" w:type="dxa"/>
          </w:tcPr>
          <w:p w14:paraId="5B38556C" w14:textId="181EEC2A" w:rsidR="0075152B" w:rsidRPr="00613779" w:rsidRDefault="00613779" w:rsidP="00D6233B">
            <w:pPr>
              <w:spacing w:line="480" w:lineRule="auto"/>
              <w:rPr>
                <w:rFonts w:ascii="Times New Roman" w:hAnsi="Times New Roman" w:cs="Times New Roman"/>
              </w:rPr>
            </w:pPr>
            <w:r w:rsidRPr="00613779">
              <w:rPr>
                <w:rFonts w:ascii="Times New Roman" w:hAnsi="Times New Roman" w:cs="Times New Roman"/>
              </w:rPr>
              <w:t>6.2</w:t>
            </w:r>
          </w:p>
        </w:tc>
      </w:tr>
      <w:tr w:rsidR="0075152B" w:rsidRPr="004B24B7" w14:paraId="64AF9C33" w14:textId="77777777" w:rsidTr="005E7689">
        <w:tc>
          <w:tcPr>
            <w:tcW w:w="3778" w:type="dxa"/>
          </w:tcPr>
          <w:p w14:paraId="4877D855" w14:textId="4451C8E9" w:rsidR="00613779" w:rsidRDefault="00613779" w:rsidP="00613779">
            <w:pPr>
              <w:rPr>
                <w:rFonts w:ascii="Times New Roman" w:hAnsi="Times New Roman" w:cs="Times New Roman"/>
                <w:b/>
                <w:sz w:val="24"/>
                <w:szCs w:val="24"/>
              </w:rPr>
            </w:pPr>
            <w:r w:rsidRPr="002164C0">
              <w:rPr>
                <w:rFonts w:ascii="Times New Roman" w:hAnsi="Times New Roman" w:cs="Times New Roman"/>
                <w:b/>
                <w:sz w:val="24"/>
                <w:szCs w:val="24"/>
              </w:rPr>
              <w:t>Stage of Training</w:t>
            </w:r>
          </w:p>
          <w:p w14:paraId="1095643F" w14:textId="77777777" w:rsidR="00613779" w:rsidRPr="002164C0" w:rsidRDefault="00613779" w:rsidP="00613779">
            <w:pPr>
              <w:rPr>
                <w:rFonts w:ascii="Times New Roman" w:hAnsi="Times New Roman" w:cs="Times New Roman"/>
                <w:b/>
                <w:sz w:val="24"/>
                <w:szCs w:val="24"/>
              </w:rPr>
            </w:pPr>
          </w:p>
          <w:p w14:paraId="66E795D0" w14:textId="38B31204" w:rsidR="0075152B" w:rsidRPr="004B24B7" w:rsidRDefault="00613779" w:rsidP="00613779">
            <w:pPr>
              <w:rPr>
                <w:rFonts w:ascii="Times New Roman" w:hAnsi="Times New Roman" w:cs="Times New Roman"/>
                <w:b/>
              </w:rPr>
            </w:pPr>
            <w:r w:rsidRPr="006F3B00">
              <w:rPr>
                <w:rFonts w:ascii="Times New Roman" w:hAnsi="Times New Roman" w:cs="Times New Roman"/>
                <w:sz w:val="24"/>
                <w:szCs w:val="24"/>
              </w:rPr>
              <w:t>2. RCPath cu</w:t>
            </w:r>
            <w:r>
              <w:rPr>
                <w:rFonts w:ascii="Times New Roman" w:hAnsi="Times New Roman" w:cs="Times New Roman"/>
                <w:sz w:val="24"/>
                <w:szCs w:val="24"/>
              </w:rPr>
              <w:t>rricula and training guidelines</w:t>
            </w:r>
          </w:p>
        </w:tc>
        <w:tc>
          <w:tcPr>
            <w:tcW w:w="812" w:type="dxa"/>
          </w:tcPr>
          <w:p w14:paraId="5D6B298C" w14:textId="6A82E81C" w:rsidR="0075152B" w:rsidRPr="00613779" w:rsidRDefault="00613779" w:rsidP="00D6233B">
            <w:pPr>
              <w:spacing w:line="480" w:lineRule="auto"/>
              <w:rPr>
                <w:rFonts w:ascii="Times New Roman" w:hAnsi="Times New Roman" w:cs="Times New Roman"/>
              </w:rPr>
            </w:pPr>
            <w:r w:rsidRPr="00613779">
              <w:rPr>
                <w:rFonts w:ascii="Times New Roman" w:hAnsi="Times New Roman" w:cs="Times New Roman"/>
              </w:rPr>
              <w:t>7.1</w:t>
            </w:r>
          </w:p>
        </w:tc>
        <w:tc>
          <w:tcPr>
            <w:tcW w:w="3540" w:type="dxa"/>
          </w:tcPr>
          <w:p w14:paraId="76D34360" w14:textId="39344809" w:rsidR="00613779" w:rsidRDefault="00613779" w:rsidP="00613779">
            <w:pPr>
              <w:rPr>
                <w:rFonts w:ascii="Times New Roman" w:hAnsi="Times New Roman" w:cs="Times New Roman"/>
                <w:b/>
                <w:sz w:val="24"/>
                <w:szCs w:val="24"/>
              </w:rPr>
            </w:pPr>
            <w:r w:rsidRPr="00613779">
              <w:rPr>
                <w:rFonts w:ascii="Times New Roman" w:hAnsi="Times New Roman" w:cs="Times New Roman"/>
                <w:b/>
                <w:sz w:val="24"/>
                <w:szCs w:val="24"/>
              </w:rPr>
              <w:t>Timing</w:t>
            </w:r>
          </w:p>
          <w:p w14:paraId="25BC442F" w14:textId="77777777" w:rsidR="00613779" w:rsidRPr="00613779" w:rsidRDefault="00613779" w:rsidP="00613779">
            <w:pPr>
              <w:rPr>
                <w:rFonts w:ascii="Times New Roman" w:hAnsi="Times New Roman" w:cs="Times New Roman"/>
                <w:b/>
                <w:sz w:val="24"/>
                <w:szCs w:val="24"/>
              </w:rPr>
            </w:pPr>
          </w:p>
          <w:p w14:paraId="7325C9A8" w14:textId="21CCB1FD" w:rsidR="0075152B" w:rsidRPr="004B24B7" w:rsidRDefault="00613779" w:rsidP="00613779">
            <w:pPr>
              <w:rPr>
                <w:rFonts w:ascii="Times New Roman" w:hAnsi="Times New Roman" w:cs="Times New Roman"/>
                <w:b/>
              </w:rPr>
            </w:pPr>
            <w:r w:rsidRPr="006F3B00">
              <w:rPr>
                <w:rFonts w:ascii="Times New Roman" w:hAnsi="Times New Roman" w:cs="Times New Roman"/>
                <w:sz w:val="24"/>
                <w:szCs w:val="24"/>
              </w:rPr>
              <w:t>4. Individual cases in an examination setting</w:t>
            </w:r>
          </w:p>
        </w:tc>
        <w:tc>
          <w:tcPr>
            <w:tcW w:w="886" w:type="dxa"/>
          </w:tcPr>
          <w:p w14:paraId="0BB61E28" w14:textId="6EA8C5E9" w:rsidR="0075152B" w:rsidRPr="00613779" w:rsidRDefault="00613779" w:rsidP="00D6233B">
            <w:pPr>
              <w:spacing w:line="480" w:lineRule="auto"/>
              <w:rPr>
                <w:rFonts w:ascii="Times New Roman" w:hAnsi="Times New Roman" w:cs="Times New Roman"/>
              </w:rPr>
            </w:pPr>
            <w:r w:rsidRPr="00613779">
              <w:rPr>
                <w:rFonts w:ascii="Times New Roman" w:hAnsi="Times New Roman" w:cs="Times New Roman"/>
              </w:rPr>
              <w:t>6.8</w:t>
            </w:r>
          </w:p>
        </w:tc>
      </w:tr>
      <w:tr w:rsidR="0075152B" w:rsidRPr="004B24B7" w14:paraId="3147C99E" w14:textId="77777777" w:rsidTr="005E7689">
        <w:tc>
          <w:tcPr>
            <w:tcW w:w="3778" w:type="dxa"/>
          </w:tcPr>
          <w:p w14:paraId="549D5F88" w14:textId="5B6B857C" w:rsidR="00613779" w:rsidRDefault="00613779" w:rsidP="00613779">
            <w:pPr>
              <w:rPr>
                <w:rFonts w:ascii="Times New Roman" w:hAnsi="Times New Roman" w:cs="Times New Roman"/>
                <w:b/>
                <w:sz w:val="24"/>
                <w:szCs w:val="24"/>
              </w:rPr>
            </w:pPr>
            <w:r w:rsidRPr="002164C0">
              <w:rPr>
                <w:rFonts w:ascii="Times New Roman" w:hAnsi="Times New Roman" w:cs="Times New Roman"/>
                <w:b/>
                <w:sz w:val="24"/>
                <w:szCs w:val="24"/>
              </w:rPr>
              <w:t>Forming a diagnosis</w:t>
            </w:r>
          </w:p>
          <w:p w14:paraId="46ECCB6D" w14:textId="77777777" w:rsidR="00613779" w:rsidRPr="002164C0" w:rsidRDefault="00613779" w:rsidP="00613779">
            <w:pPr>
              <w:rPr>
                <w:rFonts w:ascii="Times New Roman" w:hAnsi="Times New Roman" w:cs="Times New Roman"/>
                <w:b/>
                <w:sz w:val="24"/>
                <w:szCs w:val="24"/>
              </w:rPr>
            </w:pPr>
          </w:p>
          <w:p w14:paraId="40084F28" w14:textId="3466CB82" w:rsidR="0075152B" w:rsidRPr="004B24B7" w:rsidRDefault="00613779" w:rsidP="00613779">
            <w:r>
              <w:rPr>
                <w:rFonts w:ascii="Times New Roman" w:hAnsi="Times New Roman" w:cs="Times New Roman"/>
                <w:sz w:val="24"/>
                <w:szCs w:val="24"/>
              </w:rPr>
              <w:t>9. The diagnosis is correct</w:t>
            </w:r>
          </w:p>
        </w:tc>
        <w:tc>
          <w:tcPr>
            <w:tcW w:w="812" w:type="dxa"/>
          </w:tcPr>
          <w:p w14:paraId="19D18A53" w14:textId="28FC9B73" w:rsidR="0075152B" w:rsidRPr="00613779" w:rsidRDefault="00613779" w:rsidP="00D6233B">
            <w:pPr>
              <w:spacing w:line="480" w:lineRule="auto"/>
              <w:rPr>
                <w:rFonts w:ascii="Times New Roman" w:hAnsi="Times New Roman" w:cs="Times New Roman"/>
              </w:rPr>
            </w:pPr>
            <w:r w:rsidRPr="00613779">
              <w:rPr>
                <w:rFonts w:ascii="Times New Roman" w:hAnsi="Times New Roman" w:cs="Times New Roman"/>
              </w:rPr>
              <w:t>7.1</w:t>
            </w:r>
          </w:p>
        </w:tc>
        <w:tc>
          <w:tcPr>
            <w:tcW w:w="3540" w:type="dxa"/>
          </w:tcPr>
          <w:p w14:paraId="6681B650" w14:textId="055B9C37" w:rsidR="00613779" w:rsidRDefault="00613779" w:rsidP="00613779">
            <w:pPr>
              <w:rPr>
                <w:rFonts w:ascii="Times New Roman" w:hAnsi="Times New Roman" w:cs="Times New Roman"/>
                <w:b/>
                <w:sz w:val="24"/>
                <w:szCs w:val="24"/>
              </w:rPr>
            </w:pPr>
            <w:r w:rsidRPr="00613779">
              <w:rPr>
                <w:rFonts w:ascii="Times New Roman" w:hAnsi="Times New Roman" w:cs="Times New Roman"/>
                <w:b/>
                <w:sz w:val="24"/>
                <w:szCs w:val="24"/>
              </w:rPr>
              <w:t>Stage of training</w:t>
            </w:r>
          </w:p>
          <w:p w14:paraId="268491FE" w14:textId="77777777" w:rsidR="00613779" w:rsidRPr="00613779" w:rsidRDefault="00613779" w:rsidP="00613779">
            <w:pPr>
              <w:rPr>
                <w:rFonts w:ascii="Times New Roman" w:hAnsi="Times New Roman" w:cs="Times New Roman"/>
                <w:b/>
                <w:sz w:val="24"/>
                <w:szCs w:val="24"/>
              </w:rPr>
            </w:pPr>
          </w:p>
          <w:p w14:paraId="16B44EFF" w14:textId="193C19C5" w:rsidR="0075152B" w:rsidRPr="000B6CB8" w:rsidRDefault="00613779" w:rsidP="00613779">
            <w:pPr>
              <w:rPr>
                <w:rFonts w:ascii="Times New Roman" w:hAnsi="Times New Roman" w:cs="Times New Roman"/>
                <w:sz w:val="24"/>
                <w:szCs w:val="24"/>
              </w:rPr>
            </w:pPr>
            <w:r w:rsidRPr="006F3B00">
              <w:rPr>
                <w:rFonts w:ascii="Times New Roman" w:hAnsi="Times New Roman" w:cs="Times New Roman"/>
                <w:sz w:val="24"/>
                <w:szCs w:val="24"/>
              </w:rPr>
              <w:t>2. RCPath cu</w:t>
            </w:r>
            <w:r>
              <w:rPr>
                <w:rFonts w:ascii="Times New Roman" w:hAnsi="Times New Roman" w:cs="Times New Roman"/>
                <w:sz w:val="24"/>
                <w:szCs w:val="24"/>
              </w:rPr>
              <w:t>rricula and training guidelines</w:t>
            </w:r>
          </w:p>
        </w:tc>
        <w:tc>
          <w:tcPr>
            <w:tcW w:w="886" w:type="dxa"/>
          </w:tcPr>
          <w:p w14:paraId="1E4752FF" w14:textId="670B6F2A" w:rsidR="0075152B" w:rsidRPr="00613779" w:rsidRDefault="00613779" w:rsidP="00D6233B">
            <w:pPr>
              <w:spacing w:line="480" w:lineRule="auto"/>
              <w:rPr>
                <w:rFonts w:ascii="Times New Roman" w:hAnsi="Times New Roman" w:cs="Times New Roman"/>
              </w:rPr>
            </w:pPr>
            <w:r w:rsidRPr="00613779">
              <w:rPr>
                <w:rFonts w:ascii="Times New Roman" w:hAnsi="Times New Roman" w:cs="Times New Roman"/>
              </w:rPr>
              <w:t>7.0</w:t>
            </w:r>
          </w:p>
        </w:tc>
      </w:tr>
    </w:tbl>
    <w:p w14:paraId="4918937B" w14:textId="26088598" w:rsidR="005E7689" w:rsidRDefault="001A1B84" w:rsidP="005E7689">
      <w:pPr>
        <w:spacing w:line="240" w:lineRule="auto"/>
        <w:rPr>
          <w:rFonts w:ascii="Times New Roman" w:hAnsi="Times New Roman" w:cs="Times New Roman"/>
          <w:b/>
          <w:sz w:val="24"/>
          <w:szCs w:val="24"/>
        </w:rPr>
      </w:pPr>
      <w:r>
        <w:rPr>
          <w:rFonts w:ascii="Times New Roman" w:hAnsi="Times New Roman" w:cs="Times New Roman"/>
          <w:b/>
          <w:sz w:val="24"/>
          <w:szCs w:val="24"/>
          <w:lang w:val="en-GB"/>
        </w:rPr>
        <w:t>Table 5.19</w:t>
      </w:r>
      <w:r w:rsidR="005E7689">
        <w:rPr>
          <w:rFonts w:ascii="Times New Roman" w:hAnsi="Times New Roman" w:cs="Times New Roman"/>
          <w:b/>
          <w:sz w:val="24"/>
          <w:szCs w:val="24"/>
          <w:lang w:val="en-GB"/>
        </w:rPr>
        <w:t>.</w:t>
      </w:r>
      <w:r w:rsidR="005E7689" w:rsidRPr="007A712D">
        <w:rPr>
          <w:rFonts w:ascii="Times New Roman" w:hAnsi="Times New Roman" w:cs="Times New Roman"/>
          <w:b/>
          <w:sz w:val="24"/>
          <w:szCs w:val="24"/>
          <w:lang w:val="en-GB"/>
        </w:rPr>
        <w:t xml:space="preserve"> </w:t>
      </w:r>
      <w:r w:rsidR="005E7689" w:rsidRPr="007A712D">
        <w:rPr>
          <w:rFonts w:ascii="Times New Roman" w:hAnsi="Times New Roman" w:cs="Times New Roman"/>
          <w:b/>
          <w:sz w:val="24"/>
          <w:szCs w:val="24"/>
        </w:rPr>
        <w:t>Comparison of lowest rated items by mean score in rounds 1</w:t>
      </w:r>
      <w:r w:rsidR="005E7689">
        <w:rPr>
          <w:rFonts w:ascii="Times New Roman" w:hAnsi="Times New Roman" w:cs="Times New Roman"/>
          <w:b/>
          <w:sz w:val="24"/>
          <w:szCs w:val="24"/>
        </w:rPr>
        <w:t xml:space="preserve"> and 2. </w:t>
      </w:r>
      <w:r w:rsidR="005E7689">
        <w:rPr>
          <w:rFonts w:ascii="Times New Roman" w:hAnsi="Times New Roman" w:cs="Times New Roman"/>
          <w:sz w:val="24"/>
          <w:szCs w:val="24"/>
        </w:rPr>
        <w:t>Note, some items have been shortened for reasons of clarity.</w:t>
      </w:r>
    </w:p>
    <w:p w14:paraId="413AB922" w14:textId="1E6D2DBC" w:rsidR="005E7689" w:rsidRDefault="005E7689" w:rsidP="007A712D">
      <w:pPr>
        <w:spacing w:line="480" w:lineRule="auto"/>
        <w:rPr>
          <w:rFonts w:ascii="Times New Roman" w:hAnsi="Times New Roman" w:cs="Times New Roman"/>
          <w:b/>
          <w:sz w:val="24"/>
          <w:szCs w:val="24"/>
        </w:rPr>
      </w:pPr>
    </w:p>
    <w:p w14:paraId="5D805971" w14:textId="678187FA" w:rsidR="00497E48" w:rsidRDefault="00497E48" w:rsidP="007A712D">
      <w:pPr>
        <w:spacing w:line="480" w:lineRule="auto"/>
        <w:rPr>
          <w:rFonts w:ascii="Times New Roman" w:hAnsi="Times New Roman" w:cs="Times New Roman"/>
          <w:b/>
          <w:sz w:val="24"/>
          <w:szCs w:val="24"/>
        </w:rPr>
      </w:pPr>
    </w:p>
    <w:p w14:paraId="6F4A6EC3" w14:textId="7F021549" w:rsidR="00497E48" w:rsidRDefault="00497E48" w:rsidP="007A712D">
      <w:pPr>
        <w:spacing w:line="480" w:lineRule="auto"/>
        <w:rPr>
          <w:rFonts w:ascii="Times New Roman" w:hAnsi="Times New Roman" w:cs="Times New Roman"/>
          <w:b/>
          <w:sz w:val="24"/>
          <w:szCs w:val="24"/>
        </w:rPr>
      </w:pPr>
    </w:p>
    <w:p w14:paraId="0DF78EE1" w14:textId="415059BF" w:rsidR="00497E48" w:rsidRDefault="00497E48" w:rsidP="007A712D">
      <w:pPr>
        <w:spacing w:line="480" w:lineRule="auto"/>
        <w:rPr>
          <w:rFonts w:ascii="Times New Roman" w:hAnsi="Times New Roman" w:cs="Times New Roman"/>
          <w:b/>
          <w:sz w:val="24"/>
          <w:szCs w:val="24"/>
        </w:rPr>
      </w:pPr>
    </w:p>
    <w:p w14:paraId="428FB92C" w14:textId="77777777" w:rsidR="00497E48" w:rsidRDefault="00497E48" w:rsidP="007A712D">
      <w:pPr>
        <w:spacing w:line="480" w:lineRule="auto"/>
        <w:rPr>
          <w:rFonts w:ascii="Times New Roman" w:hAnsi="Times New Roman" w:cs="Times New Roman"/>
          <w:b/>
          <w:sz w:val="24"/>
          <w:szCs w:val="24"/>
        </w:rPr>
      </w:pPr>
    </w:p>
    <w:p w14:paraId="4C364F35" w14:textId="6019EDB6" w:rsidR="00863DF5" w:rsidRDefault="007A712D" w:rsidP="0087352C">
      <w:pPr>
        <w:pStyle w:val="Heading2"/>
        <w:rPr>
          <w:rFonts w:ascii="Times New Roman" w:hAnsi="Times New Roman" w:cs="Times New Roman"/>
          <w:color w:val="auto"/>
          <w:sz w:val="24"/>
          <w:szCs w:val="24"/>
        </w:rPr>
      </w:pPr>
      <w:bookmarkStart w:id="116" w:name="_Toc23243845"/>
      <w:r>
        <w:rPr>
          <w:rFonts w:ascii="Times New Roman" w:hAnsi="Times New Roman" w:cs="Times New Roman"/>
          <w:color w:val="auto"/>
          <w:sz w:val="24"/>
          <w:szCs w:val="24"/>
        </w:rPr>
        <w:lastRenderedPageBreak/>
        <w:t>5.5</w:t>
      </w:r>
      <w:r w:rsidR="0087352C"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Discussion</w:t>
      </w:r>
      <w:bookmarkEnd w:id="116"/>
    </w:p>
    <w:p w14:paraId="6A0F3A70" w14:textId="35CFE9B1" w:rsidR="0092730B" w:rsidRPr="00B2148E" w:rsidRDefault="0092730B" w:rsidP="00B2148E"/>
    <w:p w14:paraId="25DCA387" w14:textId="38BBF99E"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results indicate that the majority of items identified in the qualitative interviews were also va</w:t>
      </w:r>
      <w:r w:rsidR="0075152B">
        <w:rPr>
          <w:rFonts w:ascii="Times New Roman" w:hAnsi="Times New Roman" w:cs="Times New Roman"/>
          <w:sz w:val="24"/>
          <w:szCs w:val="24"/>
        </w:rPr>
        <w:t>lued by the Delphi panel with twenty-two of the twenty-seven</w:t>
      </w:r>
      <w:r w:rsidRPr="006F3B00">
        <w:rPr>
          <w:rFonts w:ascii="Times New Roman" w:hAnsi="Times New Roman" w:cs="Times New Roman"/>
          <w:sz w:val="24"/>
          <w:szCs w:val="24"/>
        </w:rPr>
        <w:t xml:space="preserve"> items reaching “consensus in” after two rounds. This helps to triangulate and</w:t>
      </w:r>
      <w:r w:rsidR="00F80E59">
        <w:rPr>
          <w:rFonts w:ascii="Times New Roman" w:hAnsi="Times New Roman" w:cs="Times New Roman"/>
          <w:sz w:val="24"/>
          <w:szCs w:val="24"/>
        </w:rPr>
        <w:t xml:space="preserve"> validate our previous findings</w:t>
      </w:r>
      <w:r w:rsidR="0075152B">
        <w:rPr>
          <w:rFonts w:ascii="Times New Roman" w:hAnsi="Times New Roman" w:cs="Times New Roman"/>
          <w:sz w:val="24"/>
          <w:szCs w:val="24"/>
        </w:rPr>
        <w:t>. Only five</w:t>
      </w:r>
      <w:r w:rsidRPr="006F3B00">
        <w:rPr>
          <w:rFonts w:ascii="Times New Roman" w:hAnsi="Times New Roman" w:cs="Times New Roman"/>
          <w:sz w:val="24"/>
          <w:szCs w:val="24"/>
        </w:rPr>
        <w:t xml:space="preserve"> items failed to reach “consensus in” and of those five, none were deemed unimportant enough to be scored “consensus out”. Of the five items which were “no consensus”, items 2, 9, 10 still had mean scores of 7 or above, suggesting they </w:t>
      </w:r>
      <w:r w:rsidR="00FD5ADC">
        <w:rPr>
          <w:rFonts w:ascii="Times New Roman" w:hAnsi="Times New Roman" w:cs="Times New Roman"/>
          <w:sz w:val="24"/>
          <w:szCs w:val="24"/>
        </w:rPr>
        <w:t>were closer to “definitely important” than “definitely not important”</w:t>
      </w:r>
      <w:r w:rsidRPr="006F3B00">
        <w:rPr>
          <w:rFonts w:ascii="Times New Roman" w:hAnsi="Times New Roman" w:cs="Times New Roman"/>
          <w:sz w:val="24"/>
          <w:szCs w:val="24"/>
        </w:rPr>
        <w:t xml:space="preserve"> even though the criteria for consensus were not met.</w:t>
      </w:r>
      <w:r w:rsidR="008F726F">
        <w:rPr>
          <w:rFonts w:ascii="Times New Roman" w:hAnsi="Times New Roman" w:cs="Times New Roman"/>
          <w:sz w:val="24"/>
          <w:szCs w:val="24"/>
        </w:rPr>
        <w:t xml:space="preserve"> </w:t>
      </w:r>
      <w:r w:rsidRPr="006F3B00">
        <w:rPr>
          <w:rFonts w:ascii="Times New Roman" w:hAnsi="Times New Roman" w:cs="Times New Roman"/>
          <w:sz w:val="24"/>
          <w:szCs w:val="24"/>
        </w:rPr>
        <w:t xml:space="preserve"> </w:t>
      </w:r>
      <w:r w:rsidR="005D5E5A">
        <w:rPr>
          <w:rFonts w:ascii="Times New Roman" w:hAnsi="Times New Roman" w:cs="Times New Roman"/>
          <w:sz w:val="24"/>
          <w:szCs w:val="24"/>
        </w:rPr>
        <w:t xml:space="preserve">The remaining “no consensus” items were </w:t>
      </w:r>
      <w:r w:rsidRPr="006F3B00">
        <w:rPr>
          <w:rFonts w:ascii="Times New Roman" w:hAnsi="Times New Roman" w:cs="Times New Roman"/>
          <w:sz w:val="24"/>
          <w:szCs w:val="24"/>
        </w:rPr>
        <w:t xml:space="preserve">4 and 23 </w:t>
      </w:r>
      <w:r w:rsidR="005D5E5A">
        <w:rPr>
          <w:rFonts w:ascii="Times New Roman" w:hAnsi="Times New Roman" w:cs="Times New Roman"/>
          <w:sz w:val="24"/>
          <w:szCs w:val="24"/>
        </w:rPr>
        <w:t>which received the</w:t>
      </w:r>
      <w:r w:rsidRPr="006F3B00">
        <w:rPr>
          <w:rFonts w:ascii="Times New Roman" w:hAnsi="Times New Roman" w:cs="Times New Roman"/>
          <w:sz w:val="24"/>
          <w:szCs w:val="24"/>
        </w:rPr>
        <w:t xml:space="preserve"> lowest mean score, with mean scores of 6.75 and 6.2 respectively. </w:t>
      </w:r>
    </w:p>
    <w:p w14:paraId="1C7A26B8" w14:textId="00EB509A"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There appears to be consistency between the items which had the lowest mean score and also those items which were separately ranked as being least impo</w:t>
      </w:r>
      <w:r w:rsidR="00810505">
        <w:rPr>
          <w:rFonts w:ascii="Times New Roman" w:hAnsi="Times New Roman" w:cs="Times New Roman"/>
          <w:sz w:val="24"/>
          <w:szCs w:val="24"/>
        </w:rPr>
        <w:t>rtant after two rounds (Tabl</w:t>
      </w:r>
      <w:r w:rsidR="001A1B84">
        <w:rPr>
          <w:rFonts w:ascii="Times New Roman" w:hAnsi="Times New Roman" w:cs="Times New Roman"/>
          <w:sz w:val="24"/>
          <w:szCs w:val="24"/>
        </w:rPr>
        <w:t>e 5.15</w:t>
      </w:r>
      <w:r w:rsidRPr="006F3B00">
        <w:rPr>
          <w:rFonts w:ascii="Times New Roman" w:hAnsi="Times New Roman" w:cs="Times New Roman"/>
          <w:sz w:val="24"/>
          <w:szCs w:val="24"/>
        </w:rPr>
        <w:t>). These items also didn’t reach consensus “in or “out”.  These were items 2, 4 and 23 which are shown below:</w:t>
      </w:r>
    </w:p>
    <w:p w14:paraId="152C2EEC" w14:textId="7F18BDC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Item 2. </w:t>
      </w:r>
      <w:r w:rsidR="00FD5ADC">
        <w:rPr>
          <w:rFonts w:ascii="Times New Roman" w:hAnsi="Times New Roman" w:cs="Times New Roman"/>
          <w:sz w:val="24"/>
          <w:szCs w:val="24"/>
        </w:rPr>
        <w:t xml:space="preserve">Under ‘Stage of training’ </w:t>
      </w:r>
      <w:r w:rsidRPr="006F3B00">
        <w:rPr>
          <w:rFonts w:ascii="Times New Roman" w:hAnsi="Times New Roman" w:cs="Times New Roman"/>
          <w:sz w:val="24"/>
          <w:szCs w:val="24"/>
        </w:rPr>
        <w:t>RCPath curricula and training guidelines (mean score 7, rank 3)</w:t>
      </w:r>
    </w:p>
    <w:p w14:paraId="5B10D18D" w14:textId="3DDDD399"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Item 4. </w:t>
      </w:r>
      <w:r w:rsidR="00E73A22">
        <w:rPr>
          <w:rFonts w:ascii="Times New Roman" w:hAnsi="Times New Roman" w:cs="Times New Roman"/>
          <w:sz w:val="24"/>
          <w:szCs w:val="24"/>
        </w:rPr>
        <w:t xml:space="preserve">Under ‘Timing’ </w:t>
      </w:r>
      <w:r w:rsidRPr="006F3B00">
        <w:rPr>
          <w:rFonts w:ascii="Times New Roman" w:hAnsi="Times New Roman" w:cs="Times New Roman"/>
          <w:sz w:val="24"/>
          <w:szCs w:val="24"/>
        </w:rPr>
        <w:t>Individual cases in an examination setting (mean score 6.8, rank =1)</w:t>
      </w:r>
    </w:p>
    <w:p w14:paraId="2F43E272" w14:textId="3D7217B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Item 23. </w:t>
      </w:r>
      <w:r w:rsidR="00E73A22">
        <w:rPr>
          <w:rFonts w:ascii="Times New Roman" w:hAnsi="Times New Roman" w:cs="Times New Roman"/>
          <w:sz w:val="24"/>
          <w:szCs w:val="24"/>
        </w:rPr>
        <w:t xml:space="preserve">Under ‘Trust’ </w:t>
      </w:r>
      <w:proofErr w:type="gramStart"/>
      <w:r w:rsidRPr="006F3B00">
        <w:rPr>
          <w:rFonts w:ascii="Times New Roman" w:hAnsi="Times New Roman" w:cs="Times New Roman"/>
          <w:sz w:val="24"/>
          <w:szCs w:val="24"/>
        </w:rPr>
        <w:t>Your</w:t>
      </w:r>
      <w:proofErr w:type="gramEnd"/>
      <w:r w:rsidRPr="006F3B00">
        <w:rPr>
          <w:rFonts w:ascii="Times New Roman" w:hAnsi="Times New Roman" w:cs="Times New Roman"/>
          <w:sz w:val="24"/>
          <w:szCs w:val="24"/>
        </w:rPr>
        <w:t xml:space="preserve"> opinion of a trainee’s diagnostic competence is related to an overall impression you have of them, rather than items of evidence e.g. gut-feelings/impressions/ your perceptions about trainees (mean score 6.2, rank=1)</w:t>
      </w:r>
    </w:p>
    <w:p w14:paraId="5A52E92F" w14:textId="7AAAD036"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qualitative interviews identified that curricula and training guidelines were used in part to make judgements on trainee diagnostic competence</w:t>
      </w:r>
      <w:r w:rsidR="00E93FBA">
        <w:rPr>
          <w:rFonts w:ascii="Times New Roman" w:hAnsi="Times New Roman" w:cs="Times New Roman"/>
          <w:sz w:val="24"/>
          <w:szCs w:val="24"/>
        </w:rPr>
        <w:t xml:space="preserve"> (</w:t>
      </w:r>
      <w:r w:rsidR="00FD4928">
        <w:rPr>
          <w:rFonts w:ascii="Times New Roman" w:hAnsi="Times New Roman" w:cs="Times New Roman"/>
          <w:sz w:val="24"/>
          <w:szCs w:val="24"/>
        </w:rPr>
        <w:t>i</w:t>
      </w:r>
      <w:r w:rsidR="00E93FBA">
        <w:rPr>
          <w:rFonts w:ascii="Times New Roman" w:hAnsi="Times New Roman" w:cs="Times New Roman"/>
          <w:sz w:val="24"/>
          <w:szCs w:val="24"/>
        </w:rPr>
        <w:t>tem 2)</w:t>
      </w:r>
      <w:r w:rsidRPr="006F3B00">
        <w:rPr>
          <w:rFonts w:ascii="Times New Roman" w:hAnsi="Times New Roman" w:cs="Times New Roman"/>
          <w:sz w:val="24"/>
          <w:szCs w:val="24"/>
        </w:rPr>
        <w:t>. Even though it was one of the lowes</w:t>
      </w:r>
      <w:r w:rsidR="00FD4928">
        <w:rPr>
          <w:rFonts w:ascii="Times New Roman" w:hAnsi="Times New Roman" w:cs="Times New Roman"/>
          <w:sz w:val="24"/>
          <w:szCs w:val="24"/>
        </w:rPr>
        <w:t>t valued items, it still appeared</w:t>
      </w:r>
      <w:r w:rsidRPr="006F3B00">
        <w:rPr>
          <w:rFonts w:ascii="Times New Roman" w:hAnsi="Times New Roman" w:cs="Times New Roman"/>
          <w:sz w:val="24"/>
          <w:szCs w:val="24"/>
        </w:rPr>
        <w:t xml:space="preserve"> relatively important</w:t>
      </w:r>
      <w:r w:rsidR="000E3660">
        <w:rPr>
          <w:rFonts w:ascii="Times New Roman" w:hAnsi="Times New Roman" w:cs="Times New Roman"/>
          <w:sz w:val="24"/>
          <w:szCs w:val="24"/>
        </w:rPr>
        <w:t xml:space="preserve"> </w:t>
      </w:r>
      <w:r w:rsidR="000E3660" w:rsidRPr="00167E65">
        <w:rPr>
          <w:rFonts w:ascii="Times New Roman" w:hAnsi="Times New Roman" w:cs="Times New Roman"/>
          <w:sz w:val="24"/>
          <w:szCs w:val="24"/>
        </w:rPr>
        <w:t>because</w:t>
      </w:r>
      <w:r w:rsidR="00167E65" w:rsidRPr="00167E65">
        <w:rPr>
          <w:rFonts w:ascii="Times New Roman" w:hAnsi="Times New Roman" w:cs="Times New Roman"/>
          <w:sz w:val="24"/>
          <w:szCs w:val="24"/>
        </w:rPr>
        <w:t xml:space="preserve"> it had a mean score of 7 after round 2. </w:t>
      </w:r>
      <w:r w:rsidR="000E3660">
        <w:rPr>
          <w:rFonts w:ascii="Times New Roman" w:hAnsi="Times New Roman" w:cs="Times New Roman"/>
          <w:sz w:val="24"/>
          <w:szCs w:val="24"/>
        </w:rPr>
        <w:t>However, there</w:t>
      </w:r>
      <w:r w:rsidR="00836D5B">
        <w:rPr>
          <w:rFonts w:ascii="Times New Roman" w:hAnsi="Times New Roman" w:cs="Times New Roman"/>
          <w:sz w:val="24"/>
          <w:szCs w:val="24"/>
        </w:rPr>
        <w:t xml:space="preserve"> may</w:t>
      </w:r>
      <w:r w:rsidR="000E3660">
        <w:rPr>
          <w:rFonts w:ascii="Times New Roman" w:hAnsi="Times New Roman" w:cs="Times New Roman"/>
          <w:sz w:val="24"/>
          <w:szCs w:val="24"/>
        </w:rPr>
        <w:t xml:space="preserve"> be an</w:t>
      </w:r>
      <w:r w:rsidRPr="006F3B00">
        <w:rPr>
          <w:rFonts w:ascii="Times New Roman" w:hAnsi="Times New Roman" w:cs="Times New Roman"/>
          <w:sz w:val="24"/>
          <w:szCs w:val="24"/>
        </w:rPr>
        <w:t xml:space="preserve"> element of a consultant being </w:t>
      </w:r>
      <w:r w:rsidRPr="006F3B00">
        <w:rPr>
          <w:rFonts w:ascii="Times New Roman" w:hAnsi="Times New Roman" w:cs="Times New Roman"/>
          <w:sz w:val="24"/>
          <w:szCs w:val="24"/>
        </w:rPr>
        <w:lastRenderedPageBreak/>
        <w:t xml:space="preserve">able to judge diagnostic competence without the use of curricula and guidelines. Indeed, the panel members were all considered “experts” so their extra experience </w:t>
      </w:r>
      <w:r w:rsidR="00E93FBA">
        <w:rPr>
          <w:rFonts w:ascii="Times New Roman" w:hAnsi="Times New Roman" w:cs="Times New Roman"/>
          <w:sz w:val="24"/>
          <w:szCs w:val="24"/>
        </w:rPr>
        <w:t>may mean</w:t>
      </w:r>
      <w:r w:rsidRPr="006F3B00">
        <w:rPr>
          <w:rFonts w:ascii="Times New Roman" w:hAnsi="Times New Roman" w:cs="Times New Roman"/>
          <w:sz w:val="24"/>
          <w:szCs w:val="24"/>
        </w:rPr>
        <w:t xml:space="preserve"> they are very familiar with training</w:t>
      </w:r>
      <w:r w:rsidR="00E93FBA">
        <w:rPr>
          <w:rFonts w:ascii="Times New Roman" w:hAnsi="Times New Roman" w:cs="Times New Roman"/>
          <w:sz w:val="24"/>
          <w:szCs w:val="24"/>
        </w:rPr>
        <w:t xml:space="preserve"> pathways</w:t>
      </w:r>
      <w:r w:rsidRPr="006F3B00">
        <w:rPr>
          <w:rFonts w:ascii="Times New Roman" w:hAnsi="Times New Roman" w:cs="Times New Roman"/>
          <w:sz w:val="24"/>
          <w:szCs w:val="24"/>
        </w:rPr>
        <w:t xml:space="preserve"> and don’t need to refer to guidelines or curricula as frequently as others.</w:t>
      </w:r>
      <w:r w:rsidR="00D00882">
        <w:rPr>
          <w:rFonts w:ascii="Times New Roman" w:hAnsi="Times New Roman" w:cs="Times New Roman"/>
          <w:sz w:val="24"/>
          <w:szCs w:val="24"/>
        </w:rPr>
        <w:t xml:space="preserve"> Given the comment “</w:t>
      </w:r>
      <w:r w:rsidR="00D00882" w:rsidRPr="006F3B00">
        <w:rPr>
          <w:rFonts w:ascii="Times New Roman" w:hAnsi="Times New Roman" w:cs="Times New Roman"/>
          <w:i/>
          <w:sz w:val="24"/>
          <w:szCs w:val="24"/>
        </w:rPr>
        <w:t>College criteria are likely</w:t>
      </w:r>
      <w:r w:rsidR="00D00882">
        <w:rPr>
          <w:rFonts w:ascii="Times New Roman" w:hAnsi="Times New Roman" w:cs="Times New Roman"/>
          <w:i/>
          <w:sz w:val="24"/>
          <w:szCs w:val="24"/>
        </w:rPr>
        <w:t xml:space="preserve"> to change with new curriculum”</w:t>
      </w:r>
      <w:r w:rsidR="00D00882">
        <w:rPr>
          <w:rFonts w:ascii="Times New Roman" w:hAnsi="Times New Roman" w:cs="Times New Roman"/>
          <w:sz w:val="24"/>
          <w:szCs w:val="24"/>
        </w:rPr>
        <w:t xml:space="preserve"> it may be that several participants were aware that the curriculum is due to change soon and this influenced how they scored the item. Whether these views</w:t>
      </w:r>
      <w:r w:rsidRPr="006F3B00">
        <w:rPr>
          <w:rFonts w:ascii="Times New Roman" w:hAnsi="Times New Roman" w:cs="Times New Roman"/>
          <w:sz w:val="24"/>
          <w:szCs w:val="24"/>
        </w:rPr>
        <w:t xml:space="preserve"> represents the wider view (e.g. consultants who are less experienced) is unclear. </w:t>
      </w:r>
    </w:p>
    <w:p w14:paraId="39C88BA3" w14:textId="74DB235B" w:rsidR="00863DF5" w:rsidRPr="006F3B00" w:rsidRDefault="008E36A5"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Of note, the </w:t>
      </w:r>
      <w:r w:rsidR="00863DF5" w:rsidRPr="006F3B00">
        <w:rPr>
          <w:rFonts w:ascii="Times New Roman" w:hAnsi="Times New Roman" w:cs="Times New Roman"/>
          <w:sz w:val="24"/>
          <w:szCs w:val="24"/>
        </w:rPr>
        <w:t>qualitative interview data suggested that competence is best judged longitudinally and not through “individual cases in an examination setting” as stated in item 4. So the fact that it received a low score is actually in line with our previous findings. In support of this, item 3 “Placements/cases assessed longitudinally over a period of time” had a mean score of 8.5 and reached “consensus in”.</w:t>
      </w:r>
    </w:p>
    <w:p w14:paraId="5DA1C4B4" w14:textId="0C792012"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Item 23 stemmed from qualitative interview data which suggested “feelings” are also taken into account when determining if trainees are diagnostically competent, such as:</w:t>
      </w:r>
      <w:r w:rsidRPr="006F3B00">
        <w:rPr>
          <w:rFonts w:ascii="Times New Roman" w:hAnsi="Times New Roman" w:cs="Times New Roman"/>
          <w:i/>
          <w:sz w:val="24"/>
          <w:szCs w:val="24"/>
        </w:rPr>
        <w:t xml:space="preserve"> “Quite often people do have a feeling but they cannot pin it down to something” </w:t>
      </w:r>
      <w:r w:rsidRPr="006F3B00">
        <w:rPr>
          <w:rFonts w:ascii="Times New Roman" w:hAnsi="Times New Roman" w:cs="Times New Roman"/>
          <w:sz w:val="24"/>
          <w:szCs w:val="24"/>
        </w:rPr>
        <w:t>and</w:t>
      </w:r>
      <w:r w:rsidRPr="006F3B00">
        <w:rPr>
          <w:rFonts w:ascii="Times New Roman" w:hAnsi="Times New Roman" w:cs="Times New Roman"/>
          <w:i/>
          <w:sz w:val="24"/>
          <w:szCs w:val="24"/>
        </w:rPr>
        <w:t xml:space="preserve"> “So if you've got a nagging, you've always got a sort of nagging uncertainty that they would ask you for help when they are unsure, then it's difficult to let go of the reins”.</w:t>
      </w:r>
      <w:r w:rsidRPr="006F3B00">
        <w:rPr>
          <w:rFonts w:ascii="Times New Roman" w:hAnsi="Times New Roman" w:cs="Times New Roman"/>
          <w:sz w:val="24"/>
          <w:szCs w:val="24"/>
        </w:rPr>
        <w:t xml:space="preserve"> It appears that the Delphi panel were rather equivocal with regard to whether this was important when judging trainee diagnostic competence. </w:t>
      </w:r>
      <w:r w:rsidR="00533A9E">
        <w:rPr>
          <w:rFonts w:ascii="Times New Roman" w:hAnsi="Times New Roman" w:cs="Times New Roman"/>
          <w:sz w:val="24"/>
          <w:szCs w:val="24"/>
        </w:rPr>
        <w:t xml:space="preserve">It is possible that their experience (s) made them unconsciously able to measure competence and they didn’t recognize this ability or it being important. </w:t>
      </w:r>
      <w:r w:rsidRPr="006F3B00">
        <w:rPr>
          <w:rFonts w:ascii="Times New Roman" w:hAnsi="Times New Roman" w:cs="Times New Roman"/>
          <w:sz w:val="24"/>
          <w:szCs w:val="24"/>
        </w:rPr>
        <w:t>In contrast to item 23, item 24 had a mean score of 9.2 which related to trainee diagnostic competence being “related to bringing all the evidence together and triangulating findings from exam</w:t>
      </w:r>
      <w:r w:rsidR="00FD4928">
        <w:rPr>
          <w:rFonts w:ascii="Times New Roman" w:hAnsi="Times New Roman" w:cs="Times New Roman"/>
          <w:sz w:val="24"/>
          <w:szCs w:val="24"/>
        </w:rPr>
        <w:t xml:space="preserve">s, workplace-based assessments and </w:t>
      </w:r>
      <w:r w:rsidRPr="006F3B00">
        <w:rPr>
          <w:rFonts w:ascii="Times New Roman" w:hAnsi="Times New Roman" w:cs="Times New Roman"/>
          <w:sz w:val="24"/>
          <w:szCs w:val="24"/>
        </w:rPr>
        <w:t xml:space="preserve">day-to-day work.” It therefore appears that assimilating the evidence is more important than “feelings” even though “feelings” do sometimes exist. In addition, given that </w:t>
      </w:r>
      <w:r w:rsidR="008E36A5">
        <w:rPr>
          <w:rFonts w:ascii="Times New Roman" w:hAnsi="Times New Roman" w:cs="Times New Roman"/>
          <w:sz w:val="24"/>
          <w:szCs w:val="24"/>
        </w:rPr>
        <w:t>many</w:t>
      </w:r>
      <w:r w:rsidR="00140AD5">
        <w:rPr>
          <w:rFonts w:ascii="Times New Roman" w:hAnsi="Times New Roman" w:cs="Times New Roman"/>
          <w:sz w:val="24"/>
          <w:szCs w:val="24"/>
        </w:rPr>
        <w:t xml:space="preserve"> of the Delphi </w:t>
      </w:r>
      <w:r w:rsidR="00140AD5">
        <w:rPr>
          <w:rFonts w:ascii="Times New Roman" w:hAnsi="Times New Roman" w:cs="Times New Roman"/>
          <w:sz w:val="24"/>
          <w:szCs w:val="24"/>
        </w:rPr>
        <w:lastRenderedPageBreak/>
        <w:t>panel</w:t>
      </w:r>
      <w:r w:rsidRPr="006F3B00">
        <w:rPr>
          <w:rFonts w:ascii="Times New Roman" w:hAnsi="Times New Roman" w:cs="Times New Roman"/>
          <w:sz w:val="24"/>
          <w:szCs w:val="24"/>
        </w:rPr>
        <w:t xml:space="preserve">ists were TPDs it is understandable that they rated item 24 highly, as it is the exact process they have to follow at the annual ARCP. However, it could also be argued that although “feelings” do not directly dictate decisions on competency, they might indirectly influence what evidence is collected by trainers as a means to justify decisions </w:t>
      </w:r>
      <w:r w:rsidR="00FD4928">
        <w:rPr>
          <w:rFonts w:ascii="Times New Roman" w:hAnsi="Times New Roman" w:cs="Times New Roman"/>
          <w:sz w:val="24"/>
          <w:szCs w:val="24"/>
        </w:rPr>
        <w:t>regarding competency.</w:t>
      </w:r>
    </w:p>
    <w:p w14:paraId="22041B16" w14:textId="2FF2EC74" w:rsidR="00E93FBA" w:rsidRDefault="00E93FBA"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It is worth noting that items 2, </w:t>
      </w:r>
      <w:r w:rsidR="001A4133">
        <w:rPr>
          <w:rFonts w:ascii="Times New Roman" w:hAnsi="Times New Roman" w:cs="Times New Roman"/>
          <w:sz w:val="24"/>
          <w:szCs w:val="24"/>
        </w:rPr>
        <w:t xml:space="preserve">4 and 23 (discussed above) </w:t>
      </w:r>
      <w:r>
        <w:rPr>
          <w:rFonts w:ascii="Times New Roman" w:hAnsi="Times New Roman" w:cs="Times New Roman"/>
          <w:sz w:val="24"/>
          <w:szCs w:val="24"/>
        </w:rPr>
        <w:t>received similarly</w:t>
      </w:r>
      <w:r w:rsidR="0078140B">
        <w:rPr>
          <w:rFonts w:ascii="Times New Roman" w:hAnsi="Times New Roman" w:cs="Times New Roman"/>
          <w:sz w:val="24"/>
          <w:szCs w:val="24"/>
        </w:rPr>
        <w:t xml:space="preserve"> l</w:t>
      </w:r>
      <w:r w:rsidR="001A1B84">
        <w:rPr>
          <w:rFonts w:ascii="Times New Roman" w:hAnsi="Times New Roman" w:cs="Times New Roman"/>
          <w:sz w:val="24"/>
          <w:szCs w:val="24"/>
        </w:rPr>
        <w:t>ow scores in round 1 (Table 5.13</w:t>
      </w:r>
      <w:r>
        <w:rPr>
          <w:rFonts w:ascii="Times New Roman" w:hAnsi="Times New Roman" w:cs="Times New Roman"/>
          <w:sz w:val="24"/>
          <w:szCs w:val="24"/>
        </w:rPr>
        <w:t>). However, in round 1, item 9 “The diagnosis is correct” appea</w:t>
      </w:r>
      <w:r w:rsidR="0078140B">
        <w:rPr>
          <w:rFonts w:ascii="Times New Roman" w:hAnsi="Times New Roman" w:cs="Times New Roman"/>
          <w:sz w:val="24"/>
          <w:szCs w:val="24"/>
        </w:rPr>
        <w:t>red in</w:t>
      </w:r>
      <w:r w:rsidR="001A1B84">
        <w:rPr>
          <w:rFonts w:ascii="Times New Roman" w:hAnsi="Times New Roman" w:cs="Times New Roman"/>
          <w:sz w:val="24"/>
          <w:szCs w:val="24"/>
        </w:rPr>
        <w:t xml:space="preserve"> Table 5.13</w:t>
      </w:r>
      <w:r>
        <w:rPr>
          <w:rFonts w:ascii="Times New Roman" w:hAnsi="Times New Roman" w:cs="Times New Roman"/>
          <w:sz w:val="24"/>
          <w:szCs w:val="24"/>
        </w:rPr>
        <w:t xml:space="preserve"> as it had the third lowest mean scor</w:t>
      </w:r>
      <w:r w:rsidR="008E36A5">
        <w:rPr>
          <w:rFonts w:ascii="Times New Roman" w:hAnsi="Times New Roman" w:cs="Times New Roman"/>
          <w:sz w:val="24"/>
          <w:szCs w:val="24"/>
        </w:rPr>
        <w:t>e of 7.1. In</w:t>
      </w:r>
      <w:r>
        <w:rPr>
          <w:rFonts w:ascii="Times New Roman" w:hAnsi="Times New Roman" w:cs="Times New Roman"/>
          <w:sz w:val="24"/>
          <w:szCs w:val="24"/>
        </w:rPr>
        <w:t xml:space="preserve"> round 2, this rose to 7.83 and therefore no longer remained in the bottom three by mean score. This is likely due to an amendment made to item 9 based on participant feedback, whereby item 9 was changed to “The diagnosis is correct commensurate with the stage of training”. This shows that the expectations change during training and is in accordance with the findings from the qualitative interviews. </w:t>
      </w:r>
    </w:p>
    <w:p w14:paraId="128FF1D6" w14:textId="70EE2C31" w:rsidR="00863DF5" w:rsidRDefault="0092730B"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Focusing</w:t>
      </w:r>
      <w:r w:rsidR="00863DF5" w:rsidRPr="006F3B00">
        <w:rPr>
          <w:rFonts w:ascii="Times New Roman" w:hAnsi="Times New Roman" w:cs="Times New Roman"/>
          <w:sz w:val="24"/>
          <w:szCs w:val="24"/>
        </w:rPr>
        <w:t xml:space="preserve"> on those items which had the highest mean scores and rank after two rounds, these are show</w:t>
      </w:r>
      <w:r w:rsidR="001A4133">
        <w:rPr>
          <w:rFonts w:ascii="Times New Roman" w:hAnsi="Times New Roman" w:cs="Times New Roman"/>
          <w:sz w:val="24"/>
          <w:szCs w:val="24"/>
        </w:rPr>
        <w:t>n in T</w:t>
      </w:r>
      <w:r w:rsidR="001A1B84">
        <w:rPr>
          <w:rFonts w:ascii="Times New Roman" w:hAnsi="Times New Roman" w:cs="Times New Roman"/>
          <w:sz w:val="24"/>
          <w:szCs w:val="24"/>
        </w:rPr>
        <w:t>able 5.14</w:t>
      </w:r>
      <w:r w:rsidR="00863DF5" w:rsidRPr="006F3B00">
        <w:rPr>
          <w:rFonts w:ascii="Times New Roman" w:hAnsi="Times New Roman" w:cs="Times New Roman"/>
          <w:sz w:val="24"/>
          <w:szCs w:val="24"/>
        </w:rPr>
        <w:t xml:space="preserve"> and again, below</w:t>
      </w:r>
      <w:r w:rsidR="00001E90">
        <w:rPr>
          <w:rFonts w:ascii="Times New Roman" w:hAnsi="Times New Roman" w:cs="Times New Roman"/>
          <w:sz w:val="24"/>
          <w:szCs w:val="24"/>
        </w:rPr>
        <w:t>.</w:t>
      </w:r>
    </w:p>
    <w:p w14:paraId="7D26A049" w14:textId="3CD4C379" w:rsidR="00001E90" w:rsidRPr="00FD5ADC" w:rsidRDefault="00001E90" w:rsidP="00863DF5">
      <w:pPr>
        <w:spacing w:line="480" w:lineRule="auto"/>
        <w:rPr>
          <w:rFonts w:ascii="Times New Roman" w:hAnsi="Times New Roman" w:cs="Times New Roman"/>
          <w:sz w:val="24"/>
          <w:szCs w:val="24"/>
          <w:u w:val="single"/>
        </w:rPr>
      </w:pPr>
      <w:r w:rsidRPr="00FD5ADC">
        <w:rPr>
          <w:rFonts w:ascii="Times New Roman" w:hAnsi="Times New Roman" w:cs="Times New Roman"/>
          <w:sz w:val="24"/>
          <w:szCs w:val="24"/>
          <w:u w:val="single"/>
        </w:rPr>
        <w:t xml:space="preserve">‘Forming a Diagnosis’ </w:t>
      </w:r>
    </w:p>
    <w:p w14:paraId="373D663A" w14:textId="1FBD8924"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13. Trainee follows sound pathological principles to reach a diagnosis e.g. the trainee understands how they reached the diagnosis, has a consistent, accurate way of examining slides and knows the steps involved when making a diagnosis. The diagnosis has not stemmed from guessing. (Ranked as second most important item)</w:t>
      </w:r>
    </w:p>
    <w:p w14:paraId="4542E44C" w14:textId="13FE93F4" w:rsidR="00001E90" w:rsidRPr="00FD5ADC" w:rsidRDefault="00001E90" w:rsidP="00863DF5">
      <w:pPr>
        <w:spacing w:line="480" w:lineRule="auto"/>
        <w:rPr>
          <w:rFonts w:ascii="Times New Roman" w:hAnsi="Times New Roman" w:cs="Times New Roman"/>
          <w:sz w:val="24"/>
          <w:szCs w:val="24"/>
          <w:u w:val="single"/>
        </w:rPr>
      </w:pPr>
      <w:r w:rsidRPr="00FD5ADC">
        <w:rPr>
          <w:rFonts w:ascii="Times New Roman" w:hAnsi="Times New Roman" w:cs="Times New Roman"/>
          <w:sz w:val="24"/>
          <w:szCs w:val="24"/>
          <w:u w:val="single"/>
        </w:rPr>
        <w:t>‘Reflection’</w:t>
      </w:r>
    </w:p>
    <w:p w14:paraId="49877D7C"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16. Trainee is aware of their own limitations. (Received joint second highest mean score of 9.3 and highest ranked item)</w:t>
      </w:r>
    </w:p>
    <w:p w14:paraId="6DE5E3A6" w14:textId="75E70216"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18. Trainee shows evidence of improvement following reflection. (Received joint second highest mean score of 9.3)</w:t>
      </w:r>
    </w:p>
    <w:p w14:paraId="3A47ED18" w14:textId="0FBA9CD0" w:rsidR="00001E90" w:rsidRPr="00FD5ADC" w:rsidRDefault="00001E90" w:rsidP="00863DF5">
      <w:pPr>
        <w:spacing w:line="480" w:lineRule="auto"/>
        <w:rPr>
          <w:rFonts w:ascii="Times New Roman" w:hAnsi="Times New Roman" w:cs="Times New Roman"/>
          <w:sz w:val="24"/>
          <w:szCs w:val="24"/>
          <w:u w:val="single"/>
        </w:rPr>
      </w:pPr>
      <w:r w:rsidRPr="00FD5ADC">
        <w:rPr>
          <w:rFonts w:ascii="Times New Roman" w:hAnsi="Times New Roman" w:cs="Times New Roman"/>
          <w:sz w:val="24"/>
          <w:szCs w:val="24"/>
          <w:u w:val="single"/>
        </w:rPr>
        <w:lastRenderedPageBreak/>
        <w:t>‘Trust’</w:t>
      </w:r>
    </w:p>
    <w:p w14:paraId="275B3CD6" w14:textId="192EA113"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22. Trainee asks for help/second opinion when needed. (Ranked as third most important item)</w:t>
      </w:r>
    </w:p>
    <w:p w14:paraId="2CE6210F" w14:textId="039FA241" w:rsidR="00001E90" w:rsidRPr="00FD5ADC" w:rsidRDefault="00001E90" w:rsidP="00863DF5">
      <w:pPr>
        <w:spacing w:line="480" w:lineRule="auto"/>
        <w:rPr>
          <w:rFonts w:ascii="Times New Roman" w:hAnsi="Times New Roman" w:cs="Times New Roman"/>
          <w:sz w:val="24"/>
          <w:szCs w:val="24"/>
          <w:u w:val="single"/>
        </w:rPr>
      </w:pPr>
      <w:r w:rsidRPr="00FD5ADC">
        <w:rPr>
          <w:rFonts w:ascii="Times New Roman" w:hAnsi="Times New Roman" w:cs="Times New Roman"/>
          <w:sz w:val="24"/>
          <w:szCs w:val="24"/>
          <w:u w:val="single"/>
        </w:rPr>
        <w:t>‘The patients report’</w:t>
      </w:r>
    </w:p>
    <w:p w14:paraId="72399603"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26. Report ensures the clinician/surgeon receives the appropriate message e.g. when diagnoses are not clear-cut and a differential diagnosis or other message needs to be conveyed. This might include a discussion about the limitations of the biopsy or if further tests or information are needed. (Received highest mean score of 9.4)</w:t>
      </w:r>
    </w:p>
    <w:p w14:paraId="34026A6A" w14:textId="3CCE79B2" w:rsidR="00533A9E"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One can see</w:t>
      </w:r>
      <w:r w:rsidR="001A1B84">
        <w:rPr>
          <w:rFonts w:ascii="Times New Roman" w:hAnsi="Times New Roman" w:cs="Times New Roman"/>
          <w:sz w:val="24"/>
          <w:szCs w:val="24"/>
        </w:rPr>
        <w:t xml:space="preserve"> from Table 5.14</w:t>
      </w:r>
      <w:r w:rsidRPr="006F3B00">
        <w:rPr>
          <w:rFonts w:ascii="Times New Roman" w:hAnsi="Times New Roman" w:cs="Times New Roman"/>
          <w:sz w:val="24"/>
          <w:szCs w:val="24"/>
        </w:rPr>
        <w:t xml:space="preserve"> that only item 16 received both one of the highest mean scores and ranks. Items 26, 18, 13 and 22 only received a top 3 highest mean score or top 3 rank, but did not appear at the top of both lists </w:t>
      </w:r>
      <w:r w:rsidR="00836D5B">
        <w:rPr>
          <w:rFonts w:ascii="Times New Roman" w:hAnsi="Times New Roman" w:cs="Times New Roman"/>
          <w:sz w:val="24"/>
          <w:szCs w:val="24"/>
        </w:rPr>
        <w:t>un</w:t>
      </w:r>
      <w:r w:rsidRPr="006F3B00">
        <w:rPr>
          <w:rFonts w:ascii="Times New Roman" w:hAnsi="Times New Roman" w:cs="Times New Roman"/>
          <w:sz w:val="24"/>
          <w:szCs w:val="24"/>
        </w:rPr>
        <w:t xml:space="preserve">like item 16. However, it is not surprising that several items appear to </w:t>
      </w:r>
      <w:r w:rsidR="00533A9E">
        <w:rPr>
          <w:rFonts w:ascii="Times New Roman" w:hAnsi="Times New Roman" w:cs="Times New Roman"/>
          <w:sz w:val="24"/>
          <w:szCs w:val="24"/>
        </w:rPr>
        <w:t>be clustered at the top for most important</w:t>
      </w:r>
      <w:r w:rsidRPr="006F3B00">
        <w:rPr>
          <w:rFonts w:ascii="Times New Roman" w:hAnsi="Times New Roman" w:cs="Times New Roman"/>
          <w:sz w:val="24"/>
          <w:szCs w:val="24"/>
        </w:rPr>
        <w:t xml:space="preserve">, as nine items all had mean scores of 9 or above so were considered “definitely important”. In reality, this makes no significant difference to how the results are interpreted but suggests that there are numerous </w:t>
      </w:r>
      <w:r w:rsidRPr="00533A9E">
        <w:rPr>
          <w:rFonts w:ascii="Times New Roman" w:hAnsi="Times New Roman" w:cs="Times New Roman"/>
          <w:sz w:val="24"/>
          <w:szCs w:val="24"/>
        </w:rPr>
        <w:t xml:space="preserve">items highly valued by the participants which helps to triangulate the qualitative interview data. </w:t>
      </w:r>
      <w:r w:rsidR="00533A9E" w:rsidRPr="00533A9E">
        <w:rPr>
          <w:rFonts w:ascii="Times New Roman" w:hAnsi="Times New Roman" w:cs="Times New Roman"/>
          <w:sz w:val="24"/>
          <w:szCs w:val="24"/>
        </w:rPr>
        <w:t>It also demonstrates the complexity of assessing diagnostic competence.</w:t>
      </w:r>
    </w:p>
    <w:p w14:paraId="07A06300" w14:textId="7C1CC37D" w:rsidR="00863DF5" w:rsidRDefault="00FD5ADC" w:rsidP="00863DF5">
      <w:pPr>
        <w:spacing w:line="480" w:lineRule="auto"/>
        <w:rPr>
          <w:rFonts w:ascii="Times New Roman" w:hAnsi="Times New Roman" w:cs="Times New Roman"/>
          <w:sz w:val="24"/>
          <w:szCs w:val="24"/>
        </w:rPr>
      </w:pPr>
      <w:r>
        <w:rPr>
          <w:rFonts w:ascii="Times New Roman" w:hAnsi="Times New Roman" w:cs="Times New Roman"/>
          <w:sz w:val="24"/>
          <w:szCs w:val="24"/>
        </w:rPr>
        <w:t>Two of these items, 16, 18, relate to the theme of “R</w:t>
      </w:r>
      <w:r w:rsidR="00863DF5" w:rsidRPr="006F3B00">
        <w:rPr>
          <w:rFonts w:ascii="Times New Roman" w:hAnsi="Times New Roman" w:cs="Times New Roman"/>
          <w:sz w:val="24"/>
          <w:szCs w:val="24"/>
        </w:rPr>
        <w:t>eflection</w:t>
      </w:r>
      <w:r>
        <w:rPr>
          <w:rFonts w:ascii="Times New Roman" w:hAnsi="Times New Roman" w:cs="Times New Roman"/>
          <w:sz w:val="24"/>
          <w:szCs w:val="24"/>
        </w:rPr>
        <w:t>”</w:t>
      </w:r>
      <w:r w:rsidR="00863DF5" w:rsidRPr="006F3B00">
        <w:rPr>
          <w:rFonts w:ascii="Times New Roman" w:hAnsi="Times New Roman" w:cs="Times New Roman"/>
          <w:sz w:val="24"/>
          <w:szCs w:val="24"/>
        </w:rPr>
        <w:t xml:space="preserve"> and</w:t>
      </w:r>
      <w:r>
        <w:rPr>
          <w:rFonts w:ascii="Times New Roman" w:hAnsi="Times New Roman" w:cs="Times New Roman"/>
          <w:sz w:val="24"/>
          <w:szCs w:val="24"/>
        </w:rPr>
        <w:t xml:space="preserve"> item 22 relates to the theme of “Trust”. </w:t>
      </w:r>
      <w:r w:rsidR="00863DF5" w:rsidRPr="006F3B00">
        <w:rPr>
          <w:rFonts w:ascii="Times New Roman" w:hAnsi="Times New Roman" w:cs="Times New Roman"/>
          <w:sz w:val="24"/>
          <w:szCs w:val="24"/>
        </w:rPr>
        <w:t xml:space="preserve"> </w:t>
      </w:r>
      <w:r w:rsidR="00742E51">
        <w:rPr>
          <w:rFonts w:ascii="Times New Roman" w:hAnsi="Times New Roman" w:cs="Times New Roman"/>
          <w:sz w:val="24"/>
          <w:szCs w:val="24"/>
        </w:rPr>
        <w:t xml:space="preserve">However, </w:t>
      </w:r>
      <w:r w:rsidR="00403E2A">
        <w:rPr>
          <w:rFonts w:ascii="Times New Roman" w:hAnsi="Times New Roman" w:cs="Times New Roman"/>
          <w:sz w:val="24"/>
          <w:szCs w:val="24"/>
        </w:rPr>
        <w:t>it could be argued that item</w:t>
      </w:r>
      <w:r w:rsidR="00742E51">
        <w:rPr>
          <w:rFonts w:ascii="Times New Roman" w:hAnsi="Times New Roman" w:cs="Times New Roman"/>
          <w:sz w:val="24"/>
          <w:szCs w:val="24"/>
        </w:rPr>
        <w:t xml:space="preserve"> 22 (</w:t>
      </w:r>
      <w:r w:rsidR="00742E51" w:rsidRPr="006F3B00">
        <w:rPr>
          <w:rFonts w:ascii="Times New Roman" w:hAnsi="Times New Roman" w:cs="Times New Roman"/>
          <w:sz w:val="24"/>
          <w:szCs w:val="24"/>
        </w:rPr>
        <w:t xml:space="preserve">Trainee asks for </w:t>
      </w:r>
      <w:r w:rsidR="00742E51">
        <w:rPr>
          <w:rFonts w:ascii="Times New Roman" w:hAnsi="Times New Roman" w:cs="Times New Roman"/>
          <w:sz w:val="24"/>
          <w:szCs w:val="24"/>
        </w:rPr>
        <w:t xml:space="preserve">help/second opinion when needed) </w:t>
      </w:r>
      <w:r w:rsidR="00403E2A">
        <w:rPr>
          <w:rFonts w:ascii="Times New Roman" w:hAnsi="Times New Roman" w:cs="Times New Roman"/>
          <w:sz w:val="24"/>
          <w:szCs w:val="24"/>
        </w:rPr>
        <w:t>is a function of item</w:t>
      </w:r>
      <w:r w:rsidR="00742E51">
        <w:rPr>
          <w:rFonts w:ascii="Times New Roman" w:hAnsi="Times New Roman" w:cs="Times New Roman"/>
          <w:sz w:val="24"/>
          <w:szCs w:val="24"/>
        </w:rPr>
        <w:t xml:space="preserve"> 16 (</w:t>
      </w:r>
      <w:r w:rsidR="00742E51" w:rsidRPr="006F3B00">
        <w:rPr>
          <w:rFonts w:ascii="Times New Roman" w:hAnsi="Times New Roman" w:cs="Times New Roman"/>
          <w:sz w:val="24"/>
          <w:szCs w:val="24"/>
        </w:rPr>
        <w:t xml:space="preserve">Trainee is </w:t>
      </w:r>
      <w:r w:rsidR="00742E51">
        <w:rPr>
          <w:rFonts w:ascii="Times New Roman" w:hAnsi="Times New Roman" w:cs="Times New Roman"/>
          <w:sz w:val="24"/>
          <w:szCs w:val="24"/>
        </w:rPr>
        <w:t>aware o</w:t>
      </w:r>
      <w:r w:rsidR="00403E2A">
        <w:rPr>
          <w:rFonts w:ascii="Times New Roman" w:hAnsi="Times New Roman" w:cs="Times New Roman"/>
          <w:sz w:val="24"/>
          <w:szCs w:val="24"/>
        </w:rPr>
        <w:t xml:space="preserve">f their own limitations) as it is this insight which should ensure trainee’s ask for help when they need it. </w:t>
      </w:r>
      <w:r w:rsidR="00863DF5" w:rsidRPr="006F3B00">
        <w:rPr>
          <w:rFonts w:ascii="Times New Roman" w:hAnsi="Times New Roman" w:cs="Times New Roman"/>
          <w:sz w:val="24"/>
          <w:szCs w:val="24"/>
        </w:rPr>
        <w:t>Consultants appear to highly value trainees who know their own limitations</w:t>
      </w:r>
      <w:r w:rsidR="00C775E2">
        <w:rPr>
          <w:rFonts w:ascii="Times New Roman" w:hAnsi="Times New Roman" w:cs="Times New Roman"/>
          <w:sz w:val="24"/>
          <w:szCs w:val="24"/>
        </w:rPr>
        <w:t>,</w:t>
      </w:r>
      <w:r w:rsidR="00863DF5" w:rsidRPr="006F3B00">
        <w:rPr>
          <w:rFonts w:ascii="Times New Roman" w:hAnsi="Times New Roman" w:cs="Times New Roman"/>
          <w:sz w:val="24"/>
          <w:szCs w:val="24"/>
        </w:rPr>
        <w:t xml:space="preserve"> do not act beyond their competency</w:t>
      </w:r>
      <w:r w:rsidR="00C775E2">
        <w:rPr>
          <w:rFonts w:ascii="Times New Roman" w:hAnsi="Times New Roman" w:cs="Times New Roman"/>
          <w:sz w:val="24"/>
          <w:szCs w:val="24"/>
        </w:rPr>
        <w:t xml:space="preserve"> and know when to ask for help. </w:t>
      </w:r>
      <w:r w:rsidR="00863DF5" w:rsidRPr="006F3B00">
        <w:rPr>
          <w:rFonts w:ascii="Times New Roman" w:hAnsi="Times New Roman" w:cs="Times New Roman"/>
          <w:sz w:val="24"/>
          <w:szCs w:val="24"/>
        </w:rPr>
        <w:t xml:space="preserve">As mentioned previously, </w:t>
      </w:r>
      <w:r w:rsidR="00001E90">
        <w:rPr>
          <w:rFonts w:ascii="Times New Roman" w:hAnsi="Times New Roman" w:cs="Times New Roman"/>
          <w:sz w:val="24"/>
          <w:szCs w:val="24"/>
        </w:rPr>
        <w:t>‘</w:t>
      </w:r>
      <w:r w:rsidR="00863DF5" w:rsidRPr="006F3B00">
        <w:rPr>
          <w:rFonts w:ascii="Times New Roman" w:hAnsi="Times New Roman" w:cs="Times New Roman"/>
          <w:sz w:val="24"/>
          <w:szCs w:val="24"/>
        </w:rPr>
        <w:t>following sound pathological principles</w:t>
      </w:r>
      <w:r w:rsidR="00001E90">
        <w:rPr>
          <w:rFonts w:ascii="Times New Roman" w:hAnsi="Times New Roman" w:cs="Times New Roman"/>
          <w:sz w:val="24"/>
          <w:szCs w:val="24"/>
        </w:rPr>
        <w:t>’</w:t>
      </w:r>
      <w:r w:rsidR="00863DF5" w:rsidRPr="006F3B00">
        <w:rPr>
          <w:rFonts w:ascii="Times New Roman" w:hAnsi="Times New Roman" w:cs="Times New Roman"/>
          <w:sz w:val="24"/>
          <w:szCs w:val="24"/>
        </w:rPr>
        <w:t xml:space="preserve"> was also ranked highly (item 13), reflecting that understanding of cases and the underpinning elements that support a diagno</w:t>
      </w:r>
      <w:r w:rsidR="00533A9E">
        <w:rPr>
          <w:rFonts w:ascii="Times New Roman" w:hAnsi="Times New Roman" w:cs="Times New Roman"/>
          <w:sz w:val="24"/>
          <w:szCs w:val="24"/>
        </w:rPr>
        <w:t xml:space="preserve">sis are </w:t>
      </w:r>
      <w:r w:rsidR="00C775E2">
        <w:rPr>
          <w:rFonts w:ascii="Times New Roman" w:hAnsi="Times New Roman" w:cs="Times New Roman"/>
          <w:sz w:val="24"/>
          <w:szCs w:val="24"/>
        </w:rPr>
        <w:lastRenderedPageBreak/>
        <w:t xml:space="preserve">highly valued. Simply getting a diagnosis correct on its own without the understanding was not valued highly by consultants as evidenced by item 9 </w:t>
      </w:r>
      <w:r w:rsidR="003D6EBC" w:rsidRPr="003D6EBC">
        <w:rPr>
          <w:rFonts w:ascii="Times New Roman" w:hAnsi="Times New Roman" w:cs="Times New Roman"/>
          <w:sz w:val="24"/>
          <w:szCs w:val="24"/>
        </w:rPr>
        <w:t xml:space="preserve"> </w:t>
      </w:r>
      <w:r w:rsidR="00403E2A">
        <w:rPr>
          <w:rFonts w:ascii="Times New Roman" w:hAnsi="Times New Roman" w:cs="Times New Roman"/>
          <w:sz w:val="24"/>
          <w:szCs w:val="24"/>
        </w:rPr>
        <w:t>(“T</w:t>
      </w:r>
      <w:r w:rsidR="003D6EBC" w:rsidRPr="003D6EBC">
        <w:rPr>
          <w:rFonts w:ascii="Times New Roman" w:hAnsi="Times New Roman" w:cs="Times New Roman"/>
          <w:sz w:val="24"/>
          <w:szCs w:val="24"/>
        </w:rPr>
        <w:t>he diagnosis is correct commensurate with the stage of training”</w:t>
      </w:r>
      <w:r w:rsidR="00403E2A">
        <w:rPr>
          <w:rFonts w:ascii="Times New Roman" w:hAnsi="Times New Roman" w:cs="Times New Roman"/>
          <w:sz w:val="24"/>
          <w:szCs w:val="24"/>
        </w:rPr>
        <w:t>)</w:t>
      </w:r>
      <w:r w:rsidR="003D6EBC" w:rsidRPr="003D6EBC">
        <w:rPr>
          <w:rFonts w:ascii="Times New Roman" w:hAnsi="Times New Roman" w:cs="Times New Roman"/>
          <w:sz w:val="24"/>
          <w:szCs w:val="24"/>
        </w:rPr>
        <w:t xml:space="preserve"> </w:t>
      </w:r>
      <w:r w:rsidR="003D6EBC">
        <w:rPr>
          <w:rFonts w:ascii="Times New Roman" w:hAnsi="Times New Roman" w:cs="Times New Roman"/>
          <w:sz w:val="24"/>
          <w:szCs w:val="24"/>
        </w:rPr>
        <w:t xml:space="preserve">which failed to </w:t>
      </w:r>
      <w:r w:rsidR="003D6EBC" w:rsidRPr="003D6EBC">
        <w:rPr>
          <w:rFonts w:ascii="Times New Roman" w:hAnsi="Times New Roman" w:cs="Times New Roman"/>
          <w:sz w:val="24"/>
          <w:szCs w:val="24"/>
        </w:rPr>
        <w:t xml:space="preserve">reach “consensus in”. </w:t>
      </w:r>
      <w:r w:rsidR="00C775E2" w:rsidRPr="006F3B00">
        <w:rPr>
          <w:rFonts w:ascii="Times New Roman" w:hAnsi="Times New Roman" w:cs="Times New Roman"/>
          <w:sz w:val="24"/>
          <w:szCs w:val="24"/>
        </w:rPr>
        <w:t>Th</w:t>
      </w:r>
      <w:r w:rsidR="003D6EBC">
        <w:rPr>
          <w:rFonts w:ascii="Times New Roman" w:hAnsi="Times New Roman" w:cs="Times New Roman"/>
          <w:sz w:val="24"/>
          <w:szCs w:val="24"/>
        </w:rPr>
        <w:t xml:space="preserve">ese views </w:t>
      </w:r>
      <w:r w:rsidR="00C775E2" w:rsidRPr="006F3B00">
        <w:rPr>
          <w:rFonts w:ascii="Times New Roman" w:hAnsi="Times New Roman" w:cs="Times New Roman"/>
          <w:sz w:val="24"/>
          <w:szCs w:val="24"/>
        </w:rPr>
        <w:t>also ha</w:t>
      </w:r>
      <w:r w:rsidR="003D6EBC">
        <w:rPr>
          <w:rFonts w:ascii="Times New Roman" w:hAnsi="Times New Roman" w:cs="Times New Roman"/>
          <w:sz w:val="24"/>
          <w:szCs w:val="24"/>
        </w:rPr>
        <w:t>ve</w:t>
      </w:r>
      <w:r w:rsidR="00C775E2" w:rsidRPr="006F3B00">
        <w:rPr>
          <w:rFonts w:ascii="Times New Roman" w:hAnsi="Times New Roman" w:cs="Times New Roman"/>
          <w:sz w:val="24"/>
          <w:szCs w:val="24"/>
        </w:rPr>
        <w:t xml:space="preserve"> links to item 26 which “ensured the clinician/surgeon received the appropriate message” when diagnoses were not clear-cut. Hence, one’s understanding of the case allows one to convey </w:t>
      </w:r>
      <w:r w:rsidR="00C775E2">
        <w:rPr>
          <w:rFonts w:ascii="Times New Roman" w:hAnsi="Times New Roman" w:cs="Times New Roman"/>
          <w:sz w:val="24"/>
          <w:szCs w:val="24"/>
        </w:rPr>
        <w:t>uncertainty</w:t>
      </w:r>
      <w:r w:rsidR="00C775E2" w:rsidRPr="006F3B00">
        <w:rPr>
          <w:rFonts w:ascii="Times New Roman" w:hAnsi="Times New Roman" w:cs="Times New Roman"/>
          <w:sz w:val="24"/>
          <w:szCs w:val="24"/>
        </w:rPr>
        <w:t xml:space="preserve"> in diagnosis. This is also mirrored in the interview data from the previous chapter with comments such as “</w:t>
      </w:r>
      <w:r w:rsidR="00C775E2" w:rsidRPr="006F3B00">
        <w:rPr>
          <w:rFonts w:ascii="Times New Roman" w:hAnsi="Times New Roman" w:cs="Times New Roman"/>
          <w:i/>
          <w:sz w:val="24"/>
          <w:szCs w:val="24"/>
        </w:rPr>
        <w:t>But also having the insight to be able to recognize when I can't make a diagnosis or when there's a grey area and I have to be able to express that ambiguity</w:t>
      </w:r>
      <w:r w:rsidR="00403E2A">
        <w:rPr>
          <w:rFonts w:ascii="Times New Roman" w:hAnsi="Times New Roman" w:cs="Times New Roman"/>
          <w:i/>
          <w:sz w:val="24"/>
          <w:szCs w:val="24"/>
        </w:rPr>
        <w:t>”.</w:t>
      </w:r>
    </w:p>
    <w:p w14:paraId="2F029E6A" w14:textId="4D1FA614" w:rsidR="009668C3" w:rsidRDefault="009668C3"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Items, 16, 18, 26 were consistently either scored or ranked highly for </w:t>
      </w:r>
      <w:r w:rsidR="003D6EBC">
        <w:rPr>
          <w:rFonts w:ascii="Times New Roman" w:hAnsi="Times New Roman" w:cs="Times New Roman"/>
          <w:sz w:val="24"/>
          <w:szCs w:val="24"/>
        </w:rPr>
        <w:t xml:space="preserve">both </w:t>
      </w:r>
      <w:r>
        <w:rPr>
          <w:rFonts w:ascii="Times New Roman" w:hAnsi="Times New Roman" w:cs="Times New Roman"/>
          <w:sz w:val="24"/>
          <w:szCs w:val="24"/>
        </w:rPr>
        <w:t xml:space="preserve">rounds 1 and 2 but </w:t>
      </w:r>
      <w:r w:rsidR="00836D5B">
        <w:rPr>
          <w:rFonts w:ascii="Times New Roman" w:hAnsi="Times New Roman" w:cs="Times New Roman"/>
          <w:sz w:val="24"/>
          <w:szCs w:val="24"/>
        </w:rPr>
        <w:t>others were</w:t>
      </w:r>
      <w:r w:rsidR="00940F75">
        <w:rPr>
          <w:rFonts w:ascii="Times New Roman" w:hAnsi="Times New Roman" w:cs="Times New Roman"/>
          <w:sz w:val="24"/>
          <w:szCs w:val="24"/>
        </w:rPr>
        <w:t xml:space="preserve"> not. For example, item 12. “</w:t>
      </w:r>
      <w:r w:rsidR="00940F75" w:rsidRPr="004B24B7">
        <w:rPr>
          <w:rFonts w:ascii="Times New Roman" w:hAnsi="Times New Roman" w:cs="Times New Roman"/>
          <w:sz w:val="24"/>
          <w:szCs w:val="24"/>
        </w:rPr>
        <w:t>Trainee shows evidence of clinio-pathological correlation</w:t>
      </w:r>
      <w:r w:rsidR="00940F75">
        <w:rPr>
          <w:rFonts w:ascii="Times New Roman" w:hAnsi="Times New Roman" w:cs="Times New Roman"/>
          <w:sz w:val="24"/>
          <w:szCs w:val="24"/>
        </w:rPr>
        <w:t xml:space="preserve">” </w:t>
      </w:r>
      <w:r w:rsidR="00403E2A">
        <w:rPr>
          <w:rFonts w:ascii="Times New Roman" w:hAnsi="Times New Roman" w:cs="Times New Roman"/>
          <w:sz w:val="24"/>
          <w:szCs w:val="24"/>
        </w:rPr>
        <w:t>ranked highly in round 1 but did not rank as highly in round 2. Item 12</w:t>
      </w:r>
      <w:r w:rsidR="00D60436">
        <w:rPr>
          <w:rFonts w:ascii="Times New Roman" w:hAnsi="Times New Roman" w:cs="Times New Roman"/>
          <w:sz w:val="24"/>
          <w:szCs w:val="24"/>
        </w:rPr>
        <w:t xml:space="preserve"> is closely</w:t>
      </w:r>
      <w:r w:rsidR="00403E2A">
        <w:rPr>
          <w:rFonts w:ascii="Times New Roman" w:hAnsi="Times New Roman" w:cs="Times New Roman"/>
          <w:sz w:val="24"/>
          <w:szCs w:val="24"/>
        </w:rPr>
        <w:t xml:space="preserve"> </w:t>
      </w:r>
      <w:r w:rsidR="00D60436">
        <w:rPr>
          <w:rFonts w:ascii="Times New Roman" w:hAnsi="Times New Roman" w:cs="Times New Roman"/>
          <w:sz w:val="24"/>
          <w:szCs w:val="24"/>
        </w:rPr>
        <w:t xml:space="preserve">related </w:t>
      </w:r>
      <w:r w:rsidR="00403E2A">
        <w:rPr>
          <w:rFonts w:ascii="Times New Roman" w:hAnsi="Times New Roman" w:cs="Times New Roman"/>
          <w:sz w:val="24"/>
          <w:szCs w:val="24"/>
        </w:rPr>
        <w:t>to item 13 “following sound pathological principles”</w:t>
      </w:r>
      <w:r w:rsidR="00D60436">
        <w:rPr>
          <w:rFonts w:ascii="Times New Roman" w:hAnsi="Times New Roman" w:cs="Times New Roman"/>
          <w:sz w:val="24"/>
          <w:szCs w:val="24"/>
        </w:rPr>
        <w:t xml:space="preserve"> which actually ranked second highest. Similarly, </w:t>
      </w:r>
      <w:r w:rsidR="00940F75">
        <w:rPr>
          <w:rFonts w:ascii="Times New Roman" w:hAnsi="Times New Roman" w:cs="Times New Roman"/>
          <w:sz w:val="24"/>
          <w:szCs w:val="24"/>
        </w:rPr>
        <w:t>item 8. “</w:t>
      </w:r>
      <w:r w:rsidR="00940F75" w:rsidRPr="004B24B7">
        <w:rPr>
          <w:rFonts w:ascii="Times New Roman" w:hAnsi="Times New Roman" w:cs="Times New Roman"/>
          <w:sz w:val="24"/>
          <w:szCs w:val="24"/>
        </w:rPr>
        <w:t>Trainee is motivated and has a good attitude</w:t>
      </w:r>
      <w:r w:rsidR="00940F75">
        <w:rPr>
          <w:rFonts w:ascii="Times New Roman" w:hAnsi="Times New Roman" w:cs="Times New Roman"/>
          <w:sz w:val="24"/>
          <w:szCs w:val="24"/>
        </w:rPr>
        <w:t xml:space="preserve">” ranked highly in round 1 but did not </w:t>
      </w:r>
      <w:r w:rsidR="00D60436">
        <w:rPr>
          <w:rFonts w:ascii="Times New Roman" w:hAnsi="Times New Roman" w:cs="Times New Roman"/>
          <w:sz w:val="24"/>
          <w:szCs w:val="24"/>
        </w:rPr>
        <w:t>rank as highly in round 2. It is not clear why these differences occurred as the wording of</w:t>
      </w:r>
      <w:r w:rsidR="00140AD5">
        <w:rPr>
          <w:rFonts w:ascii="Times New Roman" w:hAnsi="Times New Roman" w:cs="Times New Roman"/>
          <w:sz w:val="24"/>
          <w:szCs w:val="24"/>
        </w:rPr>
        <w:t xml:space="preserve"> items</w:t>
      </w:r>
      <w:r w:rsidR="00D60436">
        <w:rPr>
          <w:rFonts w:ascii="Times New Roman" w:hAnsi="Times New Roman" w:cs="Times New Roman"/>
          <w:sz w:val="24"/>
          <w:szCs w:val="24"/>
        </w:rPr>
        <w:t xml:space="preserve"> 12 and 8 were</w:t>
      </w:r>
      <w:r w:rsidR="00140AD5">
        <w:rPr>
          <w:rFonts w:ascii="Times New Roman" w:hAnsi="Times New Roman" w:cs="Times New Roman"/>
          <w:sz w:val="24"/>
          <w:szCs w:val="24"/>
        </w:rPr>
        <w:t xml:space="preserve"> unchanged between rounds. </w:t>
      </w:r>
      <w:r w:rsidR="00F80E59">
        <w:rPr>
          <w:rFonts w:ascii="Times New Roman" w:hAnsi="Times New Roman" w:cs="Times New Roman"/>
          <w:sz w:val="24"/>
          <w:szCs w:val="24"/>
        </w:rPr>
        <w:t>The mean scores for i</w:t>
      </w:r>
      <w:r w:rsidR="00D60436">
        <w:rPr>
          <w:rFonts w:ascii="Times New Roman" w:hAnsi="Times New Roman" w:cs="Times New Roman"/>
          <w:sz w:val="24"/>
          <w:szCs w:val="24"/>
        </w:rPr>
        <w:t>tems 12 and 8</w:t>
      </w:r>
      <w:r w:rsidR="00F80E59">
        <w:rPr>
          <w:rFonts w:ascii="Times New Roman" w:hAnsi="Times New Roman" w:cs="Times New Roman"/>
          <w:sz w:val="24"/>
          <w:szCs w:val="24"/>
        </w:rPr>
        <w:t xml:space="preserve"> dropped slightly (both fell from 9.17 to 9.0) between rounds but as the ranking exercise was independent of mean score, it cannot be used to fu</w:t>
      </w:r>
      <w:r w:rsidR="00836D5B">
        <w:rPr>
          <w:rFonts w:ascii="Times New Roman" w:hAnsi="Times New Roman" w:cs="Times New Roman"/>
          <w:sz w:val="24"/>
          <w:szCs w:val="24"/>
        </w:rPr>
        <w:t>lly explain the difference. It may reflect</w:t>
      </w:r>
      <w:r w:rsidR="00F80E59">
        <w:rPr>
          <w:rFonts w:ascii="Times New Roman" w:hAnsi="Times New Roman" w:cs="Times New Roman"/>
          <w:sz w:val="24"/>
          <w:szCs w:val="24"/>
        </w:rPr>
        <w:t xml:space="preserve"> that opinion will fluctuate between rounds</w:t>
      </w:r>
      <w:r w:rsidR="00666B10">
        <w:rPr>
          <w:rFonts w:ascii="Times New Roman" w:hAnsi="Times New Roman" w:cs="Times New Roman"/>
          <w:sz w:val="24"/>
          <w:szCs w:val="24"/>
        </w:rPr>
        <w:t xml:space="preserve"> but </w:t>
      </w:r>
      <w:r w:rsidR="00F80E59">
        <w:rPr>
          <w:rFonts w:ascii="Times New Roman" w:hAnsi="Times New Roman" w:cs="Times New Roman"/>
          <w:sz w:val="24"/>
          <w:szCs w:val="24"/>
        </w:rPr>
        <w:t xml:space="preserve">these differences (at least </w:t>
      </w:r>
      <w:r w:rsidR="001A4133">
        <w:rPr>
          <w:rFonts w:ascii="Times New Roman" w:hAnsi="Times New Roman" w:cs="Times New Roman"/>
          <w:sz w:val="24"/>
          <w:szCs w:val="24"/>
        </w:rPr>
        <w:t xml:space="preserve">when comparing </w:t>
      </w:r>
      <w:r w:rsidR="00F80E59">
        <w:rPr>
          <w:rFonts w:ascii="Times New Roman" w:hAnsi="Times New Roman" w:cs="Times New Roman"/>
          <w:sz w:val="24"/>
          <w:szCs w:val="24"/>
        </w:rPr>
        <w:t>median</w:t>
      </w:r>
      <w:r w:rsidR="001A4133">
        <w:rPr>
          <w:rFonts w:ascii="Times New Roman" w:hAnsi="Times New Roman" w:cs="Times New Roman"/>
          <w:sz w:val="24"/>
          <w:szCs w:val="24"/>
        </w:rPr>
        <w:t xml:space="preserve"> scores) were not statistically significant.</w:t>
      </w:r>
      <w:r w:rsidR="00836D5B">
        <w:rPr>
          <w:rFonts w:ascii="Times New Roman" w:hAnsi="Times New Roman" w:cs="Times New Roman"/>
          <w:sz w:val="24"/>
          <w:szCs w:val="24"/>
        </w:rPr>
        <w:t xml:space="preserve"> Another possible explanation is that participants were influenced by the opinions of others when they looked at the results of the first round.</w:t>
      </w:r>
    </w:p>
    <w:p w14:paraId="320EB949" w14:textId="38050142" w:rsidR="00666B10" w:rsidRDefault="0011441C" w:rsidP="00666B10">
      <w:pPr>
        <w:spacing w:line="480" w:lineRule="auto"/>
        <w:rPr>
          <w:rFonts w:ascii="Times New Roman" w:hAnsi="Times New Roman" w:cs="Times New Roman"/>
          <w:sz w:val="24"/>
          <w:szCs w:val="24"/>
        </w:rPr>
      </w:pPr>
      <w:r>
        <w:rPr>
          <w:rFonts w:ascii="Times New Roman" w:hAnsi="Times New Roman" w:cs="Times New Roman"/>
          <w:sz w:val="24"/>
          <w:szCs w:val="24"/>
        </w:rPr>
        <w:t>To this end, a</w:t>
      </w:r>
      <w:r w:rsidR="00666B10">
        <w:rPr>
          <w:rFonts w:ascii="Times New Roman" w:hAnsi="Times New Roman" w:cs="Times New Roman"/>
          <w:sz w:val="24"/>
          <w:szCs w:val="24"/>
        </w:rPr>
        <w:t xml:space="preserve">lthough stability testing showed that there was no significant difference in the rating of </w:t>
      </w:r>
      <w:r w:rsidR="003D6EBC">
        <w:rPr>
          <w:rFonts w:ascii="Times New Roman" w:hAnsi="Times New Roman" w:cs="Times New Roman"/>
          <w:sz w:val="24"/>
          <w:szCs w:val="24"/>
        </w:rPr>
        <w:t xml:space="preserve">individual </w:t>
      </w:r>
      <w:r w:rsidR="00666B10">
        <w:rPr>
          <w:rFonts w:ascii="Times New Roman" w:hAnsi="Times New Roman" w:cs="Times New Roman"/>
          <w:sz w:val="24"/>
          <w:szCs w:val="24"/>
        </w:rPr>
        <w:t xml:space="preserve">items between rounds the results show that </w:t>
      </w:r>
      <w:r w:rsidR="007031B8">
        <w:rPr>
          <w:rFonts w:ascii="Times New Roman" w:hAnsi="Times New Roman" w:cs="Times New Roman"/>
          <w:sz w:val="24"/>
          <w:szCs w:val="24"/>
        </w:rPr>
        <w:t>scores for items did change between rounds</w:t>
      </w:r>
      <w:r w:rsidR="00666B10">
        <w:rPr>
          <w:rFonts w:ascii="Times New Roman" w:hAnsi="Times New Roman" w:cs="Times New Roman"/>
          <w:sz w:val="24"/>
          <w:szCs w:val="24"/>
        </w:rPr>
        <w:t xml:space="preserve">. If a measure of stability hadn’t been used, perhaps a round 3 would have been utilized. Whether or not different results would have been obtained is </w:t>
      </w:r>
      <w:r w:rsidR="00666B10">
        <w:rPr>
          <w:rFonts w:ascii="Times New Roman" w:hAnsi="Times New Roman" w:cs="Times New Roman"/>
          <w:sz w:val="24"/>
          <w:szCs w:val="24"/>
        </w:rPr>
        <w:lastRenderedPageBreak/>
        <w:t>impossible to know, but given that the mean scores bet</w:t>
      </w:r>
      <w:r w:rsidR="0078140B">
        <w:rPr>
          <w:rFonts w:ascii="Times New Roman" w:hAnsi="Times New Roman" w:cs="Times New Roman"/>
          <w:sz w:val="24"/>
          <w:szCs w:val="24"/>
        </w:rPr>
        <w:t>ween rounds 1 and 2 (see Table 5.10</w:t>
      </w:r>
      <w:r w:rsidR="00666B10">
        <w:rPr>
          <w:rFonts w:ascii="Times New Roman" w:hAnsi="Times New Roman" w:cs="Times New Roman"/>
          <w:sz w:val="24"/>
          <w:szCs w:val="24"/>
        </w:rPr>
        <w:t>) were so similar, the IQR and SD reduc</w:t>
      </w:r>
      <w:r w:rsidR="0078140B">
        <w:rPr>
          <w:rFonts w:ascii="Times New Roman" w:hAnsi="Times New Roman" w:cs="Times New Roman"/>
          <w:sz w:val="24"/>
          <w:szCs w:val="24"/>
        </w:rPr>
        <w:t>ed for n</w:t>
      </w:r>
      <w:r w:rsidR="001A1B84">
        <w:rPr>
          <w:rFonts w:ascii="Times New Roman" w:hAnsi="Times New Roman" w:cs="Times New Roman"/>
          <w:sz w:val="24"/>
          <w:szCs w:val="24"/>
        </w:rPr>
        <w:t>early all items (Tables 5.10</w:t>
      </w:r>
      <w:r w:rsidR="00666B10">
        <w:rPr>
          <w:rFonts w:ascii="Times New Roman" w:hAnsi="Times New Roman" w:cs="Times New Roman"/>
          <w:sz w:val="24"/>
          <w:szCs w:val="24"/>
        </w:rPr>
        <w:t>) and the amount of written feedback r</w:t>
      </w:r>
      <w:r w:rsidR="00BD11F4">
        <w:rPr>
          <w:rFonts w:ascii="Times New Roman" w:hAnsi="Times New Roman" w:cs="Times New Roman"/>
          <w:sz w:val="24"/>
          <w:szCs w:val="24"/>
        </w:rPr>
        <w:t>educed between rounds, it is probable</w:t>
      </w:r>
      <w:r w:rsidR="00666B10">
        <w:rPr>
          <w:rFonts w:ascii="Times New Roman" w:hAnsi="Times New Roman" w:cs="Times New Roman"/>
          <w:sz w:val="24"/>
          <w:szCs w:val="24"/>
        </w:rPr>
        <w:t xml:space="preserve"> a round 3 would not have changed the results </w:t>
      </w:r>
      <w:r w:rsidR="00116848">
        <w:rPr>
          <w:rFonts w:ascii="Times New Roman" w:hAnsi="Times New Roman" w:cs="Times New Roman"/>
          <w:sz w:val="24"/>
          <w:szCs w:val="24"/>
        </w:rPr>
        <w:t>substantially.</w:t>
      </w:r>
    </w:p>
    <w:p w14:paraId="7D03D28A" w14:textId="552CE3FD" w:rsidR="00666B10" w:rsidRDefault="00666B10" w:rsidP="00863DF5">
      <w:pPr>
        <w:spacing w:line="480" w:lineRule="auto"/>
        <w:rPr>
          <w:rFonts w:ascii="Times New Roman" w:hAnsi="Times New Roman" w:cs="Times New Roman"/>
          <w:sz w:val="24"/>
          <w:szCs w:val="24"/>
        </w:rPr>
      </w:pPr>
      <w:r>
        <w:rPr>
          <w:rFonts w:ascii="Times New Roman" w:hAnsi="Times New Roman" w:cs="Times New Roman"/>
          <w:sz w:val="24"/>
          <w:szCs w:val="24"/>
        </w:rPr>
        <w:t>However, if one examines those items which changed from “no consensus” to “consensus in” in more detail, it is possible to understand the affect the fluctuations did have on the outcomes from the Delphi. For example, after round 2</w:t>
      </w:r>
      <w:r w:rsidR="0011441C">
        <w:rPr>
          <w:rFonts w:ascii="Times New Roman" w:hAnsi="Times New Roman" w:cs="Times New Roman"/>
          <w:sz w:val="24"/>
          <w:szCs w:val="24"/>
        </w:rPr>
        <w:t>,</w:t>
      </w:r>
      <w:r>
        <w:rPr>
          <w:rFonts w:ascii="Times New Roman" w:hAnsi="Times New Roman" w:cs="Times New Roman"/>
          <w:sz w:val="24"/>
          <w:szCs w:val="24"/>
        </w:rPr>
        <w:t xml:space="preserve"> a further five items moved from “no conse</w:t>
      </w:r>
      <w:r w:rsidR="0078140B">
        <w:rPr>
          <w:rFonts w:ascii="Times New Roman" w:hAnsi="Times New Roman" w:cs="Times New Roman"/>
          <w:sz w:val="24"/>
          <w:szCs w:val="24"/>
        </w:rPr>
        <w:t>nsus” to “consensus in” (</w:t>
      </w:r>
      <w:r w:rsidR="001A1B84">
        <w:rPr>
          <w:rFonts w:ascii="Times New Roman" w:hAnsi="Times New Roman" w:cs="Times New Roman"/>
          <w:sz w:val="24"/>
          <w:szCs w:val="24"/>
        </w:rPr>
        <w:t>Table 5.11</w:t>
      </w:r>
      <w:r w:rsidR="0078140B">
        <w:rPr>
          <w:rFonts w:ascii="Times New Roman" w:hAnsi="Times New Roman" w:cs="Times New Roman"/>
          <w:sz w:val="24"/>
          <w:szCs w:val="24"/>
        </w:rPr>
        <w:t>). Examining Table 5.5</w:t>
      </w:r>
      <w:r>
        <w:rPr>
          <w:rFonts w:ascii="Times New Roman" w:hAnsi="Times New Roman" w:cs="Times New Roman"/>
          <w:sz w:val="24"/>
          <w:szCs w:val="24"/>
        </w:rPr>
        <w:t>, it can be seen that in round 1 these items did not reach consensus either because 70% of participants did not score the items 8-10 or because the IQR was &gt;2.  However, after round 2 these items did reach “consensus in” as the participants rated these items more favourably. This suggests participants reflected on their scoring from round 1 and/or other participant’s</w:t>
      </w:r>
      <w:r w:rsidR="00933DD9">
        <w:rPr>
          <w:rFonts w:ascii="Times New Roman" w:hAnsi="Times New Roman" w:cs="Times New Roman"/>
          <w:sz w:val="24"/>
          <w:szCs w:val="24"/>
        </w:rPr>
        <w:t xml:space="preserve"> scores. Indeed, the IQR was either the same or reduced</w:t>
      </w:r>
      <w:r>
        <w:rPr>
          <w:rFonts w:ascii="Times New Roman" w:hAnsi="Times New Roman" w:cs="Times New Roman"/>
          <w:sz w:val="24"/>
          <w:szCs w:val="24"/>
        </w:rPr>
        <w:t xml:space="preserve"> for</w:t>
      </w:r>
      <w:r w:rsidRPr="00933DD9">
        <w:rPr>
          <w:rFonts w:ascii="Times New Roman" w:hAnsi="Times New Roman" w:cs="Times New Roman"/>
          <w:sz w:val="24"/>
          <w:szCs w:val="24"/>
        </w:rPr>
        <w:t xml:space="preserve"> 24 of the 27 items and the SD</w:t>
      </w:r>
      <w:r w:rsidR="00933DD9" w:rsidRPr="00933DD9">
        <w:rPr>
          <w:rFonts w:ascii="Times New Roman" w:hAnsi="Times New Roman" w:cs="Times New Roman"/>
          <w:sz w:val="24"/>
          <w:szCs w:val="24"/>
        </w:rPr>
        <w:t xml:space="preserve"> was either the same or</w:t>
      </w:r>
      <w:r w:rsidRPr="00933DD9">
        <w:rPr>
          <w:rFonts w:ascii="Times New Roman" w:hAnsi="Times New Roman" w:cs="Times New Roman"/>
          <w:sz w:val="24"/>
          <w:szCs w:val="24"/>
        </w:rPr>
        <w:t xml:space="preserve"> reduced for 23 of the 27 items</w:t>
      </w:r>
      <w:r w:rsidR="0078140B" w:rsidRPr="00933DD9">
        <w:rPr>
          <w:rFonts w:ascii="Times New Roman" w:hAnsi="Times New Roman" w:cs="Times New Roman"/>
          <w:sz w:val="24"/>
          <w:szCs w:val="24"/>
        </w:rPr>
        <w:t xml:space="preserve"> </w:t>
      </w:r>
      <w:r w:rsidR="0078140B">
        <w:rPr>
          <w:rFonts w:ascii="Times New Roman" w:hAnsi="Times New Roman" w:cs="Times New Roman"/>
          <w:sz w:val="24"/>
          <w:szCs w:val="24"/>
        </w:rPr>
        <w:t>(Table 5.10</w:t>
      </w:r>
      <w:r w:rsidR="00933DD9">
        <w:rPr>
          <w:rFonts w:ascii="Times New Roman" w:hAnsi="Times New Roman" w:cs="Times New Roman"/>
          <w:sz w:val="24"/>
          <w:szCs w:val="24"/>
        </w:rPr>
        <w:t>)</w:t>
      </w:r>
      <w:r>
        <w:rPr>
          <w:rFonts w:ascii="Times New Roman" w:hAnsi="Times New Roman" w:cs="Times New Roman"/>
          <w:sz w:val="24"/>
          <w:szCs w:val="24"/>
        </w:rPr>
        <w:t>.</w:t>
      </w:r>
      <w:r w:rsidR="0078140B">
        <w:rPr>
          <w:rFonts w:ascii="Times New Roman" w:hAnsi="Times New Roman" w:cs="Times New Roman"/>
          <w:sz w:val="24"/>
          <w:szCs w:val="24"/>
        </w:rPr>
        <w:t xml:space="preserve"> </w:t>
      </w:r>
      <w:r>
        <w:rPr>
          <w:rFonts w:ascii="Times New Roman" w:hAnsi="Times New Roman" w:cs="Times New Roman"/>
          <w:sz w:val="24"/>
          <w:szCs w:val="24"/>
        </w:rPr>
        <w:t>This suggests there was increasing agreement between rounds 1 and 2. Interestingly, of the items which did not show a reduction in IQR and/or SD, all but one (item 15) had reached “consensus in” after round 1, with item 15 also reaching “consensus in” after round 2. Th</w:t>
      </w:r>
      <w:r w:rsidR="00913EF2">
        <w:rPr>
          <w:rFonts w:ascii="Times New Roman" w:hAnsi="Times New Roman" w:cs="Times New Roman"/>
          <w:sz w:val="24"/>
          <w:szCs w:val="24"/>
        </w:rPr>
        <w:t>is is because the fluctuations in IQR</w:t>
      </w:r>
      <w:r>
        <w:rPr>
          <w:rFonts w:ascii="Times New Roman" w:hAnsi="Times New Roman" w:cs="Times New Roman"/>
          <w:sz w:val="24"/>
          <w:szCs w:val="24"/>
        </w:rPr>
        <w:t xml:space="preserve"> were not affecting the definitions that were stipulated for “consensus in” or “consensus out”.  For example, item 15 “</w:t>
      </w:r>
      <w:r w:rsidRPr="00DB4F9F">
        <w:rPr>
          <w:rFonts w:ascii="Times New Roman" w:hAnsi="Times New Roman" w:cs="Times New Roman"/>
          <w:sz w:val="24"/>
          <w:szCs w:val="24"/>
        </w:rPr>
        <w:t>Trainee has appropriate level of up-to-date knowledge e.g. latest papers/datasets</w:t>
      </w:r>
      <w:r>
        <w:rPr>
          <w:rFonts w:ascii="Times New Roman" w:hAnsi="Times New Roman" w:cs="Times New Roman"/>
          <w:sz w:val="24"/>
          <w:szCs w:val="24"/>
        </w:rPr>
        <w:t xml:space="preserve">” did not reach “consensus in” after round 1 because 70% of participants did not score the items 8-10 and not because of the IQR as this was 0.91 (so was less than the stipulated ≤2). In round 2, 70% of participants did score the item 8-10 and even though the IQR rose to 1.25 it was still ≤2 so did not affect the item reaching “consensus in”. The criteria that was agreed to determine consensus was therefore sensitive enough to detect fluctuations in opinion. However, </w:t>
      </w:r>
      <w:r w:rsidR="005B72DD">
        <w:rPr>
          <w:rFonts w:ascii="Times New Roman" w:hAnsi="Times New Roman" w:cs="Times New Roman"/>
          <w:sz w:val="24"/>
          <w:szCs w:val="24"/>
        </w:rPr>
        <w:t xml:space="preserve">it </w:t>
      </w:r>
      <w:r>
        <w:rPr>
          <w:rFonts w:ascii="Times New Roman" w:hAnsi="Times New Roman" w:cs="Times New Roman"/>
          <w:sz w:val="24"/>
          <w:szCs w:val="24"/>
        </w:rPr>
        <w:t xml:space="preserve">could </w:t>
      </w:r>
      <w:r w:rsidR="005B72DD">
        <w:rPr>
          <w:rFonts w:ascii="Times New Roman" w:hAnsi="Times New Roman" w:cs="Times New Roman"/>
          <w:sz w:val="24"/>
          <w:szCs w:val="24"/>
        </w:rPr>
        <w:t xml:space="preserve">be </w:t>
      </w:r>
      <w:r>
        <w:rPr>
          <w:rFonts w:ascii="Times New Roman" w:hAnsi="Times New Roman" w:cs="Times New Roman"/>
          <w:sz w:val="24"/>
          <w:szCs w:val="24"/>
        </w:rPr>
        <w:t>argue</w:t>
      </w:r>
      <w:r w:rsidR="005B72DD">
        <w:rPr>
          <w:rFonts w:ascii="Times New Roman" w:hAnsi="Times New Roman" w:cs="Times New Roman"/>
          <w:sz w:val="24"/>
          <w:szCs w:val="24"/>
        </w:rPr>
        <w:t>d</w:t>
      </w:r>
      <w:r>
        <w:rPr>
          <w:rFonts w:ascii="Times New Roman" w:hAnsi="Times New Roman" w:cs="Times New Roman"/>
          <w:sz w:val="24"/>
          <w:szCs w:val="24"/>
        </w:rPr>
        <w:t xml:space="preserve"> that a different measure of consensus might have </w:t>
      </w:r>
      <w:r>
        <w:rPr>
          <w:rFonts w:ascii="Times New Roman" w:hAnsi="Times New Roman" w:cs="Times New Roman"/>
          <w:sz w:val="24"/>
          <w:szCs w:val="24"/>
        </w:rPr>
        <w:lastRenderedPageBreak/>
        <w:t>given a different list</w:t>
      </w:r>
      <w:r w:rsidR="00913EF2">
        <w:rPr>
          <w:rFonts w:ascii="Times New Roman" w:hAnsi="Times New Roman" w:cs="Times New Roman"/>
          <w:sz w:val="24"/>
          <w:szCs w:val="24"/>
        </w:rPr>
        <w:t xml:space="preserve"> of items reaching consensus. </w:t>
      </w:r>
      <w:r>
        <w:rPr>
          <w:rFonts w:ascii="Times New Roman" w:hAnsi="Times New Roman" w:cs="Times New Roman"/>
          <w:sz w:val="24"/>
          <w:szCs w:val="24"/>
        </w:rPr>
        <w:t xml:space="preserve">Although this may be true, if </w:t>
      </w:r>
      <w:r w:rsidR="005B72DD">
        <w:rPr>
          <w:rFonts w:ascii="Times New Roman" w:hAnsi="Times New Roman" w:cs="Times New Roman"/>
          <w:sz w:val="24"/>
          <w:szCs w:val="24"/>
        </w:rPr>
        <w:t xml:space="preserve">the </w:t>
      </w:r>
      <w:r w:rsidR="00913EF2">
        <w:rPr>
          <w:rFonts w:ascii="Times New Roman" w:hAnsi="Times New Roman" w:cs="Times New Roman"/>
          <w:sz w:val="24"/>
          <w:szCs w:val="24"/>
        </w:rPr>
        <w:t xml:space="preserve">items </w:t>
      </w:r>
      <w:r w:rsidR="005B72DD">
        <w:rPr>
          <w:rFonts w:ascii="Times New Roman" w:hAnsi="Times New Roman" w:cs="Times New Roman"/>
          <w:sz w:val="24"/>
          <w:szCs w:val="24"/>
        </w:rPr>
        <w:t xml:space="preserve">which </w:t>
      </w:r>
      <w:r w:rsidR="00913EF2">
        <w:rPr>
          <w:rFonts w:ascii="Times New Roman" w:hAnsi="Times New Roman" w:cs="Times New Roman"/>
          <w:sz w:val="24"/>
          <w:szCs w:val="24"/>
        </w:rPr>
        <w:t>reached consensus</w:t>
      </w:r>
      <w:r w:rsidR="005B72DD">
        <w:rPr>
          <w:rFonts w:ascii="Times New Roman" w:hAnsi="Times New Roman" w:cs="Times New Roman"/>
          <w:sz w:val="24"/>
          <w:szCs w:val="24"/>
        </w:rPr>
        <w:t xml:space="preserve"> are ignored</w:t>
      </w:r>
      <w:r>
        <w:rPr>
          <w:rFonts w:ascii="Times New Roman" w:hAnsi="Times New Roman" w:cs="Times New Roman"/>
          <w:sz w:val="24"/>
          <w:szCs w:val="24"/>
        </w:rPr>
        <w:t>, it is still possible to appreciate that many items were rated highly by the participants. Indeed, determining the importance of the items was one of the primary objectives of this chapter, whether they reached consensus or not was useful to know but does not necessarily mean that those items that did not reach consensus are not important. It might just reflect that the</w:t>
      </w:r>
      <w:r w:rsidR="00913EF2">
        <w:rPr>
          <w:rFonts w:ascii="Times New Roman" w:hAnsi="Times New Roman" w:cs="Times New Roman"/>
          <w:sz w:val="24"/>
          <w:szCs w:val="24"/>
        </w:rPr>
        <w:t>y are either less important than</w:t>
      </w:r>
      <w:r>
        <w:rPr>
          <w:rFonts w:ascii="Times New Roman" w:hAnsi="Times New Roman" w:cs="Times New Roman"/>
          <w:sz w:val="24"/>
          <w:szCs w:val="24"/>
        </w:rPr>
        <w:t xml:space="preserve"> other items or that the definition for consensus was too strict for these items to reach “consensus in”. For example, </w:t>
      </w:r>
      <w:r w:rsidR="00913EF2">
        <w:rPr>
          <w:rFonts w:ascii="Times New Roman" w:hAnsi="Times New Roman" w:cs="Times New Roman"/>
          <w:sz w:val="24"/>
          <w:szCs w:val="24"/>
        </w:rPr>
        <w:t xml:space="preserve">for </w:t>
      </w:r>
      <w:r>
        <w:rPr>
          <w:rFonts w:ascii="Times New Roman" w:hAnsi="Times New Roman" w:cs="Times New Roman"/>
          <w:sz w:val="24"/>
          <w:szCs w:val="24"/>
        </w:rPr>
        <w:t>all the items which did not reach c</w:t>
      </w:r>
      <w:r w:rsidR="00444FF2">
        <w:rPr>
          <w:rFonts w:ascii="Times New Roman" w:hAnsi="Times New Roman" w:cs="Times New Roman"/>
          <w:sz w:val="24"/>
          <w:szCs w:val="24"/>
        </w:rPr>
        <w:t>onsensus after round 2 (Table 5.8</w:t>
      </w:r>
      <w:r>
        <w:rPr>
          <w:rFonts w:ascii="Times New Roman" w:hAnsi="Times New Roman" w:cs="Times New Roman"/>
          <w:sz w:val="24"/>
          <w:szCs w:val="24"/>
        </w:rPr>
        <w:t xml:space="preserve">) </w:t>
      </w:r>
      <w:r w:rsidR="00913EF2">
        <w:rPr>
          <w:rFonts w:ascii="Times New Roman" w:hAnsi="Times New Roman" w:cs="Times New Roman"/>
          <w:sz w:val="24"/>
          <w:szCs w:val="24"/>
        </w:rPr>
        <w:t xml:space="preserve">this </w:t>
      </w:r>
      <w:r>
        <w:rPr>
          <w:rFonts w:ascii="Times New Roman" w:hAnsi="Times New Roman" w:cs="Times New Roman"/>
          <w:sz w:val="24"/>
          <w:szCs w:val="24"/>
        </w:rPr>
        <w:t xml:space="preserve">was because 70% of participants did not score the items 8-10. If the definition for “consensus in” was made more lenient, such that 70% of participants had to score the item 7-10, then a further two items would have reached “consensus in”. This illustrates that the outcomes from a Delphi must be interpreted in light of the definition of consensus. For example, if, as in this study, </w:t>
      </w:r>
      <w:r w:rsidR="005B72DD">
        <w:rPr>
          <w:rFonts w:ascii="Times New Roman" w:hAnsi="Times New Roman" w:cs="Times New Roman"/>
          <w:sz w:val="24"/>
          <w:szCs w:val="24"/>
        </w:rPr>
        <w:t xml:space="preserve">the Delphi is </w:t>
      </w:r>
      <w:r>
        <w:rPr>
          <w:rFonts w:ascii="Times New Roman" w:hAnsi="Times New Roman" w:cs="Times New Roman"/>
          <w:sz w:val="24"/>
          <w:szCs w:val="24"/>
        </w:rPr>
        <w:t xml:space="preserve">triangulating results from previous research, perhaps the definition need not be too problematic. However, if a high stakes decision is to be based on the Delphi outcomes, </w:t>
      </w:r>
      <w:r w:rsidR="005B72DD">
        <w:rPr>
          <w:rFonts w:ascii="Times New Roman" w:hAnsi="Times New Roman" w:cs="Times New Roman"/>
          <w:sz w:val="24"/>
          <w:szCs w:val="24"/>
        </w:rPr>
        <w:t>it is important</w:t>
      </w:r>
      <w:r>
        <w:rPr>
          <w:rFonts w:ascii="Times New Roman" w:hAnsi="Times New Roman" w:cs="Times New Roman"/>
          <w:sz w:val="24"/>
          <w:szCs w:val="24"/>
        </w:rPr>
        <w:t xml:space="preserve"> to be certain that the definition chosen for consensus is appropriate for that context.</w:t>
      </w:r>
    </w:p>
    <w:p w14:paraId="128410D1" w14:textId="07EE284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Many of the items</w:t>
      </w:r>
      <w:r w:rsidR="005B72DD">
        <w:rPr>
          <w:rFonts w:ascii="Times New Roman" w:hAnsi="Times New Roman" w:cs="Times New Roman"/>
          <w:sz w:val="24"/>
          <w:szCs w:val="24"/>
        </w:rPr>
        <w:t xml:space="preserve"> in this study</w:t>
      </w:r>
      <w:r w:rsidRPr="006F3B00">
        <w:rPr>
          <w:rFonts w:ascii="Times New Roman" w:hAnsi="Times New Roman" w:cs="Times New Roman"/>
          <w:sz w:val="24"/>
          <w:szCs w:val="24"/>
        </w:rPr>
        <w:t xml:space="preserve"> have significant overlap and impact on one another, which is reflected in a Delphi participant commenting that “</w:t>
      </w:r>
      <w:r w:rsidRPr="006F3B00">
        <w:rPr>
          <w:rFonts w:ascii="Times New Roman" w:hAnsi="Times New Roman" w:cs="Times New Roman"/>
          <w:i/>
          <w:sz w:val="24"/>
          <w:szCs w:val="24"/>
        </w:rPr>
        <w:t>Some of these are complexly interrelated and whilst on their own are not important, are functions of other traits”.</w:t>
      </w:r>
      <w:r w:rsidRPr="006F3B00">
        <w:rPr>
          <w:rFonts w:ascii="Times New Roman" w:hAnsi="Times New Roman" w:cs="Times New Roman"/>
          <w:sz w:val="24"/>
          <w:szCs w:val="24"/>
        </w:rPr>
        <w:t xml:space="preserve"> Therefore, scoring and ranking items, in some ways, oversimplifies how complex the judgement task is. It is also reflected in some participants struggling to rank the least important items. For example, one participant stated </w:t>
      </w:r>
      <w:r w:rsidRPr="006F3B00">
        <w:rPr>
          <w:rFonts w:ascii="Times New Roman" w:hAnsi="Times New Roman" w:cs="Times New Roman"/>
          <w:i/>
          <w:sz w:val="24"/>
          <w:szCs w:val="24"/>
        </w:rPr>
        <w:t>“Ranking the 3 least important more difficult than most important”</w:t>
      </w:r>
      <w:r w:rsidRPr="006F3B00">
        <w:rPr>
          <w:rFonts w:ascii="Times New Roman" w:hAnsi="Times New Roman" w:cs="Times New Roman"/>
          <w:sz w:val="24"/>
          <w:szCs w:val="24"/>
        </w:rPr>
        <w:t xml:space="preserve"> and another commented </w:t>
      </w:r>
      <w:r w:rsidRPr="006F3B00">
        <w:rPr>
          <w:rFonts w:ascii="Times New Roman" w:hAnsi="Times New Roman" w:cs="Times New Roman"/>
          <w:i/>
          <w:sz w:val="24"/>
          <w:szCs w:val="24"/>
        </w:rPr>
        <w:t>“As before, difficult to decide on least important items”.</w:t>
      </w:r>
      <w:r w:rsidRPr="006F3B00">
        <w:rPr>
          <w:rFonts w:ascii="Times New Roman" w:hAnsi="Times New Roman" w:cs="Times New Roman"/>
          <w:sz w:val="24"/>
          <w:szCs w:val="24"/>
        </w:rPr>
        <w:t xml:space="preserve"> Although this suggests that there were no items which definitely stood out as not being relevant to diagnostic competence, it shows that many of the items are important to some </w:t>
      </w:r>
      <w:r w:rsidR="009C574B">
        <w:rPr>
          <w:rFonts w:ascii="Times New Roman" w:hAnsi="Times New Roman" w:cs="Times New Roman"/>
          <w:sz w:val="24"/>
          <w:szCs w:val="24"/>
        </w:rPr>
        <w:t xml:space="preserve">degree and in the right context, which might explain </w:t>
      </w:r>
      <w:r w:rsidR="009C574B">
        <w:rPr>
          <w:rFonts w:ascii="Times New Roman" w:hAnsi="Times New Roman" w:cs="Times New Roman"/>
          <w:sz w:val="24"/>
          <w:szCs w:val="24"/>
        </w:rPr>
        <w:lastRenderedPageBreak/>
        <w:t>the aforementioned inconsistencies for mean score and rank between rounds.</w:t>
      </w:r>
      <w:r w:rsidRPr="006F3B00">
        <w:rPr>
          <w:rFonts w:ascii="Times New Roman" w:hAnsi="Times New Roman" w:cs="Times New Roman"/>
          <w:sz w:val="24"/>
          <w:szCs w:val="24"/>
        </w:rPr>
        <w:t xml:space="preserve"> This is reflected in another comment which explained:  “</w:t>
      </w:r>
      <w:r w:rsidRPr="006F3B00">
        <w:rPr>
          <w:rFonts w:ascii="Times New Roman" w:hAnsi="Times New Roman" w:cs="Times New Roman"/>
          <w:i/>
          <w:sz w:val="24"/>
          <w:szCs w:val="24"/>
        </w:rPr>
        <w:t>I have found this exercise difficult and almost all of them could be discussed from "well if you look at it this way" point of view.”</w:t>
      </w:r>
      <w:r w:rsidRPr="006F3B00">
        <w:rPr>
          <w:rFonts w:ascii="Times New Roman" w:hAnsi="Times New Roman" w:cs="Times New Roman"/>
          <w:sz w:val="24"/>
          <w:szCs w:val="24"/>
        </w:rPr>
        <w:t xml:space="preserve"> Hence, our conceptual model is also complex, incorporating both “process” and “person” qualities (which in themselves contain rich data) while taking into account stage of training, time and the development of trust.</w:t>
      </w:r>
    </w:p>
    <w:p w14:paraId="6F85E043" w14:textId="5B869665"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Feedback on the list of 27 items by participants </w:t>
      </w:r>
      <w:r w:rsidR="00FC7862">
        <w:rPr>
          <w:rFonts w:ascii="Times New Roman" w:hAnsi="Times New Roman" w:cs="Times New Roman"/>
          <w:sz w:val="24"/>
          <w:szCs w:val="24"/>
        </w:rPr>
        <w:t xml:space="preserve">after round 1 </w:t>
      </w:r>
      <w:r w:rsidRPr="006F3B00">
        <w:rPr>
          <w:rFonts w:ascii="Times New Roman" w:hAnsi="Times New Roman" w:cs="Times New Roman"/>
          <w:sz w:val="24"/>
          <w:szCs w:val="24"/>
        </w:rPr>
        <w:t>mostly</w:t>
      </w:r>
      <w:r w:rsidR="00FC7862">
        <w:rPr>
          <w:rFonts w:ascii="Times New Roman" w:hAnsi="Times New Roman" w:cs="Times New Roman"/>
          <w:sz w:val="24"/>
          <w:szCs w:val="24"/>
        </w:rPr>
        <w:t xml:space="preserve"> indicated that</w:t>
      </w:r>
      <w:r w:rsidRPr="006F3B00">
        <w:rPr>
          <w:rFonts w:ascii="Times New Roman" w:hAnsi="Times New Roman" w:cs="Times New Roman"/>
          <w:sz w:val="24"/>
          <w:szCs w:val="24"/>
        </w:rPr>
        <w:t xml:space="preserve"> “</w:t>
      </w:r>
      <w:r w:rsidR="005B72DD">
        <w:rPr>
          <w:rFonts w:ascii="Times New Roman" w:hAnsi="Times New Roman" w:cs="Times New Roman"/>
          <w:sz w:val="24"/>
          <w:szCs w:val="24"/>
        </w:rPr>
        <w:t>S</w:t>
      </w:r>
      <w:r w:rsidRPr="006F3B00">
        <w:rPr>
          <w:rFonts w:ascii="Times New Roman" w:hAnsi="Times New Roman" w:cs="Times New Roman"/>
          <w:sz w:val="24"/>
          <w:szCs w:val="24"/>
        </w:rPr>
        <w:t xml:space="preserve">tage of training” </w:t>
      </w:r>
      <w:r w:rsidR="00FC7862">
        <w:rPr>
          <w:rFonts w:ascii="Times New Roman" w:hAnsi="Times New Roman" w:cs="Times New Roman"/>
          <w:sz w:val="24"/>
          <w:szCs w:val="24"/>
        </w:rPr>
        <w:t>was relevant</w:t>
      </w:r>
      <w:r w:rsidRPr="006F3B00">
        <w:rPr>
          <w:rFonts w:ascii="Times New Roman" w:hAnsi="Times New Roman" w:cs="Times New Roman"/>
          <w:sz w:val="24"/>
          <w:szCs w:val="24"/>
        </w:rPr>
        <w:t xml:space="preserve"> to make a judgement on the importance of certain items. When creating the initial set of 27 items, it was </w:t>
      </w:r>
      <w:r w:rsidR="00FC7862">
        <w:rPr>
          <w:rFonts w:ascii="Times New Roman" w:hAnsi="Times New Roman" w:cs="Times New Roman"/>
          <w:sz w:val="24"/>
          <w:szCs w:val="24"/>
        </w:rPr>
        <w:t>reasoned</w:t>
      </w:r>
      <w:r w:rsidRPr="006F3B00">
        <w:rPr>
          <w:rFonts w:ascii="Times New Roman" w:hAnsi="Times New Roman" w:cs="Times New Roman"/>
          <w:sz w:val="24"/>
          <w:szCs w:val="24"/>
        </w:rPr>
        <w:t xml:space="preserve"> that some items could be qualified further by adding the</w:t>
      </w:r>
      <w:r w:rsidR="00FC7862">
        <w:rPr>
          <w:rFonts w:ascii="Times New Roman" w:hAnsi="Times New Roman" w:cs="Times New Roman"/>
          <w:sz w:val="24"/>
          <w:szCs w:val="24"/>
        </w:rPr>
        <w:t xml:space="preserve"> stage of training. However, it was </w:t>
      </w:r>
      <w:r w:rsidRPr="006F3B00">
        <w:rPr>
          <w:rFonts w:ascii="Times New Roman" w:hAnsi="Times New Roman" w:cs="Times New Roman"/>
          <w:sz w:val="24"/>
          <w:szCs w:val="24"/>
        </w:rPr>
        <w:t xml:space="preserve">decided not to do this to see if Delphi participants would identify issues themselves and not be too led by the research team. It is therefore useful to see that the Delphi </w:t>
      </w:r>
      <w:r w:rsidR="00224FC2" w:rsidRPr="006F3B00">
        <w:rPr>
          <w:rFonts w:ascii="Times New Roman" w:hAnsi="Times New Roman" w:cs="Times New Roman"/>
          <w:sz w:val="24"/>
          <w:szCs w:val="24"/>
        </w:rPr>
        <w:t>panelists</w:t>
      </w:r>
      <w:r w:rsidRPr="006F3B00">
        <w:rPr>
          <w:rFonts w:ascii="Times New Roman" w:hAnsi="Times New Roman" w:cs="Times New Roman"/>
          <w:sz w:val="24"/>
          <w:szCs w:val="24"/>
        </w:rPr>
        <w:t xml:space="preserve"> identified stage of training as being integral to the judgement process. The stage of training is also present in our conceptual model of diagnostic competence so these comments helped to corroborate our findings.</w:t>
      </w:r>
    </w:p>
    <w:p w14:paraId="7DF96F56" w14:textId="7B8D160D" w:rsidR="00863DF5" w:rsidRDefault="008614B6"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As previously noted, </w:t>
      </w:r>
      <w:r w:rsidR="00863DF5" w:rsidRPr="006F3B00">
        <w:rPr>
          <w:rFonts w:ascii="Times New Roman" w:hAnsi="Times New Roman" w:cs="Times New Roman"/>
          <w:sz w:val="24"/>
          <w:szCs w:val="24"/>
        </w:rPr>
        <w:t xml:space="preserve">getting </w:t>
      </w:r>
      <w:r>
        <w:rPr>
          <w:rFonts w:ascii="Times New Roman" w:hAnsi="Times New Roman" w:cs="Times New Roman"/>
          <w:sz w:val="24"/>
          <w:szCs w:val="24"/>
        </w:rPr>
        <w:t>“</w:t>
      </w:r>
      <w:r w:rsidR="00863DF5" w:rsidRPr="006F3B00">
        <w:rPr>
          <w:rFonts w:ascii="Times New Roman" w:hAnsi="Times New Roman" w:cs="Times New Roman"/>
          <w:sz w:val="24"/>
          <w:szCs w:val="24"/>
        </w:rPr>
        <w:t>the diagnosis correct</w:t>
      </w:r>
      <w:r>
        <w:rPr>
          <w:rFonts w:ascii="Times New Roman" w:hAnsi="Times New Roman" w:cs="Times New Roman"/>
          <w:sz w:val="24"/>
          <w:szCs w:val="24"/>
        </w:rPr>
        <w:t xml:space="preserve"> commensurate with the stage of training</w:t>
      </w:r>
      <w:r w:rsidR="00863DF5" w:rsidRPr="006F3B00">
        <w:rPr>
          <w:rFonts w:ascii="Times New Roman" w:hAnsi="Times New Roman" w:cs="Times New Roman"/>
          <w:sz w:val="24"/>
          <w:szCs w:val="24"/>
        </w:rPr>
        <w:t xml:space="preserve">” (item 9, </w:t>
      </w:r>
      <w:r>
        <w:rPr>
          <w:rFonts w:ascii="Times New Roman" w:hAnsi="Times New Roman" w:cs="Times New Roman"/>
          <w:sz w:val="24"/>
          <w:szCs w:val="24"/>
        </w:rPr>
        <w:t xml:space="preserve">round 2 </w:t>
      </w:r>
      <w:r w:rsidR="00863DF5" w:rsidRPr="006F3B00">
        <w:rPr>
          <w:rFonts w:ascii="Times New Roman" w:hAnsi="Times New Roman" w:cs="Times New Roman"/>
          <w:sz w:val="24"/>
          <w:szCs w:val="24"/>
        </w:rPr>
        <w:t xml:space="preserve">mean score 7.8) or even consistently correct (item 10, </w:t>
      </w:r>
      <w:r>
        <w:rPr>
          <w:rFonts w:ascii="Times New Roman" w:hAnsi="Times New Roman" w:cs="Times New Roman"/>
          <w:sz w:val="24"/>
          <w:szCs w:val="24"/>
        </w:rPr>
        <w:t xml:space="preserve">round 2 </w:t>
      </w:r>
      <w:r w:rsidR="00863DF5" w:rsidRPr="006F3B00">
        <w:rPr>
          <w:rFonts w:ascii="Times New Roman" w:hAnsi="Times New Roman" w:cs="Times New Roman"/>
          <w:sz w:val="24"/>
          <w:szCs w:val="24"/>
        </w:rPr>
        <w:t xml:space="preserve">mean score 7.7), did not reach “consensus in”. Items 9 and 10 still received relatively high scores so are still somewhat important to diagnostic competence, but not as highly valued as other items, such as reflection and having sound pathological principles to follow. It is not clear why this is, but it may be that getting diagnoses correct only </w:t>
      </w:r>
      <w:r>
        <w:rPr>
          <w:rFonts w:ascii="Times New Roman" w:hAnsi="Times New Roman" w:cs="Times New Roman"/>
          <w:sz w:val="24"/>
          <w:szCs w:val="24"/>
        </w:rPr>
        <w:t>suggests</w:t>
      </w:r>
      <w:r w:rsidR="00863DF5" w:rsidRPr="006F3B00">
        <w:rPr>
          <w:rFonts w:ascii="Times New Roman" w:hAnsi="Times New Roman" w:cs="Times New Roman"/>
          <w:sz w:val="24"/>
          <w:szCs w:val="24"/>
        </w:rPr>
        <w:t xml:space="preserve"> your competency in that moment</w:t>
      </w:r>
      <w:r w:rsidR="00BD11F4">
        <w:rPr>
          <w:rFonts w:ascii="Times New Roman" w:hAnsi="Times New Roman" w:cs="Times New Roman"/>
          <w:sz w:val="24"/>
          <w:szCs w:val="24"/>
        </w:rPr>
        <w:t xml:space="preserve"> (or a correct “guess”)</w:t>
      </w:r>
      <w:r w:rsidR="00863DF5" w:rsidRPr="006F3B00">
        <w:rPr>
          <w:rFonts w:ascii="Times New Roman" w:hAnsi="Times New Roman" w:cs="Times New Roman"/>
          <w:sz w:val="24"/>
          <w:szCs w:val="24"/>
        </w:rPr>
        <w:t>, whereas reflection ensures you will continue to act within your competency and maintain that competency. The qualitative interview data suggest that getting the correct diagnosis becomes more important in the latter stages of training, but even with the amendment to items 9 and 10</w:t>
      </w:r>
      <w:r>
        <w:rPr>
          <w:rFonts w:ascii="Times New Roman" w:hAnsi="Times New Roman" w:cs="Times New Roman"/>
          <w:sz w:val="24"/>
          <w:szCs w:val="24"/>
        </w:rPr>
        <w:t xml:space="preserve"> after round 1</w:t>
      </w:r>
      <w:r w:rsidR="00863DF5" w:rsidRPr="006F3B00">
        <w:rPr>
          <w:rFonts w:ascii="Times New Roman" w:hAnsi="Times New Roman" w:cs="Times New Roman"/>
          <w:sz w:val="24"/>
          <w:szCs w:val="24"/>
        </w:rPr>
        <w:t xml:space="preserve"> to incorporate “commensurate with the stage of training”, these items still </w:t>
      </w:r>
      <w:r w:rsidR="00863DF5" w:rsidRPr="006F3B00">
        <w:rPr>
          <w:rFonts w:ascii="Times New Roman" w:hAnsi="Times New Roman" w:cs="Times New Roman"/>
          <w:sz w:val="24"/>
          <w:szCs w:val="24"/>
        </w:rPr>
        <w:lastRenderedPageBreak/>
        <w:t>did not reach “consensus in”. However, the qualitative interview data did suggest that the approach to diagnosis and understanding how the diagnosis is reached, are actually more important than the end product; the diagnosis. This is borne out in the Delphi results where item 13 “trainee follows sound pathological principles” was the second highest ranked item</w:t>
      </w:r>
      <w:r w:rsidR="00D07682">
        <w:rPr>
          <w:rFonts w:ascii="Times New Roman" w:hAnsi="Times New Roman" w:cs="Times New Roman"/>
          <w:sz w:val="24"/>
          <w:szCs w:val="24"/>
        </w:rPr>
        <w:t xml:space="preserve"> and has previously been discussed</w:t>
      </w:r>
      <w:r w:rsidR="00863DF5" w:rsidRPr="006F3B00">
        <w:rPr>
          <w:rFonts w:ascii="Times New Roman" w:hAnsi="Times New Roman" w:cs="Times New Roman"/>
          <w:sz w:val="24"/>
          <w:szCs w:val="24"/>
        </w:rPr>
        <w:t xml:space="preserve">. </w:t>
      </w:r>
    </w:p>
    <w:p w14:paraId="65311FF7" w14:textId="6E637707" w:rsidR="009D46ED" w:rsidRDefault="00F80E59" w:rsidP="009D46ED">
      <w:pPr>
        <w:spacing w:line="480" w:lineRule="auto"/>
        <w:rPr>
          <w:rFonts w:ascii="Times New Roman" w:hAnsi="Times New Roman" w:cs="Times New Roman"/>
          <w:sz w:val="24"/>
          <w:szCs w:val="24"/>
        </w:rPr>
      </w:pPr>
      <w:r>
        <w:rPr>
          <w:rFonts w:ascii="Times New Roman" w:hAnsi="Times New Roman" w:cs="Times New Roman"/>
          <w:sz w:val="24"/>
          <w:szCs w:val="24"/>
        </w:rPr>
        <w:t>Importantly, n</w:t>
      </w:r>
      <w:r w:rsidRPr="006F3B00">
        <w:rPr>
          <w:rFonts w:ascii="Times New Roman" w:hAnsi="Times New Roman" w:cs="Times New Roman"/>
          <w:sz w:val="24"/>
          <w:szCs w:val="24"/>
        </w:rPr>
        <w:t>o new items were provided by participants which suggests the qualitative interviews explored diagnostic competence to the correct depth</w:t>
      </w:r>
      <w:r>
        <w:rPr>
          <w:rFonts w:ascii="Times New Roman" w:hAnsi="Times New Roman" w:cs="Times New Roman"/>
          <w:sz w:val="24"/>
          <w:szCs w:val="24"/>
        </w:rPr>
        <w:t xml:space="preserve">. However, some participants did suggest alternative ways of phrasing items or examples that could be </w:t>
      </w:r>
      <w:r w:rsidR="009D46ED">
        <w:rPr>
          <w:rFonts w:ascii="Times New Roman" w:hAnsi="Times New Roman" w:cs="Times New Roman"/>
          <w:sz w:val="24"/>
          <w:szCs w:val="24"/>
        </w:rPr>
        <w:t>provided to add detail</w:t>
      </w:r>
      <w:r>
        <w:rPr>
          <w:rFonts w:ascii="Times New Roman" w:hAnsi="Times New Roman" w:cs="Times New Roman"/>
          <w:sz w:val="24"/>
          <w:szCs w:val="24"/>
        </w:rPr>
        <w:t>, for example:</w:t>
      </w:r>
      <w:r w:rsidR="009D46ED">
        <w:rPr>
          <w:rFonts w:ascii="Times New Roman" w:hAnsi="Times New Roman" w:cs="Times New Roman"/>
          <w:sz w:val="24"/>
          <w:szCs w:val="24"/>
        </w:rPr>
        <w:t xml:space="preserve"> </w:t>
      </w:r>
      <w:r w:rsidR="009D46ED" w:rsidRPr="006F3B00">
        <w:rPr>
          <w:rFonts w:ascii="Times New Roman" w:hAnsi="Times New Roman" w:cs="Times New Roman"/>
          <w:i/>
          <w:sz w:val="24"/>
          <w:szCs w:val="24"/>
        </w:rPr>
        <w:t>“I think you have covered all the important aspects. Under general professionalism, you could have specifically considered Stress Management, Conflict Management, responding to Own Errors (i.e. reflection and not reflex over-correction like calling t</w:t>
      </w:r>
      <w:r w:rsidR="009D46ED">
        <w:rPr>
          <w:rFonts w:ascii="Times New Roman" w:hAnsi="Times New Roman" w:cs="Times New Roman"/>
          <w:i/>
          <w:sz w:val="24"/>
          <w:szCs w:val="24"/>
        </w:rPr>
        <w:t xml:space="preserve">hen next xxx cases malignant)”. </w:t>
      </w:r>
      <w:r w:rsidR="009D46ED">
        <w:rPr>
          <w:rFonts w:ascii="Times New Roman" w:hAnsi="Times New Roman" w:cs="Times New Roman"/>
          <w:sz w:val="24"/>
          <w:szCs w:val="24"/>
        </w:rPr>
        <w:t xml:space="preserve">Creating the 27 items was always a balance between clarity and wordiness, as it was feared that if the items were overly complicated, the Delphi might have become onerous to </w:t>
      </w:r>
      <w:r w:rsidR="009D46ED" w:rsidRPr="008614B6">
        <w:rPr>
          <w:rFonts w:ascii="Times New Roman" w:hAnsi="Times New Roman" w:cs="Times New Roman"/>
          <w:sz w:val="24"/>
          <w:szCs w:val="24"/>
        </w:rPr>
        <w:t xml:space="preserve">complete. Also, stress management, conflict management </w:t>
      </w:r>
      <w:r w:rsidR="00D5721C" w:rsidRPr="008614B6">
        <w:rPr>
          <w:rFonts w:ascii="Times New Roman" w:hAnsi="Times New Roman" w:cs="Times New Roman"/>
          <w:sz w:val="24"/>
          <w:szCs w:val="24"/>
        </w:rPr>
        <w:t>and responding to own errors were</w:t>
      </w:r>
      <w:r w:rsidR="009D46ED" w:rsidRPr="008614B6">
        <w:rPr>
          <w:rFonts w:ascii="Times New Roman" w:hAnsi="Times New Roman" w:cs="Times New Roman"/>
          <w:sz w:val="24"/>
          <w:szCs w:val="24"/>
        </w:rPr>
        <w:t xml:space="preserve"> </w:t>
      </w:r>
      <w:r w:rsidR="00B57B8A" w:rsidRPr="008614B6">
        <w:rPr>
          <w:rFonts w:ascii="Times New Roman" w:hAnsi="Times New Roman" w:cs="Times New Roman"/>
          <w:sz w:val="24"/>
          <w:szCs w:val="24"/>
        </w:rPr>
        <w:t xml:space="preserve">thought to be </w:t>
      </w:r>
      <w:r w:rsidR="009D46ED" w:rsidRPr="008614B6">
        <w:rPr>
          <w:rFonts w:ascii="Times New Roman" w:hAnsi="Times New Roman" w:cs="Times New Roman"/>
          <w:sz w:val="24"/>
          <w:szCs w:val="24"/>
        </w:rPr>
        <w:t xml:space="preserve">incorporated in items 17. “Trainee reflects on their own limitations/performance”, Item 6. </w:t>
      </w:r>
      <w:r w:rsidR="005B72DD">
        <w:rPr>
          <w:rFonts w:ascii="Times New Roman" w:hAnsi="Times New Roman" w:cs="Times New Roman"/>
          <w:sz w:val="24"/>
          <w:szCs w:val="24"/>
        </w:rPr>
        <w:t>‘</w:t>
      </w:r>
      <w:r w:rsidR="009D46ED" w:rsidRPr="008614B6">
        <w:rPr>
          <w:rFonts w:ascii="Times New Roman" w:hAnsi="Times New Roman" w:cs="Times New Roman"/>
          <w:sz w:val="24"/>
          <w:szCs w:val="24"/>
        </w:rPr>
        <w:t>Trainee communicates with all staff appropriately e.g. effectively, timely, politely</w:t>
      </w:r>
      <w:r w:rsidR="005B72DD">
        <w:rPr>
          <w:rFonts w:ascii="Times New Roman" w:hAnsi="Times New Roman" w:cs="Times New Roman"/>
          <w:sz w:val="24"/>
          <w:szCs w:val="24"/>
        </w:rPr>
        <w:t>’</w:t>
      </w:r>
      <w:r w:rsidR="009D46ED" w:rsidRPr="008614B6">
        <w:rPr>
          <w:rFonts w:ascii="Times New Roman" w:hAnsi="Times New Roman" w:cs="Times New Roman"/>
          <w:sz w:val="24"/>
          <w:szCs w:val="24"/>
        </w:rPr>
        <w:t xml:space="preserve"> and Item 7. </w:t>
      </w:r>
      <w:r w:rsidR="005B72DD">
        <w:rPr>
          <w:rFonts w:ascii="Times New Roman" w:hAnsi="Times New Roman" w:cs="Times New Roman"/>
          <w:sz w:val="24"/>
          <w:szCs w:val="24"/>
        </w:rPr>
        <w:t>‘</w:t>
      </w:r>
      <w:r w:rsidR="00D5721C" w:rsidRPr="008614B6">
        <w:rPr>
          <w:rFonts w:ascii="Times New Roman" w:hAnsi="Times New Roman" w:cs="Times New Roman"/>
          <w:sz w:val="24"/>
          <w:szCs w:val="24"/>
        </w:rPr>
        <w:t xml:space="preserve">Trainee </w:t>
      </w:r>
      <w:r w:rsidR="009D46ED" w:rsidRPr="008614B6">
        <w:rPr>
          <w:rFonts w:ascii="Times New Roman" w:hAnsi="Times New Roman" w:cs="Times New Roman"/>
          <w:sz w:val="24"/>
          <w:szCs w:val="24"/>
        </w:rPr>
        <w:t>works as part of a team e.g. works effectively with colleagues and does not create conflict</w:t>
      </w:r>
      <w:r w:rsidR="005B72DD">
        <w:rPr>
          <w:rFonts w:ascii="Times New Roman" w:hAnsi="Times New Roman" w:cs="Times New Roman"/>
          <w:sz w:val="24"/>
          <w:szCs w:val="24"/>
        </w:rPr>
        <w:t>’</w:t>
      </w:r>
      <w:r w:rsidR="00D5721C" w:rsidRPr="008614B6">
        <w:rPr>
          <w:rFonts w:ascii="Times New Roman" w:hAnsi="Times New Roman" w:cs="Times New Roman"/>
          <w:sz w:val="24"/>
          <w:szCs w:val="24"/>
        </w:rPr>
        <w:t xml:space="preserve">. However, the comment does </w:t>
      </w:r>
      <w:r w:rsidR="00B57B8A" w:rsidRPr="008614B6">
        <w:rPr>
          <w:rFonts w:ascii="Times New Roman" w:hAnsi="Times New Roman" w:cs="Times New Roman"/>
          <w:sz w:val="24"/>
          <w:szCs w:val="24"/>
        </w:rPr>
        <w:t>indicate that</w:t>
      </w:r>
      <w:r w:rsidR="00D5721C" w:rsidRPr="008614B6">
        <w:rPr>
          <w:rFonts w:ascii="Times New Roman" w:hAnsi="Times New Roman" w:cs="Times New Roman"/>
          <w:sz w:val="24"/>
          <w:szCs w:val="24"/>
        </w:rPr>
        <w:t xml:space="preserve"> specific examples can help assessors to interpret forms </w:t>
      </w:r>
      <w:r w:rsidR="00B57B8A" w:rsidRPr="008614B6">
        <w:rPr>
          <w:rFonts w:ascii="Times New Roman" w:hAnsi="Times New Roman" w:cs="Times New Roman"/>
          <w:sz w:val="24"/>
          <w:szCs w:val="24"/>
        </w:rPr>
        <w:t>correctly and any new assessment tools which stem from this research will need to consider this.</w:t>
      </w:r>
    </w:p>
    <w:p w14:paraId="48CDCA9E" w14:textId="2D6F486C" w:rsidR="00FF6F4F" w:rsidRDefault="00FC7862" w:rsidP="009D46ED">
      <w:pPr>
        <w:spacing w:line="480" w:lineRule="auto"/>
        <w:rPr>
          <w:rFonts w:ascii="Times New Roman" w:hAnsi="Times New Roman" w:cs="Times New Roman"/>
          <w:sz w:val="24"/>
          <w:szCs w:val="24"/>
        </w:rPr>
      </w:pPr>
      <w:r>
        <w:rPr>
          <w:rFonts w:ascii="Times New Roman" w:hAnsi="Times New Roman" w:cs="Times New Roman"/>
          <w:sz w:val="24"/>
          <w:szCs w:val="24"/>
        </w:rPr>
        <w:t>It can be seen</w:t>
      </w:r>
      <w:r w:rsidR="005B2A78">
        <w:rPr>
          <w:rFonts w:ascii="Times New Roman" w:hAnsi="Times New Roman" w:cs="Times New Roman"/>
          <w:sz w:val="24"/>
          <w:szCs w:val="24"/>
        </w:rPr>
        <w:t xml:space="preserve"> from Table 5.7</w:t>
      </w:r>
      <w:r w:rsidR="00EA0BBC">
        <w:rPr>
          <w:rFonts w:ascii="Times New Roman" w:hAnsi="Times New Roman" w:cs="Times New Roman"/>
          <w:sz w:val="24"/>
          <w:szCs w:val="24"/>
        </w:rPr>
        <w:t xml:space="preserve"> </w:t>
      </w:r>
      <w:r>
        <w:rPr>
          <w:rFonts w:ascii="Times New Roman" w:hAnsi="Times New Roman" w:cs="Times New Roman"/>
          <w:sz w:val="24"/>
          <w:szCs w:val="24"/>
        </w:rPr>
        <w:t>that all the items under “</w:t>
      </w:r>
      <w:r w:rsidR="00FF6F4F">
        <w:rPr>
          <w:rFonts w:ascii="Times New Roman" w:hAnsi="Times New Roman" w:cs="Times New Roman"/>
          <w:sz w:val="24"/>
          <w:szCs w:val="24"/>
        </w:rPr>
        <w:t>T</w:t>
      </w:r>
      <w:r>
        <w:rPr>
          <w:rFonts w:ascii="Times New Roman" w:hAnsi="Times New Roman" w:cs="Times New Roman"/>
          <w:sz w:val="24"/>
          <w:szCs w:val="24"/>
        </w:rPr>
        <w:t>he patient’s report”, “</w:t>
      </w:r>
      <w:r w:rsidR="00FF6F4F">
        <w:rPr>
          <w:rFonts w:ascii="Times New Roman" w:hAnsi="Times New Roman" w:cs="Times New Roman"/>
          <w:sz w:val="24"/>
          <w:szCs w:val="24"/>
        </w:rPr>
        <w:t>R</w:t>
      </w:r>
      <w:r>
        <w:rPr>
          <w:rFonts w:ascii="Times New Roman" w:hAnsi="Times New Roman" w:cs="Times New Roman"/>
          <w:sz w:val="24"/>
          <w:szCs w:val="24"/>
        </w:rPr>
        <w:t>eflection” and “</w:t>
      </w:r>
      <w:r w:rsidR="00FF6F4F">
        <w:rPr>
          <w:rFonts w:ascii="Times New Roman" w:hAnsi="Times New Roman" w:cs="Times New Roman"/>
          <w:sz w:val="24"/>
          <w:szCs w:val="24"/>
        </w:rPr>
        <w:t>P</w:t>
      </w:r>
      <w:r>
        <w:rPr>
          <w:rFonts w:ascii="Times New Roman" w:hAnsi="Times New Roman" w:cs="Times New Roman"/>
          <w:sz w:val="24"/>
          <w:szCs w:val="24"/>
        </w:rPr>
        <w:t>rofessionalism” reached “consensus in” suggesting that these categories were</w:t>
      </w:r>
      <w:r w:rsidR="00EA0BBC">
        <w:rPr>
          <w:rFonts w:ascii="Times New Roman" w:hAnsi="Times New Roman" w:cs="Times New Roman"/>
          <w:sz w:val="24"/>
          <w:szCs w:val="24"/>
        </w:rPr>
        <w:t xml:space="preserve"> particularly</w:t>
      </w:r>
      <w:r>
        <w:rPr>
          <w:rFonts w:ascii="Times New Roman" w:hAnsi="Times New Roman" w:cs="Times New Roman"/>
          <w:sz w:val="24"/>
          <w:szCs w:val="24"/>
        </w:rPr>
        <w:t xml:space="preserve"> important to participants. In contrast, “Stage of training”, “</w:t>
      </w:r>
      <w:r w:rsidR="00FF6F4F">
        <w:rPr>
          <w:rFonts w:ascii="Times New Roman" w:hAnsi="Times New Roman" w:cs="Times New Roman"/>
          <w:sz w:val="24"/>
          <w:szCs w:val="24"/>
        </w:rPr>
        <w:t>T</w:t>
      </w:r>
      <w:r>
        <w:rPr>
          <w:rFonts w:ascii="Times New Roman" w:hAnsi="Times New Roman" w:cs="Times New Roman"/>
          <w:sz w:val="24"/>
          <w:szCs w:val="24"/>
        </w:rPr>
        <w:t>iming” and “</w:t>
      </w:r>
      <w:r w:rsidR="00FF6F4F">
        <w:rPr>
          <w:rFonts w:ascii="Times New Roman" w:hAnsi="Times New Roman" w:cs="Times New Roman"/>
          <w:sz w:val="24"/>
          <w:szCs w:val="24"/>
        </w:rPr>
        <w:t>T</w:t>
      </w:r>
      <w:r>
        <w:rPr>
          <w:rFonts w:ascii="Times New Roman" w:hAnsi="Times New Roman" w:cs="Times New Roman"/>
          <w:sz w:val="24"/>
          <w:szCs w:val="24"/>
        </w:rPr>
        <w:t xml:space="preserve">rust” each </w:t>
      </w:r>
      <w:r w:rsidR="00D75032">
        <w:rPr>
          <w:rFonts w:ascii="Times New Roman" w:hAnsi="Times New Roman" w:cs="Times New Roman"/>
          <w:sz w:val="24"/>
          <w:szCs w:val="24"/>
        </w:rPr>
        <w:t>had</w:t>
      </w:r>
      <w:r>
        <w:rPr>
          <w:rFonts w:ascii="Times New Roman" w:hAnsi="Times New Roman" w:cs="Times New Roman"/>
          <w:sz w:val="24"/>
          <w:szCs w:val="24"/>
        </w:rPr>
        <w:t xml:space="preserve"> one</w:t>
      </w:r>
      <w:r w:rsidR="00FF6F4F">
        <w:rPr>
          <w:rFonts w:ascii="Times New Roman" w:hAnsi="Times New Roman" w:cs="Times New Roman"/>
          <w:sz w:val="24"/>
          <w:szCs w:val="24"/>
        </w:rPr>
        <w:t xml:space="preserve"> item which did not reach ‘consensus in’ </w:t>
      </w:r>
      <w:r>
        <w:rPr>
          <w:rFonts w:ascii="Times New Roman" w:hAnsi="Times New Roman" w:cs="Times New Roman"/>
          <w:sz w:val="24"/>
          <w:szCs w:val="24"/>
        </w:rPr>
        <w:t>and “</w:t>
      </w:r>
      <w:r w:rsidR="00FF6F4F">
        <w:rPr>
          <w:rFonts w:ascii="Times New Roman" w:hAnsi="Times New Roman" w:cs="Times New Roman"/>
          <w:sz w:val="24"/>
          <w:szCs w:val="24"/>
        </w:rPr>
        <w:t>F</w:t>
      </w:r>
      <w:r>
        <w:rPr>
          <w:rFonts w:ascii="Times New Roman" w:hAnsi="Times New Roman" w:cs="Times New Roman"/>
          <w:sz w:val="24"/>
          <w:szCs w:val="24"/>
        </w:rPr>
        <w:t>orming a diagnosis” had two</w:t>
      </w:r>
      <w:r w:rsidR="00D07682">
        <w:rPr>
          <w:rFonts w:ascii="Times New Roman" w:hAnsi="Times New Roman" w:cs="Times New Roman"/>
          <w:sz w:val="24"/>
          <w:szCs w:val="24"/>
        </w:rPr>
        <w:t>. The reasons for these differences are discussed below.</w:t>
      </w:r>
    </w:p>
    <w:p w14:paraId="070308B6" w14:textId="01B1D00C" w:rsidR="00FF6F4F" w:rsidRDefault="00D75032" w:rsidP="009D46E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B0C17">
        <w:rPr>
          <w:rFonts w:ascii="Times New Roman" w:hAnsi="Times New Roman" w:cs="Times New Roman"/>
          <w:sz w:val="24"/>
          <w:szCs w:val="24"/>
        </w:rPr>
        <w:t>As mentioned</w:t>
      </w:r>
      <w:r w:rsidR="00FF6F4F" w:rsidRPr="00FF6F4F">
        <w:rPr>
          <w:rFonts w:ascii="Times New Roman" w:hAnsi="Times New Roman" w:cs="Times New Roman"/>
          <w:sz w:val="24"/>
          <w:szCs w:val="24"/>
        </w:rPr>
        <w:t xml:space="preserve"> </w:t>
      </w:r>
      <w:r w:rsidR="00FF6F4F">
        <w:rPr>
          <w:rFonts w:ascii="Times New Roman" w:hAnsi="Times New Roman" w:cs="Times New Roman"/>
          <w:sz w:val="24"/>
          <w:szCs w:val="24"/>
        </w:rPr>
        <w:t>previously</w:t>
      </w:r>
      <w:r w:rsidR="005B0C17">
        <w:rPr>
          <w:rFonts w:ascii="Times New Roman" w:hAnsi="Times New Roman" w:cs="Times New Roman"/>
          <w:sz w:val="24"/>
          <w:szCs w:val="24"/>
        </w:rPr>
        <w:t>, item 4</w:t>
      </w:r>
      <w:r>
        <w:rPr>
          <w:rFonts w:ascii="Times New Roman" w:hAnsi="Times New Roman" w:cs="Times New Roman"/>
          <w:sz w:val="24"/>
          <w:szCs w:val="24"/>
        </w:rPr>
        <w:t xml:space="preserve"> “individual cases in an examination setting”</w:t>
      </w:r>
      <w:r w:rsidR="005B0C17">
        <w:rPr>
          <w:rFonts w:ascii="Times New Roman" w:hAnsi="Times New Roman" w:cs="Times New Roman"/>
          <w:sz w:val="24"/>
          <w:szCs w:val="24"/>
        </w:rPr>
        <w:t xml:space="preserve"> under </w:t>
      </w:r>
      <w:r w:rsidR="005B0C17" w:rsidRPr="00D07682">
        <w:rPr>
          <w:rFonts w:ascii="Times New Roman" w:hAnsi="Times New Roman" w:cs="Times New Roman"/>
          <w:sz w:val="24"/>
          <w:szCs w:val="24"/>
        </w:rPr>
        <w:t>“</w:t>
      </w:r>
      <w:r w:rsidR="00FF6F4F" w:rsidRPr="00D07682">
        <w:rPr>
          <w:rFonts w:ascii="Times New Roman" w:hAnsi="Times New Roman" w:cs="Times New Roman"/>
          <w:sz w:val="24"/>
          <w:szCs w:val="24"/>
        </w:rPr>
        <w:t>T</w:t>
      </w:r>
      <w:r w:rsidR="005B0C17" w:rsidRPr="00D07682">
        <w:rPr>
          <w:rFonts w:ascii="Times New Roman" w:hAnsi="Times New Roman" w:cs="Times New Roman"/>
          <w:sz w:val="24"/>
          <w:szCs w:val="24"/>
        </w:rPr>
        <w:t xml:space="preserve">iming” </w:t>
      </w:r>
      <w:r w:rsidR="00FF6F4F" w:rsidRPr="00D07682">
        <w:rPr>
          <w:rFonts w:ascii="Times New Roman" w:hAnsi="Times New Roman" w:cs="Times New Roman"/>
          <w:sz w:val="24"/>
          <w:szCs w:val="24"/>
        </w:rPr>
        <w:t xml:space="preserve">did not reach </w:t>
      </w:r>
      <w:r w:rsidRPr="00D07682">
        <w:rPr>
          <w:rFonts w:ascii="Times New Roman" w:hAnsi="Times New Roman" w:cs="Times New Roman"/>
          <w:sz w:val="24"/>
          <w:szCs w:val="24"/>
        </w:rPr>
        <w:t>“</w:t>
      </w:r>
      <w:r w:rsidR="005B0C17" w:rsidRPr="00D07682">
        <w:rPr>
          <w:rFonts w:ascii="Times New Roman" w:hAnsi="Times New Roman" w:cs="Times New Roman"/>
          <w:sz w:val="24"/>
          <w:szCs w:val="24"/>
        </w:rPr>
        <w:t>consensus</w:t>
      </w:r>
      <w:r w:rsidRPr="00D07682">
        <w:rPr>
          <w:rFonts w:ascii="Times New Roman" w:hAnsi="Times New Roman" w:cs="Times New Roman"/>
          <w:sz w:val="24"/>
          <w:szCs w:val="24"/>
        </w:rPr>
        <w:t xml:space="preserve"> in”</w:t>
      </w:r>
      <w:r w:rsidR="00FF6F4F" w:rsidRPr="00D07682">
        <w:rPr>
          <w:rFonts w:ascii="Times New Roman" w:hAnsi="Times New Roman" w:cs="Times New Roman"/>
          <w:sz w:val="24"/>
          <w:szCs w:val="24"/>
        </w:rPr>
        <w:t xml:space="preserve">. This is not surprising </w:t>
      </w:r>
      <w:r w:rsidR="005B0C17" w:rsidRPr="00D07682">
        <w:rPr>
          <w:rFonts w:ascii="Times New Roman" w:hAnsi="Times New Roman" w:cs="Times New Roman"/>
          <w:sz w:val="24"/>
          <w:szCs w:val="24"/>
        </w:rPr>
        <w:t>as o</w:t>
      </w:r>
      <w:r w:rsidRPr="00D07682">
        <w:rPr>
          <w:rFonts w:ascii="Times New Roman" w:hAnsi="Times New Roman" w:cs="Times New Roman"/>
          <w:sz w:val="24"/>
          <w:szCs w:val="24"/>
        </w:rPr>
        <w:t>ur qualitative data suggested</w:t>
      </w:r>
      <w:r w:rsidR="005B0C17" w:rsidRPr="00D07682">
        <w:rPr>
          <w:rFonts w:ascii="Times New Roman" w:hAnsi="Times New Roman" w:cs="Times New Roman"/>
          <w:sz w:val="24"/>
          <w:szCs w:val="24"/>
        </w:rPr>
        <w:t xml:space="preserve"> competence should be a</w:t>
      </w:r>
      <w:r w:rsidRPr="00D07682">
        <w:rPr>
          <w:rFonts w:ascii="Times New Roman" w:hAnsi="Times New Roman" w:cs="Times New Roman"/>
          <w:sz w:val="24"/>
          <w:szCs w:val="24"/>
        </w:rPr>
        <w:t>ssessed longitudinally</w:t>
      </w:r>
      <w:r w:rsidR="00FF6F4F" w:rsidRPr="00D07682">
        <w:rPr>
          <w:rFonts w:ascii="Times New Roman" w:hAnsi="Times New Roman" w:cs="Times New Roman"/>
          <w:sz w:val="24"/>
          <w:szCs w:val="24"/>
        </w:rPr>
        <w:t xml:space="preserve"> rather than on a single episode</w:t>
      </w:r>
      <w:r w:rsidR="005B0C17" w:rsidRPr="00D07682">
        <w:rPr>
          <w:rFonts w:ascii="Times New Roman" w:hAnsi="Times New Roman" w:cs="Times New Roman"/>
          <w:sz w:val="24"/>
          <w:szCs w:val="24"/>
        </w:rPr>
        <w:t>.</w:t>
      </w:r>
      <w:r w:rsidRPr="00D07682">
        <w:rPr>
          <w:rFonts w:ascii="Times New Roman" w:hAnsi="Times New Roman" w:cs="Times New Roman"/>
          <w:sz w:val="24"/>
          <w:szCs w:val="24"/>
        </w:rPr>
        <w:t xml:space="preserve"> </w:t>
      </w:r>
      <w:r w:rsidR="00D07682" w:rsidRPr="00D07682">
        <w:rPr>
          <w:rFonts w:ascii="Times New Roman" w:hAnsi="Times New Roman" w:cs="Times New Roman"/>
          <w:sz w:val="24"/>
          <w:szCs w:val="24"/>
        </w:rPr>
        <w:t>In support of this item 3 ‘Placements/cases assessed longitudinally over a period of time’ did reach consensus in. Thus it would not be expected that item 4 would reach consensus.</w:t>
      </w:r>
    </w:p>
    <w:p w14:paraId="7A24BAF4" w14:textId="0351F54C" w:rsidR="00FC7862" w:rsidRDefault="00FF6F4F" w:rsidP="009D46ED">
      <w:pPr>
        <w:spacing w:line="480" w:lineRule="auto"/>
        <w:rPr>
          <w:rFonts w:ascii="Times New Roman" w:hAnsi="Times New Roman" w:cs="Times New Roman"/>
          <w:sz w:val="24"/>
          <w:szCs w:val="24"/>
        </w:rPr>
      </w:pPr>
      <w:r>
        <w:rPr>
          <w:rFonts w:ascii="Times New Roman" w:hAnsi="Times New Roman" w:cs="Times New Roman"/>
          <w:sz w:val="24"/>
          <w:szCs w:val="24"/>
        </w:rPr>
        <w:t>O</w:t>
      </w:r>
      <w:r w:rsidR="00D75032">
        <w:rPr>
          <w:rFonts w:ascii="Times New Roman" w:hAnsi="Times New Roman" w:cs="Times New Roman"/>
          <w:sz w:val="24"/>
          <w:szCs w:val="24"/>
        </w:rPr>
        <w:t>ther categories ha</w:t>
      </w:r>
      <w:r>
        <w:rPr>
          <w:rFonts w:ascii="Times New Roman" w:hAnsi="Times New Roman" w:cs="Times New Roman"/>
          <w:sz w:val="24"/>
          <w:szCs w:val="24"/>
        </w:rPr>
        <w:t>d</w:t>
      </w:r>
      <w:r w:rsidR="00D75032">
        <w:rPr>
          <w:rFonts w:ascii="Times New Roman" w:hAnsi="Times New Roman" w:cs="Times New Roman"/>
          <w:sz w:val="24"/>
          <w:szCs w:val="24"/>
        </w:rPr>
        <w:t xml:space="preserve"> items that did not reach “consensus in”</w:t>
      </w:r>
      <w:r>
        <w:rPr>
          <w:rFonts w:ascii="Times New Roman" w:hAnsi="Times New Roman" w:cs="Times New Roman"/>
          <w:sz w:val="24"/>
          <w:szCs w:val="24"/>
        </w:rPr>
        <w:t xml:space="preserve"> and</w:t>
      </w:r>
      <w:r w:rsidR="00D75032">
        <w:rPr>
          <w:rFonts w:ascii="Times New Roman" w:hAnsi="Times New Roman" w:cs="Times New Roman"/>
          <w:sz w:val="24"/>
          <w:szCs w:val="24"/>
        </w:rPr>
        <w:t xml:space="preserve"> there are a number of explanations why this could be. Firstly, the simplest explanation is that these items are not considered as important as the other items that did reach “consensus in”. </w:t>
      </w:r>
      <w:r w:rsidR="00EA0BBC">
        <w:rPr>
          <w:rFonts w:ascii="Times New Roman" w:hAnsi="Times New Roman" w:cs="Times New Roman"/>
          <w:sz w:val="24"/>
          <w:szCs w:val="24"/>
        </w:rPr>
        <w:t>However, i</w:t>
      </w:r>
      <w:r w:rsidR="00D75032">
        <w:rPr>
          <w:rFonts w:ascii="Times New Roman" w:hAnsi="Times New Roman" w:cs="Times New Roman"/>
          <w:sz w:val="24"/>
          <w:szCs w:val="24"/>
        </w:rPr>
        <w:t xml:space="preserve">f they were completely irrelevant items, then </w:t>
      </w:r>
      <w:r>
        <w:rPr>
          <w:rFonts w:ascii="Times New Roman" w:hAnsi="Times New Roman" w:cs="Times New Roman"/>
          <w:sz w:val="24"/>
          <w:szCs w:val="24"/>
        </w:rPr>
        <w:t xml:space="preserve">it may be </w:t>
      </w:r>
      <w:r w:rsidR="00D75032">
        <w:rPr>
          <w:rFonts w:ascii="Times New Roman" w:hAnsi="Times New Roman" w:cs="Times New Roman"/>
          <w:sz w:val="24"/>
          <w:szCs w:val="24"/>
        </w:rPr>
        <w:t>assum</w:t>
      </w:r>
      <w:r w:rsidR="00D07682">
        <w:rPr>
          <w:rFonts w:ascii="Times New Roman" w:hAnsi="Times New Roman" w:cs="Times New Roman"/>
          <w:sz w:val="24"/>
          <w:szCs w:val="24"/>
        </w:rPr>
        <w:t>ed</w:t>
      </w:r>
      <w:r w:rsidR="00D75032">
        <w:rPr>
          <w:rFonts w:ascii="Times New Roman" w:hAnsi="Times New Roman" w:cs="Times New Roman"/>
          <w:sz w:val="24"/>
          <w:szCs w:val="24"/>
        </w:rPr>
        <w:t xml:space="preserve"> they would have reached “consensus out”</w:t>
      </w:r>
      <w:r w:rsidR="00EA0BBC">
        <w:rPr>
          <w:rFonts w:ascii="Times New Roman" w:hAnsi="Times New Roman" w:cs="Times New Roman"/>
          <w:sz w:val="24"/>
          <w:szCs w:val="24"/>
        </w:rPr>
        <w:t xml:space="preserve"> which they did no</w:t>
      </w:r>
      <w:r w:rsidR="00D75032">
        <w:rPr>
          <w:rFonts w:ascii="Times New Roman" w:hAnsi="Times New Roman" w:cs="Times New Roman"/>
          <w:sz w:val="24"/>
          <w:szCs w:val="24"/>
        </w:rPr>
        <w:t xml:space="preserve">t. Indeed, </w:t>
      </w:r>
      <w:r>
        <w:rPr>
          <w:rFonts w:ascii="Times New Roman" w:hAnsi="Times New Roman" w:cs="Times New Roman"/>
          <w:sz w:val="24"/>
          <w:szCs w:val="24"/>
        </w:rPr>
        <w:t>the</w:t>
      </w:r>
      <w:r w:rsidR="00D75032">
        <w:rPr>
          <w:rFonts w:ascii="Times New Roman" w:hAnsi="Times New Roman" w:cs="Times New Roman"/>
          <w:sz w:val="24"/>
          <w:szCs w:val="24"/>
        </w:rPr>
        <w:t xml:space="preserve"> conceptual model did not aim to ascribe relative importance values to the themes and sub-themes which emerged from the interview data, so it is probable that some items will be valued more than others.</w:t>
      </w:r>
      <w:r w:rsidR="008D4186">
        <w:rPr>
          <w:rFonts w:ascii="Times New Roman" w:hAnsi="Times New Roman" w:cs="Times New Roman"/>
          <w:sz w:val="24"/>
          <w:szCs w:val="24"/>
        </w:rPr>
        <w:t xml:space="preserve"> Secondly, perhaps the scores reflect that scoring items in a Delphi does not exactly match what individuals do in their real practice (from which the qualitative data and these items stemmed from). Thirdly</w:t>
      </w:r>
      <w:r w:rsidR="00D75032">
        <w:rPr>
          <w:rFonts w:ascii="Times New Roman" w:hAnsi="Times New Roman" w:cs="Times New Roman"/>
          <w:sz w:val="24"/>
          <w:szCs w:val="24"/>
        </w:rPr>
        <w:t xml:space="preserve">, </w:t>
      </w:r>
      <w:r w:rsidR="00EA0BBC">
        <w:rPr>
          <w:rFonts w:ascii="Times New Roman" w:hAnsi="Times New Roman" w:cs="Times New Roman"/>
          <w:sz w:val="24"/>
          <w:szCs w:val="24"/>
        </w:rPr>
        <w:t>perhaps th</w:t>
      </w:r>
      <w:r w:rsidR="00E81393">
        <w:rPr>
          <w:rFonts w:ascii="Times New Roman" w:hAnsi="Times New Roman" w:cs="Times New Roman"/>
          <w:sz w:val="24"/>
          <w:szCs w:val="24"/>
        </w:rPr>
        <w:t>o</w:t>
      </w:r>
      <w:r w:rsidR="00EA0BBC">
        <w:rPr>
          <w:rFonts w:ascii="Times New Roman" w:hAnsi="Times New Roman" w:cs="Times New Roman"/>
          <w:sz w:val="24"/>
          <w:szCs w:val="24"/>
        </w:rPr>
        <w:t>se items not</w:t>
      </w:r>
      <w:r w:rsidR="008D4186">
        <w:rPr>
          <w:rFonts w:ascii="Times New Roman" w:hAnsi="Times New Roman" w:cs="Times New Roman"/>
          <w:sz w:val="24"/>
          <w:szCs w:val="24"/>
        </w:rPr>
        <w:t xml:space="preserve"> reach</w:t>
      </w:r>
      <w:r w:rsidR="004D443E">
        <w:rPr>
          <w:rFonts w:ascii="Times New Roman" w:hAnsi="Times New Roman" w:cs="Times New Roman"/>
          <w:sz w:val="24"/>
          <w:szCs w:val="24"/>
        </w:rPr>
        <w:t>ing</w:t>
      </w:r>
      <w:r w:rsidR="008D4186">
        <w:rPr>
          <w:rFonts w:ascii="Times New Roman" w:hAnsi="Times New Roman" w:cs="Times New Roman"/>
          <w:sz w:val="24"/>
          <w:szCs w:val="24"/>
        </w:rPr>
        <w:t xml:space="preserve"> </w:t>
      </w:r>
      <w:r w:rsidR="00EA0BBC">
        <w:rPr>
          <w:rFonts w:ascii="Times New Roman" w:hAnsi="Times New Roman" w:cs="Times New Roman"/>
          <w:sz w:val="24"/>
          <w:szCs w:val="24"/>
        </w:rPr>
        <w:t>“</w:t>
      </w:r>
      <w:r w:rsidR="008D4186">
        <w:rPr>
          <w:rFonts w:ascii="Times New Roman" w:hAnsi="Times New Roman" w:cs="Times New Roman"/>
          <w:sz w:val="24"/>
          <w:szCs w:val="24"/>
        </w:rPr>
        <w:t>consensus</w:t>
      </w:r>
      <w:r w:rsidR="00EA0BBC">
        <w:rPr>
          <w:rFonts w:ascii="Times New Roman" w:hAnsi="Times New Roman" w:cs="Times New Roman"/>
          <w:sz w:val="24"/>
          <w:szCs w:val="24"/>
        </w:rPr>
        <w:t xml:space="preserve"> in”</w:t>
      </w:r>
      <w:r w:rsidR="008D4186">
        <w:rPr>
          <w:rFonts w:ascii="Times New Roman" w:hAnsi="Times New Roman" w:cs="Times New Roman"/>
          <w:sz w:val="24"/>
          <w:szCs w:val="24"/>
        </w:rPr>
        <w:t xml:space="preserve"> reflects that </w:t>
      </w:r>
      <w:r w:rsidR="00EA0BBC">
        <w:rPr>
          <w:rFonts w:ascii="Times New Roman" w:hAnsi="Times New Roman" w:cs="Times New Roman"/>
          <w:sz w:val="24"/>
          <w:szCs w:val="24"/>
        </w:rPr>
        <w:t>the Delphi participants</w:t>
      </w:r>
      <w:r w:rsidR="00885596">
        <w:rPr>
          <w:rFonts w:ascii="Times New Roman" w:hAnsi="Times New Roman" w:cs="Times New Roman"/>
          <w:sz w:val="24"/>
          <w:szCs w:val="24"/>
        </w:rPr>
        <w:t xml:space="preserve"> </w:t>
      </w:r>
      <w:r w:rsidR="003A3ACC">
        <w:rPr>
          <w:rFonts w:ascii="Times New Roman" w:hAnsi="Times New Roman" w:cs="Times New Roman"/>
          <w:sz w:val="24"/>
          <w:szCs w:val="24"/>
        </w:rPr>
        <w:t>value the wording of</w:t>
      </w:r>
      <w:r w:rsidR="00885596">
        <w:rPr>
          <w:rFonts w:ascii="Times New Roman" w:hAnsi="Times New Roman" w:cs="Times New Roman"/>
          <w:sz w:val="24"/>
          <w:szCs w:val="24"/>
        </w:rPr>
        <w:t xml:space="preserve"> items differently to those who were interviewed.</w:t>
      </w:r>
      <w:r w:rsidR="004D443E">
        <w:rPr>
          <w:rFonts w:ascii="Times New Roman" w:hAnsi="Times New Roman" w:cs="Times New Roman"/>
          <w:sz w:val="24"/>
          <w:szCs w:val="24"/>
        </w:rPr>
        <w:t xml:space="preserve"> This is unlikely though, as TPDs were represented in the interviews and the Delphi and saturation of data had been reached.</w:t>
      </w:r>
      <w:r w:rsidR="00885596">
        <w:rPr>
          <w:rFonts w:ascii="Times New Roman" w:hAnsi="Times New Roman" w:cs="Times New Roman"/>
          <w:sz w:val="24"/>
          <w:szCs w:val="24"/>
        </w:rPr>
        <w:t xml:space="preserve"> </w:t>
      </w:r>
      <w:r w:rsidR="004D443E">
        <w:rPr>
          <w:rFonts w:ascii="Times New Roman" w:hAnsi="Times New Roman" w:cs="Times New Roman"/>
          <w:sz w:val="24"/>
          <w:szCs w:val="24"/>
        </w:rPr>
        <w:t>This is further demonstrated by</w:t>
      </w:r>
      <w:r w:rsidR="00E81393">
        <w:rPr>
          <w:rFonts w:ascii="Times New Roman" w:hAnsi="Times New Roman" w:cs="Times New Roman"/>
          <w:sz w:val="24"/>
          <w:szCs w:val="24"/>
        </w:rPr>
        <w:t xml:space="preserve"> the fact that </w:t>
      </w:r>
      <w:r w:rsidR="008D4186">
        <w:rPr>
          <w:rFonts w:ascii="Times New Roman" w:hAnsi="Times New Roman" w:cs="Times New Roman"/>
          <w:sz w:val="24"/>
          <w:szCs w:val="24"/>
        </w:rPr>
        <w:t>no new items</w:t>
      </w:r>
      <w:r w:rsidR="004D443E">
        <w:rPr>
          <w:rFonts w:ascii="Times New Roman" w:hAnsi="Times New Roman" w:cs="Times New Roman"/>
          <w:sz w:val="24"/>
          <w:szCs w:val="24"/>
        </w:rPr>
        <w:t xml:space="preserve"> </w:t>
      </w:r>
      <w:r w:rsidR="00E81393">
        <w:rPr>
          <w:rFonts w:ascii="Times New Roman" w:hAnsi="Times New Roman" w:cs="Times New Roman"/>
          <w:sz w:val="24"/>
          <w:szCs w:val="24"/>
        </w:rPr>
        <w:t xml:space="preserve">were </w:t>
      </w:r>
      <w:r w:rsidR="004D443E">
        <w:rPr>
          <w:rFonts w:ascii="Times New Roman" w:hAnsi="Times New Roman" w:cs="Times New Roman"/>
          <w:sz w:val="24"/>
          <w:szCs w:val="24"/>
        </w:rPr>
        <w:t>suggested through the Delphi</w:t>
      </w:r>
      <w:r w:rsidR="008D4186">
        <w:rPr>
          <w:rFonts w:ascii="Times New Roman" w:hAnsi="Times New Roman" w:cs="Times New Roman"/>
          <w:sz w:val="24"/>
          <w:szCs w:val="24"/>
        </w:rPr>
        <w:t xml:space="preserve"> and no items reached “consensus out”</w:t>
      </w:r>
      <w:r w:rsidR="004D443E">
        <w:rPr>
          <w:rFonts w:ascii="Times New Roman" w:hAnsi="Times New Roman" w:cs="Times New Roman"/>
          <w:sz w:val="24"/>
          <w:szCs w:val="24"/>
        </w:rPr>
        <w:t xml:space="preserve">. </w:t>
      </w:r>
    </w:p>
    <w:p w14:paraId="28A42BF6" w14:textId="35793325" w:rsidR="00863DF5" w:rsidRPr="006F3B00" w:rsidRDefault="00FC7862" w:rsidP="00863DF5">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63DF5" w:rsidRPr="006F3B00">
        <w:rPr>
          <w:rFonts w:ascii="Times New Roman" w:hAnsi="Times New Roman" w:cs="Times New Roman"/>
          <w:sz w:val="24"/>
          <w:szCs w:val="24"/>
        </w:rPr>
        <w:t>Finally, although most participants scored items similarly, items 21 and 22 were scored quite differently by one participant. These items were:</w:t>
      </w:r>
    </w:p>
    <w:p w14:paraId="3D373F0E"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Item 21.</w:t>
      </w:r>
      <w:r w:rsidR="000E3660">
        <w:rPr>
          <w:rFonts w:ascii="Times New Roman" w:hAnsi="Times New Roman" w:cs="Times New Roman"/>
          <w:sz w:val="24"/>
          <w:szCs w:val="24"/>
        </w:rPr>
        <w:t xml:space="preserve"> </w:t>
      </w:r>
      <w:r w:rsidRPr="006F3B00">
        <w:rPr>
          <w:rFonts w:ascii="Times New Roman" w:hAnsi="Times New Roman" w:cs="Times New Roman"/>
          <w:sz w:val="24"/>
          <w:szCs w:val="24"/>
        </w:rPr>
        <w:t xml:space="preserve">Senior trainees can be trusted to report independently (the consultant does not check the report and the trainee authorises it). </w:t>
      </w:r>
    </w:p>
    <w:p w14:paraId="0B7AC8E4"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Item 22. Trainee asks for help/second opinion when needed.</w:t>
      </w:r>
    </w:p>
    <w:p w14:paraId="00798D47"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Item 21 had a median score of 8 but was given a score of 3 by a single participant. The participant did not offer any feedback regarding the low score after rounds 1 or 2. It is unclear why they took this stance. A possible explanation is that they feel independent reporting is not used routinely during training so is not something they use to determine diagnostic competence.</w:t>
      </w:r>
    </w:p>
    <w:p w14:paraId="522D83FB" w14:textId="77777777" w:rsidR="00863DF5"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Item 22 had a median score of 10 but was given a score 1 by a single participant. The participant did not offer any feedback following round 1 regarding why they had given such a low score. However, having seen the mean panel score in round 2, and maintaining a score of 1, the participant explained </w:t>
      </w:r>
      <w:r w:rsidRPr="006F3B00">
        <w:rPr>
          <w:rFonts w:ascii="Times New Roman" w:hAnsi="Times New Roman" w:cs="Times New Roman"/>
          <w:i/>
          <w:sz w:val="24"/>
          <w:szCs w:val="24"/>
        </w:rPr>
        <w:t xml:space="preserve">“I strongly believe trainees should be discouraged to do this as the trainer then is not aware of the trainees’ gap in knowledge and a very useful opportunity for teaching is missed”. </w:t>
      </w:r>
      <w:r w:rsidRPr="006F3B00">
        <w:rPr>
          <w:rFonts w:ascii="Times New Roman" w:hAnsi="Times New Roman" w:cs="Times New Roman"/>
          <w:sz w:val="24"/>
          <w:szCs w:val="24"/>
        </w:rPr>
        <w:t>This opinion was distinctly different to the other participants. It probably reflects that some trainees may talk to other trainees about cases before getting them checked by the consultant. While this does mean the trainer might not be as aware of “gaps in knowledge”, it could be argued that the trainee is actively learning by discussing cases and may feel more comfortable asking questions to their peers in the first instance. It is also very difficult to stop trainees from talking to one another.</w:t>
      </w:r>
    </w:p>
    <w:p w14:paraId="372D0DF3" w14:textId="751CC58A" w:rsidR="00863DF5" w:rsidRPr="006F3B00" w:rsidRDefault="005B2A78" w:rsidP="00BA644F">
      <w:pPr>
        <w:pStyle w:val="Heading2"/>
        <w:rPr>
          <w:rFonts w:ascii="Times New Roman" w:hAnsi="Times New Roman" w:cs="Times New Roman"/>
          <w:color w:val="auto"/>
          <w:sz w:val="24"/>
          <w:szCs w:val="24"/>
        </w:rPr>
      </w:pPr>
      <w:bookmarkStart w:id="117" w:name="_Toc23243846"/>
      <w:r>
        <w:rPr>
          <w:rFonts w:ascii="Times New Roman" w:hAnsi="Times New Roman" w:cs="Times New Roman"/>
          <w:color w:val="auto"/>
          <w:sz w:val="24"/>
          <w:szCs w:val="24"/>
        </w:rPr>
        <w:t>5.6</w:t>
      </w:r>
      <w:r w:rsidR="00BA644F"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Limitations</w:t>
      </w:r>
      <w:bookmarkEnd w:id="117"/>
    </w:p>
    <w:p w14:paraId="567CF972" w14:textId="77777777" w:rsidR="00BA644F" w:rsidRPr="006F3B00" w:rsidRDefault="00BA644F" w:rsidP="00BA644F">
      <w:pPr>
        <w:rPr>
          <w:rFonts w:ascii="Times New Roman" w:hAnsi="Times New Roman" w:cs="Times New Roman"/>
          <w:sz w:val="24"/>
          <w:szCs w:val="24"/>
          <w:lang w:val="en-GB"/>
        </w:rPr>
      </w:pPr>
    </w:p>
    <w:p w14:paraId="137A5FE9" w14:textId="77777777"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 consensus is only a pre-defined level of agreement which may not reflect the complexity of the judgement or that full agreement has actually been reached. However, the decreasing IQR and SD for most statement</w:t>
      </w:r>
      <w:r w:rsidR="000E3660">
        <w:rPr>
          <w:rFonts w:ascii="Times New Roman" w:hAnsi="Times New Roman" w:cs="Times New Roman"/>
          <w:sz w:val="24"/>
          <w:szCs w:val="24"/>
        </w:rPr>
        <w:t>s</w:t>
      </w:r>
      <w:r w:rsidRPr="006F3B00">
        <w:rPr>
          <w:rFonts w:ascii="Times New Roman" w:hAnsi="Times New Roman" w:cs="Times New Roman"/>
          <w:sz w:val="24"/>
          <w:szCs w:val="24"/>
        </w:rPr>
        <w:t xml:space="preserve"> as well as the reduced number of comments between the first and second rounds support that agreement had been reached and further rounds were unlikely to add further information as the results were also statistically stable. </w:t>
      </w:r>
    </w:p>
    <w:p w14:paraId="58BE2AC9" w14:textId="2F3BF07D"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The results from the Delphi only i</w:t>
      </w:r>
      <w:r w:rsidR="00BD11F4">
        <w:rPr>
          <w:rFonts w:ascii="Times New Roman" w:hAnsi="Times New Roman" w:cs="Times New Roman"/>
          <w:sz w:val="24"/>
          <w:szCs w:val="24"/>
        </w:rPr>
        <w:t>ndicate agreement with items and</w:t>
      </w:r>
      <w:r w:rsidRPr="006F3B00">
        <w:rPr>
          <w:rFonts w:ascii="Times New Roman" w:hAnsi="Times New Roman" w:cs="Times New Roman"/>
          <w:sz w:val="24"/>
          <w:szCs w:val="24"/>
        </w:rPr>
        <w:t xml:space="preserve"> further work is needed to determine the pedagogic approach required to deliver these components within assessments.</w:t>
      </w:r>
    </w:p>
    <w:p w14:paraId="127C4341" w14:textId="3C80552F" w:rsidR="0062499B" w:rsidRPr="006F3B00" w:rsidRDefault="0062499B"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All participants for the Delphi stud</w:t>
      </w:r>
      <w:r w:rsidR="00A359C0">
        <w:rPr>
          <w:rFonts w:ascii="Times New Roman" w:hAnsi="Times New Roman" w:cs="Times New Roman"/>
          <w:sz w:val="24"/>
          <w:szCs w:val="24"/>
        </w:rPr>
        <w:t>y were purposefully sought but eight</w:t>
      </w:r>
      <w:r w:rsidRPr="006F3B00">
        <w:rPr>
          <w:rFonts w:ascii="Times New Roman" w:hAnsi="Times New Roman" w:cs="Times New Roman"/>
          <w:sz w:val="24"/>
          <w:szCs w:val="24"/>
        </w:rPr>
        <w:t xml:space="preserve"> of them required personal emails in order for them to agree to be part of the study. It could be argued that those who do not volunteer may have lower motivation to accurately score and rate items within the Delphi study. Although the response rate was 100%, multiple reminder emails had to be sent and many participants provided little feedback to justify their scoring. A deeper insight into the Delphi items may have been gained with more feedback from participants, but as the main purpose of the Delphi was to triangulate our findings, and a great deal of insight into the issues had been explored through the interviews, </w:t>
      </w:r>
      <w:r w:rsidR="0087119D">
        <w:rPr>
          <w:rFonts w:ascii="Times New Roman" w:hAnsi="Times New Roman" w:cs="Times New Roman"/>
          <w:sz w:val="24"/>
          <w:szCs w:val="24"/>
        </w:rPr>
        <w:t>the Delphi nevertheless achieved its aims.</w:t>
      </w:r>
      <w:r w:rsidR="00AC1C34">
        <w:rPr>
          <w:rFonts w:ascii="Times New Roman" w:hAnsi="Times New Roman" w:cs="Times New Roman"/>
          <w:sz w:val="24"/>
          <w:szCs w:val="24"/>
        </w:rPr>
        <w:t xml:space="preserve"> </w:t>
      </w:r>
    </w:p>
    <w:p w14:paraId="442CCD1C" w14:textId="2395130B" w:rsidR="00863DF5" w:rsidRPr="006F3B00" w:rsidRDefault="005B2A78" w:rsidP="00BA644F">
      <w:pPr>
        <w:pStyle w:val="Heading2"/>
        <w:rPr>
          <w:rFonts w:ascii="Times New Roman" w:hAnsi="Times New Roman" w:cs="Times New Roman"/>
          <w:color w:val="auto"/>
          <w:sz w:val="24"/>
          <w:szCs w:val="24"/>
        </w:rPr>
      </w:pPr>
      <w:bookmarkStart w:id="118" w:name="_Toc23243847"/>
      <w:r>
        <w:rPr>
          <w:rFonts w:ascii="Times New Roman" w:hAnsi="Times New Roman" w:cs="Times New Roman"/>
          <w:color w:val="auto"/>
          <w:sz w:val="24"/>
          <w:szCs w:val="24"/>
        </w:rPr>
        <w:t>5.7</w:t>
      </w:r>
      <w:r w:rsidR="00BA644F" w:rsidRPr="006F3B00">
        <w:rPr>
          <w:rFonts w:ascii="Times New Roman" w:hAnsi="Times New Roman" w:cs="Times New Roman"/>
          <w:color w:val="auto"/>
          <w:sz w:val="24"/>
          <w:szCs w:val="24"/>
        </w:rPr>
        <w:t xml:space="preserve"> </w:t>
      </w:r>
      <w:r w:rsidR="00863DF5" w:rsidRPr="006F3B00">
        <w:rPr>
          <w:rFonts w:ascii="Times New Roman" w:hAnsi="Times New Roman" w:cs="Times New Roman"/>
          <w:color w:val="auto"/>
          <w:sz w:val="24"/>
          <w:szCs w:val="24"/>
        </w:rPr>
        <w:t>Conclusion</w:t>
      </w:r>
      <w:bookmarkEnd w:id="118"/>
    </w:p>
    <w:p w14:paraId="05C5835E" w14:textId="77777777" w:rsidR="00BA644F" w:rsidRPr="006F3B00" w:rsidRDefault="00BA644F" w:rsidP="00BA644F">
      <w:pPr>
        <w:rPr>
          <w:rFonts w:ascii="Times New Roman" w:hAnsi="Times New Roman" w:cs="Times New Roman"/>
          <w:sz w:val="24"/>
          <w:szCs w:val="24"/>
          <w:lang w:val="en-GB"/>
        </w:rPr>
      </w:pPr>
    </w:p>
    <w:p w14:paraId="3FDD4833" w14:textId="0D93A728"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Delphi has triangulated our findings from the qualitative interviews, in that the items presented appear to be highly valued by the Delphi participants as well. No new items were suggested by participants, suggesting the qualitative interviews explored diagnostic competence in sufficient depth. Three factors were highlighted by the Delphi panel which relate</w:t>
      </w:r>
      <w:r w:rsidR="00DE71AB">
        <w:rPr>
          <w:rFonts w:ascii="Times New Roman" w:hAnsi="Times New Roman" w:cs="Times New Roman"/>
          <w:sz w:val="24"/>
          <w:szCs w:val="24"/>
        </w:rPr>
        <w:t xml:space="preserve"> to</w:t>
      </w:r>
      <w:r w:rsidRPr="006F3B00">
        <w:rPr>
          <w:rFonts w:ascii="Times New Roman" w:hAnsi="Times New Roman" w:cs="Times New Roman"/>
          <w:sz w:val="24"/>
          <w:szCs w:val="24"/>
        </w:rPr>
        <w:t xml:space="preserve"> the judgement ecology and which were </w:t>
      </w:r>
      <w:r w:rsidR="00DE71AB">
        <w:rPr>
          <w:rFonts w:ascii="Times New Roman" w:hAnsi="Times New Roman" w:cs="Times New Roman"/>
          <w:sz w:val="24"/>
          <w:szCs w:val="24"/>
        </w:rPr>
        <w:t>also help to corroborate the</w:t>
      </w:r>
      <w:r w:rsidRPr="006F3B00">
        <w:rPr>
          <w:rFonts w:ascii="Times New Roman" w:hAnsi="Times New Roman" w:cs="Times New Roman"/>
          <w:sz w:val="24"/>
          <w:szCs w:val="24"/>
        </w:rPr>
        <w:t xml:space="preserve"> theoretical model of diagnostic competence provided in the previous chapter. Firstly, the stage of training is very important to the judgement of diagnostic competence as the majority of comments from participants mentioned this factor. The stage of training reflects that competence develops with experience and expectations increase with time. Secondly, several participants stated that it was difficult to rate items or that they correlated with other items in some way. This reflects the complex nature of the judgement ecology which we have previously described. It also helps to justify why case vignettes would not have been appropriate methodology to ju</w:t>
      </w:r>
      <w:r w:rsidR="00DE71AB">
        <w:rPr>
          <w:rFonts w:ascii="Times New Roman" w:hAnsi="Times New Roman" w:cs="Times New Roman"/>
          <w:sz w:val="24"/>
          <w:szCs w:val="24"/>
        </w:rPr>
        <w:t xml:space="preserve">dge the importance of the </w:t>
      </w:r>
      <w:r w:rsidR="00DE71AB">
        <w:rPr>
          <w:rFonts w:ascii="Times New Roman" w:hAnsi="Times New Roman" w:cs="Times New Roman"/>
          <w:sz w:val="24"/>
          <w:szCs w:val="24"/>
        </w:rPr>
        <w:lastRenderedPageBreak/>
        <w:t>items as manipulating individual qualities would have oversimplified the judgement.</w:t>
      </w:r>
      <w:r w:rsidRPr="006F3B00">
        <w:rPr>
          <w:rFonts w:ascii="Times New Roman" w:hAnsi="Times New Roman" w:cs="Times New Roman"/>
          <w:sz w:val="24"/>
          <w:szCs w:val="24"/>
        </w:rPr>
        <w:t xml:space="preserve"> Thirdly, participants gave the lowest score to item 4 which read “individual cases in an examination setting”. This further highlights that the judgement ecology is longitudinal in nature and compete</w:t>
      </w:r>
      <w:r w:rsidR="004E4460">
        <w:rPr>
          <w:rFonts w:ascii="Times New Roman" w:hAnsi="Times New Roman" w:cs="Times New Roman"/>
          <w:sz w:val="24"/>
          <w:szCs w:val="24"/>
        </w:rPr>
        <w:t>ncy is best measured over time.</w:t>
      </w:r>
    </w:p>
    <w:p w14:paraId="27279909" w14:textId="77777777" w:rsidR="00863DF5" w:rsidRPr="006F3B00" w:rsidRDefault="00863DF5" w:rsidP="00863DF5">
      <w:pPr>
        <w:spacing w:line="480" w:lineRule="auto"/>
        <w:rPr>
          <w:rFonts w:ascii="Times New Roman" w:hAnsi="Times New Roman" w:cs="Times New Roman"/>
          <w:sz w:val="24"/>
          <w:szCs w:val="24"/>
        </w:rPr>
      </w:pPr>
    </w:p>
    <w:p w14:paraId="3526A3D8" w14:textId="77777777" w:rsidR="00863DF5" w:rsidRPr="006F3B00" w:rsidRDefault="00863DF5" w:rsidP="00863DF5">
      <w:pPr>
        <w:spacing w:line="480" w:lineRule="auto"/>
        <w:rPr>
          <w:rFonts w:ascii="Times New Roman" w:hAnsi="Times New Roman" w:cs="Times New Roman"/>
          <w:sz w:val="24"/>
          <w:szCs w:val="24"/>
        </w:rPr>
      </w:pPr>
    </w:p>
    <w:p w14:paraId="26686A70"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0EC823C8" w14:textId="27F5B21A" w:rsidR="00B65B60" w:rsidRDefault="00B65B60" w:rsidP="00BA644F">
      <w:pPr>
        <w:pStyle w:val="Heading1"/>
        <w:jc w:val="center"/>
        <w:rPr>
          <w:rFonts w:ascii="Times New Roman" w:hAnsi="Times New Roman" w:cs="Times New Roman"/>
          <w:b/>
          <w:color w:val="auto"/>
          <w:sz w:val="24"/>
          <w:szCs w:val="24"/>
          <w:u w:val="single"/>
        </w:rPr>
      </w:pPr>
    </w:p>
    <w:p w14:paraId="17BE6311" w14:textId="35343B36" w:rsidR="00BA5222" w:rsidRDefault="00BA5222" w:rsidP="00BA5222"/>
    <w:p w14:paraId="2FD04569" w14:textId="62DDA2E1" w:rsidR="00BA5222" w:rsidRDefault="00BA5222" w:rsidP="00BA5222"/>
    <w:p w14:paraId="6BBE8234" w14:textId="146E73BA" w:rsidR="00BA5222" w:rsidRDefault="00BA5222" w:rsidP="00BA5222"/>
    <w:p w14:paraId="6C5A5F97" w14:textId="77777777" w:rsidR="00BA5222" w:rsidRPr="00BA5222" w:rsidRDefault="00BA5222" w:rsidP="00BA5222"/>
    <w:p w14:paraId="2F116202"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48E9C2F7" w14:textId="6884B4DF" w:rsidR="00B65B60" w:rsidRDefault="00B65B60" w:rsidP="00BA644F">
      <w:pPr>
        <w:pStyle w:val="Heading1"/>
        <w:jc w:val="center"/>
        <w:rPr>
          <w:rFonts w:ascii="Times New Roman" w:hAnsi="Times New Roman" w:cs="Times New Roman"/>
          <w:b/>
          <w:color w:val="auto"/>
          <w:sz w:val="24"/>
          <w:szCs w:val="24"/>
          <w:u w:val="single"/>
        </w:rPr>
      </w:pPr>
    </w:p>
    <w:p w14:paraId="461BCAF1" w14:textId="4B42D831" w:rsidR="00BA5222" w:rsidRDefault="00BA5222" w:rsidP="00BA5222"/>
    <w:p w14:paraId="5E6CB8B3" w14:textId="6ACC75E6" w:rsidR="00BA5222" w:rsidRDefault="00BA5222" w:rsidP="00BA5222"/>
    <w:p w14:paraId="40D3FBAE" w14:textId="27A4124A" w:rsidR="00BA5222" w:rsidRDefault="00BA5222" w:rsidP="00BA5222"/>
    <w:p w14:paraId="5C5E5C00" w14:textId="77777777" w:rsidR="00BA5222" w:rsidRPr="00BA5222" w:rsidRDefault="00BA5222" w:rsidP="00BA5222"/>
    <w:p w14:paraId="454AEF99" w14:textId="77777777" w:rsidR="00BA5222" w:rsidRDefault="00BA5222" w:rsidP="004F70BC">
      <w:pPr>
        <w:pStyle w:val="Heading1"/>
        <w:jc w:val="center"/>
        <w:rPr>
          <w:rFonts w:ascii="Times New Roman" w:hAnsi="Times New Roman" w:cs="Times New Roman"/>
          <w:b/>
          <w:color w:val="auto"/>
          <w:sz w:val="72"/>
          <w:szCs w:val="72"/>
        </w:rPr>
      </w:pPr>
    </w:p>
    <w:p w14:paraId="0D51D48A" w14:textId="77777777" w:rsidR="00BA5222" w:rsidRDefault="00BA5222" w:rsidP="004F70BC">
      <w:pPr>
        <w:pStyle w:val="Heading1"/>
        <w:jc w:val="center"/>
        <w:rPr>
          <w:rFonts w:ascii="Times New Roman" w:hAnsi="Times New Roman" w:cs="Times New Roman"/>
          <w:b/>
          <w:color w:val="auto"/>
          <w:sz w:val="72"/>
          <w:szCs w:val="72"/>
        </w:rPr>
      </w:pPr>
    </w:p>
    <w:p w14:paraId="4AE94835" w14:textId="0B06575A" w:rsidR="00B65B60" w:rsidRPr="006F3B00" w:rsidRDefault="00B65B60" w:rsidP="004F70BC">
      <w:pPr>
        <w:pStyle w:val="Heading1"/>
        <w:jc w:val="center"/>
        <w:rPr>
          <w:rFonts w:ascii="Times New Roman" w:hAnsi="Times New Roman" w:cs="Times New Roman"/>
          <w:b/>
          <w:color w:val="auto"/>
          <w:sz w:val="72"/>
          <w:szCs w:val="72"/>
        </w:rPr>
      </w:pPr>
      <w:bookmarkStart w:id="119" w:name="_Toc23243848"/>
      <w:r w:rsidRPr="006F3B00">
        <w:rPr>
          <w:rFonts w:ascii="Times New Roman" w:hAnsi="Times New Roman" w:cs="Times New Roman"/>
          <w:b/>
          <w:color w:val="auto"/>
          <w:sz w:val="72"/>
          <w:szCs w:val="72"/>
        </w:rPr>
        <w:t>Chapter 6</w:t>
      </w:r>
      <w:bookmarkEnd w:id="119"/>
    </w:p>
    <w:p w14:paraId="72840838" w14:textId="6CD454F9" w:rsidR="00B65B60" w:rsidRPr="006F3B00" w:rsidRDefault="00B65B60" w:rsidP="004F70BC">
      <w:pPr>
        <w:pStyle w:val="Heading1"/>
        <w:jc w:val="center"/>
        <w:rPr>
          <w:rFonts w:ascii="Times New Roman" w:hAnsi="Times New Roman" w:cs="Times New Roman"/>
          <w:b/>
          <w:color w:val="auto"/>
          <w:sz w:val="72"/>
          <w:szCs w:val="72"/>
        </w:rPr>
      </w:pPr>
      <w:bookmarkStart w:id="120" w:name="_Toc23243849"/>
      <w:r w:rsidRPr="006F3B00">
        <w:rPr>
          <w:rFonts w:ascii="Times New Roman" w:hAnsi="Times New Roman" w:cs="Times New Roman"/>
          <w:b/>
          <w:color w:val="auto"/>
          <w:sz w:val="72"/>
          <w:szCs w:val="72"/>
        </w:rPr>
        <w:t>Final discussion</w:t>
      </w:r>
      <w:bookmarkEnd w:id="120"/>
    </w:p>
    <w:p w14:paraId="4E3C4CEC"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7A5FC7E2"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47841440"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3109AB80"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5B051594"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6D19C4ED"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10A4A319"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1711B83F"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1DD60B47"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377B53B9" w14:textId="77777777" w:rsidR="00B65B60" w:rsidRPr="006F3B00" w:rsidRDefault="00B65B60" w:rsidP="00BA644F">
      <w:pPr>
        <w:pStyle w:val="Heading1"/>
        <w:jc w:val="center"/>
        <w:rPr>
          <w:rFonts w:ascii="Times New Roman" w:hAnsi="Times New Roman" w:cs="Times New Roman"/>
          <w:b/>
          <w:color w:val="auto"/>
          <w:sz w:val="24"/>
          <w:szCs w:val="24"/>
          <w:u w:val="single"/>
        </w:rPr>
      </w:pPr>
    </w:p>
    <w:p w14:paraId="1147AB23" w14:textId="5B58C71D" w:rsidR="00B65B60" w:rsidRDefault="00B65B60" w:rsidP="00BA644F">
      <w:pPr>
        <w:pStyle w:val="Heading1"/>
        <w:jc w:val="center"/>
        <w:rPr>
          <w:rFonts w:ascii="Times New Roman" w:hAnsi="Times New Roman" w:cs="Times New Roman"/>
          <w:b/>
          <w:color w:val="auto"/>
          <w:sz w:val="24"/>
          <w:szCs w:val="24"/>
          <w:u w:val="single"/>
        </w:rPr>
      </w:pPr>
    </w:p>
    <w:p w14:paraId="77DB937A" w14:textId="0BF401D8" w:rsidR="00BA5222" w:rsidRDefault="00BA5222" w:rsidP="00BA5222"/>
    <w:p w14:paraId="2AF76761" w14:textId="33D5B830" w:rsidR="00BA5222" w:rsidRDefault="00BA5222" w:rsidP="00BA5222"/>
    <w:p w14:paraId="2907D6FD" w14:textId="5010EA16" w:rsidR="00BA5222" w:rsidRDefault="00BA5222" w:rsidP="00BA5222"/>
    <w:p w14:paraId="33F1328C" w14:textId="453377D0" w:rsidR="00BA5222" w:rsidRDefault="00BA5222" w:rsidP="00BA5222"/>
    <w:p w14:paraId="628847D1" w14:textId="2B8BE4A0" w:rsidR="00BA5222" w:rsidRDefault="00BA5222" w:rsidP="00BA5222"/>
    <w:p w14:paraId="30CEA92A" w14:textId="74DDF3D3" w:rsidR="00BA5222" w:rsidRDefault="00BA5222" w:rsidP="00BA5222"/>
    <w:p w14:paraId="01DFE303" w14:textId="3A01795F" w:rsidR="00BA5222" w:rsidRDefault="00BA5222" w:rsidP="00BA5222"/>
    <w:p w14:paraId="659A12FE" w14:textId="5FC023D7" w:rsidR="00BA5222" w:rsidRDefault="00BA5222" w:rsidP="00BA5222"/>
    <w:p w14:paraId="692BDAC6" w14:textId="77777777" w:rsidR="00BA5222" w:rsidRPr="00BA5222" w:rsidRDefault="00BA5222" w:rsidP="00BA5222"/>
    <w:p w14:paraId="0D45D5E1" w14:textId="4268A5A7" w:rsidR="00832913" w:rsidRDefault="00832913" w:rsidP="004F70BC">
      <w:pPr>
        <w:rPr>
          <w:rFonts w:ascii="Times New Roman" w:eastAsiaTheme="majorEastAsia" w:hAnsi="Times New Roman" w:cs="Times New Roman"/>
          <w:b/>
          <w:sz w:val="24"/>
          <w:szCs w:val="24"/>
          <w:u w:val="single"/>
        </w:rPr>
      </w:pPr>
    </w:p>
    <w:p w14:paraId="58369C10" w14:textId="4E362C83" w:rsidR="00863DF5" w:rsidRPr="00BA5222" w:rsidRDefault="00BA644F" w:rsidP="00BA5222">
      <w:pPr>
        <w:jc w:val="center"/>
        <w:rPr>
          <w:rFonts w:ascii="Times New Roman" w:hAnsi="Times New Roman" w:cs="Times New Roman"/>
          <w:b/>
          <w:sz w:val="24"/>
          <w:szCs w:val="24"/>
          <w:u w:val="single"/>
        </w:rPr>
      </w:pPr>
      <w:r w:rsidRPr="00BA5222">
        <w:rPr>
          <w:rFonts w:ascii="Times New Roman" w:hAnsi="Times New Roman" w:cs="Times New Roman"/>
          <w:b/>
          <w:sz w:val="24"/>
          <w:szCs w:val="24"/>
          <w:u w:val="single"/>
        </w:rPr>
        <w:lastRenderedPageBreak/>
        <w:t>Chapter 6:</w:t>
      </w:r>
      <w:r w:rsidR="00832913" w:rsidRPr="00BA5222">
        <w:rPr>
          <w:rFonts w:ascii="Times New Roman" w:hAnsi="Times New Roman" w:cs="Times New Roman"/>
          <w:b/>
          <w:sz w:val="24"/>
          <w:szCs w:val="24"/>
          <w:u w:val="single"/>
        </w:rPr>
        <w:t xml:space="preserve"> Final discussion</w:t>
      </w:r>
    </w:p>
    <w:p w14:paraId="420DFFBC" w14:textId="77777777" w:rsidR="00863DF5" w:rsidRPr="006F3B00" w:rsidRDefault="00863DF5" w:rsidP="00863DF5">
      <w:pPr>
        <w:spacing w:line="480" w:lineRule="auto"/>
        <w:rPr>
          <w:rFonts w:ascii="Times New Roman" w:hAnsi="Times New Roman" w:cs="Times New Roman"/>
          <w:sz w:val="24"/>
          <w:szCs w:val="24"/>
        </w:rPr>
      </w:pPr>
    </w:p>
    <w:p w14:paraId="2E1894AF" w14:textId="77777777" w:rsidR="00863DF5" w:rsidRPr="006F3B00" w:rsidRDefault="00BA644F" w:rsidP="00BA644F">
      <w:pPr>
        <w:pStyle w:val="Heading2"/>
        <w:rPr>
          <w:rFonts w:ascii="Times New Roman" w:hAnsi="Times New Roman" w:cs="Times New Roman"/>
          <w:color w:val="auto"/>
          <w:sz w:val="24"/>
          <w:szCs w:val="24"/>
        </w:rPr>
      </w:pPr>
      <w:bookmarkStart w:id="121" w:name="_Toc23243850"/>
      <w:r w:rsidRPr="006F3B00">
        <w:rPr>
          <w:rFonts w:ascii="Times New Roman" w:hAnsi="Times New Roman" w:cs="Times New Roman"/>
          <w:color w:val="auto"/>
          <w:sz w:val="24"/>
          <w:szCs w:val="24"/>
        </w:rPr>
        <w:t xml:space="preserve">6.1 </w:t>
      </w:r>
      <w:r w:rsidR="00863DF5" w:rsidRPr="006F3B00">
        <w:rPr>
          <w:rFonts w:ascii="Times New Roman" w:hAnsi="Times New Roman" w:cs="Times New Roman"/>
          <w:color w:val="auto"/>
          <w:sz w:val="24"/>
          <w:szCs w:val="24"/>
        </w:rPr>
        <w:t>Discussion</w:t>
      </w:r>
      <w:bookmarkEnd w:id="121"/>
    </w:p>
    <w:p w14:paraId="000CB8B2" w14:textId="77777777" w:rsidR="00BA644F" w:rsidRPr="006F3B00" w:rsidRDefault="00BA644F" w:rsidP="00BA644F">
      <w:pPr>
        <w:rPr>
          <w:rFonts w:ascii="Times New Roman" w:hAnsi="Times New Roman" w:cs="Times New Roman"/>
          <w:sz w:val="24"/>
          <w:szCs w:val="24"/>
          <w:lang w:val="en-GB"/>
        </w:rPr>
      </w:pPr>
    </w:p>
    <w:p w14:paraId="03164435" w14:textId="0CC04285" w:rsidR="00954311"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Within the medical profession and its affiliated specialties, there is a need to train doctors and dentists of the future who are competent to treat and care for patients. Hence, assessments purported to fulfil this objective must be fit for purpose and also provide a quality training experience for trainees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{"citationItems":[{"id":"ITEM-1","itemData":{"DOI":"10.1136/postgradmedj-2012-130881","ISBN":"1469-0756 (Electronic)\\n0032-5473 (Linking)","ISSN":"00325473","PMID":"23019588","abstract":"Competency based training describes progression through training referenced to the demonstrated ability to perform certain tasks. In recent years, this has become the dominant curriculum model. We seek to examine who benefits from a competency based approach to medical education. For the regulators and service, the apparent advantage is in terms of apparent measurable accountability and flexibility. For assessors, the promise of competence based assessments in the workplace to provide a reliable and objective measurement of a trainee's performance has not been demonstrated in practice. For the doctor in training, there is very little evidence to show benefit from competency based training. Competency based training places emphasis on individual skills rather than overall learning experience thus risks diminishing the role of the trainee in the workplace. Any form of medical education that devalues workplace based learning will ultimately harm the profession and, in turn, patient care.","author":[{"dropping-particle":"","family":"Brightwell","given":"Alexandra","non-dropping-particle":"","parse-names":false,"suffix":""},{"dropping-particle":"","family":"Grant","given":"Janet","non-dropping-particle":"","parse-names":false,"suffix":""}],"container-title":"Postgraduate Medical Journal","id":"ITEM-1","issue":"1048","issued":{"date-parts":[["2013"]]},"page":"107-110","title":"Competency-based training: Who benefits?","type":"article","volume":"89"},"uris":["http://www.mendeley.com/documents/?uuid=616fa9e3-e552-43f2-9a65-7082457941d6"]}],"mendeley":{"formattedCitation":"(Brightwell and Grant, 2013)","plainTextFormattedCitation":"(Brightwell and Grant, 2013)","previouslyFormattedCitation":"(Brightwell and Grant 2013)"},"properties":{"noteIndex":0},"schema":"https://github.com/citation-style-language/schema/raw/master/csl-citation.json"}</w:instrText>
      </w:r>
      <w:r w:rsidRPr="006F3B00">
        <w:rPr>
          <w:rFonts w:ascii="Times New Roman" w:hAnsi="Times New Roman" w:cs="Times New Roman"/>
          <w:sz w:val="24"/>
          <w:szCs w:val="24"/>
        </w:rPr>
        <w:fldChar w:fldCharType="separate"/>
      </w:r>
      <w:r w:rsidR="00933DD9">
        <w:rPr>
          <w:rFonts w:ascii="Times New Roman" w:hAnsi="Times New Roman" w:cs="Times New Roman"/>
          <w:noProof/>
          <w:sz w:val="24"/>
          <w:szCs w:val="24"/>
        </w:rPr>
        <w:t>(Brightwell and Grant</w:t>
      </w:r>
      <w:r w:rsidR="00BE3B6C" w:rsidRPr="00BE3B6C">
        <w:rPr>
          <w:rFonts w:ascii="Times New Roman" w:hAnsi="Times New Roman" w:cs="Times New Roman"/>
          <w:noProof/>
          <w:sz w:val="24"/>
          <w:szCs w:val="24"/>
        </w:rPr>
        <w:t xml:space="preserve"> 2013)</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r w:rsidR="00954311" w:rsidRPr="006F3B00">
        <w:rPr>
          <w:rFonts w:ascii="Times New Roman" w:hAnsi="Times New Roman" w:cs="Times New Roman"/>
          <w:sz w:val="24"/>
          <w:szCs w:val="24"/>
        </w:rPr>
        <w:t>I</w:t>
      </w:r>
      <w:r w:rsidR="004C034D" w:rsidRPr="006F3B00">
        <w:rPr>
          <w:rFonts w:ascii="Times New Roman" w:hAnsi="Times New Roman" w:cs="Times New Roman"/>
          <w:sz w:val="24"/>
          <w:szCs w:val="24"/>
        </w:rPr>
        <w:t>t appears</w:t>
      </w:r>
      <w:r w:rsidR="00954311" w:rsidRPr="006F3B00">
        <w:rPr>
          <w:rFonts w:ascii="Times New Roman" w:hAnsi="Times New Roman" w:cs="Times New Roman"/>
          <w:sz w:val="24"/>
          <w:szCs w:val="24"/>
        </w:rPr>
        <w:t xml:space="preserve"> </w:t>
      </w:r>
      <w:r w:rsidR="004C034D" w:rsidRPr="006F3B00">
        <w:rPr>
          <w:rFonts w:ascii="Times New Roman" w:hAnsi="Times New Roman" w:cs="Times New Roman"/>
          <w:sz w:val="24"/>
          <w:szCs w:val="24"/>
        </w:rPr>
        <w:t>logical to therefore presume that these assessments</w:t>
      </w:r>
      <w:r w:rsidR="00954311" w:rsidRPr="006F3B00">
        <w:rPr>
          <w:rFonts w:ascii="Times New Roman" w:hAnsi="Times New Roman" w:cs="Times New Roman"/>
          <w:sz w:val="24"/>
          <w:szCs w:val="24"/>
        </w:rPr>
        <w:t xml:space="preserve"> are created from sound educational research and are acceptable to both the stakeholders and trainees.</w:t>
      </w:r>
    </w:p>
    <w:p w14:paraId="084359EF" w14:textId="13DDB6BE" w:rsidR="00863DF5" w:rsidRPr="006F3B00" w:rsidRDefault="004C034D"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However, despite </w:t>
      </w:r>
      <w:r w:rsidR="00863DF5" w:rsidRPr="006F3B00">
        <w:rPr>
          <w:rFonts w:ascii="Times New Roman" w:hAnsi="Times New Roman" w:cs="Times New Roman"/>
          <w:sz w:val="24"/>
          <w:szCs w:val="24"/>
        </w:rPr>
        <w:t xml:space="preserve">WBAs </w:t>
      </w:r>
      <w:r w:rsidRPr="006F3B00">
        <w:rPr>
          <w:rFonts w:ascii="Times New Roman" w:hAnsi="Times New Roman" w:cs="Times New Roman"/>
          <w:sz w:val="24"/>
          <w:szCs w:val="24"/>
        </w:rPr>
        <w:t>being a</w:t>
      </w:r>
      <w:r w:rsidR="00863DF5" w:rsidRPr="006F3B00">
        <w:rPr>
          <w:rFonts w:ascii="Times New Roman" w:hAnsi="Times New Roman" w:cs="Times New Roman"/>
          <w:sz w:val="24"/>
          <w:szCs w:val="24"/>
        </w:rPr>
        <w:t xml:space="preserve"> famili</w:t>
      </w:r>
      <w:r w:rsidR="00954311" w:rsidRPr="006F3B00">
        <w:rPr>
          <w:rFonts w:ascii="Times New Roman" w:hAnsi="Times New Roman" w:cs="Times New Roman"/>
          <w:sz w:val="24"/>
          <w:szCs w:val="24"/>
        </w:rPr>
        <w:t>ar part of specialist training in histopathology t</w:t>
      </w:r>
      <w:r w:rsidR="00863DF5" w:rsidRPr="006F3B00">
        <w:rPr>
          <w:rFonts w:ascii="Times New Roman" w:hAnsi="Times New Roman" w:cs="Times New Roman"/>
          <w:sz w:val="24"/>
          <w:szCs w:val="24"/>
        </w:rPr>
        <w:t xml:space="preserve">he healthcare literature suggests </w:t>
      </w:r>
      <w:r w:rsidR="0083455B">
        <w:rPr>
          <w:rFonts w:ascii="Times New Roman" w:hAnsi="Times New Roman" w:cs="Times New Roman"/>
          <w:sz w:val="24"/>
          <w:szCs w:val="24"/>
        </w:rPr>
        <w:t xml:space="preserve">there are </w:t>
      </w:r>
      <w:r w:rsidR="00863DF5" w:rsidRPr="006F3B00">
        <w:rPr>
          <w:rFonts w:ascii="Times New Roman" w:hAnsi="Times New Roman" w:cs="Times New Roman"/>
          <w:sz w:val="24"/>
          <w:szCs w:val="24"/>
        </w:rPr>
        <w:t xml:space="preserve">numerous issues related to these assessment tools, </w:t>
      </w:r>
      <w:r w:rsidR="00954311" w:rsidRPr="006F3B00">
        <w:rPr>
          <w:rFonts w:ascii="Times New Roman" w:hAnsi="Times New Roman" w:cs="Times New Roman"/>
          <w:sz w:val="24"/>
          <w:szCs w:val="24"/>
        </w:rPr>
        <w:t xml:space="preserve">with very </w:t>
      </w:r>
      <w:r w:rsidR="00863DF5" w:rsidRPr="006F3B00">
        <w:rPr>
          <w:rFonts w:ascii="Times New Roman" w:hAnsi="Times New Roman" w:cs="Times New Roman"/>
          <w:sz w:val="24"/>
          <w:szCs w:val="24"/>
        </w:rPr>
        <w:t>little evidence justifying their use i</w:t>
      </w:r>
      <w:r w:rsidR="007031B8">
        <w:rPr>
          <w:rFonts w:ascii="Times New Roman" w:hAnsi="Times New Roman" w:cs="Times New Roman"/>
          <w:sz w:val="24"/>
          <w:szCs w:val="24"/>
        </w:rPr>
        <w:t xml:space="preserve">n </w:t>
      </w:r>
      <w:proofErr w:type="gramStart"/>
      <w:r w:rsidR="007031B8">
        <w:rPr>
          <w:rFonts w:ascii="Times New Roman" w:hAnsi="Times New Roman" w:cs="Times New Roman"/>
          <w:sz w:val="24"/>
          <w:szCs w:val="24"/>
        </w:rPr>
        <w:t>histopathology.</w:t>
      </w:r>
      <w:proofErr w:type="gramEnd"/>
      <w:r w:rsidR="007031B8">
        <w:rPr>
          <w:rFonts w:ascii="Times New Roman" w:hAnsi="Times New Roman" w:cs="Times New Roman"/>
          <w:sz w:val="24"/>
          <w:szCs w:val="24"/>
        </w:rPr>
        <w:t xml:space="preserve"> </w:t>
      </w:r>
      <w:r w:rsidR="00954311" w:rsidRPr="006F3B00">
        <w:rPr>
          <w:rFonts w:ascii="Times New Roman" w:hAnsi="Times New Roman" w:cs="Times New Roman"/>
          <w:sz w:val="24"/>
          <w:szCs w:val="24"/>
        </w:rPr>
        <w:t>Coupled with this,</w:t>
      </w:r>
      <w:r w:rsidR="00863DF5" w:rsidRPr="006F3B00">
        <w:rPr>
          <w:rFonts w:ascii="Times New Roman" w:hAnsi="Times New Roman" w:cs="Times New Roman"/>
          <w:sz w:val="24"/>
          <w:szCs w:val="24"/>
        </w:rPr>
        <w:t xml:space="preserve"> it was also not clear from the literature what aspects of knowledge,</w:t>
      </w:r>
      <w:r w:rsidR="004D443E">
        <w:rPr>
          <w:rFonts w:ascii="Times New Roman" w:hAnsi="Times New Roman" w:cs="Times New Roman"/>
          <w:sz w:val="24"/>
          <w:szCs w:val="24"/>
        </w:rPr>
        <w:t xml:space="preserve"> skill and behaviour constitute</w:t>
      </w:r>
      <w:r w:rsidR="00863DF5" w:rsidRPr="006F3B00">
        <w:rPr>
          <w:rFonts w:ascii="Times New Roman" w:hAnsi="Times New Roman" w:cs="Times New Roman"/>
          <w:sz w:val="24"/>
          <w:szCs w:val="24"/>
        </w:rPr>
        <w:t xml:space="preserve"> competence in histopathology. Without a clear understanding of what competence is, it seemed reasonable to assume the current WBAs would not be able to measure this “unknown” entity.</w:t>
      </w:r>
    </w:p>
    <w:p w14:paraId="1ADDDB32" w14:textId="73ADA594" w:rsidR="00863DF5" w:rsidRPr="006F3B00" w:rsidRDefault="00DA0C47" w:rsidP="00863DF5">
      <w:pPr>
        <w:spacing w:line="480" w:lineRule="auto"/>
        <w:rPr>
          <w:rFonts w:ascii="Times New Roman" w:hAnsi="Times New Roman" w:cs="Times New Roman"/>
          <w:sz w:val="24"/>
          <w:szCs w:val="24"/>
        </w:rPr>
      </w:pPr>
      <w:r>
        <w:rPr>
          <w:rFonts w:ascii="Times New Roman" w:hAnsi="Times New Roman" w:cs="Times New Roman"/>
          <w:sz w:val="24"/>
          <w:szCs w:val="24"/>
        </w:rPr>
        <w:t>Thus the aims and</w:t>
      </w:r>
      <w:r w:rsidR="00863DF5" w:rsidRPr="006F3B00">
        <w:rPr>
          <w:rFonts w:ascii="Times New Roman" w:hAnsi="Times New Roman" w:cs="Times New Roman"/>
          <w:sz w:val="24"/>
          <w:szCs w:val="24"/>
        </w:rPr>
        <w:t xml:space="preserve"> objectives of this thesis were therefore to:</w:t>
      </w:r>
    </w:p>
    <w:p w14:paraId="00039359" w14:textId="1660A67B" w:rsidR="00DA0C47" w:rsidRPr="00DA0C47" w:rsidRDefault="00DA0C47" w:rsidP="00DA0C47">
      <w:pPr>
        <w:pStyle w:val="ListParagraph"/>
        <w:numPr>
          <w:ilvl w:val="0"/>
          <w:numId w:val="52"/>
        </w:numPr>
        <w:spacing w:after="120" w:line="480" w:lineRule="auto"/>
        <w:rPr>
          <w:rFonts w:ascii="Times New Roman" w:hAnsi="Times New Roman" w:cs="Times New Roman"/>
          <w:sz w:val="24"/>
          <w:szCs w:val="24"/>
        </w:rPr>
      </w:pPr>
      <w:r w:rsidRPr="00DA0C47">
        <w:rPr>
          <w:rFonts w:ascii="Times New Roman" w:hAnsi="Times New Roman" w:cs="Times New Roman"/>
          <w:sz w:val="24"/>
          <w:szCs w:val="24"/>
        </w:rPr>
        <w:t>To explore the perceptions of WBAs in histopathology by assessors and trainees using a questionnaire to:</w:t>
      </w:r>
    </w:p>
    <w:p w14:paraId="24386951" w14:textId="79D6B441" w:rsidR="00DA0C47" w:rsidRPr="00DA0C47" w:rsidRDefault="00DA0C47" w:rsidP="00DA0C47">
      <w:pPr>
        <w:pStyle w:val="ListParagraph"/>
        <w:numPr>
          <w:ilvl w:val="0"/>
          <w:numId w:val="53"/>
        </w:numPr>
        <w:spacing w:line="480" w:lineRule="auto"/>
        <w:jc w:val="both"/>
        <w:rPr>
          <w:rFonts w:ascii="Times New Roman" w:hAnsi="Times New Roman" w:cs="Times New Roman"/>
          <w:sz w:val="24"/>
          <w:szCs w:val="24"/>
        </w:rPr>
      </w:pPr>
      <w:proofErr w:type="gramStart"/>
      <w:r w:rsidRPr="00DA0C47">
        <w:rPr>
          <w:rFonts w:ascii="Times New Roman" w:hAnsi="Times New Roman" w:cs="Times New Roman"/>
          <w:sz w:val="24"/>
          <w:szCs w:val="24"/>
        </w:rPr>
        <w:t>understand</w:t>
      </w:r>
      <w:proofErr w:type="gramEnd"/>
      <w:r w:rsidRPr="00DA0C47">
        <w:rPr>
          <w:rFonts w:ascii="Times New Roman" w:hAnsi="Times New Roman" w:cs="Times New Roman"/>
          <w:sz w:val="24"/>
          <w:szCs w:val="24"/>
        </w:rPr>
        <w:t xml:space="preserve"> how WBAs are perceived in histopathology including a comparison to the themes identified in the healthcare literature: their perceived usefulness, validity and acceptance. </w:t>
      </w:r>
    </w:p>
    <w:p w14:paraId="232D13CF" w14:textId="1637F23C" w:rsidR="00DA0C47" w:rsidRPr="00DA0C47" w:rsidRDefault="00DA0C47" w:rsidP="00DA0C47">
      <w:pPr>
        <w:pStyle w:val="ListParagraph"/>
        <w:numPr>
          <w:ilvl w:val="0"/>
          <w:numId w:val="53"/>
        </w:numPr>
        <w:spacing w:line="480" w:lineRule="auto"/>
        <w:rPr>
          <w:rFonts w:ascii="Times New Roman" w:hAnsi="Times New Roman" w:cs="Times New Roman"/>
          <w:sz w:val="24"/>
          <w:szCs w:val="24"/>
        </w:rPr>
      </w:pPr>
      <w:r w:rsidRPr="00DA0C47">
        <w:rPr>
          <w:rFonts w:ascii="Times New Roman" w:hAnsi="Times New Roman" w:cs="Times New Roman"/>
          <w:sz w:val="24"/>
          <w:szCs w:val="24"/>
        </w:rPr>
        <w:t>understand if WBAs in histopathology are perceived to measure diagnostic competence</w:t>
      </w:r>
    </w:p>
    <w:p w14:paraId="135DA32A" w14:textId="77777777" w:rsidR="00DA0C47" w:rsidRDefault="00DA0C47" w:rsidP="00DA0C47">
      <w:pPr>
        <w:pStyle w:val="ListParagraph"/>
        <w:spacing w:line="480" w:lineRule="auto"/>
        <w:rPr>
          <w:rFonts w:ascii="Times New Roman" w:hAnsi="Times New Roman" w:cs="Times New Roman"/>
          <w:sz w:val="24"/>
          <w:szCs w:val="24"/>
        </w:rPr>
      </w:pPr>
    </w:p>
    <w:p w14:paraId="0A492B82" w14:textId="6FAAD7D9" w:rsidR="00DA0C47" w:rsidRPr="00DA0C47" w:rsidRDefault="00DA0C47" w:rsidP="00DA0C47">
      <w:pPr>
        <w:pStyle w:val="ListParagraph"/>
        <w:numPr>
          <w:ilvl w:val="0"/>
          <w:numId w:val="52"/>
        </w:numPr>
        <w:spacing w:line="480" w:lineRule="auto"/>
        <w:rPr>
          <w:rFonts w:ascii="Times New Roman" w:hAnsi="Times New Roman" w:cs="Times New Roman"/>
          <w:sz w:val="24"/>
          <w:szCs w:val="24"/>
        </w:rPr>
      </w:pPr>
      <w:r w:rsidRPr="00DA0C47">
        <w:rPr>
          <w:rFonts w:ascii="Times New Roman" w:hAnsi="Times New Roman" w:cs="Times New Roman"/>
          <w:bCs/>
          <w:sz w:val="24"/>
          <w:szCs w:val="24"/>
        </w:rPr>
        <w:lastRenderedPageBreak/>
        <w:t>To explore diagnostic competence in histopathology by means of a qualitative interview study using Framework Method to understand:</w:t>
      </w:r>
    </w:p>
    <w:p w14:paraId="3416E09F" w14:textId="23EA9B35" w:rsidR="00DA0C47" w:rsidRPr="00DA0C47" w:rsidRDefault="00DA0C47" w:rsidP="00DA0C47">
      <w:pPr>
        <w:pStyle w:val="ListParagraph"/>
        <w:numPr>
          <w:ilvl w:val="0"/>
          <w:numId w:val="54"/>
        </w:numPr>
        <w:spacing w:line="480" w:lineRule="auto"/>
        <w:rPr>
          <w:rFonts w:ascii="Times New Roman" w:hAnsi="Times New Roman" w:cs="Times New Roman"/>
          <w:sz w:val="24"/>
          <w:szCs w:val="24"/>
        </w:rPr>
      </w:pPr>
      <w:r w:rsidRPr="00DA0C47">
        <w:rPr>
          <w:rFonts w:ascii="Times New Roman" w:hAnsi="Times New Roman" w:cs="Times New Roman"/>
          <w:sz w:val="24"/>
          <w:szCs w:val="24"/>
        </w:rPr>
        <w:t>what diagnostic competence encompasses in histopathology</w:t>
      </w:r>
    </w:p>
    <w:p w14:paraId="6CB41368" w14:textId="799BE612" w:rsidR="00DA0C47" w:rsidRPr="00DA0C47" w:rsidRDefault="00DA0C47" w:rsidP="00DA0C47">
      <w:pPr>
        <w:pStyle w:val="ListParagraph"/>
        <w:numPr>
          <w:ilvl w:val="0"/>
          <w:numId w:val="54"/>
        </w:numPr>
        <w:spacing w:line="480" w:lineRule="auto"/>
        <w:rPr>
          <w:rFonts w:ascii="Times New Roman" w:hAnsi="Times New Roman" w:cs="Times New Roman"/>
          <w:sz w:val="24"/>
          <w:szCs w:val="24"/>
        </w:rPr>
      </w:pPr>
      <w:r w:rsidRPr="00DA0C47">
        <w:rPr>
          <w:rFonts w:ascii="Times New Roman" w:hAnsi="Times New Roman" w:cs="Times New Roman"/>
          <w:sz w:val="24"/>
          <w:szCs w:val="24"/>
        </w:rPr>
        <w:t xml:space="preserve"> the cues consultants look for in their trainees when determining diagnostic competence</w:t>
      </w:r>
    </w:p>
    <w:p w14:paraId="53596498" w14:textId="27097EE4" w:rsidR="00DA0C47" w:rsidRDefault="00DA0C47" w:rsidP="00DA0C47">
      <w:pPr>
        <w:pStyle w:val="ListParagraph"/>
        <w:numPr>
          <w:ilvl w:val="0"/>
          <w:numId w:val="54"/>
        </w:numPr>
        <w:spacing w:line="480" w:lineRule="auto"/>
        <w:rPr>
          <w:rFonts w:ascii="Times New Roman" w:hAnsi="Times New Roman" w:cs="Times New Roman"/>
          <w:sz w:val="24"/>
          <w:szCs w:val="24"/>
        </w:rPr>
      </w:pPr>
      <w:r>
        <w:rPr>
          <w:rFonts w:ascii="Times New Roman" w:hAnsi="Times New Roman" w:cs="Times New Roman"/>
          <w:sz w:val="24"/>
          <w:szCs w:val="24"/>
        </w:rPr>
        <w:t xml:space="preserve"> t</w:t>
      </w:r>
      <w:r w:rsidRPr="006F3B00">
        <w:rPr>
          <w:rFonts w:ascii="Times New Roman" w:hAnsi="Times New Roman" w:cs="Times New Roman"/>
          <w:sz w:val="24"/>
          <w:szCs w:val="24"/>
        </w:rPr>
        <w:t>he judgement ecology which pertains to determining diagnostic competency in trainees</w:t>
      </w:r>
    </w:p>
    <w:p w14:paraId="3255C187" w14:textId="77777777" w:rsidR="00DA0C47" w:rsidRPr="00303276" w:rsidRDefault="00DA0C47" w:rsidP="00DA0C47">
      <w:pPr>
        <w:pStyle w:val="ListParagraph"/>
        <w:spacing w:line="480" w:lineRule="auto"/>
        <w:rPr>
          <w:rFonts w:ascii="Times New Roman" w:hAnsi="Times New Roman" w:cs="Times New Roman"/>
          <w:sz w:val="24"/>
          <w:szCs w:val="24"/>
        </w:rPr>
      </w:pPr>
    </w:p>
    <w:p w14:paraId="2774FB5B" w14:textId="2C2FF0EE" w:rsidR="00DA0C47" w:rsidRPr="00DA0C47" w:rsidRDefault="00DA0C47" w:rsidP="00DA0C47">
      <w:pPr>
        <w:pStyle w:val="ListParagraph"/>
        <w:numPr>
          <w:ilvl w:val="0"/>
          <w:numId w:val="52"/>
        </w:numPr>
        <w:spacing w:line="480" w:lineRule="auto"/>
        <w:rPr>
          <w:rFonts w:ascii="Times New Roman" w:hAnsi="Times New Roman" w:cs="Times New Roman"/>
          <w:bCs/>
          <w:sz w:val="24"/>
          <w:szCs w:val="24"/>
        </w:rPr>
      </w:pPr>
      <w:r w:rsidRPr="00DA0C47">
        <w:rPr>
          <w:rFonts w:ascii="Times New Roman" w:hAnsi="Times New Roman" w:cs="Times New Roman"/>
          <w:bCs/>
          <w:sz w:val="24"/>
          <w:szCs w:val="24"/>
        </w:rPr>
        <w:t>To use a Delphi study to triangulate the findings from the qualitative interviews in assessing diagnostic competence to:</w:t>
      </w:r>
    </w:p>
    <w:p w14:paraId="4DDB8742" w14:textId="03B00D80" w:rsidR="00DA0C47" w:rsidRPr="00DA0C47" w:rsidRDefault="00DA0C47" w:rsidP="00DA0C47">
      <w:pPr>
        <w:pStyle w:val="ListParagraph"/>
        <w:numPr>
          <w:ilvl w:val="0"/>
          <w:numId w:val="55"/>
        </w:numPr>
        <w:spacing w:line="480" w:lineRule="auto"/>
        <w:rPr>
          <w:rFonts w:ascii="Times New Roman" w:hAnsi="Times New Roman" w:cs="Times New Roman"/>
          <w:sz w:val="24"/>
          <w:szCs w:val="24"/>
        </w:rPr>
      </w:pPr>
      <w:proofErr w:type="gramStart"/>
      <w:r w:rsidRPr="00DA0C47">
        <w:rPr>
          <w:rFonts w:ascii="Times New Roman" w:hAnsi="Times New Roman" w:cs="Times New Roman"/>
          <w:sz w:val="24"/>
          <w:szCs w:val="24"/>
        </w:rPr>
        <w:t>determine</w:t>
      </w:r>
      <w:proofErr w:type="gramEnd"/>
      <w:r w:rsidRPr="00DA0C47">
        <w:rPr>
          <w:rFonts w:ascii="Times New Roman" w:hAnsi="Times New Roman" w:cs="Times New Roman"/>
          <w:sz w:val="24"/>
          <w:szCs w:val="24"/>
        </w:rPr>
        <w:t xml:space="preserve"> if the cues identified from the qualitative interviews are valued by experts. </w:t>
      </w:r>
    </w:p>
    <w:p w14:paraId="79E0C777" w14:textId="234A38F0" w:rsidR="00DA0C47" w:rsidRPr="00DA0C47" w:rsidRDefault="00DA0C47" w:rsidP="00DA0C47">
      <w:pPr>
        <w:pStyle w:val="ListParagraph"/>
        <w:numPr>
          <w:ilvl w:val="0"/>
          <w:numId w:val="55"/>
        </w:numPr>
        <w:spacing w:line="480" w:lineRule="auto"/>
        <w:rPr>
          <w:rFonts w:ascii="Times New Roman" w:hAnsi="Times New Roman" w:cs="Times New Roman"/>
          <w:sz w:val="24"/>
          <w:szCs w:val="24"/>
        </w:rPr>
      </w:pPr>
      <w:r w:rsidRPr="00DA0C47">
        <w:rPr>
          <w:rFonts w:ascii="Times New Roman" w:hAnsi="Times New Roman" w:cs="Times New Roman"/>
          <w:sz w:val="24"/>
          <w:szCs w:val="24"/>
        </w:rPr>
        <w:t>determine the relative importance of individual cues</w:t>
      </w:r>
    </w:p>
    <w:p w14:paraId="3F510DED" w14:textId="77777777" w:rsidR="00DA0C47" w:rsidRPr="00DB0BC8" w:rsidRDefault="00DA0C47" w:rsidP="00DA0C47">
      <w:pPr>
        <w:pStyle w:val="ListParagraph"/>
        <w:numPr>
          <w:ilvl w:val="0"/>
          <w:numId w:val="55"/>
        </w:numPr>
        <w:spacing w:line="480" w:lineRule="auto"/>
        <w:rPr>
          <w:rFonts w:ascii="Times New Roman" w:hAnsi="Times New Roman" w:cs="Times New Roman"/>
          <w:sz w:val="24"/>
          <w:szCs w:val="24"/>
        </w:rPr>
      </w:pPr>
      <w:r w:rsidRPr="00DB0BC8">
        <w:rPr>
          <w:rFonts w:ascii="Times New Roman" w:hAnsi="Times New Roman" w:cs="Times New Roman"/>
          <w:sz w:val="24"/>
          <w:szCs w:val="24"/>
        </w:rPr>
        <w:t>identify any additional cues</w:t>
      </w:r>
    </w:p>
    <w:p w14:paraId="4BC17C1E" w14:textId="379ADD25" w:rsidR="00437C2D"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These objectives were achieved. Firstly, the questionnaire found mult</w:t>
      </w:r>
      <w:r w:rsidR="004D443E">
        <w:rPr>
          <w:rFonts w:ascii="Times New Roman" w:hAnsi="Times New Roman" w:cs="Times New Roman"/>
          <w:sz w:val="24"/>
          <w:szCs w:val="24"/>
        </w:rPr>
        <w:t>iple perceived issues with the use of</w:t>
      </w:r>
      <w:r w:rsidRPr="006F3B00">
        <w:rPr>
          <w:rFonts w:ascii="Times New Roman" w:hAnsi="Times New Roman" w:cs="Times New Roman"/>
          <w:sz w:val="24"/>
          <w:szCs w:val="24"/>
        </w:rPr>
        <w:t xml:space="preserve"> WBAs in histopathology training. In particular, they were perceived by trainees and consultants</w:t>
      </w:r>
      <w:r w:rsidR="004D443E">
        <w:rPr>
          <w:rFonts w:ascii="Times New Roman" w:hAnsi="Times New Roman" w:cs="Times New Roman"/>
          <w:sz w:val="24"/>
          <w:szCs w:val="24"/>
        </w:rPr>
        <w:t xml:space="preserve"> not to</w:t>
      </w:r>
      <w:r w:rsidRPr="006F3B00">
        <w:rPr>
          <w:rFonts w:ascii="Times New Roman" w:hAnsi="Times New Roman" w:cs="Times New Roman"/>
          <w:sz w:val="24"/>
          <w:szCs w:val="24"/>
        </w:rPr>
        <w:t xml:space="preserve"> measure diagnostic competence. These findings add to the literature, where previously, there was not a single study examining the perception of</w:t>
      </w:r>
      <w:r w:rsidR="004D443E">
        <w:rPr>
          <w:rFonts w:ascii="Times New Roman" w:hAnsi="Times New Roman" w:cs="Times New Roman"/>
          <w:sz w:val="24"/>
          <w:szCs w:val="24"/>
        </w:rPr>
        <w:t xml:space="preserve"> all</w:t>
      </w:r>
      <w:r w:rsidRPr="006F3B00">
        <w:rPr>
          <w:rFonts w:ascii="Times New Roman" w:hAnsi="Times New Roman" w:cs="Times New Roman"/>
          <w:sz w:val="24"/>
          <w:szCs w:val="24"/>
        </w:rPr>
        <w:t xml:space="preserve"> WBAs in histopathology. It further justified the need to explore and understand exactly wha</w:t>
      </w:r>
      <w:r w:rsidR="00437C2D">
        <w:rPr>
          <w:rFonts w:ascii="Times New Roman" w:hAnsi="Times New Roman" w:cs="Times New Roman"/>
          <w:sz w:val="24"/>
          <w:szCs w:val="24"/>
        </w:rPr>
        <w:t>t diagnostic competence entails so the issues raised in the questionnaire outcomes could be understood fully. For instance, in Chapter 1,</w:t>
      </w:r>
      <w:r w:rsidR="003A3ACC">
        <w:rPr>
          <w:rFonts w:ascii="Times New Roman" w:hAnsi="Times New Roman" w:cs="Times New Roman"/>
          <w:sz w:val="24"/>
          <w:szCs w:val="24"/>
        </w:rPr>
        <w:t xml:space="preserve"> the literature demonstrated that</w:t>
      </w:r>
      <w:r w:rsidR="00437C2D">
        <w:rPr>
          <w:rFonts w:ascii="Times New Roman" w:hAnsi="Times New Roman" w:cs="Times New Roman"/>
          <w:sz w:val="24"/>
          <w:szCs w:val="24"/>
        </w:rPr>
        <w:t xml:space="preserve"> competence was a complex entity to understand with many different meanings and contexts to consider. Hence, the underlying constructs related to</w:t>
      </w:r>
      <w:r w:rsidR="003A3ACC">
        <w:rPr>
          <w:rFonts w:ascii="Times New Roman" w:hAnsi="Times New Roman" w:cs="Times New Roman"/>
          <w:sz w:val="24"/>
          <w:szCs w:val="24"/>
        </w:rPr>
        <w:t xml:space="preserve"> histopathological</w:t>
      </w:r>
      <w:r w:rsidR="00437C2D">
        <w:rPr>
          <w:rFonts w:ascii="Times New Roman" w:hAnsi="Times New Roman" w:cs="Times New Roman"/>
          <w:sz w:val="24"/>
          <w:szCs w:val="24"/>
        </w:rPr>
        <w:t xml:space="preserve"> diagnostic competence were unknown and needed to be identified to form a valid basis from which any future assessment</w:t>
      </w:r>
      <w:r w:rsidR="003A3ACC">
        <w:rPr>
          <w:rFonts w:ascii="Times New Roman" w:hAnsi="Times New Roman" w:cs="Times New Roman"/>
          <w:sz w:val="24"/>
          <w:szCs w:val="24"/>
        </w:rPr>
        <w:t xml:space="preserve"> tools could be fashioned</w:t>
      </w:r>
      <w:r w:rsidR="005B2A78">
        <w:rPr>
          <w:rFonts w:ascii="Times New Roman" w:hAnsi="Times New Roman" w:cs="Times New Roman"/>
          <w:sz w:val="24"/>
          <w:szCs w:val="24"/>
        </w:rPr>
        <w:t>.</w:t>
      </w:r>
    </w:p>
    <w:p w14:paraId="2F308ED3" w14:textId="54D726B5"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 xml:space="preserve">The qualitative interviews which followed were able to generate data which described the qualities most relevant to histopathology as well as the nature and context in which judgements about trainees are made. Diagnostic competence emerged </w:t>
      </w:r>
      <w:r w:rsidR="004D443E">
        <w:rPr>
          <w:rFonts w:ascii="Times New Roman" w:hAnsi="Times New Roman" w:cs="Times New Roman"/>
          <w:sz w:val="24"/>
          <w:szCs w:val="24"/>
        </w:rPr>
        <w:t>as a complex construct that should</w:t>
      </w:r>
      <w:r w:rsidRPr="006F3B00">
        <w:rPr>
          <w:rFonts w:ascii="Times New Roman" w:hAnsi="Times New Roman" w:cs="Times New Roman"/>
          <w:sz w:val="24"/>
          <w:szCs w:val="24"/>
        </w:rPr>
        <w:t xml:space="preserve"> be assessed longitudinally. Elements of both “process” and “person” are taken into account with expectations rising through training until sufficient time has passed for the consultant to trust that the trainee is diagnostically competent to report independently and act autonomously. Previously, there were no studies in the literature which clearly described these qualities or how consultants judge diagnostic competence in their trainees.</w:t>
      </w:r>
      <w:r w:rsidR="00EC647D">
        <w:rPr>
          <w:rFonts w:ascii="Times New Roman" w:hAnsi="Times New Roman" w:cs="Times New Roman"/>
          <w:sz w:val="24"/>
          <w:szCs w:val="24"/>
        </w:rPr>
        <w:t xml:space="preserve"> While one study</w:t>
      </w:r>
      <w:r w:rsidR="0083455B">
        <w:rPr>
          <w:rFonts w:ascii="Times New Roman" w:hAnsi="Times New Roman" w:cs="Times New Roman"/>
          <w:sz w:val="24"/>
          <w:szCs w:val="24"/>
        </w:rPr>
        <w:t xml:space="preserve"> </w:t>
      </w:r>
      <w:r w:rsidR="00437C2D">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{"citationItems":[{"id":"ITEM-1","itemData":{"DOI":"10.1136/jclinpath-2015-203090","ISSN":"14724146","abstract":"Aims This is a qualitative study of the perceived learning needs of trainees for graded responsibility in histopathological training in the UK. Methods A focus group with trainees and interviews with consultants was carried out. Participants were asked What do you perceive are the learning needs of histopathology trainees to develop skills for safe and confident independent reporting in surgical histopathology?' Data was analysed using open coding content analysis for items relating to training content and structure. Results Trainees and consultants perceived a need for a case load of around 100 specimens per week with a continuously variable case mix. It was thought necessary to be the principal presenter of cases at multidisciplinary team meetings. There was a perceived need for adequate amounts of supervision by consultants using double-headed microscopes and sufficient time to develop skills in microscopic visual perception through detailed feature discussion, not necessarily related to specific diagnoses. Being able to write clear histopathology reports, developing the ability to recognise normal histology and to be aware of diagnostic pitfalls were also thought to be important. Conclusions Our findings may inform efficacious implementation of graded responsibility in histopathology departments and be used as a sound basis for further research.","author":[{"dropping-particle":"","family":"Finall","given":"A.","non-dropping-particle":"","parse-names":false,"suffix":""},{"dropping-particle":"","family":"Allery","given":"L.","non-dropping-particle":"","parse-names":false,"suffix":""}],"container-title":"Journal of Clinical Pathology","id":"ITEM-1","issue":"1","issued":{"date-parts":[["2016"]]},"page":"42-46","title":"Ready, steady, go! What do histopathology trainees think they need from training to enable them to develop autonomy in surgical pathology reporting?","type":"article-journal","volume":"69"},"uris":["http://www.mendeley.com/documents/?uuid=3bcef457-bdfa-4648-a4f5-399a7ea7c4ac"]}],"mendeley":{"formattedCitation":"(Finall and Allery, 2016)","plainTextFormattedCitation":"(Finall and Allery, 2016)","previouslyFormattedCitation":"(A. Finall and Allery 2016)"},"properties":{"noteIndex":0},"schema":"https://github.com/citation-style-language/schema/raw/master/csl-citation.json"}</w:instrText>
      </w:r>
      <w:r w:rsidR="00437C2D">
        <w:rPr>
          <w:rFonts w:ascii="Times New Roman" w:hAnsi="Times New Roman" w:cs="Times New Roman"/>
          <w:sz w:val="24"/>
          <w:szCs w:val="24"/>
        </w:rPr>
        <w:fldChar w:fldCharType="separate"/>
      </w:r>
      <w:r w:rsidR="00933DD9">
        <w:rPr>
          <w:rFonts w:ascii="Times New Roman" w:hAnsi="Times New Roman" w:cs="Times New Roman"/>
          <w:noProof/>
          <w:sz w:val="24"/>
          <w:szCs w:val="24"/>
        </w:rPr>
        <w:t>(Finall and Allery</w:t>
      </w:r>
      <w:r w:rsidR="00BE3B6C" w:rsidRPr="00BE3B6C">
        <w:rPr>
          <w:rFonts w:ascii="Times New Roman" w:hAnsi="Times New Roman" w:cs="Times New Roman"/>
          <w:noProof/>
          <w:sz w:val="24"/>
          <w:szCs w:val="24"/>
        </w:rPr>
        <w:t xml:space="preserve"> 2016)</w:t>
      </w:r>
      <w:r w:rsidR="00437C2D">
        <w:rPr>
          <w:rFonts w:ascii="Times New Roman" w:hAnsi="Times New Roman" w:cs="Times New Roman"/>
          <w:sz w:val="24"/>
          <w:szCs w:val="24"/>
        </w:rPr>
        <w:fldChar w:fldCharType="end"/>
      </w:r>
      <w:r w:rsidR="00EC647D">
        <w:rPr>
          <w:rFonts w:ascii="Times New Roman" w:hAnsi="Times New Roman" w:cs="Times New Roman"/>
          <w:sz w:val="24"/>
          <w:szCs w:val="24"/>
        </w:rPr>
        <w:t xml:space="preserve"> examined the learning needs</w:t>
      </w:r>
      <w:r w:rsidR="00861658">
        <w:rPr>
          <w:rFonts w:ascii="Times New Roman" w:hAnsi="Times New Roman" w:cs="Times New Roman"/>
          <w:sz w:val="24"/>
          <w:szCs w:val="24"/>
        </w:rPr>
        <w:t xml:space="preserve"> required</w:t>
      </w:r>
      <w:r w:rsidR="00EC647D">
        <w:rPr>
          <w:rFonts w:ascii="Times New Roman" w:hAnsi="Times New Roman" w:cs="Times New Roman"/>
          <w:sz w:val="24"/>
          <w:szCs w:val="24"/>
        </w:rPr>
        <w:t xml:space="preserve"> for independent reporting to occur in histopathology, it suffered several limitations (see C</w:t>
      </w:r>
      <w:r w:rsidR="000D7D05">
        <w:rPr>
          <w:rFonts w:ascii="Times New Roman" w:hAnsi="Times New Roman" w:cs="Times New Roman"/>
          <w:sz w:val="24"/>
          <w:szCs w:val="24"/>
        </w:rPr>
        <w:t>hapter 1, section 1.2.10.4</w:t>
      </w:r>
      <w:r w:rsidR="00EC647D">
        <w:rPr>
          <w:rFonts w:ascii="Times New Roman" w:hAnsi="Times New Roman" w:cs="Times New Roman"/>
          <w:sz w:val="24"/>
          <w:szCs w:val="24"/>
        </w:rPr>
        <w:t xml:space="preserve">). </w:t>
      </w:r>
      <w:r w:rsidR="00861658">
        <w:rPr>
          <w:rFonts w:ascii="Times New Roman" w:hAnsi="Times New Roman" w:cs="Times New Roman"/>
          <w:sz w:val="24"/>
          <w:szCs w:val="24"/>
        </w:rPr>
        <w:t>Furthermore, independent reporting is only one indicator of being competent and</w:t>
      </w:r>
      <w:r w:rsidR="00F96622">
        <w:rPr>
          <w:rFonts w:ascii="Times New Roman" w:hAnsi="Times New Roman" w:cs="Times New Roman"/>
          <w:sz w:val="24"/>
          <w:szCs w:val="24"/>
        </w:rPr>
        <w:t xml:space="preserve"> the perceived</w:t>
      </w:r>
      <w:r w:rsidR="00861658">
        <w:rPr>
          <w:rFonts w:ascii="Times New Roman" w:hAnsi="Times New Roman" w:cs="Times New Roman"/>
          <w:sz w:val="24"/>
          <w:szCs w:val="24"/>
        </w:rPr>
        <w:t xml:space="preserve"> learning needs may not necessarily be the same as the qualities consultants look for in their trainees. To this end, while the aforementioned study shared some </w:t>
      </w:r>
      <w:r w:rsidR="00437C2D">
        <w:rPr>
          <w:rFonts w:ascii="Times New Roman" w:hAnsi="Times New Roman" w:cs="Times New Roman"/>
          <w:sz w:val="24"/>
          <w:szCs w:val="24"/>
        </w:rPr>
        <w:t xml:space="preserve">of the </w:t>
      </w:r>
      <w:r w:rsidR="00861658">
        <w:rPr>
          <w:rFonts w:ascii="Times New Roman" w:hAnsi="Times New Roman" w:cs="Times New Roman"/>
          <w:sz w:val="24"/>
          <w:szCs w:val="24"/>
        </w:rPr>
        <w:t xml:space="preserve">qualities which were also identified in our data (such as accumulation of experience, recognizing normal, </w:t>
      </w:r>
      <w:r w:rsidR="00A71314">
        <w:rPr>
          <w:rFonts w:ascii="Times New Roman" w:hAnsi="Times New Roman" w:cs="Times New Roman"/>
          <w:sz w:val="24"/>
          <w:szCs w:val="24"/>
        </w:rPr>
        <w:t>effects</w:t>
      </w:r>
      <w:r w:rsidR="00861658">
        <w:rPr>
          <w:rFonts w:ascii="Times New Roman" w:hAnsi="Times New Roman" w:cs="Times New Roman"/>
          <w:sz w:val="24"/>
          <w:szCs w:val="24"/>
        </w:rPr>
        <w:t xml:space="preserve"> of pathology results on patients and being aware of diagnostic pitfalls), </w:t>
      </w:r>
      <w:r w:rsidR="00F96622">
        <w:rPr>
          <w:rFonts w:ascii="Times New Roman" w:hAnsi="Times New Roman" w:cs="Times New Roman"/>
          <w:sz w:val="24"/>
          <w:szCs w:val="24"/>
        </w:rPr>
        <w:t xml:space="preserve">others such as professionalism and reflection were not. The relationships between these different factors was also not explored. </w:t>
      </w:r>
      <w:r w:rsidRPr="006F3B00">
        <w:rPr>
          <w:rFonts w:ascii="Times New Roman" w:hAnsi="Times New Roman" w:cs="Times New Roman"/>
          <w:sz w:val="24"/>
          <w:szCs w:val="24"/>
        </w:rPr>
        <w:t>The resulting conceptual model</w:t>
      </w:r>
      <w:r w:rsidR="00F96622">
        <w:rPr>
          <w:rFonts w:ascii="Times New Roman" w:hAnsi="Times New Roman" w:cs="Times New Roman"/>
          <w:sz w:val="24"/>
          <w:szCs w:val="24"/>
        </w:rPr>
        <w:t xml:space="preserve"> that has been described in this thesis</w:t>
      </w:r>
      <w:r w:rsidRPr="006F3B00">
        <w:rPr>
          <w:rFonts w:ascii="Times New Roman" w:hAnsi="Times New Roman" w:cs="Times New Roman"/>
          <w:sz w:val="24"/>
          <w:szCs w:val="24"/>
        </w:rPr>
        <w:t xml:space="preserve"> illustrates the relationship between these qualities and the judgement ecology, adding a significant amount of educational research to help address how competency</w:t>
      </w:r>
      <w:r w:rsidR="003A3ACC">
        <w:rPr>
          <w:rFonts w:ascii="Times New Roman" w:hAnsi="Times New Roman" w:cs="Times New Roman"/>
          <w:sz w:val="24"/>
          <w:szCs w:val="24"/>
        </w:rPr>
        <w:t xml:space="preserve"> is actually perceived in histopathology and therefore how it</w:t>
      </w:r>
      <w:r w:rsidRPr="006F3B00">
        <w:rPr>
          <w:rFonts w:ascii="Times New Roman" w:hAnsi="Times New Roman" w:cs="Times New Roman"/>
          <w:sz w:val="24"/>
          <w:szCs w:val="24"/>
        </w:rPr>
        <w:t xml:space="preserve"> shou</w:t>
      </w:r>
      <w:r w:rsidR="003A3ACC">
        <w:rPr>
          <w:rFonts w:ascii="Times New Roman" w:hAnsi="Times New Roman" w:cs="Times New Roman"/>
          <w:sz w:val="24"/>
          <w:szCs w:val="24"/>
        </w:rPr>
        <w:t>ld be assessed</w:t>
      </w:r>
      <w:r w:rsidR="00751FB4" w:rsidRPr="006F3B00">
        <w:rPr>
          <w:rFonts w:ascii="Times New Roman" w:hAnsi="Times New Roman" w:cs="Times New Roman"/>
          <w:sz w:val="24"/>
          <w:szCs w:val="24"/>
        </w:rPr>
        <w:t xml:space="preserve"> (Figure </w:t>
      </w:r>
      <w:r w:rsidR="00A50523">
        <w:rPr>
          <w:rFonts w:ascii="Times New Roman" w:hAnsi="Times New Roman" w:cs="Times New Roman"/>
          <w:sz w:val="24"/>
          <w:szCs w:val="24"/>
        </w:rPr>
        <w:t>6.</w:t>
      </w:r>
      <w:r w:rsidR="00751FB4" w:rsidRPr="006F3B00">
        <w:rPr>
          <w:rFonts w:ascii="Times New Roman" w:hAnsi="Times New Roman" w:cs="Times New Roman"/>
          <w:sz w:val="24"/>
          <w:szCs w:val="24"/>
        </w:rPr>
        <w:t>1)</w:t>
      </w:r>
      <w:r w:rsidRPr="006F3B00">
        <w:rPr>
          <w:rFonts w:ascii="Times New Roman" w:hAnsi="Times New Roman" w:cs="Times New Roman"/>
          <w:sz w:val="24"/>
          <w:szCs w:val="24"/>
        </w:rPr>
        <w:t>.</w:t>
      </w:r>
    </w:p>
    <w:p w14:paraId="74E4014D" w14:textId="77777777" w:rsidR="00751FB4" w:rsidRPr="006F3B00" w:rsidRDefault="00751FB4" w:rsidP="00863DF5">
      <w:pPr>
        <w:spacing w:line="480" w:lineRule="auto"/>
        <w:rPr>
          <w:rFonts w:ascii="Times New Roman" w:hAnsi="Times New Roman" w:cs="Times New Roman"/>
          <w:sz w:val="24"/>
          <w:szCs w:val="24"/>
        </w:rPr>
      </w:pPr>
    </w:p>
    <w:p w14:paraId="6A12E034" w14:textId="77777777" w:rsidR="00751FB4" w:rsidRPr="006F3B00" w:rsidRDefault="00751FB4" w:rsidP="00863DF5">
      <w:pPr>
        <w:spacing w:line="480" w:lineRule="auto"/>
        <w:rPr>
          <w:rFonts w:ascii="Times New Roman" w:hAnsi="Times New Roman" w:cs="Times New Roman"/>
          <w:sz w:val="24"/>
          <w:szCs w:val="24"/>
        </w:rPr>
      </w:pPr>
      <w:r w:rsidRPr="006F3B00">
        <w:rPr>
          <w:rFonts w:ascii="Times New Roman" w:hAnsi="Times New Roman" w:cs="Times New Roman"/>
          <w:noProof/>
          <w:sz w:val="24"/>
          <w:szCs w:val="24"/>
        </w:rPr>
        <w:lastRenderedPageBreak/>
        <w:drawing>
          <wp:inline distT="0" distB="0" distL="0" distR="0" wp14:anchorId="08E17B12" wp14:editId="05A75DBA">
            <wp:extent cx="5490409" cy="422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0465" t="12639" r="5658" b="11488"/>
                    <a:stretch/>
                  </pic:blipFill>
                  <pic:spPr bwMode="auto">
                    <a:xfrm>
                      <a:off x="0" y="0"/>
                      <a:ext cx="5505631" cy="4240825"/>
                    </a:xfrm>
                    <a:prstGeom prst="rect">
                      <a:avLst/>
                    </a:prstGeom>
                    <a:ln>
                      <a:noFill/>
                    </a:ln>
                    <a:extLst>
                      <a:ext uri="{53640926-AAD7-44D8-BBD7-CCE9431645EC}">
                        <a14:shadowObscured xmlns:a14="http://schemas.microsoft.com/office/drawing/2010/main"/>
                      </a:ext>
                    </a:extLst>
                  </pic:spPr>
                </pic:pic>
              </a:graphicData>
            </a:graphic>
          </wp:inline>
        </w:drawing>
      </w:r>
    </w:p>
    <w:p w14:paraId="71302732" w14:textId="54225F39" w:rsidR="00751FB4" w:rsidRPr="006F3B00" w:rsidRDefault="00A50523" w:rsidP="00863DF5">
      <w:pPr>
        <w:spacing w:line="480" w:lineRule="auto"/>
        <w:rPr>
          <w:rFonts w:ascii="Times New Roman" w:hAnsi="Times New Roman" w:cs="Times New Roman"/>
          <w:b/>
          <w:sz w:val="24"/>
          <w:szCs w:val="24"/>
        </w:rPr>
      </w:pPr>
      <w:r>
        <w:rPr>
          <w:rFonts w:ascii="Times New Roman" w:hAnsi="Times New Roman" w:cs="Times New Roman"/>
          <w:b/>
          <w:sz w:val="24"/>
          <w:szCs w:val="24"/>
        </w:rPr>
        <w:t>Figure 6.1.</w:t>
      </w:r>
      <w:r w:rsidR="00751FB4" w:rsidRPr="006F3B00">
        <w:rPr>
          <w:rFonts w:ascii="Times New Roman" w:hAnsi="Times New Roman" w:cs="Times New Roman"/>
          <w:b/>
          <w:sz w:val="24"/>
          <w:szCs w:val="24"/>
        </w:rPr>
        <w:t xml:space="preserve"> Conceptual model of diagnostic competence</w:t>
      </w:r>
    </w:p>
    <w:p w14:paraId="5F5C901D" w14:textId="52ABF5BE"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Finally, our findings were triangulated with a Delphi study which also aided our understanding of the judgement ecology. The majority of the qualities identified in the interview data reached “consensus in” while the remaining items generally scored highly. This suggests that our findings were in agreement with the perceptions of TPDs, re</w:t>
      </w:r>
      <w:r w:rsidR="008614B6">
        <w:rPr>
          <w:rFonts w:ascii="Times New Roman" w:hAnsi="Times New Roman" w:cs="Times New Roman"/>
          <w:sz w:val="24"/>
          <w:szCs w:val="24"/>
        </w:rPr>
        <w:t>presentative</w:t>
      </w:r>
      <w:r w:rsidR="00A87367">
        <w:rPr>
          <w:rFonts w:ascii="Times New Roman" w:hAnsi="Times New Roman" w:cs="Times New Roman"/>
          <w:sz w:val="24"/>
          <w:szCs w:val="24"/>
        </w:rPr>
        <w:t>s</w:t>
      </w:r>
      <w:r w:rsidR="008614B6">
        <w:rPr>
          <w:rFonts w:ascii="Times New Roman" w:hAnsi="Times New Roman" w:cs="Times New Roman"/>
          <w:sz w:val="24"/>
          <w:szCs w:val="24"/>
        </w:rPr>
        <w:t xml:space="preserve"> from RCPath and members from the</w:t>
      </w:r>
      <w:r w:rsidRPr="006F3B00">
        <w:rPr>
          <w:rFonts w:ascii="Times New Roman" w:hAnsi="Times New Roman" w:cs="Times New Roman"/>
          <w:sz w:val="24"/>
          <w:szCs w:val="24"/>
        </w:rPr>
        <w:t xml:space="preserve"> </w:t>
      </w:r>
      <w:r w:rsidR="00A71314">
        <w:rPr>
          <w:rFonts w:ascii="Times New Roman" w:hAnsi="Times New Roman" w:cs="Times New Roman"/>
          <w:sz w:val="24"/>
          <w:szCs w:val="24"/>
        </w:rPr>
        <w:t xml:space="preserve">postgraduate </w:t>
      </w:r>
      <w:r w:rsidRPr="006F3B00">
        <w:rPr>
          <w:rFonts w:ascii="Times New Roman" w:hAnsi="Times New Roman" w:cs="Times New Roman"/>
          <w:sz w:val="24"/>
          <w:szCs w:val="24"/>
        </w:rPr>
        <w:t>deanery. The ability to reach consensus with these stakeholders suggests the data to be valid and useful to histopathology training.</w:t>
      </w:r>
    </w:p>
    <w:p w14:paraId="7D11988D" w14:textId="4C4576BE" w:rsidR="00751FB4"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research clearly highlights that a longitudinal approach is needed for consultants to determine diagnostic competence in trainees, signifying that it is</w:t>
      </w:r>
      <w:r w:rsidR="00A87367">
        <w:rPr>
          <w:rFonts w:ascii="Times New Roman" w:hAnsi="Times New Roman" w:cs="Times New Roman"/>
          <w:sz w:val="24"/>
          <w:szCs w:val="24"/>
        </w:rPr>
        <w:t xml:space="preserve"> important</w:t>
      </w:r>
      <w:r w:rsidRPr="006F3B00">
        <w:rPr>
          <w:rFonts w:ascii="Times New Roman" w:hAnsi="Times New Roman" w:cs="Times New Roman"/>
          <w:sz w:val="24"/>
          <w:szCs w:val="24"/>
        </w:rPr>
        <w:t xml:space="preserve"> that future assessment strategies do not examine competence</w:t>
      </w:r>
      <w:r w:rsidR="003A3ACC">
        <w:rPr>
          <w:rFonts w:ascii="Times New Roman" w:hAnsi="Times New Roman" w:cs="Times New Roman"/>
          <w:sz w:val="24"/>
          <w:szCs w:val="24"/>
        </w:rPr>
        <w:t xml:space="preserve"> only</w:t>
      </w:r>
      <w:r w:rsidRPr="006F3B00">
        <w:rPr>
          <w:rFonts w:ascii="Times New Roman" w:hAnsi="Times New Roman" w:cs="Times New Roman"/>
          <w:sz w:val="24"/>
          <w:szCs w:val="24"/>
        </w:rPr>
        <w:t xml:space="preserve"> on</w:t>
      </w:r>
      <w:r w:rsidR="003A3ACC">
        <w:rPr>
          <w:rFonts w:ascii="Times New Roman" w:hAnsi="Times New Roman" w:cs="Times New Roman"/>
          <w:sz w:val="24"/>
          <w:szCs w:val="24"/>
        </w:rPr>
        <w:t xml:space="preserve"> the basis of</w:t>
      </w:r>
      <w:r w:rsidRPr="006F3B00">
        <w:rPr>
          <w:rFonts w:ascii="Times New Roman" w:hAnsi="Times New Roman" w:cs="Times New Roman"/>
          <w:sz w:val="24"/>
          <w:szCs w:val="24"/>
        </w:rPr>
        <w:t xml:space="preserve"> single events or cases. RCPath currently employ a competency-based curriculum similar to many other educational programmes</w:t>
      </w:r>
      <w:r w:rsidR="001904EB">
        <w:rPr>
          <w:rFonts w:ascii="Times New Roman" w:hAnsi="Times New Roman" w:cs="Times New Roman"/>
          <w:sz w:val="24"/>
          <w:szCs w:val="24"/>
        </w:rPr>
        <w:t xml:space="preserve"> (see Chapter 1, section 1.29</w:t>
      </w:r>
      <w:r w:rsidR="00A87367">
        <w:rPr>
          <w:rFonts w:ascii="Times New Roman" w:hAnsi="Times New Roman" w:cs="Times New Roman"/>
          <w:sz w:val="24"/>
          <w:szCs w:val="24"/>
        </w:rPr>
        <w:t>)</w:t>
      </w:r>
      <w:r w:rsidRPr="006F3B00">
        <w:rPr>
          <w:rFonts w:ascii="Times New Roman" w:hAnsi="Times New Roman" w:cs="Times New Roman"/>
          <w:sz w:val="24"/>
          <w:szCs w:val="24"/>
        </w:rPr>
        <w:t xml:space="preserve">, but identifying individual </w:t>
      </w:r>
      <w:r w:rsidRPr="006F3B00">
        <w:rPr>
          <w:rFonts w:ascii="Times New Roman" w:hAnsi="Times New Roman" w:cs="Times New Roman"/>
          <w:sz w:val="24"/>
          <w:szCs w:val="24"/>
        </w:rPr>
        <w:lastRenderedPageBreak/>
        <w:t>competencies is at odds with our data. Consultants appear interested in the “bigger picture” and what they can gauge from a trainee over a longer period of time. For example, participants from the interviews and Delphi did not favour exams as a measure of competency, but instead valued repeated demonstrations of “process” and “person” to develop trust. This echoes t</w:t>
      </w:r>
      <w:r w:rsidR="00933DD9">
        <w:rPr>
          <w:rFonts w:ascii="Times New Roman" w:hAnsi="Times New Roman" w:cs="Times New Roman"/>
          <w:sz w:val="24"/>
          <w:szCs w:val="24"/>
        </w:rPr>
        <w:t>he sentiments of Oerlemans and colleagues</w:t>
      </w:r>
      <w:r w:rsidRPr="006F3B00">
        <w:rPr>
          <w:rFonts w:ascii="Times New Roman" w:hAnsi="Times New Roman" w:cs="Times New Roman"/>
          <w:sz w:val="24"/>
          <w:szCs w:val="24"/>
        </w:rPr>
        <w:t xml:space="preserve"> who found that clinical supervis</w:t>
      </w:r>
      <w:r w:rsidR="003A3ACC">
        <w:rPr>
          <w:rFonts w:ascii="Times New Roman" w:hAnsi="Times New Roman" w:cs="Times New Roman"/>
          <w:sz w:val="24"/>
          <w:szCs w:val="24"/>
        </w:rPr>
        <w:t xml:space="preserve">ors </w:t>
      </w:r>
      <w:r w:rsidRPr="006F3B00">
        <w:rPr>
          <w:rFonts w:ascii="Times New Roman" w:hAnsi="Times New Roman" w:cs="Times New Roman"/>
          <w:sz w:val="24"/>
          <w:szCs w:val="24"/>
        </w:rPr>
        <w:t>appreciate consistent behaviours when assessment of a trainee is based on a series of observations</w:t>
      </w:r>
      <w:r w:rsidR="00742C6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{"citationItems":[{"id":"ITEM-1","itemData":{"DOI":"10.1080/0142159X.2017.1270427","ISBN":"0142-159x","ISSN":"1466187X","PMID":"28049379","abstract":"Background: A variety of tools have been developed to assess performance which typically use a single clinical encounter as a source for making competency inferences. This strategy may miss consistent behaviors. We therefore explored experienced clinical supervisors’ perceptions of behavioral patterns that potentially exist in postgraduate general practice trainees expressed as narrative profiles to aid the grading of clinical performance. Methods: We conducted semistructured interviews with clinical supervisors who had frequently observed clinical performance in trainees. Supervisors were asked to describe which behavioral patterns they had discerned in excellent and underperforming trainees, during different stages of training, in their careers as clinical supervisor. We analyzed the interviews using a grounded theory approach. Results: The analysis resulted in a conceptual framework that distinguishes between desirable and undesirable narrative profiles. The framework consists of two dimensions: doctor–patient interaction and medical expertise. Personal values appear to be a moderating factor. Conclusions: According to experienced clinical supervisors, consistent behaviors do exist in GP trainees when observing clinical performance over time. The conceptual framework has to be validated by further observational studies to assess its potential for making robust and fair assessments of clinical performance and monitor the development of consultation performance over time.","author":[{"dropping-particle":"","family":"Oerlemans","given":"Marjolein","non-dropping-particle":"","parse-names":false,"suffix":""},{"dropping-particle":"","family":"Dielissen","given":"Patrick","non-dropping-particle":"","parse-names":false,"suffix":""},{"dropping-particle":"","family":"Timmerman","given":"Angelique","non-dropping-particle":"","parse-names":false,"suffix":""},{"dropping-particle":"","family":"Ram","given":"Paul","non-dropping-particle":"","parse-names":false,"suffix":""},{"dropping-particle":"","family":"Maiburg","given":"Bas","non-dropping-particle":"","parse-names":false,"suffix":""},{"dropping-particle":"","family":"Muris","given":"Jean","non-dropping-particle":"","parse-names":false,"suffix":""},{"dropping-particle":"","family":"Vleuten","given":"Cees","non-dropping-particle":"van der","parse-names":false,"suffix":""}],"container-title":"Medical Teacher","id":"ITEM-1","issue":"3","issued":{"date-parts":[["2017"]]},"page":"300-307","title":"Should we assess clinical performance in single patient encounters or consistent behaviors of clinical performance over a series of encounters? A qualitative exploration of narrative trainee profiles","type":"article-journal","volume":"39"},"uris":["http://www.mendeley.com/documents/?uuid=61630db2-f592-408f-a2c4-462a8dc9a3f7"]}],"mendeley":{"formattedCitation":"(Oerlemans &lt;i&gt;et al.&lt;/i&gt;, 2017)","plainTextFormattedCitation":"(Oerlemans et al., 2017)","previouslyFormattedCitation":"(Oerlemans et al. 2017)"},"properties":{"noteIndex":0},"schema":"https://github.com/citation-style-language/schema/raw/master/csl-citation.json"}</w:instrText>
      </w:r>
      <w:r w:rsidRPr="006F3B00">
        <w:rPr>
          <w:rFonts w:ascii="Times New Roman" w:hAnsi="Times New Roman" w:cs="Times New Roman"/>
          <w:sz w:val="24"/>
          <w:szCs w:val="24"/>
        </w:rPr>
        <w:fldChar w:fldCharType="separate"/>
      </w:r>
      <w:r w:rsidR="00933DD9">
        <w:rPr>
          <w:rFonts w:ascii="Times New Roman" w:hAnsi="Times New Roman" w:cs="Times New Roman"/>
          <w:noProof/>
          <w:sz w:val="24"/>
          <w:szCs w:val="24"/>
        </w:rPr>
        <w:t>(</w:t>
      </w:r>
      <w:r w:rsidR="00BE3B6C" w:rsidRPr="00BE3B6C">
        <w:rPr>
          <w:rFonts w:ascii="Times New Roman" w:hAnsi="Times New Roman" w:cs="Times New Roman"/>
          <w:noProof/>
          <w:sz w:val="24"/>
          <w:szCs w:val="24"/>
        </w:rPr>
        <w:t>2017)</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r w:rsidR="00751FB4" w:rsidRPr="006F3B00">
        <w:rPr>
          <w:rFonts w:ascii="Times New Roman" w:hAnsi="Times New Roman" w:cs="Times New Roman"/>
          <w:sz w:val="24"/>
          <w:szCs w:val="24"/>
        </w:rPr>
        <w:t xml:space="preserve"> However, it is important to stress that examination</w:t>
      </w:r>
      <w:r w:rsidR="00E362D2" w:rsidRPr="006F3B00">
        <w:rPr>
          <w:rFonts w:ascii="Times New Roman" w:hAnsi="Times New Roman" w:cs="Times New Roman"/>
          <w:sz w:val="24"/>
          <w:szCs w:val="24"/>
        </w:rPr>
        <w:t xml:space="preserve">s still have a role in training. While they may not be good at measuring qualities such as professionalism or reflection, they can </w:t>
      </w:r>
      <w:r w:rsidR="000B0725" w:rsidRPr="006F3B00">
        <w:rPr>
          <w:rFonts w:ascii="Times New Roman" w:hAnsi="Times New Roman" w:cs="Times New Roman"/>
          <w:sz w:val="24"/>
          <w:szCs w:val="24"/>
        </w:rPr>
        <w:t xml:space="preserve">provide an external, quality assured assessment to determine if trainees are able </w:t>
      </w:r>
      <w:r w:rsidR="00E362D2" w:rsidRPr="006F3B00">
        <w:rPr>
          <w:rFonts w:ascii="Times New Roman" w:hAnsi="Times New Roman" w:cs="Times New Roman"/>
          <w:sz w:val="24"/>
          <w:szCs w:val="24"/>
        </w:rPr>
        <w:t>to apply their knowledge</w:t>
      </w:r>
      <w:r w:rsidR="000B0725" w:rsidRPr="006F3B00">
        <w:rPr>
          <w:rFonts w:ascii="Times New Roman" w:hAnsi="Times New Roman" w:cs="Times New Roman"/>
          <w:sz w:val="24"/>
          <w:szCs w:val="24"/>
        </w:rPr>
        <w:t xml:space="preserve"> in their field of practice</w:t>
      </w:r>
      <w:r w:rsidR="00E362D2" w:rsidRPr="006F3B00">
        <w:rPr>
          <w:rFonts w:ascii="Times New Roman" w:hAnsi="Times New Roman" w:cs="Times New Roman"/>
          <w:sz w:val="24"/>
          <w:szCs w:val="24"/>
        </w:rPr>
        <w:t>. Indeed, the RCPath acknowledge that a number of different as</w:t>
      </w:r>
      <w:r w:rsidR="00BE3B59" w:rsidRPr="006F3B00">
        <w:rPr>
          <w:rFonts w:ascii="Times New Roman" w:hAnsi="Times New Roman" w:cs="Times New Roman"/>
          <w:sz w:val="24"/>
          <w:szCs w:val="24"/>
        </w:rPr>
        <w:t>s</w:t>
      </w:r>
      <w:r w:rsidR="00E362D2" w:rsidRPr="006F3B00">
        <w:rPr>
          <w:rFonts w:ascii="Times New Roman" w:hAnsi="Times New Roman" w:cs="Times New Roman"/>
          <w:sz w:val="24"/>
          <w:szCs w:val="24"/>
        </w:rPr>
        <w:t>essments should be used during training as they each serve different purposes</w:t>
      </w:r>
      <w:r w:rsidR="00742C69">
        <w:rPr>
          <w:rFonts w:ascii="Times New Roman" w:hAnsi="Times New Roman" w:cs="Times New Roman"/>
          <w:sz w:val="24"/>
          <w:szCs w:val="24"/>
        </w:rPr>
        <w:t xml:space="preserve"> </w:t>
      </w:r>
      <w:r w:rsidR="009523E9"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{"citationItems":[{"id":"ITEM-1","itemData":{"URL":"https://www.rcpath.org/uploads/assets/uploaded/f8695439-ce47-4046-b13c1f6202fd8468.pdf","accessed":{"date-parts":[["2011","8","20"]]},"author":[{"dropping-particle":"","family":"Pathologists","given":"The Royal College of","non-dropping-particle":"","parse-names":false,"suffix":""}],"id":"ITEM-1","issued":{"date-parts":[["2015"]]},"title":"CURRICULUM FOR SPECIALTY TRAINING IN HISTOPATHOLOGY","type":"webpage"},"uris":["http://www.mendeley.com/documents/?uuid=a01fada6-0b1d-4988-844f-820c81a74765"]}],"mendeley":{"formattedCitation":"(Pathologists, 2015)","plainTextFormattedCitation":"(Pathologists, 2015)","previouslyFormattedCitation":"(Pathologists 2015)"},"properties":{"noteIndex":0},"schema":"https://github.com/citation-style-language/schema/raw/master/csl-citation.json"}</w:instrText>
      </w:r>
      <w:r w:rsidR="009523E9"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w:t>
      </w:r>
      <w:r w:rsidR="00933DD9">
        <w:rPr>
          <w:rFonts w:ascii="Times New Roman" w:hAnsi="Times New Roman" w:cs="Times New Roman"/>
          <w:noProof/>
          <w:sz w:val="24"/>
          <w:szCs w:val="24"/>
        </w:rPr>
        <w:t>Royal College of Pathologists</w:t>
      </w:r>
      <w:r w:rsidR="00BE3B6C" w:rsidRPr="00BE3B6C">
        <w:rPr>
          <w:rFonts w:ascii="Times New Roman" w:hAnsi="Times New Roman" w:cs="Times New Roman"/>
          <w:noProof/>
          <w:sz w:val="24"/>
          <w:szCs w:val="24"/>
        </w:rPr>
        <w:t xml:space="preserve"> 2015)</w:t>
      </w:r>
      <w:r w:rsidR="009523E9" w:rsidRPr="006F3B00">
        <w:rPr>
          <w:rFonts w:ascii="Times New Roman" w:hAnsi="Times New Roman" w:cs="Times New Roman"/>
          <w:sz w:val="24"/>
          <w:szCs w:val="24"/>
        </w:rPr>
        <w:fldChar w:fldCharType="end"/>
      </w:r>
      <w:r w:rsidR="009523E9" w:rsidRPr="006F3B00">
        <w:rPr>
          <w:rFonts w:ascii="Times New Roman" w:hAnsi="Times New Roman" w:cs="Times New Roman"/>
          <w:sz w:val="24"/>
          <w:szCs w:val="24"/>
        </w:rPr>
        <w:t>.</w:t>
      </w:r>
    </w:p>
    <w:p w14:paraId="27164845" w14:textId="0901B861" w:rsidR="00863DF5" w:rsidRPr="00933DD9" w:rsidRDefault="00E362D2"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I</w:t>
      </w:r>
      <w:r w:rsidR="00863DF5" w:rsidRPr="006F3B00">
        <w:rPr>
          <w:rFonts w:ascii="Times New Roman" w:hAnsi="Times New Roman" w:cs="Times New Roman"/>
          <w:sz w:val="24"/>
          <w:szCs w:val="24"/>
        </w:rPr>
        <w:t xml:space="preserve">t has been </w:t>
      </w:r>
      <w:r w:rsidR="00954311" w:rsidRPr="006F3B00">
        <w:rPr>
          <w:rFonts w:ascii="Times New Roman" w:hAnsi="Times New Roman" w:cs="Times New Roman"/>
          <w:sz w:val="24"/>
          <w:szCs w:val="24"/>
        </w:rPr>
        <w:t>recognised</w:t>
      </w:r>
      <w:r w:rsidR="00863DF5" w:rsidRPr="006F3B00">
        <w:rPr>
          <w:rFonts w:ascii="Times New Roman" w:hAnsi="Times New Roman" w:cs="Times New Roman"/>
          <w:sz w:val="24"/>
          <w:szCs w:val="24"/>
        </w:rPr>
        <w:t xml:space="preserve"> that implementing outcome-based medical education can be challenging in </w:t>
      </w:r>
      <w:r w:rsidR="00863DF5" w:rsidRPr="00933DD9">
        <w:rPr>
          <w:rFonts w:ascii="Times New Roman" w:hAnsi="Times New Roman" w:cs="Times New Roman"/>
          <w:sz w:val="24"/>
          <w:szCs w:val="24"/>
        </w:rPr>
        <w:t>terms of translating the complexities of medical practice into meaningful assessment strategies and curricula</w:t>
      </w:r>
      <w:r w:rsidR="00742C69" w:rsidRPr="00933DD9">
        <w:rPr>
          <w:rFonts w:ascii="Times New Roman" w:hAnsi="Times New Roman" w:cs="Times New Roman"/>
          <w:sz w:val="24"/>
          <w:szCs w:val="24"/>
        </w:rPr>
        <w:t xml:space="preserve"> </w:t>
      </w:r>
      <w:r w:rsidR="00863DF5" w:rsidRPr="00933DD9">
        <w:rPr>
          <w:rFonts w:ascii="Times New Roman" w:hAnsi="Times New Roman" w:cs="Times New Roman"/>
          <w:sz w:val="24"/>
          <w:szCs w:val="24"/>
        </w:rPr>
        <w:fldChar w:fldCharType="begin" w:fldLock="1"/>
      </w:r>
      <w:r w:rsidR="00BE3B6C" w:rsidRPr="00933DD9">
        <w:rPr>
          <w:rFonts w:ascii="Times New Roman" w:hAnsi="Times New Roman" w:cs="Times New Roman"/>
          <w:sz w:val="24"/>
          <w:szCs w:val="24"/>
        </w:rPr>
        <w:instrText>ADDIN CSL_CITATION {"citationItems":[{"id":"ITEM-1","itemData":{"DOI":"10.3109/0142159X.2010.501190","ISBN":"1466-187X (Electronic)\\r0142-159X (Linking)","ISSN":"0142-159X","PMID":"20662574","abstract":"Although competency-based medical education (CBME) has attracted renewed interest in recent years among educators and policy-makers in the health care professions, there is little agreement on many aspects of this paradigm. We convened a unique partnership - the International CBME Collaborators - to examine conceptual issues and current debates in CBME. We engaged in a multi-stage group process and held a consensus conference with the aim of reviewing the scholarly literature of competency-based medical education, identifying controversies in need of clarification, proposing definitions and concepts that could be useful to educators across many jurisdictions, and exploring future directions for this approach to preparing health professionals. In this paper, we describe the evolution of CBME from the outcomes movement in the 20th century to a renewed approach that, focused on accountability and curricular outcomes and organized around competencies, promotes greater learner-centredness and de-emphasizes time-based curricular design. In this paradigm, competence and related terms are redefined to emphasize their multi-dimensional, dynamic, developmental, and contextual nature. CBME therefore has significant implications for the planning of medical curricula and will have an important impact in reshaping the enterprise of medical education. We elaborate on this emerging CBME approach and its related concepts, and invite medical educators everywhere to enter into further dialogue about the promise and the potential perils of competency-based medical curricula for the 21st century.","author":[{"dropping-particle":"","family":"Frank","given":"JR","non-dropping-particle":"","parse-names":false,"suffix":""},{"dropping-particle":"","family":"Snell","given":"LS","non-dropping-particle":"","parse-names":false,"suffix":""},{"dropping-particle":"","family":"Cate","given":"OT","non-dropping-particle":"","parse-names":false,"suffix":""},{"dropping-particle":"","family":"Holmboe","given":"ES","non-dropping-particle":"","parse-names":false,"suffix":""},{"dropping-particle":"","family":"Carraccio","given":"C","non-dropping-particle":"","parse-names":false,"suffix":""},{"dropping-particle":"","family":"Swing","given":"SR","non-dropping-particle":"","parse-names":false,"suffix":""},{"dropping-particle":"","family":"Harris","given":"P","non-dropping-particle":"","parse-names":false,"suffix":""},{"dropping-particle":"","family":"Glasgow","given":"NJ","non-dropping-particle":"","parse-names":false,"suffix":""},{"dropping-particle":"","family":"Campbell","given":"C","non-dropping-particle":"","parse-names":false,"suffix":""},{"dropping-particle":"","family":"Dath","given":"D","non-dropping-particle":"","parse-names":false,"suffix":""},{"dropping-particle":"","family":"Harden","given":"RM","non-dropping-particle":"","parse-names":false,"suffix":""},{"dropping-particle":"","family":"Iobst","given":"W","non-dropping-particle":"","parse-names":false,"suffix":""},{"dropping-particle":"","family":"Long","given":"DM","non-dropping-particle":"","parse-names":false,"suffix":""},{"dropping-particle":"","family":"Mungroo","given":"R","non-dropping-particle":"","parse-names":false,"suffix":""},{"dropping-particle":"","family":"Richardson","given":"DL","non-dropping-particle":"","parse-names":false,"suffix":""},{"dropping-particle":"","family":"Sherbino","given":"J","non-dropping-particle":"","parse-names":false,"suffix":""},{"dropping-particle":"","family":"Silver","given":"I","non-dropping-particle":"","parse-names":false,"suffix":""},{"dropping-particle":"","family":"Taber","given":"S","non-dropping-particle":"","parse-names":false,"suffix":""},{"dropping-particle":"","family":"Talbot","given":"M","non-dropping-particle":"","parse-names":false,"suffix":""},{"dropping-particle":"","family":"Harris","given":"KA","non-dropping-particle":"","parse-names":false,"suffix":""}],"container-title":"Medical teacher","id":"ITEM-1","issue":"8","issued":{"date-parts":[["2010"]]},"page":"638-45","title":"Competency-based medical education: theory to practice","type":"article-journal","volume":"32"},"uris":["http://www.mendeley.com/documents/?uuid=e038a1e5-7dc8-4ebc-9691-bee9535c79de"]}],"mendeley":{"formattedCitation":"(J. Frank &lt;i&gt;et al.&lt;/i&gt;, 2010)","plainTextFormattedCitation":"(J. Frank et al., 2010)","previouslyFormattedCitation":"(J. Frank et al. 2010)"},"properties":{"noteIndex":0},"schema":"https://github.com/citation-style-language/schema/raw/master/csl-citation.json"}</w:instrText>
      </w:r>
      <w:r w:rsidR="00863DF5" w:rsidRPr="00933DD9">
        <w:rPr>
          <w:rFonts w:ascii="Times New Roman" w:hAnsi="Times New Roman" w:cs="Times New Roman"/>
          <w:sz w:val="24"/>
          <w:szCs w:val="24"/>
        </w:rPr>
        <w:fldChar w:fldCharType="separate"/>
      </w:r>
      <w:r w:rsidR="00933DD9" w:rsidRPr="00933DD9">
        <w:rPr>
          <w:rFonts w:ascii="Times New Roman" w:hAnsi="Times New Roman" w:cs="Times New Roman"/>
          <w:noProof/>
          <w:sz w:val="24"/>
          <w:szCs w:val="24"/>
        </w:rPr>
        <w:t>(</w:t>
      </w:r>
      <w:r w:rsidR="00BE3B6C" w:rsidRPr="00933DD9">
        <w:rPr>
          <w:rFonts w:ascii="Times New Roman" w:hAnsi="Times New Roman" w:cs="Times New Roman"/>
          <w:noProof/>
          <w:sz w:val="24"/>
          <w:szCs w:val="24"/>
        </w:rPr>
        <w:t>Frank et al. 2010</w:t>
      </w:r>
      <w:r w:rsidR="00013C1C">
        <w:rPr>
          <w:rFonts w:ascii="Times New Roman" w:hAnsi="Times New Roman" w:cs="Times New Roman"/>
          <w:noProof/>
          <w:sz w:val="24"/>
          <w:szCs w:val="24"/>
        </w:rPr>
        <w:t>a</w:t>
      </w:r>
      <w:r w:rsidR="00BE3B6C" w:rsidRPr="00933DD9">
        <w:rPr>
          <w:rFonts w:ascii="Times New Roman" w:hAnsi="Times New Roman" w:cs="Times New Roman"/>
          <w:noProof/>
          <w:sz w:val="24"/>
          <w:szCs w:val="24"/>
        </w:rPr>
        <w:t>)</w:t>
      </w:r>
      <w:r w:rsidR="00863DF5" w:rsidRPr="00933DD9">
        <w:rPr>
          <w:rFonts w:ascii="Times New Roman" w:hAnsi="Times New Roman" w:cs="Times New Roman"/>
          <w:sz w:val="24"/>
          <w:szCs w:val="24"/>
        </w:rPr>
        <w:fldChar w:fldCharType="end"/>
      </w:r>
      <w:r w:rsidR="00863DF5" w:rsidRPr="00933DD9">
        <w:rPr>
          <w:rFonts w:ascii="Times New Roman" w:hAnsi="Times New Roman" w:cs="Times New Roman"/>
          <w:sz w:val="24"/>
          <w:szCs w:val="24"/>
        </w:rPr>
        <w:t>. These complexities are clearly reflected in the data supporting our conceptual model of diagnostic competence, where the various factors involved are all linked to one another. By separating</w:t>
      </w:r>
      <w:r w:rsidR="003A3ACC" w:rsidRPr="00933DD9">
        <w:rPr>
          <w:rFonts w:ascii="Times New Roman" w:hAnsi="Times New Roman" w:cs="Times New Roman"/>
          <w:sz w:val="24"/>
          <w:szCs w:val="24"/>
        </w:rPr>
        <w:t xml:space="preserve"> these into</w:t>
      </w:r>
      <w:r w:rsidR="00863DF5" w:rsidRPr="00933DD9">
        <w:rPr>
          <w:rFonts w:ascii="Times New Roman" w:hAnsi="Times New Roman" w:cs="Times New Roman"/>
          <w:sz w:val="24"/>
          <w:szCs w:val="24"/>
        </w:rPr>
        <w:t xml:space="preserve"> competencies, the complexities of performance are unlikely to be captured. This is in agreement with Durning et al who suggest that the whole is greater than the sum of its p</w:t>
      </w:r>
      <w:r w:rsidR="00933DD9">
        <w:rPr>
          <w:rFonts w:ascii="Times New Roman" w:hAnsi="Times New Roman" w:cs="Times New Roman"/>
          <w:sz w:val="24"/>
          <w:szCs w:val="24"/>
        </w:rPr>
        <w:t>arts (2010)</w:t>
      </w:r>
      <w:r w:rsidR="00863DF5" w:rsidRPr="00933DD9">
        <w:rPr>
          <w:rFonts w:ascii="Times New Roman" w:hAnsi="Times New Roman" w:cs="Times New Roman"/>
          <w:sz w:val="24"/>
          <w:szCs w:val="24"/>
        </w:rPr>
        <w:t>. Assessing diagnostic competency longitudinally mirrors another aspect of our conc</w:t>
      </w:r>
      <w:r w:rsidR="00742C69" w:rsidRPr="00933DD9">
        <w:rPr>
          <w:rFonts w:ascii="Times New Roman" w:hAnsi="Times New Roman" w:cs="Times New Roman"/>
          <w:sz w:val="24"/>
          <w:szCs w:val="24"/>
        </w:rPr>
        <w:t>eptual model, which is that it is</w:t>
      </w:r>
      <w:r w:rsidR="00863DF5" w:rsidRPr="00933DD9">
        <w:rPr>
          <w:rFonts w:ascii="Times New Roman" w:hAnsi="Times New Roman" w:cs="Times New Roman"/>
          <w:sz w:val="24"/>
          <w:szCs w:val="24"/>
        </w:rPr>
        <w:t xml:space="preserve"> the consistency of competency which is particularly important, and not “one-off” demonstrations of competency. This is because the judgement ecology is not consistent, where stage of training, environment, attitudes and emotions can all affect the outcome</w:t>
      </w:r>
      <w:r w:rsidR="00742C69" w:rsidRPr="00933DD9">
        <w:rPr>
          <w:rFonts w:ascii="Times New Roman" w:hAnsi="Times New Roman" w:cs="Times New Roman"/>
          <w:sz w:val="24"/>
          <w:szCs w:val="24"/>
        </w:rPr>
        <w:t xml:space="preserve"> </w:t>
      </w:r>
      <w:r w:rsidR="00863DF5" w:rsidRPr="00933DD9">
        <w:rPr>
          <w:rFonts w:ascii="Times New Roman" w:hAnsi="Times New Roman" w:cs="Times New Roman"/>
          <w:sz w:val="24"/>
          <w:szCs w:val="24"/>
        </w:rPr>
        <w:fldChar w:fldCharType="begin" w:fldLock="1"/>
      </w:r>
      <w:r w:rsidR="00BE3B6C" w:rsidRPr="00933DD9">
        <w:rPr>
          <w:rFonts w:ascii="Times New Roman" w:hAnsi="Times New Roman" w:cs="Times New Roman"/>
          <w:sz w:val="24"/>
          <w:szCs w:val="24"/>
        </w:rPr>
        <w:instrText>ADDIN CSL_CITATION {"citationItems":[{"id":"ITEM-1","itemData":{"DOI":"10.1186/1471-2296-12-138","ISSN":"14712296","abstract":"BACKGROUND Communication is a key competence for health care professionals. Analysis of registrar and GP communication performance in daily practice, however, suggests a suboptimal application of communication skills. The influence of context factors could reveal why communication performance levels, on average, do not appear adequate. The context of daily practice may require different skills or specific ways of handling these skills, whereas communication skills are mostly treated as generic. So far no empirical analysis of the context has been made. Our aim was to identify context factors that could be related to GP communication. METHODS A purposive sample of real-life videotaped GP consultations was analyzed (N = 17). As a frame of reference we chose the MAAS-Global, a widely used assessment instrument for medical communication. By inductive reasoning, we analyzed the GP behaviour in the consultation leading to poor item scores on the MAAS-Global. In these cases we looked for the presence of an intervening context factor, and how this might explain the actual GP communication behaviour. RESULTS We reached saturation after having viewed 17 consultations. We identified 19 context factors that could potentially explain the deviation from generic recommendations on communication skills. These context factors can be categorized into doctor-related, patient-related, and consultation-related factors. CONCLUSIONS Several context factors seem to influence doctor-patient communication, requiring the GP to apply communication skills differently from recommendations on communication. From this study we conclude that there is a need to explicitly account for context factors in the assessment of GP (and GP registrar) communication performance. The next step is to validate our findings.","author":[{"dropping-particle":"","family":"Essers","given":"Geurt","non-dropping-particle":"","parse-names":false,"suffix":""},{"dropping-particle":"","family":"Dulmen","given":"Sandra","non-dropping-particle":"Van","parse-names":false,"suffix":""},{"dropping-particle":"","family":"Weel","given":"Chris","non-dropping-particle":"Van","parse-names":false,"suffix":""},{"dropping-particle":"","family":"Vleuten","given":"Cees","non-dropping-particle":"Van Der","parse-names":false,"suffix":""},{"dropping-particle":"","family":"Kramer","given":"Anneke","non-dropping-particle":"","parse-names":false,"suffix":""}],"container-title":"BMC Family Practice","id":"ITEM-1","issued":{"date-parts":[["2011"]]},"page":"1-8","title":"Identifying context factors explaining physician's low performance in communication assessment: An explorative study in general practice","type":"article-journal","volume":"12"},"uris":["http://www.mendeley.com/documents/?uuid=4439129f-b59b-4863-9075-7e61712a798e"]},{"id":"ITEM-2","itemData":{"DOI":"10.1097/ACM.0b013e3182736dfc","ISSN":"10402446","abstract":"PURPOSE: Context has a critical influence on individuals' behaviors and is essential to understanding lapses in professionalism, yet little is known about contextual factors relevant to practicing physicians. This study used standardized professionalism dilemmas, or challenges, to explore practicing internists' reasoning in their handling of typical challenges.\\n\\nMETHOD: In spring 2011, the authors created several professional challenges relevant to physicians in practice and conducted five focus groups with practicing internists (n = 40). Each group discussed five or six of the challenges, and the facilitators specifically asked what the participants would do and why. The authors used constructivist grounded theory to analyze the transcripts.\\n\\nRESULTS: The scenarios were effective in eliciting discussion and debate. Analysis revealed many guiding principles (e.g., patient welfare, keeping patients happy) that influenced physicians in their approach to professionalism challenges, but these principles were highly context-dependent. The authors found individuals' responses to be malleable and subject to much modification depending on input from peers. Responses often shifted in an iterative and complex manner, depending on factors such as the \"type\" of patients (including the physician's personal feelings toward them), the nature of the illness or diagnosis, and the physician's relationships with others.\\n\\nCONCLUSIONS: Despite recognizing and articulating basic guiding principles of professionalism, physicians' approaches to professional challenges were subject to multiple, interdependent, idiosyncratic forces unique to each situation. A deeper understanding of these factors and how they interact is critical for the development of strategies to teach and evaluate professionalism in practice.","author":[{"dropping-particle":"","family":"Ginsburg","given":"Shiphra","non-dropping-particle":"","parse-names":false,"suffix":""},{"dropping-particle":"","family":"Bernabeo","given":"Elizabeth","non-dropping-particle":"","parse-names":false,"suffix":""},{"dropping-particle":"","family":"Ross","given":"Kathryn M.","non-dropping-particle":"","parse-names":false,"suffix":""},{"dropping-particle":"","family":"Holmboe","given":"Eric S.","non-dropping-particle":"","parse-names":false,"suffix":""}],"container-title":"Academic Medicine","id":"ITEM-2","issue":"12","issued":{"date-parts":[["2012"]]},"page":"1685-1693","title":"\"It Dependsa\": Results of a qualitative study investigating how practicing internists approach professional dilemmas","type":"article-journal","volume":"87"},"uris":["http://www.mendeley.com/documents/?uuid=a28c7c61-ebd5-4e7f-8d7f-20c16afd2e12"]}],"mendeley":{"formattedCitation":"(Essers &lt;i&gt;et al.&lt;/i&gt;, 2011; Ginsburg &lt;i&gt;et al.&lt;/i&gt;, 2012)","plainTextFormattedCitation":"(Essers et al., 2011; Ginsburg et al., 2012)","previouslyFormattedCitation":"(Essers et al. 2011; Ginsburg et al. 2012)"},"properties":{"noteIndex":0},"schema":"https://github.com/citation-style-language/schema/raw/master/csl-citation.json"}</w:instrText>
      </w:r>
      <w:r w:rsidR="00863DF5" w:rsidRPr="00933DD9">
        <w:rPr>
          <w:rFonts w:ascii="Times New Roman" w:hAnsi="Times New Roman" w:cs="Times New Roman"/>
          <w:sz w:val="24"/>
          <w:szCs w:val="24"/>
        </w:rPr>
        <w:fldChar w:fldCharType="separate"/>
      </w:r>
      <w:r w:rsidR="00BE3B6C" w:rsidRPr="00933DD9">
        <w:rPr>
          <w:rFonts w:ascii="Times New Roman" w:hAnsi="Times New Roman" w:cs="Times New Roman"/>
          <w:noProof/>
          <w:sz w:val="24"/>
          <w:szCs w:val="24"/>
        </w:rPr>
        <w:t>(Essers et al. 2011; Ginsburg et al. 2012)</w:t>
      </w:r>
      <w:r w:rsidR="00863DF5" w:rsidRPr="00933DD9">
        <w:rPr>
          <w:rFonts w:ascii="Times New Roman" w:hAnsi="Times New Roman" w:cs="Times New Roman"/>
          <w:sz w:val="24"/>
          <w:szCs w:val="24"/>
        </w:rPr>
        <w:fldChar w:fldCharType="end"/>
      </w:r>
      <w:r w:rsidR="00863DF5" w:rsidRPr="00933DD9">
        <w:rPr>
          <w:rFonts w:ascii="Times New Roman" w:hAnsi="Times New Roman" w:cs="Times New Roman"/>
          <w:sz w:val="24"/>
          <w:szCs w:val="24"/>
        </w:rPr>
        <w:t>. In line with</w:t>
      </w:r>
      <w:r w:rsidR="00863DF5" w:rsidRPr="006F3B00">
        <w:rPr>
          <w:rFonts w:ascii="Times New Roman" w:hAnsi="Times New Roman" w:cs="Times New Roman"/>
          <w:sz w:val="24"/>
          <w:szCs w:val="24"/>
        </w:rPr>
        <w:t xml:space="preserve"> the literature, diagnostic competence involves the ability to manage ambiguous </w:t>
      </w:r>
      <w:r w:rsidR="00863DF5" w:rsidRPr="006F3B00">
        <w:rPr>
          <w:rFonts w:ascii="Times New Roman" w:hAnsi="Times New Roman" w:cs="Times New Roman"/>
          <w:sz w:val="24"/>
          <w:szCs w:val="24"/>
        </w:rPr>
        <w:lastRenderedPageBreak/>
        <w:t>problems, tolerate uncertainty and make decisions with limited information</w:t>
      </w:r>
      <w:r w:rsidR="00742C69">
        <w:rPr>
          <w:rFonts w:ascii="Times New Roman" w:hAnsi="Times New Roman" w:cs="Times New Roman"/>
          <w:sz w:val="24"/>
          <w:szCs w:val="24"/>
        </w:rPr>
        <w:t xml:space="preserve"> </w:t>
      </w:r>
      <w:r w:rsidR="00863DF5"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{"citationItems":[{"id":"ITEM-1","itemData":{"author":[{"dropping-particle":"","family":"Schon DA","given":"","non-dropping-particle":"","parse-names":false,"suffix":""}],"id":"ITEM-1","issued":{"date-parts":[["1983"]]},"publisher":"Basic Books","publisher-place":"New York","title":"The reflective practitioner","type":"book"},"uris":["http://www.mendeley.com/documents/?uuid=dbb62fb6-373a-4635-91e1-4bd514a356d2"]}],"mendeley":{"formattedCitation":"(Schon DA, 1983)","plainTextFormattedCitation":"(Schon DA, 1983)","previouslyFormattedCitation":"(Schon DA 1983)"},"properties":{"noteIndex":0},"schema":"https://github.com/citation-style-language/schema/raw/master/csl-citation.json"}</w:instrText>
      </w:r>
      <w:r w:rsidR="00863DF5" w:rsidRPr="006F3B00">
        <w:rPr>
          <w:rFonts w:ascii="Times New Roman" w:hAnsi="Times New Roman" w:cs="Times New Roman"/>
          <w:sz w:val="24"/>
          <w:szCs w:val="24"/>
        </w:rPr>
        <w:fldChar w:fldCharType="separate"/>
      </w:r>
      <w:r w:rsidR="00933DD9">
        <w:rPr>
          <w:rFonts w:ascii="Times New Roman" w:hAnsi="Times New Roman" w:cs="Times New Roman"/>
          <w:noProof/>
          <w:sz w:val="24"/>
          <w:szCs w:val="24"/>
        </w:rPr>
        <w:t>(Schon</w:t>
      </w:r>
      <w:r w:rsidR="00BE3B6C" w:rsidRPr="00BE3B6C">
        <w:rPr>
          <w:rFonts w:ascii="Times New Roman" w:hAnsi="Times New Roman" w:cs="Times New Roman"/>
          <w:noProof/>
          <w:sz w:val="24"/>
          <w:szCs w:val="24"/>
        </w:rPr>
        <w:t xml:space="preserve"> 1983)</w:t>
      </w:r>
      <w:r w:rsidR="00863DF5" w:rsidRPr="006F3B00">
        <w:rPr>
          <w:rFonts w:ascii="Times New Roman" w:hAnsi="Times New Roman" w:cs="Times New Roman"/>
          <w:sz w:val="24"/>
          <w:szCs w:val="24"/>
        </w:rPr>
        <w:fldChar w:fldCharType="end"/>
      </w:r>
      <w:r w:rsidR="00863DF5" w:rsidRPr="006F3B00">
        <w:rPr>
          <w:rFonts w:ascii="Times New Roman" w:hAnsi="Times New Roman" w:cs="Times New Roman"/>
          <w:sz w:val="24"/>
          <w:szCs w:val="24"/>
        </w:rPr>
        <w:t>. Our findings suggest there is a</w:t>
      </w:r>
      <w:r w:rsidR="003A3ACC">
        <w:rPr>
          <w:rFonts w:ascii="Times New Roman" w:hAnsi="Times New Roman" w:cs="Times New Roman"/>
          <w:sz w:val="24"/>
          <w:szCs w:val="24"/>
        </w:rPr>
        <w:t xml:space="preserve"> degree of</w:t>
      </w:r>
      <w:r w:rsidR="00863DF5" w:rsidRPr="006F3B00">
        <w:rPr>
          <w:rFonts w:ascii="Times New Roman" w:hAnsi="Times New Roman" w:cs="Times New Roman"/>
          <w:sz w:val="24"/>
          <w:szCs w:val="24"/>
        </w:rPr>
        <w:t xml:space="preserve"> resentment towards measuring outcomes through WBAs and “</w:t>
      </w:r>
      <w:r w:rsidR="00863DF5" w:rsidRPr="00933DD9">
        <w:rPr>
          <w:rFonts w:ascii="Times New Roman" w:hAnsi="Times New Roman" w:cs="Times New Roman"/>
          <w:sz w:val="24"/>
          <w:szCs w:val="24"/>
        </w:rPr>
        <w:t>ticking boxes”, echoing others who have criticized competency based education as being politically motivated, impersonal or rigid</w:t>
      </w:r>
      <w:r w:rsidR="00742C69" w:rsidRPr="00933DD9">
        <w:rPr>
          <w:rFonts w:ascii="Times New Roman" w:hAnsi="Times New Roman" w:cs="Times New Roman"/>
          <w:sz w:val="24"/>
          <w:szCs w:val="24"/>
        </w:rPr>
        <w:t xml:space="preserve"> </w:t>
      </w:r>
      <w:r w:rsidR="00863DF5" w:rsidRPr="00933DD9">
        <w:rPr>
          <w:rFonts w:ascii="Times New Roman" w:hAnsi="Times New Roman" w:cs="Times New Roman"/>
          <w:sz w:val="24"/>
          <w:szCs w:val="24"/>
        </w:rPr>
        <w:fldChar w:fldCharType="begin" w:fldLock="1"/>
      </w:r>
      <w:r w:rsidR="00BE3B6C" w:rsidRPr="00933DD9">
        <w:rPr>
          <w:rFonts w:ascii="Times New Roman" w:hAnsi="Times New Roman" w:cs="Times New Roman"/>
          <w:sz w:val="24"/>
          <w:szCs w:val="24"/>
        </w:rPr>
        <w:instrText>ADDIN CSL_CITATION {"citationItems":[{"id":"ITEM-1","itemData":{"abstract":"The competency approach has become prominent at most stages of undergraduate and postgraduate medical training in many countries. In the United Kingdom, for example, it forms part of the performance procedures of the General Medical Council (GMC), 1 ... \\n","author":[{"dropping-particle":"","family":"Leung","given":"W C","non-dropping-particle":"","parse-names":false,"suffix":""}],"container-title":"BMJ: British Medical Journal","id":"ITEM-1","issued":{"date-parts":[["2002"]]},"title":"Competency based medical training: review","type":"article-journal"},"uris":["http://www.mendeley.com/documents/?uuid=ec0595d6-9087-4917-8f78-7b9006d5a098"]},{"id":"ITEM-2","itemData":{"DOI":"10.1097/00001888-200205000-00003","ISBN":"4103280646","ISSN":"10402446","PMID":"12010689","abstract":"Realizing medical education is on the brink of a major paradigm shift from structure- and process-based to competency-based education and measurement of outcomes, the authors reviewed the existing medical literature to provide practical insight into how to accomplish full implementation and evaluation of this new paradigm. They searched Medline and the Educational Resource Information Clearinghouse from the 1960s until the present, reviewed the titles and abstracts of the 469 articles the search produced, and chose 68 relevant articles for full review. The authors found that in the 1970s and 1980s much attention was given to the need for and the development of professional competencies for many medical disciplines. Little attention, however, was devoted to defining the benchmarks of specific competencies, how to attain them, or the evaluation of competence. Lack of evaluation strategies was likely one of the forces responsible for the three-decade lag between initiation of the movement and wide-spread adoption. Lessons learned from past experiences include the importance of strategic planning and faculty and learner buy-in for defining competencies. In addition, the benchmarks for defining competency and the thresholds for attaining competence must be clearly delineated. The development of appropriate assessment tools to measure competence remains the challenge of this decade, and educators must be responsible for studying the impact of this paradigm shift to determine whether its ultimate effect is the production of more competent physicians.","author":[{"dropping-particle":"","family":"Carraccio","given":"Carol","non-dropping-particle":"","parse-names":false,"suffix":""},{"dropping-particle":"","family":"Wolfsthal","given":"Susan D.","non-dropping-particle":"","parse-names":false,"suffix":""},{"dropping-particle":"","family":"Englander","given":"Robert","non-dropping-particle":"","parse-names":false,"suffix":""},{"dropping-particle":"","family":"Ferentz","given":"Kevin","non-dropping-particle":"","parse-names":false,"suffix":""},{"dropping-particle":"","family":"Martin","given":"Christine","non-dropping-particle":"","parse-names":false,"suffix":""}],"container-title":"Academic Medicine","id":"ITEM-2","issue":"5","issued":{"date-parts":[["2002"]]},"page":"361-367","title":"Shifting paradigms: From flexner to competencies","type":"article","volume":"77"},"uris":["http://www.mendeley.com/documents/?uuid=7297a5bc-07f5-4202-9963-99ea0ab1a143"]}],"mendeley":{"formattedCitation":"(Carraccio &lt;i&gt;et al.&lt;/i&gt;, 2002; Leung, 2002)","plainTextFormattedCitation":"(Carraccio et al., 2002; Leung, 2002)","previouslyFormattedCitation":"(Leung 2002; Carraccio et al. 2002)"},"properties":{"noteIndex":0},"schema":"https://github.com/citation-style-language/schema/raw/master/csl-citation.json"}</w:instrText>
      </w:r>
      <w:r w:rsidR="00863DF5" w:rsidRPr="00933DD9">
        <w:rPr>
          <w:rFonts w:ascii="Times New Roman" w:hAnsi="Times New Roman" w:cs="Times New Roman"/>
          <w:sz w:val="24"/>
          <w:szCs w:val="24"/>
        </w:rPr>
        <w:fldChar w:fldCharType="separate"/>
      </w:r>
      <w:r w:rsidR="00BE3B6C" w:rsidRPr="00933DD9">
        <w:rPr>
          <w:rFonts w:ascii="Times New Roman" w:hAnsi="Times New Roman" w:cs="Times New Roman"/>
          <w:noProof/>
          <w:sz w:val="24"/>
          <w:szCs w:val="24"/>
        </w:rPr>
        <w:t>(Carraccio et al.</w:t>
      </w:r>
      <w:r w:rsidR="00933DD9">
        <w:rPr>
          <w:rFonts w:ascii="Times New Roman" w:hAnsi="Times New Roman" w:cs="Times New Roman"/>
          <w:noProof/>
          <w:sz w:val="24"/>
          <w:szCs w:val="24"/>
        </w:rPr>
        <w:t xml:space="preserve"> 2002; Leung</w:t>
      </w:r>
      <w:r w:rsidR="00BE3B6C" w:rsidRPr="00933DD9">
        <w:rPr>
          <w:rFonts w:ascii="Times New Roman" w:hAnsi="Times New Roman" w:cs="Times New Roman"/>
          <w:noProof/>
          <w:sz w:val="24"/>
          <w:szCs w:val="24"/>
        </w:rPr>
        <w:t xml:space="preserve"> 2002)</w:t>
      </w:r>
      <w:r w:rsidR="00863DF5" w:rsidRPr="00933DD9">
        <w:rPr>
          <w:rFonts w:ascii="Times New Roman" w:hAnsi="Times New Roman" w:cs="Times New Roman"/>
          <w:sz w:val="24"/>
          <w:szCs w:val="24"/>
        </w:rPr>
        <w:fldChar w:fldCharType="end"/>
      </w:r>
      <w:r w:rsidR="00863DF5" w:rsidRPr="00933DD9">
        <w:rPr>
          <w:rFonts w:ascii="Times New Roman" w:hAnsi="Times New Roman" w:cs="Times New Roman"/>
          <w:sz w:val="24"/>
          <w:szCs w:val="24"/>
        </w:rPr>
        <w:t xml:space="preserve">. Hence, the reductionist approach to assessment has risked measuring what is measurable but not what is important </w:t>
      </w:r>
      <w:r w:rsidR="00863DF5" w:rsidRPr="00933DD9">
        <w:rPr>
          <w:rFonts w:ascii="Times New Roman" w:hAnsi="Times New Roman" w:cs="Times New Roman"/>
          <w:sz w:val="24"/>
          <w:szCs w:val="24"/>
        </w:rPr>
        <w:fldChar w:fldCharType="begin" w:fldLock="1"/>
      </w:r>
      <w:r w:rsidR="00BE3B6C" w:rsidRPr="00933DD9">
        <w:rPr>
          <w:rFonts w:ascii="Times New Roman" w:hAnsi="Times New Roman" w:cs="Times New Roman"/>
          <w:sz w:val="24"/>
          <w:szCs w:val="24"/>
        </w:rPr>
        <w:instrText>ADDIN CSL_CITATION {"citationItems":[{"id":"ITEM-1","itemData":{"author":[{"dropping-particle":"","family":"Snadden","given":"D","non-dropping-particle":"","parse-names":false,"suffix":""}],"container-title":"Medical Education","id":"ITEM-1","issue":"7","issued":{"date-parts":[["1999"]]},"page":"478-479","title":"Portfolios–attempting to measure the unmeasurable.","type":"article-journal","volume":"33"},"uris":["http://www.mendeley.com/documents/?uuid=472ab0a3-e404-48bb-8340-9bdfceefb43e"]}],"mendeley":{"formattedCitation":"(Snadden, 1999)","plainTextFormattedCitation":"(Snadden, 1999)","previouslyFormattedCitation":"(Snadden 1999)"},"properties":{"noteIndex":0},"schema":"https://github.com/citation-style-language/schema/raw/master/csl-citation.json"}</w:instrText>
      </w:r>
      <w:r w:rsidR="00863DF5" w:rsidRPr="00933DD9">
        <w:rPr>
          <w:rFonts w:ascii="Times New Roman" w:hAnsi="Times New Roman" w:cs="Times New Roman"/>
          <w:sz w:val="24"/>
          <w:szCs w:val="24"/>
        </w:rPr>
        <w:fldChar w:fldCharType="separate"/>
      </w:r>
      <w:r w:rsidR="00933DD9">
        <w:rPr>
          <w:rFonts w:ascii="Times New Roman" w:hAnsi="Times New Roman" w:cs="Times New Roman"/>
          <w:noProof/>
          <w:sz w:val="24"/>
          <w:szCs w:val="24"/>
        </w:rPr>
        <w:t>(Snadden</w:t>
      </w:r>
      <w:r w:rsidR="00BE3B6C" w:rsidRPr="00933DD9">
        <w:rPr>
          <w:rFonts w:ascii="Times New Roman" w:hAnsi="Times New Roman" w:cs="Times New Roman"/>
          <w:noProof/>
          <w:sz w:val="24"/>
          <w:szCs w:val="24"/>
        </w:rPr>
        <w:t xml:space="preserve"> 1999)</w:t>
      </w:r>
      <w:r w:rsidR="00863DF5" w:rsidRPr="00933DD9">
        <w:rPr>
          <w:rFonts w:ascii="Times New Roman" w:hAnsi="Times New Roman" w:cs="Times New Roman"/>
          <w:sz w:val="24"/>
          <w:szCs w:val="24"/>
        </w:rPr>
        <w:fldChar w:fldCharType="end"/>
      </w:r>
      <w:r w:rsidR="00863DF5" w:rsidRPr="00933DD9">
        <w:rPr>
          <w:rFonts w:ascii="Times New Roman" w:hAnsi="Times New Roman" w:cs="Times New Roman"/>
          <w:sz w:val="24"/>
          <w:szCs w:val="24"/>
        </w:rPr>
        <w:t>.</w:t>
      </w:r>
    </w:p>
    <w:p w14:paraId="1CDF3A0A" w14:textId="3995F1EE" w:rsidR="00863DF5" w:rsidRPr="00933DD9" w:rsidRDefault="00863DF5" w:rsidP="00863DF5">
      <w:pPr>
        <w:spacing w:line="480" w:lineRule="auto"/>
        <w:rPr>
          <w:rFonts w:ascii="Times New Roman" w:hAnsi="Times New Roman" w:cs="Times New Roman"/>
          <w:sz w:val="24"/>
          <w:szCs w:val="24"/>
        </w:rPr>
      </w:pPr>
      <w:r w:rsidRPr="00933DD9">
        <w:rPr>
          <w:rFonts w:ascii="Times New Roman" w:hAnsi="Times New Roman" w:cs="Times New Roman"/>
          <w:sz w:val="24"/>
          <w:szCs w:val="24"/>
        </w:rPr>
        <w:t>The step-wise, logical transition from novice to expert in Miller’s pyramid</w:t>
      </w:r>
      <w:r w:rsidR="00742C69" w:rsidRPr="00933DD9">
        <w:rPr>
          <w:rFonts w:ascii="Times New Roman" w:hAnsi="Times New Roman" w:cs="Times New Roman"/>
          <w:sz w:val="24"/>
          <w:szCs w:val="24"/>
        </w:rPr>
        <w:t xml:space="preserve"> </w:t>
      </w:r>
      <w:r w:rsidR="009523E9" w:rsidRPr="00933DD9">
        <w:rPr>
          <w:rFonts w:ascii="Times New Roman" w:hAnsi="Times New Roman" w:cs="Times New Roman"/>
          <w:sz w:val="24"/>
          <w:szCs w:val="24"/>
        </w:rPr>
        <w:fldChar w:fldCharType="begin" w:fldLock="1"/>
      </w:r>
      <w:r w:rsidR="00BE3B6C" w:rsidRPr="00933DD9">
        <w:rPr>
          <w:rFonts w:ascii="Times New Roman" w:hAnsi="Times New Roman" w:cs="Times New Roman"/>
          <w:sz w:val="24"/>
          <w:szCs w:val="24"/>
        </w:rPr>
        <w:instrText>ADDIN CSL_CITATION {"citationItems":[{"id":"ITEM-1","itemData":{"DOI":"10.1097/00001888-199009000-00045","ISBN":"1040-2446","ISSN":"1040-2446","PMID":"2400509","abstract":"No abstract available. (C) 1990 Association of American Medical Colleges","author":[{"dropping-particle":"","family":"Miller","given":"G E","non-dropping-particle":"","parse-names":false,"suffix":""}],"container-title":"Academic medicine : journal of the Association of American Medical Colleges","id":"ITEM-1","issue":"9 Suppl","issued":{"date-parts":[["1990"]]},"page":"S63-S67","title":"The assessment of clinical skills/competence/performance.","type":"article-journal","volume":"65"},"uris":["http://www.mendeley.com/documents/?uuid=447d45d0-ad29-4bd1-9a84-9d8055604fd3"]}],"mendeley":{"formattedCitation":"(Miller, 1990)","plainTextFormattedCitation":"(Miller, 1990)","previouslyFormattedCitation":"(G. E. Miller 1990)"},"properties":{"noteIndex":0},"schema":"https://github.com/citation-style-language/schema/raw/master/csl-citation.json"}</w:instrText>
      </w:r>
      <w:r w:rsidR="009523E9" w:rsidRPr="00933DD9">
        <w:rPr>
          <w:rFonts w:ascii="Times New Roman" w:hAnsi="Times New Roman" w:cs="Times New Roman"/>
          <w:sz w:val="24"/>
          <w:szCs w:val="24"/>
        </w:rPr>
        <w:fldChar w:fldCharType="separate"/>
      </w:r>
      <w:r w:rsidR="00933DD9">
        <w:rPr>
          <w:rFonts w:ascii="Times New Roman" w:hAnsi="Times New Roman" w:cs="Times New Roman"/>
          <w:noProof/>
          <w:sz w:val="24"/>
          <w:szCs w:val="24"/>
        </w:rPr>
        <w:t>(Miller</w:t>
      </w:r>
      <w:r w:rsidR="00BE3B6C" w:rsidRPr="00933DD9">
        <w:rPr>
          <w:rFonts w:ascii="Times New Roman" w:hAnsi="Times New Roman" w:cs="Times New Roman"/>
          <w:noProof/>
          <w:sz w:val="24"/>
          <w:szCs w:val="24"/>
        </w:rPr>
        <w:t xml:space="preserve"> 1990)</w:t>
      </w:r>
      <w:r w:rsidR="009523E9" w:rsidRPr="00933DD9">
        <w:rPr>
          <w:rFonts w:ascii="Times New Roman" w:hAnsi="Times New Roman" w:cs="Times New Roman"/>
          <w:sz w:val="24"/>
          <w:szCs w:val="24"/>
        </w:rPr>
        <w:fldChar w:fldCharType="end"/>
      </w:r>
      <w:r w:rsidRPr="00933DD9">
        <w:rPr>
          <w:rFonts w:ascii="Times New Roman" w:hAnsi="Times New Roman" w:cs="Times New Roman"/>
          <w:color w:val="FF0000"/>
          <w:sz w:val="24"/>
          <w:szCs w:val="24"/>
        </w:rPr>
        <w:t xml:space="preserve"> </w:t>
      </w:r>
      <w:r w:rsidRPr="00933DD9">
        <w:rPr>
          <w:rFonts w:ascii="Times New Roman" w:hAnsi="Times New Roman" w:cs="Times New Roman"/>
          <w:sz w:val="24"/>
          <w:szCs w:val="24"/>
        </w:rPr>
        <w:t>does seem to oversimplify how diagnostic competence is achieved. For instance, the data supporting our conceptual model reflects that there are cycles of reflection and learning which happen throughout training, where trainees may need to revisit and augment competencies. Secondly, the levels in Miller’s pyramid suggest a trainee can move up and down these levels</w:t>
      </w:r>
      <w:r w:rsidR="00A71314" w:rsidRPr="00933DD9">
        <w:rPr>
          <w:rFonts w:ascii="Times New Roman" w:hAnsi="Times New Roman" w:cs="Times New Roman"/>
          <w:sz w:val="24"/>
          <w:szCs w:val="24"/>
        </w:rPr>
        <w:t xml:space="preserve"> freely</w:t>
      </w:r>
      <w:r w:rsidRPr="00933DD9">
        <w:rPr>
          <w:rFonts w:ascii="Times New Roman" w:hAnsi="Times New Roman" w:cs="Times New Roman"/>
          <w:sz w:val="24"/>
          <w:szCs w:val="24"/>
        </w:rPr>
        <w:t>. However, the ability of trainees to do certain things is also controlled by</w:t>
      </w:r>
      <w:r w:rsidR="00742C69" w:rsidRPr="00933DD9">
        <w:rPr>
          <w:rFonts w:ascii="Times New Roman" w:hAnsi="Times New Roman" w:cs="Times New Roman"/>
          <w:sz w:val="24"/>
          <w:szCs w:val="24"/>
        </w:rPr>
        <w:t xml:space="preserve"> a</w:t>
      </w:r>
      <w:r w:rsidRPr="00933DD9">
        <w:rPr>
          <w:rFonts w:ascii="Times New Roman" w:hAnsi="Times New Roman" w:cs="Times New Roman"/>
          <w:sz w:val="24"/>
          <w:szCs w:val="24"/>
        </w:rPr>
        <w:t xml:space="preserve"> consultant delegating work when they deem it appropriate for the trainee to move to the next level of the pyramid. Thirdly, at the top of Miller’s pyramid, being able to “do” something suggests one is an expert, yet in reality, our data show that consultants aren’t just interested in trainees making diagnoses unless they are also reflective practitioners, aware of their limitations, act professionally and refer appropriately. It is also not a “final destination” and must be maintained through one’s career.</w:t>
      </w:r>
    </w:p>
    <w:p w14:paraId="3AC2433C" w14:textId="050D97B8" w:rsidR="00863DF5" w:rsidRPr="006F3B00" w:rsidRDefault="00863DF5" w:rsidP="00863DF5">
      <w:pPr>
        <w:spacing w:line="480" w:lineRule="auto"/>
        <w:rPr>
          <w:rFonts w:ascii="Times New Roman" w:hAnsi="Times New Roman" w:cs="Times New Roman"/>
          <w:sz w:val="24"/>
          <w:szCs w:val="24"/>
        </w:rPr>
      </w:pPr>
      <w:r w:rsidRPr="00933DD9">
        <w:rPr>
          <w:rFonts w:ascii="Times New Roman" w:hAnsi="Times New Roman" w:cs="Times New Roman"/>
          <w:sz w:val="24"/>
          <w:szCs w:val="24"/>
        </w:rPr>
        <w:t xml:space="preserve">Our findings are akin to the Cambridge model of competency which shows how numerous other factors can influence performance </w:t>
      </w:r>
      <w:r w:rsidRPr="00933DD9">
        <w:rPr>
          <w:rFonts w:ascii="Times New Roman" w:hAnsi="Times New Roman" w:cs="Times New Roman"/>
          <w:sz w:val="24"/>
          <w:szCs w:val="24"/>
        </w:rPr>
        <w:fldChar w:fldCharType="begin" w:fldLock="1"/>
      </w:r>
      <w:r w:rsidR="00BE3B6C" w:rsidRPr="00933DD9">
        <w:rPr>
          <w:rFonts w:ascii="Times New Roman" w:hAnsi="Times New Roman" w:cs="Times New Roman"/>
          <w:sz w:val="24"/>
          <w:szCs w:val="24"/>
        </w:rPr>
        <w:instrText>ADDIN CSL_CITATION {"citationItems":[{"id":"ITEM-1","itemData":{"DOI":"10.1046/j.1365-2923.2002.01316.x","ISBN":"0308-0110","ISSN":"03080110","PMID":"12390456","abstract":"OBJECTIVE: This paper aims to describe current views of the relationship between competence and performance and to delineate some of the implications of the distinctions between the two areas for the purpose of assessing doctors in practice. METHODS: During a 2-day closed session, the authors, using their wide experiences in this domain, defined the problem and the context, discussed the content and set up a new model. This was developed further by e-mail correspondence over a 6-month period. RESULTS: Competency-based assessments were defined as measures of what doctors do in testing situations, while performance-based assessments were defined as measures of what doctors do in practice. The distinction between competency-based and performance-based methods leads to a three-stage model for assessing doctors in practice. The first component of the model proposed is a screening test that would identify doctors at risk. Practitioners who 'pass' the screen would move on to a continuous quality improvement process aimed at raising the general level of performance. Practitioners deemed to be at risk would undergo a more detailed assessment process focused on rigorous testing, with poor performers targeted for remediation or removal from practice. CONCLUSION: We propose a new model, designated the Cambridge Model, which extends and refines Miller's pyramid. It inverts his pyramid, focuses exclusively on the top two tiers, and identifies performance as a product of competence, the influences of the individual (e.g. health, relationships), and the influences of the system (e.g. facilities, practice time). The model provides a basis for understanding and designing assessments of practice performance.","author":[{"dropping-particle":"","family":"Rethans","given":"J. J.","non-dropping-particle":"","parse-names":false,"suffix":""},{"dropping-particle":"","family":"Norcini","given":"J. J.","non-dropping-particle":"","parse-names":false,"suffix":""},{"dropping-particle":"","family":"Barón-Maldonado","given":"M.","non-dropping-particle":"","parse-names":false,"suffix":""},{"dropping-particle":"","family":"Blackmore","given":"D.","non-dropping-particle":"","parse-names":false,"suffix":""},{"dropping-particle":"","family":"Jolly","given":"B. C.","non-dropping-particle":"","parse-names":false,"suffix":""},{"dropping-particle":"","family":"LaDuca","given":"T.","non-dropping-particle":"","parse-names":false,"suffix":""},{"dropping-particle":"","family":"Lew","given":"S.","non-dropping-particle":"","parse-names":false,"suffix":""},{"dropping-particle":"","family":"Page","given":"G. G.","non-dropping-particle":"","parse-names":false,"suffix":""},{"dropping-particle":"","family":"Southgate","given":"L. H.","non-dropping-particle":"","parse-names":false,"suffix":""}],"container-title":"Medical Education","id":"ITEM-1","issue":"10","issued":{"date-parts":[["2002"]]},"page":"901-909","title":"The relationship between competence and performance: Implications for assessing practice performance","type":"paper-conference","volume":"36"},"uris":["http://www.mendeley.com/documents/?uuid=78abe7eb-ceb5-45f5-be73-e1834ca6c488"]}],"mendeley":{"formattedCitation":"(Rethans &lt;i&gt;et al.&lt;/i&gt;, 2002b)","plainTextFormattedCitation":"(Rethans et al., 2002b)","previouslyFormattedCitation":"(Rethans et al. 2002b)"},"properties":{"noteIndex":0},"schema":"https://github.com/citation-style-language/schema/raw/master/csl-citation.json"}</w:instrText>
      </w:r>
      <w:r w:rsidRPr="00933DD9">
        <w:rPr>
          <w:rFonts w:ascii="Times New Roman" w:hAnsi="Times New Roman" w:cs="Times New Roman"/>
          <w:sz w:val="24"/>
          <w:szCs w:val="24"/>
        </w:rPr>
        <w:fldChar w:fldCharType="separate"/>
      </w:r>
      <w:r w:rsidR="00BE3B6C" w:rsidRPr="00933DD9">
        <w:rPr>
          <w:rFonts w:ascii="Times New Roman" w:hAnsi="Times New Roman" w:cs="Times New Roman"/>
          <w:noProof/>
          <w:sz w:val="24"/>
          <w:szCs w:val="24"/>
        </w:rPr>
        <w:t>(Rethans et al.</w:t>
      </w:r>
      <w:r w:rsidR="00933DD9">
        <w:rPr>
          <w:rFonts w:ascii="Times New Roman" w:hAnsi="Times New Roman" w:cs="Times New Roman"/>
          <w:noProof/>
          <w:sz w:val="24"/>
          <w:szCs w:val="24"/>
        </w:rPr>
        <w:t xml:space="preserve"> 2002</w:t>
      </w:r>
      <w:r w:rsidR="00BE3B6C" w:rsidRPr="00933DD9">
        <w:rPr>
          <w:rFonts w:ascii="Times New Roman" w:hAnsi="Times New Roman" w:cs="Times New Roman"/>
          <w:noProof/>
          <w:sz w:val="24"/>
          <w:szCs w:val="24"/>
        </w:rPr>
        <w:t>)</w:t>
      </w:r>
      <w:r w:rsidRPr="00933DD9">
        <w:rPr>
          <w:rFonts w:ascii="Times New Roman" w:hAnsi="Times New Roman" w:cs="Times New Roman"/>
          <w:sz w:val="24"/>
          <w:szCs w:val="24"/>
        </w:rPr>
        <w:fldChar w:fldCharType="end"/>
      </w:r>
      <w:r w:rsidRPr="00933DD9">
        <w:rPr>
          <w:rFonts w:ascii="Times New Roman" w:hAnsi="Times New Roman" w:cs="Times New Roman"/>
          <w:sz w:val="24"/>
          <w:szCs w:val="24"/>
        </w:rPr>
        <w:t>. The</w:t>
      </w:r>
      <w:r w:rsidRPr="006F3B00">
        <w:rPr>
          <w:rFonts w:ascii="Times New Roman" w:hAnsi="Times New Roman" w:cs="Times New Roman"/>
          <w:sz w:val="24"/>
          <w:szCs w:val="24"/>
        </w:rPr>
        <w:t xml:space="preserve"> Cambridge model indicates that system based influences can affect performance such as guidelines and regulatory bodies, which have also appeared in our data. Personal relationships are also relevant and relate to aspects of professionalism which are central to our model of diagnostic competency. Therefore, those studies identified in the literature</w:t>
      </w:r>
      <w:r w:rsidR="00AF48FE">
        <w:rPr>
          <w:rFonts w:ascii="Times New Roman" w:hAnsi="Times New Roman" w:cs="Times New Roman"/>
          <w:sz w:val="24"/>
          <w:szCs w:val="24"/>
        </w:rPr>
        <w:t xml:space="preserve"> review</w:t>
      </w:r>
      <w:r w:rsidRPr="006F3B00">
        <w:rPr>
          <w:rFonts w:ascii="Times New Roman" w:hAnsi="Times New Roman" w:cs="Times New Roman"/>
          <w:sz w:val="24"/>
          <w:szCs w:val="24"/>
        </w:rPr>
        <w:t xml:space="preserve"> which only examined acc</w:t>
      </w:r>
      <w:r w:rsidR="00742C69">
        <w:rPr>
          <w:rFonts w:ascii="Times New Roman" w:hAnsi="Times New Roman" w:cs="Times New Roman"/>
          <w:sz w:val="24"/>
          <w:szCs w:val="24"/>
        </w:rPr>
        <w:t xml:space="preserve">uracy of </w:t>
      </w:r>
      <w:r w:rsidR="00AF48FE">
        <w:rPr>
          <w:rFonts w:ascii="Times New Roman" w:hAnsi="Times New Roman" w:cs="Times New Roman"/>
          <w:sz w:val="24"/>
          <w:szCs w:val="24"/>
        </w:rPr>
        <w:t xml:space="preserve">diagnoses </w:t>
      </w:r>
      <w:r w:rsidR="00AF48FE" w:rsidRPr="00EC647D">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{"citationItems":[{"id":"ITEM-1","itemData":{"DOI":"10.1016/j.prp.2010.06.007","ISBN":"1618-0631 (Electronic)\\r0344-0338 (Linking)","ISSN":"1618-0631","PMID":"20691547","abstract":"This study was undertaken to determine if it was possible to identify expertise within Histopathologists (trainees, district general pathologists and pathologists with a special interest in breast disease) using an objective measure of performance. The method of assessment of performance is based on the CWS (Cochran-Weiss-Shanteau) ratio formed by the individual's ability to discriminate between a spectrum of disease categories and their level of inconsistency when assessed at intervals. The slides circulated represented the spectrum of breast disease seen in routine practice. The results demonstrated the average CWS ratio to be lowest in trainees and highest in pathologists with a special interest in breast pathology although there was no statistical difference in the CWS scores obtained between the district general pathologists and pathologists with a special interest. Differences in inconsistency rather than discriminatory ability mainly accounted for the difference in the CWS ratio observed between the groups studied. The study shows that the CWS ratio is potentially a very useful tool in the assessment of pathologists with regard to assessing their progress through training.","author":[{"dropping-particle":"","family":"Parham","given":"D M","non-dropping-particle":"","parse-names":false,"suffix":""},{"dropping-particle":"","family":"Anderson","given":"N","non-dropping-particle":"","parse-names":false,"suffix":""},{"dropping-particle":"","family":"Buley","given":"I","non-dropping-particle":"","parse-names":false,"suffix":""},{"dropping-particle":"","family":"Pinder","given":"S E","non-dropping-particle":"","parse-names":false,"suffix":""},{"dropping-particle":"","family":"Robertson","given":"a J","non-dropping-particle":"","parse-names":false,"suffix":""},{"dropping-particle":"","family":"Wells","given":"C","non-dropping-particle":"","parse-names":false,"suffix":""},{"dropping-particle":"","family":"Alexander","given":"J","non-dropping-particle":"","parse-names":false,"suffix":""},{"dropping-particle":"","family":"Hussein","given":"K a","non-dropping-particle":"","parse-names":false,"suffix":""},{"dropping-particle":"","family":"Kissen","given":"L","non-dropping-particle":"","parse-names":false,"suffix":""},{"dropping-particle":"","family":"Lesna","given":"M","non-dropping-particle":"","parse-names":false,"suffix":""},{"dropping-particle":"","family":"McCutcheon","given":"J","non-dropping-particle":"","parse-names":false,"suffix":""},{"dropping-particle":"","family":"Nicholas","given":"D S","non-dropping-particle":"","parse-names":false,"suffix":""},{"dropping-particle":"","family":"Rasbridge","given":"S a","non-dropping-particle":"","parse-names":false,"suffix":""},{"dropping-particle":"","family":"D'Sousa","given":"L","non-dropping-particle":"","parse-names":false,"suffix":""},{"dropping-particle":"","family":"Horst","given":"C","non-dropping-particle":"van der","parse-names":false,"suffix":""},{"dropping-particle":"","family":"Haider","given":"S","non-dropping-particle":"","parse-names":false,"suffix":""},{"dropping-particle":"","family":"Hickling","given":"M","non-dropping-particle":"","parse-names":false,"suffix":""}],"container-title":"Pathology, research and practice","id":"ITEM-1","issue":"11","issued":{"date-parts":[["2010"]]},"page":"749-52","title":"Experts and performance in histopathology--a study in breast pathology.","type":"article-journal","volume":"206"},"uris":["http://www.mendeley.com/documents/?uuid=3ec49dbd-7ddc-4e34-914a-4bb34c761f0c"]},{"id":"ITEM-2","itemData":{"DOI":"10.1038/modpathol.3880171","ISSN":"0893-3952","PMID":"11007033","abstract":"AIMS: To assess the levels of agreement between histopathologists for a two-class nominal categorization process--the discrimination between hyperplastic and adenomatous colorectal polyps. METHODS: Fifty hyperplastic and 50 adenomatous polyps received consecutively in the laboratory were categorized by nine histopathologists, and the level of agreement between all observers and the original diagnosis was assessed using kappa statistics. RESULTS: For the eight observers with 11 months or more experience in histopathology, there was a high level of agreement with kappa statistics ranging from 0.84 to 0.98. This process was performed rapidly with an average of 13 to 22 seconds spent on each case. One observer with only 6-weeks' experience of histopathology had a lower overall level of agreement with kappa statistics ranging from 0.46 to 0.54, but the performance on the later cases was much higher. CONCLUSIONS: The level of agreement in the distinction between hyperplastic and adenomatous colorectal polyps is high among histopathologists with at least moderate amounts of experience in histopathology. The one virtually naïve observer showed a marked learning response during the study without feedback on case outcome. This suggests that histopathologists are very reliable in assigning cases to distinct nominal categories and that learning of these processes occurs early in a histopathologist's career.","author":[{"dropping-particle":"","family":"Cross","given":"S S","non-dropping-particle":"","parse-names":false,"suffix":""},{"dropping-particle":"","family":"Betmouni","given":"S","non-dropping-particle":"","parse-names":false,"suffix":""},{"dropping-particle":"","family":"Burton","given":"J L","non-dropping-particle":"","parse-names":false,"suffix":""},{"dropping-particle":"","family":"Dubé","given":"a K","non-dropping-particle":"","parse-names":false,"suffix":""},{"dropping-particle":"","family":"Feeley","given":"K M","non-dropping-particle":"","parse-names":false,"suffix":""},{"dropping-particle":"","family":"Holbrook","given":"M R","non-dropping-particle":"","parse-names":false,"suffix":""},{"dropping-particle":"","family":"Landers","given":"R J","non-dropping-particle":"","parse-names":false,"suffix":""},{"dropping-particle":"","family":"Lumb","given":"P B","non-dropping-particle":"","parse-names":false,"suffix":""},{"dropping-particle":"","family":"Stephenson","given":"T J","non-dropping-particle":"","parse-names":false,"suffix":""}],"container-title":"Modern pathology : an official journal of the United States and Canadian Academy of Pathology, Inc","id":"ITEM-2","issue":"9","issued":{"date-parts":[["2000"]]},"page":"941-944","title":"What levels of agreement can be expected between histopathologists assigning cases to discrete nominal categories? A study of the diagnosis of hyperplastic and adenomatous colorectal polyps.","type":"article-journal","volume":"13"},"uris":["http://www.mendeley.com/documents/?uuid=b77b37d0-26bf-4533-981e-a48f8f7a939e"]},{"id":"ITEM-3","itemData":{"author":[{"dropping-particle":"","family":"S.S. Cross, T. Dennis, R.D. Start","given":"et al.","non-dropping-particle":"","parse-names":false,"suffix":""}],"container-title":"Histopathology","id":"ITEM-3","issued":{"date-parts":[["2002"]]},"page":"206","title":"The area under the receiver operating characteristic (ROC) curve can be used as a sensitive measure of progress during the early stages of histopathology training.","type":"article-journal","volume":"41(Suppl 1"},"uris":["http://www.mendeley.com/documents/?uuid=f3a95888-145b-4d53-af04-3caba5211cf9"]}],"mendeley":{"formattedCitation":"(Cross &lt;i&gt;et al.&lt;/i&gt;, 2000; S.S. Cross, T. Dennis, R.D. Start, 2002; Parham &lt;i&gt;et al.&lt;/i&gt;, 2010b)","plainTextFormattedCitation":"(Cross et al., 2000; S.S. Cross, T. Dennis, R.D. Start, 2002; Parham et al., 2010b)","previouslyFormattedCitation":"(Parham et al. 2010b; S S Cross et al. 2000; S.S. Cross, T. Dennis, R.D. Start 2002)"},"properties":{"noteIndex":0},"schema":"https://github.com/citation-style-language/schema/raw/master/csl-citation.json"}</w:instrText>
      </w:r>
      <w:r w:rsidR="00AF48FE" w:rsidRPr="00EC647D">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(Cross </w:t>
      </w:r>
      <w:r w:rsidR="00BE3B6C" w:rsidRPr="00933DD9">
        <w:rPr>
          <w:rFonts w:ascii="Times New Roman" w:hAnsi="Times New Roman" w:cs="Times New Roman"/>
          <w:noProof/>
          <w:sz w:val="24"/>
          <w:szCs w:val="24"/>
        </w:rPr>
        <w:t xml:space="preserve">et al. </w:t>
      </w:r>
      <w:r w:rsidR="00933DD9">
        <w:rPr>
          <w:rFonts w:ascii="Times New Roman" w:hAnsi="Times New Roman" w:cs="Times New Roman"/>
          <w:noProof/>
          <w:sz w:val="24"/>
          <w:szCs w:val="24"/>
        </w:rPr>
        <w:t>2000; Cross, Dennis, Start</w:t>
      </w:r>
      <w:r w:rsidR="00BE3B6C" w:rsidRPr="00BE3B6C">
        <w:rPr>
          <w:rFonts w:ascii="Times New Roman" w:hAnsi="Times New Roman" w:cs="Times New Roman"/>
          <w:noProof/>
          <w:sz w:val="24"/>
          <w:szCs w:val="24"/>
        </w:rPr>
        <w:t xml:space="preserve"> 2002; </w:t>
      </w:r>
      <w:r w:rsidR="00BE3B6C" w:rsidRPr="00BE3B6C">
        <w:rPr>
          <w:rFonts w:ascii="Times New Roman" w:hAnsi="Times New Roman" w:cs="Times New Roman"/>
          <w:noProof/>
          <w:sz w:val="24"/>
          <w:szCs w:val="24"/>
        </w:rPr>
        <w:lastRenderedPageBreak/>
        <w:t xml:space="preserve">Parham </w:t>
      </w:r>
      <w:r w:rsidR="00BE3B6C" w:rsidRPr="00933DD9">
        <w:rPr>
          <w:rFonts w:ascii="Times New Roman" w:hAnsi="Times New Roman" w:cs="Times New Roman"/>
          <w:noProof/>
          <w:sz w:val="24"/>
          <w:szCs w:val="24"/>
        </w:rPr>
        <w:t>et al</w:t>
      </w:r>
      <w:r w:rsidR="00BE3B6C" w:rsidRPr="00BE3B6C">
        <w:rPr>
          <w:rFonts w:ascii="Times New Roman" w:hAnsi="Times New Roman" w:cs="Times New Roman"/>
          <w:i/>
          <w:noProof/>
          <w:sz w:val="24"/>
          <w:szCs w:val="24"/>
        </w:rPr>
        <w:t>.</w:t>
      </w:r>
      <w:r w:rsidR="00933DD9">
        <w:rPr>
          <w:rFonts w:ascii="Times New Roman" w:hAnsi="Times New Roman" w:cs="Times New Roman"/>
          <w:noProof/>
          <w:sz w:val="24"/>
          <w:szCs w:val="24"/>
        </w:rPr>
        <w:t xml:space="preserve"> 2010</w:t>
      </w:r>
      <w:r w:rsidR="00BE3B6C" w:rsidRPr="00BE3B6C">
        <w:rPr>
          <w:rFonts w:ascii="Times New Roman" w:hAnsi="Times New Roman" w:cs="Times New Roman"/>
          <w:noProof/>
          <w:sz w:val="24"/>
          <w:szCs w:val="24"/>
        </w:rPr>
        <w:t>)</w:t>
      </w:r>
      <w:r w:rsidR="00AF48FE" w:rsidRPr="00EC647D">
        <w:rPr>
          <w:rFonts w:ascii="Times New Roman" w:hAnsi="Times New Roman" w:cs="Times New Roman"/>
          <w:sz w:val="24"/>
          <w:szCs w:val="24"/>
        </w:rPr>
        <w:fldChar w:fldCharType="end"/>
      </w:r>
      <w:r w:rsidRPr="00EC647D">
        <w:rPr>
          <w:rFonts w:ascii="Times New Roman" w:hAnsi="Times New Roman" w:cs="Times New Roman"/>
          <w:sz w:val="24"/>
          <w:szCs w:val="24"/>
        </w:rPr>
        <w:t xml:space="preserve"> would only be examining one aspect of becoming a sound diagnostic pathologist.</w:t>
      </w:r>
      <w:r w:rsidR="00742C69" w:rsidRPr="00EC647D">
        <w:rPr>
          <w:rFonts w:ascii="Times New Roman" w:hAnsi="Times New Roman" w:cs="Times New Roman"/>
          <w:sz w:val="24"/>
          <w:szCs w:val="24"/>
        </w:rPr>
        <w:t xml:space="preserve"> </w:t>
      </w:r>
      <w:r w:rsidR="00AF48FE" w:rsidRPr="00EC647D">
        <w:rPr>
          <w:rFonts w:ascii="Times New Roman" w:hAnsi="Times New Roman" w:cs="Times New Roman"/>
          <w:sz w:val="24"/>
          <w:szCs w:val="24"/>
        </w:rPr>
        <w:t>For exa</w:t>
      </w:r>
      <w:r w:rsidR="00EC647D" w:rsidRPr="00EC647D">
        <w:rPr>
          <w:rFonts w:ascii="Times New Roman" w:hAnsi="Times New Roman" w:cs="Times New Roman"/>
          <w:sz w:val="24"/>
          <w:szCs w:val="24"/>
        </w:rPr>
        <w:t>mple, these studies compared trainee and consultant diagnoses as a means to determine accuracy and development of competence in trainees over time. However, getting the diagnosis correct is only a small part of being competent. Our research has shown that the underpinning processes which support getting to the correct diagnosis are actually more valued by consultants than the diagnosis itself. Furthermore, aspects of refl</w:t>
      </w:r>
      <w:r w:rsidR="003A3ACC">
        <w:rPr>
          <w:rFonts w:ascii="Times New Roman" w:hAnsi="Times New Roman" w:cs="Times New Roman"/>
          <w:sz w:val="24"/>
          <w:szCs w:val="24"/>
        </w:rPr>
        <w:t>ection and professionalism</w:t>
      </w:r>
      <w:r w:rsidR="00EC647D" w:rsidRPr="00EC647D">
        <w:rPr>
          <w:rFonts w:ascii="Times New Roman" w:hAnsi="Times New Roman" w:cs="Times New Roman"/>
          <w:sz w:val="24"/>
          <w:szCs w:val="24"/>
        </w:rPr>
        <w:t xml:space="preserve"> also impact on this process. </w:t>
      </w:r>
    </w:p>
    <w:p w14:paraId="499A3814" w14:textId="34BADFAD"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The importance of trusti</w:t>
      </w:r>
      <w:r w:rsidR="003A3ACC">
        <w:rPr>
          <w:rFonts w:ascii="Times New Roman" w:hAnsi="Times New Roman" w:cs="Times New Roman"/>
          <w:sz w:val="24"/>
          <w:szCs w:val="24"/>
        </w:rPr>
        <w:t xml:space="preserve">ng trainees, </w:t>
      </w:r>
      <w:r w:rsidRPr="006F3B00">
        <w:rPr>
          <w:rFonts w:ascii="Times New Roman" w:hAnsi="Times New Roman" w:cs="Times New Roman"/>
          <w:sz w:val="24"/>
          <w:szCs w:val="24"/>
        </w:rPr>
        <w:t>especially those trainees near the end of their training appeared</w:t>
      </w:r>
      <w:r w:rsidR="003A3ACC">
        <w:rPr>
          <w:rFonts w:ascii="Times New Roman" w:hAnsi="Times New Roman" w:cs="Times New Roman"/>
          <w:sz w:val="24"/>
          <w:szCs w:val="24"/>
        </w:rPr>
        <w:t xml:space="preserve"> to be an extremely important aspect of</w:t>
      </w:r>
      <w:r w:rsidRPr="006F3B00">
        <w:rPr>
          <w:rFonts w:ascii="Times New Roman" w:hAnsi="Times New Roman" w:cs="Times New Roman"/>
          <w:sz w:val="24"/>
          <w:szCs w:val="24"/>
        </w:rPr>
        <w:t xml:space="preserve"> diagnostic competence. Currently, consultants appear to want to review “a</w:t>
      </w:r>
      <w:r w:rsidR="00E63736">
        <w:rPr>
          <w:rFonts w:ascii="Times New Roman" w:hAnsi="Times New Roman" w:cs="Times New Roman"/>
          <w:sz w:val="24"/>
          <w:szCs w:val="24"/>
        </w:rPr>
        <w:t>ll the evidence” and spend time</w:t>
      </w:r>
      <w:r w:rsidRPr="006F3B00">
        <w:rPr>
          <w:rFonts w:ascii="Times New Roman" w:hAnsi="Times New Roman" w:cs="Times New Roman"/>
          <w:sz w:val="24"/>
          <w:szCs w:val="24"/>
        </w:rPr>
        <w:t xml:space="preserve"> with trainees before they feel completely </w:t>
      </w:r>
      <w:r w:rsidR="00742C69">
        <w:rPr>
          <w:rFonts w:ascii="Times New Roman" w:hAnsi="Times New Roman" w:cs="Times New Roman"/>
          <w:sz w:val="24"/>
          <w:szCs w:val="24"/>
        </w:rPr>
        <w:t xml:space="preserve">happy for them to </w:t>
      </w:r>
      <w:r w:rsidRPr="006F3B00">
        <w:rPr>
          <w:rFonts w:ascii="Times New Roman" w:hAnsi="Times New Roman" w:cs="Times New Roman"/>
          <w:sz w:val="24"/>
          <w:szCs w:val="24"/>
        </w:rPr>
        <w:t>report</w:t>
      </w:r>
      <w:r w:rsidR="00742C69">
        <w:rPr>
          <w:rFonts w:ascii="Times New Roman" w:hAnsi="Times New Roman" w:cs="Times New Roman"/>
          <w:sz w:val="24"/>
          <w:szCs w:val="24"/>
        </w:rPr>
        <w:t xml:space="preserve"> independently</w:t>
      </w:r>
      <w:r w:rsidRPr="006F3B00">
        <w:rPr>
          <w:rFonts w:ascii="Times New Roman" w:hAnsi="Times New Roman" w:cs="Times New Roman"/>
          <w:sz w:val="24"/>
          <w:szCs w:val="24"/>
        </w:rPr>
        <w:t>. The “time” spent with a trainee to assess competence and delegation of tasks is in lin</w:t>
      </w:r>
      <w:r w:rsidR="002E1C88">
        <w:rPr>
          <w:rFonts w:ascii="Times New Roman" w:hAnsi="Times New Roman" w:cs="Times New Roman"/>
          <w:sz w:val="24"/>
          <w:szCs w:val="24"/>
        </w:rPr>
        <w:t xml:space="preserve">e with the work of Dijksterhuis and colleagues </w:t>
      </w:r>
      <w:r w:rsidRPr="006F3B00">
        <w:rPr>
          <w:rFonts w:ascii="Times New Roman" w:hAnsi="Times New Roman" w:cs="Times New Roman"/>
          <w:sz w:val="24"/>
          <w:szCs w:val="24"/>
        </w:rPr>
        <w:t>who concluded that the depth of acquaintance with a trainee is the most important factor affecting when to delegate work in post-graduate training</w:t>
      </w:r>
      <w:r w:rsidR="00742C69">
        <w:rPr>
          <w:rFonts w:ascii="Times New Roman" w:hAnsi="Times New Roman" w:cs="Times New Roman"/>
          <w:sz w:val="24"/>
          <w:szCs w:val="24"/>
        </w:rPr>
        <w:t xml:space="preserve">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{"citationItems":[{"id":"ITEM-1","itemData":{"DOI":"10.1111/j.1365-2923.2009.03509.x","ISSN":"0308-0110","abstract":"CONTEXT: At present, competency-based, outcome-focused training is gradually replacing more traditional master-apprentice teaching in postgraduate training. This change requires a different approach to the assessment of clinical competence, especially given the decisions that must be made about the level of independence allowed to trainees.METHODS: This study was set within postgraduate obstetrics and gynaecology training in the Netherlands. We carried out seven focus group discussions, four with postgraduate trainees from four training programmes and three with supervisors from three training programmes. During these discussions, we explored current opinions of supervisors and trainees about how to determine when a trainee is competent to perform a clinical procedure and the role of formal assessment in this process.RESULTS: When the focus group recordings were transcribed, coded and discussed, two higher-order themes emerged: factors that determine the level of competence of a trainee in a clinical procedure, and factors that determine the level of independence granted to a trainee or acceptable to a trainee.CONCLUSIONS: From our study, it is evident that both determining the level of competence of a trainee for a certain professional activity and making decisions about the degree of independence entrusted to a trainee are complex, multi-factorial processes, which are not always transparent. Furthermore, competence achieved in a certain clinical procedure does not automatically translate into more independent practice. We discuss the implications of our findings for the assessment of clinical competence and provide suggestions for a transparent assessment structure with explicit attention to progressive independence.","author":[{"dropping-particle":"","family":"MGK","given":"Dijksterhuis","non-dropping-particle":"","parse-names":false,"suffix":""},{"dropping-particle":"","family":"Voorhuis","given":"M","non-dropping-particle":"","parse-names":false,"suffix":""},{"dropping-particle":"","family":"PW","given":"Teunissen","non-dropping-particle":"","parse-names":false,"suffix":""},{"dropping-particle":"","family":"LWT","given":"Schuwirth","non-dropping-particle":"","parse-names":false,"suffix":""},{"dropping-particle":"","family":"OTJ","given":"ten Cate","non-dropping-particle":"","parse-names":false,"suffix":""},{"dropping-particle":"","family":"DDM","given":"Braat","non-dropping-particle":"","parse-names":false,"suffix":""},{"dropping-particle":"","family":"Scheele","given":"F","non-dropping-particle":"","parse-names":false,"suffix":""}],"container-title":"Medical Education","id":"ITEM-1","issue":"12","issued":{"date-parts":[["2009"]]},"page":"1156-1165 10p","title":"Assessment of competence and progressive independence in postgraduate clinical training.","type":"article-journal","volume":"43"},"uris":["http://www.mendeley.com/documents/?uuid=7c975fc9-232e-41ae-a24a-3ba924bc2ad9"]}],"mendeley":{"formattedCitation":"(MGK &lt;i&gt;et al.&lt;/i&gt;, 2009)","manualFormatting":"(MGK??? et al. 2009)","plainTextFormattedCitation":"(MGK et al., 2009)","previouslyFormattedCitation":"(MGK et al. 2009)"},"properties":{"noteIndex":0},"schema":"https://github.com/citation-style-language/schema/raw/master/csl-citation.json"}</w:instrText>
      </w:r>
      <w:r w:rsidRPr="006F3B00">
        <w:rPr>
          <w:rFonts w:ascii="Times New Roman" w:hAnsi="Times New Roman" w:cs="Times New Roman"/>
          <w:sz w:val="24"/>
          <w:szCs w:val="24"/>
        </w:rPr>
        <w:fldChar w:fldCharType="separate"/>
      </w:r>
      <w:r w:rsidR="002E1C88">
        <w:rPr>
          <w:rFonts w:ascii="Times New Roman" w:hAnsi="Times New Roman" w:cs="Times New Roman"/>
          <w:noProof/>
          <w:sz w:val="24"/>
          <w:szCs w:val="24"/>
        </w:rPr>
        <w:t>(</w:t>
      </w:r>
      <w:r w:rsidR="00DB0BC8" w:rsidRPr="00DB0BC8">
        <w:rPr>
          <w:rFonts w:ascii="Times New Roman" w:hAnsi="Times New Roman" w:cs="Times New Roman"/>
          <w:noProof/>
          <w:sz w:val="24"/>
          <w:szCs w:val="24"/>
        </w:rPr>
        <w:t>2009)</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 xml:space="preserve">. Our research suggests a role for EPAs in the assessment of diagnostic competence, but the practicalities of determining what and when </w:t>
      </w:r>
      <w:r w:rsidR="003A3ACC">
        <w:rPr>
          <w:rFonts w:ascii="Times New Roman" w:hAnsi="Times New Roman" w:cs="Times New Roman"/>
          <w:sz w:val="24"/>
          <w:szCs w:val="24"/>
        </w:rPr>
        <w:t>certain activities</w:t>
      </w:r>
      <w:r w:rsidRPr="006F3B00">
        <w:rPr>
          <w:rFonts w:ascii="Times New Roman" w:hAnsi="Times New Roman" w:cs="Times New Roman"/>
          <w:sz w:val="24"/>
          <w:szCs w:val="24"/>
        </w:rPr>
        <w:t xml:space="preserve"> can be delegated</w:t>
      </w:r>
      <w:r w:rsidR="007031B8">
        <w:rPr>
          <w:rFonts w:ascii="Times New Roman" w:hAnsi="Times New Roman" w:cs="Times New Roman"/>
          <w:sz w:val="24"/>
          <w:szCs w:val="24"/>
        </w:rPr>
        <w:t xml:space="preserve"> to trainees</w:t>
      </w:r>
      <w:r w:rsidRPr="006F3B00">
        <w:rPr>
          <w:rFonts w:ascii="Times New Roman" w:hAnsi="Times New Roman" w:cs="Times New Roman"/>
          <w:sz w:val="24"/>
          <w:szCs w:val="24"/>
        </w:rPr>
        <w:t xml:space="preserve"> requires further work. There is also the wider issue of working with the current ”risk adverse” culture within the medical profession and creating detailed guidelines to help inform exactly how independent reporting and similar forms of delegation can be put into practice safely. For example, despite two studies citing the possible positive contribution that </w:t>
      </w:r>
      <w:r w:rsidRPr="00637E32">
        <w:rPr>
          <w:rFonts w:ascii="Times New Roman" w:hAnsi="Times New Roman" w:cs="Times New Roman"/>
          <w:sz w:val="24"/>
          <w:szCs w:val="24"/>
        </w:rPr>
        <w:t>increased responsibility can bring,</w:t>
      </w:r>
      <w:r w:rsidR="00AD5B55" w:rsidRPr="00637E32">
        <w:rPr>
          <w:rFonts w:ascii="Times New Roman" w:hAnsi="Times New Roman" w:cs="Times New Roman"/>
          <w:sz w:val="24"/>
          <w:szCs w:val="24"/>
        </w:rPr>
        <w:t xml:space="preserve"> these studies also concluded that</w:t>
      </w:r>
      <w:r w:rsidRPr="00637E32">
        <w:rPr>
          <w:rFonts w:ascii="Times New Roman" w:hAnsi="Times New Roman" w:cs="Times New Roman"/>
          <w:sz w:val="24"/>
          <w:szCs w:val="24"/>
        </w:rPr>
        <w:t xml:space="preserve"> trainees are currently rarely exposed to it</w:t>
      </w:r>
      <w:r w:rsidR="00742C69" w:rsidRPr="00637E32">
        <w:rPr>
          <w:rFonts w:ascii="Times New Roman" w:hAnsi="Times New Roman" w:cs="Times New Roman"/>
          <w:sz w:val="24"/>
          <w:szCs w:val="24"/>
        </w:rPr>
        <w:t xml:space="preserve"> </w:t>
      </w:r>
      <w:r w:rsidRPr="00637E32">
        <w:rPr>
          <w:rFonts w:ascii="Times New Roman" w:hAnsi="Times New Roman" w:cs="Times New Roman"/>
          <w:sz w:val="24"/>
          <w:szCs w:val="24"/>
        </w:rPr>
        <w:fldChar w:fldCharType="begin" w:fldLock="1"/>
      </w:r>
      <w:r w:rsidR="00BE3B6C" w:rsidRPr="00637E32">
        <w:rPr>
          <w:rFonts w:ascii="Times New Roman" w:hAnsi="Times New Roman" w:cs="Times New Roman"/>
          <w:sz w:val="24"/>
          <w:szCs w:val="24"/>
        </w:rPr>
        <w:instrText>ADDIN CSL_CITATION {"citationItems":[{"id":"ITEM-1","itemData":{"ISSN":"00039985","abstract":"OBJECTIVE: To collect information on the status of cytopathology training in the United States. DESIGN: Questionnaire survey mailed in June 1994. SETTING: Pathology residency training programs in the United States. PARTICIPANTS: Pathology residency directors. MAIN OUTCOME MEASURES: Training length, numbers of cytology specimens, teaching methods and topics, and graduated responsibility. RESULTS: Of the 196 surveys mailed, 101 (52%) programs responded. The average length of required training was 3 months. The perceived optimal training time averaged 4.5 months, however, with 80% of programs requiring less than their stated optimum. The median numbers of gynecologic, nongynecologic, and fine-needle aspiration biopsy specimens examined per resident were 1100, 500, and 200, respectively. Cytopreparatory techniques, laboratory management, computer systems, and immunocytochemistry were included in over 75% of cytopathology training programs. Teaching at the microscope was rated as the most important teaching method by 90% of respondents. The majority of senior residents performed fine-needle aspiration biopsy procedures and screened and signed out cases with direct faculty supervision, but fewer than 20% of programs allowed senior residents to independently sign out specimens. CONCLUSIONS: Recommendations based on this review include a minimum training time of 3 months, improved training in both fine-needle aspiration biopsy techniques and gynecologic cytology, continuous exposure to cytopathologic techniques, and increased graded responsibility for senior residents.","author":[{"dropping-particle":"","family":"Davey","given":"Diane D.","non-dropping-particle":"","parse-names":false,"suffix":""},{"dropping-particle":"","family":"Talkington","given":"Sherry","non-dropping-particle":"","parse-names":false,"suffix":""},{"dropping-particle":"","family":"Kannan","given":"Vaidehi","non-dropping-particle":"","parse-names":false,"suffix":""},{"dropping-particle":"","family":"Masood","given":"Shahla","non-dropping-particle":"","parse-names":false,"suffix":""},{"dropping-particle":"","family":"Davila","given":"Rosa","non-dropping-particle":"","parse-names":false,"suffix":""},{"dropping-particle":"","family":"Cohen","given":"Michael B.","non-dropping-particle":"","parse-names":false,"suffix":""}],"container-title":"Archives of Pathology and Laboratory Medicine","id":"ITEM-1","issue":"1","issued":{"date-parts":[["1996"]]},"page":"101-104","title":"Cytopathology and the pathology resident: A survey of residency program directors","type":"article-journal","volume":"120"},"uris":["http://www.mendeley.com/documents/?uuid=c44e9b6c-79d3-4f39-931a-5748d3fc04f0"]},{"id":"ITEM-2","itemData":{"author":[{"dropping-particle":"","family":"Pascal","given":"RR.","non-dropping-particle":"","parse-names":false,"suffix":""}],"container-title":"Am J Clin Pathol","id":"ITEM-2","issued":{"date-parts":[["1993"]]},"page":"S41-3","title":"Graded responsibility of residents in anatomic pathology: a survey and commentry","type":"article-journal","volume":"100"},"uris":["http://www.mendeley.com/documents/?uuid=5c21d93d-63da-4159-b0fd-065746affaa7"]}],"mendeley":{"formattedCitation":"(Pascal, 1993; Davey &lt;i&gt;et al.&lt;/i&gt;, 1996)","plainTextFormattedCitation":"(Pascal, 1993; Davey et al., 1996)","previouslyFormattedCitation":"(Davey et al. 1996; Pascal 1993)"},"properties":{"noteIndex":0},"schema":"https://github.com/citation-style-language/schema/raw/master/csl-citation.json"}</w:instrText>
      </w:r>
      <w:r w:rsidRPr="00637E32">
        <w:rPr>
          <w:rFonts w:ascii="Times New Roman" w:hAnsi="Times New Roman" w:cs="Times New Roman"/>
          <w:sz w:val="24"/>
          <w:szCs w:val="24"/>
        </w:rPr>
        <w:fldChar w:fldCharType="separate"/>
      </w:r>
      <w:r w:rsidR="00637E32">
        <w:rPr>
          <w:rFonts w:ascii="Times New Roman" w:hAnsi="Times New Roman" w:cs="Times New Roman"/>
          <w:noProof/>
          <w:sz w:val="24"/>
          <w:szCs w:val="24"/>
        </w:rPr>
        <w:t>(Pascal</w:t>
      </w:r>
      <w:r w:rsidR="00BE3B6C" w:rsidRPr="00637E32">
        <w:rPr>
          <w:rFonts w:ascii="Times New Roman" w:hAnsi="Times New Roman" w:cs="Times New Roman"/>
          <w:noProof/>
          <w:sz w:val="24"/>
          <w:szCs w:val="24"/>
        </w:rPr>
        <w:t xml:space="preserve"> 1993; Davey et al. 1996)</w:t>
      </w:r>
      <w:r w:rsidRPr="00637E32">
        <w:rPr>
          <w:rFonts w:ascii="Times New Roman" w:hAnsi="Times New Roman" w:cs="Times New Roman"/>
          <w:sz w:val="24"/>
          <w:szCs w:val="24"/>
        </w:rPr>
        <w:fldChar w:fldCharType="end"/>
      </w:r>
      <w:r w:rsidRPr="00637E32">
        <w:rPr>
          <w:rFonts w:ascii="Times New Roman" w:hAnsi="Times New Roman" w:cs="Times New Roman"/>
          <w:sz w:val="24"/>
          <w:szCs w:val="24"/>
        </w:rPr>
        <w:t xml:space="preserve">. </w:t>
      </w:r>
      <w:r w:rsidR="00AD5B55" w:rsidRPr="00637E32">
        <w:rPr>
          <w:rFonts w:ascii="Times New Roman" w:hAnsi="Times New Roman" w:cs="Times New Roman"/>
          <w:sz w:val="24"/>
          <w:szCs w:val="24"/>
        </w:rPr>
        <w:t>This issue has not been resolved and has</w:t>
      </w:r>
      <w:r w:rsidR="00AD5B55" w:rsidRPr="00AD5B55">
        <w:rPr>
          <w:rFonts w:ascii="Times New Roman" w:hAnsi="Times New Roman" w:cs="Times New Roman"/>
          <w:sz w:val="24"/>
          <w:szCs w:val="24"/>
        </w:rPr>
        <w:t xml:space="preserve"> been echoed more recently</w:t>
      </w:r>
      <w:r w:rsidR="00637E32">
        <w:rPr>
          <w:rFonts w:ascii="Times New Roman" w:hAnsi="Times New Roman" w:cs="Times New Roman"/>
          <w:sz w:val="24"/>
          <w:szCs w:val="24"/>
        </w:rPr>
        <w:t xml:space="preserve"> by Allen (2013)</w:t>
      </w:r>
      <w:r w:rsidR="00AD5B55" w:rsidRPr="00AD5B55">
        <w:rPr>
          <w:rFonts w:ascii="Times New Roman" w:hAnsi="Times New Roman" w:cs="Times New Roman"/>
          <w:sz w:val="24"/>
          <w:szCs w:val="24"/>
        </w:rPr>
        <w:t>.</w:t>
      </w:r>
    </w:p>
    <w:p w14:paraId="3C662498" w14:textId="38EE5AC3" w:rsidR="00863DF5" w:rsidRPr="006F3B00" w:rsidRDefault="0028474B"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The response rate for the questionnaire and the fact that few people responded to the invite for the Delphi study means that the reliability of our findings could be questioned. </w:t>
      </w:r>
      <w:r w:rsidRPr="006F3B00">
        <w:rPr>
          <w:rFonts w:ascii="Times New Roman" w:hAnsi="Times New Roman" w:cs="Times New Roman"/>
          <w:sz w:val="24"/>
          <w:szCs w:val="24"/>
        </w:rPr>
        <w:lastRenderedPageBreak/>
        <w:t xml:space="preserve">For instance, the questionnaire may have captured biased opinions given the small sample who responded. However, the findings from the subsequent qualitative study further highlighted that there are multiple issues with the current assessment strategies, suggesting the conclusions drawn from the questionnaire are accurate. This is further supported by the Delphi study as the majority of items reached “consensus in”. It could be argued that this Delphi study only asked participants to rate and rank items in terms of their importance, so only measured </w:t>
      </w:r>
      <w:r w:rsidR="00863DF5" w:rsidRPr="006F3B00">
        <w:rPr>
          <w:rFonts w:ascii="Times New Roman" w:hAnsi="Times New Roman" w:cs="Times New Roman"/>
          <w:sz w:val="24"/>
          <w:szCs w:val="24"/>
        </w:rPr>
        <w:t>what consultants valued when de</w:t>
      </w:r>
      <w:r w:rsidRPr="006F3B00">
        <w:rPr>
          <w:rFonts w:ascii="Times New Roman" w:hAnsi="Times New Roman" w:cs="Times New Roman"/>
          <w:sz w:val="24"/>
          <w:szCs w:val="24"/>
        </w:rPr>
        <w:t>termining diagnostic competence. While this is very important and helps to support the validity of our findings, validity, none</w:t>
      </w:r>
      <w:r w:rsidR="00863DF5" w:rsidRPr="006F3B00">
        <w:rPr>
          <w:rFonts w:ascii="Times New Roman" w:hAnsi="Times New Roman" w:cs="Times New Roman"/>
          <w:sz w:val="24"/>
          <w:szCs w:val="24"/>
        </w:rPr>
        <w:t xml:space="preserve">theless, is just one part of the utility of an assessment, where reliability, educational value, acceptability and cost must also be considered </w:t>
      </w:r>
      <w:r w:rsidR="00863DF5"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{"citationItems":[{"id":"ITEM-1","itemData":{"DOI":"10.1111/j.1365-2929.2005.02094.x","ISBN":"0308-0110 (Print)","ISSN":"03080110","PMID":"15733167","abstract":"INTRODUCTION: We use a utility model to illustrate that, firstly, selecting an assessment method involves context-dependent compromises, and secondly, that assessment is not a measurement problem but an instructional design problem, comprising educational, implementation and resource aspects. In the model, assessment characteristics are differently weighted depending on the purpose and context of the assessment. EMPIRICAL AND THEORETICAL DEVELOPMENTS: Of the characteristics in the model, we focus on reliability, validity and educational impact and argue that they are not inherent qualities of any instrument. Reliability depends not on structuring or standardisation but on sampling. Key issues concerning validity are authenticity and integration of competencies. Assessment in medical education addresses complex competencies and thus requires quantitative and qualitative information from different sources as well as professional judgement. Adequate sampling across judges, instruments and contexts can ensure both validity and reliability. Despite recognition that assessment drives learning, this relationship has been little researched, possibly because of its strong context dependence. ASSESSMENT AS INSTRUCTIONAL DESIGN: When assessment should stimulate learning and requires adequate sampling, in authentic contexts, of the performance of complex competencies that cannot be broken down into simple parts, we need to make a shift from individual methods to an integral programme, intertwined with the education programme. Therefore, we need an instructional design perspective. IMPLICATIONS FOR DEVELOPMENT AND RESEARCH: Programmatic instructional design hinges on a careful description and motivation of choices, whose effectiveness should be measured against the intended outcomes. We should not evaluate individual methods, but provide evidence of the utility of the assessment programme as a whole.","author":[{"dropping-particle":"","family":"Vleuten","given":"C. P M","non-dropping-particle":"Van Der","parse-names":false,"suffix":""},{"dropping-particle":"","family":"Schuwirth","given":"L. W T","non-dropping-particle":"","parse-names":false,"suffix":""}],"container-title":"Medical Education","id":"ITEM-1","issue":"3","issued":{"date-parts":[["2005"]]},"page":"309-317","title":"Assessing professional competence: From methods to programmes","type":"article-journal","volume":"39"},"uris":["http://www.mendeley.com/documents/?uuid=57592151-3b74-439e-9b0a-d6b6b51a911a"]}],"mendeley":{"formattedCitation":"(Van Der Vleuten and Schuwirth, 2005)","plainTextFormattedCitation":"(Van Der Vleuten and Schuwirth, 2005)","previouslyFormattedCitation":"(Van Der Vleuten and Schuwirth 2005)"},"properties":{"noteIndex":0},"schema":"https://github.com/citation-style-language/schema/raw/master/csl-citation.json"}</w:instrText>
      </w:r>
      <w:r w:rsidR="00863DF5" w:rsidRPr="006F3B00">
        <w:rPr>
          <w:rFonts w:ascii="Times New Roman" w:hAnsi="Times New Roman" w:cs="Times New Roman"/>
          <w:sz w:val="24"/>
          <w:szCs w:val="24"/>
        </w:rPr>
        <w:fldChar w:fldCharType="separate"/>
      </w:r>
      <w:r w:rsidR="00E63736">
        <w:rPr>
          <w:rFonts w:ascii="Times New Roman" w:hAnsi="Times New Roman" w:cs="Times New Roman"/>
          <w:noProof/>
          <w:sz w:val="24"/>
          <w:szCs w:val="24"/>
        </w:rPr>
        <w:t>(van der V</w:t>
      </w:r>
      <w:r w:rsidR="00637E32">
        <w:rPr>
          <w:rFonts w:ascii="Times New Roman" w:hAnsi="Times New Roman" w:cs="Times New Roman"/>
          <w:noProof/>
          <w:sz w:val="24"/>
          <w:szCs w:val="24"/>
        </w:rPr>
        <w:t>leuten and Schuwirth</w:t>
      </w:r>
      <w:r w:rsidR="00BE3B6C" w:rsidRPr="00BE3B6C">
        <w:rPr>
          <w:rFonts w:ascii="Times New Roman" w:hAnsi="Times New Roman" w:cs="Times New Roman"/>
          <w:noProof/>
          <w:sz w:val="24"/>
          <w:szCs w:val="24"/>
        </w:rPr>
        <w:t xml:space="preserve"> 2005)</w:t>
      </w:r>
      <w:r w:rsidR="00863DF5" w:rsidRPr="006F3B00">
        <w:rPr>
          <w:rFonts w:ascii="Times New Roman" w:hAnsi="Times New Roman" w:cs="Times New Roman"/>
          <w:sz w:val="24"/>
          <w:szCs w:val="24"/>
        </w:rPr>
        <w:fldChar w:fldCharType="end"/>
      </w:r>
      <w:r w:rsidR="00863DF5" w:rsidRPr="006F3B00">
        <w:rPr>
          <w:rFonts w:ascii="Times New Roman" w:hAnsi="Times New Roman" w:cs="Times New Roman"/>
          <w:sz w:val="24"/>
          <w:szCs w:val="24"/>
        </w:rPr>
        <w:t>. Further research is needed to determine how this body of work would translate into useful assessment strategies and tools.</w:t>
      </w:r>
      <w:r w:rsidRPr="006F3B00">
        <w:rPr>
          <w:rFonts w:ascii="Times New Roman" w:hAnsi="Times New Roman" w:cs="Times New Roman"/>
          <w:sz w:val="24"/>
          <w:szCs w:val="24"/>
        </w:rPr>
        <w:t xml:space="preserve"> For example, just because an item in the Delphi reached “consensus in”,</w:t>
      </w:r>
      <w:r w:rsidR="00184470" w:rsidRPr="006F3B00">
        <w:rPr>
          <w:rFonts w:ascii="Times New Roman" w:hAnsi="Times New Roman" w:cs="Times New Roman"/>
          <w:sz w:val="24"/>
          <w:szCs w:val="24"/>
        </w:rPr>
        <w:t xml:space="preserve"> it might not be easy to measure!</w:t>
      </w:r>
    </w:p>
    <w:p w14:paraId="3596A014" w14:textId="2B6728C2" w:rsidR="00863DF5" w:rsidRPr="006F3B00" w:rsidRDefault="00EA0AF7"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Furthermore,</w:t>
      </w:r>
      <w:r w:rsidR="00863DF5" w:rsidRPr="006F3B00">
        <w:rPr>
          <w:rFonts w:ascii="Times New Roman" w:hAnsi="Times New Roman" w:cs="Times New Roman"/>
          <w:sz w:val="24"/>
          <w:szCs w:val="24"/>
        </w:rPr>
        <w:t xml:space="preserve"> development of this work requires a close working relati</w:t>
      </w:r>
      <w:r w:rsidR="004528D8">
        <w:rPr>
          <w:rFonts w:ascii="Times New Roman" w:hAnsi="Times New Roman" w:cs="Times New Roman"/>
          <w:sz w:val="24"/>
          <w:szCs w:val="24"/>
        </w:rPr>
        <w:t xml:space="preserve">onship with RCPath to ensure </w:t>
      </w:r>
      <w:r w:rsidR="00863DF5" w:rsidRPr="006F3B00">
        <w:rPr>
          <w:rFonts w:ascii="Times New Roman" w:hAnsi="Times New Roman" w:cs="Times New Roman"/>
          <w:sz w:val="24"/>
          <w:szCs w:val="24"/>
        </w:rPr>
        <w:t>the research conclusions and recommendation</w:t>
      </w:r>
      <w:r w:rsidR="00240736">
        <w:rPr>
          <w:rFonts w:ascii="Times New Roman" w:hAnsi="Times New Roman" w:cs="Times New Roman"/>
          <w:sz w:val="24"/>
          <w:szCs w:val="24"/>
        </w:rPr>
        <w:t>s are interpreted appropriately</w:t>
      </w:r>
      <w:r w:rsidR="004528D8">
        <w:rPr>
          <w:rFonts w:ascii="Times New Roman" w:hAnsi="Times New Roman" w:cs="Times New Roman"/>
          <w:sz w:val="24"/>
          <w:szCs w:val="24"/>
        </w:rPr>
        <w:t xml:space="preserve">. </w:t>
      </w:r>
      <w:r w:rsidR="00863DF5" w:rsidRPr="006F3B00">
        <w:rPr>
          <w:rFonts w:ascii="Times New Roman" w:hAnsi="Times New Roman" w:cs="Times New Roman"/>
          <w:sz w:val="24"/>
          <w:szCs w:val="24"/>
        </w:rPr>
        <w:t xml:space="preserve">To this end, the RCPath are intending to update their entire training curricula by the end of 2020. Until this process has begun, it is not </w:t>
      </w:r>
      <w:r w:rsidR="00A71314">
        <w:rPr>
          <w:rFonts w:ascii="Times New Roman" w:hAnsi="Times New Roman" w:cs="Times New Roman"/>
          <w:sz w:val="24"/>
          <w:szCs w:val="24"/>
        </w:rPr>
        <w:t>a</w:t>
      </w:r>
      <w:r w:rsidR="00240736">
        <w:rPr>
          <w:rFonts w:ascii="Times New Roman" w:hAnsi="Times New Roman" w:cs="Times New Roman"/>
          <w:sz w:val="24"/>
          <w:szCs w:val="24"/>
        </w:rPr>
        <w:t>pposite</w:t>
      </w:r>
      <w:r w:rsidR="00863DF5" w:rsidRPr="006F3B00">
        <w:rPr>
          <w:rFonts w:ascii="Times New Roman" w:hAnsi="Times New Roman" w:cs="Times New Roman"/>
          <w:sz w:val="24"/>
          <w:szCs w:val="24"/>
        </w:rPr>
        <w:t xml:space="preserve"> to design a new assessment tool as 1) the assessment tool must meet the objectives of the new curriculum and the curriculum must be in line with what the assessment tests (constructive alignment) </w:t>
      </w:r>
      <w:r w:rsidR="00863DF5" w:rsidRPr="003057CC">
        <w:rPr>
          <w:rFonts w:ascii="Times New Roman" w:hAnsi="Times New Roman" w:cs="Times New Roman"/>
          <w:sz w:val="24"/>
          <w:szCs w:val="24"/>
        </w:rPr>
        <w:t>2) the findings from this research may affect the design of the curriculum and not</w:t>
      </w:r>
      <w:r w:rsidR="003057CC" w:rsidRPr="003057CC">
        <w:rPr>
          <w:rFonts w:ascii="Times New Roman" w:hAnsi="Times New Roman" w:cs="Times New Roman"/>
          <w:sz w:val="24"/>
          <w:szCs w:val="24"/>
        </w:rPr>
        <w:t xml:space="preserve"> just the assessment strategies and 3) the curriculum is likely to be wider than just recognising diagnostic competence</w:t>
      </w:r>
      <w:r w:rsidR="003057CC">
        <w:t xml:space="preserve">. </w:t>
      </w:r>
      <w:r w:rsidR="00863DF5" w:rsidRPr="006F3B00">
        <w:rPr>
          <w:rFonts w:ascii="Times New Roman" w:hAnsi="Times New Roman" w:cs="Times New Roman"/>
          <w:sz w:val="24"/>
          <w:szCs w:val="24"/>
        </w:rPr>
        <w:t>Therefore, thorough dialogue is required between the relevant stakeholders to utilize this research most effectively. It is only then that the “utility” of any new assessment tools can be addressed.</w:t>
      </w:r>
    </w:p>
    <w:p w14:paraId="6E87F654" w14:textId="55D73D11" w:rsidR="00863DF5"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It is important to stress that participants were asked for their views on diagnostic competence. As stated in the literature review, competence is somewhat different to </w:t>
      </w:r>
      <w:r w:rsidRPr="006F3B00">
        <w:rPr>
          <w:rFonts w:ascii="Times New Roman" w:hAnsi="Times New Roman" w:cs="Times New Roman"/>
          <w:sz w:val="24"/>
          <w:szCs w:val="24"/>
        </w:rPr>
        <w:lastRenderedPageBreak/>
        <w:t>“performance” which takes into account how one performs in less than ideal situations and the ability of the individual to learn and adapt to his or her environment. Nonetheless, the research participants amalgamated both aspects of competency and performance when discussing diagnostic competency, such that it appears that the terms competence and performance are inter-changeable in the pathology workplace. Furthermore, some</w:t>
      </w:r>
      <w:r w:rsidR="00240736">
        <w:rPr>
          <w:rFonts w:ascii="Times New Roman" w:hAnsi="Times New Roman" w:cs="Times New Roman"/>
          <w:sz w:val="24"/>
          <w:szCs w:val="24"/>
        </w:rPr>
        <w:t xml:space="preserve"> participants</w:t>
      </w:r>
      <w:r w:rsidRPr="006F3B00">
        <w:rPr>
          <w:rFonts w:ascii="Times New Roman" w:hAnsi="Times New Roman" w:cs="Times New Roman"/>
          <w:sz w:val="24"/>
          <w:szCs w:val="24"/>
        </w:rPr>
        <w:t xml:space="preserve"> incorporated many different elements into their judgement of diagnostic competence, whereas others were more careful to suggest only those that were relevant to “diagnosis”. This reflects the nature of assessment in medical education, how people interpret competency </w:t>
      </w:r>
      <w:r w:rsidR="00240736">
        <w:rPr>
          <w:rFonts w:ascii="Times New Roman" w:hAnsi="Times New Roman" w:cs="Times New Roman"/>
          <w:sz w:val="24"/>
          <w:szCs w:val="24"/>
        </w:rPr>
        <w:t>in different ways</w:t>
      </w:r>
      <w:r w:rsidRPr="006F3B00">
        <w:rPr>
          <w:rFonts w:ascii="Times New Roman" w:hAnsi="Times New Roman" w:cs="Times New Roman"/>
          <w:sz w:val="24"/>
          <w:szCs w:val="24"/>
        </w:rPr>
        <w:t xml:space="preserve"> and that there are differing expectations of what it means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{"citationItems":[{"id":"ITEM-1","itemData":{"DOI":"10.3109/13561829809014100","ISBN":"13561820","ISSN":"1356-1820","abstract":"An analysis of everyday use of the term ‘competence' is followed by a literature review. Some authors treat competence as a socially situated concept—the ability to perform tasks and roles to the expected standard—leaving its precise meaning to be negotiated by stakeholders in a macro-or micro-political context. Others treat competence as individually situated, a personal capability or characteristic. This latter concept is labelled ‘capability' and its vital relationship with socially-defined Competence is analysed. The importance for practice of representations of competence and for professional preparation of models of capability is discussed.","author":[{"dropping-particle":"","family":"Eraut","given":"Michael","non-dropping-particle":"","parse-names":false,"suffix":""}],"container-title":"Journal of Interprofessional Care","id":"ITEM-1","issue":"2","issued":{"date-parts":[["1998"]]},"page":"127-139","title":"Concepts of competence","type":"article-journal","volume":"12"},"uris":["http://www.mendeley.com/documents/?uuid=4fa4866c-689f-49c3-b4cf-4babe9efa705"]}],"mendeley":{"formattedCitation":"(Eraut, 1998)","plainTextFormattedCitation":"(Eraut, 1998)","previouslyFormattedCitation":"(Eraut 1998)"},"properties":{"noteIndex":0},"schema":"https://github.com/citation-style-language/schema/raw/master/csl-citation.json"}</w:instrText>
      </w:r>
      <w:r w:rsidRPr="006F3B00">
        <w:rPr>
          <w:rFonts w:ascii="Times New Roman" w:hAnsi="Times New Roman" w:cs="Times New Roman"/>
          <w:sz w:val="24"/>
          <w:szCs w:val="24"/>
        </w:rPr>
        <w:fldChar w:fldCharType="separate"/>
      </w:r>
      <w:r w:rsidR="00637E32">
        <w:rPr>
          <w:rFonts w:ascii="Times New Roman" w:hAnsi="Times New Roman" w:cs="Times New Roman"/>
          <w:noProof/>
          <w:sz w:val="24"/>
          <w:szCs w:val="24"/>
        </w:rPr>
        <w:t>(Eraut</w:t>
      </w:r>
      <w:r w:rsidR="00BE3B6C" w:rsidRPr="00BE3B6C">
        <w:rPr>
          <w:rFonts w:ascii="Times New Roman" w:hAnsi="Times New Roman" w:cs="Times New Roman"/>
          <w:noProof/>
          <w:sz w:val="24"/>
          <w:szCs w:val="24"/>
        </w:rPr>
        <w:t xml:space="preserve"> 1998)</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.In reality, the interviewees may have been describing what makes a “sound pathologist” because diagnostic competence is a function of the trainee as a whole. This finding links to aspects of the literature review which reported how su</w:t>
      </w:r>
      <w:r w:rsidR="004528D8">
        <w:rPr>
          <w:rFonts w:ascii="Times New Roman" w:hAnsi="Times New Roman" w:cs="Times New Roman"/>
          <w:sz w:val="24"/>
          <w:szCs w:val="24"/>
        </w:rPr>
        <w:t>bjectivity can affect how judge</w:t>
      </w:r>
      <w:r w:rsidRPr="006F3B00">
        <w:rPr>
          <w:rFonts w:ascii="Times New Roman" w:hAnsi="Times New Roman" w:cs="Times New Roman"/>
          <w:sz w:val="24"/>
          <w:szCs w:val="24"/>
        </w:rPr>
        <w:t xml:space="preserve">s rate individuals because they have poor insight and consistency into how they make and apply judgements to scenarios </w:t>
      </w:r>
      <w:r w:rsidRPr="006F3B00">
        <w:rPr>
          <w:rFonts w:ascii="Times New Roman" w:hAnsi="Times New Roman" w:cs="Times New Roman"/>
          <w:sz w:val="24"/>
          <w:szCs w:val="24"/>
        </w:rPr>
        <w:fldChar w:fldCharType="begin" w:fldLock="1"/>
      </w:r>
      <w:r w:rsidR="00BE3B6C">
        <w:rPr>
          <w:rFonts w:ascii="Times New Roman" w:hAnsi="Times New Roman" w:cs="Times New Roman"/>
          <w:sz w:val="24"/>
          <w:szCs w:val="24"/>
        </w:rPr>
        <w:instrText>ADDIN CSL_CITATION {"citationItems":[{"id":"ITEM-1","itemData":{"DOI":"10.1177/0308022614562396","ISBN":"0308-0226, 0308-0226","ISSN":"14776006","PMID":"26435572","abstract":"INTRODUCTION: As people with a range of disabilities strive to increase their community mobility, occupational therapy driver assessors are increasingly required to make complex recommendations regarding fitness-to-drive. However, very little is known about how therapists use information to make decisions. The aim of this study was to model how experienced occupational therapy driver assessors weight and combine information when making fitness-to-drive recommendations and establish their level of decision agreement.\\n\\nMETHOD: Using Social Judgment Theory method, this study examined how 45 experienced occupational therapy driver assessors from the UK, Australia and New Zealand made fitness-to-drive recommendations for a series of 64 case scenarios. Participants completed the task on a dedicated website, and data were analysed using discriminant function analysis and an intraclass correlation coefficient.\\n\\nRESULTS: Accounting for 87% of the variance, the cues central to the fitness-to-drive recommendations made by assessors are the client's physical skills, cognitive and perceptual skills, road law craft skills, vehicle handling skills and the number of driving instructor interventions. Agreement (consensus) between fitness-to-drive recommendations was very high: intraclass correlation coefficient = .97, 95% confidence interval .96-.98).\\n\\nCONCLUSION: Findings can be used by both experienced and novice driver assessors to reflect on and strengthen the fitness-to-drive recommendations made to clients.","author":[{"dropping-particle":"","family":"Unsworth","given":"Carolyn","non-dropping-particle":"","parse-names":false,"suffix":""},{"dropping-particle":"","family":"Harries","given":"Priscilla","non-dropping-particle":"","parse-names":false,"suffix":""},{"dropping-particle":"","family":"Davies","given":"Miranda","non-dropping-particle":"","parse-names":false,"suffix":""}],"container-title":"British Journal of Occupational Therapy","id":"ITEM-1","issue":"2","issued":{"date-parts":[["2015"]]},"page":"109-120","title":"Using social judgment theory method to examine how experienced occupational therapy driver assessors use information to make fitness-to-drive recommendations","type":"article-journal","volume":"78"},"uris":["http://www.mendeley.com/documents/?uuid=18f914b7-efa9-4a1b-a5e1-2c4f95b4b5bd"]}],"mendeley":{"formattedCitation":"(Unsworth, Harries and Davies, 2015)","plainTextFormattedCitation":"(Unsworth, Harries and Davies, 2015)","previouslyFormattedCitation":"(Unsworth, Harries, and Davies 2015)"},"properties":{"noteIndex":0},"schema":"https://github.com/citation-style-language/schema/raw/master/csl-citation.json"}</w:instrText>
      </w:r>
      <w:r w:rsidRPr="006F3B00">
        <w:rPr>
          <w:rFonts w:ascii="Times New Roman" w:hAnsi="Times New Roman" w:cs="Times New Roman"/>
          <w:sz w:val="24"/>
          <w:szCs w:val="24"/>
        </w:rPr>
        <w:fldChar w:fldCharType="separate"/>
      </w:r>
      <w:r w:rsidR="00637E32">
        <w:rPr>
          <w:rFonts w:ascii="Times New Roman" w:hAnsi="Times New Roman" w:cs="Times New Roman"/>
          <w:noProof/>
          <w:sz w:val="24"/>
          <w:szCs w:val="24"/>
        </w:rPr>
        <w:t>(Unsworth, Harries and Davies</w:t>
      </w:r>
      <w:r w:rsidR="00BE3B6C" w:rsidRPr="00BE3B6C">
        <w:rPr>
          <w:rFonts w:ascii="Times New Roman" w:hAnsi="Times New Roman" w:cs="Times New Roman"/>
          <w:noProof/>
          <w:sz w:val="24"/>
          <w:szCs w:val="24"/>
        </w:rPr>
        <w:t xml:space="preserve"> 2015)</w:t>
      </w:r>
      <w:r w:rsidRPr="006F3B00">
        <w:rPr>
          <w:rFonts w:ascii="Times New Roman" w:hAnsi="Times New Roman" w:cs="Times New Roman"/>
          <w:sz w:val="24"/>
          <w:szCs w:val="24"/>
        </w:rPr>
        <w:fldChar w:fldCharType="end"/>
      </w:r>
      <w:r w:rsidRPr="006F3B00">
        <w:rPr>
          <w:rFonts w:ascii="Times New Roman" w:hAnsi="Times New Roman" w:cs="Times New Roman"/>
          <w:sz w:val="24"/>
          <w:szCs w:val="24"/>
        </w:rPr>
        <w:t>.</w:t>
      </w:r>
    </w:p>
    <w:p w14:paraId="7101F743" w14:textId="6AD5503A" w:rsidR="00BA644F" w:rsidRPr="006F3B00" w:rsidRDefault="00863DF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t>Finally, Cooksey’s framework guided the direction of this study and allowed the research objectives to be achieved. How</w:t>
      </w:r>
      <w:r w:rsidR="003057CC">
        <w:rPr>
          <w:rFonts w:ascii="Times New Roman" w:hAnsi="Times New Roman" w:cs="Times New Roman"/>
          <w:sz w:val="24"/>
          <w:szCs w:val="24"/>
        </w:rPr>
        <w:t>ever, it was not possible to follow the classical application of this theory by using</w:t>
      </w:r>
      <w:r w:rsidRPr="006F3B00">
        <w:rPr>
          <w:rFonts w:ascii="Times New Roman" w:hAnsi="Times New Roman" w:cs="Times New Roman"/>
          <w:sz w:val="24"/>
          <w:szCs w:val="24"/>
        </w:rPr>
        <w:t xml:space="preserve"> case vignettes and regression analysis to determine the importance of cues. In that regard, the</w:t>
      </w:r>
      <w:r w:rsidR="00240736">
        <w:rPr>
          <w:rFonts w:ascii="Times New Roman" w:hAnsi="Times New Roman" w:cs="Times New Roman"/>
          <w:sz w:val="24"/>
          <w:szCs w:val="24"/>
        </w:rPr>
        <w:t xml:space="preserve"> Delphi study that was</w:t>
      </w:r>
      <w:r w:rsidRPr="006F3B00">
        <w:rPr>
          <w:rFonts w:ascii="Times New Roman" w:hAnsi="Times New Roman" w:cs="Times New Roman"/>
          <w:sz w:val="24"/>
          <w:szCs w:val="24"/>
        </w:rPr>
        <w:t xml:space="preserve"> utilized may not completely be in line with the classical application of the theory, yet it was a more pragmatic approach to the problem and triangulate</w:t>
      </w:r>
      <w:r w:rsidR="00240736">
        <w:rPr>
          <w:rFonts w:ascii="Times New Roman" w:hAnsi="Times New Roman" w:cs="Times New Roman"/>
          <w:sz w:val="24"/>
          <w:szCs w:val="24"/>
        </w:rPr>
        <w:t>d the</w:t>
      </w:r>
      <w:r w:rsidRPr="006F3B00">
        <w:rPr>
          <w:rFonts w:ascii="Times New Roman" w:hAnsi="Times New Roman" w:cs="Times New Roman"/>
          <w:sz w:val="24"/>
          <w:szCs w:val="24"/>
        </w:rPr>
        <w:t xml:space="preserve"> findings and determine</w:t>
      </w:r>
      <w:r w:rsidR="00240736">
        <w:rPr>
          <w:rFonts w:ascii="Times New Roman" w:hAnsi="Times New Roman" w:cs="Times New Roman"/>
          <w:sz w:val="24"/>
          <w:szCs w:val="24"/>
        </w:rPr>
        <w:t>d</w:t>
      </w:r>
      <w:r w:rsidRPr="006F3B00">
        <w:rPr>
          <w:rFonts w:ascii="Times New Roman" w:hAnsi="Times New Roman" w:cs="Times New Roman"/>
          <w:sz w:val="24"/>
          <w:szCs w:val="24"/>
        </w:rPr>
        <w:t xml:space="preserve"> the importance of the cues.</w:t>
      </w:r>
    </w:p>
    <w:p w14:paraId="75C48AB3" w14:textId="747C5945" w:rsidR="00583735" w:rsidRDefault="00583735" w:rsidP="00863DF5">
      <w:pPr>
        <w:spacing w:line="480" w:lineRule="auto"/>
        <w:rPr>
          <w:rFonts w:ascii="Times New Roman" w:hAnsi="Times New Roman" w:cs="Times New Roman"/>
          <w:sz w:val="24"/>
          <w:szCs w:val="24"/>
        </w:rPr>
      </w:pPr>
    </w:p>
    <w:p w14:paraId="617995A3" w14:textId="680DE00B" w:rsidR="00583735" w:rsidRDefault="00583735" w:rsidP="00863DF5">
      <w:pPr>
        <w:spacing w:line="480" w:lineRule="auto"/>
        <w:rPr>
          <w:rFonts w:ascii="Times New Roman" w:hAnsi="Times New Roman" w:cs="Times New Roman"/>
          <w:sz w:val="24"/>
          <w:szCs w:val="24"/>
        </w:rPr>
      </w:pPr>
    </w:p>
    <w:p w14:paraId="7758E706" w14:textId="39D33095" w:rsidR="00583735" w:rsidRDefault="00583735" w:rsidP="00863DF5">
      <w:pPr>
        <w:spacing w:line="480" w:lineRule="auto"/>
        <w:rPr>
          <w:rFonts w:ascii="Times New Roman" w:hAnsi="Times New Roman" w:cs="Times New Roman"/>
          <w:sz w:val="24"/>
          <w:szCs w:val="24"/>
        </w:rPr>
      </w:pPr>
    </w:p>
    <w:p w14:paraId="75FB864A" w14:textId="45CF87E0" w:rsidR="00583735" w:rsidRDefault="00583735" w:rsidP="00863DF5">
      <w:pPr>
        <w:spacing w:line="480" w:lineRule="auto"/>
        <w:rPr>
          <w:rFonts w:ascii="Times New Roman" w:hAnsi="Times New Roman" w:cs="Times New Roman"/>
          <w:sz w:val="24"/>
          <w:szCs w:val="24"/>
        </w:rPr>
      </w:pPr>
    </w:p>
    <w:p w14:paraId="459C63C8" w14:textId="4AC86BDA" w:rsidR="00583735" w:rsidRDefault="00583735" w:rsidP="00863DF5">
      <w:pPr>
        <w:spacing w:line="480" w:lineRule="auto"/>
        <w:rPr>
          <w:rFonts w:ascii="Times New Roman" w:hAnsi="Times New Roman" w:cs="Times New Roman"/>
          <w:sz w:val="24"/>
          <w:szCs w:val="24"/>
        </w:rPr>
      </w:pPr>
    </w:p>
    <w:p w14:paraId="05DE5C9F" w14:textId="6406D894" w:rsidR="00583735" w:rsidRDefault="00583735" w:rsidP="00863DF5">
      <w:pPr>
        <w:spacing w:line="480" w:lineRule="auto"/>
        <w:rPr>
          <w:rFonts w:ascii="Times New Roman" w:hAnsi="Times New Roman" w:cs="Times New Roman"/>
          <w:sz w:val="24"/>
          <w:szCs w:val="24"/>
        </w:rPr>
      </w:pPr>
    </w:p>
    <w:p w14:paraId="6DF02540" w14:textId="77777777" w:rsidR="004F70BC" w:rsidRDefault="004F70BC" w:rsidP="009F72BE">
      <w:pPr>
        <w:pStyle w:val="Heading3"/>
        <w:jc w:val="center"/>
        <w:rPr>
          <w:rFonts w:ascii="Times New Roman" w:eastAsiaTheme="minorHAnsi" w:hAnsi="Times New Roman" w:cs="Times New Roman"/>
          <w:b w:val="0"/>
          <w:bCs w:val="0"/>
          <w:color w:val="auto"/>
          <w:sz w:val="24"/>
          <w:szCs w:val="24"/>
          <w:lang w:val="en-US"/>
        </w:rPr>
      </w:pPr>
    </w:p>
    <w:p w14:paraId="6576FCD7" w14:textId="671FF214" w:rsidR="004F70BC" w:rsidRPr="008D6EE9" w:rsidRDefault="004F70BC" w:rsidP="00D408AA">
      <w:pPr>
        <w:pStyle w:val="Heading1"/>
        <w:jc w:val="center"/>
        <w:rPr>
          <w:rFonts w:ascii="Times New Roman" w:eastAsiaTheme="minorHAnsi" w:hAnsi="Times New Roman" w:cs="Times New Roman"/>
          <w:b/>
          <w:bCs/>
          <w:color w:val="auto"/>
          <w:sz w:val="72"/>
          <w:szCs w:val="72"/>
        </w:rPr>
      </w:pPr>
      <w:bookmarkStart w:id="122" w:name="_Toc23243851"/>
      <w:r w:rsidRPr="008D6EE9">
        <w:rPr>
          <w:rFonts w:ascii="Times New Roman" w:eastAsiaTheme="minorHAnsi" w:hAnsi="Times New Roman" w:cs="Times New Roman"/>
          <w:b/>
          <w:bCs/>
          <w:color w:val="auto"/>
          <w:sz w:val="72"/>
          <w:szCs w:val="72"/>
        </w:rPr>
        <w:t>Chapter 7</w:t>
      </w:r>
      <w:bookmarkEnd w:id="122"/>
    </w:p>
    <w:p w14:paraId="0084366D" w14:textId="5CC750E3" w:rsidR="009F72BE" w:rsidRPr="008D6EE9" w:rsidRDefault="004F70BC" w:rsidP="00D408AA">
      <w:pPr>
        <w:pStyle w:val="Heading1"/>
        <w:jc w:val="center"/>
        <w:rPr>
          <w:rFonts w:ascii="Times New Roman" w:hAnsi="Times New Roman" w:cs="Times New Roman"/>
          <w:b/>
          <w:color w:val="auto"/>
          <w:sz w:val="72"/>
          <w:szCs w:val="72"/>
        </w:rPr>
      </w:pPr>
      <w:bookmarkStart w:id="123" w:name="_Toc23243852"/>
      <w:r w:rsidRPr="008D6EE9">
        <w:rPr>
          <w:rFonts w:ascii="Times New Roman" w:hAnsi="Times New Roman" w:cs="Times New Roman"/>
          <w:b/>
          <w:color w:val="auto"/>
          <w:sz w:val="72"/>
          <w:szCs w:val="72"/>
        </w:rPr>
        <w:t>Conclusions and recommendations</w:t>
      </w:r>
      <w:bookmarkEnd w:id="123"/>
    </w:p>
    <w:p w14:paraId="17844CB0" w14:textId="77777777" w:rsidR="009F72BE" w:rsidRDefault="009F72BE" w:rsidP="009F72BE">
      <w:pPr>
        <w:pStyle w:val="Heading3"/>
        <w:jc w:val="center"/>
        <w:rPr>
          <w:rFonts w:ascii="Times New Roman" w:hAnsi="Times New Roman" w:cs="Times New Roman"/>
          <w:color w:val="auto"/>
          <w:sz w:val="24"/>
          <w:szCs w:val="24"/>
        </w:rPr>
      </w:pPr>
    </w:p>
    <w:p w14:paraId="5CA00368" w14:textId="77777777" w:rsidR="009F72BE" w:rsidRDefault="009F72BE" w:rsidP="009F72BE">
      <w:pPr>
        <w:pStyle w:val="Heading3"/>
        <w:jc w:val="center"/>
        <w:rPr>
          <w:rFonts w:ascii="Times New Roman" w:hAnsi="Times New Roman" w:cs="Times New Roman"/>
          <w:color w:val="auto"/>
          <w:sz w:val="24"/>
          <w:szCs w:val="24"/>
        </w:rPr>
      </w:pPr>
    </w:p>
    <w:p w14:paraId="57636213" w14:textId="77777777" w:rsidR="009F72BE" w:rsidRDefault="009F72BE" w:rsidP="009F72BE">
      <w:pPr>
        <w:pStyle w:val="Heading3"/>
        <w:jc w:val="center"/>
        <w:rPr>
          <w:rFonts w:ascii="Times New Roman" w:hAnsi="Times New Roman" w:cs="Times New Roman"/>
          <w:color w:val="auto"/>
          <w:sz w:val="24"/>
          <w:szCs w:val="24"/>
        </w:rPr>
      </w:pPr>
    </w:p>
    <w:p w14:paraId="56B714BA" w14:textId="77777777" w:rsidR="009F72BE" w:rsidRPr="009F72BE" w:rsidRDefault="009F72BE" w:rsidP="009F72BE">
      <w:pPr>
        <w:pStyle w:val="Heading1"/>
        <w:jc w:val="center"/>
        <w:rPr>
          <w:rFonts w:ascii="Times New Roman" w:hAnsi="Times New Roman" w:cs="Times New Roman"/>
          <w:b/>
          <w:color w:val="auto"/>
          <w:sz w:val="24"/>
          <w:szCs w:val="24"/>
        </w:rPr>
      </w:pPr>
    </w:p>
    <w:p w14:paraId="21F6BDD4" w14:textId="77777777" w:rsidR="009F72BE" w:rsidRDefault="009F72BE" w:rsidP="009F72BE">
      <w:pPr>
        <w:pStyle w:val="Heading3"/>
        <w:jc w:val="center"/>
        <w:rPr>
          <w:rFonts w:ascii="Times New Roman" w:hAnsi="Times New Roman" w:cs="Times New Roman"/>
          <w:color w:val="auto"/>
          <w:sz w:val="24"/>
          <w:szCs w:val="24"/>
        </w:rPr>
      </w:pPr>
    </w:p>
    <w:p w14:paraId="2A4909FC" w14:textId="77777777" w:rsidR="004F70BC" w:rsidRDefault="004F70BC" w:rsidP="005B2A78">
      <w:pPr>
        <w:pStyle w:val="Heading1"/>
        <w:jc w:val="center"/>
        <w:rPr>
          <w:rFonts w:ascii="Times New Roman" w:hAnsi="Times New Roman" w:cs="Times New Roman"/>
          <w:b/>
          <w:color w:val="auto"/>
          <w:sz w:val="72"/>
          <w:szCs w:val="72"/>
        </w:rPr>
      </w:pPr>
    </w:p>
    <w:p w14:paraId="455A9EB9" w14:textId="77777777" w:rsidR="004F70BC" w:rsidRDefault="004F70BC" w:rsidP="005B2A78">
      <w:pPr>
        <w:pStyle w:val="Heading1"/>
        <w:jc w:val="center"/>
        <w:rPr>
          <w:rFonts w:ascii="Times New Roman" w:hAnsi="Times New Roman" w:cs="Times New Roman"/>
          <w:b/>
          <w:color w:val="auto"/>
          <w:sz w:val="72"/>
          <w:szCs w:val="72"/>
        </w:rPr>
      </w:pPr>
    </w:p>
    <w:p w14:paraId="24A29CDC" w14:textId="0549069D" w:rsidR="004F70BC" w:rsidRDefault="004F70BC" w:rsidP="004F70BC">
      <w:pPr>
        <w:pStyle w:val="Heading1"/>
        <w:rPr>
          <w:rFonts w:ascii="Times New Roman" w:hAnsi="Times New Roman" w:cs="Times New Roman"/>
          <w:b/>
          <w:color w:val="auto"/>
          <w:sz w:val="72"/>
          <w:szCs w:val="72"/>
        </w:rPr>
      </w:pPr>
    </w:p>
    <w:p w14:paraId="5D8F7998" w14:textId="12FD8107" w:rsidR="004F70BC" w:rsidRDefault="004F70BC" w:rsidP="004F70BC"/>
    <w:p w14:paraId="224BB021" w14:textId="24F0E6F0" w:rsidR="004F70BC" w:rsidRDefault="004F70BC" w:rsidP="004F70BC"/>
    <w:p w14:paraId="48D84BEB" w14:textId="164EB43D" w:rsidR="004F70BC" w:rsidRDefault="004F70BC" w:rsidP="004F70BC"/>
    <w:p w14:paraId="64653A5C" w14:textId="0418F519" w:rsidR="00F268A4" w:rsidRDefault="00F268A4" w:rsidP="004F70BC"/>
    <w:p w14:paraId="4C7F7E59" w14:textId="77777777" w:rsidR="00F268A4" w:rsidRDefault="00F268A4" w:rsidP="004F70BC"/>
    <w:p w14:paraId="4D514C6D" w14:textId="582C2437" w:rsidR="004F70BC" w:rsidRDefault="004F70BC" w:rsidP="004F70BC"/>
    <w:p w14:paraId="307631AA" w14:textId="2CD5211F" w:rsidR="004F70BC" w:rsidRDefault="004F70BC" w:rsidP="004F70BC"/>
    <w:p w14:paraId="5096892E" w14:textId="7E8AB9F1" w:rsidR="004F70BC" w:rsidRPr="00F268A4" w:rsidRDefault="00682629" w:rsidP="00F268A4">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Chapter 7: Conclusions, </w:t>
      </w:r>
      <w:r w:rsidR="004F70BC" w:rsidRPr="00BA5222">
        <w:rPr>
          <w:rFonts w:ascii="Times New Roman" w:hAnsi="Times New Roman" w:cs="Times New Roman"/>
          <w:b/>
          <w:sz w:val="24"/>
          <w:szCs w:val="24"/>
          <w:u w:val="single"/>
        </w:rPr>
        <w:t>recommendations</w:t>
      </w:r>
      <w:r>
        <w:rPr>
          <w:rFonts w:ascii="Times New Roman" w:hAnsi="Times New Roman" w:cs="Times New Roman"/>
          <w:b/>
          <w:sz w:val="24"/>
          <w:szCs w:val="24"/>
          <w:u w:val="single"/>
        </w:rPr>
        <w:t xml:space="preserve"> and further work</w:t>
      </w:r>
    </w:p>
    <w:p w14:paraId="50A376B5" w14:textId="64B61AFD" w:rsidR="004F70BC" w:rsidRDefault="004F70BC" w:rsidP="004F70BC">
      <w:pPr>
        <w:pStyle w:val="Heading2"/>
        <w:rPr>
          <w:rFonts w:ascii="Times New Roman" w:hAnsi="Times New Roman" w:cs="Times New Roman"/>
          <w:color w:val="auto"/>
          <w:sz w:val="24"/>
          <w:szCs w:val="24"/>
        </w:rPr>
      </w:pPr>
      <w:bookmarkStart w:id="124" w:name="_Toc23243853"/>
      <w:r w:rsidRPr="004F70BC">
        <w:rPr>
          <w:rFonts w:ascii="Times New Roman" w:hAnsi="Times New Roman" w:cs="Times New Roman"/>
          <w:color w:val="auto"/>
          <w:sz w:val="24"/>
          <w:szCs w:val="24"/>
        </w:rPr>
        <w:t>7.1 Summary</w:t>
      </w:r>
      <w:bookmarkEnd w:id="124"/>
    </w:p>
    <w:p w14:paraId="3936578B" w14:textId="77777777" w:rsidR="004F70BC" w:rsidRPr="004F70BC" w:rsidRDefault="004F70BC" w:rsidP="004F70BC">
      <w:pPr>
        <w:rPr>
          <w:lang w:val="en-GB"/>
        </w:rPr>
      </w:pPr>
    </w:p>
    <w:p w14:paraId="001AA6ED" w14:textId="1FDCCDEA"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In short, the purpose of this research was to understand and explore how consultant</w:t>
      </w:r>
      <w:r>
        <w:rPr>
          <w:rFonts w:ascii="Times New Roman" w:hAnsi="Times New Roman" w:cs="Times New Roman"/>
          <w:sz w:val="24"/>
          <w:szCs w:val="24"/>
        </w:rPr>
        <w:t>s</w:t>
      </w:r>
      <w:r w:rsidRPr="006F3B00">
        <w:rPr>
          <w:rFonts w:ascii="Times New Roman" w:hAnsi="Times New Roman" w:cs="Times New Roman"/>
          <w:sz w:val="24"/>
          <w:szCs w:val="24"/>
        </w:rPr>
        <w:t xml:space="preserve"> determine diagnostic competence in trainees and if the current WBAs </w:t>
      </w:r>
      <w:r>
        <w:rPr>
          <w:rFonts w:ascii="Times New Roman" w:hAnsi="Times New Roman" w:cs="Times New Roman"/>
          <w:sz w:val="24"/>
          <w:szCs w:val="24"/>
        </w:rPr>
        <w:t>are perceived to</w:t>
      </w:r>
      <w:r w:rsidRPr="006F3B00">
        <w:rPr>
          <w:rFonts w:ascii="Times New Roman" w:hAnsi="Times New Roman" w:cs="Times New Roman"/>
          <w:sz w:val="24"/>
          <w:szCs w:val="24"/>
        </w:rPr>
        <w:t xml:space="preserve"> measure it. These objectives were achieved. The current WBAs appear to have multiple issues, but are not perceived to measure diagnostic competence. The outcomes from other questions within the questionnaire and written feedback suggested this might be because the</w:t>
      </w:r>
      <w:r>
        <w:rPr>
          <w:rFonts w:ascii="Times New Roman" w:hAnsi="Times New Roman" w:cs="Times New Roman"/>
          <w:sz w:val="24"/>
          <w:szCs w:val="24"/>
        </w:rPr>
        <w:t xml:space="preserve"> WBA</w:t>
      </w:r>
      <w:r w:rsidRPr="006F3B00">
        <w:rPr>
          <w:rFonts w:ascii="Times New Roman" w:hAnsi="Times New Roman" w:cs="Times New Roman"/>
          <w:sz w:val="24"/>
          <w:szCs w:val="24"/>
        </w:rPr>
        <w:t xml:space="preserve"> forms do not reflect the knowledge, skills or behaviours most relevant to diagnostic competence or are applied in the appropriate context. This is reflected in our qualitative interview data which shows diagnostic competence to be a complex entity, requiring trainees to possess both “process” and “person” characteristics which were modified by stage of training and developed over time to develop trust between the trainee and consultant. These qualities are not fully described in the current WBAs and the longitudinal nature of how consultants determine diagnostic competence was at odds with the current WBA utilizing single cases to determine competency. Consistency of both “process” and “person” was more important to consultants and led to accurate diagnoses based on sound pathological approach and an awareness of one’s own diagnostic ability.</w:t>
      </w:r>
      <w:r w:rsidR="00F268A4">
        <w:rPr>
          <w:rFonts w:ascii="Times New Roman" w:hAnsi="Times New Roman" w:cs="Times New Roman"/>
          <w:sz w:val="24"/>
          <w:szCs w:val="24"/>
        </w:rPr>
        <w:t xml:space="preserve"> </w:t>
      </w:r>
      <w:r w:rsidRPr="006F3B00">
        <w:rPr>
          <w:rFonts w:ascii="Times New Roman" w:hAnsi="Times New Roman" w:cs="Times New Roman"/>
          <w:sz w:val="24"/>
          <w:szCs w:val="24"/>
        </w:rPr>
        <w:t xml:space="preserve">This study is novel in that it is the first to report the </w:t>
      </w:r>
      <w:r>
        <w:rPr>
          <w:rFonts w:ascii="Times New Roman" w:hAnsi="Times New Roman" w:cs="Times New Roman"/>
          <w:sz w:val="24"/>
          <w:szCs w:val="24"/>
        </w:rPr>
        <w:t>key components which consultant</w:t>
      </w:r>
      <w:r w:rsidRPr="006F3B00">
        <w:rPr>
          <w:rFonts w:ascii="Times New Roman" w:hAnsi="Times New Roman" w:cs="Times New Roman"/>
          <w:sz w:val="24"/>
          <w:szCs w:val="24"/>
        </w:rPr>
        <w:t xml:space="preserve">s look for when determining diagnostic competence. The resulting conceptual model provides an overview of these parts and the importance of context when determining competence, which is particularly relevant to how future assessment tools should be utilized. The </w:t>
      </w:r>
      <w:r>
        <w:rPr>
          <w:rFonts w:ascii="Times New Roman" w:hAnsi="Times New Roman" w:cs="Times New Roman"/>
          <w:sz w:val="24"/>
          <w:szCs w:val="24"/>
        </w:rPr>
        <w:t>finding that</w:t>
      </w:r>
      <w:r w:rsidRPr="006F3B00">
        <w:rPr>
          <w:rFonts w:ascii="Times New Roman" w:hAnsi="Times New Roman" w:cs="Times New Roman"/>
          <w:sz w:val="24"/>
          <w:szCs w:val="24"/>
        </w:rPr>
        <w:t xml:space="preserve"> diagnostic competence </w:t>
      </w:r>
      <w:r>
        <w:rPr>
          <w:rFonts w:ascii="Times New Roman" w:hAnsi="Times New Roman" w:cs="Times New Roman"/>
          <w:sz w:val="24"/>
          <w:szCs w:val="24"/>
        </w:rPr>
        <w:t>should</w:t>
      </w:r>
      <w:r w:rsidRPr="006F3B00">
        <w:rPr>
          <w:rFonts w:ascii="Times New Roman" w:hAnsi="Times New Roman" w:cs="Times New Roman"/>
          <w:sz w:val="24"/>
          <w:szCs w:val="24"/>
        </w:rPr>
        <w:t xml:space="preserve"> be assessed longitudinally is of particular importance </w:t>
      </w:r>
      <w:r w:rsidRPr="003057CC">
        <w:rPr>
          <w:rFonts w:ascii="Times New Roman" w:hAnsi="Times New Roman" w:cs="Times New Roman"/>
          <w:sz w:val="24"/>
          <w:szCs w:val="24"/>
        </w:rPr>
        <w:t>and has implications for when the curriculum is re-written for specialist training in histopathology. Secondly, further research could be undertaken to see if a longitudinal approach to assessing competence is appropriate for other specialties in healthcare.</w:t>
      </w:r>
    </w:p>
    <w:p w14:paraId="19827312" w14:textId="13680757" w:rsidR="004F70BC" w:rsidRPr="006F3B00" w:rsidRDefault="004F70BC" w:rsidP="004F70BC">
      <w:pPr>
        <w:pStyle w:val="Heading2"/>
        <w:rPr>
          <w:rFonts w:ascii="Times New Roman" w:hAnsi="Times New Roman" w:cs="Times New Roman"/>
          <w:color w:val="auto"/>
          <w:sz w:val="24"/>
          <w:szCs w:val="24"/>
        </w:rPr>
      </w:pPr>
      <w:bookmarkStart w:id="125" w:name="_Toc23243854"/>
      <w:r>
        <w:rPr>
          <w:rFonts w:ascii="Times New Roman" w:hAnsi="Times New Roman" w:cs="Times New Roman"/>
          <w:color w:val="auto"/>
          <w:sz w:val="24"/>
          <w:szCs w:val="24"/>
        </w:rPr>
        <w:lastRenderedPageBreak/>
        <w:t>7.2</w:t>
      </w:r>
      <w:r w:rsidRPr="006F3B00">
        <w:rPr>
          <w:rFonts w:ascii="Times New Roman" w:hAnsi="Times New Roman" w:cs="Times New Roman"/>
          <w:color w:val="auto"/>
          <w:sz w:val="24"/>
          <w:szCs w:val="24"/>
        </w:rPr>
        <w:t xml:space="preserve"> Conclusions for practice</w:t>
      </w:r>
      <w:bookmarkEnd w:id="125"/>
    </w:p>
    <w:p w14:paraId="3C852A05" w14:textId="77777777" w:rsidR="004F70BC" w:rsidRPr="006F3B00" w:rsidRDefault="004F70BC" w:rsidP="004F70BC">
      <w:pPr>
        <w:rPr>
          <w:rFonts w:ascii="Times New Roman" w:hAnsi="Times New Roman" w:cs="Times New Roman"/>
          <w:sz w:val="24"/>
          <w:szCs w:val="24"/>
          <w:lang w:val="en-GB"/>
        </w:rPr>
      </w:pPr>
    </w:p>
    <w:p w14:paraId="5BA9D7AA" w14:textId="7E391E1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Changing the current assessment strategies based on the findings of this study should:</w:t>
      </w:r>
    </w:p>
    <w:p w14:paraId="1DC37C9C"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 ensure the qualities underpinning diagnostic competence are clearly described in assessment tools</w:t>
      </w:r>
    </w:p>
    <w:p w14:paraId="6F903D11"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-ensure the method of delivery of these assessments is in line with the judgement ecology we have described. In particular, competency should be measured over time and not via single encounters examining one-off, individual competencies.</w:t>
      </w:r>
    </w:p>
    <w:p w14:paraId="563F8281" w14:textId="14570A70" w:rsidR="004F70BC" w:rsidRPr="006F3B00" w:rsidRDefault="004F70BC" w:rsidP="00D408AA">
      <w:pPr>
        <w:spacing w:line="480" w:lineRule="auto"/>
        <w:rPr>
          <w:rFonts w:ascii="Times New Roman" w:hAnsi="Times New Roman" w:cs="Times New Roman"/>
          <w:sz w:val="24"/>
          <w:szCs w:val="24"/>
        </w:rPr>
      </w:pPr>
      <w:r w:rsidRPr="006F3B00">
        <w:rPr>
          <w:rFonts w:ascii="Times New Roman" w:hAnsi="Times New Roman" w:cs="Times New Roman"/>
          <w:sz w:val="24"/>
          <w:szCs w:val="24"/>
        </w:rPr>
        <w:t>-demystify diagnostic competence, making it more explicit to trainees and consultants so that expectations and the ability to achieve competency become tran</w:t>
      </w:r>
      <w:r w:rsidR="00D408AA">
        <w:rPr>
          <w:rFonts w:ascii="Times New Roman" w:hAnsi="Times New Roman" w:cs="Times New Roman"/>
          <w:sz w:val="24"/>
          <w:szCs w:val="24"/>
        </w:rPr>
        <w:t>sparent to all parties involved</w:t>
      </w:r>
    </w:p>
    <w:p w14:paraId="5D7E7A9C" w14:textId="7DDAB65A" w:rsidR="004F70BC" w:rsidRPr="006F3B00" w:rsidRDefault="004F70BC" w:rsidP="004F70BC">
      <w:pPr>
        <w:pStyle w:val="Heading2"/>
        <w:rPr>
          <w:rFonts w:ascii="Times New Roman" w:hAnsi="Times New Roman" w:cs="Times New Roman"/>
          <w:color w:val="auto"/>
          <w:sz w:val="24"/>
          <w:szCs w:val="24"/>
        </w:rPr>
      </w:pPr>
      <w:bookmarkStart w:id="126" w:name="_Toc23243855"/>
      <w:r>
        <w:rPr>
          <w:rFonts w:ascii="Times New Roman" w:hAnsi="Times New Roman" w:cs="Times New Roman"/>
          <w:color w:val="auto"/>
          <w:sz w:val="24"/>
          <w:szCs w:val="24"/>
        </w:rPr>
        <w:t>7.3</w:t>
      </w:r>
      <w:r w:rsidRPr="006F3B00">
        <w:rPr>
          <w:rFonts w:ascii="Times New Roman" w:hAnsi="Times New Roman" w:cs="Times New Roman"/>
          <w:color w:val="auto"/>
          <w:sz w:val="24"/>
          <w:szCs w:val="24"/>
        </w:rPr>
        <w:t xml:space="preserve"> Conclusions for research</w:t>
      </w:r>
      <w:bookmarkEnd w:id="126"/>
    </w:p>
    <w:p w14:paraId="58329427" w14:textId="77777777" w:rsidR="004F70BC" w:rsidRPr="006F3B00" w:rsidRDefault="004F70BC" w:rsidP="004F70BC">
      <w:pPr>
        <w:rPr>
          <w:rFonts w:ascii="Times New Roman" w:hAnsi="Times New Roman" w:cs="Times New Roman"/>
          <w:sz w:val="24"/>
          <w:szCs w:val="24"/>
          <w:lang w:val="en-GB"/>
        </w:rPr>
      </w:pPr>
    </w:p>
    <w:p w14:paraId="3C0CC794" w14:textId="0C575FB7" w:rsidR="004F70BC" w:rsidRDefault="004F70BC" w:rsidP="00D408AA">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This research has addressed a significant void in the medical literature. Firstly, by reporting the current WBAs are not perceived to measure diagnostic competence and suffer from many other perceived issues. Secondly, the key qualities that consultant look for when determining diagnostic competence in trainees, as well as the context, were </w:t>
      </w:r>
      <w:r>
        <w:rPr>
          <w:rFonts w:ascii="Times New Roman" w:hAnsi="Times New Roman" w:cs="Times New Roman"/>
          <w:sz w:val="24"/>
          <w:szCs w:val="24"/>
        </w:rPr>
        <w:t>described</w:t>
      </w:r>
      <w:r w:rsidRPr="006F3B00">
        <w:rPr>
          <w:rFonts w:ascii="Times New Roman" w:hAnsi="Times New Roman" w:cs="Times New Roman"/>
          <w:sz w:val="24"/>
          <w:szCs w:val="24"/>
        </w:rPr>
        <w:t xml:space="preserve"> through qualitative interviews and triangulated with a Delphi study. The resulting conceptual model suggests that </w:t>
      </w:r>
      <w:r>
        <w:rPr>
          <w:rFonts w:ascii="Times New Roman" w:hAnsi="Times New Roman" w:cs="Times New Roman"/>
          <w:sz w:val="24"/>
          <w:szCs w:val="24"/>
        </w:rPr>
        <w:t xml:space="preserve">the current methods for measuring </w:t>
      </w:r>
      <w:r w:rsidRPr="006F3B00">
        <w:rPr>
          <w:rFonts w:ascii="Times New Roman" w:hAnsi="Times New Roman" w:cs="Times New Roman"/>
          <w:sz w:val="24"/>
          <w:szCs w:val="24"/>
        </w:rPr>
        <w:t>diagnostic comp</w:t>
      </w:r>
      <w:r>
        <w:rPr>
          <w:rFonts w:ascii="Times New Roman" w:hAnsi="Times New Roman" w:cs="Times New Roman"/>
          <w:sz w:val="24"/>
          <w:szCs w:val="24"/>
        </w:rPr>
        <w:t>etence are</w:t>
      </w:r>
      <w:r w:rsidRPr="006F3B00">
        <w:rPr>
          <w:rFonts w:ascii="Times New Roman" w:hAnsi="Times New Roman" w:cs="Times New Roman"/>
          <w:sz w:val="24"/>
          <w:szCs w:val="24"/>
        </w:rPr>
        <w:t xml:space="preserve"> not assessing all that matters nor assessing</w:t>
      </w:r>
      <w:r>
        <w:rPr>
          <w:rFonts w:ascii="Times New Roman" w:hAnsi="Times New Roman" w:cs="Times New Roman"/>
          <w:sz w:val="24"/>
          <w:szCs w:val="24"/>
        </w:rPr>
        <w:t xml:space="preserve"> it</w:t>
      </w:r>
      <w:r w:rsidRPr="006F3B00">
        <w:rPr>
          <w:rFonts w:ascii="Times New Roman" w:hAnsi="Times New Roman" w:cs="Times New Roman"/>
          <w:sz w:val="24"/>
          <w:szCs w:val="24"/>
        </w:rPr>
        <w:t xml:space="preserve"> in the right way, suggesting modifications to the format and delivery of assessment tools in histopathology are required. </w:t>
      </w:r>
    </w:p>
    <w:p w14:paraId="515146D7" w14:textId="7F9165BA" w:rsidR="004F70BC" w:rsidRPr="006F3B00" w:rsidRDefault="004F70BC" w:rsidP="004F70BC">
      <w:pPr>
        <w:pStyle w:val="Heading2"/>
        <w:rPr>
          <w:rFonts w:ascii="Times New Roman" w:hAnsi="Times New Roman" w:cs="Times New Roman"/>
          <w:color w:val="auto"/>
          <w:sz w:val="24"/>
          <w:szCs w:val="24"/>
        </w:rPr>
      </w:pPr>
      <w:bookmarkStart w:id="127" w:name="_Toc23243856"/>
      <w:r>
        <w:rPr>
          <w:rFonts w:ascii="Times New Roman" w:hAnsi="Times New Roman" w:cs="Times New Roman"/>
          <w:color w:val="auto"/>
          <w:sz w:val="24"/>
          <w:szCs w:val="24"/>
        </w:rPr>
        <w:t>7.4</w:t>
      </w:r>
      <w:r w:rsidRPr="006F3B00">
        <w:rPr>
          <w:rFonts w:ascii="Times New Roman" w:hAnsi="Times New Roman" w:cs="Times New Roman"/>
          <w:color w:val="auto"/>
          <w:sz w:val="24"/>
          <w:szCs w:val="24"/>
        </w:rPr>
        <w:t xml:space="preserve"> Recommendations for practice</w:t>
      </w:r>
      <w:bookmarkEnd w:id="127"/>
    </w:p>
    <w:p w14:paraId="36178A49" w14:textId="77777777" w:rsidR="004F70BC" w:rsidRPr="006F3B00" w:rsidRDefault="004F70BC" w:rsidP="004F70BC">
      <w:pPr>
        <w:rPr>
          <w:rFonts w:ascii="Times New Roman" w:hAnsi="Times New Roman" w:cs="Times New Roman"/>
          <w:sz w:val="24"/>
          <w:szCs w:val="24"/>
          <w:lang w:val="en-GB"/>
        </w:rPr>
      </w:pPr>
    </w:p>
    <w:p w14:paraId="4020E6BD"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The findings from this research alongside collaboration with the RCPath could be used to:</w:t>
      </w:r>
    </w:p>
    <w:p w14:paraId="4940C0CB"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lastRenderedPageBreak/>
        <w:t>-modify the current WBA tools</w:t>
      </w:r>
    </w:p>
    <w:p w14:paraId="5431074F"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-inform future assessment strategies in histopathology</w:t>
      </w:r>
    </w:p>
    <w:p w14:paraId="22AF3122" w14:textId="1F42DC42" w:rsidR="004F70BC" w:rsidRPr="00D408AA" w:rsidRDefault="004F70BC" w:rsidP="00D408AA">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-inform the new pathology curriculum which </w:t>
      </w:r>
      <w:r>
        <w:rPr>
          <w:rFonts w:ascii="Times New Roman" w:hAnsi="Times New Roman" w:cs="Times New Roman"/>
          <w:sz w:val="24"/>
          <w:szCs w:val="24"/>
        </w:rPr>
        <w:t>is due to be</w:t>
      </w:r>
      <w:r w:rsidRPr="006F3B00">
        <w:rPr>
          <w:rFonts w:ascii="Times New Roman" w:hAnsi="Times New Roman" w:cs="Times New Roman"/>
          <w:sz w:val="24"/>
          <w:szCs w:val="24"/>
        </w:rPr>
        <w:t xml:space="preserve"> r</w:t>
      </w:r>
      <w:r w:rsidR="00D408AA">
        <w:rPr>
          <w:rFonts w:ascii="Times New Roman" w:hAnsi="Times New Roman" w:cs="Times New Roman"/>
          <w:sz w:val="24"/>
          <w:szCs w:val="24"/>
        </w:rPr>
        <w:t>e-written in the next few years</w:t>
      </w:r>
    </w:p>
    <w:p w14:paraId="35FCBC32" w14:textId="7D6031CE" w:rsidR="004F70BC" w:rsidRPr="006F3B00" w:rsidRDefault="004F70BC" w:rsidP="004F70BC">
      <w:pPr>
        <w:pStyle w:val="Heading2"/>
        <w:rPr>
          <w:rFonts w:ascii="Times New Roman" w:hAnsi="Times New Roman" w:cs="Times New Roman"/>
          <w:color w:val="auto"/>
          <w:sz w:val="24"/>
          <w:szCs w:val="24"/>
        </w:rPr>
      </w:pPr>
      <w:bookmarkStart w:id="128" w:name="_Toc23243857"/>
      <w:r>
        <w:rPr>
          <w:rFonts w:ascii="Times New Roman" w:hAnsi="Times New Roman" w:cs="Times New Roman"/>
          <w:color w:val="auto"/>
          <w:sz w:val="24"/>
          <w:szCs w:val="24"/>
        </w:rPr>
        <w:t>7.5</w:t>
      </w:r>
      <w:r w:rsidRPr="006F3B00">
        <w:rPr>
          <w:rFonts w:ascii="Times New Roman" w:hAnsi="Times New Roman" w:cs="Times New Roman"/>
          <w:color w:val="auto"/>
          <w:sz w:val="24"/>
          <w:szCs w:val="24"/>
        </w:rPr>
        <w:t xml:space="preserve"> Recommendations for research</w:t>
      </w:r>
      <w:bookmarkEnd w:id="128"/>
    </w:p>
    <w:p w14:paraId="3BCC91A5" w14:textId="77777777" w:rsidR="004F70BC" w:rsidRPr="006F3B00" w:rsidRDefault="004F70BC" w:rsidP="004F70BC">
      <w:pPr>
        <w:rPr>
          <w:rFonts w:ascii="Times New Roman" w:hAnsi="Times New Roman" w:cs="Times New Roman"/>
          <w:sz w:val="24"/>
          <w:szCs w:val="24"/>
          <w:lang w:val="en-GB"/>
        </w:rPr>
      </w:pPr>
    </w:p>
    <w:p w14:paraId="31FC4BB9"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The conceptual model could be used to develop assessment strategies for diagnostic histopathology:</w:t>
      </w:r>
    </w:p>
    <w:p w14:paraId="36F1B773"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-in the UK</w:t>
      </w:r>
    </w:p>
    <w:p w14:paraId="721775F0"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-in other countries e.g. outside the UK</w:t>
      </w:r>
    </w:p>
    <w:p w14:paraId="09147D1D"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 xml:space="preserve">-in other specialties </w:t>
      </w:r>
    </w:p>
    <w:p w14:paraId="72107E00"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The approach and methodology used in this thesis could be used to determine competence in:</w:t>
      </w:r>
    </w:p>
    <w:p w14:paraId="7DBEB63D"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-other medical or dental specialties</w:t>
      </w:r>
    </w:p>
    <w:p w14:paraId="18624643" w14:textId="77777777" w:rsidR="004F70BC" w:rsidRPr="006F3B00" w:rsidRDefault="004F70BC" w:rsidP="004F70BC">
      <w:pPr>
        <w:spacing w:line="480" w:lineRule="auto"/>
        <w:rPr>
          <w:rFonts w:ascii="Times New Roman" w:hAnsi="Times New Roman" w:cs="Times New Roman"/>
          <w:sz w:val="24"/>
          <w:szCs w:val="24"/>
        </w:rPr>
      </w:pPr>
      <w:r w:rsidRPr="006F3B00">
        <w:rPr>
          <w:rFonts w:ascii="Times New Roman" w:hAnsi="Times New Roman" w:cs="Times New Roman"/>
          <w:sz w:val="24"/>
          <w:szCs w:val="24"/>
        </w:rPr>
        <w:t>-undergraduate medical and dental education</w:t>
      </w:r>
    </w:p>
    <w:p w14:paraId="0D2E34CF" w14:textId="77777777" w:rsidR="004F70BC" w:rsidRPr="00682629" w:rsidRDefault="004F70BC" w:rsidP="00682629">
      <w:pPr>
        <w:pStyle w:val="Heading3"/>
        <w:rPr>
          <w:rFonts w:ascii="Times New Roman" w:hAnsi="Times New Roman" w:cs="Times New Roman"/>
          <w:color w:val="auto"/>
          <w:sz w:val="24"/>
          <w:szCs w:val="24"/>
        </w:rPr>
      </w:pPr>
    </w:p>
    <w:p w14:paraId="40ACB314" w14:textId="3F2CD486" w:rsidR="004F70BC" w:rsidRDefault="00682629" w:rsidP="00382D63">
      <w:pPr>
        <w:pStyle w:val="Heading2"/>
        <w:rPr>
          <w:rFonts w:ascii="Times New Roman" w:hAnsi="Times New Roman" w:cs="Times New Roman"/>
          <w:color w:val="auto"/>
          <w:sz w:val="24"/>
          <w:szCs w:val="24"/>
        </w:rPr>
      </w:pPr>
      <w:bookmarkStart w:id="129" w:name="_Toc23243858"/>
      <w:r w:rsidRPr="00682629">
        <w:rPr>
          <w:rFonts w:ascii="Times New Roman" w:hAnsi="Times New Roman" w:cs="Times New Roman"/>
          <w:color w:val="auto"/>
          <w:sz w:val="24"/>
          <w:szCs w:val="24"/>
        </w:rPr>
        <w:t>7.6 Further work</w:t>
      </w:r>
      <w:bookmarkEnd w:id="129"/>
    </w:p>
    <w:p w14:paraId="35E1DB97" w14:textId="77777777" w:rsidR="00682629" w:rsidRPr="00682629" w:rsidRDefault="00682629" w:rsidP="00682629">
      <w:pPr>
        <w:rPr>
          <w:lang w:val="en-GB"/>
        </w:rPr>
      </w:pPr>
    </w:p>
    <w:p w14:paraId="47CE8D36" w14:textId="69C0EB31" w:rsidR="00682629" w:rsidRPr="006F3B00" w:rsidRDefault="00682629" w:rsidP="004F70BC">
      <w:pPr>
        <w:spacing w:line="480" w:lineRule="auto"/>
        <w:rPr>
          <w:rFonts w:ascii="Times New Roman" w:hAnsi="Times New Roman" w:cs="Times New Roman"/>
          <w:sz w:val="24"/>
          <w:szCs w:val="24"/>
        </w:rPr>
      </w:pPr>
      <w:r>
        <w:rPr>
          <w:rFonts w:ascii="Times New Roman" w:hAnsi="Times New Roman" w:cs="Times New Roman"/>
          <w:sz w:val="24"/>
          <w:szCs w:val="24"/>
        </w:rPr>
        <w:t>A new assessment form should be designed to measure diagnostic competence in histopathology trainees. The assessment should be longitudinal in nature and administered over placements or blocks of cases. The reliability, validity and feasibility of this tool will need testing</w:t>
      </w:r>
      <w:r w:rsidR="00382D63">
        <w:rPr>
          <w:rFonts w:ascii="Times New Roman" w:hAnsi="Times New Roman" w:cs="Times New Roman"/>
          <w:sz w:val="24"/>
          <w:szCs w:val="24"/>
        </w:rPr>
        <w:t>.</w:t>
      </w:r>
    </w:p>
    <w:p w14:paraId="3C5EE3DA" w14:textId="77777777" w:rsidR="004F70BC" w:rsidRDefault="004F70BC" w:rsidP="004F70BC">
      <w:pPr>
        <w:spacing w:line="480" w:lineRule="auto"/>
        <w:rPr>
          <w:rFonts w:ascii="Times New Roman" w:hAnsi="Times New Roman" w:cs="Times New Roman"/>
          <w:sz w:val="24"/>
          <w:szCs w:val="24"/>
        </w:rPr>
      </w:pPr>
    </w:p>
    <w:p w14:paraId="1F57F704" w14:textId="77777777" w:rsidR="004F70BC" w:rsidRDefault="004F70BC" w:rsidP="004F70BC">
      <w:pPr>
        <w:spacing w:line="480" w:lineRule="auto"/>
        <w:rPr>
          <w:rFonts w:ascii="Times New Roman" w:hAnsi="Times New Roman" w:cs="Times New Roman"/>
          <w:sz w:val="24"/>
          <w:szCs w:val="24"/>
        </w:rPr>
      </w:pPr>
    </w:p>
    <w:p w14:paraId="0CAC1F9C" w14:textId="77777777" w:rsidR="004F70BC" w:rsidRDefault="004F70BC" w:rsidP="004F70BC">
      <w:pPr>
        <w:spacing w:line="480" w:lineRule="auto"/>
        <w:rPr>
          <w:rFonts w:ascii="Times New Roman" w:hAnsi="Times New Roman" w:cs="Times New Roman"/>
          <w:sz w:val="24"/>
          <w:szCs w:val="24"/>
        </w:rPr>
      </w:pPr>
    </w:p>
    <w:p w14:paraId="0F14659C" w14:textId="77777777" w:rsidR="004F70BC" w:rsidRDefault="004F70BC" w:rsidP="005B2A78">
      <w:pPr>
        <w:pStyle w:val="Heading1"/>
        <w:jc w:val="center"/>
        <w:rPr>
          <w:rFonts w:ascii="Times New Roman" w:hAnsi="Times New Roman" w:cs="Times New Roman"/>
          <w:b/>
          <w:color w:val="auto"/>
          <w:sz w:val="72"/>
          <w:szCs w:val="72"/>
        </w:rPr>
      </w:pPr>
    </w:p>
    <w:p w14:paraId="2E1890BA" w14:textId="05DC114A" w:rsidR="004F70BC" w:rsidRDefault="004F70BC" w:rsidP="00BA5222">
      <w:pPr>
        <w:pStyle w:val="Heading1"/>
        <w:rPr>
          <w:rFonts w:ascii="Times New Roman" w:hAnsi="Times New Roman" w:cs="Times New Roman"/>
          <w:b/>
          <w:color w:val="auto"/>
          <w:sz w:val="72"/>
          <w:szCs w:val="72"/>
        </w:rPr>
      </w:pPr>
    </w:p>
    <w:p w14:paraId="3D5E358A" w14:textId="34795758" w:rsidR="00BA644F" w:rsidRPr="006F3B00" w:rsidRDefault="00BA644F" w:rsidP="005B2A78">
      <w:pPr>
        <w:pStyle w:val="Heading1"/>
        <w:jc w:val="center"/>
        <w:rPr>
          <w:rFonts w:ascii="Times New Roman" w:hAnsi="Times New Roman" w:cs="Times New Roman"/>
          <w:b/>
          <w:color w:val="auto"/>
          <w:sz w:val="72"/>
          <w:szCs w:val="72"/>
        </w:rPr>
      </w:pPr>
      <w:bookmarkStart w:id="130" w:name="_Toc23243859"/>
      <w:r w:rsidRPr="006F3B00">
        <w:rPr>
          <w:rFonts w:ascii="Times New Roman" w:hAnsi="Times New Roman" w:cs="Times New Roman"/>
          <w:b/>
          <w:color w:val="auto"/>
          <w:sz w:val="72"/>
          <w:szCs w:val="72"/>
        </w:rPr>
        <w:t>Appendices</w:t>
      </w:r>
      <w:bookmarkEnd w:id="130"/>
    </w:p>
    <w:p w14:paraId="6238C66D" w14:textId="77777777" w:rsidR="00863DF5" w:rsidRPr="006F3B00" w:rsidRDefault="00863DF5" w:rsidP="00863DF5">
      <w:pPr>
        <w:spacing w:line="480" w:lineRule="auto"/>
        <w:rPr>
          <w:rFonts w:ascii="Times New Roman" w:hAnsi="Times New Roman" w:cs="Times New Roman"/>
          <w:sz w:val="24"/>
          <w:szCs w:val="24"/>
        </w:rPr>
      </w:pPr>
    </w:p>
    <w:p w14:paraId="37212588" w14:textId="77777777" w:rsidR="001E510D" w:rsidRPr="006F3B00" w:rsidRDefault="001E510D" w:rsidP="00863DF5">
      <w:pPr>
        <w:spacing w:line="480" w:lineRule="auto"/>
        <w:rPr>
          <w:rFonts w:ascii="Times New Roman" w:hAnsi="Times New Roman" w:cs="Times New Roman"/>
          <w:sz w:val="24"/>
          <w:szCs w:val="24"/>
        </w:rPr>
      </w:pPr>
    </w:p>
    <w:p w14:paraId="3DD50601" w14:textId="7AEFB57D" w:rsidR="001E510D" w:rsidRPr="006F3B00" w:rsidRDefault="001E510D" w:rsidP="00863DF5">
      <w:pPr>
        <w:spacing w:line="480" w:lineRule="auto"/>
        <w:rPr>
          <w:rFonts w:ascii="Times New Roman" w:hAnsi="Times New Roman" w:cs="Times New Roman"/>
          <w:sz w:val="24"/>
          <w:szCs w:val="24"/>
        </w:rPr>
      </w:pPr>
    </w:p>
    <w:p w14:paraId="18E16A6C" w14:textId="77777777" w:rsidR="00524350" w:rsidRDefault="00524350" w:rsidP="00863DF5">
      <w:pPr>
        <w:spacing w:line="480" w:lineRule="auto"/>
        <w:rPr>
          <w:rFonts w:ascii="Times New Roman" w:hAnsi="Times New Roman" w:cs="Times New Roman"/>
          <w:sz w:val="24"/>
          <w:szCs w:val="24"/>
        </w:rPr>
      </w:pPr>
    </w:p>
    <w:p w14:paraId="586D2FF7" w14:textId="77777777" w:rsidR="008B3E6C" w:rsidRPr="006F3B00" w:rsidRDefault="008B3E6C" w:rsidP="008B3E6C">
      <w:pPr>
        <w:rPr>
          <w:rFonts w:ascii="Times New Roman" w:hAnsi="Times New Roman" w:cs="Times New Roman"/>
          <w:sz w:val="24"/>
          <w:szCs w:val="24"/>
          <w:lang w:val="en-GB"/>
        </w:rPr>
      </w:pPr>
    </w:p>
    <w:p w14:paraId="6FD5FF1A" w14:textId="6E7EDE24" w:rsidR="008B3E6C" w:rsidRDefault="008B3E6C" w:rsidP="008B3E6C">
      <w:pPr>
        <w:rPr>
          <w:rFonts w:ascii="Times New Roman" w:hAnsi="Times New Roman" w:cs="Times New Roman"/>
          <w:sz w:val="24"/>
          <w:szCs w:val="24"/>
          <w:lang w:val="en-GB"/>
        </w:rPr>
      </w:pPr>
    </w:p>
    <w:p w14:paraId="141D0763" w14:textId="5C20CE30" w:rsidR="005B2A78" w:rsidRDefault="005B2A78" w:rsidP="008B3E6C">
      <w:pPr>
        <w:rPr>
          <w:rFonts w:ascii="Times New Roman" w:hAnsi="Times New Roman" w:cs="Times New Roman"/>
          <w:sz w:val="24"/>
          <w:szCs w:val="24"/>
          <w:lang w:val="en-GB"/>
        </w:rPr>
      </w:pPr>
    </w:p>
    <w:p w14:paraId="7192E851" w14:textId="140240AD" w:rsidR="005B2A78" w:rsidRDefault="005B2A78" w:rsidP="008B3E6C">
      <w:pPr>
        <w:rPr>
          <w:rFonts w:ascii="Times New Roman" w:hAnsi="Times New Roman" w:cs="Times New Roman"/>
          <w:sz w:val="24"/>
          <w:szCs w:val="24"/>
          <w:lang w:val="en-GB"/>
        </w:rPr>
      </w:pPr>
    </w:p>
    <w:p w14:paraId="3577FAA0" w14:textId="1DBE2321" w:rsidR="005B2A78" w:rsidRDefault="005B2A78" w:rsidP="008B3E6C">
      <w:pPr>
        <w:rPr>
          <w:rFonts w:ascii="Times New Roman" w:hAnsi="Times New Roman" w:cs="Times New Roman"/>
          <w:sz w:val="24"/>
          <w:szCs w:val="24"/>
          <w:lang w:val="en-GB"/>
        </w:rPr>
      </w:pPr>
    </w:p>
    <w:p w14:paraId="22567172" w14:textId="40208663" w:rsidR="005B2A78" w:rsidRDefault="005B2A78" w:rsidP="008B3E6C">
      <w:pPr>
        <w:rPr>
          <w:rFonts w:ascii="Times New Roman" w:hAnsi="Times New Roman" w:cs="Times New Roman"/>
          <w:sz w:val="24"/>
          <w:szCs w:val="24"/>
          <w:lang w:val="en-GB"/>
        </w:rPr>
      </w:pPr>
    </w:p>
    <w:p w14:paraId="3AD04D52" w14:textId="1348B470" w:rsidR="005B2A78" w:rsidRDefault="005B2A78" w:rsidP="008B3E6C">
      <w:pPr>
        <w:rPr>
          <w:rFonts w:ascii="Times New Roman" w:hAnsi="Times New Roman" w:cs="Times New Roman"/>
          <w:sz w:val="24"/>
          <w:szCs w:val="24"/>
          <w:lang w:val="en-GB"/>
        </w:rPr>
      </w:pPr>
    </w:p>
    <w:p w14:paraId="673EF6CA" w14:textId="02349F96" w:rsidR="005B2A78" w:rsidRDefault="005B2A78" w:rsidP="008B3E6C">
      <w:pPr>
        <w:rPr>
          <w:rFonts w:ascii="Times New Roman" w:hAnsi="Times New Roman" w:cs="Times New Roman"/>
          <w:sz w:val="24"/>
          <w:szCs w:val="24"/>
          <w:lang w:val="en-GB"/>
        </w:rPr>
      </w:pPr>
    </w:p>
    <w:p w14:paraId="37DB008E" w14:textId="642DB563" w:rsidR="005B2A78" w:rsidRDefault="005B2A78" w:rsidP="008B3E6C">
      <w:pPr>
        <w:rPr>
          <w:rFonts w:ascii="Times New Roman" w:hAnsi="Times New Roman" w:cs="Times New Roman"/>
          <w:sz w:val="24"/>
          <w:szCs w:val="24"/>
          <w:lang w:val="en-GB"/>
        </w:rPr>
      </w:pPr>
    </w:p>
    <w:p w14:paraId="489476DF" w14:textId="58500FC4" w:rsidR="005B2A78" w:rsidRDefault="005B2A78" w:rsidP="008B3E6C">
      <w:pPr>
        <w:rPr>
          <w:rFonts w:ascii="Times New Roman" w:hAnsi="Times New Roman" w:cs="Times New Roman"/>
          <w:sz w:val="24"/>
          <w:szCs w:val="24"/>
          <w:lang w:val="en-GB"/>
        </w:rPr>
      </w:pPr>
    </w:p>
    <w:p w14:paraId="1279C260" w14:textId="6E58C2D1" w:rsidR="005B2A78" w:rsidRDefault="005B2A78" w:rsidP="008B3E6C">
      <w:pPr>
        <w:rPr>
          <w:rFonts w:ascii="Times New Roman" w:hAnsi="Times New Roman" w:cs="Times New Roman"/>
          <w:sz w:val="24"/>
          <w:szCs w:val="24"/>
          <w:lang w:val="en-GB"/>
        </w:rPr>
      </w:pPr>
    </w:p>
    <w:p w14:paraId="5E36CBAD" w14:textId="77777777" w:rsidR="00D408AA" w:rsidRDefault="00D408AA" w:rsidP="008B3E6C">
      <w:pPr>
        <w:rPr>
          <w:rFonts w:ascii="Times New Roman" w:hAnsi="Times New Roman" w:cs="Times New Roman"/>
          <w:sz w:val="24"/>
          <w:szCs w:val="24"/>
          <w:lang w:val="en-GB"/>
        </w:rPr>
      </w:pPr>
    </w:p>
    <w:p w14:paraId="3E85BB07" w14:textId="46865A68" w:rsidR="005B2A78" w:rsidRDefault="005B2A78" w:rsidP="008B3E6C">
      <w:pPr>
        <w:rPr>
          <w:rFonts w:ascii="Times New Roman" w:hAnsi="Times New Roman" w:cs="Times New Roman"/>
          <w:sz w:val="24"/>
          <w:szCs w:val="24"/>
          <w:lang w:val="en-GB"/>
        </w:rPr>
      </w:pPr>
    </w:p>
    <w:p w14:paraId="2B471748" w14:textId="60B581BA" w:rsidR="005B2A78" w:rsidRDefault="005B2A78" w:rsidP="008B3E6C">
      <w:pPr>
        <w:rPr>
          <w:rFonts w:ascii="Times New Roman" w:hAnsi="Times New Roman" w:cs="Times New Roman"/>
          <w:sz w:val="24"/>
          <w:szCs w:val="24"/>
          <w:lang w:val="en-GB"/>
        </w:rPr>
      </w:pPr>
    </w:p>
    <w:p w14:paraId="2E3EADF0" w14:textId="614BF1F8" w:rsidR="005B2A78" w:rsidRDefault="005B2A78" w:rsidP="008B3E6C">
      <w:pPr>
        <w:rPr>
          <w:rFonts w:ascii="Times New Roman" w:hAnsi="Times New Roman" w:cs="Times New Roman"/>
          <w:sz w:val="24"/>
          <w:szCs w:val="24"/>
          <w:lang w:val="en-GB"/>
        </w:rPr>
      </w:pPr>
    </w:p>
    <w:p w14:paraId="398EA457" w14:textId="44F2A112" w:rsidR="00637E32" w:rsidRDefault="00637E32" w:rsidP="008B3E6C">
      <w:pPr>
        <w:rPr>
          <w:rFonts w:ascii="Times New Roman" w:hAnsi="Times New Roman" w:cs="Times New Roman"/>
          <w:sz w:val="24"/>
          <w:szCs w:val="24"/>
          <w:lang w:val="en-GB"/>
        </w:rPr>
      </w:pPr>
    </w:p>
    <w:p w14:paraId="2B19F84C" w14:textId="6452F07D" w:rsidR="00637E32" w:rsidRDefault="00637E32" w:rsidP="008B3E6C">
      <w:pPr>
        <w:rPr>
          <w:rFonts w:ascii="Times New Roman" w:hAnsi="Times New Roman" w:cs="Times New Roman"/>
          <w:sz w:val="24"/>
          <w:szCs w:val="24"/>
          <w:lang w:val="en-GB"/>
        </w:rPr>
      </w:pPr>
    </w:p>
    <w:p w14:paraId="5CE0E923" w14:textId="77777777" w:rsidR="00637E32" w:rsidRPr="006F3B00" w:rsidRDefault="00637E32" w:rsidP="008B3E6C">
      <w:pPr>
        <w:rPr>
          <w:rFonts w:ascii="Times New Roman" w:hAnsi="Times New Roman" w:cs="Times New Roman"/>
          <w:sz w:val="24"/>
          <w:szCs w:val="24"/>
          <w:lang w:val="en-GB"/>
        </w:rPr>
      </w:pPr>
    </w:p>
    <w:p w14:paraId="641AE1C7" w14:textId="5FB3E1AB" w:rsidR="008B3E6C" w:rsidRDefault="008B3E6C" w:rsidP="008B3E6C">
      <w:pPr>
        <w:pStyle w:val="Heading2"/>
        <w:rPr>
          <w:rFonts w:ascii="Times New Roman" w:hAnsi="Times New Roman" w:cs="Times New Roman"/>
          <w:color w:val="auto"/>
          <w:sz w:val="24"/>
          <w:szCs w:val="24"/>
        </w:rPr>
      </w:pPr>
      <w:bookmarkStart w:id="131" w:name="_Toc23243860"/>
      <w:r w:rsidRPr="006F3B00">
        <w:rPr>
          <w:rFonts w:ascii="Times New Roman" w:hAnsi="Times New Roman" w:cs="Times New Roman"/>
          <w:color w:val="auto"/>
          <w:sz w:val="24"/>
          <w:szCs w:val="24"/>
        </w:rPr>
        <w:lastRenderedPageBreak/>
        <w:t>Appen</w:t>
      </w:r>
      <w:r w:rsidR="005B2A78">
        <w:rPr>
          <w:rFonts w:ascii="Times New Roman" w:hAnsi="Times New Roman" w:cs="Times New Roman"/>
          <w:color w:val="auto"/>
          <w:sz w:val="24"/>
          <w:szCs w:val="24"/>
        </w:rPr>
        <w:t>dix 1</w:t>
      </w:r>
      <w:r w:rsidRPr="006F3B00">
        <w:rPr>
          <w:rFonts w:ascii="Times New Roman" w:hAnsi="Times New Roman" w:cs="Times New Roman"/>
          <w:color w:val="auto"/>
          <w:sz w:val="24"/>
          <w:szCs w:val="24"/>
        </w:rPr>
        <w:t>: Questionnaire invitation email</w:t>
      </w:r>
      <w:r w:rsidR="0020029A">
        <w:rPr>
          <w:rFonts w:ascii="Times New Roman" w:hAnsi="Times New Roman" w:cs="Times New Roman"/>
          <w:color w:val="auto"/>
          <w:sz w:val="24"/>
          <w:szCs w:val="24"/>
        </w:rPr>
        <w:t>s</w:t>
      </w:r>
      <w:bookmarkEnd w:id="131"/>
    </w:p>
    <w:p w14:paraId="76547E8F" w14:textId="77777777" w:rsidR="0020029A" w:rsidRPr="0020029A" w:rsidRDefault="0020029A" w:rsidP="0020029A">
      <w:pPr>
        <w:rPr>
          <w:lang w:val="en-GB"/>
        </w:rPr>
      </w:pPr>
    </w:p>
    <w:p w14:paraId="22882A0A"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Dear assessor,</w:t>
      </w:r>
    </w:p>
    <w:p w14:paraId="5CC17F4C"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There is a scarcity of evidence in the literature regarding the experience of using workplace-based assessments in histopathology. The histopathology environment is quite different from many of the surgical specialties so it is important to determine if the current workplace-based assessments are appropriate.</w:t>
      </w:r>
    </w:p>
    <w:p w14:paraId="063D7342"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 xml:space="preserve">The link below will take you to a short online questionnaire that consists of ten questions. It should take only a few minutes to complete. The questionnaire will not collect any of your personal information and is completely voluntary. </w:t>
      </w:r>
    </w:p>
    <w:p w14:paraId="7E7B6CFC" w14:textId="77777777" w:rsidR="00E904E8" w:rsidRPr="006F3B00" w:rsidRDefault="00E904E8" w:rsidP="00E904E8">
      <w:pPr>
        <w:rPr>
          <w:rFonts w:ascii="Times New Roman" w:hAnsi="Times New Roman" w:cs="Times New Roman"/>
          <w:b/>
          <w:sz w:val="24"/>
          <w:szCs w:val="24"/>
          <w:u w:val="single"/>
        </w:rPr>
      </w:pPr>
      <w:r w:rsidRPr="006F3B00">
        <w:rPr>
          <w:rFonts w:ascii="Times New Roman" w:hAnsi="Times New Roman" w:cs="Times New Roman"/>
          <w:b/>
          <w:sz w:val="24"/>
          <w:szCs w:val="24"/>
        </w:rPr>
        <w:t xml:space="preserve">Please complete the questionnaire </w:t>
      </w:r>
      <w:r w:rsidRPr="006F3B00">
        <w:rPr>
          <w:rFonts w:ascii="Times New Roman" w:hAnsi="Times New Roman" w:cs="Times New Roman"/>
          <w:b/>
          <w:sz w:val="24"/>
          <w:szCs w:val="24"/>
          <w:u w:val="single"/>
        </w:rPr>
        <w:t>only if you complete workplace-based assessments for trainees</w:t>
      </w:r>
    </w:p>
    <w:p w14:paraId="601100B9" w14:textId="77777777" w:rsidR="00E904E8" w:rsidRPr="006F3B00" w:rsidRDefault="00200483" w:rsidP="00E904E8">
      <w:pPr>
        <w:rPr>
          <w:rFonts w:ascii="Times New Roman" w:hAnsi="Times New Roman" w:cs="Times New Roman"/>
          <w:sz w:val="24"/>
          <w:szCs w:val="24"/>
        </w:rPr>
      </w:pPr>
      <w:hyperlink r:id="rId45" w:history="1">
        <w:r w:rsidR="00E904E8" w:rsidRPr="006F3B00">
          <w:rPr>
            <w:rStyle w:val="Hyperlink"/>
            <w:rFonts w:ascii="Times New Roman" w:hAnsi="Times New Roman" w:cs="Times New Roman"/>
            <w:sz w:val="24"/>
            <w:szCs w:val="24"/>
          </w:rPr>
          <w:t>https://www.surveymonkey.co.uk/r/257MXBY</w:t>
        </w:r>
      </w:hyperlink>
    </w:p>
    <w:p w14:paraId="075598BF"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Your views are very important and may help to shape future assessment tools in histopathology.</w:t>
      </w:r>
    </w:p>
    <w:p w14:paraId="79D17B33"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 xml:space="preserve">If you have any questions, please email these to </w:t>
      </w:r>
      <w:hyperlink r:id="rId46" w:history="1">
        <w:r w:rsidRPr="006F3B00">
          <w:rPr>
            <w:rStyle w:val="Hyperlink"/>
            <w:rFonts w:ascii="Times New Roman" w:hAnsi="Times New Roman" w:cs="Times New Roman"/>
            <w:sz w:val="24"/>
            <w:szCs w:val="24"/>
          </w:rPr>
          <w:t>d.j.brierley@sheffield.ac.uk</w:t>
        </w:r>
      </w:hyperlink>
    </w:p>
    <w:p w14:paraId="74704CFC"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Many thanks,</w:t>
      </w:r>
    </w:p>
    <w:p w14:paraId="13464A53" w14:textId="442840FB" w:rsidR="00E904E8"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Th</w:t>
      </w:r>
      <w:r w:rsidR="0020029A">
        <w:rPr>
          <w:rFonts w:ascii="Times New Roman" w:hAnsi="Times New Roman" w:cs="Times New Roman"/>
          <w:sz w:val="24"/>
          <w:szCs w:val="24"/>
        </w:rPr>
        <w:t>e Royal College of Pathologists</w:t>
      </w:r>
    </w:p>
    <w:p w14:paraId="5751C183" w14:textId="77777777" w:rsidR="00B34A00" w:rsidRPr="0020029A" w:rsidRDefault="00B34A00" w:rsidP="00E904E8">
      <w:pPr>
        <w:rPr>
          <w:rFonts w:ascii="Times New Roman" w:hAnsi="Times New Roman" w:cs="Times New Roman"/>
          <w:sz w:val="24"/>
          <w:szCs w:val="24"/>
        </w:rPr>
      </w:pPr>
    </w:p>
    <w:p w14:paraId="0A9DFF7D"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Dear trainee,</w:t>
      </w:r>
    </w:p>
    <w:p w14:paraId="6A5F0DC3"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There is a scarcity of evidence in the literature regarding the experience of using workplace-based assessments in histopathology. The histopathology environment is quite different from many of the surgical specialties so it is important to determine if the current workplace-based assessments are appropriate.</w:t>
      </w:r>
    </w:p>
    <w:p w14:paraId="5B9FEA40"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 xml:space="preserve">The link below will take you to a short online questionnaire that consists of ten questions. It should take only a few minutes to complete. The questionnaire will not collect any of your personal information and is completely voluntary. </w:t>
      </w:r>
    </w:p>
    <w:p w14:paraId="20EA6F1F" w14:textId="77777777" w:rsidR="00E904E8" w:rsidRPr="006F3B00" w:rsidRDefault="00200483" w:rsidP="00E904E8">
      <w:pPr>
        <w:rPr>
          <w:rFonts w:ascii="Times New Roman" w:hAnsi="Times New Roman" w:cs="Times New Roman"/>
          <w:sz w:val="24"/>
          <w:szCs w:val="24"/>
        </w:rPr>
      </w:pPr>
      <w:hyperlink r:id="rId47" w:history="1">
        <w:r w:rsidR="00E904E8" w:rsidRPr="006F3B00">
          <w:rPr>
            <w:rStyle w:val="Hyperlink"/>
            <w:rFonts w:ascii="Times New Roman" w:hAnsi="Times New Roman" w:cs="Times New Roman"/>
            <w:sz w:val="24"/>
            <w:szCs w:val="24"/>
          </w:rPr>
          <w:t>https://www.surveymonkey.co.uk/r/26RYXMC</w:t>
        </w:r>
      </w:hyperlink>
    </w:p>
    <w:p w14:paraId="5CB5B1E1"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Your views are very important and may help to shape future assessment tools in histopathology.</w:t>
      </w:r>
    </w:p>
    <w:p w14:paraId="4175F8BA"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 xml:space="preserve">If you have any questions, please email these to </w:t>
      </w:r>
      <w:hyperlink r:id="rId48" w:history="1">
        <w:r w:rsidRPr="006F3B00">
          <w:rPr>
            <w:rStyle w:val="Hyperlink"/>
            <w:rFonts w:ascii="Times New Roman" w:hAnsi="Times New Roman" w:cs="Times New Roman"/>
            <w:sz w:val="24"/>
            <w:szCs w:val="24"/>
          </w:rPr>
          <w:t>d.j.brierley@sheffield.ac.uk</w:t>
        </w:r>
      </w:hyperlink>
    </w:p>
    <w:p w14:paraId="65D3D84D" w14:textId="77777777" w:rsidR="00E904E8" w:rsidRPr="006F3B00" w:rsidRDefault="00E904E8" w:rsidP="00E904E8">
      <w:pPr>
        <w:rPr>
          <w:rFonts w:ascii="Times New Roman" w:hAnsi="Times New Roman" w:cs="Times New Roman"/>
          <w:sz w:val="24"/>
          <w:szCs w:val="24"/>
        </w:rPr>
      </w:pPr>
      <w:r w:rsidRPr="006F3B00">
        <w:rPr>
          <w:rFonts w:ascii="Times New Roman" w:hAnsi="Times New Roman" w:cs="Times New Roman"/>
          <w:sz w:val="24"/>
          <w:szCs w:val="24"/>
        </w:rPr>
        <w:t>Many thanks,</w:t>
      </w:r>
    </w:p>
    <w:p w14:paraId="61599FBF" w14:textId="60EF2609" w:rsidR="005B2A78" w:rsidRDefault="00E904E8" w:rsidP="005B2A78">
      <w:pPr>
        <w:rPr>
          <w:rFonts w:ascii="Times New Roman" w:hAnsi="Times New Roman" w:cs="Times New Roman"/>
          <w:sz w:val="24"/>
          <w:szCs w:val="24"/>
        </w:rPr>
      </w:pPr>
      <w:r w:rsidRPr="006F3B00">
        <w:rPr>
          <w:rFonts w:ascii="Times New Roman" w:hAnsi="Times New Roman" w:cs="Times New Roman"/>
          <w:sz w:val="24"/>
          <w:szCs w:val="24"/>
        </w:rPr>
        <w:t>The Royal College of Pathologists</w:t>
      </w:r>
    </w:p>
    <w:p w14:paraId="11933F98" w14:textId="1B1A3939" w:rsidR="00D408AA" w:rsidRDefault="00D408AA" w:rsidP="005B2A78">
      <w:pPr>
        <w:rPr>
          <w:rFonts w:ascii="Times New Roman" w:hAnsi="Times New Roman" w:cs="Times New Roman"/>
          <w:sz w:val="24"/>
          <w:szCs w:val="24"/>
        </w:rPr>
      </w:pPr>
    </w:p>
    <w:p w14:paraId="5811EDDD" w14:textId="77777777" w:rsidR="00ED6756" w:rsidRDefault="00ED6756" w:rsidP="005B2A78">
      <w:pPr>
        <w:rPr>
          <w:rFonts w:ascii="Times New Roman" w:hAnsi="Times New Roman" w:cs="Times New Roman"/>
          <w:sz w:val="24"/>
          <w:szCs w:val="24"/>
        </w:rPr>
      </w:pPr>
    </w:p>
    <w:p w14:paraId="19C45A53" w14:textId="0969C1B3" w:rsidR="00ED6756" w:rsidRDefault="00ED6756" w:rsidP="005B2A78">
      <w:pPr>
        <w:rPr>
          <w:rFonts w:ascii="Times New Roman" w:hAnsi="Times New Roman" w:cs="Times New Roman"/>
          <w:sz w:val="24"/>
          <w:szCs w:val="24"/>
        </w:rPr>
      </w:pPr>
    </w:p>
    <w:p w14:paraId="16638B42" w14:textId="197A8C09" w:rsidR="003E5C0E" w:rsidRPr="0020029A" w:rsidRDefault="0020029A" w:rsidP="0020029A">
      <w:pPr>
        <w:pStyle w:val="Heading2"/>
        <w:rPr>
          <w:rFonts w:ascii="Times New Roman" w:hAnsi="Times New Roman" w:cs="Times New Roman"/>
          <w:bCs w:val="0"/>
          <w:color w:val="auto"/>
        </w:rPr>
      </w:pPr>
      <w:bookmarkStart w:id="132" w:name="_Toc23243861"/>
      <w:r w:rsidRPr="0020029A">
        <w:rPr>
          <w:rFonts w:ascii="Times New Roman" w:hAnsi="Times New Roman" w:cs="Times New Roman"/>
          <w:color w:val="auto"/>
          <w:sz w:val="24"/>
          <w:szCs w:val="24"/>
        </w:rPr>
        <w:lastRenderedPageBreak/>
        <w:t>App</w:t>
      </w:r>
      <w:r w:rsidR="00DB4E45">
        <w:rPr>
          <w:rFonts w:ascii="Times New Roman" w:hAnsi="Times New Roman" w:cs="Times New Roman"/>
          <w:bCs w:val="0"/>
          <w:color w:val="auto"/>
        </w:rPr>
        <w:t>endix 2</w:t>
      </w:r>
      <w:r w:rsidR="003E5C0E" w:rsidRPr="0020029A">
        <w:rPr>
          <w:rFonts w:ascii="Times New Roman" w:hAnsi="Times New Roman" w:cs="Times New Roman"/>
          <w:bCs w:val="0"/>
          <w:color w:val="auto"/>
        </w:rPr>
        <w:t>: Participant Information Sheet</w:t>
      </w:r>
      <w:bookmarkEnd w:id="132"/>
    </w:p>
    <w:p w14:paraId="03E22D4F" w14:textId="77777777" w:rsidR="003E5C0E" w:rsidRPr="006F3B00" w:rsidRDefault="003E5C0E" w:rsidP="003E5C0E">
      <w:pPr>
        <w:pStyle w:val="Default"/>
        <w:rPr>
          <w:rFonts w:ascii="Times New Roman" w:hAnsi="Times New Roman" w:cs="Times New Roman"/>
          <w:b/>
          <w:bCs/>
          <w:color w:val="auto"/>
        </w:rPr>
      </w:pPr>
    </w:p>
    <w:p w14:paraId="16F0EA5F"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You have been given this information sheet as we would like you to participate a questionnaire.</w:t>
      </w:r>
    </w:p>
    <w:p w14:paraId="335BFA9B" w14:textId="77777777" w:rsidR="003E5C0E" w:rsidRPr="006F3B00" w:rsidRDefault="003E5C0E" w:rsidP="003E5C0E">
      <w:pPr>
        <w:pStyle w:val="Default"/>
        <w:rPr>
          <w:rFonts w:ascii="Times New Roman" w:hAnsi="Times New Roman" w:cs="Times New Roman"/>
          <w:color w:val="auto"/>
        </w:rPr>
      </w:pPr>
    </w:p>
    <w:p w14:paraId="6AA9D9B5" w14:textId="77777777" w:rsidR="003E5C0E" w:rsidRPr="006F3B00" w:rsidRDefault="003E5C0E" w:rsidP="003E5C0E">
      <w:pPr>
        <w:pStyle w:val="Default"/>
        <w:rPr>
          <w:rFonts w:ascii="Times New Roman" w:hAnsi="Times New Roman" w:cs="Times New Roman"/>
          <w:color w:val="auto"/>
        </w:rPr>
      </w:pPr>
    </w:p>
    <w:p w14:paraId="1111E6F3"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1. Research Project Title</w:t>
      </w:r>
    </w:p>
    <w:p w14:paraId="76D5A4DB" w14:textId="77777777" w:rsidR="003E5C0E" w:rsidRPr="006F3B00" w:rsidRDefault="003E5C0E" w:rsidP="003E5C0E">
      <w:pPr>
        <w:pStyle w:val="Default"/>
        <w:rPr>
          <w:rFonts w:ascii="Times New Roman" w:hAnsi="Times New Roman" w:cs="Times New Roman"/>
          <w:color w:val="auto"/>
        </w:rPr>
      </w:pPr>
    </w:p>
    <w:p w14:paraId="6915E199" w14:textId="58335435" w:rsidR="00D408AA" w:rsidRPr="00D408AA" w:rsidRDefault="00D408AA" w:rsidP="00D408AA">
      <w:pPr>
        <w:spacing w:line="240" w:lineRule="auto"/>
        <w:rPr>
          <w:rFonts w:ascii="Times New Roman" w:hAnsi="Times New Roman" w:cs="Times New Roman"/>
          <w:b/>
          <w:sz w:val="24"/>
          <w:szCs w:val="24"/>
        </w:rPr>
      </w:pPr>
      <w:r w:rsidRPr="00D408AA">
        <w:rPr>
          <w:rFonts w:ascii="Times New Roman" w:hAnsi="Times New Roman" w:cs="Times New Roman"/>
          <w:sz w:val="24"/>
          <w:szCs w:val="24"/>
        </w:rPr>
        <w:t>Determination of diagnostic competence in histopathology trainees</w:t>
      </w:r>
      <w:r>
        <w:rPr>
          <w:rFonts w:ascii="Times New Roman" w:hAnsi="Times New Roman" w:cs="Times New Roman"/>
          <w:sz w:val="24"/>
          <w:szCs w:val="24"/>
        </w:rPr>
        <w:t>.</w:t>
      </w:r>
    </w:p>
    <w:p w14:paraId="2C16D69F" w14:textId="77777777" w:rsidR="003E5C0E" w:rsidRPr="006F3B00" w:rsidRDefault="003E5C0E" w:rsidP="003E5C0E">
      <w:pPr>
        <w:pStyle w:val="Default"/>
        <w:rPr>
          <w:rFonts w:ascii="Times New Roman" w:hAnsi="Times New Roman" w:cs="Times New Roman"/>
          <w:color w:val="auto"/>
        </w:rPr>
      </w:pPr>
    </w:p>
    <w:p w14:paraId="03344B89"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2. Invitation paragraph </w:t>
      </w:r>
    </w:p>
    <w:p w14:paraId="08427BF9" w14:textId="77777777" w:rsidR="003E5C0E" w:rsidRPr="006F3B00" w:rsidRDefault="003E5C0E" w:rsidP="003E5C0E">
      <w:pPr>
        <w:pStyle w:val="Default"/>
        <w:rPr>
          <w:rFonts w:ascii="Times New Roman" w:hAnsi="Times New Roman" w:cs="Times New Roman"/>
          <w:color w:val="auto"/>
        </w:rPr>
      </w:pPr>
    </w:p>
    <w:p w14:paraId="799AB195" w14:textId="77777777" w:rsidR="003E5C0E" w:rsidRPr="006F3B00" w:rsidRDefault="003E5C0E" w:rsidP="003E5C0E">
      <w:pPr>
        <w:pStyle w:val="Default"/>
        <w:rPr>
          <w:rFonts w:ascii="Times New Roman" w:hAnsi="Times New Roman" w:cs="Times New Roman"/>
          <w:iCs/>
          <w:color w:val="auto"/>
        </w:rPr>
      </w:pPr>
      <w:r w:rsidRPr="006F3B00">
        <w:rPr>
          <w:rFonts w:ascii="Times New Roman" w:hAnsi="Times New Roman" w:cs="Times New Roman"/>
          <w:iCs/>
          <w:color w:val="auto"/>
        </w:rPr>
        <w:t>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3E9BA5D1" w14:textId="77777777" w:rsidR="003E5C0E" w:rsidRPr="006F3B00" w:rsidRDefault="003E5C0E" w:rsidP="003E5C0E">
      <w:pPr>
        <w:pStyle w:val="Default"/>
        <w:rPr>
          <w:rFonts w:ascii="Times New Roman" w:hAnsi="Times New Roman" w:cs="Times New Roman"/>
          <w:color w:val="auto"/>
        </w:rPr>
      </w:pPr>
    </w:p>
    <w:p w14:paraId="743527DA"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3. What is the project’s purpose? </w:t>
      </w:r>
    </w:p>
    <w:p w14:paraId="3646C9BC" w14:textId="77777777" w:rsidR="003E5C0E" w:rsidRPr="006F3B00" w:rsidRDefault="003E5C0E" w:rsidP="003E5C0E">
      <w:pPr>
        <w:pStyle w:val="Default"/>
        <w:rPr>
          <w:rFonts w:ascii="Times New Roman" w:hAnsi="Times New Roman" w:cs="Times New Roman"/>
          <w:color w:val="auto"/>
        </w:rPr>
      </w:pPr>
    </w:p>
    <w:p w14:paraId="54B60EBB" w14:textId="77777777" w:rsidR="003E5C0E" w:rsidRPr="006F3B00" w:rsidRDefault="003E5C0E" w:rsidP="003E5C0E">
      <w:pPr>
        <w:rPr>
          <w:rFonts w:ascii="Times New Roman" w:hAnsi="Times New Roman" w:cs="Times New Roman"/>
          <w:sz w:val="24"/>
          <w:szCs w:val="24"/>
        </w:rPr>
      </w:pPr>
      <w:r w:rsidRPr="006F3B00">
        <w:rPr>
          <w:rFonts w:ascii="Times New Roman" w:hAnsi="Times New Roman" w:cs="Times New Roman"/>
          <w:sz w:val="24"/>
          <w:szCs w:val="24"/>
        </w:rPr>
        <w:t xml:space="preserve">There is a scarcity of evidence in the literature detailing how consultants determine trainee diagnostic competency in histopathology. Workplace-based assessments are often used in part to document trainee diagnostic competency but the full judgement ecology is not completely understood. </w:t>
      </w:r>
    </w:p>
    <w:p w14:paraId="6760092D" w14:textId="77777777" w:rsidR="003E5C0E" w:rsidRPr="006F3B00" w:rsidRDefault="003E5C0E" w:rsidP="003E5C0E">
      <w:pPr>
        <w:rPr>
          <w:rFonts w:ascii="Times New Roman" w:hAnsi="Times New Roman" w:cs="Times New Roman"/>
          <w:sz w:val="24"/>
          <w:szCs w:val="24"/>
        </w:rPr>
      </w:pPr>
    </w:p>
    <w:p w14:paraId="6A4CFD1B" w14:textId="77777777" w:rsidR="003E5C0E" w:rsidRPr="006F3B00" w:rsidRDefault="003E5C0E" w:rsidP="003E5C0E">
      <w:pPr>
        <w:rPr>
          <w:rFonts w:ascii="Times New Roman" w:hAnsi="Times New Roman" w:cs="Times New Roman"/>
          <w:sz w:val="24"/>
          <w:szCs w:val="24"/>
        </w:rPr>
      </w:pPr>
      <w:r w:rsidRPr="006F3B00">
        <w:rPr>
          <w:rFonts w:ascii="Times New Roman" w:hAnsi="Times New Roman" w:cs="Times New Roman"/>
          <w:sz w:val="24"/>
          <w:szCs w:val="24"/>
        </w:rPr>
        <w:t>This questionnaire will gather data on the general experience of using workplace-based assessments in histopathology with assessors and trainees.</w:t>
      </w:r>
    </w:p>
    <w:p w14:paraId="2696D505" w14:textId="77777777" w:rsidR="003E5C0E" w:rsidRPr="006F3B00" w:rsidRDefault="003E5C0E" w:rsidP="003E5C0E">
      <w:pPr>
        <w:rPr>
          <w:rFonts w:ascii="Times New Roman" w:hAnsi="Times New Roman" w:cs="Times New Roman"/>
          <w:sz w:val="24"/>
          <w:szCs w:val="24"/>
        </w:rPr>
      </w:pPr>
    </w:p>
    <w:p w14:paraId="0376DCFD" w14:textId="77777777" w:rsidR="003E5C0E" w:rsidRPr="006F3B00" w:rsidRDefault="003E5C0E" w:rsidP="003E5C0E">
      <w:pPr>
        <w:rPr>
          <w:rFonts w:ascii="Times New Roman" w:hAnsi="Times New Roman" w:cs="Times New Roman"/>
          <w:sz w:val="24"/>
          <w:szCs w:val="24"/>
        </w:rPr>
      </w:pPr>
      <w:r w:rsidRPr="006F3B00">
        <w:rPr>
          <w:rFonts w:ascii="Times New Roman" w:hAnsi="Times New Roman" w:cs="Times New Roman"/>
          <w:sz w:val="24"/>
          <w:szCs w:val="24"/>
        </w:rPr>
        <w:t>This project is part of a PhD project by Daniel Brierley (</w:t>
      </w:r>
      <w:proofErr w:type="gramStart"/>
      <w:r w:rsidRPr="006F3B00">
        <w:rPr>
          <w:rFonts w:ascii="Times New Roman" w:hAnsi="Times New Roman" w:cs="Times New Roman"/>
          <w:sz w:val="24"/>
          <w:szCs w:val="24"/>
        </w:rPr>
        <w:t>StR</w:t>
      </w:r>
      <w:proofErr w:type="gramEnd"/>
      <w:r w:rsidRPr="006F3B00">
        <w:rPr>
          <w:rFonts w:ascii="Times New Roman" w:hAnsi="Times New Roman" w:cs="Times New Roman"/>
          <w:sz w:val="24"/>
          <w:szCs w:val="24"/>
        </w:rPr>
        <w:t xml:space="preserve"> in Oral and Maxillofacial Pathology).</w:t>
      </w:r>
    </w:p>
    <w:p w14:paraId="020883EC" w14:textId="77777777" w:rsidR="003E5C0E" w:rsidRPr="006F3B00" w:rsidRDefault="003E5C0E" w:rsidP="003E5C0E">
      <w:pPr>
        <w:pStyle w:val="Default"/>
        <w:rPr>
          <w:rFonts w:ascii="Times New Roman" w:hAnsi="Times New Roman" w:cs="Times New Roman"/>
          <w:color w:val="auto"/>
        </w:rPr>
      </w:pPr>
    </w:p>
    <w:p w14:paraId="1BB99614"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4. Why have I been chosen? </w:t>
      </w:r>
    </w:p>
    <w:p w14:paraId="39BF5097" w14:textId="77777777" w:rsidR="003E5C0E" w:rsidRPr="006F3B00" w:rsidRDefault="003E5C0E" w:rsidP="003E5C0E">
      <w:pPr>
        <w:pStyle w:val="Default"/>
        <w:rPr>
          <w:rFonts w:ascii="Times New Roman" w:hAnsi="Times New Roman" w:cs="Times New Roman"/>
          <w:b/>
          <w:bCs/>
          <w:color w:val="auto"/>
        </w:rPr>
      </w:pPr>
    </w:p>
    <w:p w14:paraId="7B837ABB"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 xml:space="preserve">You have been chosen because you are a histopathology assessor or trainee and have experience of using workplace based assessments. </w:t>
      </w:r>
    </w:p>
    <w:p w14:paraId="7E085BE1" w14:textId="77777777" w:rsidR="003E5C0E" w:rsidRPr="006F3B00" w:rsidRDefault="003E5C0E" w:rsidP="003E5C0E">
      <w:pPr>
        <w:pStyle w:val="Default"/>
        <w:rPr>
          <w:rFonts w:ascii="Times New Roman" w:hAnsi="Times New Roman" w:cs="Times New Roman"/>
          <w:bCs/>
          <w:color w:val="auto"/>
        </w:rPr>
      </w:pPr>
    </w:p>
    <w:p w14:paraId="21B9C1FF" w14:textId="77777777" w:rsidR="003E5C0E" w:rsidRPr="006F3B00" w:rsidRDefault="003E5C0E" w:rsidP="003E5C0E">
      <w:pPr>
        <w:pStyle w:val="Default"/>
        <w:rPr>
          <w:rFonts w:ascii="Times New Roman" w:hAnsi="Times New Roman" w:cs="Times New Roman"/>
          <w:color w:val="auto"/>
        </w:rPr>
      </w:pPr>
    </w:p>
    <w:p w14:paraId="6E5425D5"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5. Do I have to take part? </w:t>
      </w:r>
    </w:p>
    <w:p w14:paraId="2D3C402F" w14:textId="77777777" w:rsidR="003E5C0E" w:rsidRPr="006F3B00" w:rsidRDefault="003E5C0E" w:rsidP="003E5C0E">
      <w:pPr>
        <w:pStyle w:val="Default"/>
        <w:rPr>
          <w:rFonts w:ascii="Times New Roman" w:hAnsi="Times New Roman" w:cs="Times New Roman"/>
          <w:color w:val="auto"/>
        </w:rPr>
      </w:pPr>
    </w:p>
    <w:p w14:paraId="7B7722D0" w14:textId="77777777" w:rsidR="003E5C0E" w:rsidRPr="006F3B00" w:rsidRDefault="003E5C0E" w:rsidP="003E5C0E">
      <w:pPr>
        <w:pStyle w:val="Default"/>
        <w:rPr>
          <w:rFonts w:ascii="Times New Roman" w:hAnsi="Times New Roman" w:cs="Times New Roman"/>
          <w:iCs/>
          <w:color w:val="auto"/>
        </w:rPr>
      </w:pPr>
      <w:r w:rsidRPr="006F3B00">
        <w:rPr>
          <w:rFonts w:ascii="Times New Roman" w:hAnsi="Times New Roman" w:cs="Times New Roman"/>
          <w:iCs/>
          <w:color w:val="auto"/>
        </w:rPr>
        <w:t xml:space="preserve">It is up to you to decide whether or not you would like to take part or not. If you do decide to take part you can still withdraw at any time without it affecting any benefits that you are entitled to in any way. You do not have to give a reason. </w:t>
      </w:r>
    </w:p>
    <w:p w14:paraId="247F7A4E" w14:textId="77777777" w:rsidR="003E5C0E" w:rsidRPr="006F3B00" w:rsidRDefault="003E5C0E" w:rsidP="003E5C0E">
      <w:pPr>
        <w:pStyle w:val="Default"/>
        <w:rPr>
          <w:rFonts w:ascii="Times New Roman" w:hAnsi="Times New Roman" w:cs="Times New Roman"/>
          <w:color w:val="auto"/>
        </w:rPr>
      </w:pPr>
    </w:p>
    <w:p w14:paraId="4983B5D0"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6. What will happen to me if I take part? </w:t>
      </w:r>
    </w:p>
    <w:p w14:paraId="5CE2BE3C" w14:textId="77777777" w:rsidR="003E5C0E" w:rsidRPr="006F3B00" w:rsidRDefault="003E5C0E" w:rsidP="003E5C0E">
      <w:pPr>
        <w:pStyle w:val="Default"/>
        <w:rPr>
          <w:rFonts w:ascii="Times New Roman" w:hAnsi="Times New Roman" w:cs="Times New Roman"/>
          <w:bCs/>
          <w:color w:val="auto"/>
        </w:rPr>
      </w:pPr>
    </w:p>
    <w:p w14:paraId="01A8DD31"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 xml:space="preserve">The information from the questionnaires will be anonymous and stored/used for 10 years. The questionnaire will be conducted via an online link and may be completed by the participants in their own time. </w:t>
      </w:r>
    </w:p>
    <w:p w14:paraId="463A48AA" w14:textId="77777777" w:rsidR="003E5C0E" w:rsidRPr="006F3B00" w:rsidRDefault="003E5C0E" w:rsidP="003E5C0E">
      <w:pPr>
        <w:pStyle w:val="Default"/>
        <w:rPr>
          <w:rFonts w:ascii="Times New Roman" w:hAnsi="Times New Roman" w:cs="Times New Roman"/>
          <w:bCs/>
          <w:color w:val="auto"/>
        </w:rPr>
      </w:pPr>
    </w:p>
    <w:p w14:paraId="45026D83" w14:textId="77777777" w:rsidR="003E5C0E" w:rsidRPr="006F3B00" w:rsidRDefault="003E5C0E" w:rsidP="003E5C0E">
      <w:pPr>
        <w:pStyle w:val="Default"/>
        <w:rPr>
          <w:rFonts w:ascii="Times New Roman" w:hAnsi="Times New Roman" w:cs="Times New Roman"/>
          <w:color w:val="auto"/>
        </w:rPr>
      </w:pPr>
    </w:p>
    <w:p w14:paraId="09301209"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bCs/>
          <w:color w:val="auto"/>
        </w:rPr>
        <w:t xml:space="preserve">The </w:t>
      </w:r>
      <w:r w:rsidRPr="006F3B00">
        <w:rPr>
          <w:rFonts w:ascii="Times New Roman" w:hAnsi="Times New Roman" w:cs="Times New Roman"/>
          <w:color w:val="auto"/>
        </w:rPr>
        <w:t>questionnaire results will be analysed to explore the opinions, experiences and attitudes of the participants.</w:t>
      </w:r>
    </w:p>
    <w:p w14:paraId="143095C6" w14:textId="77777777" w:rsidR="003E5C0E" w:rsidRPr="006F3B00" w:rsidRDefault="003E5C0E" w:rsidP="003E5C0E">
      <w:pPr>
        <w:pStyle w:val="Default"/>
        <w:rPr>
          <w:rFonts w:ascii="Times New Roman" w:hAnsi="Times New Roman" w:cs="Times New Roman"/>
          <w:color w:val="auto"/>
        </w:rPr>
      </w:pPr>
    </w:p>
    <w:p w14:paraId="26EE90BE" w14:textId="77777777" w:rsidR="003E5C0E" w:rsidRPr="006F3B00" w:rsidRDefault="003E5C0E" w:rsidP="003E5C0E">
      <w:pPr>
        <w:pStyle w:val="Default"/>
        <w:rPr>
          <w:rFonts w:ascii="Times New Roman" w:hAnsi="Times New Roman" w:cs="Times New Roman"/>
          <w:b/>
          <w:bCs/>
          <w:color w:val="auto"/>
        </w:rPr>
      </w:pPr>
    </w:p>
    <w:p w14:paraId="29338B43"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b/>
          <w:bCs/>
          <w:color w:val="auto"/>
        </w:rPr>
        <w:t xml:space="preserve">7. What do I have to do? </w:t>
      </w:r>
    </w:p>
    <w:p w14:paraId="397252B2" w14:textId="77777777" w:rsidR="003E5C0E" w:rsidRPr="006F3B00" w:rsidRDefault="003E5C0E" w:rsidP="003E5C0E">
      <w:pPr>
        <w:pStyle w:val="Default"/>
        <w:rPr>
          <w:rFonts w:ascii="Times New Roman" w:hAnsi="Times New Roman" w:cs="Times New Roman"/>
          <w:color w:val="auto"/>
        </w:rPr>
      </w:pPr>
    </w:p>
    <w:p w14:paraId="71DB49D5"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questionnaire can be completed online and submitted when the participant has answered each question. There is no time limit.</w:t>
      </w:r>
    </w:p>
    <w:p w14:paraId="04AC620D" w14:textId="77777777" w:rsidR="003E5C0E" w:rsidRPr="006F3B00" w:rsidRDefault="003E5C0E" w:rsidP="003E5C0E">
      <w:pPr>
        <w:pStyle w:val="Default"/>
        <w:rPr>
          <w:rFonts w:ascii="Times New Roman" w:hAnsi="Times New Roman" w:cs="Times New Roman"/>
          <w:color w:val="auto"/>
        </w:rPr>
      </w:pPr>
    </w:p>
    <w:p w14:paraId="643A2EF7" w14:textId="77777777" w:rsidR="003E5C0E" w:rsidRPr="006F3B00" w:rsidRDefault="003E5C0E" w:rsidP="003E5C0E">
      <w:pPr>
        <w:pStyle w:val="Default"/>
        <w:rPr>
          <w:rFonts w:ascii="Times New Roman" w:hAnsi="Times New Roman" w:cs="Times New Roman"/>
          <w:color w:val="auto"/>
        </w:rPr>
      </w:pPr>
    </w:p>
    <w:p w14:paraId="272893F2"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8. What are the possible disadvantages and risks of taking part? </w:t>
      </w:r>
    </w:p>
    <w:p w14:paraId="5AC07910" w14:textId="77777777" w:rsidR="003E5C0E" w:rsidRPr="006F3B00" w:rsidRDefault="003E5C0E" w:rsidP="003E5C0E">
      <w:pPr>
        <w:pStyle w:val="Default"/>
        <w:rPr>
          <w:rFonts w:ascii="Times New Roman" w:hAnsi="Times New Roman" w:cs="Times New Roman"/>
          <w:color w:val="auto"/>
        </w:rPr>
      </w:pPr>
    </w:p>
    <w:p w14:paraId="24F145F6"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There are no foreseen disadvantages or risks of taking part in this study. Participants will, however, have to dedicate roughly 20 minutes of their time to complete the questionnaire.</w:t>
      </w:r>
    </w:p>
    <w:p w14:paraId="5715BE77" w14:textId="77777777" w:rsidR="003E5C0E" w:rsidRPr="006F3B00" w:rsidRDefault="003E5C0E" w:rsidP="003E5C0E">
      <w:pPr>
        <w:pStyle w:val="Default"/>
        <w:rPr>
          <w:rFonts w:ascii="Times New Roman" w:hAnsi="Times New Roman" w:cs="Times New Roman"/>
          <w:color w:val="auto"/>
        </w:rPr>
      </w:pPr>
    </w:p>
    <w:p w14:paraId="7838BBBC"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b/>
          <w:bCs/>
          <w:color w:val="auto"/>
        </w:rPr>
        <w:t xml:space="preserve">9. What are the possible benefits of taking part? </w:t>
      </w:r>
    </w:p>
    <w:p w14:paraId="338719B4" w14:textId="77777777" w:rsidR="003E5C0E" w:rsidRPr="006F3B00" w:rsidRDefault="003E5C0E" w:rsidP="003E5C0E">
      <w:pPr>
        <w:pStyle w:val="Default"/>
        <w:rPr>
          <w:rFonts w:ascii="Times New Roman" w:hAnsi="Times New Roman" w:cs="Times New Roman"/>
          <w:i/>
          <w:iCs/>
          <w:color w:val="auto"/>
        </w:rPr>
      </w:pPr>
    </w:p>
    <w:p w14:paraId="60F1D259" w14:textId="77777777" w:rsidR="003E5C0E" w:rsidRPr="006F3B00" w:rsidRDefault="003E5C0E" w:rsidP="003E5C0E">
      <w:pPr>
        <w:pStyle w:val="Default"/>
        <w:rPr>
          <w:rFonts w:ascii="Times New Roman" w:hAnsi="Times New Roman" w:cs="Times New Roman"/>
          <w:iCs/>
          <w:color w:val="auto"/>
        </w:rPr>
      </w:pPr>
      <w:r w:rsidRPr="006F3B00">
        <w:rPr>
          <w:rFonts w:ascii="Times New Roman" w:hAnsi="Times New Roman" w:cs="Times New Roman"/>
          <w:iCs/>
          <w:color w:val="auto"/>
        </w:rPr>
        <w:t>Whilst there are no immediate benefits for those people participating in the project, it is hoped that this work will help to understand how consultants determine trainee diagnostic competency. This may help with the training of future trainees and determine if current training programmes adequately assess diagnostic competence.</w:t>
      </w:r>
    </w:p>
    <w:p w14:paraId="381F96DF" w14:textId="77777777" w:rsidR="003E5C0E" w:rsidRPr="006F3B00" w:rsidRDefault="003E5C0E" w:rsidP="003E5C0E">
      <w:pPr>
        <w:pStyle w:val="Default"/>
        <w:rPr>
          <w:rFonts w:ascii="Times New Roman" w:hAnsi="Times New Roman" w:cs="Times New Roman"/>
          <w:color w:val="auto"/>
        </w:rPr>
      </w:pPr>
    </w:p>
    <w:p w14:paraId="2EEBAA20"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10. What happens if the research study stops earlier than expected? </w:t>
      </w:r>
    </w:p>
    <w:p w14:paraId="21EA618C" w14:textId="77777777" w:rsidR="003E5C0E" w:rsidRPr="006F3B00" w:rsidRDefault="003E5C0E" w:rsidP="003E5C0E">
      <w:pPr>
        <w:pStyle w:val="Default"/>
        <w:rPr>
          <w:rFonts w:ascii="Times New Roman" w:hAnsi="Times New Roman" w:cs="Times New Roman"/>
          <w:b/>
          <w:bCs/>
          <w:color w:val="auto"/>
        </w:rPr>
      </w:pPr>
    </w:p>
    <w:p w14:paraId="37ACFC1F"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It is not anticipated that the research study will be stopped earlier than expected, but if it is, participants will be informed of the reason for this. Any data collected to this point will be destroyed.</w:t>
      </w:r>
    </w:p>
    <w:p w14:paraId="0250F6F3" w14:textId="77777777" w:rsidR="003E5C0E" w:rsidRPr="006F3B00" w:rsidRDefault="003E5C0E" w:rsidP="003E5C0E">
      <w:pPr>
        <w:pStyle w:val="Default"/>
        <w:rPr>
          <w:rFonts w:ascii="Times New Roman" w:hAnsi="Times New Roman" w:cs="Times New Roman"/>
          <w:color w:val="auto"/>
        </w:rPr>
      </w:pPr>
    </w:p>
    <w:p w14:paraId="771E78E7"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11. What if something goes wrong? </w:t>
      </w:r>
    </w:p>
    <w:p w14:paraId="671131B3" w14:textId="77777777" w:rsidR="003E5C0E" w:rsidRPr="006F3B00" w:rsidRDefault="003E5C0E" w:rsidP="003E5C0E">
      <w:pPr>
        <w:pStyle w:val="Default"/>
        <w:rPr>
          <w:rFonts w:ascii="Times New Roman" w:hAnsi="Times New Roman" w:cs="Times New Roman"/>
          <w:bCs/>
          <w:color w:val="auto"/>
        </w:rPr>
      </w:pPr>
    </w:p>
    <w:p w14:paraId="19AC93A5"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If any participant would like to make a complaint about the study, participants should contact the researcher (Daniel Brierley) or the lead supervisor (Professor Paula Farthing). If you feel like your complaint has not been handled to your satisfaction, you may contact the Head of the</w:t>
      </w:r>
      <w:r w:rsidRPr="006F3B00">
        <w:rPr>
          <w:rFonts w:ascii="Times New Roman" w:hAnsi="Times New Roman" w:cs="Times New Roman"/>
          <w:bCs/>
          <w:color w:val="auto"/>
          <w:u w:val="single"/>
        </w:rPr>
        <w:t xml:space="preserve"> </w:t>
      </w:r>
      <w:r w:rsidRPr="006F3B00">
        <w:rPr>
          <w:rFonts w:ascii="Times New Roman" w:hAnsi="Times New Roman" w:cs="Times New Roman"/>
        </w:rPr>
        <w:t>Academic Unit of Oral and Maxillofacial Medicine, Pathology and Surgery,</w:t>
      </w:r>
      <w:r w:rsidRPr="006F3B00">
        <w:rPr>
          <w:rFonts w:ascii="Times New Roman" w:hAnsi="Times New Roman" w:cs="Times New Roman"/>
          <w:bCs/>
          <w:color w:val="auto"/>
        </w:rPr>
        <w:t xml:space="preserve"> Professor Keith Hunter, who will escalate the complaint through the appropriate channels. Contact numbers are given on item 17 (see below).</w:t>
      </w:r>
    </w:p>
    <w:p w14:paraId="0CA8DED6" w14:textId="77777777" w:rsidR="003E5C0E" w:rsidRPr="006F3B00" w:rsidRDefault="003E5C0E" w:rsidP="003E5C0E">
      <w:pPr>
        <w:pStyle w:val="Default"/>
        <w:rPr>
          <w:rFonts w:ascii="Times New Roman" w:hAnsi="Times New Roman" w:cs="Times New Roman"/>
          <w:bCs/>
          <w:color w:val="auto"/>
        </w:rPr>
      </w:pPr>
    </w:p>
    <w:p w14:paraId="45796C91" w14:textId="77777777" w:rsidR="003E5C0E" w:rsidRPr="006F3B00" w:rsidRDefault="003E5C0E" w:rsidP="003E5C0E">
      <w:pPr>
        <w:pStyle w:val="Default"/>
        <w:rPr>
          <w:rFonts w:ascii="Times New Roman" w:hAnsi="Times New Roman" w:cs="Times New Roman"/>
          <w:color w:val="auto"/>
        </w:rPr>
      </w:pPr>
    </w:p>
    <w:p w14:paraId="5E46D2B0"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12. Will my taking part in this project be kept confidential? </w:t>
      </w:r>
    </w:p>
    <w:p w14:paraId="5E0D85DF" w14:textId="77777777" w:rsidR="003E5C0E" w:rsidRPr="006F3B00" w:rsidRDefault="003E5C0E" w:rsidP="003E5C0E">
      <w:pPr>
        <w:pStyle w:val="Default"/>
        <w:rPr>
          <w:rFonts w:ascii="Times New Roman" w:hAnsi="Times New Roman" w:cs="Times New Roman"/>
          <w:b/>
          <w:bCs/>
          <w:color w:val="auto"/>
        </w:rPr>
      </w:pPr>
    </w:p>
    <w:p w14:paraId="47D5B758"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iCs/>
          <w:color w:val="auto"/>
        </w:rPr>
        <w:t xml:space="preserve">You are not required to provide any personal information before completing the questionnaire. You will not be able to be identified in any reports or publications. </w:t>
      </w:r>
    </w:p>
    <w:p w14:paraId="6CE7840E"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Data will be stored on a password protected computer or USB device.</w:t>
      </w:r>
    </w:p>
    <w:p w14:paraId="08C20C2B" w14:textId="77777777" w:rsidR="003E5C0E" w:rsidRPr="006F3B00" w:rsidRDefault="003E5C0E" w:rsidP="003E5C0E">
      <w:pPr>
        <w:pStyle w:val="Default"/>
        <w:rPr>
          <w:rFonts w:ascii="Times New Roman" w:hAnsi="Times New Roman" w:cs="Times New Roman"/>
          <w:color w:val="auto"/>
        </w:rPr>
      </w:pPr>
    </w:p>
    <w:p w14:paraId="1759837F"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b/>
          <w:bCs/>
          <w:color w:val="auto"/>
        </w:rPr>
        <w:t xml:space="preserve">13. What type of information will be sought from me and why is the collection of this information relevant for achieving the research project’s objectives? </w:t>
      </w:r>
    </w:p>
    <w:p w14:paraId="6016699D" w14:textId="77777777" w:rsidR="003E5C0E" w:rsidRPr="006F3B00" w:rsidRDefault="003E5C0E" w:rsidP="003E5C0E">
      <w:pPr>
        <w:pStyle w:val="Default"/>
        <w:rPr>
          <w:rFonts w:ascii="Times New Roman" w:hAnsi="Times New Roman" w:cs="Times New Roman"/>
          <w:color w:val="auto"/>
        </w:rPr>
      </w:pPr>
    </w:p>
    <w:p w14:paraId="56DE9B01"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 xml:space="preserve">The type of information which is sought from you is regarding your opinions relating to your experience of workplace-based assessments in histopathology. This information is relevant so we can determine the impact of workplace-based assessments and if they are </w:t>
      </w:r>
      <w:r w:rsidRPr="006F3B00">
        <w:rPr>
          <w:rFonts w:ascii="Times New Roman" w:hAnsi="Times New Roman" w:cs="Times New Roman"/>
          <w:color w:val="auto"/>
        </w:rPr>
        <w:lastRenderedPageBreak/>
        <w:t>a good measure of competence. This may lead to changes to trainee assessment in the future.</w:t>
      </w:r>
    </w:p>
    <w:p w14:paraId="34ED4F94" w14:textId="77777777" w:rsidR="003E5C0E" w:rsidRPr="006F3B00" w:rsidRDefault="003E5C0E" w:rsidP="003E5C0E">
      <w:pPr>
        <w:pStyle w:val="Default"/>
        <w:rPr>
          <w:rFonts w:ascii="Times New Roman" w:hAnsi="Times New Roman" w:cs="Times New Roman"/>
          <w:color w:val="auto"/>
        </w:rPr>
      </w:pPr>
    </w:p>
    <w:p w14:paraId="0F12AEEB"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14. What will happen to the results of the research project? </w:t>
      </w:r>
    </w:p>
    <w:p w14:paraId="5ACD3227" w14:textId="77777777" w:rsidR="003E5C0E" w:rsidRPr="006F3B00" w:rsidRDefault="003E5C0E" w:rsidP="003E5C0E">
      <w:pPr>
        <w:pStyle w:val="Default"/>
        <w:rPr>
          <w:rFonts w:ascii="Times New Roman" w:hAnsi="Times New Roman" w:cs="Times New Roman"/>
          <w:color w:val="auto"/>
        </w:rPr>
      </w:pPr>
    </w:p>
    <w:p w14:paraId="0D09F8A2"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results of this research may be published in histopathology or medical education journals. However, participants will not be identified in the report or publication. If results are published, participants will be informed and told where they may access the published material. The results may also be presented at conferences and due to the nature of this research it is very likely that other researchers may find the data collected useful in answering future research questions. We will ask for your explicit consent for your data to be shared in this way and if you agree, we will ensure that the data collected about you is untraceable back to you before allowing others to use it.</w:t>
      </w:r>
    </w:p>
    <w:p w14:paraId="529418FF" w14:textId="77777777" w:rsidR="003E5C0E" w:rsidRPr="006F3B00" w:rsidRDefault="003E5C0E" w:rsidP="003E5C0E">
      <w:pPr>
        <w:pStyle w:val="Default"/>
        <w:rPr>
          <w:rFonts w:ascii="Times New Roman" w:hAnsi="Times New Roman" w:cs="Times New Roman"/>
          <w:color w:val="auto"/>
        </w:rPr>
      </w:pPr>
    </w:p>
    <w:p w14:paraId="168FC6AE"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15. Who is organising and funding the research? </w:t>
      </w:r>
    </w:p>
    <w:p w14:paraId="24C5C519" w14:textId="77777777" w:rsidR="003E5C0E" w:rsidRPr="006F3B00" w:rsidRDefault="003E5C0E" w:rsidP="003E5C0E">
      <w:pPr>
        <w:pStyle w:val="Default"/>
        <w:rPr>
          <w:rFonts w:ascii="Times New Roman" w:hAnsi="Times New Roman" w:cs="Times New Roman"/>
          <w:color w:val="auto"/>
        </w:rPr>
      </w:pPr>
    </w:p>
    <w:p w14:paraId="52271949"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research is funded through Daniel Brierley’s training as part of his 8 year programme as a specialist trainee in oral and maxillofacial pathology. Additional funding may be requested from other societies or institutions.</w:t>
      </w:r>
    </w:p>
    <w:p w14:paraId="4101F11E" w14:textId="77777777" w:rsidR="003E5C0E" w:rsidRPr="006F3B00" w:rsidRDefault="003E5C0E" w:rsidP="003E5C0E">
      <w:pPr>
        <w:pStyle w:val="Default"/>
        <w:rPr>
          <w:rFonts w:ascii="Times New Roman" w:hAnsi="Times New Roman" w:cs="Times New Roman"/>
          <w:color w:val="auto"/>
        </w:rPr>
      </w:pPr>
    </w:p>
    <w:p w14:paraId="028BDF73"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16. Who has ethically reviewed the project? </w:t>
      </w:r>
    </w:p>
    <w:p w14:paraId="4B07E032" w14:textId="77777777" w:rsidR="003E5C0E" w:rsidRPr="006F3B00" w:rsidRDefault="003E5C0E" w:rsidP="003E5C0E">
      <w:pPr>
        <w:pStyle w:val="Default"/>
        <w:rPr>
          <w:rFonts w:ascii="Times New Roman" w:hAnsi="Times New Roman" w:cs="Times New Roman"/>
          <w:b/>
          <w:bCs/>
          <w:color w:val="auto"/>
        </w:rPr>
      </w:pPr>
    </w:p>
    <w:p w14:paraId="0830B875"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This project has been ethically approved via the Clinical Dentistry ethics review procedure, University of Sheffield</w:t>
      </w:r>
    </w:p>
    <w:p w14:paraId="50212643" w14:textId="77777777" w:rsidR="003E5C0E" w:rsidRPr="006F3B00" w:rsidRDefault="003E5C0E" w:rsidP="003E5C0E">
      <w:pPr>
        <w:pStyle w:val="Default"/>
        <w:rPr>
          <w:rFonts w:ascii="Times New Roman" w:hAnsi="Times New Roman" w:cs="Times New Roman"/>
          <w:color w:val="auto"/>
        </w:rPr>
      </w:pPr>
    </w:p>
    <w:p w14:paraId="22C5B64D" w14:textId="77777777" w:rsidR="003E5C0E" w:rsidRPr="006F3B00" w:rsidRDefault="003E5C0E" w:rsidP="003E5C0E">
      <w:pPr>
        <w:pStyle w:val="Default"/>
        <w:rPr>
          <w:rFonts w:ascii="Times New Roman" w:hAnsi="Times New Roman" w:cs="Times New Roman"/>
          <w:color w:val="auto"/>
        </w:rPr>
      </w:pPr>
    </w:p>
    <w:p w14:paraId="15EF7946" w14:textId="77777777" w:rsidR="003E5C0E" w:rsidRPr="006F3B00" w:rsidRDefault="003E5C0E" w:rsidP="003E5C0E">
      <w:pPr>
        <w:pStyle w:val="Default"/>
        <w:rPr>
          <w:rFonts w:ascii="Times New Roman" w:hAnsi="Times New Roman" w:cs="Times New Roman"/>
          <w:color w:val="auto"/>
        </w:rPr>
      </w:pPr>
    </w:p>
    <w:p w14:paraId="1F0C28FB"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17. Contacts for further information </w:t>
      </w:r>
    </w:p>
    <w:p w14:paraId="308CE1A7" w14:textId="77777777" w:rsidR="003E5C0E" w:rsidRPr="006F3B00" w:rsidRDefault="003E5C0E" w:rsidP="003E5C0E">
      <w:pPr>
        <w:pStyle w:val="Default"/>
        <w:rPr>
          <w:rFonts w:ascii="Times New Roman" w:hAnsi="Times New Roman" w:cs="Times New Roman"/>
          <w:b/>
          <w:bCs/>
          <w:color w:val="auto"/>
        </w:rPr>
      </w:pPr>
    </w:p>
    <w:p w14:paraId="27B98D8D"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Researcher</w:t>
      </w:r>
    </w:p>
    <w:p w14:paraId="14781173"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Daniel Brierley</w:t>
      </w:r>
    </w:p>
    <w:p w14:paraId="5D42173B"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Room E36</w:t>
      </w:r>
    </w:p>
    <w:p w14:paraId="4B8223F3"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5AAA023C"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47249349"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6133290A"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Sheffield</w:t>
      </w:r>
    </w:p>
    <w:p w14:paraId="02BA5674"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S10 2TA</w:t>
      </w:r>
    </w:p>
    <w:p w14:paraId="4193503F"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Tel: 01142265477</w:t>
      </w:r>
    </w:p>
    <w:p w14:paraId="4B7A4BE4"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Email: d.j.brierley@sheffield.ac.uk</w:t>
      </w:r>
    </w:p>
    <w:p w14:paraId="2DBE53DA" w14:textId="77777777" w:rsidR="003E5C0E" w:rsidRPr="006F3B00" w:rsidRDefault="003E5C0E" w:rsidP="003E5C0E">
      <w:pPr>
        <w:pStyle w:val="Default"/>
        <w:rPr>
          <w:rFonts w:ascii="Times New Roman" w:hAnsi="Times New Roman" w:cs="Times New Roman"/>
          <w:color w:val="auto"/>
          <w:u w:val="single"/>
        </w:rPr>
      </w:pPr>
    </w:p>
    <w:p w14:paraId="79A3ACDB"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Lead supervisor</w:t>
      </w:r>
    </w:p>
    <w:p w14:paraId="172B4586"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Emeritus Professor Paula Farthing</w:t>
      </w:r>
    </w:p>
    <w:p w14:paraId="7216D1CF"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707BF1E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5DFB0BFE"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03080597"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Sheffield</w:t>
      </w:r>
    </w:p>
    <w:p w14:paraId="65CB1E1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S10 2TA</w:t>
      </w:r>
    </w:p>
    <w:p w14:paraId="3C4D2C19"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Tel: 0114 2717969</w:t>
      </w:r>
    </w:p>
    <w:p w14:paraId="77A19538"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 xml:space="preserve">Email: p.farthing@sheffield.ac.uk </w:t>
      </w:r>
    </w:p>
    <w:p w14:paraId="0CE672E4" w14:textId="77777777" w:rsidR="003E5C0E" w:rsidRPr="006F3B00" w:rsidRDefault="003E5C0E" w:rsidP="003E5C0E">
      <w:pPr>
        <w:pStyle w:val="Default"/>
        <w:rPr>
          <w:rFonts w:ascii="Times New Roman" w:hAnsi="Times New Roman" w:cs="Times New Roman"/>
          <w:color w:val="auto"/>
        </w:rPr>
      </w:pPr>
    </w:p>
    <w:p w14:paraId="7FD25DE1" w14:textId="77777777" w:rsidR="003E5C0E" w:rsidRPr="006F3B00" w:rsidRDefault="003E5C0E" w:rsidP="003E5C0E">
      <w:pPr>
        <w:pStyle w:val="Default"/>
        <w:rPr>
          <w:rFonts w:ascii="Times New Roman" w:hAnsi="Times New Roman" w:cs="Times New Roman"/>
          <w:color w:val="auto"/>
        </w:rPr>
      </w:pPr>
    </w:p>
    <w:p w14:paraId="446884C3"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Head of Department</w:t>
      </w:r>
    </w:p>
    <w:p w14:paraId="78BA08C6"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Professor Keith Hunter</w:t>
      </w:r>
    </w:p>
    <w:p w14:paraId="13EF8F44"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lastRenderedPageBreak/>
        <w:t>Room E32</w:t>
      </w:r>
    </w:p>
    <w:p w14:paraId="6857D694"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0CCFD26C"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1BC826DE"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6887DDE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Sheffield</w:t>
      </w:r>
    </w:p>
    <w:p w14:paraId="3F57C24D"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S10 2TA</w:t>
      </w:r>
    </w:p>
    <w:p w14:paraId="24C5DB57"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Tel: 0114 2717960</w:t>
      </w:r>
    </w:p>
    <w:p w14:paraId="557C6A8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 xml:space="preserve">Email: k.hunter@sheffield.ac.uk </w:t>
      </w:r>
    </w:p>
    <w:p w14:paraId="210E9ECC" w14:textId="77777777" w:rsidR="003E5C0E" w:rsidRPr="006F3B00" w:rsidRDefault="003E5C0E" w:rsidP="003E5C0E">
      <w:pPr>
        <w:pStyle w:val="Default"/>
        <w:rPr>
          <w:rFonts w:ascii="Times New Roman" w:hAnsi="Times New Roman" w:cs="Times New Roman"/>
          <w:b/>
          <w:color w:val="auto"/>
        </w:rPr>
      </w:pPr>
    </w:p>
    <w:p w14:paraId="48EEB9F9" w14:textId="77777777" w:rsidR="003E5C0E" w:rsidRPr="006F3B00" w:rsidRDefault="003E5C0E" w:rsidP="003E5C0E">
      <w:pPr>
        <w:pStyle w:val="Default"/>
        <w:rPr>
          <w:rFonts w:ascii="Times New Roman" w:hAnsi="Times New Roman" w:cs="Times New Roman"/>
          <w:b/>
          <w:color w:val="auto"/>
        </w:rPr>
      </w:pPr>
    </w:p>
    <w:p w14:paraId="09615256"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Each participant will be given a copy of this information sheet and consent form to keep.</w:t>
      </w:r>
    </w:p>
    <w:p w14:paraId="75A06EA7" w14:textId="77777777" w:rsidR="003E5C0E" w:rsidRPr="006F3B00" w:rsidRDefault="003E5C0E" w:rsidP="003E5C0E">
      <w:pPr>
        <w:pStyle w:val="Default"/>
        <w:rPr>
          <w:rFonts w:ascii="Times New Roman" w:hAnsi="Times New Roman" w:cs="Times New Roman"/>
          <w:color w:val="auto"/>
        </w:rPr>
      </w:pPr>
    </w:p>
    <w:p w14:paraId="26C1EC76"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We would like to thank all participants for taking part in this study</w:t>
      </w:r>
    </w:p>
    <w:p w14:paraId="78994501" w14:textId="77777777" w:rsidR="00A6095B" w:rsidRPr="006F3B00" w:rsidRDefault="00A6095B" w:rsidP="003E5C0E">
      <w:pPr>
        <w:pStyle w:val="Default"/>
        <w:rPr>
          <w:rFonts w:ascii="Times New Roman" w:hAnsi="Times New Roman" w:cs="Times New Roman"/>
          <w:color w:val="auto"/>
        </w:rPr>
      </w:pPr>
    </w:p>
    <w:p w14:paraId="2AF924E9" w14:textId="77777777" w:rsidR="00A6095B" w:rsidRPr="006F3B00" w:rsidRDefault="00A6095B" w:rsidP="003E5C0E">
      <w:pPr>
        <w:pStyle w:val="Default"/>
        <w:rPr>
          <w:rFonts w:ascii="Times New Roman" w:hAnsi="Times New Roman" w:cs="Times New Roman"/>
          <w:color w:val="auto"/>
        </w:rPr>
      </w:pPr>
    </w:p>
    <w:p w14:paraId="3309C7B3" w14:textId="77777777" w:rsidR="00A6095B" w:rsidRPr="006F3B00" w:rsidRDefault="00A6095B" w:rsidP="003E5C0E">
      <w:pPr>
        <w:pStyle w:val="Default"/>
        <w:rPr>
          <w:rFonts w:ascii="Times New Roman" w:hAnsi="Times New Roman" w:cs="Times New Roman"/>
          <w:color w:val="auto"/>
        </w:rPr>
      </w:pPr>
    </w:p>
    <w:p w14:paraId="193EFBB1" w14:textId="77777777" w:rsidR="00A6095B" w:rsidRPr="006F3B00" w:rsidRDefault="00A6095B" w:rsidP="003E5C0E">
      <w:pPr>
        <w:pStyle w:val="Default"/>
        <w:rPr>
          <w:rFonts w:ascii="Times New Roman" w:hAnsi="Times New Roman" w:cs="Times New Roman"/>
          <w:color w:val="auto"/>
        </w:rPr>
      </w:pPr>
    </w:p>
    <w:p w14:paraId="204A6ABA" w14:textId="77777777" w:rsidR="00A6095B" w:rsidRPr="006F3B00" w:rsidRDefault="00A6095B" w:rsidP="003E5C0E">
      <w:pPr>
        <w:pStyle w:val="Default"/>
        <w:rPr>
          <w:rFonts w:ascii="Times New Roman" w:hAnsi="Times New Roman" w:cs="Times New Roman"/>
          <w:color w:val="auto"/>
        </w:rPr>
      </w:pPr>
    </w:p>
    <w:p w14:paraId="61ED289A" w14:textId="77777777" w:rsidR="00A6095B" w:rsidRPr="006F3B00" w:rsidRDefault="00A6095B" w:rsidP="003E5C0E">
      <w:pPr>
        <w:pStyle w:val="Default"/>
        <w:rPr>
          <w:rFonts w:ascii="Times New Roman" w:hAnsi="Times New Roman" w:cs="Times New Roman"/>
          <w:color w:val="auto"/>
        </w:rPr>
      </w:pPr>
    </w:p>
    <w:p w14:paraId="623B7D47" w14:textId="77777777" w:rsidR="00A6095B" w:rsidRPr="006F3B00" w:rsidRDefault="00A6095B" w:rsidP="003E5C0E">
      <w:pPr>
        <w:pStyle w:val="Default"/>
        <w:rPr>
          <w:rFonts w:ascii="Times New Roman" w:hAnsi="Times New Roman" w:cs="Times New Roman"/>
          <w:color w:val="auto"/>
        </w:rPr>
      </w:pPr>
    </w:p>
    <w:p w14:paraId="1F41E4C3" w14:textId="77777777" w:rsidR="00A6095B" w:rsidRPr="006F3B00" w:rsidRDefault="00A6095B" w:rsidP="003E5C0E">
      <w:pPr>
        <w:pStyle w:val="Default"/>
        <w:rPr>
          <w:rFonts w:ascii="Times New Roman" w:hAnsi="Times New Roman" w:cs="Times New Roman"/>
          <w:color w:val="auto"/>
        </w:rPr>
      </w:pPr>
    </w:p>
    <w:p w14:paraId="3DF1C9C2" w14:textId="77777777" w:rsidR="00A6095B" w:rsidRPr="006F3B00" w:rsidRDefault="00A6095B" w:rsidP="003E5C0E">
      <w:pPr>
        <w:pStyle w:val="Default"/>
        <w:rPr>
          <w:rFonts w:ascii="Times New Roman" w:hAnsi="Times New Roman" w:cs="Times New Roman"/>
          <w:color w:val="auto"/>
        </w:rPr>
      </w:pPr>
    </w:p>
    <w:p w14:paraId="7FD5E4CD" w14:textId="77777777" w:rsidR="00A6095B" w:rsidRPr="006F3B00" w:rsidRDefault="00A6095B" w:rsidP="003E5C0E">
      <w:pPr>
        <w:pStyle w:val="Default"/>
        <w:rPr>
          <w:rFonts w:ascii="Times New Roman" w:hAnsi="Times New Roman" w:cs="Times New Roman"/>
          <w:color w:val="auto"/>
        </w:rPr>
      </w:pPr>
    </w:p>
    <w:p w14:paraId="4BB777B2" w14:textId="77777777" w:rsidR="00A6095B" w:rsidRPr="006F3B00" w:rsidRDefault="00A6095B" w:rsidP="003E5C0E">
      <w:pPr>
        <w:pStyle w:val="Default"/>
        <w:rPr>
          <w:rFonts w:ascii="Times New Roman" w:hAnsi="Times New Roman" w:cs="Times New Roman"/>
          <w:color w:val="auto"/>
        </w:rPr>
      </w:pPr>
    </w:p>
    <w:p w14:paraId="5877BECE" w14:textId="77777777" w:rsidR="00A6095B" w:rsidRPr="006F3B00" w:rsidRDefault="00A6095B" w:rsidP="003E5C0E">
      <w:pPr>
        <w:pStyle w:val="Default"/>
        <w:rPr>
          <w:rFonts w:ascii="Times New Roman" w:hAnsi="Times New Roman" w:cs="Times New Roman"/>
          <w:color w:val="auto"/>
        </w:rPr>
      </w:pPr>
    </w:p>
    <w:p w14:paraId="04DFC832" w14:textId="77777777" w:rsidR="00A6095B" w:rsidRPr="006F3B00" w:rsidRDefault="00A6095B" w:rsidP="003E5C0E">
      <w:pPr>
        <w:pStyle w:val="Default"/>
        <w:rPr>
          <w:rFonts w:ascii="Times New Roman" w:hAnsi="Times New Roman" w:cs="Times New Roman"/>
          <w:color w:val="auto"/>
        </w:rPr>
      </w:pPr>
    </w:p>
    <w:p w14:paraId="180FD419" w14:textId="735690A5" w:rsidR="00A6095B" w:rsidRDefault="00A6095B" w:rsidP="003E5C0E">
      <w:pPr>
        <w:pStyle w:val="Default"/>
        <w:rPr>
          <w:rFonts w:ascii="Times New Roman" w:hAnsi="Times New Roman" w:cs="Times New Roman"/>
          <w:color w:val="auto"/>
        </w:rPr>
      </w:pPr>
    </w:p>
    <w:p w14:paraId="5AF80785" w14:textId="65926B10" w:rsidR="00C9729E" w:rsidRDefault="00C9729E" w:rsidP="003E5C0E">
      <w:pPr>
        <w:pStyle w:val="Default"/>
        <w:rPr>
          <w:rFonts w:ascii="Times New Roman" w:hAnsi="Times New Roman" w:cs="Times New Roman"/>
          <w:color w:val="auto"/>
        </w:rPr>
      </w:pPr>
    </w:p>
    <w:p w14:paraId="3D222D0A" w14:textId="2C40CF80" w:rsidR="00C9729E" w:rsidRDefault="00C9729E" w:rsidP="003E5C0E">
      <w:pPr>
        <w:pStyle w:val="Default"/>
        <w:rPr>
          <w:rFonts w:ascii="Times New Roman" w:hAnsi="Times New Roman" w:cs="Times New Roman"/>
          <w:color w:val="auto"/>
        </w:rPr>
      </w:pPr>
    </w:p>
    <w:p w14:paraId="4D652383" w14:textId="2F62D877" w:rsidR="00C9729E" w:rsidRDefault="00C9729E" w:rsidP="003E5C0E">
      <w:pPr>
        <w:pStyle w:val="Default"/>
        <w:rPr>
          <w:rFonts w:ascii="Times New Roman" w:hAnsi="Times New Roman" w:cs="Times New Roman"/>
          <w:color w:val="auto"/>
        </w:rPr>
      </w:pPr>
    </w:p>
    <w:p w14:paraId="7E171874" w14:textId="172571EF" w:rsidR="00C9729E" w:rsidRDefault="00C9729E" w:rsidP="003E5C0E">
      <w:pPr>
        <w:pStyle w:val="Default"/>
        <w:rPr>
          <w:rFonts w:ascii="Times New Roman" w:hAnsi="Times New Roman" w:cs="Times New Roman"/>
          <w:color w:val="auto"/>
        </w:rPr>
      </w:pPr>
    </w:p>
    <w:p w14:paraId="1290A5E9" w14:textId="7726BD03" w:rsidR="00C9729E" w:rsidRDefault="00C9729E" w:rsidP="003E5C0E">
      <w:pPr>
        <w:pStyle w:val="Default"/>
        <w:rPr>
          <w:rFonts w:ascii="Times New Roman" w:hAnsi="Times New Roman" w:cs="Times New Roman"/>
          <w:color w:val="auto"/>
        </w:rPr>
      </w:pPr>
    </w:p>
    <w:p w14:paraId="242E0F68" w14:textId="6B20B393" w:rsidR="00C9729E" w:rsidRDefault="00C9729E" w:rsidP="003E5C0E">
      <w:pPr>
        <w:pStyle w:val="Default"/>
        <w:rPr>
          <w:rFonts w:ascii="Times New Roman" w:hAnsi="Times New Roman" w:cs="Times New Roman"/>
          <w:color w:val="auto"/>
        </w:rPr>
      </w:pPr>
    </w:p>
    <w:p w14:paraId="60960A08" w14:textId="150ECB5C" w:rsidR="00C9729E" w:rsidRDefault="00C9729E" w:rsidP="003E5C0E">
      <w:pPr>
        <w:pStyle w:val="Default"/>
        <w:rPr>
          <w:rFonts w:ascii="Times New Roman" w:hAnsi="Times New Roman" w:cs="Times New Roman"/>
          <w:color w:val="auto"/>
        </w:rPr>
      </w:pPr>
    </w:p>
    <w:p w14:paraId="739C4E67" w14:textId="39A27940" w:rsidR="00C9729E" w:rsidRDefault="00C9729E" w:rsidP="003E5C0E">
      <w:pPr>
        <w:pStyle w:val="Default"/>
        <w:rPr>
          <w:rFonts w:ascii="Times New Roman" w:hAnsi="Times New Roman" w:cs="Times New Roman"/>
          <w:color w:val="auto"/>
        </w:rPr>
      </w:pPr>
    </w:p>
    <w:p w14:paraId="29126711" w14:textId="4E30C215" w:rsidR="00C9729E" w:rsidRDefault="00C9729E" w:rsidP="003E5C0E">
      <w:pPr>
        <w:pStyle w:val="Default"/>
        <w:rPr>
          <w:rFonts w:ascii="Times New Roman" w:hAnsi="Times New Roman" w:cs="Times New Roman"/>
          <w:color w:val="auto"/>
        </w:rPr>
      </w:pPr>
    </w:p>
    <w:p w14:paraId="3F927280" w14:textId="31055719" w:rsidR="00C9729E" w:rsidRDefault="00C9729E" w:rsidP="003E5C0E">
      <w:pPr>
        <w:pStyle w:val="Default"/>
        <w:rPr>
          <w:rFonts w:ascii="Times New Roman" w:hAnsi="Times New Roman" w:cs="Times New Roman"/>
          <w:color w:val="auto"/>
        </w:rPr>
      </w:pPr>
    </w:p>
    <w:p w14:paraId="34EB3186" w14:textId="3EDBF97C" w:rsidR="00C9729E" w:rsidRDefault="00C9729E" w:rsidP="003E5C0E">
      <w:pPr>
        <w:pStyle w:val="Default"/>
        <w:rPr>
          <w:rFonts w:ascii="Times New Roman" w:hAnsi="Times New Roman" w:cs="Times New Roman"/>
          <w:color w:val="auto"/>
        </w:rPr>
      </w:pPr>
    </w:p>
    <w:p w14:paraId="17FED55A" w14:textId="3E98D82D" w:rsidR="00C9729E" w:rsidRDefault="00C9729E" w:rsidP="003E5C0E">
      <w:pPr>
        <w:pStyle w:val="Default"/>
        <w:rPr>
          <w:rFonts w:ascii="Times New Roman" w:hAnsi="Times New Roman" w:cs="Times New Roman"/>
          <w:color w:val="auto"/>
        </w:rPr>
      </w:pPr>
    </w:p>
    <w:p w14:paraId="08AA18F5" w14:textId="264BC220" w:rsidR="00C9729E" w:rsidRDefault="00C9729E" w:rsidP="003E5C0E">
      <w:pPr>
        <w:pStyle w:val="Default"/>
        <w:rPr>
          <w:rFonts w:ascii="Times New Roman" w:hAnsi="Times New Roman" w:cs="Times New Roman"/>
          <w:color w:val="auto"/>
        </w:rPr>
      </w:pPr>
    </w:p>
    <w:p w14:paraId="436313A0" w14:textId="2AB89C2D" w:rsidR="00C9729E" w:rsidRDefault="00C9729E" w:rsidP="003E5C0E">
      <w:pPr>
        <w:pStyle w:val="Default"/>
        <w:rPr>
          <w:rFonts w:ascii="Times New Roman" w:hAnsi="Times New Roman" w:cs="Times New Roman"/>
          <w:color w:val="auto"/>
        </w:rPr>
      </w:pPr>
    </w:p>
    <w:p w14:paraId="074C2BD7" w14:textId="50721EFF" w:rsidR="00C9729E" w:rsidRDefault="00C9729E" w:rsidP="003E5C0E">
      <w:pPr>
        <w:pStyle w:val="Default"/>
        <w:rPr>
          <w:rFonts w:ascii="Times New Roman" w:hAnsi="Times New Roman" w:cs="Times New Roman"/>
          <w:color w:val="auto"/>
        </w:rPr>
      </w:pPr>
    </w:p>
    <w:p w14:paraId="451C02D7" w14:textId="58B011FB" w:rsidR="00C9729E" w:rsidRDefault="00C9729E" w:rsidP="003E5C0E">
      <w:pPr>
        <w:pStyle w:val="Default"/>
        <w:rPr>
          <w:rFonts w:ascii="Times New Roman" w:hAnsi="Times New Roman" w:cs="Times New Roman"/>
          <w:color w:val="auto"/>
        </w:rPr>
      </w:pPr>
    </w:p>
    <w:p w14:paraId="75AEA4EB" w14:textId="77777777" w:rsidR="00C9729E" w:rsidRPr="006F3B00" w:rsidRDefault="00C9729E" w:rsidP="003E5C0E">
      <w:pPr>
        <w:pStyle w:val="Default"/>
        <w:rPr>
          <w:rFonts w:ascii="Times New Roman" w:hAnsi="Times New Roman" w:cs="Times New Roman"/>
          <w:color w:val="auto"/>
        </w:rPr>
      </w:pPr>
    </w:p>
    <w:p w14:paraId="324883D2" w14:textId="3EF78BCF" w:rsidR="00A6095B" w:rsidRDefault="00A6095B" w:rsidP="003E5C0E">
      <w:pPr>
        <w:pStyle w:val="Default"/>
        <w:rPr>
          <w:rFonts w:ascii="Times New Roman" w:hAnsi="Times New Roman" w:cs="Times New Roman"/>
          <w:color w:val="auto"/>
        </w:rPr>
      </w:pPr>
    </w:p>
    <w:p w14:paraId="39BB5ABE" w14:textId="6C19DC60" w:rsidR="00DB4E45" w:rsidRDefault="00DB4E45" w:rsidP="003E5C0E">
      <w:pPr>
        <w:pStyle w:val="Default"/>
        <w:rPr>
          <w:rFonts w:ascii="Times New Roman" w:hAnsi="Times New Roman" w:cs="Times New Roman"/>
          <w:color w:val="auto"/>
        </w:rPr>
      </w:pPr>
    </w:p>
    <w:p w14:paraId="3728506D" w14:textId="1B75B5C2" w:rsidR="00DB4E45" w:rsidRDefault="00DB4E45" w:rsidP="003E5C0E">
      <w:pPr>
        <w:pStyle w:val="Default"/>
        <w:rPr>
          <w:rFonts w:ascii="Times New Roman" w:hAnsi="Times New Roman" w:cs="Times New Roman"/>
          <w:color w:val="auto"/>
        </w:rPr>
      </w:pPr>
    </w:p>
    <w:p w14:paraId="0DCA9B7C" w14:textId="04043FA6" w:rsidR="00DB4E45" w:rsidRDefault="00DB4E45" w:rsidP="003E5C0E">
      <w:pPr>
        <w:pStyle w:val="Default"/>
        <w:rPr>
          <w:rFonts w:ascii="Times New Roman" w:hAnsi="Times New Roman" w:cs="Times New Roman"/>
          <w:color w:val="auto"/>
        </w:rPr>
      </w:pPr>
    </w:p>
    <w:p w14:paraId="320A6519" w14:textId="7DB89422" w:rsidR="00DB4E45" w:rsidRDefault="00DB4E45" w:rsidP="003E5C0E">
      <w:pPr>
        <w:pStyle w:val="Default"/>
        <w:rPr>
          <w:rFonts w:ascii="Times New Roman" w:hAnsi="Times New Roman" w:cs="Times New Roman"/>
          <w:color w:val="auto"/>
        </w:rPr>
      </w:pPr>
    </w:p>
    <w:p w14:paraId="2D17CD6B" w14:textId="7EDF78BB" w:rsidR="00DB4E45" w:rsidRDefault="00DB4E45" w:rsidP="003E5C0E">
      <w:pPr>
        <w:pStyle w:val="Default"/>
        <w:rPr>
          <w:rFonts w:ascii="Times New Roman" w:hAnsi="Times New Roman" w:cs="Times New Roman"/>
          <w:color w:val="auto"/>
        </w:rPr>
      </w:pPr>
    </w:p>
    <w:p w14:paraId="5E2795E4" w14:textId="1FC92396" w:rsidR="00DB4E45" w:rsidRDefault="00DB4E45" w:rsidP="003E5C0E">
      <w:pPr>
        <w:pStyle w:val="Default"/>
        <w:rPr>
          <w:rFonts w:ascii="Times New Roman" w:hAnsi="Times New Roman" w:cs="Times New Roman"/>
          <w:color w:val="auto"/>
        </w:rPr>
      </w:pPr>
    </w:p>
    <w:p w14:paraId="026702DE" w14:textId="386D82F4" w:rsidR="00DB4E45" w:rsidRDefault="00DB4E45" w:rsidP="003E5C0E">
      <w:pPr>
        <w:pStyle w:val="Default"/>
        <w:rPr>
          <w:rFonts w:ascii="Times New Roman" w:hAnsi="Times New Roman" w:cs="Times New Roman"/>
          <w:color w:val="auto"/>
        </w:rPr>
      </w:pPr>
    </w:p>
    <w:p w14:paraId="5C459545" w14:textId="45225F80" w:rsidR="00DB4E45" w:rsidRDefault="00DB4E45" w:rsidP="003E5C0E">
      <w:pPr>
        <w:pStyle w:val="Default"/>
        <w:rPr>
          <w:rFonts w:ascii="Times New Roman" w:hAnsi="Times New Roman" w:cs="Times New Roman"/>
          <w:color w:val="auto"/>
        </w:rPr>
      </w:pPr>
    </w:p>
    <w:p w14:paraId="4EA16CCC" w14:textId="6B46DCE9" w:rsidR="00A6095B" w:rsidRPr="006F3B00" w:rsidRDefault="00DB4E45" w:rsidP="00B37BB4">
      <w:pPr>
        <w:pStyle w:val="Default"/>
        <w:outlineLvl w:val="1"/>
        <w:rPr>
          <w:rFonts w:ascii="Times New Roman" w:hAnsi="Times New Roman" w:cs="Times New Roman"/>
          <w:b/>
          <w:color w:val="auto"/>
        </w:rPr>
      </w:pPr>
      <w:bookmarkStart w:id="133" w:name="_Toc23243862"/>
      <w:r>
        <w:rPr>
          <w:rFonts w:ascii="Times New Roman" w:hAnsi="Times New Roman" w:cs="Times New Roman"/>
          <w:b/>
          <w:color w:val="auto"/>
        </w:rPr>
        <w:lastRenderedPageBreak/>
        <w:t>Appendix 3</w:t>
      </w:r>
      <w:r w:rsidR="00B37BB4" w:rsidRPr="006F3B00">
        <w:rPr>
          <w:rFonts w:ascii="Times New Roman" w:hAnsi="Times New Roman" w:cs="Times New Roman"/>
          <w:b/>
          <w:color w:val="auto"/>
        </w:rPr>
        <w:t>: I</w:t>
      </w:r>
      <w:r w:rsidR="00CB026B" w:rsidRPr="006F3B00">
        <w:rPr>
          <w:rFonts w:ascii="Times New Roman" w:hAnsi="Times New Roman" w:cs="Times New Roman"/>
          <w:b/>
          <w:color w:val="auto"/>
        </w:rPr>
        <w:t>nterview</w:t>
      </w:r>
      <w:r w:rsidR="00B37BB4" w:rsidRPr="006F3B00">
        <w:rPr>
          <w:rFonts w:ascii="Times New Roman" w:hAnsi="Times New Roman" w:cs="Times New Roman"/>
          <w:b/>
          <w:color w:val="auto"/>
        </w:rPr>
        <w:t xml:space="preserve"> invitation email</w:t>
      </w:r>
      <w:bookmarkEnd w:id="133"/>
    </w:p>
    <w:p w14:paraId="21D7B849" w14:textId="77777777" w:rsidR="009B7251" w:rsidRPr="006F3B00" w:rsidRDefault="009B7251" w:rsidP="003E5C0E">
      <w:pPr>
        <w:pStyle w:val="Default"/>
        <w:rPr>
          <w:rFonts w:ascii="Times New Roman" w:hAnsi="Times New Roman" w:cs="Times New Roman"/>
          <w:color w:val="auto"/>
        </w:rPr>
      </w:pPr>
    </w:p>
    <w:p w14:paraId="6BC58AC1" w14:textId="77777777" w:rsidR="00B37BB4" w:rsidRPr="006F3B00" w:rsidRDefault="00B37BB4" w:rsidP="00B37BB4">
      <w:pPr>
        <w:spacing w:before="100" w:beforeAutospacing="1" w:after="240"/>
        <w:rPr>
          <w:rFonts w:ascii="Times New Roman" w:hAnsi="Times New Roman" w:cs="Times New Roman"/>
          <w:sz w:val="24"/>
          <w:szCs w:val="24"/>
        </w:rPr>
      </w:pPr>
      <w:r w:rsidRPr="006F3B00">
        <w:rPr>
          <w:rFonts w:ascii="Times New Roman" w:hAnsi="Times New Roman" w:cs="Times New Roman"/>
          <w:sz w:val="24"/>
          <w:szCs w:val="24"/>
        </w:rPr>
        <w:t>Dear colleagues,</w:t>
      </w:r>
    </w:p>
    <w:p w14:paraId="1468FDD6"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I am currently undertaking a PhD as part of my histopathology training. I completed my year in general pathology two years ago, so I have met a number of you already.</w:t>
      </w:r>
    </w:p>
    <w:p w14:paraId="1ADEA7A0"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I am interested in:</w:t>
      </w:r>
    </w:p>
    <w:p w14:paraId="6AD17765"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-How consultants define diagnostic competence</w:t>
      </w:r>
    </w:p>
    <w:p w14:paraId="00DE4878"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 xml:space="preserve">-Whether you think workplace-based assessments help with determining trainee diagnostic competence </w:t>
      </w:r>
    </w:p>
    <w:p w14:paraId="6A8ED0EC"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-And what cues you use when determining if a trainee is diagnostically competent or not.</w:t>
      </w:r>
    </w:p>
    <w:p w14:paraId="03F1E9D2"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 xml:space="preserve">I would like to explore these ideas by interviewing consultants in histopathology. </w:t>
      </w:r>
    </w:p>
    <w:p w14:paraId="72A3D46F" w14:textId="77777777" w:rsidR="00B37BB4" w:rsidRPr="006F3B00" w:rsidRDefault="00B37BB4" w:rsidP="00B37BB4">
      <w:pPr>
        <w:spacing w:before="100" w:beforeAutospacing="1" w:after="240"/>
        <w:rPr>
          <w:rFonts w:ascii="Times New Roman" w:hAnsi="Times New Roman" w:cs="Times New Roman"/>
          <w:sz w:val="24"/>
          <w:szCs w:val="24"/>
        </w:rPr>
      </w:pPr>
      <w:r w:rsidRPr="006F3B00">
        <w:rPr>
          <w:rFonts w:ascii="Times New Roman" w:hAnsi="Times New Roman" w:cs="Times New Roman"/>
          <w:sz w:val="24"/>
          <w:szCs w:val="24"/>
        </w:rPr>
        <w:t>The interviews are likely to last about an hour, depending on the amount of discussion generated. Ethical approval from the University of Sheffield has been granted and all data collected will be strictly confidential and only accessible to members of the research team.</w:t>
      </w:r>
    </w:p>
    <w:p w14:paraId="12199A8B"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I have attached a participant information sheet to this email, which gives further information about the study.</w:t>
      </w:r>
    </w:p>
    <w:p w14:paraId="7B4A6F7B"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 xml:space="preserve">If you would be happy to be interviewed, please could you let me know by email: </w:t>
      </w:r>
      <w:hyperlink r:id="rId49" w:tgtFrame="_blank" w:history="1">
        <w:r w:rsidRPr="006F3B00">
          <w:rPr>
            <w:rStyle w:val="Hyperlink"/>
            <w:rFonts w:ascii="Times New Roman" w:hAnsi="Times New Roman" w:cs="Times New Roman"/>
            <w:sz w:val="24"/>
            <w:szCs w:val="24"/>
          </w:rPr>
          <w:t>Daniel.brierley@sth.nhs.uk</w:t>
        </w:r>
      </w:hyperlink>
      <w:r w:rsidRPr="006F3B00">
        <w:rPr>
          <w:rFonts w:ascii="Times New Roman" w:hAnsi="Times New Roman" w:cs="Times New Roman"/>
          <w:sz w:val="24"/>
          <w:szCs w:val="24"/>
        </w:rPr>
        <w:t xml:space="preserve"> </w:t>
      </w:r>
    </w:p>
    <w:p w14:paraId="71A3A93B" w14:textId="77777777" w:rsidR="00B37BB4" w:rsidRPr="006F3B00" w:rsidRDefault="00B37BB4" w:rsidP="00B37BB4">
      <w:pPr>
        <w:spacing w:before="100" w:beforeAutospacing="1" w:after="100" w:afterAutospacing="1"/>
        <w:rPr>
          <w:rFonts w:ascii="Times New Roman" w:hAnsi="Times New Roman" w:cs="Times New Roman"/>
          <w:sz w:val="24"/>
          <w:szCs w:val="24"/>
        </w:rPr>
      </w:pPr>
      <w:r w:rsidRPr="006F3B00">
        <w:rPr>
          <w:rFonts w:ascii="Times New Roman" w:hAnsi="Times New Roman" w:cs="Times New Roman"/>
          <w:sz w:val="24"/>
          <w:szCs w:val="24"/>
        </w:rPr>
        <w:t>If you would like to know further information about the study, or you have any questions, please don’t hesitate to contact me on the above email address.</w:t>
      </w:r>
    </w:p>
    <w:p w14:paraId="2EA03DD6" w14:textId="77777777" w:rsidR="00B37BB4" w:rsidRPr="006F3B00" w:rsidRDefault="00B37BB4" w:rsidP="00B37BB4">
      <w:pPr>
        <w:spacing w:before="100" w:beforeAutospacing="1" w:after="240"/>
        <w:rPr>
          <w:rFonts w:ascii="Times New Roman" w:hAnsi="Times New Roman" w:cs="Times New Roman"/>
          <w:sz w:val="24"/>
          <w:szCs w:val="24"/>
        </w:rPr>
      </w:pPr>
      <w:r w:rsidRPr="006F3B00">
        <w:rPr>
          <w:rFonts w:ascii="Times New Roman" w:hAnsi="Times New Roman" w:cs="Times New Roman"/>
          <w:sz w:val="24"/>
          <w:szCs w:val="24"/>
        </w:rPr>
        <w:t>Best wishes</w:t>
      </w:r>
    </w:p>
    <w:p w14:paraId="547108E4" w14:textId="77777777" w:rsidR="00B37BB4" w:rsidRPr="006F3B00" w:rsidRDefault="00B37BB4" w:rsidP="00B37BB4">
      <w:pPr>
        <w:spacing w:before="100" w:beforeAutospacing="1" w:after="240"/>
        <w:rPr>
          <w:rFonts w:ascii="Times New Roman" w:hAnsi="Times New Roman" w:cs="Times New Roman"/>
          <w:sz w:val="24"/>
          <w:szCs w:val="24"/>
        </w:rPr>
      </w:pPr>
      <w:r w:rsidRPr="006F3B00">
        <w:rPr>
          <w:rFonts w:ascii="Times New Roman" w:hAnsi="Times New Roman" w:cs="Times New Roman"/>
          <w:sz w:val="24"/>
          <w:szCs w:val="24"/>
        </w:rPr>
        <w:t>Daniel Brierley</w:t>
      </w:r>
    </w:p>
    <w:p w14:paraId="0F6EFDFB" w14:textId="77777777" w:rsidR="008B3E6C" w:rsidRPr="006F3B00" w:rsidRDefault="008B3E6C" w:rsidP="008B3E6C">
      <w:pPr>
        <w:rPr>
          <w:rFonts w:ascii="Times New Roman" w:hAnsi="Times New Roman" w:cs="Times New Roman"/>
          <w:sz w:val="24"/>
          <w:szCs w:val="24"/>
          <w:lang w:val="en-GB"/>
        </w:rPr>
      </w:pPr>
    </w:p>
    <w:p w14:paraId="30122FEC" w14:textId="77777777" w:rsidR="008B3E6C" w:rsidRPr="006F3B00" w:rsidRDefault="008B3E6C" w:rsidP="008B3E6C">
      <w:pPr>
        <w:rPr>
          <w:rFonts w:ascii="Times New Roman" w:hAnsi="Times New Roman" w:cs="Times New Roman"/>
          <w:sz w:val="24"/>
          <w:szCs w:val="24"/>
          <w:lang w:val="en-GB"/>
        </w:rPr>
      </w:pPr>
    </w:p>
    <w:p w14:paraId="44C52AE1" w14:textId="77777777" w:rsidR="008B3E6C" w:rsidRPr="006F3B00" w:rsidRDefault="008B3E6C" w:rsidP="008B3E6C">
      <w:pPr>
        <w:rPr>
          <w:rFonts w:ascii="Times New Roman" w:hAnsi="Times New Roman" w:cs="Times New Roman"/>
          <w:sz w:val="24"/>
          <w:szCs w:val="24"/>
          <w:lang w:val="en-GB"/>
        </w:rPr>
      </w:pPr>
    </w:p>
    <w:p w14:paraId="5B0AD1C7" w14:textId="77777777" w:rsidR="008B3E6C" w:rsidRPr="006F3B00" w:rsidRDefault="008B3E6C" w:rsidP="008B3E6C">
      <w:pPr>
        <w:rPr>
          <w:rFonts w:ascii="Times New Roman" w:hAnsi="Times New Roman" w:cs="Times New Roman"/>
          <w:sz w:val="24"/>
          <w:szCs w:val="24"/>
          <w:lang w:val="en-GB"/>
        </w:rPr>
      </w:pPr>
    </w:p>
    <w:p w14:paraId="491EA98B" w14:textId="50A2FD28" w:rsidR="008B3E6C" w:rsidRDefault="008B3E6C" w:rsidP="008B3E6C">
      <w:pPr>
        <w:rPr>
          <w:rFonts w:ascii="Times New Roman" w:hAnsi="Times New Roman" w:cs="Times New Roman"/>
          <w:sz w:val="24"/>
          <w:szCs w:val="24"/>
          <w:lang w:val="en-GB"/>
        </w:rPr>
      </w:pPr>
    </w:p>
    <w:p w14:paraId="17D6C26C" w14:textId="6E6AF3C1" w:rsidR="00C9729E" w:rsidRDefault="00C9729E" w:rsidP="008B3E6C">
      <w:pPr>
        <w:rPr>
          <w:rFonts w:ascii="Times New Roman" w:hAnsi="Times New Roman" w:cs="Times New Roman"/>
          <w:sz w:val="24"/>
          <w:szCs w:val="24"/>
          <w:lang w:val="en-GB"/>
        </w:rPr>
      </w:pPr>
    </w:p>
    <w:p w14:paraId="1816314C" w14:textId="69E31746" w:rsidR="00C9729E" w:rsidRDefault="00C9729E" w:rsidP="008B3E6C">
      <w:pPr>
        <w:rPr>
          <w:rFonts w:ascii="Times New Roman" w:hAnsi="Times New Roman" w:cs="Times New Roman"/>
          <w:sz w:val="24"/>
          <w:szCs w:val="24"/>
          <w:lang w:val="en-GB"/>
        </w:rPr>
      </w:pPr>
    </w:p>
    <w:p w14:paraId="4D481A4B" w14:textId="42F219E7" w:rsidR="00C9729E" w:rsidRPr="006F3B00" w:rsidRDefault="00C9729E" w:rsidP="008B3E6C">
      <w:pPr>
        <w:rPr>
          <w:rFonts w:ascii="Times New Roman" w:hAnsi="Times New Roman" w:cs="Times New Roman"/>
          <w:sz w:val="24"/>
          <w:szCs w:val="24"/>
          <w:lang w:val="en-GB"/>
        </w:rPr>
      </w:pPr>
    </w:p>
    <w:p w14:paraId="385B02B4" w14:textId="77777777" w:rsidR="0020029A" w:rsidRDefault="0020029A" w:rsidP="008B3E6C">
      <w:pPr>
        <w:rPr>
          <w:rFonts w:ascii="Times New Roman" w:hAnsi="Times New Roman" w:cs="Times New Roman"/>
          <w:b/>
          <w:sz w:val="24"/>
          <w:szCs w:val="24"/>
          <w:lang w:val="en-GB"/>
        </w:rPr>
      </w:pPr>
    </w:p>
    <w:p w14:paraId="168378A1" w14:textId="626A5010" w:rsidR="0020029A" w:rsidRDefault="00DB4E45" w:rsidP="0020029A">
      <w:pPr>
        <w:pStyle w:val="Heading2"/>
        <w:rPr>
          <w:rFonts w:ascii="Times New Roman" w:hAnsi="Times New Roman" w:cs="Times New Roman"/>
          <w:color w:val="auto"/>
          <w:sz w:val="24"/>
          <w:szCs w:val="24"/>
        </w:rPr>
      </w:pPr>
      <w:bookmarkStart w:id="134" w:name="_Toc23243863"/>
      <w:r>
        <w:rPr>
          <w:rFonts w:ascii="Times New Roman" w:hAnsi="Times New Roman" w:cs="Times New Roman"/>
          <w:color w:val="auto"/>
          <w:sz w:val="24"/>
          <w:szCs w:val="24"/>
        </w:rPr>
        <w:lastRenderedPageBreak/>
        <w:t>Appendix 4</w:t>
      </w:r>
      <w:r w:rsidR="00B37BB4" w:rsidRPr="0020029A">
        <w:rPr>
          <w:rFonts w:ascii="Times New Roman" w:hAnsi="Times New Roman" w:cs="Times New Roman"/>
          <w:color w:val="auto"/>
          <w:sz w:val="24"/>
          <w:szCs w:val="24"/>
        </w:rPr>
        <w:t>: Information sheet for qualitative interview</w:t>
      </w:r>
      <w:r w:rsidR="0020029A" w:rsidRPr="0020029A">
        <w:rPr>
          <w:rFonts w:ascii="Times New Roman" w:hAnsi="Times New Roman" w:cs="Times New Roman"/>
          <w:color w:val="auto"/>
          <w:sz w:val="24"/>
          <w:szCs w:val="24"/>
        </w:rPr>
        <w:t>s</w:t>
      </w:r>
      <w:bookmarkEnd w:id="134"/>
    </w:p>
    <w:p w14:paraId="4CB765AB" w14:textId="77777777" w:rsidR="0020029A" w:rsidRPr="0020029A" w:rsidRDefault="0020029A" w:rsidP="0020029A">
      <w:pPr>
        <w:rPr>
          <w:lang w:val="en-GB"/>
        </w:rPr>
      </w:pPr>
    </w:p>
    <w:p w14:paraId="32C43F44" w14:textId="77777777" w:rsidR="005F316B" w:rsidRPr="006F3B00" w:rsidRDefault="005F316B" w:rsidP="0020029A">
      <w:pPr>
        <w:rPr>
          <w:rFonts w:ascii="Times New Roman" w:hAnsi="Times New Roman" w:cs="Times New Roman"/>
          <w:b/>
          <w:bCs/>
        </w:rPr>
      </w:pPr>
      <w:r w:rsidRPr="006F3B00">
        <w:rPr>
          <w:rFonts w:ascii="Times New Roman" w:hAnsi="Times New Roman" w:cs="Times New Roman"/>
          <w:b/>
          <w:bCs/>
        </w:rPr>
        <w:t>Participant Information Sheet</w:t>
      </w:r>
      <w:r w:rsidR="006F3B00" w:rsidRPr="006F3B00">
        <w:rPr>
          <w:rFonts w:ascii="Times New Roman" w:hAnsi="Times New Roman" w:cs="Times New Roman"/>
          <w:b/>
          <w:bCs/>
        </w:rPr>
        <w:t xml:space="preserve"> for interview</w:t>
      </w:r>
    </w:p>
    <w:p w14:paraId="2DBBEDFE" w14:textId="77777777" w:rsidR="005F316B" w:rsidRPr="006F3B00" w:rsidRDefault="005F316B" w:rsidP="005F316B">
      <w:pPr>
        <w:pStyle w:val="Default"/>
        <w:rPr>
          <w:rFonts w:ascii="Times New Roman" w:hAnsi="Times New Roman" w:cs="Times New Roman"/>
          <w:color w:val="auto"/>
        </w:rPr>
      </w:pPr>
    </w:p>
    <w:p w14:paraId="1DA5FE65"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You have been given this information sheet as we would like you to participate in an interview</w:t>
      </w:r>
    </w:p>
    <w:p w14:paraId="041D295C" w14:textId="77777777" w:rsidR="005F316B" w:rsidRPr="006F3B00" w:rsidRDefault="005F316B" w:rsidP="005F316B">
      <w:pPr>
        <w:pStyle w:val="Default"/>
        <w:rPr>
          <w:rFonts w:ascii="Times New Roman" w:hAnsi="Times New Roman" w:cs="Times New Roman"/>
          <w:color w:val="auto"/>
        </w:rPr>
      </w:pPr>
    </w:p>
    <w:p w14:paraId="6DC85887" w14:textId="77777777" w:rsidR="005F316B" w:rsidRPr="006F3B00" w:rsidRDefault="005F316B" w:rsidP="005F316B">
      <w:pPr>
        <w:pStyle w:val="Default"/>
        <w:rPr>
          <w:rFonts w:ascii="Times New Roman" w:hAnsi="Times New Roman" w:cs="Times New Roman"/>
          <w:color w:val="auto"/>
        </w:rPr>
      </w:pPr>
    </w:p>
    <w:p w14:paraId="39F93665"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1. Research Project Title</w:t>
      </w:r>
    </w:p>
    <w:p w14:paraId="28A88434" w14:textId="77777777" w:rsidR="005F316B" w:rsidRPr="006F3B00" w:rsidRDefault="005F316B" w:rsidP="005F316B">
      <w:pPr>
        <w:pStyle w:val="Default"/>
        <w:rPr>
          <w:rFonts w:ascii="Times New Roman" w:hAnsi="Times New Roman" w:cs="Times New Roman"/>
          <w:color w:val="auto"/>
        </w:rPr>
      </w:pPr>
    </w:p>
    <w:p w14:paraId="140A77B2" w14:textId="77777777" w:rsidR="00017E5B" w:rsidRPr="00D408AA" w:rsidRDefault="00017E5B" w:rsidP="00017E5B">
      <w:pPr>
        <w:spacing w:line="240" w:lineRule="auto"/>
        <w:rPr>
          <w:rFonts w:ascii="Times New Roman" w:hAnsi="Times New Roman" w:cs="Times New Roman"/>
          <w:b/>
          <w:sz w:val="24"/>
          <w:szCs w:val="24"/>
        </w:rPr>
      </w:pPr>
      <w:r w:rsidRPr="00D408AA">
        <w:rPr>
          <w:rFonts w:ascii="Times New Roman" w:hAnsi="Times New Roman" w:cs="Times New Roman"/>
          <w:sz w:val="24"/>
          <w:szCs w:val="24"/>
        </w:rPr>
        <w:t>Determination of diagnostic competence in histopathology trainees</w:t>
      </w:r>
    </w:p>
    <w:p w14:paraId="51CD063D" w14:textId="77777777" w:rsidR="005F316B" w:rsidRPr="006F3B00" w:rsidRDefault="005F316B" w:rsidP="005F316B">
      <w:pPr>
        <w:pStyle w:val="Default"/>
        <w:rPr>
          <w:rFonts w:ascii="Times New Roman" w:hAnsi="Times New Roman" w:cs="Times New Roman"/>
          <w:color w:val="auto"/>
        </w:rPr>
      </w:pPr>
    </w:p>
    <w:p w14:paraId="417523D5"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2. Invitation paragraph </w:t>
      </w:r>
    </w:p>
    <w:p w14:paraId="45EC7BC5" w14:textId="77777777" w:rsidR="005F316B" w:rsidRPr="006F3B00" w:rsidRDefault="005F316B" w:rsidP="005F316B">
      <w:pPr>
        <w:pStyle w:val="Default"/>
        <w:rPr>
          <w:rFonts w:ascii="Times New Roman" w:hAnsi="Times New Roman" w:cs="Times New Roman"/>
          <w:color w:val="auto"/>
        </w:rPr>
      </w:pPr>
    </w:p>
    <w:p w14:paraId="1C5502CB" w14:textId="77777777" w:rsidR="005F316B" w:rsidRPr="006F3B00" w:rsidRDefault="005F316B" w:rsidP="005F316B">
      <w:pPr>
        <w:pStyle w:val="Default"/>
        <w:rPr>
          <w:rFonts w:ascii="Times New Roman" w:hAnsi="Times New Roman" w:cs="Times New Roman"/>
          <w:iCs/>
          <w:color w:val="auto"/>
        </w:rPr>
      </w:pPr>
      <w:r w:rsidRPr="006F3B00">
        <w:rPr>
          <w:rFonts w:ascii="Times New Roman" w:hAnsi="Times New Roman" w:cs="Times New Roman"/>
          <w:iCs/>
          <w:color w:val="auto"/>
        </w:rPr>
        <w:t>You are being invited to take part in a research project. Before you decide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0458F181" w14:textId="77777777" w:rsidR="005F316B" w:rsidRPr="006F3B00" w:rsidRDefault="005F316B" w:rsidP="005F316B">
      <w:pPr>
        <w:pStyle w:val="Default"/>
        <w:rPr>
          <w:rFonts w:ascii="Times New Roman" w:hAnsi="Times New Roman" w:cs="Times New Roman"/>
          <w:color w:val="auto"/>
        </w:rPr>
      </w:pPr>
    </w:p>
    <w:p w14:paraId="6335877A"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3. What is the project’s purpose? </w:t>
      </w:r>
    </w:p>
    <w:p w14:paraId="179B3435" w14:textId="77777777" w:rsidR="005F316B" w:rsidRPr="00670157" w:rsidRDefault="005F316B" w:rsidP="005F316B">
      <w:pPr>
        <w:pStyle w:val="Default"/>
        <w:rPr>
          <w:rFonts w:ascii="Times New Roman" w:hAnsi="Times New Roman" w:cs="Times New Roman"/>
          <w:color w:val="auto"/>
        </w:rPr>
      </w:pPr>
    </w:p>
    <w:p w14:paraId="382E8369" w14:textId="77777777" w:rsidR="005F316B" w:rsidRPr="00670157" w:rsidRDefault="005F316B" w:rsidP="005F316B">
      <w:pPr>
        <w:rPr>
          <w:rFonts w:ascii="Times New Roman" w:hAnsi="Times New Roman" w:cs="Times New Roman"/>
          <w:sz w:val="24"/>
          <w:szCs w:val="24"/>
        </w:rPr>
      </w:pPr>
      <w:r w:rsidRPr="00670157">
        <w:rPr>
          <w:rFonts w:ascii="Times New Roman" w:hAnsi="Times New Roman" w:cs="Times New Roman"/>
          <w:sz w:val="24"/>
          <w:szCs w:val="24"/>
        </w:rPr>
        <w:t>There is a scarcity of evidence in the literature detailing how consultants determine trainee diagnostic competency in histopathology. Workplace-based assessments are often used in part to document trainee diagnostic competency but the full judgement ecology is not completely understood. An initial questionnaire has gathered data on the general experience of using workplace-based assessments in histopathology with consultants and trainees.</w:t>
      </w:r>
    </w:p>
    <w:p w14:paraId="6B7428C9" w14:textId="77777777" w:rsidR="005F316B" w:rsidRPr="00670157" w:rsidRDefault="005F316B" w:rsidP="005F316B">
      <w:pPr>
        <w:rPr>
          <w:rFonts w:ascii="Times New Roman" w:hAnsi="Times New Roman" w:cs="Times New Roman"/>
          <w:sz w:val="24"/>
          <w:szCs w:val="24"/>
        </w:rPr>
      </w:pPr>
    </w:p>
    <w:p w14:paraId="624D9876" w14:textId="77777777" w:rsidR="005F316B" w:rsidRPr="00670157" w:rsidRDefault="005F316B" w:rsidP="005F316B">
      <w:pPr>
        <w:rPr>
          <w:rFonts w:ascii="Times New Roman" w:hAnsi="Times New Roman" w:cs="Times New Roman"/>
          <w:sz w:val="24"/>
          <w:szCs w:val="24"/>
        </w:rPr>
      </w:pPr>
      <w:r w:rsidRPr="00670157">
        <w:rPr>
          <w:rFonts w:ascii="Times New Roman" w:hAnsi="Times New Roman" w:cs="Times New Roman"/>
          <w:sz w:val="24"/>
          <w:szCs w:val="24"/>
        </w:rPr>
        <w:t>Following this, we would like to conduct interviews to explore what cues consultants use when making a judgement of trainee diagnostic competency. As part of this, you may be asked to define diagnostic competency and your experience of using workplace-based assessments in making this judgement.</w:t>
      </w:r>
    </w:p>
    <w:p w14:paraId="55DEC101" w14:textId="77777777" w:rsidR="005F316B" w:rsidRPr="00670157" w:rsidRDefault="005F316B" w:rsidP="005F316B">
      <w:pPr>
        <w:rPr>
          <w:rFonts w:ascii="Times New Roman" w:hAnsi="Times New Roman" w:cs="Times New Roman"/>
          <w:sz w:val="24"/>
          <w:szCs w:val="24"/>
        </w:rPr>
      </w:pPr>
    </w:p>
    <w:p w14:paraId="5D9F30E8" w14:textId="77777777" w:rsidR="005F316B" w:rsidRPr="00670157" w:rsidRDefault="005F316B" w:rsidP="005F316B">
      <w:pPr>
        <w:rPr>
          <w:rFonts w:ascii="Times New Roman" w:hAnsi="Times New Roman" w:cs="Times New Roman"/>
          <w:sz w:val="24"/>
          <w:szCs w:val="24"/>
        </w:rPr>
      </w:pPr>
      <w:r w:rsidRPr="00670157">
        <w:rPr>
          <w:rFonts w:ascii="Times New Roman" w:hAnsi="Times New Roman" w:cs="Times New Roman"/>
          <w:sz w:val="24"/>
          <w:szCs w:val="24"/>
        </w:rPr>
        <w:t>These projects are part of a PhD project by Daniel Brierley (</w:t>
      </w:r>
      <w:proofErr w:type="gramStart"/>
      <w:r w:rsidRPr="00670157">
        <w:rPr>
          <w:rFonts w:ascii="Times New Roman" w:hAnsi="Times New Roman" w:cs="Times New Roman"/>
          <w:sz w:val="24"/>
          <w:szCs w:val="24"/>
        </w:rPr>
        <w:t>StR</w:t>
      </w:r>
      <w:proofErr w:type="gramEnd"/>
      <w:r w:rsidRPr="00670157">
        <w:rPr>
          <w:rFonts w:ascii="Times New Roman" w:hAnsi="Times New Roman" w:cs="Times New Roman"/>
          <w:sz w:val="24"/>
          <w:szCs w:val="24"/>
        </w:rPr>
        <w:t xml:space="preserve"> in Oral and Maxillofacial Pathology).</w:t>
      </w:r>
    </w:p>
    <w:p w14:paraId="3F24238D" w14:textId="77777777" w:rsidR="005F316B" w:rsidRPr="00670157" w:rsidRDefault="005F316B" w:rsidP="005F316B">
      <w:pPr>
        <w:pStyle w:val="Default"/>
        <w:rPr>
          <w:rFonts w:ascii="Times New Roman" w:hAnsi="Times New Roman" w:cs="Times New Roman"/>
          <w:color w:val="auto"/>
        </w:rPr>
      </w:pPr>
    </w:p>
    <w:p w14:paraId="6874A7F2" w14:textId="77777777" w:rsidR="005F316B" w:rsidRPr="00670157" w:rsidRDefault="005F316B" w:rsidP="005F316B">
      <w:pPr>
        <w:pStyle w:val="Default"/>
        <w:rPr>
          <w:rFonts w:ascii="Times New Roman" w:hAnsi="Times New Roman" w:cs="Times New Roman"/>
          <w:b/>
          <w:bCs/>
          <w:color w:val="auto"/>
        </w:rPr>
      </w:pPr>
      <w:r w:rsidRPr="00670157">
        <w:rPr>
          <w:rFonts w:ascii="Times New Roman" w:hAnsi="Times New Roman" w:cs="Times New Roman"/>
          <w:b/>
          <w:bCs/>
          <w:color w:val="auto"/>
        </w:rPr>
        <w:t xml:space="preserve">4. Why have I been chosen? </w:t>
      </w:r>
    </w:p>
    <w:p w14:paraId="5E5BD2F1" w14:textId="77777777" w:rsidR="005F316B" w:rsidRPr="00670157" w:rsidRDefault="005F316B" w:rsidP="005F316B">
      <w:pPr>
        <w:pStyle w:val="Default"/>
        <w:rPr>
          <w:rFonts w:ascii="Times New Roman" w:hAnsi="Times New Roman" w:cs="Times New Roman"/>
          <w:b/>
          <w:bCs/>
          <w:color w:val="auto"/>
        </w:rPr>
      </w:pPr>
    </w:p>
    <w:p w14:paraId="03B85433" w14:textId="77777777" w:rsidR="005F316B" w:rsidRPr="00670157" w:rsidRDefault="005F316B" w:rsidP="005F316B">
      <w:pPr>
        <w:pStyle w:val="Default"/>
        <w:rPr>
          <w:rFonts w:ascii="Times New Roman" w:hAnsi="Times New Roman" w:cs="Times New Roman"/>
          <w:bCs/>
          <w:color w:val="auto"/>
        </w:rPr>
      </w:pPr>
      <w:r w:rsidRPr="00670157">
        <w:rPr>
          <w:rFonts w:ascii="Times New Roman" w:hAnsi="Times New Roman" w:cs="Times New Roman"/>
          <w:bCs/>
          <w:color w:val="auto"/>
        </w:rPr>
        <w:t>You have been chosen because you are a histopathology consultant involved with training of histopathology trainees and use workplace-based assessments. The anticipated number of participants that will be interviewed will be dictated by the point at which no new information would come to light by interviewing further participants (approximately 10-20).</w:t>
      </w:r>
    </w:p>
    <w:p w14:paraId="5182EA8A" w14:textId="77777777" w:rsidR="005F316B" w:rsidRPr="006F3B00" w:rsidRDefault="005F316B" w:rsidP="005F316B">
      <w:pPr>
        <w:pStyle w:val="Default"/>
        <w:rPr>
          <w:rFonts w:ascii="Times New Roman" w:hAnsi="Times New Roman" w:cs="Times New Roman"/>
          <w:bCs/>
          <w:color w:val="auto"/>
        </w:rPr>
      </w:pPr>
    </w:p>
    <w:p w14:paraId="266C8AF3" w14:textId="77777777" w:rsidR="005F316B" w:rsidRPr="006F3B00" w:rsidRDefault="005F316B" w:rsidP="005F316B">
      <w:pPr>
        <w:pStyle w:val="Default"/>
        <w:rPr>
          <w:rFonts w:ascii="Times New Roman" w:hAnsi="Times New Roman" w:cs="Times New Roman"/>
          <w:bCs/>
          <w:color w:val="auto"/>
        </w:rPr>
      </w:pPr>
    </w:p>
    <w:p w14:paraId="2D1B4573" w14:textId="77777777" w:rsidR="005F316B" w:rsidRPr="006F3B00" w:rsidRDefault="005F316B" w:rsidP="005F316B">
      <w:pPr>
        <w:pStyle w:val="Default"/>
        <w:rPr>
          <w:rFonts w:ascii="Times New Roman" w:hAnsi="Times New Roman" w:cs="Times New Roman"/>
          <w:color w:val="auto"/>
        </w:rPr>
      </w:pPr>
    </w:p>
    <w:p w14:paraId="0A4416F6" w14:textId="77777777" w:rsidR="005F316B" w:rsidRPr="00670157" w:rsidRDefault="005F316B" w:rsidP="005F316B">
      <w:pPr>
        <w:pStyle w:val="Default"/>
        <w:rPr>
          <w:rFonts w:ascii="Times New Roman" w:hAnsi="Times New Roman" w:cs="Times New Roman"/>
          <w:b/>
          <w:bCs/>
          <w:color w:val="auto"/>
        </w:rPr>
      </w:pPr>
      <w:r w:rsidRPr="00670157">
        <w:rPr>
          <w:rFonts w:ascii="Times New Roman" w:hAnsi="Times New Roman" w:cs="Times New Roman"/>
          <w:b/>
          <w:bCs/>
          <w:color w:val="auto"/>
        </w:rPr>
        <w:lastRenderedPageBreak/>
        <w:t xml:space="preserve">5. Do I have to take part? </w:t>
      </w:r>
    </w:p>
    <w:p w14:paraId="71318819" w14:textId="77777777" w:rsidR="005F316B" w:rsidRPr="00670157" w:rsidRDefault="005F316B" w:rsidP="005F316B">
      <w:pPr>
        <w:pStyle w:val="Default"/>
        <w:rPr>
          <w:rFonts w:ascii="Times New Roman" w:hAnsi="Times New Roman" w:cs="Times New Roman"/>
          <w:color w:val="auto"/>
        </w:rPr>
      </w:pPr>
    </w:p>
    <w:p w14:paraId="143F11C8" w14:textId="77777777" w:rsidR="005F316B" w:rsidRPr="00670157" w:rsidRDefault="005F316B" w:rsidP="005F316B">
      <w:pPr>
        <w:pStyle w:val="Default"/>
        <w:rPr>
          <w:rFonts w:ascii="Times New Roman" w:hAnsi="Times New Roman" w:cs="Times New Roman"/>
          <w:iCs/>
          <w:color w:val="auto"/>
        </w:rPr>
      </w:pPr>
      <w:r w:rsidRPr="00670157">
        <w:rPr>
          <w:rFonts w:ascii="Times New Roman" w:hAnsi="Times New Roman" w:cs="Times New Roman"/>
          <w:iCs/>
          <w:color w:val="auto"/>
        </w:rPr>
        <w:t>It is up to you to decide whether or not you would like to take part or not. If you do decide to take part you will be given this information sheet to keep (and be asked to sign a consent form) and you can still withdraw at any time without it affecting any benefits that you are entitled to in any way. You do not have to give a reason.</w:t>
      </w:r>
    </w:p>
    <w:p w14:paraId="5299F24F" w14:textId="77777777" w:rsidR="005F316B" w:rsidRPr="00670157" w:rsidRDefault="005F316B" w:rsidP="005F316B">
      <w:pPr>
        <w:pStyle w:val="Default"/>
        <w:rPr>
          <w:rFonts w:ascii="Times New Roman" w:hAnsi="Times New Roman" w:cs="Times New Roman"/>
          <w:color w:val="auto"/>
        </w:rPr>
      </w:pPr>
    </w:p>
    <w:p w14:paraId="76F19391" w14:textId="77777777" w:rsidR="005F316B" w:rsidRPr="00670157" w:rsidRDefault="005F316B" w:rsidP="005F316B">
      <w:pPr>
        <w:pStyle w:val="Default"/>
        <w:rPr>
          <w:rFonts w:ascii="Times New Roman" w:hAnsi="Times New Roman" w:cs="Times New Roman"/>
          <w:b/>
          <w:bCs/>
          <w:color w:val="auto"/>
        </w:rPr>
      </w:pPr>
      <w:r w:rsidRPr="00670157">
        <w:rPr>
          <w:rFonts w:ascii="Times New Roman" w:hAnsi="Times New Roman" w:cs="Times New Roman"/>
          <w:b/>
          <w:bCs/>
          <w:color w:val="auto"/>
        </w:rPr>
        <w:t xml:space="preserve">6. What will happen to me if I take part? </w:t>
      </w:r>
    </w:p>
    <w:p w14:paraId="2CB71DD5" w14:textId="77777777" w:rsidR="005F316B" w:rsidRPr="00670157" w:rsidRDefault="005F316B" w:rsidP="005F316B">
      <w:pPr>
        <w:pStyle w:val="Default"/>
        <w:rPr>
          <w:rFonts w:ascii="Times New Roman" w:hAnsi="Times New Roman" w:cs="Times New Roman"/>
          <w:b/>
          <w:bCs/>
          <w:color w:val="auto"/>
        </w:rPr>
      </w:pPr>
    </w:p>
    <w:p w14:paraId="08004D79" w14:textId="77777777" w:rsidR="005F316B" w:rsidRPr="00670157" w:rsidRDefault="005F316B" w:rsidP="005F316B">
      <w:pPr>
        <w:pStyle w:val="Default"/>
        <w:rPr>
          <w:rFonts w:ascii="Times New Roman" w:hAnsi="Times New Roman" w:cs="Times New Roman"/>
          <w:bCs/>
          <w:color w:val="auto"/>
        </w:rPr>
      </w:pPr>
      <w:r w:rsidRPr="00670157">
        <w:rPr>
          <w:rFonts w:ascii="Times New Roman" w:hAnsi="Times New Roman" w:cs="Times New Roman"/>
          <w:bCs/>
          <w:color w:val="auto"/>
        </w:rPr>
        <w:t xml:space="preserve">Interviews with each participant may take about an hour to complete depending on the discussion that is generated. </w:t>
      </w:r>
    </w:p>
    <w:p w14:paraId="0EA8CD50" w14:textId="77777777" w:rsidR="005F316B" w:rsidRPr="00670157" w:rsidRDefault="005F316B" w:rsidP="005F316B">
      <w:pPr>
        <w:pStyle w:val="Default"/>
        <w:rPr>
          <w:rFonts w:ascii="Times New Roman" w:hAnsi="Times New Roman" w:cs="Times New Roman"/>
          <w:bCs/>
          <w:color w:val="auto"/>
        </w:rPr>
      </w:pPr>
    </w:p>
    <w:p w14:paraId="7CD92BEF" w14:textId="77777777" w:rsidR="005F316B" w:rsidRPr="00670157" w:rsidRDefault="005F316B" w:rsidP="005F316B">
      <w:pPr>
        <w:pStyle w:val="Default"/>
        <w:rPr>
          <w:rFonts w:ascii="Times New Roman" w:hAnsi="Times New Roman" w:cs="Times New Roman"/>
          <w:bCs/>
          <w:color w:val="auto"/>
        </w:rPr>
      </w:pPr>
      <w:r w:rsidRPr="00670157">
        <w:rPr>
          <w:rFonts w:ascii="Times New Roman" w:hAnsi="Times New Roman" w:cs="Times New Roman"/>
          <w:bCs/>
          <w:color w:val="auto"/>
        </w:rPr>
        <w:t xml:space="preserve">The information from the interviews be anonymous and stored/used for 10 years. As the interviewer will visit each participant for the interviews, travel expenses are not available. </w:t>
      </w:r>
    </w:p>
    <w:p w14:paraId="327760AB" w14:textId="77777777" w:rsidR="005F316B" w:rsidRPr="00670157" w:rsidRDefault="005F316B" w:rsidP="005F316B">
      <w:pPr>
        <w:pStyle w:val="Default"/>
        <w:rPr>
          <w:rFonts w:ascii="Times New Roman" w:hAnsi="Times New Roman" w:cs="Times New Roman"/>
          <w:bCs/>
          <w:color w:val="auto"/>
        </w:rPr>
      </w:pPr>
    </w:p>
    <w:p w14:paraId="28C448E1" w14:textId="77777777" w:rsidR="005F316B" w:rsidRPr="00670157" w:rsidRDefault="005F316B" w:rsidP="005F316B">
      <w:pPr>
        <w:pStyle w:val="Default"/>
        <w:rPr>
          <w:rFonts w:ascii="Times New Roman" w:hAnsi="Times New Roman" w:cs="Times New Roman"/>
          <w:bCs/>
          <w:color w:val="auto"/>
        </w:rPr>
      </w:pPr>
      <w:r w:rsidRPr="00670157">
        <w:rPr>
          <w:rFonts w:ascii="Times New Roman" w:hAnsi="Times New Roman" w:cs="Times New Roman"/>
          <w:bCs/>
          <w:color w:val="auto"/>
        </w:rPr>
        <w:t>The interview will be conducted in a comfortable environment and audio recorded. The questioning in the interviews will be mostly open-ended and participants are encouraged to speak freely and openly. Sometimes the interviewer may ask more specific questions if this is necessary.</w:t>
      </w:r>
    </w:p>
    <w:p w14:paraId="0D2CA187" w14:textId="77777777" w:rsidR="005F316B" w:rsidRPr="00670157" w:rsidRDefault="005F316B" w:rsidP="005F316B">
      <w:pPr>
        <w:pStyle w:val="Default"/>
        <w:rPr>
          <w:rFonts w:ascii="Times New Roman" w:hAnsi="Times New Roman" w:cs="Times New Roman"/>
          <w:color w:val="auto"/>
        </w:rPr>
      </w:pPr>
    </w:p>
    <w:p w14:paraId="043D7DF4" w14:textId="77777777" w:rsidR="005F316B" w:rsidRPr="00670157" w:rsidRDefault="005F316B" w:rsidP="005F316B">
      <w:pPr>
        <w:pStyle w:val="Default"/>
        <w:rPr>
          <w:rFonts w:ascii="Times New Roman" w:hAnsi="Times New Roman" w:cs="Times New Roman"/>
          <w:color w:val="auto"/>
        </w:rPr>
      </w:pPr>
      <w:r w:rsidRPr="00670157">
        <w:rPr>
          <w:rFonts w:ascii="Times New Roman" w:hAnsi="Times New Roman" w:cs="Times New Roman"/>
          <w:color w:val="auto"/>
        </w:rPr>
        <w:t>The recordings from the interviews will be transcribed and analysed to explore the opinions, experiences and attitudes of the participants.</w:t>
      </w:r>
    </w:p>
    <w:p w14:paraId="4615BF2D" w14:textId="77777777" w:rsidR="005F316B" w:rsidRPr="00670157" w:rsidRDefault="005F316B" w:rsidP="005F316B">
      <w:pPr>
        <w:pStyle w:val="Default"/>
        <w:rPr>
          <w:rFonts w:ascii="Times New Roman" w:hAnsi="Times New Roman" w:cs="Times New Roman"/>
          <w:color w:val="auto"/>
        </w:rPr>
      </w:pPr>
    </w:p>
    <w:p w14:paraId="4B53EA67" w14:textId="77777777" w:rsidR="005F316B" w:rsidRPr="00670157" w:rsidRDefault="005F316B" w:rsidP="005F316B">
      <w:pPr>
        <w:pStyle w:val="Default"/>
        <w:rPr>
          <w:rFonts w:ascii="Times New Roman" w:hAnsi="Times New Roman" w:cs="Times New Roman"/>
          <w:b/>
          <w:bCs/>
          <w:color w:val="auto"/>
        </w:rPr>
      </w:pPr>
    </w:p>
    <w:p w14:paraId="6D544F13" w14:textId="77777777" w:rsidR="005F316B" w:rsidRPr="00670157" w:rsidRDefault="005F316B" w:rsidP="005F316B">
      <w:pPr>
        <w:pStyle w:val="Default"/>
        <w:rPr>
          <w:rFonts w:ascii="Times New Roman" w:hAnsi="Times New Roman" w:cs="Times New Roman"/>
          <w:color w:val="auto"/>
        </w:rPr>
      </w:pPr>
      <w:r w:rsidRPr="00670157">
        <w:rPr>
          <w:rFonts w:ascii="Times New Roman" w:hAnsi="Times New Roman" w:cs="Times New Roman"/>
          <w:b/>
          <w:bCs/>
          <w:color w:val="auto"/>
        </w:rPr>
        <w:t xml:space="preserve">7. What do I have to do? </w:t>
      </w:r>
    </w:p>
    <w:p w14:paraId="566A8E0D" w14:textId="77777777" w:rsidR="005F316B" w:rsidRPr="00670157" w:rsidRDefault="005F316B" w:rsidP="005F316B">
      <w:pPr>
        <w:pStyle w:val="Default"/>
        <w:rPr>
          <w:rFonts w:ascii="Times New Roman" w:hAnsi="Times New Roman" w:cs="Times New Roman"/>
          <w:color w:val="auto"/>
        </w:rPr>
      </w:pPr>
    </w:p>
    <w:p w14:paraId="50D87631" w14:textId="77777777" w:rsidR="005F316B" w:rsidRPr="00670157" w:rsidRDefault="005F316B" w:rsidP="005F316B">
      <w:pPr>
        <w:pStyle w:val="Default"/>
        <w:rPr>
          <w:rFonts w:ascii="Times New Roman" w:hAnsi="Times New Roman" w:cs="Times New Roman"/>
          <w:color w:val="auto"/>
        </w:rPr>
      </w:pPr>
      <w:r w:rsidRPr="00670157">
        <w:rPr>
          <w:rFonts w:ascii="Times New Roman" w:hAnsi="Times New Roman" w:cs="Times New Roman"/>
          <w:color w:val="auto"/>
        </w:rPr>
        <w:t>For the interview, you need only turn up to your interview and communicate with the interviewer. No prior preparation is required. You do not need to bring anything with you.</w:t>
      </w:r>
    </w:p>
    <w:p w14:paraId="1B3B1E1B" w14:textId="77777777" w:rsidR="005F316B" w:rsidRPr="00670157" w:rsidRDefault="005F316B" w:rsidP="005F316B">
      <w:pPr>
        <w:pStyle w:val="Default"/>
        <w:rPr>
          <w:rFonts w:ascii="Times New Roman" w:hAnsi="Times New Roman" w:cs="Times New Roman"/>
          <w:color w:val="auto"/>
        </w:rPr>
      </w:pPr>
    </w:p>
    <w:p w14:paraId="45FE9F4A" w14:textId="77777777" w:rsidR="005F316B" w:rsidRPr="00670157" w:rsidRDefault="005F316B" w:rsidP="005F316B">
      <w:pPr>
        <w:pStyle w:val="Default"/>
        <w:rPr>
          <w:rFonts w:ascii="Times New Roman" w:hAnsi="Times New Roman" w:cs="Times New Roman"/>
          <w:color w:val="auto"/>
        </w:rPr>
      </w:pPr>
    </w:p>
    <w:p w14:paraId="5431BD89" w14:textId="77777777" w:rsidR="005F316B" w:rsidRPr="00670157" w:rsidRDefault="005F316B" w:rsidP="005F316B">
      <w:pPr>
        <w:pStyle w:val="Default"/>
        <w:rPr>
          <w:rFonts w:ascii="Times New Roman" w:hAnsi="Times New Roman" w:cs="Times New Roman"/>
          <w:b/>
          <w:bCs/>
          <w:color w:val="auto"/>
        </w:rPr>
      </w:pPr>
      <w:r w:rsidRPr="00670157">
        <w:rPr>
          <w:rFonts w:ascii="Times New Roman" w:hAnsi="Times New Roman" w:cs="Times New Roman"/>
          <w:b/>
          <w:bCs/>
          <w:color w:val="auto"/>
        </w:rPr>
        <w:t xml:space="preserve">8. What are the possible disadvantages and risks of taking part? </w:t>
      </w:r>
    </w:p>
    <w:p w14:paraId="134120F1" w14:textId="77777777" w:rsidR="005F316B" w:rsidRPr="00670157" w:rsidRDefault="005F316B" w:rsidP="005F316B">
      <w:pPr>
        <w:pStyle w:val="Default"/>
        <w:rPr>
          <w:rFonts w:ascii="Times New Roman" w:hAnsi="Times New Roman" w:cs="Times New Roman"/>
          <w:color w:val="auto"/>
        </w:rPr>
      </w:pPr>
    </w:p>
    <w:p w14:paraId="44996DCE" w14:textId="77777777" w:rsidR="005F316B" w:rsidRPr="006F3B00" w:rsidRDefault="005F316B" w:rsidP="005F316B">
      <w:pPr>
        <w:pStyle w:val="Default"/>
        <w:rPr>
          <w:rFonts w:ascii="Times New Roman" w:hAnsi="Times New Roman" w:cs="Times New Roman"/>
          <w:color w:val="auto"/>
        </w:rPr>
      </w:pPr>
      <w:r w:rsidRPr="00670157">
        <w:rPr>
          <w:rFonts w:ascii="Times New Roman" w:hAnsi="Times New Roman" w:cs="Times New Roman"/>
          <w:color w:val="auto"/>
        </w:rPr>
        <w:t>There are no foreseen disadvantages or risks of taking part in this study. Participants will, however, have to dedicate about an hour of their time</w:t>
      </w:r>
      <w:r w:rsidRPr="006F3B00">
        <w:rPr>
          <w:rFonts w:ascii="Times New Roman" w:hAnsi="Times New Roman" w:cs="Times New Roman"/>
          <w:color w:val="auto"/>
        </w:rPr>
        <w:t xml:space="preserve"> to do the interview.</w:t>
      </w:r>
    </w:p>
    <w:p w14:paraId="4D1650C6" w14:textId="77777777" w:rsidR="005F316B" w:rsidRPr="006F3B00" w:rsidRDefault="005F316B" w:rsidP="005F316B">
      <w:pPr>
        <w:pStyle w:val="Default"/>
        <w:rPr>
          <w:rFonts w:ascii="Times New Roman" w:hAnsi="Times New Roman" w:cs="Times New Roman"/>
          <w:color w:val="auto"/>
        </w:rPr>
      </w:pPr>
    </w:p>
    <w:p w14:paraId="6C25AD12"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b/>
          <w:bCs/>
          <w:color w:val="auto"/>
        </w:rPr>
        <w:t xml:space="preserve">9. What are the possible benefits of taking part? </w:t>
      </w:r>
    </w:p>
    <w:p w14:paraId="7C6D7004" w14:textId="77777777" w:rsidR="005F316B" w:rsidRPr="006F3B00" w:rsidRDefault="005F316B" w:rsidP="005F316B">
      <w:pPr>
        <w:pStyle w:val="Default"/>
        <w:rPr>
          <w:rFonts w:ascii="Times New Roman" w:hAnsi="Times New Roman" w:cs="Times New Roman"/>
          <w:i/>
          <w:iCs/>
          <w:color w:val="auto"/>
        </w:rPr>
      </w:pPr>
    </w:p>
    <w:p w14:paraId="0D6F39A0" w14:textId="77777777" w:rsidR="005F316B" w:rsidRPr="006F3B00" w:rsidRDefault="005F316B" w:rsidP="005F316B">
      <w:pPr>
        <w:pStyle w:val="Default"/>
        <w:rPr>
          <w:rFonts w:ascii="Times New Roman" w:hAnsi="Times New Roman" w:cs="Times New Roman"/>
          <w:iCs/>
          <w:color w:val="auto"/>
        </w:rPr>
      </w:pPr>
      <w:r w:rsidRPr="006F3B00">
        <w:rPr>
          <w:rFonts w:ascii="Times New Roman" w:hAnsi="Times New Roman" w:cs="Times New Roman"/>
          <w:iCs/>
          <w:color w:val="auto"/>
        </w:rPr>
        <w:t>Whilst there are no immediate benefits for those people participating in the project, it is hoped that this work will help to understand how consultants determine trainee diagnostic competency. This may help with the training of future trainees and determine if current training programmes adequately assess diagnostic competence.</w:t>
      </w:r>
    </w:p>
    <w:p w14:paraId="7F025F73" w14:textId="77777777" w:rsidR="005F316B" w:rsidRPr="006F3B00" w:rsidRDefault="005F316B" w:rsidP="005F316B">
      <w:pPr>
        <w:pStyle w:val="Default"/>
        <w:rPr>
          <w:rFonts w:ascii="Times New Roman" w:hAnsi="Times New Roman" w:cs="Times New Roman"/>
          <w:color w:val="auto"/>
        </w:rPr>
      </w:pPr>
    </w:p>
    <w:p w14:paraId="1914C50D"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10. What happens if the research study stops earlier than expected? </w:t>
      </w:r>
    </w:p>
    <w:p w14:paraId="4CD84A61" w14:textId="77777777" w:rsidR="005F316B" w:rsidRPr="006F3B00" w:rsidRDefault="005F316B" w:rsidP="005F316B">
      <w:pPr>
        <w:pStyle w:val="Default"/>
        <w:rPr>
          <w:rFonts w:ascii="Times New Roman" w:hAnsi="Times New Roman" w:cs="Times New Roman"/>
          <w:b/>
          <w:bCs/>
          <w:color w:val="auto"/>
        </w:rPr>
      </w:pPr>
    </w:p>
    <w:p w14:paraId="20AA5018" w14:textId="77777777" w:rsidR="005F316B" w:rsidRPr="006F3B00" w:rsidRDefault="005F316B" w:rsidP="005F316B">
      <w:pPr>
        <w:pStyle w:val="Default"/>
        <w:rPr>
          <w:rFonts w:ascii="Times New Roman" w:hAnsi="Times New Roman" w:cs="Times New Roman"/>
          <w:bCs/>
          <w:color w:val="auto"/>
        </w:rPr>
      </w:pPr>
      <w:r w:rsidRPr="006F3B00">
        <w:rPr>
          <w:rFonts w:ascii="Times New Roman" w:hAnsi="Times New Roman" w:cs="Times New Roman"/>
          <w:bCs/>
          <w:color w:val="auto"/>
        </w:rPr>
        <w:t>It is not anticipated that the research study will be stopped earlier than expected, but if it is, participants will be informed of the reason for this. Any data collected to this point will be destroyed.</w:t>
      </w:r>
    </w:p>
    <w:p w14:paraId="40CF6EED" w14:textId="77777777" w:rsidR="005F316B" w:rsidRPr="006F3B00" w:rsidRDefault="005F316B" w:rsidP="005F316B">
      <w:pPr>
        <w:pStyle w:val="Default"/>
        <w:rPr>
          <w:rFonts w:ascii="Times New Roman" w:hAnsi="Times New Roman" w:cs="Times New Roman"/>
          <w:color w:val="auto"/>
        </w:rPr>
      </w:pPr>
    </w:p>
    <w:p w14:paraId="70DF5B80"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11. What if something goes wrong? </w:t>
      </w:r>
    </w:p>
    <w:p w14:paraId="43C642CC" w14:textId="77777777" w:rsidR="005F316B" w:rsidRPr="006F3B00" w:rsidRDefault="005F316B" w:rsidP="005F316B">
      <w:pPr>
        <w:pStyle w:val="Default"/>
        <w:rPr>
          <w:rFonts w:ascii="Times New Roman" w:hAnsi="Times New Roman" w:cs="Times New Roman"/>
          <w:bCs/>
          <w:color w:val="auto"/>
        </w:rPr>
      </w:pPr>
    </w:p>
    <w:p w14:paraId="27FD6B58" w14:textId="77777777" w:rsidR="005F316B" w:rsidRPr="006F3B00" w:rsidRDefault="005F316B" w:rsidP="005F316B">
      <w:pPr>
        <w:pStyle w:val="Default"/>
        <w:rPr>
          <w:rFonts w:ascii="Times New Roman" w:hAnsi="Times New Roman" w:cs="Times New Roman"/>
          <w:bCs/>
          <w:color w:val="auto"/>
        </w:rPr>
      </w:pPr>
      <w:r w:rsidRPr="006F3B00">
        <w:rPr>
          <w:rFonts w:ascii="Times New Roman" w:hAnsi="Times New Roman" w:cs="Times New Roman"/>
          <w:bCs/>
          <w:color w:val="auto"/>
        </w:rPr>
        <w:lastRenderedPageBreak/>
        <w:t>If any participant would like to make a complaint about the study, participants should contact the researcher (Daniel Brierley) or the lead supervisor (Professor Paula Farthing). If you feel like your complaint has not been handled to your satisfaction, you may contact the Head of the</w:t>
      </w:r>
      <w:r w:rsidRPr="006F3B00">
        <w:rPr>
          <w:rFonts w:ascii="Times New Roman" w:hAnsi="Times New Roman" w:cs="Times New Roman"/>
          <w:bCs/>
          <w:color w:val="auto"/>
          <w:u w:val="single"/>
        </w:rPr>
        <w:t xml:space="preserve"> </w:t>
      </w:r>
      <w:r w:rsidRPr="006F3B00">
        <w:rPr>
          <w:rFonts w:ascii="Times New Roman" w:hAnsi="Times New Roman" w:cs="Times New Roman"/>
        </w:rPr>
        <w:t>Academic Unit of Oral and Maxillofacial Medicine, Pathology and Surgery,</w:t>
      </w:r>
      <w:r w:rsidRPr="006F3B00">
        <w:rPr>
          <w:rFonts w:ascii="Times New Roman" w:hAnsi="Times New Roman" w:cs="Times New Roman"/>
          <w:bCs/>
          <w:color w:val="auto"/>
        </w:rPr>
        <w:t xml:space="preserve"> Professor Keith Hunter, who will escalate the complaint through the appropriate channels. Contact numbers are given on item 18 (see below).</w:t>
      </w:r>
    </w:p>
    <w:p w14:paraId="400BE3A3" w14:textId="77777777" w:rsidR="005F316B" w:rsidRPr="006F3B00" w:rsidRDefault="005F316B" w:rsidP="005F316B">
      <w:pPr>
        <w:pStyle w:val="Default"/>
        <w:rPr>
          <w:rFonts w:ascii="Times New Roman" w:hAnsi="Times New Roman" w:cs="Times New Roman"/>
          <w:bCs/>
          <w:color w:val="auto"/>
        </w:rPr>
      </w:pPr>
    </w:p>
    <w:p w14:paraId="2328C7CC" w14:textId="77777777" w:rsidR="005F316B" w:rsidRPr="006F3B00" w:rsidRDefault="005F316B" w:rsidP="005F316B">
      <w:pPr>
        <w:pStyle w:val="Default"/>
        <w:rPr>
          <w:rFonts w:ascii="Times New Roman" w:hAnsi="Times New Roman" w:cs="Times New Roman"/>
          <w:color w:val="auto"/>
        </w:rPr>
      </w:pPr>
    </w:p>
    <w:p w14:paraId="6E859FF1"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12. Will my taking part in this project be kept confidential? </w:t>
      </w:r>
    </w:p>
    <w:p w14:paraId="1755E1A8" w14:textId="77777777" w:rsidR="005F316B" w:rsidRPr="006F3B00" w:rsidRDefault="005F316B" w:rsidP="005F316B">
      <w:pPr>
        <w:pStyle w:val="Default"/>
        <w:rPr>
          <w:rFonts w:ascii="Times New Roman" w:hAnsi="Times New Roman" w:cs="Times New Roman"/>
          <w:b/>
          <w:bCs/>
          <w:color w:val="auto"/>
        </w:rPr>
      </w:pPr>
    </w:p>
    <w:p w14:paraId="54BE9C4F"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iCs/>
          <w:color w:val="auto"/>
        </w:rPr>
        <w:t xml:space="preserve">All the information that we collect about you during the course of the research will be kept strictly confidential. You will not be able to be identified in any reports or publications. </w:t>
      </w:r>
    </w:p>
    <w:p w14:paraId="2F7F57F8" w14:textId="77777777" w:rsidR="005F316B" w:rsidRPr="006F3B00" w:rsidRDefault="005F316B" w:rsidP="005F316B">
      <w:pPr>
        <w:pStyle w:val="Default"/>
        <w:rPr>
          <w:rFonts w:ascii="Times New Roman" w:hAnsi="Times New Roman" w:cs="Times New Roman"/>
          <w:bCs/>
          <w:color w:val="auto"/>
        </w:rPr>
      </w:pPr>
      <w:r w:rsidRPr="006F3B00">
        <w:rPr>
          <w:rFonts w:ascii="Times New Roman" w:hAnsi="Times New Roman" w:cs="Times New Roman"/>
          <w:bCs/>
          <w:color w:val="auto"/>
        </w:rPr>
        <w:t xml:space="preserve">Each participant will be given a reference number and not be identified by name. The reference numbers will only be known by the researcher (Daniel Brierley). All data will be anonymised </w:t>
      </w:r>
      <w:r w:rsidRPr="006F3B00">
        <w:rPr>
          <w:rFonts w:ascii="Times New Roman" w:eastAsia="Times New Roman" w:hAnsi="Times New Roman" w:cs="Times New Roman"/>
          <w:color w:val="auto"/>
          <w:lang w:eastAsia="en-GB"/>
        </w:rPr>
        <w:t>(all identifying information will be removed from all presentations of the data).</w:t>
      </w:r>
      <w:r w:rsidRPr="006F3B00">
        <w:rPr>
          <w:rFonts w:ascii="Times New Roman" w:hAnsi="Times New Roman" w:cs="Times New Roman"/>
          <w:bCs/>
          <w:color w:val="auto"/>
        </w:rPr>
        <w:t>Data will be stored on a password protected computer or USB device.</w:t>
      </w:r>
    </w:p>
    <w:p w14:paraId="435E93B2" w14:textId="77777777" w:rsidR="005F316B" w:rsidRPr="006F3B00" w:rsidRDefault="005F316B" w:rsidP="005F316B">
      <w:pPr>
        <w:pStyle w:val="Default"/>
        <w:rPr>
          <w:rFonts w:ascii="Times New Roman" w:hAnsi="Times New Roman" w:cs="Times New Roman"/>
          <w:color w:val="auto"/>
        </w:rPr>
      </w:pPr>
    </w:p>
    <w:p w14:paraId="1E54DBE6"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b/>
          <w:bCs/>
          <w:color w:val="auto"/>
        </w:rPr>
        <w:t xml:space="preserve">13. What type of information will be sought from me and why is the collection of this information relevant for achieving the research project’s objectives? </w:t>
      </w:r>
    </w:p>
    <w:p w14:paraId="3884BDED" w14:textId="77777777" w:rsidR="005F316B" w:rsidRPr="006F3B00" w:rsidRDefault="005F316B" w:rsidP="005F316B">
      <w:pPr>
        <w:pStyle w:val="Default"/>
        <w:rPr>
          <w:rFonts w:ascii="Times New Roman" w:hAnsi="Times New Roman" w:cs="Times New Roman"/>
          <w:color w:val="auto"/>
        </w:rPr>
      </w:pPr>
    </w:p>
    <w:p w14:paraId="57770FDA"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The type of information which is sought from you is regarding your opinions relating to your experience of workplace-based assessments in histopathology. We are also interested in your opinion of competence in histopathology and how this can be measured. This information is relevant so we can determine the impact of workplace-based assessments and if they are a good measure of competence. This may lead to changes to trainee assessment in the future.</w:t>
      </w:r>
    </w:p>
    <w:p w14:paraId="0DA80779" w14:textId="77777777" w:rsidR="005F316B" w:rsidRPr="006F3B00" w:rsidRDefault="005F316B" w:rsidP="005F316B">
      <w:pPr>
        <w:pStyle w:val="Default"/>
        <w:rPr>
          <w:rFonts w:ascii="Times New Roman" w:hAnsi="Times New Roman" w:cs="Times New Roman"/>
          <w:color w:val="auto"/>
        </w:rPr>
      </w:pPr>
    </w:p>
    <w:p w14:paraId="0233684E"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14. What will happen to the results of the research project? </w:t>
      </w:r>
    </w:p>
    <w:p w14:paraId="0935266C" w14:textId="77777777" w:rsidR="005F316B" w:rsidRPr="006F3B00" w:rsidRDefault="005F316B" w:rsidP="005F316B">
      <w:pPr>
        <w:pStyle w:val="Default"/>
        <w:rPr>
          <w:rFonts w:ascii="Times New Roman" w:hAnsi="Times New Roman" w:cs="Times New Roman"/>
          <w:color w:val="auto"/>
        </w:rPr>
      </w:pPr>
    </w:p>
    <w:p w14:paraId="570FA58C"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The results of this research may be published in histopathology or medical education journals. However, participants will not be identified in the report or publication. If results are published, participants will be informed and told where they may access the published material. The results may also be presented at conferences and due to the nature of this research it is very likely that other researchers may find the data collected useful in answering future research questions. We will ask for your explicit consent for your data to be shared in this way and if you agree, we will ensure that the data collected about you is untraceable back to you before allowing others to use it.</w:t>
      </w:r>
    </w:p>
    <w:p w14:paraId="0E4ED20E" w14:textId="77777777" w:rsidR="005F316B" w:rsidRPr="006F3B00" w:rsidRDefault="005F316B" w:rsidP="005F316B">
      <w:pPr>
        <w:pStyle w:val="Default"/>
        <w:rPr>
          <w:rFonts w:ascii="Times New Roman" w:hAnsi="Times New Roman" w:cs="Times New Roman"/>
          <w:color w:val="auto"/>
        </w:rPr>
      </w:pPr>
    </w:p>
    <w:p w14:paraId="00DD245A"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15. Who is organising and funding the research? </w:t>
      </w:r>
    </w:p>
    <w:p w14:paraId="3EC84C30" w14:textId="77777777" w:rsidR="005F316B" w:rsidRPr="006F3B00" w:rsidRDefault="005F316B" w:rsidP="005F316B">
      <w:pPr>
        <w:pStyle w:val="Default"/>
        <w:rPr>
          <w:rFonts w:ascii="Times New Roman" w:hAnsi="Times New Roman" w:cs="Times New Roman"/>
          <w:color w:val="auto"/>
        </w:rPr>
      </w:pPr>
    </w:p>
    <w:p w14:paraId="251FAFD2"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The research is funded through Daniel Brierley’s training as part of his 8 year programme as a specialist trainee in oral and maxillofacial pathology. Additional funding may be requested from other societies or institutions.</w:t>
      </w:r>
    </w:p>
    <w:p w14:paraId="4BA8DD2F" w14:textId="77777777" w:rsidR="005F316B" w:rsidRPr="006F3B00" w:rsidRDefault="005F316B" w:rsidP="005F316B">
      <w:pPr>
        <w:pStyle w:val="Default"/>
        <w:rPr>
          <w:rFonts w:ascii="Times New Roman" w:hAnsi="Times New Roman" w:cs="Times New Roman"/>
          <w:color w:val="auto"/>
        </w:rPr>
      </w:pPr>
    </w:p>
    <w:p w14:paraId="283A425F"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16. Who has ethically reviewed the project? </w:t>
      </w:r>
    </w:p>
    <w:p w14:paraId="5E10F85F" w14:textId="77777777" w:rsidR="005F316B" w:rsidRPr="006F3B00" w:rsidRDefault="005F316B" w:rsidP="005F316B">
      <w:pPr>
        <w:pStyle w:val="Default"/>
        <w:rPr>
          <w:rFonts w:ascii="Times New Roman" w:hAnsi="Times New Roman" w:cs="Times New Roman"/>
          <w:b/>
          <w:bCs/>
          <w:color w:val="auto"/>
        </w:rPr>
      </w:pPr>
    </w:p>
    <w:p w14:paraId="4C1547C0"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This project has been ethically approved via the Clinical Dentistry ethics review procedure, University of Sheffield</w:t>
      </w:r>
    </w:p>
    <w:p w14:paraId="676E7886" w14:textId="77777777" w:rsidR="005F316B" w:rsidRPr="006F3B00" w:rsidRDefault="005F316B" w:rsidP="005F316B">
      <w:pPr>
        <w:pStyle w:val="Default"/>
        <w:rPr>
          <w:rFonts w:ascii="Times New Roman" w:hAnsi="Times New Roman" w:cs="Times New Roman"/>
          <w:color w:val="auto"/>
        </w:rPr>
      </w:pPr>
    </w:p>
    <w:p w14:paraId="14129C7A"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color w:val="auto"/>
        </w:rPr>
        <w:t>17</w:t>
      </w:r>
      <w:r w:rsidRPr="006F3B00">
        <w:rPr>
          <w:rFonts w:ascii="Times New Roman" w:hAnsi="Times New Roman" w:cs="Times New Roman"/>
          <w:color w:val="auto"/>
        </w:rPr>
        <w:t xml:space="preserve">. </w:t>
      </w:r>
      <w:r w:rsidRPr="006F3B00">
        <w:rPr>
          <w:rFonts w:ascii="Times New Roman" w:hAnsi="Times New Roman" w:cs="Times New Roman"/>
          <w:b/>
          <w:bCs/>
          <w:color w:val="auto"/>
        </w:rPr>
        <w:t xml:space="preserve">Will I be recorded and how will the recorded media be used? </w:t>
      </w:r>
    </w:p>
    <w:p w14:paraId="2909A819" w14:textId="77777777" w:rsidR="005F316B" w:rsidRPr="006F3B00" w:rsidRDefault="005F316B" w:rsidP="005F316B">
      <w:pPr>
        <w:pStyle w:val="Default"/>
        <w:rPr>
          <w:rFonts w:ascii="Times New Roman" w:hAnsi="Times New Roman" w:cs="Times New Roman"/>
          <w:color w:val="auto"/>
        </w:rPr>
      </w:pPr>
    </w:p>
    <w:p w14:paraId="72828E43" w14:textId="77777777" w:rsidR="005F316B" w:rsidRPr="006F3B00" w:rsidRDefault="005F316B" w:rsidP="005F316B">
      <w:pPr>
        <w:pStyle w:val="Default"/>
        <w:rPr>
          <w:rFonts w:ascii="Times New Roman" w:hAnsi="Times New Roman" w:cs="Times New Roman"/>
          <w:iCs/>
          <w:color w:val="auto"/>
        </w:rPr>
      </w:pPr>
      <w:r w:rsidRPr="006F3B00">
        <w:rPr>
          <w:rFonts w:ascii="Times New Roman" w:hAnsi="Times New Roman" w:cs="Times New Roman"/>
          <w:iCs/>
          <w:color w:val="auto"/>
        </w:rPr>
        <w:lastRenderedPageBreak/>
        <w:t xml:space="preserve">Yes.  The recordings will be transcribed by the researcher (Daniel Brierley). The information collected during this research will be used only for analysis and for illustration in conferences, presentations and lectures.  No other use will be made of them without your written permission, and no one outside the project will be allowed access to the original recordings. No other use will be made of them without your written permission, and no one outside the project will be allowed access to the original recordings. Data will be stored for 10 years and </w:t>
      </w:r>
      <w:r w:rsidRPr="006F3B00">
        <w:rPr>
          <w:rFonts w:ascii="Times New Roman" w:eastAsia="Times New Roman" w:hAnsi="Times New Roman" w:cs="Times New Roman"/>
          <w:color w:val="auto"/>
          <w:lang w:eastAsia="en-GB"/>
        </w:rPr>
        <w:t>will be anonymised (all identifying information will be removed from all presentations of the data).</w:t>
      </w:r>
    </w:p>
    <w:p w14:paraId="15988F9C" w14:textId="77777777" w:rsidR="005F316B" w:rsidRPr="006F3B00" w:rsidRDefault="005F316B" w:rsidP="005F316B">
      <w:pPr>
        <w:pStyle w:val="Default"/>
        <w:rPr>
          <w:rFonts w:ascii="Times New Roman" w:hAnsi="Times New Roman" w:cs="Times New Roman"/>
          <w:color w:val="auto"/>
        </w:rPr>
      </w:pPr>
    </w:p>
    <w:p w14:paraId="18CA2379" w14:textId="77777777" w:rsidR="005F316B" w:rsidRPr="006F3B00" w:rsidRDefault="005F316B" w:rsidP="005F316B">
      <w:pPr>
        <w:pStyle w:val="Default"/>
        <w:rPr>
          <w:rFonts w:ascii="Times New Roman" w:hAnsi="Times New Roman" w:cs="Times New Roman"/>
          <w:color w:val="auto"/>
        </w:rPr>
      </w:pPr>
    </w:p>
    <w:p w14:paraId="1DBF9D98" w14:textId="77777777" w:rsidR="005F316B" w:rsidRPr="006F3B00" w:rsidRDefault="005F316B" w:rsidP="005F316B">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18. Contacts for further information </w:t>
      </w:r>
    </w:p>
    <w:p w14:paraId="5B0D9261" w14:textId="77777777" w:rsidR="005F316B" w:rsidRPr="006F3B00" w:rsidRDefault="005F316B" w:rsidP="005F316B">
      <w:pPr>
        <w:pStyle w:val="Default"/>
        <w:rPr>
          <w:rFonts w:ascii="Times New Roman" w:hAnsi="Times New Roman" w:cs="Times New Roman"/>
          <w:b/>
          <w:bCs/>
          <w:color w:val="auto"/>
        </w:rPr>
      </w:pPr>
    </w:p>
    <w:p w14:paraId="32B57BFD" w14:textId="77777777" w:rsidR="005F316B" w:rsidRPr="006F3B00" w:rsidRDefault="005F316B" w:rsidP="005F316B">
      <w:pPr>
        <w:pStyle w:val="Default"/>
        <w:rPr>
          <w:rFonts w:ascii="Times New Roman" w:hAnsi="Times New Roman" w:cs="Times New Roman"/>
          <w:bCs/>
          <w:color w:val="auto"/>
        </w:rPr>
      </w:pPr>
      <w:r w:rsidRPr="006F3B00">
        <w:rPr>
          <w:rFonts w:ascii="Times New Roman" w:hAnsi="Times New Roman" w:cs="Times New Roman"/>
          <w:bCs/>
          <w:color w:val="auto"/>
        </w:rPr>
        <w:t>Researcher</w:t>
      </w:r>
    </w:p>
    <w:p w14:paraId="77627033"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Daniel Brierley</w:t>
      </w:r>
    </w:p>
    <w:p w14:paraId="167745D2"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Room E36</w:t>
      </w:r>
    </w:p>
    <w:p w14:paraId="78BE5557"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38DCD275"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0A82A30E"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50B60DAD"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Sheffield</w:t>
      </w:r>
    </w:p>
    <w:p w14:paraId="73378B86"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S10 2TA</w:t>
      </w:r>
    </w:p>
    <w:p w14:paraId="34F0802D"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Tel: 01142265477</w:t>
      </w:r>
    </w:p>
    <w:p w14:paraId="097218CA"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Email: d.j.brierley@sheffield.ac.uk</w:t>
      </w:r>
    </w:p>
    <w:p w14:paraId="792DBA12" w14:textId="77777777" w:rsidR="005F316B" w:rsidRPr="006F3B00" w:rsidRDefault="005F316B" w:rsidP="005F316B">
      <w:pPr>
        <w:pStyle w:val="Default"/>
        <w:rPr>
          <w:rFonts w:ascii="Times New Roman" w:hAnsi="Times New Roman" w:cs="Times New Roman"/>
          <w:color w:val="auto"/>
          <w:u w:val="single"/>
        </w:rPr>
      </w:pPr>
    </w:p>
    <w:p w14:paraId="6A4849AF"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Lead supervisor</w:t>
      </w:r>
    </w:p>
    <w:p w14:paraId="723FB63B"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Emeritus Professor Paula Farthing</w:t>
      </w:r>
    </w:p>
    <w:p w14:paraId="113EF8B6"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37D81A96"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7880B65E"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7CE13818"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Sheffield</w:t>
      </w:r>
    </w:p>
    <w:p w14:paraId="6731EBF9"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S10 2TA</w:t>
      </w:r>
    </w:p>
    <w:p w14:paraId="0136A805"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Tel: 0114 2717969</w:t>
      </w:r>
    </w:p>
    <w:p w14:paraId="28D88542"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 xml:space="preserve">Email: p.farthing@sheffield.ac.uk </w:t>
      </w:r>
    </w:p>
    <w:p w14:paraId="157D0CB9" w14:textId="77777777" w:rsidR="005F316B" w:rsidRPr="006F3B00" w:rsidRDefault="005F316B" w:rsidP="005F316B">
      <w:pPr>
        <w:pStyle w:val="Default"/>
        <w:rPr>
          <w:rFonts w:ascii="Times New Roman" w:hAnsi="Times New Roman" w:cs="Times New Roman"/>
          <w:color w:val="auto"/>
        </w:rPr>
      </w:pPr>
    </w:p>
    <w:p w14:paraId="795DC8B8" w14:textId="77777777" w:rsidR="005F316B" w:rsidRPr="006F3B00" w:rsidRDefault="005F316B" w:rsidP="005F316B">
      <w:pPr>
        <w:pStyle w:val="Default"/>
        <w:rPr>
          <w:rFonts w:ascii="Times New Roman" w:hAnsi="Times New Roman" w:cs="Times New Roman"/>
          <w:color w:val="auto"/>
        </w:rPr>
      </w:pPr>
    </w:p>
    <w:p w14:paraId="1DEA232F"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Head of Department</w:t>
      </w:r>
    </w:p>
    <w:p w14:paraId="3A548656"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Professor Keith Hunter</w:t>
      </w:r>
    </w:p>
    <w:p w14:paraId="57B256ED"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Room E32</w:t>
      </w:r>
    </w:p>
    <w:p w14:paraId="6FBD9916"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57A6DCC6"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37707478"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7030DF94"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Sheffield</w:t>
      </w:r>
    </w:p>
    <w:p w14:paraId="1DFE359E"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S10 2TA</w:t>
      </w:r>
    </w:p>
    <w:p w14:paraId="3C5BA3D3"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Tel: 0114 2717960</w:t>
      </w:r>
    </w:p>
    <w:p w14:paraId="22A89CB0"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 xml:space="preserve">Email: k.hunter@sheffield.ac.uk </w:t>
      </w:r>
    </w:p>
    <w:p w14:paraId="398FC6E8" w14:textId="77777777" w:rsidR="005F316B" w:rsidRPr="006F3B00" w:rsidRDefault="005F316B" w:rsidP="005F316B">
      <w:pPr>
        <w:pStyle w:val="Default"/>
        <w:rPr>
          <w:rFonts w:ascii="Times New Roman" w:hAnsi="Times New Roman" w:cs="Times New Roman"/>
          <w:b/>
          <w:color w:val="auto"/>
        </w:rPr>
      </w:pPr>
    </w:p>
    <w:p w14:paraId="5BCE8A3F" w14:textId="77777777" w:rsidR="005F316B" w:rsidRPr="006F3B00" w:rsidRDefault="005F316B" w:rsidP="005F316B">
      <w:pPr>
        <w:pStyle w:val="Default"/>
        <w:rPr>
          <w:rFonts w:ascii="Times New Roman" w:hAnsi="Times New Roman" w:cs="Times New Roman"/>
          <w:b/>
          <w:color w:val="auto"/>
        </w:rPr>
      </w:pPr>
    </w:p>
    <w:p w14:paraId="1D9A762B"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Each participant will be given a copy of this information sheet and consent form to keep.</w:t>
      </w:r>
    </w:p>
    <w:p w14:paraId="49B41CF2" w14:textId="77777777" w:rsidR="005F316B" w:rsidRPr="006F3B00" w:rsidRDefault="005F316B" w:rsidP="005F316B">
      <w:pPr>
        <w:pStyle w:val="Default"/>
        <w:rPr>
          <w:rFonts w:ascii="Times New Roman" w:hAnsi="Times New Roman" w:cs="Times New Roman"/>
          <w:color w:val="auto"/>
        </w:rPr>
      </w:pPr>
    </w:p>
    <w:p w14:paraId="1DC75B24" w14:textId="77777777" w:rsidR="005F316B" w:rsidRPr="006F3B00" w:rsidRDefault="005F316B" w:rsidP="005F316B">
      <w:pPr>
        <w:pStyle w:val="Default"/>
        <w:rPr>
          <w:rFonts w:ascii="Times New Roman" w:hAnsi="Times New Roman" w:cs="Times New Roman"/>
          <w:color w:val="auto"/>
        </w:rPr>
      </w:pPr>
      <w:r w:rsidRPr="006F3B00">
        <w:rPr>
          <w:rFonts w:ascii="Times New Roman" w:hAnsi="Times New Roman" w:cs="Times New Roman"/>
          <w:color w:val="auto"/>
        </w:rPr>
        <w:t>We would like to thank all participants for taking part in this study</w:t>
      </w:r>
    </w:p>
    <w:p w14:paraId="040024C9" w14:textId="77777777" w:rsidR="005F316B" w:rsidRPr="006F3B00" w:rsidRDefault="005F316B" w:rsidP="005F316B">
      <w:pPr>
        <w:pStyle w:val="Default"/>
        <w:rPr>
          <w:rFonts w:ascii="Times New Roman" w:hAnsi="Times New Roman" w:cs="Times New Roman"/>
          <w:color w:val="auto"/>
        </w:rPr>
      </w:pPr>
    </w:p>
    <w:p w14:paraId="148FE90C" w14:textId="77777777" w:rsidR="005F316B" w:rsidRPr="006F3B00" w:rsidRDefault="005F316B" w:rsidP="005F316B">
      <w:pPr>
        <w:rPr>
          <w:rFonts w:ascii="Times New Roman" w:hAnsi="Times New Roman" w:cs="Times New Roman"/>
          <w:i/>
          <w:iCs/>
          <w:szCs w:val="24"/>
        </w:rPr>
      </w:pPr>
    </w:p>
    <w:p w14:paraId="6FEC2369" w14:textId="77777777" w:rsidR="005F316B" w:rsidRPr="006F3B00" w:rsidRDefault="005F316B" w:rsidP="005F316B">
      <w:pPr>
        <w:rPr>
          <w:rFonts w:ascii="Times New Roman" w:hAnsi="Times New Roman" w:cs="Times New Roman"/>
          <w:szCs w:val="24"/>
        </w:rPr>
      </w:pPr>
    </w:p>
    <w:p w14:paraId="29983449" w14:textId="25F497BB" w:rsidR="00EC7C2C" w:rsidRPr="006F3B00" w:rsidRDefault="00DB4E45" w:rsidP="00EC7C2C">
      <w:pPr>
        <w:pStyle w:val="Heading2"/>
        <w:rPr>
          <w:rFonts w:ascii="Times New Roman" w:hAnsi="Times New Roman" w:cs="Times New Roman"/>
          <w:color w:val="auto"/>
          <w:sz w:val="24"/>
          <w:szCs w:val="24"/>
        </w:rPr>
      </w:pPr>
      <w:bookmarkStart w:id="135" w:name="_Toc23243864"/>
      <w:r>
        <w:rPr>
          <w:rFonts w:ascii="Times New Roman" w:hAnsi="Times New Roman" w:cs="Times New Roman"/>
          <w:color w:val="auto"/>
          <w:sz w:val="24"/>
          <w:szCs w:val="24"/>
        </w:rPr>
        <w:lastRenderedPageBreak/>
        <w:t>Appendix 5</w:t>
      </w:r>
      <w:r w:rsidR="009B7251" w:rsidRPr="006F3B00">
        <w:rPr>
          <w:rFonts w:ascii="Times New Roman" w:hAnsi="Times New Roman" w:cs="Times New Roman"/>
          <w:color w:val="auto"/>
          <w:sz w:val="24"/>
          <w:szCs w:val="24"/>
        </w:rPr>
        <w:t>: Interview guide</w:t>
      </w:r>
      <w:bookmarkEnd w:id="135"/>
    </w:p>
    <w:p w14:paraId="4F1A9B67" w14:textId="77777777" w:rsidR="00EC7C2C" w:rsidRPr="00670157" w:rsidRDefault="00EC7C2C" w:rsidP="00670157">
      <w:pPr>
        <w:jc w:val="center"/>
        <w:rPr>
          <w:rFonts w:ascii="Times New Roman" w:hAnsi="Times New Roman" w:cs="Times New Roman"/>
          <w:b/>
          <w:lang w:val="en-GB"/>
        </w:rPr>
      </w:pPr>
    </w:p>
    <w:p w14:paraId="2366ADE7" w14:textId="611739EE" w:rsidR="00670157" w:rsidRPr="00670157" w:rsidRDefault="00670157" w:rsidP="00670157">
      <w:pPr>
        <w:spacing w:line="240" w:lineRule="auto"/>
        <w:jc w:val="center"/>
        <w:rPr>
          <w:rFonts w:ascii="Times New Roman" w:hAnsi="Times New Roman" w:cs="Times New Roman"/>
          <w:b/>
          <w:sz w:val="24"/>
          <w:szCs w:val="24"/>
        </w:rPr>
      </w:pPr>
      <w:r w:rsidRPr="00670157">
        <w:rPr>
          <w:rFonts w:ascii="Times New Roman" w:hAnsi="Times New Roman" w:cs="Times New Roman"/>
          <w:b/>
          <w:sz w:val="24"/>
          <w:szCs w:val="24"/>
        </w:rPr>
        <w:t>“Determination of diagnostic competence in histopathology trainees”</w:t>
      </w:r>
    </w:p>
    <w:p w14:paraId="7D534018" w14:textId="29C33FE5" w:rsidR="00EC7C2C" w:rsidRPr="006F3B00" w:rsidRDefault="00EC7C2C" w:rsidP="00670157">
      <w:pPr>
        <w:ind w:right="-80"/>
        <w:rPr>
          <w:rFonts w:ascii="Times New Roman" w:hAnsi="Times New Roman" w:cs="Times New Roman"/>
          <w:sz w:val="24"/>
          <w:szCs w:val="24"/>
        </w:rPr>
      </w:pPr>
    </w:p>
    <w:p w14:paraId="7DCED373" w14:textId="77777777" w:rsidR="00EC7C2C" w:rsidRPr="006F3B00" w:rsidRDefault="00EC7C2C" w:rsidP="00EC7C2C">
      <w:pPr>
        <w:ind w:right="-80"/>
        <w:jc w:val="center"/>
        <w:rPr>
          <w:rFonts w:ascii="Times New Roman" w:hAnsi="Times New Roman" w:cs="Times New Roman"/>
          <w:sz w:val="24"/>
          <w:szCs w:val="24"/>
        </w:rPr>
      </w:pPr>
      <w:r w:rsidRPr="006F3B00">
        <w:rPr>
          <w:rFonts w:ascii="Times New Roman" w:hAnsi="Times New Roman" w:cs="Times New Roman"/>
          <w:sz w:val="24"/>
          <w:szCs w:val="24"/>
        </w:rPr>
        <w:t>Dr Daniel J Brierley (Researcher – Specialist Registrar, Academic Unit of Oral and Maxillofacial Medicine, Pathology and Surgery)</w:t>
      </w:r>
    </w:p>
    <w:p w14:paraId="0292D100" w14:textId="77777777" w:rsidR="00EC7C2C" w:rsidRPr="006F3B00" w:rsidRDefault="00EC7C2C" w:rsidP="00EC7C2C">
      <w:pPr>
        <w:ind w:right="-80"/>
        <w:jc w:val="center"/>
        <w:rPr>
          <w:rFonts w:ascii="Times New Roman" w:hAnsi="Times New Roman" w:cs="Times New Roman"/>
          <w:sz w:val="24"/>
          <w:szCs w:val="24"/>
        </w:rPr>
      </w:pPr>
    </w:p>
    <w:p w14:paraId="5568A7F8" w14:textId="77777777" w:rsidR="00EC7C2C" w:rsidRPr="006F3B00" w:rsidRDefault="00EC7C2C" w:rsidP="00EC7C2C">
      <w:pPr>
        <w:ind w:right="-80"/>
        <w:jc w:val="center"/>
        <w:rPr>
          <w:rFonts w:ascii="Times New Roman" w:hAnsi="Times New Roman" w:cs="Times New Roman"/>
          <w:sz w:val="24"/>
          <w:szCs w:val="24"/>
        </w:rPr>
      </w:pPr>
      <w:r w:rsidRPr="006F3B00">
        <w:rPr>
          <w:rFonts w:ascii="Times New Roman" w:hAnsi="Times New Roman" w:cs="Times New Roman"/>
          <w:sz w:val="24"/>
          <w:szCs w:val="24"/>
        </w:rPr>
        <w:t>Professor Paula M Farthing (</w:t>
      </w:r>
      <w:r w:rsidRPr="006F3B00">
        <w:rPr>
          <w:rFonts w:ascii="Times New Roman" w:hAnsi="Times New Roman" w:cs="Times New Roman"/>
          <w:bCs/>
          <w:sz w:val="24"/>
          <w:szCs w:val="24"/>
        </w:rPr>
        <w:t>Supervisor and Principal Investigator</w:t>
      </w:r>
      <w:r w:rsidRPr="006F3B00">
        <w:rPr>
          <w:rFonts w:ascii="Times New Roman" w:hAnsi="Times New Roman" w:cs="Times New Roman"/>
          <w:b/>
          <w:bCs/>
          <w:sz w:val="24"/>
          <w:szCs w:val="24"/>
        </w:rPr>
        <w:t xml:space="preserve">, </w:t>
      </w:r>
      <w:r w:rsidRPr="006F3B00">
        <w:rPr>
          <w:rFonts w:ascii="Times New Roman" w:hAnsi="Times New Roman" w:cs="Times New Roman"/>
          <w:bCs/>
          <w:sz w:val="24"/>
          <w:szCs w:val="24"/>
        </w:rPr>
        <w:t>Emeritus</w:t>
      </w:r>
      <w:r w:rsidRPr="006F3B00">
        <w:rPr>
          <w:rFonts w:ascii="Times New Roman" w:hAnsi="Times New Roman" w:cs="Times New Roman"/>
          <w:sz w:val="24"/>
          <w:szCs w:val="24"/>
        </w:rPr>
        <w:t xml:space="preserve"> Professor in Oral and Maxillofacial Pathology, Academic Unit of Oral and Maxillofacial Medicine, Pathology and Surgery) </w:t>
      </w:r>
    </w:p>
    <w:p w14:paraId="2B00AD10" w14:textId="77777777" w:rsidR="00EC7C2C" w:rsidRPr="006F3B00" w:rsidRDefault="00EC7C2C" w:rsidP="00EC7C2C">
      <w:pPr>
        <w:ind w:right="-80"/>
        <w:jc w:val="center"/>
        <w:rPr>
          <w:rFonts w:ascii="Times New Roman" w:hAnsi="Times New Roman" w:cs="Times New Roman"/>
          <w:sz w:val="24"/>
          <w:szCs w:val="24"/>
        </w:rPr>
      </w:pPr>
    </w:p>
    <w:p w14:paraId="53FC12BB" w14:textId="77777777" w:rsidR="00EC7C2C" w:rsidRPr="006F3B00" w:rsidRDefault="00EC7C2C" w:rsidP="00EC7C2C">
      <w:pPr>
        <w:ind w:right="-80"/>
        <w:jc w:val="center"/>
        <w:rPr>
          <w:rFonts w:ascii="Times New Roman" w:hAnsi="Times New Roman" w:cs="Times New Roman"/>
          <w:sz w:val="24"/>
          <w:szCs w:val="24"/>
        </w:rPr>
      </w:pPr>
      <w:r w:rsidRPr="006F3B00">
        <w:rPr>
          <w:rFonts w:ascii="Times New Roman" w:hAnsi="Times New Roman" w:cs="Times New Roman"/>
          <w:sz w:val="24"/>
          <w:szCs w:val="24"/>
        </w:rPr>
        <w:t xml:space="preserve">Dr Sandra Zijlstra-Shaw (Co-supervisor and </w:t>
      </w:r>
      <w:r w:rsidRPr="006F3B00">
        <w:rPr>
          <w:rFonts w:ascii="Times New Roman" w:hAnsi="Times New Roman" w:cs="Times New Roman"/>
          <w:sz w:val="24"/>
          <w:szCs w:val="24"/>
          <w:lang w:val="nl-NL" w:eastAsia="en-GB"/>
        </w:rPr>
        <w:t xml:space="preserve">Senior Clinical Teacher, </w:t>
      </w:r>
      <w:r w:rsidRPr="006F3B00">
        <w:rPr>
          <w:rFonts w:ascii="Times New Roman" w:hAnsi="Times New Roman" w:cs="Times New Roman"/>
          <w:sz w:val="24"/>
          <w:szCs w:val="24"/>
          <w:lang w:eastAsia="en-GB"/>
        </w:rPr>
        <w:t>Deputy Director of Learning and Teaching (Professionalism and Social Accountability) Academic Unit of Primary Dental Care</w:t>
      </w:r>
    </w:p>
    <w:p w14:paraId="08677A8F" w14:textId="77777777" w:rsidR="00EC7C2C" w:rsidRPr="006F3B00" w:rsidRDefault="00EC7C2C" w:rsidP="00EC7C2C">
      <w:pPr>
        <w:ind w:right="-80"/>
        <w:jc w:val="center"/>
        <w:rPr>
          <w:rFonts w:ascii="Times New Roman" w:hAnsi="Times New Roman" w:cs="Times New Roman"/>
          <w:sz w:val="24"/>
          <w:szCs w:val="24"/>
        </w:rPr>
      </w:pPr>
    </w:p>
    <w:p w14:paraId="04D585A3"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D87E28" wp14:editId="5F6CAD34">
                <wp:simplePos x="0" y="0"/>
                <wp:positionH relativeFrom="column">
                  <wp:posOffset>648335</wp:posOffset>
                </wp:positionH>
                <wp:positionV relativeFrom="paragraph">
                  <wp:posOffset>189230</wp:posOffset>
                </wp:positionV>
                <wp:extent cx="4391025" cy="2885440"/>
                <wp:effectExtent l="24765" t="20955" r="32385" b="4635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88544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1C2F1909" w14:textId="77777777" w:rsidR="00D35C1E" w:rsidRDefault="00D35C1E" w:rsidP="00EC7C2C">
                            <w:pPr>
                              <w:rPr>
                                <w:rFonts w:ascii="Arial" w:hAnsi="Arial" w:cs="Arial"/>
                                <w:b/>
                              </w:rPr>
                            </w:pPr>
                            <w:r>
                              <w:rPr>
                                <w:rFonts w:ascii="Arial" w:hAnsi="Arial" w:cs="Arial"/>
                                <w:b/>
                              </w:rPr>
                              <w:t>Research objectives:</w:t>
                            </w:r>
                          </w:p>
                          <w:p w14:paraId="55E041F7" w14:textId="77777777" w:rsidR="00D35C1E" w:rsidRDefault="00D35C1E" w:rsidP="00EC7C2C">
                            <w:pPr>
                              <w:rPr>
                                <w:rFonts w:ascii="Arial" w:hAnsi="Arial" w:cs="Arial"/>
                                <w:b/>
                              </w:rPr>
                            </w:pPr>
                          </w:p>
                          <w:p w14:paraId="174F7674" w14:textId="77777777" w:rsidR="00D35C1E" w:rsidRPr="003E5C0E" w:rsidRDefault="00D35C1E" w:rsidP="00EC7C2C">
                            <w:pPr>
                              <w:spacing w:line="480" w:lineRule="auto"/>
                              <w:rPr>
                                <w:rFonts w:ascii="Times New Roman" w:hAnsi="Times New Roman" w:cs="Times New Roman"/>
                                <w:sz w:val="24"/>
                                <w:szCs w:val="24"/>
                              </w:rPr>
                            </w:pPr>
                            <w:r w:rsidRPr="003E5C0E">
                              <w:rPr>
                                <w:rFonts w:ascii="Times New Roman" w:hAnsi="Times New Roman" w:cs="Times New Roman"/>
                                <w:sz w:val="24"/>
                                <w:szCs w:val="24"/>
                              </w:rPr>
                              <w:t>To explore and understand:</w:t>
                            </w:r>
                          </w:p>
                          <w:p w14:paraId="5E7FEBD3" w14:textId="77777777" w:rsidR="00D35C1E" w:rsidRPr="003E5C0E" w:rsidRDefault="00D35C1E" w:rsidP="00EC7C2C">
                            <w:pPr>
                              <w:pStyle w:val="ListParagraph"/>
                              <w:numPr>
                                <w:ilvl w:val="0"/>
                                <w:numId w:val="4"/>
                              </w:numPr>
                              <w:spacing w:line="480" w:lineRule="auto"/>
                              <w:rPr>
                                <w:rFonts w:ascii="Times New Roman" w:hAnsi="Times New Roman" w:cs="Times New Roman"/>
                                <w:sz w:val="24"/>
                                <w:szCs w:val="24"/>
                              </w:rPr>
                            </w:pPr>
                            <w:r w:rsidRPr="003E5C0E">
                              <w:rPr>
                                <w:rFonts w:ascii="Times New Roman" w:hAnsi="Times New Roman" w:cs="Times New Roman"/>
                                <w:sz w:val="24"/>
                                <w:szCs w:val="24"/>
                              </w:rPr>
                              <w:t>What diagnostic competence encompasses in histopathology</w:t>
                            </w:r>
                          </w:p>
                          <w:p w14:paraId="6C86D385" w14:textId="77777777" w:rsidR="00D35C1E" w:rsidRPr="003E5C0E" w:rsidRDefault="00D35C1E" w:rsidP="00EC7C2C">
                            <w:pPr>
                              <w:pStyle w:val="ListParagraph"/>
                              <w:numPr>
                                <w:ilvl w:val="0"/>
                                <w:numId w:val="4"/>
                              </w:numPr>
                              <w:spacing w:line="480" w:lineRule="auto"/>
                              <w:rPr>
                                <w:rFonts w:ascii="Times New Roman" w:hAnsi="Times New Roman" w:cs="Times New Roman"/>
                                <w:sz w:val="24"/>
                                <w:szCs w:val="24"/>
                              </w:rPr>
                            </w:pPr>
                            <w:r w:rsidRPr="003E5C0E">
                              <w:rPr>
                                <w:rFonts w:ascii="Times New Roman" w:hAnsi="Times New Roman" w:cs="Times New Roman"/>
                                <w:sz w:val="24"/>
                                <w:szCs w:val="24"/>
                              </w:rPr>
                              <w:t xml:space="preserve"> The cues consultants look for in their trainees when determining diagnostic competence</w:t>
                            </w:r>
                          </w:p>
                          <w:p w14:paraId="0B6D754E" w14:textId="77777777" w:rsidR="00D35C1E" w:rsidRPr="003E5C0E" w:rsidRDefault="00D35C1E" w:rsidP="00EC7C2C">
                            <w:pPr>
                              <w:pStyle w:val="ListParagraph"/>
                              <w:numPr>
                                <w:ilvl w:val="0"/>
                                <w:numId w:val="4"/>
                              </w:numPr>
                              <w:spacing w:line="480" w:lineRule="auto"/>
                              <w:rPr>
                                <w:rFonts w:ascii="Times New Roman" w:hAnsi="Times New Roman" w:cs="Times New Roman"/>
                                <w:sz w:val="24"/>
                                <w:szCs w:val="24"/>
                              </w:rPr>
                            </w:pPr>
                            <w:r w:rsidRPr="003E5C0E">
                              <w:rPr>
                                <w:rFonts w:ascii="Times New Roman" w:hAnsi="Times New Roman" w:cs="Times New Roman"/>
                                <w:sz w:val="24"/>
                                <w:szCs w:val="24"/>
                              </w:rPr>
                              <w:t xml:space="preserve"> The judgement ecology which pertains to determining diagnostic competency in trainees</w:t>
                            </w:r>
                          </w:p>
                          <w:p w14:paraId="0139D8AD" w14:textId="77777777" w:rsidR="00D35C1E" w:rsidRPr="003314C1" w:rsidRDefault="00D35C1E" w:rsidP="00EC7C2C">
                            <w:pPr>
                              <w:ind w:left="720"/>
                              <w:rPr>
                                <w:rFonts w:ascii="Arial" w:hAnsi="Arial" w:cs="Arial"/>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D87E28" id="Text Box 318" o:spid="_x0000_s1066" type="#_x0000_t202" style="position:absolute;margin-left:51.05pt;margin-top:14.9pt;width:345.75pt;height:227.2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l1hgIAAAUFAAAOAAAAZHJzL2Uyb0RvYy54bWysVF1v2yAUfZ+0/4B4X/yRpHWsOlWTNtOk&#10;7kNqpz0TwDYaBgYkdvvrd8FJGrXby7REsrhcONx7zoGr66GTaM+tE1pVOJukGHFFNROqqfD3x82H&#10;AiPniWJEasUr/MQdvl6+f3fVm5LnutWScYsARLmyNxVuvTdlkjja8o64iTZcQbLWtiMeQtskzJIe&#10;0DuZ5Gl6kfTaMmM15c7B7O2YxMuIX9ec+q917bhHssJQm49fG7/b8E2WV6RsLDGtoIcyyD9U0RGh&#10;4NAT1C3xBO2seAPVCWq107WfUN0luq4F5bEH6CZLX3Xz0BLDYy9AjjMnmtz/g6Vf9t8sEqzC0wyk&#10;UqQDkR754NFKDyjMAUO9cSUsfDCw1A+QAKVjt87ca/rTIaXXLVENv7FW9y0nDCrMws7kbOuI4wLI&#10;tv+sGRxEdl5HoKG2XaAPCEGADko9ndQJxVCYnE0XWZrPMaKQy4tiPptF/RJSHrcb6/xHrjsUBhW2&#10;IH+EJ/t750M5pDwuCac5LQXbCCljYJvtWlq0J2CVxWq1mi9iB6+WSYV6IKvI0nSk4K8Ymzz8/4TR&#10;CQ+ml6KrcJGGX1hEykDcnWJx7ImQ4xhqliqkebQzNBICvQOIh5b1iInQal5MF6AfE+DtaZFepItL&#10;jIhs4FJSbzGy2v8Qvo2OCsy+6Xh2d5HlxciWNC0ZeZgfq4Mq3EhQZPF0fIzOKouCB41Htf2wHaK7&#10;ssvQY3DDVrMnsAAUFHWGtwMGrbbPGPVwDyvsfu2I5RjJTwpstMiCzMjHYDa/zCGw55nteYYoClAV&#10;9tB8HK79eNl3xoqmhZOOxr0B621ENMVLVQfDwl2LfR3ehXCZz+O46uX1Wv4GAAD//wMAUEsDBBQA&#10;BgAIAAAAIQCMngVI4QAAAAoBAAAPAAAAZHJzL2Rvd25yZXYueG1sTI9BT8JAEIXvJv6HzZh4ky0V&#10;EUq3BDUmeiKCynXbHdpCd7Z2Fyj+eseTHl/my5vvpfPeNuKIna8dKRgOIhBIhTM1lQre1883ExA+&#10;aDK6cYQKzuhhnl1epDox7kRveFyFUnAJ+UQrqEJoEyl9UaHVfuBaJL5tXWd14NiV0nT6xOW2kXEU&#10;jaXVNfGHSrf4WGGxXx2sgpevh892+b27s+fXbZEvP9Z287RT6vqqX8xABOzDHwy/+qwOGTvl7kDG&#10;i4ZzFA8ZVRBPeQID99PbMYhcwWgyikFmqfw/IfsBAAD//wMAUEsBAi0AFAAGAAgAAAAhALaDOJL+&#10;AAAA4QEAABMAAAAAAAAAAAAAAAAAAAAAAFtDb250ZW50X1R5cGVzXS54bWxQSwECLQAUAAYACAAA&#10;ACEAOP0h/9YAAACUAQAACwAAAAAAAAAAAAAAAAAvAQAAX3JlbHMvLnJlbHNQSwECLQAUAAYACAAA&#10;ACEAWCjZdYYCAAAFBQAADgAAAAAAAAAAAAAAAAAuAgAAZHJzL2Uyb0RvYy54bWxQSwECLQAUAAYA&#10;CAAAACEAjJ4FSOEAAAAKAQAADwAAAAAAAAAAAAAAAADgBAAAZHJzL2Rvd25yZXYueG1sUEsFBgAA&#10;AAAEAAQA8wAAAO4FAAAAAA==&#10;" fillcolor="#9bbb59" strokecolor="#f2f2f2" strokeweight="3pt">
                <v:shadow on="t" color="#4e6128" opacity=".5" offset="1pt"/>
                <v:textbox style="mso-fit-shape-to-text:t">
                  <w:txbxContent>
                    <w:p w14:paraId="1C2F1909" w14:textId="77777777" w:rsidR="00D35C1E" w:rsidRDefault="00D35C1E" w:rsidP="00EC7C2C">
                      <w:pPr>
                        <w:rPr>
                          <w:rFonts w:ascii="Arial" w:hAnsi="Arial" w:cs="Arial"/>
                          <w:b/>
                        </w:rPr>
                      </w:pPr>
                      <w:r>
                        <w:rPr>
                          <w:rFonts w:ascii="Arial" w:hAnsi="Arial" w:cs="Arial"/>
                          <w:b/>
                        </w:rPr>
                        <w:t>Research objectives:</w:t>
                      </w:r>
                    </w:p>
                    <w:p w14:paraId="55E041F7" w14:textId="77777777" w:rsidR="00D35C1E" w:rsidRDefault="00D35C1E" w:rsidP="00EC7C2C">
                      <w:pPr>
                        <w:rPr>
                          <w:rFonts w:ascii="Arial" w:hAnsi="Arial" w:cs="Arial"/>
                          <w:b/>
                        </w:rPr>
                      </w:pPr>
                    </w:p>
                    <w:p w14:paraId="174F7674" w14:textId="77777777" w:rsidR="00D35C1E" w:rsidRPr="003E5C0E" w:rsidRDefault="00D35C1E" w:rsidP="00EC7C2C">
                      <w:pPr>
                        <w:spacing w:line="480" w:lineRule="auto"/>
                        <w:rPr>
                          <w:rFonts w:ascii="Times New Roman" w:hAnsi="Times New Roman" w:cs="Times New Roman"/>
                          <w:sz w:val="24"/>
                          <w:szCs w:val="24"/>
                        </w:rPr>
                      </w:pPr>
                      <w:r w:rsidRPr="003E5C0E">
                        <w:rPr>
                          <w:rFonts w:ascii="Times New Roman" w:hAnsi="Times New Roman" w:cs="Times New Roman"/>
                          <w:sz w:val="24"/>
                          <w:szCs w:val="24"/>
                        </w:rPr>
                        <w:t>To explore and understand:</w:t>
                      </w:r>
                    </w:p>
                    <w:p w14:paraId="5E7FEBD3" w14:textId="77777777" w:rsidR="00D35C1E" w:rsidRPr="003E5C0E" w:rsidRDefault="00D35C1E" w:rsidP="00EC7C2C">
                      <w:pPr>
                        <w:pStyle w:val="ListParagraph"/>
                        <w:numPr>
                          <w:ilvl w:val="0"/>
                          <w:numId w:val="4"/>
                        </w:numPr>
                        <w:spacing w:line="480" w:lineRule="auto"/>
                        <w:rPr>
                          <w:rFonts w:ascii="Times New Roman" w:hAnsi="Times New Roman" w:cs="Times New Roman"/>
                          <w:sz w:val="24"/>
                          <w:szCs w:val="24"/>
                        </w:rPr>
                      </w:pPr>
                      <w:r w:rsidRPr="003E5C0E">
                        <w:rPr>
                          <w:rFonts w:ascii="Times New Roman" w:hAnsi="Times New Roman" w:cs="Times New Roman"/>
                          <w:sz w:val="24"/>
                          <w:szCs w:val="24"/>
                        </w:rPr>
                        <w:t>What diagnostic competence encompasses in histopathology</w:t>
                      </w:r>
                    </w:p>
                    <w:p w14:paraId="6C86D385" w14:textId="77777777" w:rsidR="00D35C1E" w:rsidRPr="003E5C0E" w:rsidRDefault="00D35C1E" w:rsidP="00EC7C2C">
                      <w:pPr>
                        <w:pStyle w:val="ListParagraph"/>
                        <w:numPr>
                          <w:ilvl w:val="0"/>
                          <w:numId w:val="4"/>
                        </w:numPr>
                        <w:spacing w:line="480" w:lineRule="auto"/>
                        <w:rPr>
                          <w:rFonts w:ascii="Times New Roman" w:hAnsi="Times New Roman" w:cs="Times New Roman"/>
                          <w:sz w:val="24"/>
                          <w:szCs w:val="24"/>
                        </w:rPr>
                      </w:pPr>
                      <w:r w:rsidRPr="003E5C0E">
                        <w:rPr>
                          <w:rFonts w:ascii="Times New Roman" w:hAnsi="Times New Roman" w:cs="Times New Roman"/>
                          <w:sz w:val="24"/>
                          <w:szCs w:val="24"/>
                        </w:rPr>
                        <w:t xml:space="preserve"> The cues consultants look for in their trainees when determining diagnostic competence</w:t>
                      </w:r>
                    </w:p>
                    <w:p w14:paraId="0B6D754E" w14:textId="77777777" w:rsidR="00D35C1E" w:rsidRPr="003E5C0E" w:rsidRDefault="00D35C1E" w:rsidP="00EC7C2C">
                      <w:pPr>
                        <w:pStyle w:val="ListParagraph"/>
                        <w:numPr>
                          <w:ilvl w:val="0"/>
                          <w:numId w:val="4"/>
                        </w:numPr>
                        <w:spacing w:line="480" w:lineRule="auto"/>
                        <w:rPr>
                          <w:rFonts w:ascii="Times New Roman" w:hAnsi="Times New Roman" w:cs="Times New Roman"/>
                          <w:sz w:val="24"/>
                          <w:szCs w:val="24"/>
                        </w:rPr>
                      </w:pPr>
                      <w:r w:rsidRPr="003E5C0E">
                        <w:rPr>
                          <w:rFonts w:ascii="Times New Roman" w:hAnsi="Times New Roman" w:cs="Times New Roman"/>
                          <w:sz w:val="24"/>
                          <w:szCs w:val="24"/>
                        </w:rPr>
                        <w:t xml:space="preserve"> The judgement ecology which pertains to determining diagnostic competency in trainees</w:t>
                      </w:r>
                    </w:p>
                    <w:p w14:paraId="0139D8AD" w14:textId="77777777" w:rsidR="00D35C1E" w:rsidRPr="003314C1" w:rsidRDefault="00D35C1E" w:rsidP="00EC7C2C">
                      <w:pPr>
                        <w:ind w:left="720"/>
                        <w:rPr>
                          <w:rFonts w:ascii="Arial" w:hAnsi="Arial" w:cs="Arial"/>
                        </w:rPr>
                      </w:pPr>
                    </w:p>
                  </w:txbxContent>
                </v:textbox>
              </v:shape>
            </w:pict>
          </mc:Fallback>
        </mc:AlternateContent>
      </w:r>
      <w:r w:rsidRPr="006F3B00">
        <w:rPr>
          <w:rFonts w:ascii="Times New Roman" w:hAnsi="Times New Roman" w:cs="Times New Roman"/>
          <w:i/>
          <w:sz w:val="24"/>
          <w:szCs w:val="24"/>
        </w:rPr>
        <w:br w:type="page"/>
      </w:r>
      <w:r w:rsidRPr="006F3B00">
        <w:rPr>
          <w:rFonts w:ascii="Times New Roman" w:hAnsi="Times New Roman" w:cs="Times New Roman"/>
          <w:b/>
          <w:sz w:val="24"/>
          <w:szCs w:val="24"/>
        </w:rPr>
        <w:lastRenderedPageBreak/>
        <w:t>1. Introduction</w:t>
      </w:r>
    </w:p>
    <w:p w14:paraId="0E746ED9"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b/>
          <w:sz w:val="24"/>
          <w:szCs w:val="24"/>
        </w:rPr>
        <w:tab/>
      </w:r>
      <w:r w:rsidRPr="006F3B00">
        <w:rPr>
          <w:rFonts w:ascii="Times New Roman" w:hAnsi="Times New Roman" w:cs="Times New Roman"/>
          <w:sz w:val="24"/>
          <w:szCs w:val="24"/>
        </w:rPr>
        <w:t>1.1 Introduction and information sheet</w:t>
      </w:r>
    </w:p>
    <w:p w14:paraId="23CD29E4"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The researcher introduces himself and states the aim of the project which is to explore the judgement of diagnostic competency in histopathology. He then ensures that the participant has a copy of the information sheet and understands the scope of the research.</w:t>
      </w:r>
    </w:p>
    <w:p w14:paraId="10CCC601"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ab/>
        <w:t>1.2 Consent</w:t>
      </w:r>
    </w:p>
    <w:p w14:paraId="1AD4D45B"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The researcher then ensures that the ethics protocol is followed and that consent has been given and the consent form signed.</w:t>
      </w:r>
    </w:p>
    <w:p w14:paraId="71E35F2D"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The researcher then reminds the participant that they can withdraw at any time and confirms the permission to record the interview.</w:t>
      </w:r>
    </w:p>
    <w:p w14:paraId="3AC7436C" w14:textId="77777777" w:rsidR="00EC7C2C" w:rsidRPr="006F3B00" w:rsidRDefault="00EC7C2C" w:rsidP="00774D46">
      <w:pPr>
        <w:spacing w:line="240" w:lineRule="auto"/>
        <w:rPr>
          <w:rFonts w:ascii="Times New Roman" w:hAnsi="Times New Roman" w:cs="Times New Roman"/>
          <w:b/>
          <w:sz w:val="24"/>
          <w:szCs w:val="24"/>
        </w:rPr>
      </w:pPr>
    </w:p>
    <w:p w14:paraId="09726CAA"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b/>
          <w:sz w:val="24"/>
          <w:szCs w:val="24"/>
        </w:rPr>
        <w:t>2. Background</w:t>
      </w:r>
    </w:p>
    <w:p w14:paraId="05BF74DA" w14:textId="77777777" w:rsidR="00EC7C2C" w:rsidRPr="006F3B00" w:rsidRDefault="00EC7C2C" w:rsidP="00774D46">
      <w:pPr>
        <w:spacing w:line="240" w:lineRule="auto"/>
        <w:ind w:firstLine="720"/>
        <w:rPr>
          <w:rFonts w:ascii="Times New Roman" w:hAnsi="Times New Roman" w:cs="Times New Roman"/>
          <w:sz w:val="24"/>
          <w:szCs w:val="24"/>
          <w:lang w:val="en-GB"/>
        </w:rPr>
      </w:pPr>
      <w:r w:rsidRPr="006F3B00">
        <w:rPr>
          <w:rFonts w:ascii="Times New Roman" w:hAnsi="Times New Roman" w:cs="Times New Roman"/>
          <w:sz w:val="24"/>
          <w:szCs w:val="24"/>
          <w:lang w:val="en-GB"/>
        </w:rPr>
        <w:t>2.1 Participant identification</w:t>
      </w:r>
    </w:p>
    <w:p w14:paraId="1CF2806D" w14:textId="77777777" w:rsidR="00EC7C2C" w:rsidRPr="006F3B00" w:rsidRDefault="00EC7C2C" w:rsidP="00774D46">
      <w:pPr>
        <w:spacing w:line="240" w:lineRule="auto"/>
        <w:rPr>
          <w:rFonts w:ascii="Times New Roman" w:hAnsi="Times New Roman" w:cs="Times New Roman"/>
          <w:sz w:val="24"/>
          <w:szCs w:val="24"/>
          <w:lang w:eastAsia="nl-NL"/>
        </w:rPr>
      </w:pPr>
      <w:r w:rsidRPr="006F3B00">
        <w:rPr>
          <w:rFonts w:ascii="Times New Roman" w:hAnsi="Times New Roman" w:cs="Times New Roman"/>
          <w:sz w:val="24"/>
          <w:szCs w:val="24"/>
          <w:lang w:eastAsia="nl-NL"/>
        </w:rPr>
        <w:t>The participant is identified using a pre-arranged code and the date and time of recording is noted.</w:t>
      </w:r>
    </w:p>
    <w:p w14:paraId="1E35960A" w14:textId="77777777" w:rsidR="00EC7C2C" w:rsidRPr="006F3B00" w:rsidRDefault="00EC7C2C" w:rsidP="00774D46">
      <w:pPr>
        <w:spacing w:line="240" w:lineRule="auto"/>
        <w:ind w:firstLine="720"/>
        <w:rPr>
          <w:rFonts w:ascii="Times New Roman" w:hAnsi="Times New Roman" w:cs="Times New Roman"/>
          <w:sz w:val="24"/>
          <w:szCs w:val="24"/>
          <w:lang w:eastAsia="nl-NL"/>
        </w:rPr>
      </w:pPr>
      <w:r w:rsidRPr="006F3B00">
        <w:rPr>
          <w:rFonts w:ascii="Times New Roman" w:hAnsi="Times New Roman" w:cs="Times New Roman"/>
          <w:sz w:val="24"/>
          <w:szCs w:val="24"/>
          <w:lang w:eastAsia="nl-NL"/>
        </w:rPr>
        <w:t>2.2 Participants position with respect to histopathology</w:t>
      </w:r>
    </w:p>
    <w:p w14:paraId="08C9B934" w14:textId="77777777" w:rsidR="00EC7C2C" w:rsidRPr="006F3B00" w:rsidRDefault="00EC7C2C" w:rsidP="00774D46">
      <w:pPr>
        <w:spacing w:line="240" w:lineRule="auto"/>
        <w:rPr>
          <w:rFonts w:ascii="Times New Roman" w:hAnsi="Times New Roman" w:cs="Times New Roman"/>
          <w:sz w:val="24"/>
          <w:szCs w:val="24"/>
          <w:lang w:eastAsia="nl-NL"/>
        </w:rPr>
      </w:pPr>
      <w:r w:rsidRPr="006F3B00">
        <w:rPr>
          <w:rFonts w:ascii="Times New Roman" w:hAnsi="Times New Roman" w:cs="Times New Roman"/>
          <w:sz w:val="24"/>
          <w:szCs w:val="24"/>
          <w:lang w:eastAsia="nl-NL"/>
        </w:rPr>
        <w:t>Background in histopathology</w:t>
      </w:r>
    </w:p>
    <w:p w14:paraId="3DD2C2E1"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Length of involvement in histopathology and trainee supervisory roles within histopathology</w:t>
      </w:r>
    </w:p>
    <w:p w14:paraId="598AF40C" w14:textId="77777777" w:rsidR="00EC7C2C" w:rsidRPr="006F3B00" w:rsidRDefault="00EC7C2C" w:rsidP="00774D46">
      <w:pPr>
        <w:spacing w:line="240" w:lineRule="auto"/>
        <w:rPr>
          <w:rFonts w:ascii="Times New Roman" w:hAnsi="Times New Roman" w:cs="Times New Roman"/>
          <w:b/>
          <w:sz w:val="24"/>
          <w:szCs w:val="24"/>
          <w:lang w:val="en-GB"/>
        </w:rPr>
      </w:pPr>
    </w:p>
    <w:p w14:paraId="42C1670C" w14:textId="77777777" w:rsidR="00EC7C2C" w:rsidRPr="006F3B00" w:rsidRDefault="00EC7C2C" w:rsidP="00774D46">
      <w:pPr>
        <w:spacing w:line="240" w:lineRule="auto"/>
        <w:rPr>
          <w:rFonts w:ascii="Times New Roman" w:hAnsi="Times New Roman" w:cs="Times New Roman"/>
          <w:b/>
          <w:sz w:val="24"/>
          <w:szCs w:val="24"/>
          <w:lang w:val="en-GB"/>
        </w:rPr>
      </w:pPr>
      <w:r w:rsidRPr="006F3B00">
        <w:rPr>
          <w:rFonts w:ascii="Times New Roman" w:hAnsi="Times New Roman" w:cs="Times New Roman"/>
          <w:b/>
          <w:sz w:val="24"/>
          <w:szCs w:val="24"/>
          <w:lang w:val="en-GB"/>
        </w:rPr>
        <w:t>3. What is diagnostic competence in histopathology?</w:t>
      </w:r>
    </w:p>
    <w:p w14:paraId="109B0669" w14:textId="77777777" w:rsidR="00EC7C2C" w:rsidRPr="006F3B00" w:rsidRDefault="00EC7C2C" w:rsidP="00774D46">
      <w:pPr>
        <w:spacing w:line="240" w:lineRule="auto"/>
        <w:rPr>
          <w:rFonts w:ascii="Times New Roman" w:hAnsi="Times New Roman" w:cs="Times New Roman"/>
          <w:sz w:val="24"/>
          <w:szCs w:val="24"/>
          <w:lang w:eastAsia="nl-NL"/>
        </w:rPr>
      </w:pPr>
      <w:r w:rsidRPr="006F3B00">
        <w:rPr>
          <w:rFonts w:ascii="Times New Roman" w:hAnsi="Times New Roman" w:cs="Times New Roman"/>
          <w:sz w:val="24"/>
          <w:szCs w:val="24"/>
          <w:lang w:eastAsia="nl-NL"/>
        </w:rPr>
        <w:t>How would you define diagnostic competence?</w:t>
      </w:r>
    </w:p>
    <w:p w14:paraId="2651B5D3" w14:textId="77777777" w:rsidR="00EC7C2C" w:rsidRPr="006F3B00" w:rsidRDefault="00EC7C2C" w:rsidP="00774D46">
      <w:pPr>
        <w:spacing w:line="240" w:lineRule="auto"/>
        <w:rPr>
          <w:rFonts w:ascii="Times New Roman" w:hAnsi="Times New Roman" w:cs="Times New Roman"/>
          <w:sz w:val="24"/>
          <w:szCs w:val="24"/>
          <w:lang w:eastAsia="nl-NL"/>
        </w:rPr>
      </w:pPr>
      <w:r w:rsidRPr="006F3B00">
        <w:rPr>
          <w:rFonts w:ascii="Times New Roman" w:hAnsi="Times New Roman" w:cs="Times New Roman"/>
          <w:sz w:val="24"/>
          <w:szCs w:val="24"/>
          <w:lang w:eastAsia="nl-NL"/>
        </w:rPr>
        <w:t>How does a trainee show they are diagnostically competent?</w:t>
      </w:r>
    </w:p>
    <w:p w14:paraId="27B924AA" w14:textId="77777777" w:rsidR="00EC7C2C" w:rsidRPr="006F3B00" w:rsidRDefault="00EC7C2C" w:rsidP="00774D46">
      <w:pPr>
        <w:spacing w:line="240" w:lineRule="auto"/>
        <w:rPr>
          <w:rFonts w:ascii="Times New Roman" w:hAnsi="Times New Roman" w:cs="Times New Roman"/>
          <w:b/>
          <w:szCs w:val="24"/>
        </w:rPr>
      </w:pPr>
      <w:r w:rsidRPr="006F3B00">
        <w:rPr>
          <w:rFonts w:ascii="Times New Roman" w:hAnsi="Times New Roman" w:cs="Times New Roman"/>
          <w:sz w:val="24"/>
          <w:szCs w:val="24"/>
        </w:rPr>
        <w:t>How do you currently determine trainee diagnostic competence?</w:t>
      </w:r>
    </w:p>
    <w:p w14:paraId="04C04C67" w14:textId="77777777" w:rsidR="00EC7C2C" w:rsidRPr="006F3B00" w:rsidRDefault="00EC7C2C" w:rsidP="00774D46">
      <w:pPr>
        <w:spacing w:line="240" w:lineRule="auto"/>
        <w:rPr>
          <w:rFonts w:ascii="Times New Roman" w:hAnsi="Times New Roman" w:cs="Times New Roman"/>
          <w:b/>
          <w:sz w:val="24"/>
          <w:szCs w:val="24"/>
        </w:rPr>
      </w:pPr>
    </w:p>
    <w:p w14:paraId="603FB933" w14:textId="77777777" w:rsidR="00EC7C2C" w:rsidRPr="006F3B00" w:rsidRDefault="00EC7C2C" w:rsidP="00774D46">
      <w:pPr>
        <w:spacing w:line="240" w:lineRule="auto"/>
        <w:rPr>
          <w:rFonts w:ascii="Times New Roman" w:hAnsi="Times New Roman" w:cs="Times New Roman"/>
          <w:b/>
          <w:sz w:val="24"/>
          <w:szCs w:val="24"/>
        </w:rPr>
      </w:pPr>
      <w:r w:rsidRPr="006F3B00">
        <w:rPr>
          <w:rFonts w:ascii="Times New Roman" w:hAnsi="Times New Roman" w:cs="Times New Roman"/>
          <w:b/>
          <w:sz w:val="24"/>
          <w:szCs w:val="24"/>
        </w:rPr>
        <w:t>4. What cues are used by consultants to measure diagnostic competence?</w:t>
      </w:r>
    </w:p>
    <w:p w14:paraId="07B0B2B2" w14:textId="77777777" w:rsidR="00EC7C2C" w:rsidRPr="006F3B00" w:rsidRDefault="00EC7C2C" w:rsidP="00774D46">
      <w:pPr>
        <w:spacing w:line="240" w:lineRule="auto"/>
        <w:rPr>
          <w:rFonts w:ascii="Times New Roman" w:hAnsi="Times New Roman" w:cs="Times New Roman"/>
          <w:b/>
          <w:sz w:val="24"/>
          <w:szCs w:val="24"/>
        </w:rPr>
      </w:pPr>
      <w:r w:rsidRPr="006F3B00">
        <w:rPr>
          <w:rFonts w:ascii="Times New Roman" w:hAnsi="Times New Roman" w:cs="Times New Roman"/>
          <w:sz w:val="24"/>
          <w:szCs w:val="24"/>
        </w:rPr>
        <w:t>What qualities do you look for in trainees and why?</w:t>
      </w:r>
    </w:p>
    <w:p w14:paraId="20C40FFD"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Are some qualities more important than others? If so, why?</w:t>
      </w:r>
    </w:p>
    <w:p w14:paraId="1CA60EAA" w14:textId="77777777" w:rsidR="00EC7C2C" w:rsidRPr="006F3B00" w:rsidRDefault="00EC7C2C" w:rsidP="00774D46">
      <w:pPr>
        <w:spacing w:line="240" w:lineRule="auto"/>
        <w:rPr>
          <w:rFonts w:ascii="Times New Roman" w:hAnsi="Times New Roman" w:cs="Times New Roman"/>
          <w:b/>
          <w:sz w:val="24"/>
          <w:szCs w:val="24"/>
        </w:rPr>
      </w:pPr>
    </w:p>
    <w:p w14:paraId="298D5A9D" w14:textId="77777777" w:rsidR="00EC7C2C" w:rsidRPr="006F3B00" w:rsidRDefault="00EC7C2C" w:rsidP="00774D46">
      <w:pPr>
        <w:spacing w:line="240" w:lineRule="auto"/>
        <w:rPr>
          <w:rFonts w:ascii="Times New Roman" w:hAnsi="Times New Roman" w:cs="Times New Roman"/>
          <w:b/>
          <w:sz w:val="24"/>
          <w:szCs w:val="24"/>
        </w:rPr>
      </w:pPr>
      <w:r w:rsidRPr="006F3B00">
        <w:rPr>
          <w:rFonts w:ascii="Times New Roman" w:hAnsi="Times New Roman" w:cs="Times New Roman"/>
          <w:b/>
          <w:sz w:val="24"/>
          <w:szCs w:val="24"/>
        </w:rPr>
        <w:t>5. The judgement ecology which pertains to diagnostic competence</w:t>
      </w:r>
    </w:p>
    <w:p w14:paraId="2ED9FE1F" w14:textId="77777777" w:rsidR="00EC7C2C" w:rsidRPr="006F3B00" w:rsidRDefault="00EC7C2C" w:rsidP="00774D46">
      <w:pPr>
        <w:spacing w:line="240" w:lineRule="auto"/>
        <w:rPr>
          <w:rFonts w:ascii="Times New Roman" w:hAnsi="Times New Roman" w:cs="Times New Roman"/>
          <w:b/>
          <w:sz w:val="24"/>
          <w:szCs w:val="24"/>
        </w:rPr>
      </w:pPr>
    </w:p>
    <w:p w14:paraId="7BF6B0DE"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Do you think that current WBAs are a valid tool to measure diagnostic competence? If so, why? If not, why not?</w:t>
      </w:r>
    </w:p>
    <w:p w14:paraId="41EC2B09"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Do you know of a better way to measure trainee diagnostic competence? If so, what?</w:t>
      </w:r>
    </w:p>
    <w:p w14:paraId="1C3BD1D0"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How difficult/easy are these judgement to make?</w:t>
      </w:r>
    </w:p>
    <w:p w14:paraId="3DECCE5D"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What else do you take into account and why?</w:t>
      </w:r>
    </w:p>
    <w:p w14:paraId="40B5894C" w14:textId="77777777" w:rsidR="00EC7C2C" w:rsidRPr="006F3B00" w:rsidRDefault="00EC7C2C" w:rsidP="00774D46">
      <w:pPr>
        <w:spacing w:line="240" w:lineRule="auto"/>
        <w:rPr>
          <w:rFonts w:ascii="Times New Roman" w:hAnsi="Times New Roman" w:cs="Times New Roman"/>
          <w:b/>
          <w:sz w:val="24"/>
          <w:szCs w:val="24"/>
        </w:rPr>
      </w:pPr>
    </w:p>
    <w:p w14:paraId="0F60F557" w14:textId="77777777" w:rsidR="00EC7C2C" w:rsidRPr="006F3B00" w:rsidRDefault="00EC7C2C" w:rsidP="00774D46">
      <w:pPr>
        <w:spacing w:line="240" w:lineRule="auto"/>
        <w:rPr>
          <w:rFonts w:ascii="Times New Roman" w:hAnsi="Times New Roman" w:cs="Times New Roman"/>
          <w:b/>
          <w:sz w:val="24"/>
          <w:szCs w:val="24"/>
        </w:rPr>
      </w:pPr>
      <w:r w:rsidRPr="006F3B00">
        <w:rPr>
          <w:rFonts w:ascii="Times New Roman" w:hAnsi="Times New Roman" w:cs="Times New Roman"/>
          <w:b/>
          <w:sz w:val="24"/>
          <w:szCs w:val="24"/>
        </w:rPr>
        <w:t xml:space="preserve">6. Further material </w:t>
      </w:r>
    </w:p>
    <w:p w14:paraId="15B0BE16"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Are there any further aspects which you feel should have been covered?</w:t>
      </w:r>
    </w:p>
    <w:p w14:paraId="3878FD4D" w14:textId="77777777" w:rsidR="00EC7C2C" w:rsidRPr="006F3B00" w:rsidRDefault="00EC7C2C" w:rsidP="00774D46">
      <w:pPr>
        <w:spacing w:line="240" w:lineRule="auto"/>
        <w:rPr>
          <w:rFonts w:ascii="Times New Roman" w:hAnsi="Times New Roman" w:cs="Times New Roman"/>
          <w:b/>
          <w:sz w:val="24"/>
          <w:szCs w:val="24"/>
        </w:rPr>
      </w:pPr>
    </w:p>
    <w:p w14:paraId="149A4C5D" w14:textId="77777777" w:rsidR="00EC7C2C" w:rsidRPr="006F3B00" w:rsidRDefault="00EC7C2C" w:rsidP="00774D46">
      <w:pPr>
        <w:spacing w:line="240" w:lineRule="auto"/>
        <w:rPr>
          <w:rFonts w:ascii="Times New Roman" w:hAnsi="Times New Roman" w:cs="Times New Roman"/>
          <w:b/>
          <w:sz w:val="24"/>
          <w:szCs w:val="24"/>
        </w:rPr>
      </w:pPr>
      <w:r w:rsidRPr="006F3B00">
        <w:rPr>
          <w:rFonts w:ascii="Times New Roman" w:hAnsi="Times New Roman" w:cs="Times New Roman"/>
          <w:b/>
          <w:sz w:val="24"/>
          <w:szCs w:val="24"/>
        </w:rPr>
        <w:t>7. Closure</w:t>
      </w:r>
    </w:p>
    <w:p w14:paraId="7E705A02" w14:textId="77777777" w:rsidR="00EC7C2C" w:rsidRPr="006F3B00"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The researcher thanks the participant for their time and help and explains that they may have a copy of the report on the construct when it becomes available. He then ascertains if the participant would like a copy of this report and confirms the details of where this can be sent.</w:t>
      </w:r>
    </w:p>
    <w:p w14:paraId="3739F0D8" w14:textId="77777777" w:rsidR="00EC7C2C" w:rsidRPr="006F3B00" w:rsidRDefault="00EC7C2C" w:rsidP="00774D46">
      <w:pPr>
        <w:spacing w:line="240" w:lineRule="auto"/>
        <w:rPr>
          <w:rFonts w:ascii="Times New Roman" w:hAnsi="Times New Roman" w:cs="Times New Roman"/>
          <w:sz w:val="24"/>
          <w:szCs w:val="24"/>
        </w:rPr>
      </w:pPr>
    </w:p>
    <w:p w14:paraId="44D95A85" w14:textId="77777777" w:rsidR="00863DF5" w:rsidRDefault="00EC7C2C" w:rsidP="00774D46">
      <w:pPr>
        <w:spacing w:line="240" w:lineRule="auto"/>
        <w:rPr>
          <w:rFonts w:ascii="Times New Roman" w:hAnsi="Times New Roman" w:cs="Times New Roman"/>
          <w:sz w:val="24"/>
          <w:szCs w:val="24"/>
        </w:rPr>
      </w:pPr>
      <w:r w:rsidRPr="006F3B00">
        <w:rPr>
          <w:rFonts w:ascii="Times New Roman" w:hAnsi="Times New Roman" w:cs="Times New Roman"/>
          <w:sz w:val="24"/>
          <w:szCs w:val="24"/>
        </w:rPr>
        <w:t>Note: Questions were modified for trainees who were interviewed.</w:t>
      </w:r>
    </w:p>
    <w:p w14:paraId="6172882A" w14:textId="77777777" w:rsidR="006F3B00" w:rsidRDefault="006F3B00" w:rsidP="00774D46">
      <w:pPr>
        <w:spacing w:line="240" w:lineRule="auto"/>
        <w:rPr>
          <w:rFonts w:ascii="Times New Roman" w:hAnsi="Times New Roman" w:cs="Times New Roman"/>
          <w:sz w:val="24"/>
          <w:szCs w:val="24"/>
        </w:rPr>
      </w:pPr>
    </w:p>
    <w:p w14:paraId="01DEAA06" w14:textId="77777777" w:rsidR="006F3B00" w:rsidRDefault="006F3B00" w:rsidP="00863DF5">
      <w:pPr>
        <w:spacing w:line="480" w:lineRule="auto"/>
        <w:rPr>
          <w:rFonts w:ascii="Times New Roman" w:hAnsi="Times New Roman" w:cs="Times New Roman"/>
          <w:sz w:val="24"/>
          <w:szCs w:val="24"/>
        </w:rPr>
      </w:pPr>
    </w:p>
    <w:p w14:paraId="562D57D5" w14:textId="77777777" w:rsidR="006F3B00" w:rsidRDefault="006F3B00" w:rsidP="00863DF5">
      <w:pPr>
        <w:spacing w:line="480" w:lineRule="auto"/>
        <w:rPr>
          <w:rFonts w:ascii="Times New Roman" w:hAnsi="Times New Roman" w:cs="Times New Roman"/>
          <w:sz w:val="24"/>
          <w:szCs w:val="24"/>
        </w:rPr>
      </w:pPr>
    </w:p>
    <w:p w14:paraId="248F744E" w14:textId="77777777" w:rsidR="006F3B00" w:rsidRDefault="006F3B00" w:rsidP="00863DF5">
      <w:pPr>
        <w:spacing w:line="480" w:lineRule="auto"/>
        <w:rPr>
          <w:rFonts w:ascii="Times New Roman" w:hAnsi="Times New Roman" w:cs="Times New Roman"/>
          <w:sz w:val="24"/>
          <w:szCs w:val="24"/>
        </w:rPr>
      </w:pPr>
    </w:p>
    <w:p w14:paraId="2E6D8A5C" w14:textId="77777777" w:rsidR="006F3B00" w:rsidRDefault="006F3B00" w:rsidP="00863DF5">
      <w:pPr>
        <w:spacing w:line="480" w:lineRule="auto"/>
        <w:rPr>
          <w:rFonts w:ascii="Times New Roman" w:hAnsi="Times New Roman" w:cs="Times New Roman"/>
          <w:sz w:val="24"/>
          <w:szCs w:val="24"/>
        </w:rPr>
      </w:pPr>
    </w:p>
    <w:p w14:paraId="3B61C3D6" w14:textId="77777777" w:rsidR="006F3B00" w:rsidRDefault="006F3B00" w:rsidP="00863DF5">
      <w:pPr>
        <w:spacing w:line="480" w:lineRule="auto"/>
        <w:rPr>
          <w:rFonts w:ascii="Times New Roman" w:hAnsi="Times New Roman" w:cs="Times New Roman"/>
          <w:sz w:val="24"/>
          <w:szCs w:val="24"/>
        </w:rPr>
      </w:pPr>
    </w:p>
    <w:p w14:paraId="30A2CF78" w14:textId="77777777" w:rsidR="006F3B00" w:rsidRDefault="006F3B00" w:rsidP="00863DF5">
      <w:pPr>
        <w:spacing w:line="480" w:lineRule="auto"/>
        <w:rPr>
          <w:rFonts w:ascii="Times New Roman" w:hAnsi="Times New Roman" w:cs="Times New Roman"/>
          <w:sz w:val="24"/>
          <w:szCs w:val="24"/>
        </w:rPr>
      </w:pPr>
    </w:p>
    <w:p w14:paraId="70FE098E" w14:textId="3B68548E" w:rsidR="006F3B00" w:rsidRDefault="006F3B00" w:rsidP="00863DF5">
      <w:pPr>
        <w:spacing w:line="480" w:lineRule="auto"/>
        <w:rPr>
          <w:rFonts w:ascii="Times New Roman" w:hAnsi="Times New Roman" w:cs="Times New Roman"/>
          <w:sz w:val="24"/>
          <w:szCs w:val="24"/>
        </w:rPr>
      </w:pPr>
    </w:p>
    <w:p w14:paraId="2C80941E" w14:textId="77777777" w:rsidR="00774D46" w:rsidRDefault="00774D46" w:rsidP="00863DF5">
      <w:pPr>
        <w:spacing w:line="480" w:lineRule="auto"/>
        <w:rPr>
          <w:rFonts w:ascii="Times New Roman" w:hAnsi="Times New Roman" w:cs="Times New Roman"/>
          <w:sz w:val="24"/>
          <w:szCs w:val="24"/>
        </w:rPr>
      </w:pPr>
    </w:p>
    <w:p w14:paraId="5CC17A0E" w14:textId="548FA1D5" w:rsidR="006F3B00" w:rsidRDefault="006F3B00" w:rsidP="00863DF5">
      <w:pPr>
        <w:spacing w:line="480" w:lineRule="auto"/>
        <w:rPr>
          <w:rFonts w:ascii="Times New Roman" w:hAnsi="Times New Roman" w:cs="Times New Roman"/>
          <w:sz w:val="24"/>
          <w:szCs w:val="24"/>
        </w:rPr>
      </w:pPr>
    </w:p>
    <w:p w14:paraId="25405135" w14:textId="630D854E" w:rsidR="00C9729E" w:rsidRDefault="00C9729E" w:rsidP="00863DF5">
      <w:pPr>
        <w:spacing w:line="480" w:lineRule="auto"/>
        <w:rPr>
          <w:rFonts w:ascii="Times New Roman" w:hAnsi="Times New Roman" w:cs="Times New Roman"/>
          <w:sz w:val="24"/>
          <w:szCs w:val="24"/>
        </w:rPr>
      </w:pPr>
    </w:p>
    <w:p w14:paraId="18BFFE65" w14:textId="6D276622" w:rsidR="00C9729E" w:rsidRDefault="00C9729E" w:rsidP="00863DF5">
      <w:pPr>
        <w:spacing w:line="480" w:lineRule="auto"/>
        <w:rPr>
          <w:rFonts w:ascii="Times New Roman" w:hAnsi="Times New Roman" w:cs="Times New Roman"/>
          <w:sz w:val="24"/>
          <w:szCs w:val="24"/>
        </w:rPr>
      </w:pPr>
    </w:p>
    <w:p w14:paraId="1B860DD5" w14:textId="6571FDA4" w:rsidR="00C9729E" w:rsidRDefault="00C9729E" w:rsidP="00863DF5">
      <w:pPr>
        <w:spacing w:line="480" w:lineRule="auto"/>
        <w:rPr>
          <w:rFonts w:ascii="Times New Roman" w:hAnsi="Times New Roman" w:cs="Times New Roman"/>
          <w:sz w:val="24"/>
          <w:szCs w:val="24"/>
        </w:rPr>
      </w:pPr>
    </w:p>
    <w:p w14:paraId="611C791C" w14:textId="77777777" w:rsidR="00C9729E" w:rsidRDefault="00C9729E" w:rsidP="00863DF5">
      <w:pPr>
        <w:spacing w:line="480" w:lineRule="auto"/>
        <w:rPr>
          <w:rFonts w:ascii="Times New Roman" w:hAnsi="Times New Roman" w:cs="Times New Roman"/>
          <w:sz w:val="24"/>
          <w:szCs w:val="24"/>
        </w:rPr>
      </w:pPr>
    </w:p>
    <w:p w14:paraId="05745377" w14:textId="50592A30" w:rsidR="006F3B00" w:rsidRPr="0020029A" w:rsidRDefault="00DB4E45" w:rsidP="0020029A">
      <w:pPr>
        <w:pStyle w:val="Heading2"/>
        <w:rPr>
          <w:rFonts w:ascii="Times New Roman" w:hAnsi="Times New Roman" w:cs="Times New Roman"/>
          <w:color w:val="auto"/>
          <w:sz w:val="24"/>
          <w:szCs w:val="24"/>
        </w:rPr>
      </w:pPr>
      <w:bookmarkStart w:id="136" w:name="_Toc23243865"/>
      <w:r>
        <w:rPr>
          <w:rFonts w:ascii="Times New Roman" w:hAnsi="Times New Roman" w:cs="Times New Roman"/>
          <w:color w:val="auto"/>
          <w:sz w:val="24"/>
          <w:szCs w:val="24"/>
        </w:rPr>
        <w:lastRenderedPageBreak/>
        <w:t>Appendix 6</w:t>
      </w:r>
      <w:r w:rsidR="006F3B00" w:rsidRPr="0020029A">
        <w:rPr>
          <w:rFonts w:ascii="Times New Roman" w:hAnsi="Times New Roman" w:cs="Times New Roman"/>
          <w:color w:val="auto"/>
          <w:sz w:val="24"/>
          <w:szCs w:val="24"/>
        </w:rPr>
        <w:t>: Consent form for interview</w:t>
      </w:r>
      <w:bookmarkEnd w:id="136"/>
    </w:p>
    <w:p w14:paraId="1430E2BF" w14:textId="299226FB" w:rsidR="006F3B00" w:rsidRPr="00670157" w:rsidRDefault="006F3B00" w:rsidP="00670157">
      <w:pPr>
        <w:pStyle w:val="Heading4"/>
        <w:jc w:val="center"/>
        <w:rPr>
          <w:rFonts w:ascii="Calibri" w:hAnsi="Calibri"/>
          <w:color w:val="auto"/>
          <w:sz w:val="40"/>
          <w:szCs w:val="40"/>
        </w:rPr>
      </w:pPr>
      <w:r w:rsidRPr="00670157">
        <w:rPr>
          <w:rFonts w:ascii="Calibri" w:hAnsi="Calibri"/>
          <w:color w:val="auto"/>
          <w:sz w:val="40"/>
          <w:szCs w:val="40"/>
        </w:rPr>
        <w:t>Consent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4"/>
      </w:tblGrid>
      <w:tr w:rsidR="006F3B00" w:rsidRPr="00FD1064" w14:paraId="2564AF58" w14:textId="77777777" w:rsidTr="00084153">
        <w:tc>
          <w:tcPr>
            <w:tcW w:w="9286" w:type="dxa"/>
          </w:tcPr>
          <w:p w14:paraId="32778391" w14:textId="77777777" w:rsidR="006F3B00" w:rsidRPr="00FD1064" w:rsidRDefault="006F3B00" w:rsidP="00084153">
            <w:pPr>
              <w:pStyle w:val="Header"/>
              <w:rPr>
                <w:rFonts w:ascii="Calibri" w:hAnsi="Calibri" w:cs="Arial"/>
              </w:rPr>
            </w:pPr>
          </w:p>
          <w:p w14:paraId="30328444" w14:textId="30FAECB8" w:rsidR="006F3B00" w:rsidRPr="00670157" w:rsidRDefault="006F3B00" w:rsidP="00670157">
            <w:pPr>
              <w:spacing w:line="240" w:lineRule="auto"/>
              <w:rPr>
                <w:rFonts w:ascii="Times New Roman" w:hAnsi="Times New Roman" w:cs="Times New Roman"/>
                <w:b/>
                <w:sz w:val="24"/>
                <w:szCs w:val="24"/>
              </w:rPr>
            </w:pPr>
            <w:r w:rsidRPr="00FD1064">
              <w:rPr>
                <w:rFonts w:ascii="Calibri" w:hAnsi="Calibri" w:cs="Arial"/>
                <w:b/>
              </w:rPr>
              <w:t>Title of Research Project</w:t>
            </w:r>
            <w:r w:rsidRPr="00FD1064">
              <w:rPr>
                <w:rFonts w:ascii="Calibri" w:hAnsi="Calibri" w:cs="Arial"/>
              </w:rPr>
              <w:t xml:space="preserve">: </w:t>
            </w:r>
            <w:r w:rsidR="00670157" w:rsidRPr="00D408AA">
              <w:rPr>
                <w:rFonts w:ascii="Times New Roman" w:hAnsi="Times New Roman" w:cs="Times New Roman"/>
                <w:sz w:val="24"/>
                <w:szCs w:val="24"/>
              </w:rPr>
              <w:t>Determination of diagnostic competence in histopathology trainees</w:t>
            </w:r>
          </w:p>
          <w:p w14:paraId="1D08F15B" w14:textId="77777777" w:rsidR="006F3B00" w:rsidRPr="00670157" w:rsidRDefault="006F3B00" w:rsidP="00084153">
            <w:pPr>
              <w:rPr>
                <w:rFonts w:ascii="Calibri" w:hAnsi="Calibri" w:cs="Arial"/>
                <w:sz w:val="24"/>
                <w:szCs w:val="24"/>
              </w:rPr>
            </w:pPr>
            <w:r w:rsidRPr="00670157">
              <w:rPr>
                <w:rFonts w:ascii="Calibri" w:hAnsi="Calibri" w:cs="Arial"/>
                <w:b/>
                <w:sz w:val="24"/>
                <w:szCs w:val="24"/>
              </w:rPr>
              <w:t>Name of Researcher</w:t>
            </w:r>
            <w:r w:rsidRPr="00670157">
              <w:rPr>
                <w:rFonts w:ascii="Calibri" w:hAnsi="Calibri" w:cs="Arial"/>
                <w:sz w:val="24"/>
                <w:szCs w:val="24"/>
              </w:rPr>
              <w:t>: Daniel Brierley</w:t>
            </w:r>
          </w:p>
          <w:p w14:paraId="7B2002ED" w14:textId="77777777" w:rsidR="006F3B00" w:rsidRPr="00FD1064" w:rsidRDefault="006F3B00" w:rsidP="00084153">
            <w:pPr>
              <w:rPr>
                <w:rFonts w:ascii="Calibri" w:hAnsi="Calibri" w:cs="Arial"/>
              </w:rPr>
            </w:pPr>
          </w:p>
          <w:p w14:paraId="161D3A42" w14:textId="77777777" w:rsidR="006F3B00" w:rsidRPr="00FD1064" w:rsidRDefault="006F3B00" w:rsidP="00084153">
            <w:pPr>
              <w:pStyle w:val="BodyText2"/>
              <w:rPr>
                <w:rFonts w:ascii="Calibri" w:hAnsi="Calibri" w:cs="Arial"/>
              </w:rPr>
            </w:pPr>
            <w:r w:rsidRPr="00FD1064">
              <w:rPr>
                <w:rFonts w:ascii="Calibri" w:hAnsi="Calibri"/>
              </w:rPr>
              <w:t>Participant Identification Number for this project:</w:t>
            </w:r>
            <w:r w:rsidRPr="00FD1064">
              <w:rPr>
                <w:rFonts w:ascii="Calibri" w:hAnsi="Calibri" w:cs="Arial"/>
              </w:rPr>
              <w:tab/>
              <w:t xml:space="preserve">       </w:t>
            </w:r>
            <w:r>
              <w:rPr>
                <w:rFonts w:ascii="Calibri" w:hAnsi="Calibri" w:cs="Arial"/>
              </w:rPr>
              <w:t xml:space="preserve">                                </w:t>
            </w:r>
            <w:r w:rsidRPr="00FD1064">
              <w:rPr>
                <w:rFonts w:ascii="Calibri" w:hAnsi="Calibri" w:cs="Arial"/>
              </w:rPr>
              <w:t>Please initial box</w:t>
            </w:r>
          </w:p>
          <w:p w14:paraId="7A50A8B3" w14:textId="77777777" w:rsidR="006F3B00" w:rsidRPr="00FD1064" w:rsidRDefault="006F3B00" w:rsidP="00084153">
            <w:pPr>
              <w:pStyle w:val="BodyText2"/>
              <w:rPr>
                <w:rFonts w:ascii="Calibri" w:hAnsi="Calibri" w:cs="Arial"/>
              </w:rPr>
            </w:pPr>
          </w:p>
          <w:p w14:paraId="0364DA1C" w14:textId="77777777" w:rsidR="006F3B00" w:rsidRPr="00FD1064" w:rsidRDefault="006F3B00" w:rsidP="00864ED0">
            <w:pPr>
              <w:numPr>
                <w:ilvl w:val="0"/>
                <w:numId w:val="46"/>
              </w:numPr>
              <w:spacing w:after="0" w:line="240" w:lineRule="auto"/>
              <w:rPr>
                <w:rFonts w:ascii="Calibri" w:hAnsi="Calibri" w:cs="Arial"/>
              </w:rPr>
            </w:pPr>
            <w:r w:rsidRPr="00FD1064">
              <w:rPr>
                <w:rFonts w:ascii="Calibri" w:hAnsi="Calibri" w:cs="Arial"/>
                <w:noProof/>
              </w:rPr>
              <mc:AlternateContent>
                <mc:Choice Requires="wps">
                  <w:drawing>
                    <wp:anchor distT="0" distB="0" distL="114300" distR="114300" simplePos="0" relativeHeight="251676672" behindDoc="0" locked="0" layoutInCell="1" allowOverlap="1" wp14:anchorId="673D9AA6" wp14:editId="40286E37">
                      <wp:simplePos x="0" y="0"/>
                      <wp:positionH relativeFrom="column">
                        <wp:posOffset>4843780</wp:posOffset>
                      </wp:positionH>
                      <wp:positionV relativeFrom="paragraph">
                        <wp:posOffset>40640</wp:posOffset>
                      </wp:positionV>
                      <wp:extent cx="457200" cy="342900"/>
                      <wp:effectExtent l="10160" t="7620" r="8890" b="1143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F3675" id="Rectangle 324" o:spid="_x0000_s1026" style="position:absolute;margin-left:381.4pt;margin-top:3.2pt;width:36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w8HwIAAD8EAAAOAAAAZHJzL2Uyb0RvYy54bWysU8FuEzEQvSPxD5bvZJM0gWaVTVWlBCEV&#10;qCh8gOP17lrYHjN2sglfz9ibhhQ4IXywPJ7x85s3M8ubgzVsrzBocBWfjMacKSeh1q6t+Ncvm1fX&#10;nIUoXC0MOFXxowr8ZvXyxbL3pZpCB6ZWyAjEhbL3Fe9i9GVRBNkpK8IIvHLkbACtiGRiW9QoekK3&#10;ppiOx6+LHrD2CFKFQLd3g5OvMn7TKBk/NU1QkZmKE7eYd8z7Nu3FainKFoXvtDzREP/Awgrt6NMz&#10;1J2Igu1Q/wFltUQI0MSRBFtA02ipcg6UzWT8WzaPnfAq50LiBH+WKfw/WPlx/4BM1xW/ms44c8JS&#10;kT6TbMK1RrF0SRL1PpQU+egfMCUZ/D3Ib4E5WHcUp24Roe+UqInYJMUXzx4kI9BTtu0/QE34Yhch&#10;q3Vo0CZA0oEdclGO56KoQ2SSLmfzN1RoziS5rmbTBZ3TD6J8euwxxHcKLEuHiiORz+Bifx/iEPoU&#10;ksmD0fVGG5MNbLdrg2wvqD82eZ3Qw2WYcayv+GI+nWfkZ75wCTHO628QVkdqdKNtxa/PQaJMqr11&#10;NdEUZRTaDGfKzriTjEm5oQJbqI+kIsLQxTR1dOgAf3DWUwdXPHzfCVScmfeOKrGYzGap5bORVeQM&#10;Lz3bS49wkqAqHjkbjus4jMnOo247+mmSc3dwS9VrdFY2VXZgdSJLXZprc5qoNAaXdo76NfernwAA&#10;AP//AwBQSwMEFAAGAAgAAAAhAAGCh9bcAAAACAEAAA8AAABkcnMvZG93bnJldi54bWxMj8FOwzAQ&#10;RO9I/IO1SNyoTRqFEuJUCFQkjm164baJlyQQ21HstIGvZznB8WlWM2+L7WIHcaIp9N5puF0pEOQa&#10;b3rXajhWu5sNiBDRGRy8Iw1fFGBbXl4UmBt/dns6HWIruMSFHDV0MY65lKHpyGJY+ZEcZ+9+shgZ&#10;p1aaCc9cbgeZKJVJi73jhQ5Heuqo+TzMVkPdJ0f83lcvyt7v1vF1qT7mt2etr6+WxwcQkZb4dwy/&#10;+qwOJTvVfnYmiEHDXZawetSQpSA436xT5ppZpSDLQv5/oPwBAAD//wMAUEsBAi0AFAAGAAgAAAAh&#10;ALaDOJL+AAAA4QEAABMAAAAAAAAAAAAAAAAAAAAAAFtDb250ZW50X1R5cGVzXS54bWxQSwECLQAU&#10;AAYACAAAACEAOP0h/9YAAACUAQAACwAAAAAAAAAAAAAAAAAvAQAAX3JlbHMvLnJlbHNQSwECLQAU&#10;AAYACAAAACEA5ru8PB8CAAA/BAAADgAAAAAAAAAAAAAAAAAuAgAAZHJzL2Uyb0RvYy54bWxQSwEC&#10;LQAUAAYACAAAACEAAYKH1twAAAAIAQAADwAAAAAAAAAAAAAAAAB5BAAAZHJzL2Rvd25yZXYueG1s&#10;UEsFBgAAAAAEAAQA8wAAAIIFAAAAAA==&#10;"/>
                  </w:pict>
                </mc:Fallback>
              </mc:AlternateContent>
            </w:r>
            <w:r w:rsidRPr="00FD1064">
              <w:rPr>
                <w:rFonts w:ascii="Calibri" w:hAnsi="Calibri" w:cs="Arial"/>
              </w:rPr>
              <w:t>I confirm that I have read and understand the information sheet/letter</w:t>
            </w:r>
            <w:r w:rsidRPr="00FD1064">
              <w:rPr>
                <w:rFonts w:ascii="Calibri" w:hAnsi="Calibri" w:cs="Arial"/>
              </w:rPr>
              <w:br/>
              <w:t xml:space="preserve">(delete as applicable) dated </w:t>
            </w:r>
            <w:r w:rsidRPr="00FD1064">
              <w:rPr>
                <w:rFonts w:ascii="Calibri" w:hAnsi="Calibri" w:cs="Arial"/>
                <w:i/>
              </w:rPr>
              <w:t>[              ]</w:t>
            </w:r>
            <w:r w:rsidRPr="00FD1064">
              <w:rPr>
                <w:rFonts w:ascii="Calibri" w:hAnsi="Calibri" w:cs="Arial"/>
              </w:rPr>
              <w:t xml:space="preserve"> explaining the above research</w:t>
            </w:r>
          </w:p>
          <w:p w14:paraId="4F101A0B" w14:textId="77777777" w:rsidR="006F3B00" w:rsidRPr="00FD1064" w:rsidRDefault="006F3B00" w:rsidP="00084153">
            <w:pPr>
              <w:ind w:left="360"/>
              <w:rPr>
                <w:rFonts w:ascii="Calibri" w:hAnsi="Calibri" w:cs="Arial"/>
              </w:rPr>
            </w:pPr>
            <w:r w:rsidRPr="00FD1064">
              <w:rPr>
                <w:rFonts w:ascii="Calibri" w:hAnsi="Calibri" w:cs="Arial"/>
              </w:rPr>
              <w:t xml:space="preserve">      </w:t>
            </w:r>
            <w:proofErr w:type="gramStart"/>
            <w:r w:rsidRPr="00FD1064">
              <w:rPr>
                <w:rFonts w:ascii="Calibri" w:hAnsi="Calibri" w:cs="Arial"/>
              </w:rPr>
              <w:t>project</w:t>
            </w:r>
            <w:proofErr w:type="gramEnd"/>
            <w:r w:rsidRPr="00FD1064">
              <w:rPr>
                <w:rFonts w:ascii="Calibri" w:hAnsi="Calibri" w:cs="Arial"/>
              </w:rPr>
              <w:t xml:space="preserve"> and I have had the opportunity to ask questions about the project.</w:t>
            </w:r>
          </w:p>
          <w:p w14:paraId="37C408D7" w14:textId="7FFC15DE" w:rsidR="006F3B00" w:rsidRPr="00FD1064" w:rsidRDefault="00DB4E45" w:rsidP="00084153">
            <w:pPr>
              <w:rPr>
                <w:rFonts w:ascii="Calibri" w:hAnsi="Calibri" w:cs="Arial"/>
              </w:rPr>
            </w:pPr>
            <w:r w:rsidRPr="00FD1064">
              <w:rPr>
                <w:rFonts w:ascii="Calibri" w:hAnsi="Calibri" w:cs="Arial"/>
                <w:noProof/>
              </w:rPr>
              <mc:AlternateContent>
                <mc:Choice Requires="wps">
                  <w:drawing>
                    <wp:anchor distT="0" distB="0" distL="114300" distR="114300" simplePos="0" relativeHeight="251677696" behindDoc="0" locked="0" layoutInCell="1" allowOverlap="1" wp14:anchorId="069FFD7F" wp14:editId="78D199EC">
                      <wp:simplePos x="0" y="0"/>
                      <wp:positionH relativeFrom="column">
                        <wp:posOffset>4862830</wp:posOffset>
                      </wp:positionH>
                      <wp:positionV relativeFrom="paragraph">
                        <wp:posOffset>294005</wp:posOffset>
                      </wp:positionV>
                      <wp:extent cx="457200" cy="342900"/>
                      <wp:effectExtent l="10160" t="5715" r="8890" b="1333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C2DBA" id="Rectangle 323" o:spid="_x0000_s1026" style="position:absolute;margin-left:382.9pt;margin-top:23.15pt;width:36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XDHgIAAD8EAAAOAAAAZHJzL2Uyb0RvYy54bWysU9tuEzEQfUfiHyy/k80VmlU2VZUShFSg&#10;ovABjte7a2F7zNjJpnw9Y28aUuAJ4QfL4xkfnzkzs7o+WsMOCoMGV/HJaMyZchJq7dqKf/2yfXXF&#10;WYjC1cKAUxV/VIFfr1++WPW+VFPowNQKGYG4UPa+4l2MviyKIDtlRRiBV46cDaAVkUxsixpFT+jW&#10;FNPx+HXRA9YeQaoQ6PZ2cPJ1xm8aJeOnpgkqMlNx4hbzjnnfpb1Yr0TZovCdlica4h9YWKEdfXqG&#10;uhVRsD3qP6CslggBmjiSYAtoGi1VzoGymYx/y+ahE17lXEic4M8yhf8HKz8e7pHpuuKz6YwzJywV&#10;6TPJJlxrFEuXJFHvQ0mRD/4eU5LB34H8FpiDTUdx6gYR+k6JmohNUnzx7EEyAj1lu/4D1IQv9hGy&#10;WscGbQIkHdgxF+XxXBR1jEzS5XzxhgrNmSTXbD5d0jn9IMqnxx5DfKfAsnSoOBL5DC4OdyEOoU8h&#10;mTwYXW+1MdnAdrcxyA6C+mOb1wk9XIYZx/qKLxfTRUZ+5guXEOO8/gZhdaRGN9pW/OocJMqk2ltX&#10;E01RRqHNcKbsjDvJmJQbKrCD+pFURBi6mKaODh3gD8566uCKh+97gYoz895RJZaT+Ty1fDayipzh&#10;pWd36RFOElTFI2fDcROHMdl71G1HP01y7g5uqHqNzsqmyg6sTmSpS3NtThOVxuDSzlG/5n79EwAA&#10;//8DAFBLAwQUAAYACAAAACEAYyY1z98AAAAKAQAADwAAAGRycy9kb3ducmV2LnhtbEyPwU7DMAyG&#10;70i8Q2QkbixhhW6UphMCDYnj1l24uU1oC41TNelWeHq8Exxtf/r9/flmdr042jF0njTcLhQIS7U3&#10;HTUaDuX2Zg0iRCSDvSer4dsG2BSXFzlmxp9oZ4/72AgOoZChhjbGIZMy1K11GBZ+sMS3Dz86jDyO&#10;jTQjnjjc9XKpVCoddsQfWhzsc2vrr/3kNFTd8oA/u/JVuYdtEt/m8nN6f9H6+mp+egQR7Rz/YDjr&#10;szoU7FT5iUwQvYZVes/qUcNdmoBgYJ2seFExqVQCssjl/wrFLwAAAP//AwBQSwECLQAUAAYACAAA&#10;ACEAtoM4kv4AAADhAQAAEwAAAAAAAAAAAAAAAAAAAAAAW0NvbnRlbnRfVHlwZXNdLnhtbFBLAQIt&#10;ABQABgAIAAAAIQA4/SH/1gAAAJQBAAALAAAAAAAAAAAAAAAAAC8BAABfcmVscy8ucmVsc1BLAQIt&#10;ABQABgAIAAAAIQCrkLXDHgIAAD8EAAAOAAAAAAAAAAAAAAAAAC4CAABkcnMvZTJvRG9jLnhtbFBL&#10;AQItABQABgAIAAAAIQBjJjXP3wAAAAoBAAAPAAAAAAAAAAAAAAAAAHgEAABkcnMvZG93bnJldi54&#10;bWxQSwUGAAAAAAQABADzAAAAhAUAAAAA&#10;"/>
                  </w:pict>
                </mc:Fallback>
              </mc:AlternateContent>
            </w:r>
          </w:p>
          <w:p w14:paraId="7693E8B5" w14:textId="647BE48E" w:rsidR="006F3B00" w:rsidRPr="00FD1064" w:rsidRDefault="006F3B00" w:rsidP="00864ED0">
            <w:pPr>
              <w:numPr>
                <w:ilvl w:val="0"/>
                <w:numId w:val="46"/>
              </w:numPr>
              <w:spacing w:after="0" w:line="240" w:lineRule="auto"/>
              <w:rPr>
                <w:rFonts w:ascii="Calibri" w:hAnsi="Calibri" w:cs="Arial"/>
              </w:rPr>
            </w:pPr>
            <w:r w:rsidRPr="00FD1064">
              <w:rPr>
                <w:rFonts w:ascii="Calibri" w:hAnsi="Calibri" w:cs="Arial"/>
              </w:rPr>
              <w:t>I understand that my participation is voluntary and that I am free to</w:t>
            </w:r>
          </w:p>
          <w:p w14:paraId="23536855" w14:textId="77777777" w:rsidR="006F3B00" w:rsidRPr="00FD1064" w:rsidRDefault="006F3B00" w:rsidP="00084153">
            <w:pPr>
              <w:ind w:left="360"/>
              <w:rPr>
                <w:rFonts w:ascii="Calibri" w:hAnsi="Calibri" w:cs="Arial"/>
              </w:rPr>
            </w:pPr>
            <w:r w:rsidRPr="00FD1064">
              <w:rPr>
                <w:rFonts w:ascii="Calibri" w:hAnsi="Calibri" w:cs="Arial"/>
              </w:rPr>
              <w:t xml:space="preserve">      withdraw at any time without giving any reason and without there being</w:t>
            </w:r>
          </w:p>
          <w:p w14:paraId="51D65307" w14:textId="77777777" w:rsidR="006F3B00" w:rsidRPr="00FD1064" w:rsidRDefault="006F3B00" w:rsidP="00084153">
            <w:pPr>
              <w:ind w:left="360"/>
              <w:rPr>
                <w:rFonts w:ascii="Calibri" w:hAnsi="Calibri" w:cs="Arial"/>
                <w:i/>
                <w:iCs/>
              </w:rPr>
            </w:pPr>
            <w:r w:rsidRPr="00FD1064">
              <w:rPr>
                <w:rFonts w:ascii="Calibri" w:hAnsi="Calibri" w:cs="Arial"/>
              </w:rPr>
              <w:t xml:space="preserve">      </w:t>
            </w:r>
            <w:proofErr w:type="gramStart"/>
            <w:r w:rsidRPr="00FD1064">
              <w:rPr>
                <w:rFonts w:ascii="Calibri" w:hAnsi="Calibri" w:cs="Arial"/>
              </w:rPr>
              <w:t>any</w:t>
            </w:r>
            <w:proofErr w:type="gramEnd"/>
            <w:r w:rsidRPr="00FD1064">
              <w:rPr>
                <w:rFonts w:ascii="Calibri" w:hAnsi="Calibri" w:cs="Arial"/>
              </w:rPr>
              <w:t xml:space="preserve"> negative consequences. In addition, should I not wish to answer any particular</w:t>
            </w:r>
            <w:r w:rsidRPr="00FD1064">
              <w:rPr>
                <w:rFonts w:ascii="Calibri" w:hAnsi="Calibri" w:cs="Arial"/>
              </w:rPr>
              <w:br/>
              <w:t xml:space="preserve">      question or questions, I am free to decline. </w:t>
            </w:r>
            <w:r w:rsidRPr="00FD1064">
              <w:rPr>
                <w:rFonts w:ascii="Calibri" w:hAnsi="Calibri" w:cs="Arial"/>
                <w:i/>
                <w:iCs/>
              </w:rPr>
              <w:t xml:space="preserve">Lead researcher contact telephone </w:t>
            </w:r>
          </w:p>
          <w:p w14:paraId="263C1EB1" w14:textId="77777777" w:rsidR="006F3B00" w:rsidRPr="00FD1064" w:rsidRDefault="006F3B00" w:rsidP="00084153">
            <w:pPr>
              <w:ind w:left="360"/>
              <w:rPr>
                <w:rFonts w:ascii="Calibri" w:hAnsi="Calibri" w:cs="Arial"/>
              </w:rPr>
            </w:pPr>
            <w:r w:rsidRPr="00FD1064">
              <w:rPr>
                <w:rFonts w:ascii="Calibri" w:hAnsi="Calibri" w:cs="Arial"/>
                <w:i/>
                <w:iCs/>
              </w:rPr>
              <w:t xml:space="preserve">      number: 0114 2265477</w:t>
            </w:r>
          </w:p>
          <w:p w14:paraId="6B723C66" w14:textId="2936C492" w:rsidR="006F3B00" w:rsidRPr="00FD1064" w:rsidRDefault="00DB4E45" w:rsidP="00084153">
            <w:pPr>
              <w:tabs>
                <w:tab w:val="left" w:pos="360"/>
              </w:tabs>
              <w:ind w:left="360"/>
              <w:rPr>
                <w:rFonts w:ascii="Calibri" w:hAnsi="Calibri" w:cs="Arial"/>
              </w:rPr>
            </w:pPr>
            <w:r w:rsidRPr="00FD1064">
              <w:rPr>
                <w:rFonts w:ascii="Calibri" w:hAnsi="Calibri" w:cs="Arial"/>
                <w:noProof/>
              </w:rPr>
              <mc:AlternateContent>
                <mc:Choice Requires="wps">
                  <w:drawing>
                    <wp:anchor distT="0" distB="0" distL="114300" distR="114300" simplePos="0" relativeHeight="251678720" behindDoc="0" locked="0" layoutInCell="1" allowOverlap="1" wp14:anchorId="4282EDCC" wp14:editId="42580341">
                      <wp:simplePos x="0" y="0"/>
                      <wp:positionH relativeFrom="column">
                        <wp:posOffset>4842510</wp:posOffset>
                      </wp:positionH>
                      <wp:positionV relativeFrom="paragraph">
                        <wp:posOffset>280035</wp:posOffset>
                      </wp:positionV>
                      <wp:extent cx="457200" cy="342900"/>
                      <wp:effectExtent l="8890" t="12065" r="10160" b="6985"/>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7B675" id="Rectangle 322" o:spid="_x0000_s1026" style="position:absolute;margin-left:381.3pt;margin-top:22.05pt;width:36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BtHwIAAD8EAAAOAAAAZHJzL2Uyb0RvYy54bWysU8FuEzEQvSPxD5bvZJNtAs0qm6pKCUIq&#10;UFH4AMfrzVrYHjN2sglfz9ibhhQ4IXywPJ7x85s3M4ubgzVsrzBocDWfjMacKSeh0W5b869f1q+u&#10;OQtRuEYYcKrmRxX4zfLli0XvK1VCB6ZRyAjEhar3Ne9i9FVRBNkpK8IIvHLkbAGtiGTitmhQ9IRu&#10;TVGOx6+LHrDxCFKFQLd3g5MvM37bKhk/tW1QkZmaE7eYd8z7Ju3FciGqLQrfaXmiIf6BhRXa0adn&#10;qDsRBduh/gPKaokQoI0jCbaAttVS5Rwom8n4t2weO+FVzoXECf4sU/h/sPLj/gGZbmp+VZacOWGp&#10;SJ9JNuG2RrF0SRL1PlQU+egfMCUZ/D3Ib4E5WHUUp24Roe+UaIjYJMUXzx4kI9BTtuk/QEP4Yhch&#10;q3Vo0SZA0oEdclGO56KoQ2SSLqezN1RoziS5rqblnM7pB1E9PfYY4jsFlqVDzZHIZ3Cxvw9xCH0K&#10;yeTB6GatjckGbjcrg2wvqD/WeZ3Qw2WYcayv+XxWzjLyM1+4hBjn9TcIqyM1utG25tfnIFEl1d66&#10;hmiKKgpthjNlZ9xJxqTcUIENNEdSEWHoYpo6OnSAPzjrqYNrHr7vBCrOzHtHlZhPptPU8tnIKnKG&#10;l57NpUc4SVA1j5wNx1UcxmTnUW87+mmSc3dwS9VrdVY2VXZgdSJLXZprc5qoNAaXdo76NffLnwAA&#10;AP//AwBQSwMEFAAGAAgAAAAhABoHjx/eAAAACQEAAA8AAABkcnMvZG93bnJldi54bWxMj8FOg0AQ&#10;hu8mvsNmTLzZBUqQUpbGaGrisaUXbwNMAWV3Cbu06NM7nvQ4M1/++f58t+hBXGhyvTUKwlUAgkxt&#10;m960Ck7l/iEF4TyaBgdrSMEXOdgVtzc5Zo29mgNdjr4VHGJchgo678dMSld3pNGt7EiGb2c7afQ8&#10;Tq1sJrxyuB5kFASJ1Ngb/tDhSM8d1Z/HWSuo+uiE34fyNdCb/dq/LeXH/P6i1P3d8rQF4WnxfzD8&#10;6rM6FOxU2dk0TgwKHpMoYVRBHIcgGEjXMS8qBZs0BFnk8n+D4gcAAP//AwBQSwECLQAUAAYACAAA&#10;ACEAtoM4kv4AAADhAQAAEwAAAAAAAAAAAAAAAAAAAAAAW0NvbnRlbnRfVHlwZXNdLnhtbFBLAQIt&#10;ABQABgAIAAAAIQA4/SH/1gAAAJQBAAALAAAAAAAAAAAAAAAAAC8BAABfcmVscy8ucmVsc1BLAQIt&#10;ABQABgAIAAAAIQAynCBtHwIAAD8EAAAOAAAAAAAAAAAAAAAAAC4CAABkcnMvZTJvRG9jLnhtbFBL&#10;AQItABQABgAIAAAAIQAaB48f3gAAAAkBAAAPAAAAAAAAAAAAAAAAAHkEAABkcnMvZG93bnJldi54&#10;bWxQSwUGAAAAAAQABADzAAAAhAUAAAAA&#10;"/>
                  </w:pict>
                </mc:Fallback>
              </mc:AlternateContent>
            </w:r>
          </w:p>
          <w:p w14:paraId="1883F591" w14:textId="0E1A7CEA" w:rsidR="006F3B00" w:rsidRPr="00FD1064" w:rsidRDefault="006F3B00" w:rsidP="00864ED0">
            <w:pPr>
              <w:numPr>
                <w:ilvl w:val="0"/>
                <w:numId w:val="46"/>
              </w:numPr>
              <w:tabs>
                <w:tab w:val="left" w:pos="360"/>
              </w:tabs>
              <w:spacing w:after="0" w:line="240" w:lineRule="auto"/>
              <w:rPr>
                <w:rFonts w:ascii="Calibri" w:hAnsi="Calibri" w:cs="Arial"/>
              </w:rPr>
            </w:pPr>
            <w:r w:rsidRPr="00FD1064">
              <w:rPr>
                <w:rFonts w:ascii="Calibri" w:hAnsi="Calibri" w:cs="Arial"/>
              </w:rPr>
              <w:t>I understand that my responses will be kept strictly confidential.</w:t>
            </w:r>
            <w:r w:rsidRPr="00FD1064">
              <w:rPr>
                <w:rFonts w:ascii="Calibri" w:hAnsi="Calibri" w:cs="Arial"/>
              </w:rPr>
              <w:br/>
              <w:t>I give permission for members of the research team to have access</w:t>
            </w:r>
          </w:p>
          <w:p w14:paraId="19706D5B" w14:textId="77777777" w:rsidR="006F3B00" w:rsidRPr="00FD1064" w:rsidRDefault="006F3B00" w:rsidP="00084153">
            <w:pPr>
              <w:tabs>
                <w:tab w:val="left" w:pos="360"/>
              </w:tabs>
              <w:ind w:left="360"/>
              <w:rPr>
                <w:rFonts w:ascii="Calibri" w:hAnsi="Calibri" w:cs="Arial"/>
              </w:rPr>
            </w:pPr>
            <w:r w:rsidRPr="00FD1064">
              <w:rPr>
                <w:rFonts w:ascii="Calibri" w:hAnsi="Calibri" w:cs="Arial"/>
              </w:rPr>
              <w:t xml:space="preserve">      </w:t>
            </w:r>
            <w:proofErr w:type="gramStart"/>
            <w:r w:rsidRPr="00FD1064">
              <w:rPr>
                <w:rFonts w:ascii="Calibri" w:hAnsi="Calibri" w:cs="Arial"/>
              </w:rPr>
              <w:t>to</w:t>
            </w:r>
            <w:proofErr w:type="gramEnd"/>
            <w:r w:rsidRPr="00FD1064">
              <w:rPr>
                <w:rFonts w:ascii="Calibri" w:hAnsi="Calibri" w:cs="Arial"/>
              </w:rPr>
              <w:t xml:space="preserve"> my anonymised responses. I understand that my name will not be </w:t>
            </w:r>
          </w:p>
          <w:p w14:paraId="091FFFF3" w14:textId="77777777" w:rsidR="006F3B00" w:rsidRPr="00FD1064" w:rsidRDefault="006F3B00" w:rsidP="00084153">
            <w:pPr>
              <w:tabs>
                <w:tab w:val="left" w:pos="360"/>
              </w:tabs>
              <w:ind w:left="360"/>
              <w:rPr>
                <w:rFonts w:ascii="Calibri" w:hAnsi="Calibri" w:cs="Arial"/>
              </w:rPr>
            </w:pPr>
            <w:r w:rsidRPr="00FD1064">
              <w:rPr>
                <w:rFonts w:ascii="Calibri" w:hAnsi="Calibri" w:cs="Arial"/>
              </w:rPr>
              <w:t xml:space="preserve">      </w:t>
            </w:r>
            <w:proofErr w:type="gramStart"/>
            <w:r w:rsidRPr="00FD1064">
              <w:rPr>
                <w:rFonts w:ascii="Calibri" w:hAnsi="Calibri" w:cs="Arial"/>
              </w:rPr>
              <w:t>linked</w:t>
            </w:r>
            <w:proofErr w:type="gramEnd"/>
            <w:r>
              <w:rPr>
                <w:rFonts w:ascii="Calibri" w:hAnsi="Calibri" w:cs="Arial"/>
              </w:rPr>
              <w:t xml:space="preserve"> </w:t>
            </w:r>
            <w:r w:rsidRPr="00FD1064">
              <w:rPr>
                <w:rFonts w:ascii="Calibri" w:hAnsi="Calibri" w:cs="Arial"/>
              </w:rPr>
              <w:t>with the research materials, and I will not be identified or identifiable in the</w:t>
            </w:r>
            <w:r w:rsidRPr="00FD1064">
              <w:rPr>
                <w:rFonts w:ascii="Calibri" w:hAnsi="Calibri" w:cs="Arial"/>
              </w:rPr>
              <w:br/>
              <w:t xml:space="preserve">      report or reports that result from the research.     </w:t>
            </w:r>
          </w:p>
          <w:p w14:paraId="2BAAB01F" w14:textId="77777777" w:rsidR="006F3B00" w:rsidRPr="00FD1064" w:rsidRDefault="006F3B00" w:rsidP="00084153">
            <w:pPr>
              <w:tabs>
                <w:tab w:val="left" w:pos="360"/>
              </w:tabs>
              <w:ind w:left="360"/>
              <w:rPr>
                <w:rFonts w:ascii="Calibri" w:hAnsi="Calibri" w:cs="Arial"/>
              </w:rPr>
            </w:pPr>
            <w:r w:rsidRPr="00FD1064">
              <w:rPr>
                <w:rFonts w:ascii="Calibri" w:hAnsi="Calibri" w:cs="Arial"/>
                <w:noProof/>
              </w:rPr>
              <mc:AlternateContent>
                <mc:Choice Requires="wps">
                  <w:drawing>
                    <wp:anchor distT="0" distB="0" distL="114300" distR="114300" simplePos="0" relativeHeight="251679744" behindDoc="0" locked="0" layoutInCell="1" allowOverlap="1" wp14:anchorId="226CFB21" wp14:editId="73929361">
                      <wp:simplePos x="0" y="0"/>
                      <wp:positionH relativeFrom="column">
                        <wp:posOffset>4861560</wp:posOffset>
                      </wp:positionH>
                      <wp:positionV relativeFrom="paragraph">
                        <wp:posOffset>185420</wp:posOffset>
                      </wp:positionV>
                      <wp:extent cx="457200" cy="342900"/>
                      <wp:effectExtent l="8890" t="8890" r="10160" b="1016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3E5F4" id="Rectangle 321" o:spid="_x0000_s1026" style="position:absolute;margin-left:382.8pt;margin-top:14.6pt;width:36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FHQIAAD8EAAAOAAAAZHJzL2Uyb0RvYy54bWysU1GP0zAMfkfiP0R5Z912G9yqZafTjiGk&#10;A04c/IAsTduIJA5Otu749bjpNnbAE6IPkR07Xz9/tpc3B2fZXmM04AWfjMacaa+gMr4R/OuXzatr&#10;zmKSvpIWvBb8SUd+s3r5YtmFUk+hBVtpZATiY9kFwduUQlkUUbXayTiCoD0Fa0AnE7nYFBXKjtCd&#10;Labj8euiA6wCgtIx0u3dEOSrjF/XWqVPdR11YlZw4pbyifnc9mexWsqyQRlao4405D+wcNJ4+ukZ&#10;6k4myXZo/oByRiFEqNNIgSugro3SuQaqZjL+rZrHVgadayFxYjjLFP8frPq4f0BmKsGvphPOvHTU&#10;pM8km/SN1ay/JIm6EEvKfAwP2BcZwz2ob5F5WLeUp28RoWu1rIhYzi+ePeidSE/ZtvsAFeHLXYKs&#10;1qFG1wOSDuyQm/J0boo+JKbocjZ/Q43mTFHoajZdkE2MClmeHgeM6Z0Gx3pDcCTyGVzu72MaUk8p&#10;mTxYU22MtdnBZru2yPaS5mOTvyN6vEyznnWCL+bTeUZ+FouXEOP8/Q3CmUSDbo0T/PqcJMtetbe+&#10;ymOYpLGDTdVZT0WelBs6sIXqiVREGKaYto6MFvAHZx1NsODx+06i5sy+99SJxWQ260c+O1lFzvAy&#10;sr2MSK8ISvDE2WCu07Amu4CmaelPk1y7h1vqXm2ysj2/gdWRLE1p7s1xo/o1uPRz1q+9X/0EAAD/&#10;/wMAUEsDBBQABgAIAAAAIQD63JoC3gAAAAkBAAAPAAAAZHJzL2Rvd25yZXYueG1sTI9NT8MwDIbv&#10;SPyHyEjcWEomuq00nRBoSBy37sLNbUJbaJyqSbfCr8c7wc0fj14/zrez68XJjqHzpOF+kYCwVHvT&#10;UaPhWO7u1iBCRDLYe7Iavm2AbXF9lWNm/Jn29nSIjeAQChlqaGMcMilD3VqHYeEHS7z78KPDyO3Y&#10;SDPimcNdL1WSpNJhR3yhxcE+t7b+OkxOQ9WpI/7sy9fEbXbL+DaXn9P7i9a3N/PTI4ho5/gHw0Wf&#10;1aFgp8pPZILoNazSh5RRDWqjQDCwXq54UF0KBbLI5f8Pil8AAAD//wMAUEsBAi0AFAAGAAgAAAAh&#10;ALaDOJL+AAAA4QEAABMAAAAAAAAAAAAAAAAAAAAAAFtDb250ZW50X1R5cGVzXS54bWxQSwECLQAU&#10;AAYACAAAACEAOP0h/9YAAACUAQAACwAAAAAAAAAAAAAAAAAvAQAAX3JlbHMvLnJlbHNQSwECLQAU&#10;AAYACAAAACEA2I/uRR0CAAA/BAAADgAAAAAAAAAAAAAAAAAuAgAAZHJzL2Uyb0RvYy54bWxQSwEC&#10;LQAUAAYACAAAACEA+tyaAt4AAAAJAQAADwAAAAAAAAAAAAAAAAB3BAAAZHJzL2Rvd25yZXYueG1s&#10;UEsFBgAAAAAEAAQA8wAAAIIFAAAAAA==&#10;"/>
                  </w:pict>
                </mc:Fallback>
              </mc:AlternateContent>
            </w:r>
          </w:p>
          <w:p w14:paraId="4E335A7F" w14:textId="77777777" w:rsidR="006F3B00" w:rsidRPr="00FD1064" w:rsidRDefault="006F3B00" w:rsidP="00864ED0">
            <w:pPr>
              <w:numPr>
                <w:ilvl w:val="0"/>
                <w:numId w:val="46"/>
              </w:numPr>
              <w:spacing w:after="0" w:line="240" w:lineRule="auto"/>
              <w:jc w:val="both"/>
              <w:rPr>
                <w:rFonts w:ascii="Calibri" w:hAnsi="Calibri" w:cs="Arial"/>
              </w:rPr>
            </w:pPr>
            <w:r w:rsidRPr="00FD1064">
              <w:rPr>
                <w:rFonts w:ascii="Calibri" w:hAnsi="Calibri" w:cs="Arial"/>
              </w:rPr>
              <w:t xml:space="preserve">I agree for the data collected from me to be used in future research. </w:t>
            </w:r>
          </w:p>
          <w:p w14:paraId="23238DAF" w14:textId="77777777" w:rsidR="006F3B00" w:rsidRPr="00FD1064" w:rsidRDefault="006F3B00" w:rsidP="00084153">
            <w:pPr>
              <w:ind w:left="720"/>
              <w:jc w:val="both"/>
              <w:rPr>
                <w:rFonts w:ascii="Calibri" w:hAnsi="Calibri"/>
              </w:rPr>
            </w:pPr>
            <w:r w:rsidRPr="00FD1064">
              <w:rPr>
                <w:rFonts w:ascii="Calibri" w:hAnsi="Calibri"/>
              </w:rPr>
              <w:t>Recordin</w:t>
            </w:r>
            <w:r>
              <w:rPr>
                <w:rFonts w:ascii="Calibri" w:hAnsi="Calibri"/>
              </w:rPr>
              <w:t>gs will be stored securely for 10 years.</w:t>
            </w:r>
          </w:p>
          <w:p w14:paraId="4B6E8F59" w14:textId="66ECD65D" w:rsidR="006F3B00" w:rsidRPr="00670157" w:rsidRDefault="006F3B00" w:rsidP="00670157">
            <w:pPr>
              <w:ind w:left="720"/>
              <w:jc w:val="both"/>
              <w:rPr>
                <w:rFonts w:ascii="Calibri" w:hAnsi="Calibri"/>
              </w:rPr>
            </w:pPr>
            <w:r w:rsidRPr="00FD1064">
              <w:rPr>
                <w:rFonts w:ascii="Calibri" w:hAnsi="Calibri"/>
              </w:rPr>
              <w:t>T</w:t>
            </w:r>
            <w:r>
              <w:rPr>
                <w:rFonts w:ascii="Calibri" w:hAnsi="Calibri"/>
              </w:rPr>
              <w:t>he recorded media will be used t</w:t>
            </w:r>
            <w:r w:rsidRPr="00C06558">
              <w:rPr>
                <w:rFonts w:ascii="Calibri" w:hAnsi="Calibri" w:cs="Calibri"/>
              </w:rPr>
              <w:t>o determine what cues are relevant to the judgement of diagnostic competence in histopathology from the perspective of Social Judgement Theory</w:t>
            </w:r>
          </w:p>
          <w:p w14:paraId="6B7E1E73" w14:textId="69D457D9" w:rsidR="006F3B00" w:rsidRPr="00FD1064" w:rsidRDefault="00DB4E45" w:rsidP="00084153">
            <w:pPr>
              <w:tabs>
                <w:tab w:val="left" w:pos="360"/>
              </w:tabs>
              <w:rPr>
                <w:rFonts w:ascii="Calibri" w:hAnsi="Calibri" w:cs="Arial"/>
              </w:rPr>
            </w:pPr>
            <w:r w:rsidRPr="00FD1064">
              <w:rPr>
                <w:rFonts w:ascii="Calibri" w:hAnsi="Calibri" w:cs="Arial"/>
                <w:noProof/>
              </w:rPr>
              <mc:AlternateContent>
                <mc:Choice Requires="wps">
                  <w:drawing>
                    <wp:anchor distT="0" distB="0" distL="114300" distR="114300" simplePos="0" relativeHeight="251680768" behindDoc="0" locked="0" layoutInCell="1" allowOverlap="1" wp14:anchorId="54E21CFE" wp14:editId="7CE6F7F6">
                      <wp:simplePos x="0" y="0"/>
                      <wp:positionH relativeFrom="column">
                        <wp:posOffset>4855845</wp:posOffset>
                      </wp:positionH>
                      <wp:positionV relativeFrom="paragraph">
                        <wp:posOffset>147320</wp:posOffset>
                      </wp:positionV>
                      <wp:extent cx="457200" cy="342900"/>
                      <wp:effectExtent l="8890" t="8255" r="10160" b="1079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F8878" id="Rectangle 320" o:spid="_x0000_s1026" style="position:absolute;margin-left:382.35pt;margin-top:11.6pt;width:3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vrHgIAAD8EAAAOAAAAZHJzL2Uyb0RvYy54bWysU8FuEzEQvSPxD5bvZJM0gWaVTVWlBCEV&#10;qCh8gOP17lrYHjN2sglfz9ibhhQ4IXywPJ7x85s3M8ubgzVsrzBocBWfjMacKSeh1q6t+Ncvm1fX&#10;nIUoXC0MOFXxowr8ZvXyxbL3pZpCB6ZWyAjEhbL3Fe9i9GVRBNkpK8IIvHLkbACtiGRiW9QoekK3&#10;ppiOx6+LHrD2CFKFQLd3g5OvMn7TKBk/NU1QkZmKE7eYd8z7Nu3FainKFoXvtDzREP/Awgrt6NMz&#10;1J2Igu1Q/wFltUQI0MSRBFtA02ipcg6UzWT8WzaPnfAq50LiBH+WKfw/WPlx/4BM1xW/mpI+Tlgq&#10;0meSTbjWKJYuSaLeh5IiH/0DpiSDvwf5LTAH647i1C0i9J0SNRGbpPji2YNkBHrKtv0HqAlf7CJk&#10;tQ4N2gRIOrBDLsrxXBR1iEzS5Wz+hgrNmSTX1Wy6oHP6QZRPjz2G+E6BZelQcSTyGVzs70McQp9C&#10;Mnkwut5oY7KB7XZtkO0F9ccmrxN6uAwzjvUVX8yn84z8zBcuIcZ5/Q3C6kiNbrSt+PU5SJRJtbeu&#10;JpqijEKb4UzZGXeSMSk3VGAL9ZFURBi6mKaODh3gD8566uCKh+87gYoz895RJRaT2Sy1fDayipzh&#10;pWd76RFOElTFI2fDcR2HMdl51G1HP01y7g5uqXqNzsqmyg6sTmSpS3NtThOVxuDSzlG/5n71EwAA&#10;//8DAFBLAwQUAAYACAAAACEA/svS4N4AAAAJAQAADwAAAGRycy9kb3ducmV2LnhtbEyPwU6DQBCG&#10;7ya+w2ZMvNnFxUClLI3R1MRjSy/eBpgCyu4SdmnRp3c86XHm//LPN/l2MYM40+R7ZzXcryIQZGvX&#10;9LbVcCx3d2sQPqBtcHCWNHyRh21xfZVj1riL3dP5EFrBJdZnqKELYcyk9HVHBv3KjWQ5O7nJYOBx&#10;amUz4YXLzSBVFCXSYG/5QocjPXdUfx5mo6Hq1RG/9+VrZB53cXhbyo/5/UXr25vlaQMi0BL+YPjV&#10;Z3Uo2Klys228GDSkyUPKqAYVKxAMrOOEFxUnqQJZ5PL/B8UPAAAA//8DAFBLAQItABQABgAIAAAA&#10;IQC2gziS/gAAAOEBAAATAAAAAAAAAAAAAAAAAAAAAABbQ29udGVudF9UeXBlc10ueG1sUEsBAi0A&#10;FAAGAAgAAAAhADj9If/WAAAAlAEAAAsAAAAAAAAAAAAAAAAALwEAAF9yZWxzLy5yZWxzUEsBAi0A&#10;FAAGAAgAAAAhAEGDe+seAgAAPwQAAA4AAAAAAAAAAAAAAAAALgIAAGRycy9lMm9Eb2MueG1sUEsB&#10;Ai0AFAAGAAgAAAAhAP7L0uDeAAAACQEAAA8AAAAAAAAAAAAAAAAAeAQAAGRycy9kb3ducmV2Lnht&#10;bFBLBQYAAAAABAAEAPMAAACDBQAAAAA=&#10;"/>
                  </w:pict>
                </mc:Fallback>
              </mc:AlternateContent>
            </w:r>
          </w:p>
          <w:p w14:paraId="606308CD" w14:textId="5D92F52B" w:rsidR="006F3B00" w:rsidRPr="00FD1064" w:rsidRDefault="006F3B00" w:rsidP="00864ED0">
            <w:pPr>
              <w:numPr>
                <w:ilvl w:val="0"/>
                <w:numId w:val="46"/>
              </w:numPr>
              <w:tabs>
                <w:tab w:val="left" w:pos="360"/>
              </w:tabs>
              <w:spacing w:after="0" w:line="240" w:lineRule="auto"/>
              <w:rPr>
                <w:rFonts w:ascii="Calibri" w:hAnsi="Calibri" w:cs="Arial"/>
              </w:rPr>
            </w:pPr>
            <w:r w:rsidRPr="00FD1064">
              <w:rPr>
                <w:rFonts w:ascii="Calibri" w:hAnsi="Calibri" w:cs="Arial"/>
              </w:rPr>
              <w:t>I agree to take part in the above research project.</w:t>
            </w:r>
          </w:p>
          <w:p w14:paraId="52559762" w14:textId="77777777" w:rsidR="006F3B00" w:rsidRPr="00FD1064" w:rsidRDefault="006F3B00" w:rsidP="00084153">
            <w:pPr>
              <w:rPr>
                <w:rFonts w:ascii="Calibri" w:hAnsi="Calibri" w:cs="Arial"/>
              </w:rPr>
            </w:pPr>
          </w:p>
          <w:p w14:paraId="389D6E8F" w14:textId="77777777" w:rsidR="006F3B00" w:rsidRPr="00FD1064" w:rsidRDefault="006F3B00" w:rsidP="00084153">
            <w:pPr>
              <w:tabs>
                <w:tab w:val="left" w:pos="3600"/>
                <w:tab w:val="left" w:pos="6480"/>
              </w:tabs>
              <w:rPr>
                <w:rFonts w:ascii="Calibri" w:hAnsi="Calibri" w:cs="Arial"/>
              </w:rPr>
            </w:pPr>
            <w:r w:rsidRPr="00FD1064">
              <w:rPr>
                <w:rFonts w:ascii="Calibri" w:hAnsi="Calibri" w:cs="Arial"/>
              </w:rPr>
              <w:t>________________________</w:t>
            </w:r>
            <w:r w:rsidRPr="00FD1064">
              <w:rPr>
                <w:rFonts w:ascii="Calibri" w:hAnsi="Calibri" w:cs="Arial"/>
              </w:rPr>
              <w:tab/>
              <w:t>________________         ____________________</w:t>
            </w:r>
          </w:p>
          <w:p w14:paraId="0AA72344" w14:textId="77777777" w:rsidR="006F3B00" w:rsidRPr="00FD1064" w:rsidRDefault="006F3B00" w:rsidP="00084153">
            <w:pPr>
              <w:tabs>
                <w:tab w:val="left" w:pos="3600"/>
                <w:tab w:val="left" w:pos="6480"/>
              </w:tabs>
              <w:rPr>
                <w:rFonts w:ascii="Calibri" w:hAnsi="Calibri" w:cs="Arial"/>
              </w:rPr>
            </w:pPr>
            <w:r w:rsidRPr="00FD1064">
              <w:rPr>
                <w:rFonts w:ascii="Calibri" w:hAnsi="Calibri" w:cs="Arial"/>
              </w:rPr>
              <w:t>Name of Participant</w:t>
            </w:r>
            <w:r w:rsidRPr="00FD1064">
              <w:rPr>
                <w:rFonts w:ascii="Calibri" w:hAnsi="Calibri" w:cs="Arial"/>
              </w:rPr>
              <w:tab/>
              <w:t>Date</w:t>
            </w:r>
            <w:r w:rsidRPr="00FD1064">
              <w:rPr>
                <w:rFonts w:ascii="Calibri" w:hAnsi="Calibri" w:cs="Arial"/>
              </w:rPr>
              <w:tab/>
              <w:t>Signature</w:t>
            </w:r>
          </w:p>
          <w:p w14:paraId="4900ADD6" w14:textId="75525929" w:rsidR="006F3B00" w:rsidRPr="00FD1064" w:rsidRDefault="006F3B00" w:rsidP="00084153">
            <w:pPr>
              <w:rPr>
                <w:rFonts w:ascii="Calibri" w:hAnsi="Calibri" w:cs="Arial"/>
              </w:rPr>
            </w:pPr>
          </w:p>
          <w:p w14:paraId="3A19C52E" w14:textId="77777777" w:rsidR="006F3B00" w:rsidRPr="00FD1064" w:rsidRDefault="006F3B00" w:rsidP="00084153">
            <w:pPr>
              <w:pStyle w:val="Header"/>
              <w:rPr>
                <w:rFonts w:ascii="Calibri" w:hAnsi="Calibri" w:cs="Arial"/>
              </w:rPr>
            </w:pPr>
          </w:p>
          <w:p w14:paraId="09AE58C5" w14:textId="77777777" w:rsidR="006F3B00" w:rsidRPr="00FD1064" w:rsidRDefault="006F3B00" w:rsidP="00084153">
            <w:pPr>
              <w:tabs>
                <w:tab w:val="left" w:pos="3600"/>
                <w:tab w:val="left" w:pos="6480"/>
              </w:tabs>
              <w:rPr>
                <w:rFonts w:ascii="Calibri" w:hAnsi="Calibri" w:cs="Arial"/>
              </w:rPr>
            </w:pPr>
            <w:r w:rsidRPr="00FD1064">
              <w:rPr>
                <w:rFonts w:ascii="Calibri" w:hAnsi="Calibri" w:cs="Arial"/>
              </w:rPr>
              <w:lastRenderedPageBreak/>
              <w:t>_________________________</w:t>
            </w:r>
            <w:r w:rsidRPr="00FD1064">
              <w:rPr>
                <w:rFonts w:ascii="Calibri" w:hAnsi="Calibri" w:cs="Arial"/>
              </w:rPr>
              <w:tab/>
              <w:t>________________         ____________________</w:t>
            </w:r>
          </w:p>
          <w:p w14:paraId="009035FE" w14:textId="77777777" w:rsidR="006F3B00" w:rsidRPr="00FD1064" w:rsidRDefault="006F3B00" w:rsidP="00084153">
            <w:pPr>
              <w:tabs>
                <w:tab w:val="left" w:pos="3600"/>
                <w:tab w:val="left" w:pos="6480"/>
              </w:tabs>
              <w:rPr>
                <w:rFonts w:ascii="Calibri" w:hAnsi="Calibri" w:cs="Arial"/>
              </w:rPr>
            </w:pPr>
            <w:r w:rsidRPr="00FD1064">
              <w:rPr>
                <w:rFonts w:ascii="Calibri" w:hAnsi="Calibri" w:cs="Arial"/>
              </w:rPr>
              <w:t>Name of person taking consent</w:t>
            </w:r>
            <w:r w:rsidRPr="00FD1064">
              <w:rPr>
                <w:rFonts w:ascii="Calibri" w:hAnsi="Calibri" w:cs="Arial"/>
              </w:rPr>
              <w:tab/>
              <w:t>Date</w:t>
            </w:r>
            <w:r w:rsidRPr="00FD1064">
              <w:rPr>
                <w:rFonts w:ascii="Calibri" w:hAnsi="Calibri" w:cs="Arial"/>
              </w:rPr>
              <w:tab/>
              <w:t>Signature</w:t>
            </w:r>
          </w:p>
          <w:p w14:paraId="3773FC22" w14:textId="77777777" w:rsidR="006F3B00" w:rsidRPr="00FD1064" w:rsidRDefault="006F3B00" w:rsidP="00084153">
            <w:pPr>
              <w:tabs>
                <w:tab w:val="left" w:pos="3600"/>
                <w:tab w:val="left" w:pos="6480"/>
              </w:tabs>
              <w:rPr>
                <w:rFonts w:ascii="Calibri" w:hAnsi="Calibri" w:cs="Arial"/>
              </w:rPr>
            </w:pPr>
            <w:r w:rsidRPr="00FD1064">
              <w:rPr>
                <w:rFonts w:ascii="Calibri" w:hAnsi="Calibri" w:cs="Arial"/>
              </w:rPr>
              <w:t>(</w:t>
            </w:r>
            <w:r w:rsidRPr="00FD1064">
              <w:rPr>
                <w:rFonts w:ascii="Calibri" w:hAnsi="Calibri" w:cs="Arial"/>
                <w:i/>
                <w:iCs/>
              </w:rPr>
              <w:t>if different from lead researcher</w:t>
            </w:r>
            <w:r w:rsidRPr="00FD1064">
              <w:rPr>
                <w:rFonts w:ascii="Calibri" w:hAnsi="Calibri" w:cs="Arial"/>
              </w:rPr>
              <w:t>)</w:t>
            </w:r>
          </w:p>
          <w:p w14:paraId="779C7A4B" w14:textId="77777777" w:rsidR="006F3B00" w:rsidRPr="00FD1064" w:rsidRDefault="006F3B00" w:rsidP="00084153">
            <w:pPr>
              <w:rPr>
                <w:rFonts w:ascii="Calibri" w:hAnsi="Calibri" w:cs="Arial"/>
                <w:i/>
                <w:iCs/>
              </w:rPr>
            </w:pPr>
            <w:r w:rsidRPr="00FD1064">
              <w:rPr>
                <w:rFonts w:ascii="Calibri" w:hAnsi="Calibri" w:cs="Arial"/>
                <w:i/>
                <w:iCs/>
              </w:rPr>
              <w:t>To be signed and dated in presence of the participant</w:t>
            </w:r>
          </w:p>
          <w:p w14:paraId="490C81A9" w14:textId="77777777" w:rsidR="006F3B00" w:rsidRPr="00FD1064" w:rsidRDefault="006F3B00" w:rsidP="00084153">
            <w:pPr>
              <w:rPr>
                <w:rFonts w:ascii="Calibri" w:hAnsi="Calibri" w:cs="Arial"/>
              </w:rPr>
            </w:pPr>
          </w:p>
          <w:p w14:paraId="7FD71851" w14:textId="77777777" w:rsidR="006F3B00" w:rsidRPr="00FD1064" w:rsidRDefault="006F3B00" w:rsidP="00084153">
            <w:pPr>
              <w:pStyle w:val="Header"/>
              <w:tabs>
                <w:tab w:val="left" w:pos="3600"/>
                <w:tab w:val="left" w:pos="6480"/>
              </w:tabs>
              <w:rPr>
                <w:rFonts w:ascii="Calibri" w:hAnsi="Calibri" w:cs="Arial"/>
              </w:rPr>
            </w:pPr>
            <w:r w:rsidRPr="00FD1064">
              <w:rPr>
                <w:rFonts w:ascii="Calibri" w:hAnsi="Calibri" w:cs="Arial"/>
              </w:rPr>
              <w:t>_________________________</w:t>
            </w:r>
            <w:r w:rsidRPr="00FD1064">
              <w:rPr>
                <w:rFonts w:ascii="Calibri" w:hAnsi="Calibri" w:cs="Arial"/>
              </w:rPr>
              <w:tab/>
              <w:t>________________         ____________________</w:t>
            </w:r>
          </w:p>
          <w:p w14:paraId="79CCD927" w14:textId="77777777" w:rsidR="006F3B00" w:rsidRPr="00FD1064" w:rsidRDefault="006F3B00" w:rsidP="00084153">
            <w:pPr>
              <w:tabs>
                <w:tab w:val="left" w:pos="3600"/>
                <w:tab w:val="left" w:pos="6480"/>
              </w:tabs>
              <w:rPr>
                <w:rFonts w:ascii="Calibri" w:hAnsi="Calibri" w:cs="Arial"/>
              </w:rPr>
            </w:pPr>
            <w:r w:rsidRPr="00FD1064">
              <w:rPr>
                <w:rFonts w:ascii="Calibri" w:hAnsi="Calibri" w:cs="Arial"/>
              </w:rPr>
              <w:t xml:space="preserve"> Lead Researcher</w:t>
            </w:r>
            <w:r w:rsidRPr="00FD1064">
              <w:rPr>
                <w:rFonts w:ascii="Calibri" w:hAnsi="Calibri" w:cs="Arial"/>
              </w:rPr>
              <w:tab/>
              <w:t>Date</w:t>
            </w:r>
            <w:r w:rsidRPr="00FD1064">
              <w:rPr>
                <w:rFonts w:ascii="Calibri" w:hAnsi="Calibri" w:cs="Arial"/>
              </w:rPr>
              <w:tab/>
              <w:t>Signature</w:t>
            </w:r>
          </w:p>
          <w:p w14:paraId="42B3A594" w14:textId="77777777" w:rsidR="006F3B00" w:rsidRPr="00FD1064" w:rsidRDefault="006F3B00" w:rsidP="00084153">
            <w:pPr>
              <w:rPr>
                <w:rFonts w:ascii="Calibri" w:hAnsi="Calibri" w:cs="Arial"/>
                <w:i/>
                <w:iCs/>
              </w:rPr>
            </w:pPr>
            <w:r w:rsidRPr="00FD1064">
              <w:rPr>
                <w:rFonts w:ascii="Calibri" w:hAnsi="Calibri" w:cs="Arial"/>
                <w:i/>
                <w:iCs/>
              </w:rPr>
              <w:t>To be signed and dated in presence of the participant</w:t>
            </w:r>
          </w:p>
          <w:p w14:paraId="00E3F4B6" w14:textId="77777777" w:rsidR="006F3B00" w:rsidRPr="00FD1064" w:rsidRDefault="006F3B00" w:rsidP="00084153">
            <w:pPr>
              <w:rPr>
                <w:rFonts w:ascii="Calibri" w:hAnsi="Calibri" w:cs="Arial"/>
              </w:rPr>
            </w:pPr>
          </w:p>
          <w:p w14:paraId="442FAAB5" w14:textId="77777777" w:rsidR="006F3B00" w:rsidRPr="00FD1064" w:rsidRDefault="006F3B00" w:rsidP="00084153">
            <w:pPr>
              <w:pStyle w:val="Header"/>
              <w:rPr>
                <w:rFonts w:ascii="Calibri" w:hAnsi="Calibri" w:cs="Arial"/>
              </w:rPr>
            </w:pPr>
            <w:r w:rsidRPr="00FD1064">
              <w:rPr>
                <w:rFonts w:ascii="Calibri" w:hAnsi="Calibri" w:cs="Arial"/>
              </w:rPr>
              <w:t>Copies:</w:t>
            </w:r>
          </w:p>
          <w:p w14:paraId="73B4AB42" w14:textId="77777777" w:rsidR="006F3B00" w:rsidRPr="00FD1064" w:rsidRDefault="006F3B00" w:rsidP="00084153">
            <w:pPr>
              <w:pStyle w:val="Header"/>
              <w:rPr>
                <w:rFonts w:ascii="Calibri" w:hAnsi="Calibri" w:cs="Arial"/>
              </w:rPr>
            </w:pPr>
          </w:p>
          <w:p w14:paraId="751AEF8B" w14:textId="77777777" w:rsidR="006F3B00" w:rsidRPr="00FD1064" w:rsidRDefault="006F3B00" w:rsidP="00084153">
            <w:pPr>
              <w:pStyle w:val="Header"/>
              <w:jc w:val="both"/>
              <w:rPr>
                <w:rFonts w:ascii="Calibri" w:hAnsi="Calibri" w:cs="Arial"/>
                <w:i/>
                <w:iCs/>
              </w:rPr>
            </w:pPr>
            <w:r w:rsidRPr="00FD1064">
              <w:rPr>
                <w:rFonts w:ascii="Calibri" w:hAnsi="Calibri" w:cs="Arial"/>
                <w:i/>
                <w:iCs/>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tc>
      </w:tr>
      <w:tr w:rsidR="006F3B00" w:rsidRPr="00FD1064" w14:paraId="0F497023" w14:textId="77777777" w:rsidTr="00084153">
        <w:tc>
          <w:tcPr>
            <w:tcW w:w="9286" w:type="dxa"/>
          </w:tcPr>
          <w:p w14:paraId="22A78296" w14:textId="77777777" w:rsidR="006F3B00" w:rsidRPr="00FD1064" w:rsidRDefault="006F3B00" w:rsidP="00084153">
            <w:pPr>
              <w:pStyle w:val="Header"/>
              <w:rPr>
                <w:rFonts w:ascii="Calibri" w:hAnsi="Calibri" w:cs="Arial"/>
              </w:rPr>
            </w:pPr>
          </w:p>
        </w:tc>
      </w:tr>
    </w:tbl>
    <w:p w14:paraId="0F5FB8AC" w14:textId="77777777" w:rsidR="006F3B00" w:rsidRPr="00FD1064" w:rsidRDefault="006F3B00" w:rsidP="006F3B00">
      <w:pPr>
        <w:pStyle w:val="Heading4"/>
        <w:rPr>
          <w:rFonts w:ascii="Calibri" w:hAnsi="Calibri" w:cs="Arial"/>
          <w:b w:val="0"/>
          <w:bCs w:val="0"/>
          <w:color w:val="0099FF"/>
          <w:sz w:val="24"/>
          <w:szCs w:val="24"/>
        </w:rPr>
      </w:pPr>
    </w:p>
    <w:p w14:paraId="663C5CAC" w14:textId="77777777" w:rsidR="003E5C0E" w:rsidRPr="006F3B00" w:rsidRDefault="003E5C0E" w:rsidP="00863DF5">
      <w:pPr>
        <w:spacing w:line="480" w:lineRule="auto"/>
        <w:rPr>
          <w:rFonts w:ascii="Times New Roman" w:hAnsi="Times New Roman" w:cs="Times New Roman"/>
          <w:sz w:val="24"/>
          <w:szCs w:val="24"/>
        </w:rPr>
      </w:pPr>
    </w:p>
    <w:p w14:paraId="34BC298C" w14:textId="77777777" w:rsidR="003E5C0E" w:rsidRPr="006F3B00" w:rsidRDefault="003E5C0E" w:rsidP="00863DF5">
      <w:pPr>
        <w:spacing w:line="480" w:lineRule="auto"/>
        <w:rPr>
          <w:rFonts w:ascii="Times New Roman" w:hAnsi="Times New Roman" w:cs="Times New Roman"/>
          <w:sz w:val="24"/>
          <w:szCs w:val="24"/>
        </w:rPr>
      </w:pPr>
    </w:p>
    <w:p w14:paraId="3192AB63" w14:textId="77777777" w:rsidR="003E5C0E" w:rsidRPr="006F3B00" w:rsidRDefault="003E5C0E" w:rsidP="00863DF5">
      <w:pPr>
        <w:spacing w:line="480" w:lineRule="auto"/>
        <w:rPr>
          <w:rFonts w:ascii="Times New Roman" w:hAnsi="Times New Roman" w:cs="Times New Roman"/>
          <w:sz w:val="24"/>
          <w:szCs w:val="24"/>
        </w:rPr>
      </w:pPr>
    </w:p>
    <w:p w14:paraId="62C5D266" w14:textId="77777777" w:rsidR="003E5C0E" w:rsidRPr="006F3B00" w:rsidRDefault="003E5C0E" w:rsidP="00863DF5">
      <w:pPr>
        <w:spacing w:line="480" w:lineRule="auto"/>
        <w:rPr>
          <w:rFonts w:ascii="Times New Roman" w:hAnsi="Times New Roman" w:cs="Times New Roman"/>
          <w:sz w:val="24"/>
          <w:szCs w:val="24"/>
        </w:rPr>
      </w:pPr>
    </w:p>
    <w:p w14:paraId="5A25804D" w14:textId="359C9DE5" w:rsidR="003E5C0E" w:rsidRDefault="003E5C0E" w:rsidP="00863DF5">
      <w:pPr>
        <w:spacing w:line="480" w:lineRule="auto"/>
        <w:rPr>
          <w:rFonts w:ascii="Times New Roman" w:hAnsi="Times New Roman" w:cs="Times New Roman"/>
          <w:sz w:val="24"/>
          <w:szCs w:val="24"/>
        </w:rPr>
      </w:pPr>
    </w:p>
    <w:p w14:paraId="546217EE" w14:textId="3F6A8AB2" w:rsidR="009F72BE" w:rsidRDefault="009F72BE" w:rsidP="00863DF5">
      <w:pPr>
        <w:spacing w:line="480" w:lineRule="auto"/>
        <w:rPr>
          <w:rFonts w:ascii="Times New Roman" w:hAnsi="Times New Roman" w:cs="Times New Roman"/>
          <w:sz w:val="24"/>
          <w:szCs w:val="24"/>
        </w:rPr>
      </w:pPr>
    </w:p>
    <w:p w14:paraId="7557A188" w14:textId="2179A3FD" w:rsidR="009F72BE" w:rsidRDefault="009F72BE" w:rsidP="00863DF5">
      <w:pPr>
        <w:spacing w:line="480" w:lineRule="auto"/>
        <w:rPr>
          <w:rFonts w:ascii="Times New Roman" w:hAnsi="Times New Roman" w:cs="Times New Roman"/>
          <w:sz w:val="24"/>
          <w:szCs w:val="24"/>
        </w:rPr>
      </w:pPr>
    </w:p>
    <w:p w14:paraId="5294F6ED" w14:textId="1A4FA4E6" w:rsidR="009F72BE" w:rsidRDefault="009F72BE" w:rsidP="00863DF5">
      <w:pPr>
        <w:spacing w:line="480" w:lineRule="auto"/>
        <w:rPr>
          <w:rFonts w:ascii="Times New Roman" w:hAnsi="Times New Roman" w:cs="Times New Roman"/>
          <w:sz w:val="24"/>
          <w:szCs w:val="24"/>
        </w:rPr>
      </w:pPr>
    </w:p>
    <w:p w14:paraId="7C75C0E6" w14:textId="77777777" w:rsidR="009F72BE" w:rsidRPr="006F3B00" w:rsidRDefault="009F72BE" w:rsidP="00863DF5">
      <w:pPr>
        <w:spacing w:line="480" w:lineRule="auto"/>
        <w:rPr>
          <w:rFonts w:ascii="Times New Roman" w:hAnsi="Times New Roman" w:cs="Times New Roman"/>
          <w:sz w:val="24"/>
          <w:szCs w:val="24"/>
        </w:rPr>
      </w:pPr>
    </w:p>
    <w:p w14:paraId="6BB7DD5E" w14:textId="5C67D223" w:rsidR="003E5C0E" w:rsidRDefault="003E5C0E" w:rsidP="00863DF5">
      <w:pPr>
        <w:spacing w:line="480" w:lineRule="auto"/>
        <w:rPr>
          <w:rFonts w:ascii="Times New Roman" w:hAnsi="Times New Roman" w:cs="Times New Roman"/>
          <w:sz w:val="24"/>
          <w:szCs w:val="24"/>
        </w:rPr>
      </w:pPr>
    </w:p>
    <w:p w14:paraId="15F57D28" w14:textId="77777777" w:rsidR="00670157" w:rsidRPr="006F3B00" w:rsidRDefault="00670157" w:rsidP="00863DF5">
      <w:pPr>
        <w:spacing w:line="480" w:lineRule="auto"/>
        <w:rPr>
          <w:rFonts w:ascii="Times New Roman" w:hAnsi="Times New Roman" w:cs="Times New Roman"/>
          <w:sz w:val="24"/>
          <w:szCs w:val="24"/>
        </w:rPr>
      </w:pPr>
    </w:p>
    <w:p w14:paraId="07B43F5C" w14:textId="3A108A33" w:rsidR="0020029A" w:rsidRPr="006F3B00" w:rsidRDefault="00DB4E45" w:rsidP="0020029A">
      <w:pPr>
        <w:pStyle w:val="Heading2"/>
        <w:rPr>
          <w:rFonts w:ascii="Times New Roman" w:hAnsi="Times New Roman" w:cs="Times New Roman"/>
          <w:color w:val="auto"/>
          <w:sz w:val="24"/>
          <w:szCs w:val="24"/>
        </w:rPr>
      </w:pPr>
      <w:bookmarkStart w:id="137" w:name="_Toc23243866"/>
      <w:r>
        <w:rPr>
          <w:rFonts w:ascii="Times New Roman" w:hAnsi="Times New Roman" w:cs="Times New Roman"/>
          <w:color w:val="auto"/>
          <w:sz w:val="24"/>
          <w:szCs w:val="24"/>
        </w:rPr>
        <w:lastRenderedPageBreak/>
        <w:t>Appendix 7</w:t>
      </w:r>
      <w:r w:rsidR="0020029A" w:rsidRPr="006F3B00">
        <w:rPr>
          <w:rFonts w:ascii="Times New Roman" w:hAnsi="Times New Roman" w:cs="Times New Roman"/>
          <w:color w:val="auto"/>
          <w:sz w:val="24"/>
          <w:szCs w:val="24"/>
        </w:rPr>
        <w:t>: Invitation email for Delphi study</w:t>
      </w:r>
      <w:bookmarkEnd w:id="137"/>
    </w:p>
    <w:p w14:paraId="28EF6897" w14:textId="77777777" w:rsidR="0020029A" w:rsidRPr="006F3B00" w:rsidRDefault="0020029A" w:rsidP="0020029A">
      <w:pPr>
        <w:rPr>
          <w:rFonts w:ascii="Times New Roman" w:hAnsi="Times New Roman" w:cs="Times New Roman"/>
          <w:lang w:val="en-GB"/>
        </w:rPr>
      </w:pPr>
    </w:p>
    <w:p w14:paraId="038C3D3B" w14:textId="77777777" w:rsidR="0020029A" w:rsidRPr="006F3B00" w:rsidRDefault="0020029A" w:rsidP="0020029A">
      <w:pPr>
        <w:jc w:val="center"/>
        <w:rPr>
          <w:rFonts w:ascii="Times New Roman" w:hAnsi="Times New Roman" w:cs="Times New Roman"/>
          <w:b/>
          <w:sz w:val="24"/>
          <w:szCs w:val="24"/>
          <w:u w:val="single"/>
        </w:rPr>
      </w:pPr>
      <w:r w:rsidRPr="006F3B00">
        <w:rPr>
          <w:rFonts w:ascii="Times New Roman" w:hAnsi="Times New Roman" w:cs="Times New Roman"/>
          <w:b/>
          <w:sz w:val="24"/>
          <w:szCs w:val="24"/>
          <w:u w:val="single"/>
        </w:rPr>
        <w:t>A Delphi Study exploring diagnostic competency in histopathology</w:t>
      </w:r>
    </w:p>
    <w:p w14:paraId="3615A1C7"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 xml:space="preserve">I am currently undertaking a PhD exploring what diagnostic competence incorporates in histopathology. I am particularly interested in what trainers look for in their trainees when determining diagnostic competency and the judgement ecology which supports these decisions. </w:t>
      </w:r>
    </w:p>
    <w:p w14:paraId="76EC229C"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 xml:space="preserve">I have undertaken qualitative interviews to investigate this, but wish to perform a Delphi study to understand this further. Specifically, I would like at least 12 consultants (who are training programme directors or have significant experience of training) to help refine the items of competency which my research has identified.  </w:t>
      </w:r>
    </w:p>
    <w:p w14:paraId="5BF8BA46"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 xml:space="preserve">I hope that understanding these concepts will help provide an evidence base which could be used to inform future assessments in histopathology, for the benefit of trainees and the profession. </w:t>
      </w:r>
    </w:p>
    <w:p w14:paraId="700EF627"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I would be extremely grateful if you could take part and anticipate each round will take approximately 25 minutes to complete. There will up to three rounds. I anticipate starting the Delphi by the end of January/beginning of February 2019. More details are available on the attached information sheet. If you wish to take part, I will also send you a consent form.</w:t>
      </w:r>
    </w:p>
    <w:p w14:paraId="0906377F"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The results from this study will be shared with the Royal College of Pathologists who have helped circulate this email.</w:t>
      </w:r>
    </w:p>
    <w:p w14:paraId="4E8BCA65"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It is important to note that those who take part in the Delphi will only be known to me and won’t be identifiable to the other members taking part or anyone external to the study.  The study has ethical approval from the University of Sheffield.</w:t>
      </w:r>
    </w:p>
    <w:p w14:paraId="63E05490"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 xml:space="preserve">If you are happy to be part of the Delphi Study, I would be grateful if you would email me on </w:t>
      </w:r>
      <w:hyperlink r:id="rId50" w:history="1">
        <w:r w:rsidRPr="006F3B00">
          <w:rPr>
            <w:rStyle w:val="Hyperlink"/>
            <w:rFonts w:ascii="Times New Roman" w:hAnsi="Times New Roman" w:cs="Times New Roman"/>
            <w:sz w:val="24"/>
            <w:szCs w:val="24"/>
          </w:rPr>
          <w:t>d.j.brierley@sheffield.ac.uk</w:t>
        </w:r>
      </w:hyperlink>
      <w:r w:rsidRPr="006F3B00">
        <w:rPr>
          <w:rFonts w:ascii="Times New Roman" w:hAnsi="Times New Roman" w:cs="Times New Roman"/>
          <w:sz w:val="24"/>
          <w:szCs w:val="24"/>
        </w:rPr>
        <w:t>. To ensure a representative panel, I would be grateful if you could provide the following information when you contact me. This will not be linked to the information generated by the Delphi study.</w:t>
      </w:r>
    </w:p>
    <w:p w14:paraId="30190A48" w14:textId="77777777" w:rsidR="0020029A" w:rsidRPr="006F3B00" w:rsidRDefault="0020029A" w:rsidP="0020029A">
      <w:pPr>
        <w:rPr>
          <w:rFonts w:ascii="Times New Roman" w:hAnsi="Times New Roman" w:cs="Times New Roman"/>
          <w:b/>
          <w:sz w:val="24"/>
          <w:szCs w:val="24"/>
        </w:rPr>
      </w:pPr>
      <w:r w:rsidRPr="006F3B00">
        <w:rPr>
          <w:rFonts w:ascii="Times New Roman" w:hAnsi="Times New Roman" w:cs="Times New Roman"/>
          <w:b/>
          <w:sz w:val="24"/>
          <w:szCs w:val="24"/>
        </w:rPr>
        <w:t>Name:</w:t>
      </w:r>
    </w:p>
    <w:p w14:paraId="4BAC2A32" w14:textId="77777777" w:rsidR="0020029A" w:rsidRPr="006F3B00" w:rsidRDefault="0020029A" w:rsidP="0020029A">
      <w:pPr>
        <w:rPr>
          <w:rFonts w:ascii="Times New Roman" w:hAnsi="Times New Roman" w:cs="Times New Roman"/>
          <w:b/>
          <w:sz w:val="24"/>
          <w:szCs w:val="24"/>
        </w:rPr>
      </w:pPr>
      <w:r w:rsidRPr="006F3B00">
        <w:rPr>
          <w:rFonts w:ascii="Times New Roman" w:hAnsi="Times New Roman" w:cs="Times New Roman"/>
          <w:b/>
          <w:sz w:val="24"/>
          <w:szCs w:val="24"/>
        </w:rPr>
        <w:t>Gender:</w:t>
      </w:r>
    </w:p>
    <w:p w14:paraId="26DBA94A"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b/>
          <w:sz w:val="24"/>
          <w:szCs w:val="24"/>
        </w:rPr>
        <w:t>Educational supervisor:</w:t>
      </w:r>
      <w:r w:rsidRPr="006F3B00">
        <w:rPr>
          <w:rFonts w:ascii="Times New Roman" w:hAnsi="Times New Roman" w:cs="Times New Roman"/>
          <w:sz w:val="24"/>
          <w:szCs w:val="24"/>
        </w:rPr>
        <w:t xml:space="preserve"> (Yes/No). If yes, for how many years?</w:t>
      </w:r>
    </w:p>
    <w:p w14:paraId="53FA4FA7" w14:textId="77777777" w:rsidR="0020029A" w:rsidRPr="006F3B00" w:rsidRDefault="005642BD" w:rsidP="0020029A">
      <w:pPr>
        <w:rPr>
          <w:rFonts w:ascii="Times New Roman" w:hAnsi="Times New Roman" w:cs="Times New Roman"/>
          <w:sz w:val="24"/>
          <w:szCs w:val="24"/>
        </w:rPr>
      </w:pPr>
      <w:r>
        <w:rPr>
          <w:rFonts w:ascii="Times New Roman" w:hAnsi="Times New Roman" w:cs="Times New Roman"/>
          <w:b/>
          <w:sz w:val="24"/>
          <w:szCs w:val="24"/>
        </w:rPr>
        <w:t>Training Programme Director</w:t>
      </w:r>
      <w:r w:rsidR="0020029A" w:rsidRPr="006F3B00">
        <w:rPr>
          <w:rFonts w:ascii="Times New Roman" w:hAnsi="Times New Roman" w:cs="Times New Roman"/>
          <w:b/>
          <w:sz w:val="24"/>
          <w:szCs w:val="24"/>
        </w:rPr>
        <w:t>:</w:t>
      </w:r>
      <w:r w:rsidR="0020029A" w:rsidRPr="006F3B00">
        <w:rPr>
          <w:rFonts w:ascii="Times New Roman" w:hAnsi="Times New Roman" w:cs="Times New Roman"/>
          <w:sz w:val="24"/>
          <w:szCs w:val="24"/>
        </w:rPr>
        <w:t xml:space="preserve"> (Yes/No) If yes, for how many years?</w:t>
      </w:r>
    </w:p>
    <w:p w14:paraId="44CE965B" w14:textId="77777777" w:rsidR="0020029A" w:rsidRPr="006F3B00" w:rsidRDefault="0020029A" w:rsidP="0020029A">
      <w:pPr>
        <w:rPr>
          <w:rFonts w:ascii="Times New Roman" w:hAnsi="Times New Roman" w:cs="Times New Roman"/>
          <w:b/>
          <w:sz w:val="24"/>
          <w:szCs w:val="24"/>
        </w:rPr>
      </w:pPr>
      <w:r w:rsidRPr="006F3B00">
        <w:rPr>
          <w:rFonts w:ascii="Times New Roman" w:hAnsi="Times New Roman" w:cs="Times New Roman"/>
          <w:b/>
          <w:sz w:val="24"/>
          <w:szCs w:val="24"/>
        </w:rPr>
        <w:t>Other deanery or College roles (other than roles above)?</w:t>
      </w:r>
    </w:p>
    <w:p w14:paraId="446AEEFC" w14:textId="77777777" w:rsidR="0020029A" w:rsidRPr="006F3B00" w:rsidRDefault="0020029A" w:rsidP="0020029A">
      <w:pPr>
        <w:rPr>
          <w:rFonts w:ascii="Times New Roman" w:hAnsi="Times New Roman" w:cs="Times New Roman"/>
          <w:b/>
          <w:sz w:val="24"/>
          <w:szCs w:val="24"/>
        </w:rPr>
      </w:pPr>
      <w:r w:rsidRPr="006F3B00">
        <w:rPr>
          <w:rFonts w:ascii="Times New Roman" w:hAnsi="Times New Roman" w:cs="Times New Roman"/>
          <w:b/>
          <w:sz w:val="24"/>
          <w:szCs w:val="24"/>
        </w:rPr>
        <w:t>Number of years you have been a trainer:</w:t>
      </w:r>
    </w:p>
    <w:p w14:paraId="555F0FCA" w14:textId="77777777" w:rsidR="0020029A" w:rsidRPr="006F3B00" w:rsidRDefault="0020029A" w:rsidP="0020029A">
      <w:pPr>
        <w:rPr>
          <w:rFonts w:ascii="Times New Roman" w:hAnsi="Times New Roman" w:cs="Times New Roman"/>
          <w:sz w:val="24"/>
          <w:szCs w:val="24"/>
        </w:rPr>
      </w:pPr>
    </w:p>
    <w:p w14:paraId="3AED94D8" w14:textId="77777777" w:rsidR="0020029A" w:rsidRPr="006F3B00"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Many thanks,</w:t>
      </w:r>
    </w:p>
    <w:p w14:paraId="477401DA" w14:textId="77777777" w:rsidR="0020029A" w:rsidRDefault="0020029A" w:rsidP="0020029A">
      <w:pPr>
        <w:rPr>
          <w:rFonts w:ascii="Times New Roman" w:hAnsi="Times New Roman" w:cs="Times New Roman"/>
          <w:sz w:val="24"/>
          <w:szCs w:val="24"/>
        </w:rPr>
      </w:pPr>
      <w:r w:rsidRPr="006F3B00">
        <w:rPr>
          <w:rFonts w:ascii="Times New Roman" w:hAnsi="Times New Roman" w:cs="Times New Roman"/>
          <w:sz w:val="24"/>
          <w:szCs w:val="24"/>
        </w:rPr>
        <w:t>Dr Daniel Brierley (Consultant in Oral and Maxillofacial Pathology, Sheffield)</w:t>
      </w:r>
    </w:p>
    <w:p w14:paraId="4877EACD" w14:textId="32405AD9" w:rsidR="003E5C0E" w:rsidRPr="006F3B00" w:rsidRDefault="00C4508F" w:rsidP="0020029A">
      <w:pPr>
        <w:pStyle w:val="Default"/>
        <w:pageBreakBefore/>
        <w:outlineLvl w:val="1"/>
        <w:rPr>
          <w:rFonts w:ascii="Times New Roman" w:hAnsi="Times New Roman" w:cs="Times New Roman"/>
          <w:b/>
          <w:bCs/>
          <w:color w:val="auto"/>
        </w:rPr>
      </w:pPr>
      <w:bookmarkStart w:id="138" w:name="_Toc23243867"/>
      <w:r>
        <w:rPr>
          <w:rFonts w:ascii="Times New Roman" w:hAnsi="Times New Roman" w:cs="Times New Roman"/>
          <w:b/>
          <w:bCs/>
          <w:color w:val="auto"/>
        </w:rPr>
        <w:lastRenderedPageBreak/>
        <w:t>Append</w:t>
      </w:r>
      <w:r w:rsidR="00DB4E45">
        <w:rPr>
          <w:rFonts w:ascii="Times New Roman" w:hAnsi="Times New Roman" w:cs="Times New Roman"/>
          <w:b/>
          <w:bCs/>
          <w:color w:val="auto"/>
        </w:rPr>
        <w:t>ix 8</w:t>
      </w:r>
      <w:r>
        <w:rPr>
          <w:rFonts w:ascii="Times New Roman" w:hAnsi="Times New Roman" w:cs="Times New Roman"/>
          <w:b/>
          <w:bCs/>
          <w:color w:val="auto"/>
        </w:rPr>
        <w:t xml:space="preserve">: </w:t>
      </w:r>
      <w:r w:rsidR="003E5C0E" w:rsidRPr="006F3B00">
        <w:rPr>
          <w:rFonts w:ascii="Times New Roman" w:hAnsi="Times New Roman" w:cs="Times New Roman"/>
          <w:b/>
          <w:bCs/>
          <w:color w:val="auto"/>
        </w:rPr>
        <w:t>Participant Information Sheet</w:t>
      </w:r>
      <w:r w:rsidR="006F3B00" w:rsidRPr="006F3B00">
        <w:rPr>
          <w:rFonts w:ascii="Times New Roman" w:hAnsi="Times New Roman" w:cs="Times New Roman"/>
          <w:b/>
          <w:bCs/>
          <w:color w:val="auto"/>
        </w:rPr>
        <w:t xml:space="preserve"> for Delphi study</w:t>
      </w:r>
      <w:bookmarkEnd w:id="138"/>
    </w:p>
    <w:p w14:paraId="3B7795D0" w14:textId="77777777" w:rsidR="0020029A" w:rsidRDefault="0020029A" w:rsidP="003E5C0E">
      <w:pPr>
        <w:pStyle w:val="Default"/>
        <w:rPr>
          <w:rFonts w:ascii="Times New Roman" w:hAnsi="Times New Roman" w:cs="Times New Roman"/>
          <w:color w:val="auto"/>
        </w:rPr>
      </w:pPr>
    </w:p>
    <w:p w14:paraId="75BB1025"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You have been given this information sheet as we would like you to participate in a type of study called a Delphi.</w:t>
      </w:r>
    </w:p>
    <w:p w14:paraId="24675580" w14:textId="77777777" w:rsidR="003E5C0E" w:rsidRPr="006F3B00" w:rsidRDefault="003E5C0E" w:rsidP="003E5C0E">
      <w:pPr>
        <w:pStyle w:val="Default"/>
        <w:rPr>
          <w:rFonts w:ascii="Times New Roman" w:hAnsi="Times New Roman" w:cs="Times New Roman"/>
          <w:color w:val="auto"/>
        </w:rPr>
      </w:pPr>
    </w:p>
    <w:p w14:paraId="2B47E54B" w14:textId="77777777" w:rsidR="003E5C0E" w:rsidRPr="006F3B00" w:rsidRDefault="003E5C0E" w:rsidP="003E5C0E">
      <w:pPr>
        <w:pStyle w:val="Default"/>
        <w:rPr>
          <w:rFonts w:ascii="Times New Roman" w:hAnsi="Times New Roman" w:cs="Times New Roman"/>
          <w:color w:val="auto"/>
        </w:rPr>
      </w:pPr>
    </w:p>
    <w:p w14:paraId="00344744"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1. Research Project Title</w:t>
      </w:r>
    </w:p>
    <w:p w14:paraId="709EA715" w14:textId="77777777" w:rsidR="003E5C0E" w:rsidRPr="006F3B00" w:rsidRDefault="003E5C0E" w:rsidP="003E5C0E">
      <w:pPr>
        <w:pStyle w:val="Default"/>
        <w:rPr>
          <w:rFonts w:ascii="Times New Roman" w:hAnsi="Times New Roman" w:cs="Times New Roman"/>
          <w:color w:val="auto"/>
        </w:rPr>
      </w:pPr>
    </w:p>
    <w:p w14:paraId="7D5E702F" w14:textId="09D255D7" w:rsidR="003E5C0E" w:rsidRPr="00670157" w:rsidRDefault="00670157" w:rsidP="00670157">
      <w:pPr>
        <w:spacing w:line="480" w:lineRule="auto"/>
        <w:rPr>
          <w:rFonts w:ascii="Times New Roman" w:hAnsi="Times New Roman" w:cs="Times New Roman"/>
          <w:b/>
          <w:sz w:val="24"/>
          <w:szCs w:val="24"/>
        </w:rPr>
      </w:pPr>
      <w:r w:rsidRPr="00670157">
        <w:rPr>
          <w:rFonts w:ascii="Times New Roman" w:hAnsi="Times New Roman" w:cs="Times New Roman"/>
          <w:sz w:val="24"/>
          <w:szCs w:val="24"/>
        </w:rPr>
        <w:t>Determination of diagnostic competence in histopathology trainees</w:t>
      </w:r>
    </w:p>
    <w:p w14:paraId="2B02A8C5"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2. Invitation paragraph </w:t>
      </w:r>
    </w:p>
    <w:p w14:paraId="20116469" w14:textId="77777777" w:rsidR="003E5C0E" w:rsidRPr="006F3B00" w:rsidRDefault="003E5C0E" w:rsidP="003E5C0E">
      <w:pPr>
        <w:pStyle w:val="Default"/>
        <w:rPr>
          <w:rFonts w:ascii="Times New Roman" w:hAnsi="Times New Roman" w:cs="Times New Roman"/>
          <w:color w:val="auto"/>
        </w:rPr>
      </w:pPr>
    </w:p>
    <w:p w14:paraId="5645D7A0" w14:textId="77777777" w:rsidR="003E5C0E" w:rsidRPr="006F3B00" w:rsidRDefault="003E5C0E" w:rsidP="003E5C0E">
      <w:pPr>
        <w:pStyle w:val="Default"/>
        <w:rPr>
          <w:rFonts w:ascii="Times New Roman" w:hAnsi="Times New Roman" w:cs="Times New Roman"/>
          <w:iCs/>
          <w:color w:val="auto"/>
        </w:rPr>
      </w:pPr>
      <w:r w:rsidRPr="006F3B00">
        <w:rPr>
          <w:rFonts w:ascii="Times New Roman" w:hAnsi="Times New Roman" w:cs="Times New Roman"/>
          <w:iCs/>
          <w:color w:val="auto"/>
        </w:rPr>
        <w:t>You are being invited to take part in a research project. Before you decide to take part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14:paraId="506DF9E7" w14:textId="77777777" w:rsidR="003E5C0E" w:rsidRPr="006F3B00" w:rsidRDefault="003E5C0E" w:rsidP="003E5C0E">
      <w:pPr>
        <w:pStyle w:val="Default"/>
        <w:rPr>
          <w:rFonts w:ascii="Times New Roman" w:hAnsi="Times New Roman" w:cs="Times New Roman"/>
          <w:color w:val="auto"/>
        </w:rPr>
      </w:pPr>
    </w:p>
    <w:p w14:paraId="2618F886"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3. What is the project’s purpose? </w:t>
      </w:r>
    </w:p>
    <w:p w14:paraId="2702EBD9" w14:textId="77777777" w:rsidR="003E5C0E" w:rsidRPr="006F3B00" w:rsidRDefault="003E5C0E" w:rsidP="003E5C0E">
      <w:pPr>
        <w:pStyle w:val="Default"/>
        <w:rPr>
          <w:rFonts w:ascii="Times New Roman" w:hAnsi="Times New Roman" w:cs="Times New Roman"/>
          <w:color w:val="auto"/>
        </w:rPr>
      </w:pPr>
    </w:p>
    <w:p w14:paraId="361E9C07" w14:textId="77777777" w:rsidR="003E5C0E" w:rsidRPr="00BF1FDC" w:rsidRDefault="003E5C0E" w:rsidP="003E5C0E">
      <w:pPr>
        <w:rPr>
          <w:rFonts w:ascii="Times New Roman" w:hAnsi="Times New Roman" w:cs="Times New Roman"/>
          <w:sz w:val="24"/>
          <w:szCs w:val="24"/>
        </w:rPr>
      </w:pPr>
      <w:r w:rsidRPr="00BF1FDC">
        <w:rPr>
          <w:rFonts w:ascii="Times New Roman" w:hAnsi="Times New Roman" w:cs="Times New Roman"/>
          <w:sz w:val="24"/>
          <w:szCs w:val="24"/>
        </w:rPr>
        <w:t>There is a scarcity of evidence in the literature detailing how consultants determine trainee diagnostic competency in histopathology. Workplace-based assessments are often used in part to document trainee diagnostic competency but the full judgement ecology is not completely understood. An initial questionnaire has gathered data on the general experience of using workplace-based assessments in histopathology with consultants and trainees.</w:t>
      </w:r>
    </w:p>
    <w:p w14:paraId="4F549B39" w14:textId="77777777" w:rsidR="003E5C0E" w:rsidRPr="00BF1FDC" w:rsidRDefault="003E5C0E" w:rsidP="003E5C0E">
      <w:pPr>
        <w:rPr>
          <w:rFonts w:ascii="Times New Roman" w:hAnsi="Times New Roman" w:cs="Times New Roman"/>
          <w:sz w:val="24"/>
          <w:szCs w:val="24"/>
        </w:rPr>
      </w:pPr>
    </w:p>
    <w:p w14:paraId="7BD3BC02" w14:textId="77777777" w:rsidR="003E5C0E" w:rsidRPr="00BF1FDC" w:rsidRDefault="003E5C0E" w:rsidP="003E5C0E">
      <w:pPr>
        <w:rPr>
          <w:rFonts w:ascii="Times New Roman" w:hAnsi="Times New Roman" w:cs="Times New Roman"/>
          <w:sz w:val="24"/>
          <w:szCs w:val="24"/>
        </w:rPr>
      </w:pPr>
      <w:r w:rsidRPr="00BF1FDC">
        <w:rPr>
          <w:rFonts w:ascii="Times New Roman" w:hAnsi="Times New Roman" w:cs="Times New Roman"/>
          <w:sz w:val="24"/>
          <w:szCs w:val="24"/>
        </w:rPr>
        <w:t>Following this, interviews have been conducted to explore what cues consultants use when making a judgement of trainee diagnostic competency. As part of this, the consultants were asked to talk about how they judge diagnostic competency and the process this entails.</w:t>
      </w:r>
    </w:p>
    <w:p w14:paraId="04E0A4EC" w14:textId="77777777" w:rsidR="003E5C0E" w:rsidRPr="006F3B00" w:rsidRDefault="003E5C0E" w:rsidP="003E5C0E">
      <w:pPr>
        <w:rPr>
          <w:rFonts w:ascii="Times New Roman" w:hAnsi="Times New Roman" w:cs="Times New Roman"/>
          <w:szCs w:val="24"/>
        </w:rPr>
      </w:pPr>
    </w:p>
    <w:p w14:paraId="39239F84" w14:textId="77777777" w:rsidR="003E5C0E" w:rsidRPr="00BF1FDC" w:rsidRDefault="003E5C0E" w:rsidP="003E5C0E">
      <w:pPr>
        <w:rPr>
          <w:rFonts w:ascii="Times New Roman" w:hAnsi="Times New Roman" w:cs="Times New Roman"/>
          <w:sz w:val="24"/>
          <w:szCs w:val="24"/>
        </w:rPr>
      </w:pPr>
      <w:r w:rsidRPr="00BF1FDC">
        <w:rPr>
          <w:rFonts w:ascii="Times New Roman" w:hAnsi="Times New Roman" w:cs="Times New Roman"/>
          <w:sz w:val="24"/>
          <w:szCs w:val="24"/>
        </w:rPr>
        <w:t>The final part of this project involves using a Delphi study. A Delphi study involves using a panel of experts in a given field to come to an agreement on a particular topic or set of items. The participants are presented with information on the topic and asked to determine, individually, how they rate each item (usually using a Likert scale or similar scoring method). Participants are also encouraged to provide feedback on items so they can be refined in future rounds of the Delphi. The researcher collates the responses to the items and is able to see which items participants rated highly (or agreed on) and which ones did not reach agreement and need refinement. In subsequent rounds, the participants are provided with data from the previous round where they are able to continue to refine and reach agreement on the remaining items. Each participant’s responses are anonymised so each participant is able to express their views and is not coerced into agreeing with a dominant view.</w:t>
      </w:r>
    </w:p>
    <w:p w14:paraId="26AB641F" w14:textId="77777777" w:rsidR="003E5C0E" w:rsidRPr="006F3B00" w:rsidRDefault="003E5C0E" w:rsidP="003E5C0E">
      <w:pPr>
        <w:spacing w:line="480" w:lineRule="auto"/>
        <w:rPr>
          <w:rFonts w:ascii="Times New Roman" w:hAnsi="Times New Roman" w:cs="Times New Roman"/>
          <w:color w:val="FF0000"/>
          <w:szCs w:val="24"/>
        </w:rPr>
      </w:pPr>
    </w:p>
    <w:p w14:paraId="182CB296" w14:textId="77777777" w:rsidR="003E5C0E" w:rsidRPr="00BF1FDC" w:rsidRDefault="003E5C0E" w:rsidP="003E5C0E">
      <w:pPr>
        <w:rPr>
          <w:rFonts w:ascii="Times New Roman" w:hAnsi="Times New Roman" w:cs="Times New Roman"/>
          <w:sz w:val="24"/>
          <w:szCs w:val="24"/>
        </w:rPr>
      </w:pPr>
      <w:r w:rsidRPr="00BF1FDC">
        <w:rPr>
          <w:rFonts w:ascii="Times New Roman" w:hAnsi="Times New Roman" w:cs="Times New Roman"/>
          <w:sz w:val="24"/>
          <w:szCs w:val="24"/>
        </w:rPr>
        <w:lastRenderedPageBreak/>
        <w:t>Specifically, the research team would like to use the Delphi technique to further understand the importance of the cues of diagnostic competency we have identified from the previous qualitative interviews</w:t>
      </w:r>
    </w:p>
    <w:p w14:paraId="77E6F9BD" w14:textId="06284384" w:rsidR="003E5C0E" w:rsidRPr="00BF1FDC" w:rsidRDefault="003E5C0E" w:rsidP="003E5C0E">
      <w:pPr>
        <w:rPr>
          <w:rFonts w:ascii="Times New Roman" w:hAnsi="Times New Roman" w:cs="Times New Roman"/>
          <w:sz w:val="24"/>
          <w:szCs w:val="24"/>
        </w:rPr>
      </w:pPr>
    </w:p>
    <w:p w14:paraId="7307B31B" w14:textId="77777777" w:rsidR="003E5C0E" w:rsidRPr="00BF1FDC" w:rsidRDefault="003E5C0E" w:rsidP="003E5C0E">
      <w:pPr>
        <w:rPr>
          <w:rFonts w:ascii="Times New Roman" w:hAnsi="Times New Roman" w:cs="Times New Roman"/>
          <w:sz w:val="24"/>
          <w:szCs w:val="24"/>
        </w:rPr>
      </w:pPr>
      <w:r w:rsidRPr="00BF1FDC">
        <w:rPr>
          <w:rFonts w:ascii="Times New Roman" w:hAnsi="Times New Roman" w:cs="Times New Roman"/>
          <w:sz w:val="24"/>
          <w:szCs w:val="24"/>
        </w:rPr>
        <w:t>These projects are part of a PhD project by Daniel Brierley (Consultant and Clinical Teacher in Oral and Maxillofacial Pathology).</w:t>
      </w:r>
    </w:p>
    <w:p w14:paraId="096EFEEF" w14:textId="77777777" w:rsidR="003E5C0E" w:rsidRPr="00BF1FDC" w:rsidRDefault="003E5C0E" w:rsidP="003E5C0E">
      <w:pPr>
        <w:pStyle w:val="Default"/>
        <w:rPr>
          <w:rFonts w:ascii="Times New Roman" w:hAnsi="Times New Roman" w:cs="Times New Roman"/>
          <w:color w:val="auto"/>
        </w:rPr>
      </w:pPr>
    </w:p>
    <w:p w14:paraId="0236CE80" w14:textId="77777777" w:rsidR="003E5C0E" w:rsidRPr="00BF1FDC" w:rsidRDefault="003E5C0E" w:rsidP="003E5C0E">
      <w:pPr>
        <w:pStyle w:val="Default"/>
        <w:rPr>
          <w:rFonts w:ascii="Times New Roman" w:hAnsi="Times New Roman" w:cs="Times New Roman"/>
          <w:b/>
          <w:bCs/>
          <w:color w:val="auto"/>
        </w:rPr>
      </w:pPr>
      <w:r w:rsidRPr="00BF1FDC">
        <w:rPr>
          <w:rFonts w:ascii="Times New Roman" w:hAnsi="Times New Roman" w:cs="Times New Roman"/>
          <w:b/>
          <w:bCs/>
          <w:color w:val="auto"/>
        </w:rPr>
        <w:t xml:space="preserve">4. Why have I been chosen? </w:t>
      </w:r>
    </w:p>
    <w:p w14:paraId="0B9CB668" w14:textId="77777777" w:rsidR="003E5C0E" w:rsidRPr="00BF1FDC" w:rsidRDefault="003E5C0E" w:rsidP="003E5C0E">
      <w:pPr>
        <w:pStyle w:val="Default"/>
        <w:rPr>
          <w:rFonts w:ascii="Times New Roman" w:hAnsi="Times New Roman" w:cs="Times New Roman"/>
          <w:b/>
          <w:bCs/>
          <w:color w:val="auto"/>
        </w:rPr>
      </w:pPr>
    </w:p>
    <w:p w14:paraId="160E6637" w14:textId="77777777" w:rsidR="003E5C0E" w:rsidRPr="00BF1FDC" w:rsidRDefault="003E5C0E" w:rsidP="003E5C0E">
      <w:pPr>
        <w:pStyle w:val="Default"/>
        <w:rPr>
          <w:rFonts w:ascii="Times New Roman" w:hAnsi="Times New Roman" w:cs="Times New Roman"/>
          <w:bCs/>
          <w:color w:val="auto"/>
        </w:rPr>
      </w:pPr>
      <w:r w:rsidRPr="00BF1FDC">
        <w:rPr>
          <w:rFonts w:ascii="Times New Roman" w:hAnsi="Times New Roman" w:cs="Times New Roman"/>
          <w:bCs/>
          <w:color w:val="auto"/>
        </w:rPr>
        <w:t>You have been chosen because you are an experienced histopathology consultant (or trainee) involved with the training of histopathology trainees and using workplace-based assessments. The anticipated number of participants that this Delphi will use is approximately 10.</w:t>
      </w:r>
    </w:p>
    <w:p w14:paraId="4173F974" w14:textId="77777777" w:rsidR="003E5C0E" w:rsidRPr="00BF1FDC" w:rsidRDefault="003E5C0E" w:rsidP="003E5C0E">
      <w:pPr>
        <w:pStyle w:val="Default"/>
        <w:rPr>
          <w:rFonts w:ascii="Times New Roman" w:hAnsi="Times New Roman" w:cs="Times New Roman"/>
          <w:bCs/>
          <w:color w:val="auto"/>
        </w:rPr>
      </w:pPr>
    </w:p>
    <w:p w14:paraId="1935AB8D" w14:textId="77777777" w:rsidR="003E5C0E" w:rsidRPr="00BF1FDC" w:rsidRDefault="003E5C0E" w:rsidP="003E5C0E">
      <w:pPr>
        <w:pStyle w:val="Default"/>
        <w:rPr>
          <w:rFonts w:ascii="Times New Roman" w:hAnsi="Times New Roman" w:cs="Times New Roman"/>
          <w:color w:val="auto"/>
        </w:rPr>
      </w:pPr>
    </w:p>
    <w:p w14:paraId="3B02F845" w14:textId="77777777" w:rsidR="003E5C0E" w:rsidRPr="00BF1FDC" w:rsidRDefault="003E5C0E" w:rsidP="003E5C0E">
      <w:pPr>
        <w:pStyle w:val="Default"/>
        <w:rPr>
          <w:rFonts w:ascii="Times New Roman" w:hAnsi="Times New Roman" w:cs="Times New Roman"/>
          <w:b/>
          <w:bCs/>
          <w:color w:val="auto"/>
        </w:rPr>
      </w:pPr>
      <w:r w:rsidRPr="00BF1FDC">
        <w:rPr>
          <w:rFonts w:ascii="Times New Roman" w:hAnsi="Times New Roman" w:cs="Times New Roman"/>
          <w:b/>
          <w:bCs/>
          <w:color w:val="auto"/>
        </w:rPr>
        <w:t xml:space="preserve">5. Do I have to take part? </w:t>
      </w:r>
    </w:p>
    <w:p w14:paraId="7BFB43CF" w14:textId="77777777" w:rsidR="003E5C0E" w:rsidRPr="00BF1FDC" w:rsidRDefault="003E5C0E" w:rsidP="003E5C0E">
      <w:pPr>
        <w:pStyle w:val="Default"/>
        <w:rPr>
          <w:rFonts w:ascii="Times New Roman" w:hAnsi="Times New Roman" w:cs="Times New Roman"/>
          <w:color w:val="auto"/>
        </w:rPr>
      </w:pPr>
    </w:p>
    <w:p w14:paraId="716546BF" w14:textId="77777777" w:rsidR="003E5C0E" w:rsidRPr="00BF1FDC" w:rsidRDefault="003E5C0E" w:rsidP="003E5C0E">
      <w:pPr>
        <w:pStyle w:val="Default"/>
        <w:rPr>
          <w:rFonts w:ascii="Times New Roman" w:hAnsi="Times New Roman" w:cs="Times New Roman"/>
          <w:iCs/>
          <w:color w:val="auto"/>
        </w:rPr>
      </w:pPr>
      <w:r w:rsidRPr="00BF1FDC">
        <w:rPr>
          <w:rFonts w:ascii="Times New Roman" w:hAnsi="Times New Roman" w:cs="Times New Roman"/>
          <w:iCs/>
          <w:color w:val="auto"/>
        </w:rPr>
        <w:t>It is up to you to decide whether or not you would like to take part or not. If you do decide to take part you will be given this information sheet to keep (and be asked to sign a consent form) and you can still withdraw at any time without it affecting any benefits that you are entitled to in any way. You do not have to give a reason.</w:t>
      </w:r>
    </w:p>
    <w:p w14:paraId="5557F29D" w14:textId="77777777" w:rsidR="003E5C0E" w:rsidRPr="00BF1FDC" w:rsidRDefault="003E5C0E" w:rsidP="003E5C0E">
      <w:pPr>
        <w:pStyle w:val="Default"/>
        <w:rPr>
          <w:rFonts w:ascii="Times New Roman" w:hAnsi="Times New Roman" w:cs="Times New Roman"/>
          <w:color w:val="auto"/>
        </w:rPr>
      </w:pPr>
    </w:p>
    <w:p w14:paraId="2A035A29" w14:textId="77777777" w:rsidR="003E5C0E" w:rsidRPr="00BF1FDC" w:rsidRDefault="003E5C0E" w:rsidP="003E5C0E">
      <w:pPr>
        <w:pStyle w:val="Default"/>
        <w:rPr>
          <w:rFonts w:ascii="Times New Roman" w:hAnsi="Times New Roman" w:cs="Times New Roman"/>
          <w:b/>
          <w:bCs/>
          <w:color w:val="auto"/>
        </w:rPr>
      </w:pPr>
      <w:r w:rsidRPr="00BF1FDC">
        <w:rPr>
          <w:rFonts w:ascii="Times New Roman" w:hAnsi="Times New Roman" w:cs="Times New Roman"/>
          <w:b/>
          <w:bCs/>
          <w:color w:val="auto"/>
        </w:rPr>
        <w:t xml:space="preserve">6. What will happen to me if I take part? </w:t>
      </w:r>
    </w:p>
    <w:p w14:paraId="5DA6AAAA" w14:textId="77777777" w:rsidR="003E5C0E" w:rsidRPr="00BF1FDC" w:rsidRDefault="003E5C0E" w:rsidP="003E5C0E">
      <w:pPr>
        <w:pStyle w:val="Default"/>
        <w:rPr>
          <w:rFonts w:ascii="Times New Roman" w:hAnsi="Times New Roman" w:cs="Times New Roman"/>
          <w:b/>
          <w:bCs/>
          <w:color w:val="auto"/>
        </w:rPr>
      </w:pPr>
    </w:p>
    <w:p w14:paraId="5DEE1871" w14:textId="77777777" w:rsidR="003E5C0E" w:rsidRPr="00BF1FDC" w:rsidRDefault="003E5C0E" w:rsidP="003E5C0E">
      <w:pPr>
        <w:pStyle w:val="Default"/>
        <w:rPr>
          <w:rFonts w:ascii="Times New Roman" w:hAnsi="Times New Roman" w:cs="Times New Roman"/>
          <w:bCs/>
          <w:color w:val="auto"/>
        </w:rPr>
      </w:pPr>
      <w:r w:rsidRPr="00BF1FDC">
        <w:rPr>
          <w:rFonts w:ascii="Times New Roman" w:hAnsi="Times New Roman" w:cs="Times New Roman"/>
          <w:bCs/>
          <w:color w:val="auto"/>
        </w:rPr>
        <w:t>The Delphi will comprise 2-3 rounds.</w:t>
      </w:r>
    </w:p>
    <w:p w14:paraId="122C9B58" w14:textId="77777777" w:rsidR="003E5C0E" w:rsidRPr="00BF1FDC" w:rsidRDefault="003E5C0E" w:rsidP="003E5C0E">
      <w:pPr>
        <w:pStyle w:val="Default"/>
        <w:rPr>
          <w:rFonts w:ascii="Times New Roman" w:hAnsi="Times New Roman" w:cs="Times New Roman"/>
          <w:bCs/>
          <w:color w:val="auto"/>
        </w:rPr>
      </w:pPr>
    </w:p>
    <w:p w14:paraId="54502ED9" w14:textId="77777777" w:rsidR="003E5C0E" w:rsidRPr="00BF1FDC" w:rsidRDefault="003E5C0E" w:rsidP="003E5C0E">
      <w:pPr>
        <w:pStyle w:val="Default"/>
        <w:rPr>
          <w:rFonts w:ascii="Times New Roman" w:hAnsi="Times New Roman" w:cs="Times New Roman"/>
          <w:bCs/>
          <w:color w:val="auto"/>
        </w:rPr>
      </w:pPr>
      <w:r w:rsidRPr="00BF1FDC">
        <w:rPr>
          <w:rFonts w:ascii="Times New Roman" w:hAnsi="Times New Roman" w:cs="Times New Roman"/>
          <w:bCs/>
          <w:color w:val="auto"/>
        </w:rPr>
        <w:t>In each round, you will be asked to express your agreement on the information provided. Each round could take between 15-25 minutes to complete.</w:t>
      </w:r>
    </w:p>
    <w:p w14:paraId="2322174C" w14:textId="77777777" w:rsidR="003E5C0E" w:rsidRPr="00BF1FDC" w:rsidRDefault="003E5C0E" w:rsidP="003E5C0E">
      <w:pPr>
        <w:pStyle w:val="Default"/>
        <w:rPr>
          <w:rFonts w:ascii="Times New Roman" w:hAnsi="Times New Roman" w:cs="Times New Roman"/>
          <w:bCs/>
          <w:color w:val="auto"/>
        </w:rPr>
      </w:pPr>
    </w:p>
    <w:p w14:paraId="6DE477A1" w14:textId="77777777" w:rsidR="003E5C0E" w:rsidRPr="006F3B00" w:rsidRDefault="003E5C0E" w:rsidP="003E5C0E">
      <w:pPr>
        <w:pStyle w:val="Default"/>
        <w:rPr>
          <w:rFonts w:ascii="Times New Roman" w:hAnsi="Times New Roman" w:cs="Times New Roman"/>
          <w:bCs/>
          <w:color w:val="auto"/>
        </w:rPr>
      </w:pPr>
      <w:r w:rsidRPr="00BF1FDC">
        <w:rPr>
          <w:rFonts w:ascii="Times New Roman" w:hAnsi="Times New Roman" w:cs="Times New Roman"/>
          <w:bCs/>
          <w:color w:val="auto"/>
        </w:rPr>
        <w:t>The information from the Delphi will be anonymous and stored</w:t>
      </w:r>
      <w:r w:rsidRPr="006F3B00">
        <w:rPr>
          <w:rFonts w:ascii="Times New Roman" w:hAnsi="Times New Roman" w:cs="Times New Roman"/>
          <w:bCs/>
          <w:color w:val="auto"/>
        </w:rPr>
        <w:t>/used for 10 years. The Delphi will be conducted via email (with an attachment) and may be completed by the participants in their own time. However, we would encourage each round of the Delphi to be returned within a 2-3 week period.</w:t>
      </w:r>
    </w:p>
    <w:p w14:paraId="70CE3E17" w14:textId="77777777" w:rsidR="003E5C0E" w:rsidRPr="006F3B00" w:rsidRDefault="003E5C0E" w:rsidP="003E5C0E">
      <w:pPr>
        <w:pStyle w:val="Default"/>
        <w:rPr>
          <w:rFonts w:ascii="Times New Roman" w:hAnsi="Times New Roman" w:cs="Times New Roman"/>
          <w:bCs/>
          <w:color w:val="auto"/>
        </w:rPr>
      </w:pPr>
    </w:p>
    <w:p w14:paraId="3330FA0F"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The information taken from the Delphi may be used to help design future assessment tools in histopathology.</w:t>
      </w:r>
    </w:p>
    <w:p w14:paraId="78F5D51B" w14:textId="77777777" w:rsidR="003E5C0E" w:rsidRPr="006F3B00" w:rsidRDefault="003E5C0E" w:rsidP="003E5C0E">
      <w:pPr>
        <w:pStyle w:val="Default"/>
        <w:rPr>
          <w:rFonts w:ascii="Times New Roman" w:hAnsi="Times New Roman" w:cs="Times New Roman"/>
          <w:color w:val="auto"/>
        </w:rPr>
      </w:pPr>
    </w:p>
    <w:p w14:paraId="09FD6DD7" w14:textId="77777777" w:rsidR="003E5C0E" w:rsidRPr="006F3B00" w:rsidRDefault="003E5C0E" w:rsidP="003E5C0E">
      <w:pPr>
        <w:pStyle w:val="Default"/>
        <w:rPr>
          <w:rFonts w:ascii="Times New Roman" w:hAnsi="Times New Roman" w:cs="Times New Roman"/>
          <w:b/>
          <w:bCs/>
          <w:color w:val="auto"/>
        </w:rPr>
      </w:pPr>
    </w:p>
    <w:p w14:paraId="5A6B7C7D"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b/>
          <w:bCs/>
          <w:color w:val="auto"/>
        </w:rPr>
        <w:t xml:space="preserve">7. What do I have to do? </w:t>
      </w:r>
    </w:p>
    <w:p w14:paraId="6893A7C4" w14:textId="77777777" w:rsidR="003E5C0E" w:rsidRPr="006F3B00" w:rsidRDefault="003E5C0E" w:rsidP="003E5C0E">
      <w:pPr>
        <w:pStyle w:val="Default"/>
        <w:rPr>
          <w:rFonts w:ascii="Times New Roman" w:hAnsi="Times New Roman" w:cs="Times New Roman"/>
          <w:color w:val="auto"/>
        </w:rPr>
      </w:pPr>
    </w:p>
    <w:p w14:paraId="0397FAAD"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 xml:space="preserve">For the Delphi, you have to examine the information presented to you. This is likely to be a list of statement which we would like you to judge. No prior preparation is required. In subsequent rounds you will be able to see anonymised responses from the other participants and have an opportunity to express your judgements again in light of the new information. </w:t>
      </w:r>
    </w:p>
    <w:p w14:paraId="7878649C" w14:textId="77777777" w:rsidR="003E5C0E" w:rsidRPr="006F3B00" w:rsidRDefault="003E5C0E" w:rsidP="003E5C0E">
      <w:pPr>
        <w:pStyle w:val="Default"/>
        <w:rPr>
          <w:rFonts w:ascii="Times New Roman" w:hAnsi="Times New Roman" w:cs="Times New Roman"/>
          <w:color w:val="auto"/>
        </w:rPr>
      </w:pPr>
    </w:p>
    <w:p w14:paraId="3DB8A37E" w14:textId="77777777" w:rsidR="003E5C0E" w:rsidRPr="006F3B00" w:rsidRDefault="003E5C0E" w:rsidP="003E5C0E">
      <w:pPr>
        <w:pStyle w:val="Default"/>
        <w:rPr>
          <w:rFonts w:ascii="Times New Roman" w:hAnsi="Times New Roman" w:cs="Times New Roman"/>
          <w:color w:val="auto"/>
        </w:rPr>
      </w:pPr>
    </w:p>
    <w:p w14:paraId="6F64E51F"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8. What are the possible disadvantages and risks of taking part? </w:t>
      </w:r>
    </w:p>
    <w:p w14:paraId="0CB6D9FD" w14:textId="77777777" w:rsidR="003E5C0E" w:rsidRPr="006F3B00" w:rsidRDefault="003E5C0E" w:rsidP="003E5C0E">
      <w:pPr>
        <w:pStyle w:val="Default"/>
        <w:rPr>
          <w:rFonts w:ascii="Times New Roman" w:hAnsi="Times New Roman" w:cs="Times New Roman"/>
          <w:color w:val="auto"/>
        </w:rPr>
      </w:pPr>
    </w:p>
    <w:p w14:paraId="5DD57EF9"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lastRenderedPageBreak/>
        <w:t>There are no foreseen disadvantages or risks of taking part in this study. Participants will, however, have to dedicate some of their time to do the Delphi.</w:t>
      </w:r>
    </w:p>
    <w:p w14:paraId="6274FBE8" w14:textId="77777777" w:rsidR="003E5C0E" w:rsidRPr="006F3B00" w:rsidRDefault="003E5C0E" w:rsidP="003E5C0E">
      <w:pPr>
        <w:pStyle w:val="Default"/>
        <w:rPr>
          <w:rFonts w:ascii="Times New Roman" w:hAnsi="Times New Roman" w:cs="Times New Roman"/>
          <w:color w:val="auto"/>
        </w:rPr>
      </w:pPr>
    </w:p>
    <w:p w14:paraId="3CF0F13C"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b/>
          <w:bCs/>
          <w:color w:val="auto"/>
        </w:rPr>
        <w:t xml:space="preserve">9. What are the possible benefits of taking part? </w:t>
      </w:r>
    </w:p>
    <w:p w14:paraId="0263719A" w14:textId="77777777" w:rsidR="003E5C0E" w:rsidRPr="006F3B00" w:rsidRDefault="003E5C0E" w:rsidP="003E5C0E">
      <w:pPr>
        <w:pStyle w:val="Default"/>
        <w:rPr>
          <w:rFonts w:ascii="Times New Roman" w:hAnsi="Times New Roman" w:cs="Times New Roman"/>
          <w:i/>
          <w:iCs/>
          <w:color w:val="auto"/>
        </w:rPr>
      </w:pPr>
    </w:p>
    <w:p w14:paraId="3C09DC84" w14:textId="77777777" w:rsidR="003E5C0E" w:rsidRPr="006F3B00" w:rsidRDefault="003E5C0E" w:rsidP="003E5C0E">
      <w:pPr>
        <w:pStyle w:val="Default"/>
        <w:rPr>
          <w:rFonts w:ascii="Times New Roman" w:hAnsi="Times New Roman" w:cs="Times New Roman"/>
          <w:iCs/>
          <w:color w:val="auto"/>
        </w:rPr>
      </w:pPr>
      <w:r w:rsidRPr="006F3B00">
        <w:rPr>
          <w:rFonts w:ascii="Times New Roman" w:hAnsi="Times New Roman" w:cs="Times New Roman"/>
          <w:iCs/>
          <w:color w:val="auto"/>
        </w:rPr>
        <w:t>Whilst there are no immediate benefits for those people participating in the project, it is hoped that this work may form an evidence base to help design assessment tools in histopathology. This may help with the training of future trainees.</w:t>
      </w:r>
    </w:p>
    <w:p w14:paraId="615D76F1" w14:textId="77777777" w:rsidR="003E5C0E" w:rsidRPr="006F3B00" w:rsidRDefault="003E5C0E" w:rsidP="003E5C0E">
      <w:pPr>
        <w:pStyle w:val="Default"/>
        <w:rPr>
          <w:rFonts w:ascii="Times New Roman" w:hAnsi="Times New Roman" w:cs="Times New Roman"/>
          <w:color w:val="auto"/>
        </w:rPr>
      </w:pPr>
    </w:p>
    <w:p w14:paraId="59A8D4DD"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10. What happens if the research study stops earlier than expected? </w:t>
      </w:r>
    </w:p>
    <w:p w14:paraId="3CFB0FE8" w14:textId="77777777" w:rsidR="003E5C0E" w:rsidRPr="006F3B00" w:rsidRDefault="003E5C0E" w:rsidP="003E5C0E">
      <w:pPr>
        <w:pStyle w:val="Default"/>
        <w:rPr>
          <w:rFonts w:ascii="Times New Roman" w:hAnsi="Times New Roman" w:cs="Times New Roman"/>
          <w:b/>
          <w:bCs/>
          <w:color w:val="auto"/>
        </w:rPr>
      </w:pPr>
    </w:p>
    <w:p w14:paraId="069E0729"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It is not anticipated that the research study will be stopped earlier than expected, but if it is, participants will be informed of the reason for this. Any data collected to this point will be destroyed.</w:t>
      </w:r>
    </w:p>
    <w:p w14:paraId="77855521" w14:textId="77777777" w:rsidR="003E5C0E" w:rsidRPr="006F3B00" w:rsidRDefault="003E5C0E" w:rsidP="003E5C0E">
      <w:pPr>
        <w:pStyle w:val="Default"/>
        <w:rPr>
          <w:rFonts w:ascii="Times New Roman" w:hAnsi="Times New Roman" w:cs="Times New Roman"/>
          <w:color w:val="auto"/>
        </w:rPr>
      </w:pPr>
    </w:p>
    <w:p w14:paraId="511FDDC1"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11. What if something goes wrong? </w:t>
      </w:r>
    </w:p>
    <w:p w14:paraId="4E8B1E3D" w14:textId="77777777" w:rsidR="003E5C0E" w:rsidRPr="006F3B00" w:rsidRDefault="003E5C0E" w:rsidP="003E5C0E">
      <w:pPr>
        <w:pStyle w:val="Default"/>
        <w:rPr>
          <w:rFonts w:ascii="Times New Roman" w:hAnsi="Times New Roman" w:cs="Times New Roman"/>
          <w:bCs/>
          <w:color w:val="auto"/>
        </w:rPr>
      </w:pPr>
    </w:p>
    <w:p w14:paraId="4A13DDEE"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If any participant would like to make a complaint about the study, participants should contact the researcher (Daniel Brierley) or the lead supervisor (Professor Paula Farthing). If you feel your complaint has not been handled to your satisfaction, you may contact the Head of the</w:t>
      </w:r>
      <w:r w:rsidRPr="006F3B00">
        <w:rPr>
          <w:rFonts w:ascii="Times New Roman" w:hAnsi="Times New Roman" w:cs="Times New Roman"/>
          <w:bCs/>
          <w:color w:val="auto"/>
          <w:u w:val="single"/>
        </w:rPr>
        <w:t xml:space="preserve"> </w:t>
      </w:r>
      <w:r w:rsidRPr="006F3B00">
        <w:rPr>
          <w:rFonts w:ascii="Times New Roman" w:hAnsi="Times New Roman" w:cs="Times New Roman"/>
        </w:rPr>
        <w:t>Academic Unit of Oral and Maxillofacial Medicine, Pathology and Surgery,</w:t>
      </w:r>
      <w:r w:rsidRPr="006F3B00">
        <w:rPr>
          <w:rFonts w:ascii="Times New Roman" w:hAnsi="Times New Roman" w:cs="Times New Roman"/>
          <w:bCs/>
          <w:color w:val="auto"/>
        </w:rPr>
        <w:t xml:space="preserve"> Professor Keith Hunter, who will escalate the complaint through the appropriate channels. Contact numbers are given on item 18 (see below).</w:t>
      </w:r>
    </w:p>
    <w:p w14:paraId="7735D025" w14:textId="77777777" w:rsidR="003E5C0E" w:rsidRPr="006F3B00" w:rsidRDefault="003E5C0E" w:rsidP="003E5C0E">
      <w:pPr>
        <w:pStyle w:val="Default"/>
        <w:rPr>
          <w:rFonts w:ascii="Times New Roman" w:hAnsi="Times New Roman" w:cs="Times New Roman"/>
          <w:bCs/>
          <w:color w:val="auto"/>
        </w:rPr>
      </w:pPr>
    </w:p>
    <w:p w14:paraId="667F0FBA" w14:textId="77777777" w:rsidR="003E5C0E" w:rsidRPr="006F3B00" w:rsidRDefault="003E5C0E" w:rsidP="003E5C0E">
      <w:pPr>
        <w:pStyle w:val="Default"/>
        <w:rPr>
          <w:rFonts w:ascii="Times New Roman" w:hAnsi="Times New Roman" w:cs="Times New Roman"/>
          <w:color w:val="auto"/>
        </w:rPr>
      </w:pPr>
    </w:p>
    <w:p w14:paraId="338B4F2D"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12. Will my taking part in this project be kept confidential? </w:t>
      </w:r>
    </w:p>
    <w:p w14:paraId="02694DD0" w14:textId="77777777" w:rsidR="003E5C0E" w:rsidRPr="006F3B00" w:rsidRDefault="003E5C0E" w:rsidP="003E5C0E">
      <w:pPr>
        <w:pStyle w:val="Default"/>
        <w:rPr>
          <w:rFonts w:ascii="Times New Roman" w:hAnsi="Times New Roman" w:cs="Times New Roman"/>
          <w:b/>
          <w:bCs/>
          <w:color w:val="auto"/>
        </w:rPr>
      </w:pPr>
    </w:p>
    <w:p w14:paraId="1CDADD96"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iCs/>
          <w:color w:val="auto"/>
        </w:rPr>
        <w:t xml:space="preserve">All the information that we collect about you during the course of the research will be kept strictly confidential. You will not be able to be identified in any reports or publications. </w:t>
      </w:r>
    </w:p>
    <w:p w14:paraId="13737FBD"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 xml:space="preserve">Each participant will be given a reference number and not be identified by name. The reference numbers will only be known by the researcher (Daniel Brierley). All data will be anonymised </w:t>
      </w:r>
      <w:r w:rsidRPr="006F3B00">
        <w:rPr>
          <w:rFonts w:ascii="Times New Roman" w:eastAsia="Times New Roman" w:hAnsi="Times New Roman" w:cs="Times New Roman"/>
          <w:color w:val="auto"/>
          <w:lang w:eastAsia="en-GB"/>
        </w:rPr>
        <w:t>(all identifying information will be removed from all presentations of the data).</w:t>
      </w:r>
      <w:r w:rsidRPr="006F3B00">
        <w:rPr>
          <w:rFonts w:ascii="Times New Roman" w:hAnsi="Times New Roman" w:cs="Times New Roman"/>
          <w:bCs/>
          <w:color w:val="auto"/>
        </w:rPr>
        <w:t>Data will be stored on a password protected computer or USB device.</w:t>
      </w:r>
    </w:p>
    <w:p w14:paraId="50F841A3" w14:textId="77777777" w:rsidR="003E5C0E" w:rsidRPr="006F3B00" w:rsidRDefault="003E5C0E" w:rsidP="003E5C0E">
      <w:pPr>
        <w:pStyle w:val="Default"/>
        <w:rPr>
          <w:rFonts w:ascii="Times New Roman" w:hAnsi="Times New Roman" w:cs="Times New Roman"/>
          <w:bCs/>
          <w:color w:val="auto"/>
        </w:rPr>
      </w:pPr>
    </w:p>
    <w:p w14:paraId="5EFAEB18"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However, please see item 14.</w:t>
      </w:r>
    </w:p>
    <w:p w14:paraId="5B19F29A" w14:textId="77777777" w:rsidR="003E5C0E" w:rsidRPr="006F3B00" w:rsidRDefault="003E5C0E" w:rsidP="003E5C0E">
      <w:pPr>
        <w:pStyle w:val="Default"/>
        <w:rPr>
          <w:rFonts w:ascii="Times New Roman" w:hAnsi="Times New Roman" w:cs="Times New Roman"/>
          <w:color w:val="auto"/>
        </w:rPr>
      </w:pPr>
    </w:p>
    <w:p w14:paraId="0D7CD397"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b/>
          <w:bCs/>
          <w:color w:val="auto"/>
        </w:rPr>
        <w:t xml:space="preserve">13. What type of information will be sought from me and why is the collection of this information relevant for achieving the research project’s objectives? </w:t>
      </w:r>
    </w:p>
    <w:p w14:paraId="08CE12F0" w14:textId="77777777" w:rsidR="003E5C0E" w:rsidRPr="006F3B00" w:rsidRDefault="003E5C0E" w:rsidP="003E5C0E">
      <w:pPr>
        <w:pStyle w:val="Default"/>
        <w:rPr>
          <w:rFonts w:ascii="Times New Roman" w:hAnsi="Times New Roman" w:cs="Times New Roman"/>
          <w:color w:val="auto"/>
        </w:rPr>
      </w:pPr>
    </w:p>
    <w:p w14:paraId="64B934D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type of information which is sought from you is regarding your opinion on diagnostic competency and the cues or characteristics which consultants use when judging it in their trainees. This may help to inform changes to trainee assessments in the future.</w:t>
      </w:r>
    </w:p>
    <w:p w14:paraId="302BEF2C" w14:textId="77777777" w:rsidR="003E5C0E" w:rsidRPr="006F3B00" w:rsidRDefault="003E5C0E" w:rsidP="003E5C0E">
      <w:pPr>
        <w:pStyle w:val="Default"/>
        <w:rPr>
          <w:rFonts w:ascii="Times New Roman" w:hAnsi="Times New Roman" w:cs="Times New Roman"/>
          <w:color w:val="auto"/>
        </w:rPr>
      </w:pPr>
    </w:p>
    <w:p w14:paraId="20833C22"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14. What will happen to the results of the research project? </w:t>
      </w:r>
    </w:p>
    <w:p w14:paraId="65A6B353" w14:textId="77777777" w:rsidR="003E5C0E" w:rsidRPr="006F3B00" w:rsidRDefault="003E5C0E" w:rsidP="003E5C0E">
      <w:pPr>
        <w:pStyle w:val="Default"/>
        <w:rPr>
          <w:rFonts w:ascii="Times New Roman" w:hAnsi="Times New Roman" w:cs="Times New Roman"/>
          <w:color w:val="auto"/>
        </w:rPr>
      </w:pPr>
    </w:p>
    <w:p w14:paraId="473A623A"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results of this research may be published in histopathology or medical education journals. However, participants will not be identified in the report or publication. If results are published, participants will be informed and told where they may access the published material. The results may also be presented at conferences.</w:t>
      </w:r>
    </w:p>
    <w:p w14:paraId="25D71434"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lastRenderedPageBreak/>
        <w:t>The data will also be shared with external bodies such as the Royal College of Pathologists and GMC/GDC. We will ensure that the data collected about you is untraceable back to you before allowing others to use it.</w:t>
      </w:r>
    </w:p>
    <w:p w14:paraId="472ECD28" w14:textId="77777777" w:rsidR="003E5C0E" w:rsidRPr="006F3B00" w:rsidRDefault="003E5C0E" w:rsidP="003E5C0E">
      <w:pPr>
        <w:pStyle w:val="Default"/>
        <w:rPr>
          <w:rFonts w:ascii="Times New Roman" w:hAnsi="Times New Roman" w:cs="Times New Roman"/>
          <w:color w:val="auto"/>
        </w:rPr>
      </w:pPr>
    </w:p>
    <w:p w14:paraId="69814F32"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15. Who is organising and funding the research? </w:t>
      </w:r>
    </w:p>
    <w:p w14:paraId="20C81EF0" w14:textId="77777777" w:rsidR="003E5C0E" w:rsidRPr="006F3B00" w:rsidRDefault="003E5C0E" w:rsidP="003E5C0E">
      <w:pPr>
        <w:pStyle w:val="Default"/>
        <w:rPr>
          <w:rFonts w:ascii="Times New Roman" w:hAnsi="Times New Roman" w:cs="Times New Roman"/>
          <w:color w:val="auto"/>
        </w:rPr>
      </w:pPr>
    </w:p>
    <w:p w14:paraId="385794A3"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research study has not required funding to date. However, the project is being conducted by Daniel Brierley in his role as a clinical teacher for the School of Clinical Dentistry, Sheffield.</w:t>
      </w:r>
    </w:p>
    <w:p w14:paraId="12EDF494" w14:textId="77777777" w:rsidR="003E5C0E" w:rsidRPr="006F3B00" w:rsidRDefault="003E5C0E" w:rsidP="003E5C0E">
      <w:pPr>
        <w:pStyle w:val="Default"/>
        <w:rPr>
          <w:rFonts w:ascii="Times New Roman" w:hAnsi="Times New Roman" w:cs="Times New Roman"/>
          <w:color w:val="auto"/>
        </w:rPr>
      </w:pPr>
    </w:p>
    <w:p w14:paraId="4DCC908E"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16. Who has ethically reviewed the project? </w:t>
      </w:r>
    </w:p>
    <w:p w14:paraId="3BD279AB" w14:textId="77777777" w:rsidR="003E5C0E" w:rsidRPr="006F3B00" w:rsidRDefault="003E5C0E" w:rsidP="003E5C0E">
      <w:pPr>
        <w:pStyle w:val="Default"/>
        <w:rPr>
          <w:rFonts w:ascii="Times New Roman" w:hAnsi="Times New Roman" w:cs="Times New Roman"/>
          <w:b/>
          <w:bCs/>
          <w:color w:val="auto"/>
        </w:rPr>
      </w:pPr>
    </w:p>
    <w:p w14:paraId="1492660C"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This project has been ethically approved via the Clinical Dentistry ethics review procedure, University of Sheffield</w:t>
      </w:r>
    </w:p>
    <w:p w14:paraId="4F61946E" w14:textId="77777777" w:rsidR="003E5C0E" w:rsidRPr="006F3B00" w:rsidRDefault="003E5C0E" w:rsidP="003E5C0E">
      <w:pPr>
        <w:pStyle w:val="Default"/>
        <w:rPr>
          <w:rFonts w:ascii="Times New Roman" w:hAnsi="Times New Roman" w:cs="Times New Roman"/>
          <w:color w:val="auto"/>
        </w:rPr>
      </w:pPr>
    </w:p>
    <w:p w14:paraId="6D881108" w14:textId="77777777" w:rsidR="003E5C0E" w:rsidRPr="006F3B00" w:rsidRDefault="003E5C0E" w:rsidP="003E5C0E">
      <w:pPr>
        <w:pStyle w:val="Default"/>
        <w:rPr>
          <w:rFonts w:ascii="Times New Roman" w:hAnsi="Times New Roman" w:cs="Times New Roman"/>
          <w:color w:val="auto"/>
        </w:rPr>
      </w:pPr>
    </w:p>
    <w:p w14:paraId="18024E47" w14:textId="77777777" w:rsidR="003E5C0E" w:rsidRPr="006F3B00" w:rsidRDefault="003E5C0E" w:rsidP="003E5C0E">
      <w:pPr>
        <w:pStyle w:val="Default"/>
        <w:rPr>
          <w:rFonts w:ascii="Times New Roman" w:hAnsi="Times New Roman" w:cs="Times New Roman"/>
          <w:b/>
          <w:bCs/>
          <w:color w:val="auto"/>
        </w:rPr>
      </w:pPr>
      <w:r w:rsidRPr="006F3B00">
        <w:rPr>
          <w:rFonts w:ascii="Times New Roman" w:hAnsi="Times New Roman" w:cs="Times New Roman"/>
          <w:b/>
          <w:bCs/>
          <w:color w:val="auto"/>
        </w:rPr>
        <w:t xml:space="preserve">18. Contacts for further information </w:t>
      </w:r>
    </w:p>
    <w:p w14:paraId="2B81C2B3" w14:textId="77777777" w:rsidR="003E5C0E" w:rsidRPr="006F3B00" w:rsidRDefault="003E5C0E" w:rsidP="003E5C0E">
      <w:pPr>
        <w:pStyle w:val="Default"/>
        <w:rPr>
          <w:rFonts w:ascii="Times New Roman" w:hAnsi="Times New Roman" w:cs="Times New Roman"/>
          <w:b/>
          <w:bCs/>
          <w:color w:val="auto"/>
        </w:rPr>
      </w:pPr>
    </w:p>
    <w:p w14:paraId="2C171CC1" w14:textId="77777777" w:rsidR="003E5C0E" w:rsidRPr="006F3B00" w:rsidRDefault="003E5C0E" w:rsidP="003E5C0E">
      <w:pPr>
        <w:pStyle w:val="Default"/>
        <w:rPr>
          <w:rFonts w:ascii="Times New Roman" w:hAnsi="Times New Roman" w:cs="Times New Roman"/>
          <w:bCs/>
          <w:color w:val="auto"/>
        </w:rPr>
      </w:pPr>
      <w:r w:rsidRPr="006F3B00">
        <w:rPr>
          <w:rFonts w:ascii="Times New Roman" w:hAnsi="Times New Roman" w:cs="Times New Roman"/>
          <w:bCs/>
          <w:color w:val="auto"/>
        </w:rPr>
        <w:t>Researcher</w:t>
      </w:r>
    </w:p>
    <w:p w14:paraId="0DB6D5C8"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Daniel Brierley</w:t>
      </w:r>
    </w:p>
    <w:p w14:paraId="3A341FF1"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Room E06</w:t>
      </w:r>
    </w:p>
    <w:p w14:paraId="7CBA228F"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0BCCC921"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4A4CB029"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7B0EDF12"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Sheffield</w:t>
      </w:r>
    </w:p>
    <w:p w14:paraId="0490AF0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S10 2TA</w:t>
      </w:r>
    </w:p>
    <w:p w14:paraId="3D965769"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Tel: 0114 2159346</w:t>
      </w:r>
    </w:p>
    <w:p w14:paraId="4BA42AC4"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Email: d.j.brierley@sheffield.ac.uk</w:t>
      </w:r>
    </w:p>
    <w:p w14:paraId="74096FF3" w14:textId="77777777" w:rsidR="003E5C0E" w:rsidRPr="006F3B00" w:rsidRDefault="003E5C0E" w:rsidP="003E5C0E">
      <w:pPr>
        <w:pStyle w:val="Default"/>
        <w:rPr>
          <w:rFonts w:ascii="Times New Roman" w:hAnsi="Times New Roman" w:cs="Times New Roman"/>
          <w:color w:val="auto"/>
          <w:u w:val="single"/>
        </w:rPr>
      </w:pPr>
    </w:p>
    <w:p w14:paraId="2918B9CF"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Lead supervisor</w:t>
      </w:r>
    </w:p>
    <w:p w14:paraId="349D0FD8"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Emeritus Professor Paula Farthing</w:t>
      </w:r>
    </w:p>
    <w:p w14:paraId="08759C8D"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230380DA"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5872E47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4AB29433"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Sheffield</w:t>
      </w:r>
    </w:p>
    <w:p w14:paraId="3FEC3781"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S10 2TA</w:t>
      </w:r>
    </w:p>
    <w:p w14:paraId="641A1492"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Tel: 0114 2717969</w:t>
      </w:r>
    </w:p>
    <w:p w14:paraId="57941488"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 xml:space="preserve">Email: p.farthing@sheffield.ac.uk </w:t>
      </w:r>
    </w:p>
    <w:p w14:paraId="66E48A08" w14:textId="77777777" w:rsidR="003E5C0E" w:rsidRPr="006F3B00" w:rsidRDefault="003E5C0E" w:rsidP="003E5C0E">
      <w:pPr>
        <w:pStyle w:val="Default"/>
        <w:rPr>
          <w:rFonts w:ascii="Times New Roman" w:hAnsi="Times New Roman" w:cs="Times New Roman"/>
          <w:color w:val="auto"/>
        </w:rPr>
      </w:pPr>
    </w:p>
    <w:p w14:paraId="689052EF" w14:textId="77777777" w:rsidR="003E5C0E" w:rsidRPr="006F3B00" w:rsidRDefault="003E5C0E" w:rsidP="003E5C0E">
      <w:pPr>
        <w:pStyle w:val="Default"/>
        <w:rPr>
          <w:rFonts w:ascii="Times New Roman" w:hAnsi="Times New Roman" w:cs="Times New Roman"/>
          <w:color w:val="auto"/>
        </w:rPr>
      </w:pPr>
    </w:p>
    <w:p w14:paraId="03CA8899"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Head of Department</w:t>
      </w:r>
    </w:p>
    <w:p w14:paraId="0BE70D08"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Professor Keith Hunter</w:t>
      </w:r>
    </w:p>
    <w:p w14:paraId="39EBAF44"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Room E32</w:t>
      </w:r>
    </w:p>
    <w:p w14:paraId="21AFA8DC"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rPr>
        <w:t>Academic Unit of Oral and Maxillofacial Medicine, Pathology and Surgery</w:t>
      </w:r>
      <w:r w:rsidRPr="006F3B00">
        <w:rPr>
          <w:rFonts w:ascii="Times New Roman" w:hAnsi="Times New Roman" w:cs="Times New Roman"/>
          <w:color w:val="auto"/>
        </w:rPr>
        <w:t xml:space="preserve"> </w:t>
      </w:r>
    </w:p>
    <w:p w14:paraId="6AEDBBA3"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The School of Clinical Dentistry</w:t>
      </w:r>
    </w:p>
    <w:p w14:paraId="3D44538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19 Claremont Crescent</w:t>
      </w:r>
    </w:p>
    <w:p w14:paraId="014435F0"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Sheffield</w:t>
      </w:r>
    </w:p>
    <w:p w14:paraId="30D5E2E6"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S10 2TA</w:t>
      </w:r>
    </w:p>
    <w:p w14:paraId="186E5991"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Tel: 0114 2717960</w:t>
      </w:r>
    </w:p>
    <w:p w14:paraId="5C6EBDA5" w14:textId="77777777"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 xml:space="preserve">Email: k.hunter@sheffield.ac.uk </w:t>
      </w:r>
    </w:p>
    <w:p w14:paraId="1F6E3A59" w14:textId="77777777" w:rsidR="003E5C0E" w:rsidRPr="006F3B00" w:rsidRDefault="003E5C0E" w:rsidP="003E5C0E">
      <w:pPr>
        <w:pStyle w:val="Default"/>
        <w:rPr>
          <w:rFonts w:ascii="Times New Roman" w:hAnsi="Times New Roman" w:cs="Times New Roman"/>
          <w:b/>
          <w:color w:val="auto"/>
        </w:rPr>
      </w:pPr>
    </w:p>
    <w:p w14:paraId="278AEC65" w14:textId="0E2772A8" w:rsidR="003E5C0E" w:rsidRPr="006F3B00" w:rsidRDefault="003E5C0E" w:rsidP="003E5C0E">
      <w:pPr>
        <w:pStyle w:val="Default"/>
        <w:rPr>
          <w:rFonts w:ascii="Times New Roman" w:hAnsi="Times New Roman" w:cs="Times New Roman"/>
          <w:color w:val="auto"/>
        </w:rPr>
      </w:pPr>
      <w:r w:rsidRPr="006F3B00">
        <w:rPr>
          <w:rFonts w:ascii="Times New Roman" w:hAnsi="Times New Roman" w:cs="Times New Roman"/>
          <w:color w:val="auto"/>
        </w:rPr>
        <w:t>Each participant will be given a copy of this information sheet to keep. We would like to thank all participants for taking part in this study</w:t>
      </w:r>
    </w:p>
    <w:p w14:paraId="57BBE8CB" w14:textId="04359841" w:rsidR="003E5C0E" w:rsidRPr="0020029A" w:rsidRDefault="003E5C0E" w:rsidP="0020029A">
      <w:pPr>
        <w:pStyle w:val="Heading2"/>
        <w:rPr>
          <w:rFonts w:ascii="Times New Roman" w:hAnsi="Times New Roman" w:cs="Times New Roman"/>
          <w:color w:val="auto"/>
          <w:sz w:val="24"/>
          <w:szCs w:val="24"/>
        </w:rPr>
      </w:pPr>
      <w:bookmarkStart w:id="139" w:name="_Toc23243868"/>
      <w:r w:rsidRPr="0020029A">
        <w:rPr>
          <w:rFonts w:ascii="Times New Roman" w:hAnsi="Times New Roman" w:cs="Times New Roman"/>
          <w:color w:val="auto"/>
          <w:sz w:val="24"/>
          <w:szCs w:val="24"/>
        </w:rPr>
        <w:lastRenderedPageBreak/>
        <w:t>Appendi</w:t>
      </w:r>
      <w:r w:rsidR="00524350">
        <w:rPr>
          <w:rFonts w:ascii="Times New Roman" w:hAnsi="Times New Roman" w:cs="Times New Roman"/>
          <w:color w:val="auto"/>
          <w:sz w:val="24"/>
          <w:szCs w:val="24"/>
        </w:rPr>
        <w:t>ces</w:t>
      </w:r>
      <w:r w:rsidR="00DB4E45">
        <w:rPr>
          <w:rFonts w:ascii="Times New Roman" w:hAnsi="Times New Roman" w:cs="Times New Roman"/>
          <w:color w:val="auto"/>
          <w:sz w:val="24"/>
          <w:szCs w:val="24"/>
        </w:rPr>
        <w:t xml:space="preserve"> 9 and 10</w:t>
      </w:r>
      <w:r w:rsidR="00BE4939" w:rsidRPr="0020029A">
        <w:rPr>
          <w:rFonts w:ascii="Times New Roman" w:hAnsi="Times New Roman" w:cs="Times New Roman"/>
          <w:color w:val="auto"/>
          <w:sz w:val="24"/>
          <w:szCs w:val="24"/>
        </w:rPr>
        <w:t>: Instructions for Delphi and consent form</w:t>
      </w:r>
      <w:bookmarkEnd w:id="139"/>
    </w:p>
    <w:p w14:paraId="5EDE9DC5" w14:textId="77777777" w:rsidR="00BE4939" w:rsidRPr="006F3B00" w:rsidRDefault="00BE4939" w:rsidP="00BE4939">
      <w:pPr>
        <w:rPr>
          <w:rFonts w:ascii="Times New Roman" w:hAnsi="Times New Roman" w:cs="Times New Roman"/>
          <w:lang w:val="en-GB"/>
        </w:rPr>
      </w:pPr>
    </w:p>
    <w:p w14:paraId="026D9B85" w14:textId="77DE606F" w:rsidR="00BF1FDC" w:rsidRPr="00BF1FDC" w:rsidRDefault="00BF1FDC" w:rsidP="00BF1FDC">
      <w:pPr>
        <w:spacing w:line="240" w:lineRule="auto"/>
        <w:jc w:val="center"/>
        <w:rPr>
          <w:rFonts w:ascii="Times New Roman" w:hAnsi="Times New Roman" w:cs="Times New Roman"/>
          <w:b/>
          <w:sz w:val="24"/>
          <w:szCs w:val="24"/>
        </w:rPr>
      </w:pPr>
      <w:r w:rsidRPr="00BF1FDC">
        <w:rPr>
          <w:rFonts w:ascii="Times New Roman" w:hAnsi="Times New Roman" w:cs="Times New Roman"/>
          <w:b/>
          <w:sz w:val="24"/>
          <w:szCs w:val="24"/>
        </w:rPr>
        <w:t>“Determination of diagnostic competence in histopathology trainees”</w:t>
      </w:r>
    </w:p>
    <w:p w14:paraId="3D6CCE08" w14:textId="77777777" w:rsidR="00BE4939" w:rsidRPr="006F3B00" w:rsidRDefault="00BE4939" w:rsidP="00BE4939">
      <w:pPr>
        <w:jc w:val="center"/>
        <w:rPr>
          <w:rFonts w:ascii="Times New Roman" w:hAnsi="Times New Roman" w:cs="Times New Roman"/>
          <w:b/>
          <w:u w:val="single"/>
        </w:rPr>
      </w:pPr>
      <w:r w:rsidRPr="006F3B00">
        <w:rPr>
          <w:rFonts w:ascii="Times New Roman" w:hAnsi="Times New Roman" w:cs="Times New Roman"/>
          <w:b/>
          <w:u w:val="single"/>
        </w:rPr>
        <w:t>Delphi Study</w:t>
      </w:r>
    </w:p>
    <w:p w14:paraId="1228DB55" w14:textId="77777777" w:rsidR="00BE4939" w:rsidRPr="006F3B00" w:rsidRDefault="00BE4939" w:rsidP="00BE4939">
      <w:pPr>
        <w:rPr>
          <w:rFonts w:ascii="Times New Roman" w:hAnsi="Times New Roman" w:cs="Times New Roman"/>
          <w:b/>
          <w:u w:val="single"/>
        </w:rPr>
      </w:pPr>
      <w:r w:rsidRPr="006F3B00">
        <w:rPr>
          <w:rFonts w:ascii="Times New Roman" w:hAnsi="Times New Roman" w:cs="Times New Roman"/>
          <w:b/>
          <w:u w:val="single"/>
        </w:rPr>
        <w:t>Instructions</w:t>
      </w:r>
      <w:r w:rsidR="001970A4" w:rsidRPr="006F3B00">
        <w:rPr>
          <w:rFonts w:ascii="Times New Roman" w:hAnsi="Times New Roman" w:cs="Times New Roman"/>
          <w:b/>
          <w:u w:val="single"/>
        </w:rPr>
        <w:t xml:space="preserve"> for round 1</w:t>
      </w:r>
    </w:p>
    <w:p w14:paraId="4472F7DD"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You have been invited to take part in a Delphi study as part of a research project, the aim of which is to understand what constitutes diagnostic competency in histopathology trainees. </w:t>
      </w:r>
    </w:p>
    <w:p w14:paraId="099BA4AB" w14:textId="77777777" w:rsidR="00BE4939" w:rsidRPr="006F3B00" w:rsidRDefault="00BE4939" w:rsidP="00BE4939">
      <w:pPr>
        <w:rPr>
          <w:rFonts w:ascii="Times New Roman" w:hAnsi="Times New Roman" w:cs="Times New Roman"/>
          <w:szCs w:val="24"/>
        </w:rPr>
      </w:pPr>
      <w:r w:rsidRPr="006F3B00">
        <w:rPr>
          <w:rFonts w:ascii="Times New Roman" w:hAnsi="Times New Roman" w:cs="Times New Roman"/>
          <w:szCs w:val="24"/>
        </w:rPr>
        <w:t>A Delphi study involves using a panel of experts in a given field to come to an agreement on a particular topic or set of items. The participants are presented with information on the topic and asked to determine, individually, how they rate each item (usually using a Likert-type scale or similar scoring method). Participants are also encouraged to provide feedback on items which can then be refined in future rounds of the Delphi. The researcher collates the responses to the items and is able to see which items are rated highly (or agreed on) by participants, and which ones did not reach agreement and need refinement. In subsequent rounds, the participants are provided with data from the previous round so they are able to continue to refine and reach agreement on the remaining items. Further information can be found on the attached information sheet you have previously been provided.</w:t>
      </w:r>
    </w:p>
    <w:p w14:paraId="3308DD42" w14:textId="77777777" w:rsidR="00BE4939" w:rsidRPr="006F3B00" w:rsidRDefault="00BE4939" w:rsidP="00BE4939">
      <w:pPr>
        <w:rPr>
          <w:rFonts w:ascii="Times New Roman" w:hAnsi="Times New Roman" w:cs="Times New Roman"/>
          <w:szCs w:val="24"/>
        </w:rPr>
      </w:pPr>
      <w:r w:rsidRPr="006F3B00">
        <w:rPr>
          <w:rFonts w:ascii="Times New Roman" w:hAnsi="Times New Roman" w:cs="Times New Roman"/>
          <w:szCs w:val="24"/>
        </w:rPr>
        <w:t>As part of this study, we should be grateful if you would:</w:t>
      </w:r>
    </w:p>
    <w:p w14:paraId="761CFC19" w14:textId="77777777" w:rsidR="00BE4939" w:rsidRPr="006F3B00" w:rsidRDefault="00BE4939" w:rsidP="00BE4939">
      <w:pPr>
        <w:rPr>
          <w:rFonts w:ascii="Times New Roman" w:hAnsi="Times New Roman" w:cs="Times New Roman"/>
          <w:szCs w:val="24"/>
        </w:rPr>
      </w:pPr>
      <w:r w:rsidRPr="006F3B00">
        <w:rPr>
          <w:rFonts w:ascii="Times New Roman" w:hAnsi="Times New Roman" w:cs="Times New Roman"/>
          <w:szCs w:val="24"/>
        </w:rPr>
        <w:t xml:space="preserve">-complete the background information about yourself if you have not already provided this (Part1). The background information helps to ensure that a representative Delphi panel has been selected. </w:t>
      </w:r>
    </w:p>
    <w:p w14:paraId="51004417" w14:textId="77777777" w:rsidR="00BE4939" w:rsidRPr="006F3B00" w:rsidRDefault="00BE4939" w:rsidP="00BE4939">
      <w:pPr>
        <w:rPr>
          <w:rFonts w:ascii="Times New Roman" w:hAnsi="Times New Roman" w:cs="Times New Roman"/>
          <w:szCs w:val="24"/>
        </w:rPr>
      </w:pPr>
      <w:r w:rsidRPr="006F3B00">
        <w:rPr>
          <w:rFonts w:ascii="Times New Roman" w:hAnsi="Times New Roman" w:cs="Times New Roman"/>
          <w:szCs w:val="24"/>
        </w:rPr>
        <w:t>-sign the consent form (Part 2). Please note that the consent form signature will not be linked to the results</w:t>
      </w:r>
    </w:p>
    <w:p w14:paraId="12410DAF" w14:textId="77777777" w:rsidR="00BE4939" w:rsidRPr="006F3B00" w:rsidRDefault="00BE4939" w:rsidP="00BE4939">
      <w:pPr>
        <w:rPr>
          <w:rFonts w:ascii="Times New Roman" w:hAnsi="Times New Roman" w:cs="Times New Roman"/>
          <w:szCs w:val="24"/>
        </w:rPr>
      </w:pPr>
      <w:r w:rsidRPr="006F3B00">
        <w:rPr>
          <w:rFonts w:ascii="Times New Roman" w:hAnsi="Times New Roman" w:cs="Times New Roman"/>
          <w:szCs w:val="24"/>
        </w:rPr>
        <w:t>-rate the items against a scale (Part 3)</w:t>
      </w:r>
    </w:p>
    <w:p w14:paraId="64B6B88E" w14:textId="77777777" w:rsidR="00BE4939" w:rsidRPr="006F3B00" w:rsidRDefault="00BE4939" w:rsidP="00BE4939">
      <w:pPr>
        <w:rPr>
          <w:rFonts w:ascii="Times New Roman" w:hAnsi="Times New Roman" w:cs="Times New Roman"/>
          <w:szCs w:val="24"/>
        </w:rPr>
      </w:pPr>
      <w:r w:rsidRPr="006F3B00">
        <w:rPr>
          <w:rFonts w:ascii="Times New Roman" w:hAnsi="Times New Roman" w:cs="Times New Roman"/>
          <w:szCs w:val="24"/>
        </w:rPr>
        <w:t>-rank the three items which you think are the “most important” and “least important” (Part 4)</w:t>
      </w:r>
    </w:p>
    <w:p w14:paraId="50D31273" w14:textId="77777777" w:rsidR="00BE4939" w:rsidRPr="006F3B00" w:rsidRDefault="00BE4939" w:rsidP="00BE4939">
      <w:pPr>
        <w:rPr>
          <w:rFonts w:ascii="Times New Roman" w:hAnsi="Times New Roman" w:cs="Times New Roman"/>
          <w:b/>
          <w:u w:val="single"/>
        </w:rPr>
      </w:pPr>
    </w:p>
    <w:p w14:paraId="4C77B113" w14:textId="77777777" w:rsidR="00BE4939" w:rsidRPr="006F3B00" w:rsidRDefault="00BE4939" w:rsidP="00BE4939">
      <w:pPr>
        <w:rPr>
          <w:rFonts w:ascii="Times New Roman" w:hAnsi="Times New Roman" w:cs="Times New Roman"/>
          <w:b/>
          <w:u w:val="single"/>
        </w:rPr>
      </w:pPr>
      <w:r w:rsidRPr="006F3B00">
        <w:rPr>
          <w:rFonts w:ascii="Times New Roman" w:hAnsi="Times New Roman" w:cs="Times New Roman"/>
          <w:b/>
          <w:u w:val="single"/>
        </w:rPr>
        <w:t>Part 1: Background information</w:t>
      </w:r>
    </w:p>
    <w:p w14:paraId="26D103F0"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Please would you </w:t>
      </w:r>
      <w:proofErr w:type="gramStart"/>
      <w:r w:rsidRPr="006F3B00">
        <w:rPr>
          <w:rFonts w:ascii="Times New Roman" w:hAnsi="Times New Roman" w:cs="Times New Roman"/>
        </w:rPr>
        <w:t>provide:</w:t>
      </w:r>
      <w:proofErr w:type="gramEnd"/>
    </w:p>
    <w:p w14:paraId="3B90E674"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Your gender: </w:t>
      </w:r>
    </w:p>
    <w:p w14:paraId="40E5C8EE"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The number of years you have been an educational supervisor (if appropriate): </w:t>
      </w:r>
    </w:p>
    <w:p w14:paraId="4A5A35AA"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The number of years you have been a Training Programme Director (TPD) (if appropriate): </w:t>
      </w:r>
    </w:p>
    <w:p w14:paraId="01C9A77C"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The number of years you have been a trainer: </w:t>
      </w:r>
    </w:p>
    <w:p w14:paraId="302AE2AA" w14:textId="77777777" w:rsidR="00BE4939" w:rsidRPr="006F3B00" w:rsidRDefault="00BE4939" w:rsidP="00BE4939">
      <w:pPr>
        <w:rPr>
          <w:rFonts w:ascii="Times New Roman" w:hAnsi="Times New Roman" w:cs="Times New Roman"/>
        </w:rPr>
      </w:pPr>
    </w:p>
    <w:p w14:paraId="78466A73" w14:textId="5A9FD30C" w:rsidR="00BE4939" w:rsidRDefault="00BE4939" w:rsidP="00BE4939">
      <w:pPr>
        <w:rPr>
          <w:rFonts w:ascii="Times New Roman" w:hAnsi="Times New Roman" w:cs="Times New Roman"/>
          <w:b/>
          <w:u w:val="single"/>
        </w:rPr>
      </w:pPr>
    </w:p>
    <w:p w14:paraId="40706075" w14:textId="6F7D6B42" w:rsidR="009F72BE" w:rsidRDefault="009F72BE" w:rsidP="00BE4939">
      <w:pPr>
        <w:rPr>
          <w:rFonts w:ascii="Times New Roman" w:hAnsi="Times New Roman" w:cs="Times New Roman"/>
          <w:b/>
          <w:u w:val="single"/>
        </w:rPr>
      </w:pPr>
    </w:p>
    <w:p w14:paraId="3988B4B8" w14:textId="542CF0F9" w:rsidR="009F72BE" w:rsidRDefault="009F72BE" w:rsidP="00BE4939">
      <w:pPr>
        <w:rPr>
          <w:rFonts w:ascii="Times New Roman" w:hAnsi="Times New Roman" w:cs="Times New Roman"/>
          <w:b/>
          <w:u w:val="single"/>
        </w:rPr>
      </w:pPr>
    </w:p>
    <w:p w14:paraId="5B2568FB" w14:textId="3F050EE0" w:rsidR="00BF1FDC" w:rsidRDefault="00BF1FDC" w:rsidP="00BE4939">
      <w:pPr>
        <w:rPr>
          <w:rFonts w:ascii="Times New Roman" w:hAnsi="Times New Roman" w:cs="Times New Roman"/>
          <w:b/>
          <w:u w:val="single"/>
        </w:rPr>
      </w:pPr>
    </w:p>
    <w:p w14:paraId="40188C14" w14:textId="77777777" w:rsidR="00BF1FDC" w:rsidRPr="006F3B00" w:rsidRDefault="00BF1FDC" w:rsidP="00BE4939">
      <w:pPr>
        <w:rPr>
          <w:rFonts w:ascii="Times New Roman" w:hAnsi="Times New Roman" w:cs="Times New Roman"/>
          <w:b/>
          <w:u w:val="single"/>
        </w:rPr>
      </w:pPr>
    </w:p>
    <w:p w14:paraId="406EB4B0" w14:textId="77777777" w:rsidR="00BE4939" w:rsidRPr="006F3B00" w:rsidRDefault="00BE4939" w:rsidP="00BE4939">
      <w:pPr>
        <w:rPr>
          <w:rFonts w:ascii="Times New Roman" w:hAnsi="Times New Roman" w:cs="Times New Roman"/>
          <w:b/>
          <w:u w:val="single"/>
        </w:rPr>
      </w:pPr>
    </w:p>
    <w:p w14:paraId="7216A7F7" w14:textId="2AEC0BF6" w:rsidR="00BE4939" w:rsidRDefault="00BE4939" w:rsidP="00BE4939">
      <w:pPr>
        <w:rPr>
          <w:rFonts w:ascii="Times New Roman" w:hAnsi="Times New Roman" w:cs="Times New Roman"/>
          <w:b/>
          <w:u w:val="single"/>
        </w:rPr>
      </w:pPr>
      <w:r w:rsidRPr="006F3B00">
        <w:rPr>
          <w:rFonts w:ascii="Times New Roman" w:hAnsi="Times New Roman" w:cs="Times New Roman"/>
          <w:b/>
          <w:u w:val="single"/>
        </w:rPr>
        <w:lastRenderedPageBreak/>
        <w:t>Part 2: Consent</w:t>
      </w:r>
    </w:p>
    <w:p w14:paraId="3C93B05D" w14:textId="6B2E7E00" w:rsidR="00293A68" w:rsidRPr="00293A68" w:rsidRDefault="00293A68" w:rsidP="00293A68">
      <w:pPr>
        <w:pStyle w:val="Heading4"/>
        <w:jc w:val="center"/>
        <w:rPr>
          <w:rFonts w:ascii="Calibri" w:hAnsi="Calibri"/>
          <w:color w:val="auto"/>
          <w:sz w:val="40"/>
          <w:szCs w:val="40"/>
        </w:rPr>
      </w:pPr>
      <w:r w:rsidRPr="00670157">
        <w:rPr>
          <w:rFonts w:ascii="Calibri" w:hAnsi="Calibri"/>
          <w:color w:val="auto"/>
          <w:sz w:val="40"/>
          <w:szCs w:val="40"/>
        </w:rPr>
        <w:t>Consent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4"/>
      </w:tblGrid>
      <w:tr w:rsidR="00BE4939" w:rsidRPr="006F3B00" w14:paraId="51B2F29F" w14:textId="77777777" w:rsidTr="001B0EF6">
        <w:tc>
          <w:tcPr>
            <w:tcW w:w="9242" w:type="dxa"/>
          </w:tcPr>
          <w:p w14:paraId="4BF39A66" w14:textId="77777777" w:rsidR="00BE4939" w:rsidRPr="006F3B00" w:rsidRDefault="00BE4939" w:rsidP="001B0EF6">
            <w:pPr>
              <w:pStyle w:val="Header"/>
              <w:jc w:val="center"/>
              <w:rPr>
                <w:rFonts w:ascii="Times New Roman" w:hAnsi="Times New Roman" w:cs="Times New Roman"/>
                <w:b/>
              </w:rPr>
            </w:pPr>
          </w:p>
          <w:p w14:paraId="5B7723CE" w14:textId="41E00229" w:rsidR="00BE4939" w:rsidRPr="00BF1FDC" w:rsidRDefault="00BE4939" w:rsidP="00BF1FDC">
            <w:pPr>
              <w:spacing w:line="240" w:lineRule="auto"/>
              <w:rPr>
                <w:rFonts w:ascii="Times New Roman" w:hAnsi="Times New Roman" w:cs="Times New Roman"/>
                <w:b/>
                <w:sz w:val="52"/>
                <w:szCs w:val="52"/>
              </w:rPr>
            </w:pPr>
            <w:r w:rsidRPr="006F3B00">
              <w:rPr>
                <w:rFonts w:ascii="Times New Roman" w:hAnsi="Times New Roman" w:cs="Times New Roman"/>
                <w:b/>
              </w:rPr>
              <w:t>Title of Research Project</w:t>
            </w:r>
            <w:r w:rsidRPr="006F3B00">
              <w:rPr>
                <w:rFonts w:ascii="Times New Roman" w:hAnsi="Times New Roman" w:cs="Times New Roman"/>
              </w:rPr>
              <w:t xml:space="preserve">: </w:t>
            </w:r>
            <w:r w:rsidR="00BF1FDC" w:rsidRPr="00BF1FDC">
              <w:rPr>
                <w:rFonts w:ascii="Times New Roman" w:hAnsi="Times New Roman" w:cs="Times New Roman"/>
                <w:sz w:val="24"/>
                <w:szCs w:val="24"/>
              </w:rPr>
              <w:t>Determination of diagnostic competence in histopathology trainees</w:t>
            </w:r>
          </w:p>
          <w:p w14:paraId="04A56D22" w14:textId="77777777" w:rsidR="00BE4939" w:rsidRPr="006F3B00" w:rsidRDefault="00BE4939" w:rsidP="001B0EF6">
            <w:pPr>
              <w:spacing w:line="480" w:lineRule="auto"/>
              <w:rPr>
                <w:rFonts w:ascii="Times New Roman" w:hAnsi="Times New Roman" w:cs="Times New Roman"/>
                <w:u w:val="single"/>
              </w:rPr>
            </w:pPr>
            <w:r w:rsidRPr="006F3B00">
              <w:rPr>
                <w:rFonts w:ascii="Times New Roman" w:hAnsi="Times New Roman" w:cs="Times New Roman"/>
                <w:b/>
              </w:rPr>
              <w:t>Name of Researcher</w:t>
            </w:r>
            <w:r w:rsidRPr="006F3B00">
              <w:rPr>
                <w:rFonts w:ascii="Times New Roman" w:hAnsi="Times New Roman" w:cs="Times New Roman"/>
              </w:rPr>
              <w:t>: Daniel Brierley</w:t>
            </w:r>
          </w:p>
          <w:p w14:paraId="595855EA" w14:textId="77777777" w:rsidR="00BE4939" w:rsidRPr="006F3B00" w:rsidRDefault="00BE4939" w:rsidP="001B0EF6">
            <w:pPr>
              <w:pStyle w:val="BodyText2"/>
            </w:pPr>
            <w:r w:rsidRPr="006F3B00">
              <w:t>Please initial or place an “X” in the box</w:t>
            </w:r>
          </w:p>
          <w:p w14:paraId="2CE4E46D" w14:textId="77777777" w:rsidR="00BE4939" w:rsidRPr="006F3B00" w:rsidRDefault="00BE4939" w:rsidP="001B0EF6">
            <w:pPr>
              <w:pStyle w:val="BodyText2"/>
            </w:pPr>
            <w:r w:rsidRPr="006F3B00">
              <w:rPr>
                <w:noProof/>
                <w:lang w:val="en-US"/>
              </w:rPr>
              <mc:AlternateContent>
                <mc:Choice Requires="wps">
                  <w:drawing>
                    <wp:anchor distT="0" distB="0" distL="114300" distR="114300" simplePos="0" relativeHeight="251672576" behindDoc="0" locked="0" layoutInCell="1" allowOverlap="1" wp14:anchorId="02A891E9" wp14:editId="17F24CD9">
                      <wp:simplePos x="0" y="0"/>
                      <wp:positionH relativeFrom="column">
                        <wp:posOffset>4862830</wp:posOffset>
                      </wp:positionH>
                      <wp:positionV relativeFrom="paragraph">
                        <wp:posOffset>64770</wp:posOffset>
                      </wp:positionV>
                      <wp:extent cx="457200" cy="342900"/>
                      <wp:effectExtent l="0" t="0" r="19050" b="190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08D7C1E7" w14:textId="77777777" w:rsidR="00D35C1E" w:rsidRPr="00AB7AC6" w:rsidRDefault="00D35C1E" w:rsidP="00BE49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891E9" id="Rectangle 311" o:spid="_x0000_s1067" style="position:absolute;margin-left:382.9pt;margin-top:5.1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KAJwIAAFIEAAAOAAAAZHJzL2Uyb0RvYy54bWysVMGO0zAQvSPxD5bvNE23hTZqulp1KUJa&#10;YMXCBziOk1g4HjN2m5SvZ+K0pQucEDlYHs/4+c2bmaxv+9awg0KvweY8nUw5U1ZCqW2d869fdq+W&#10;nPkgbCkMWJXzo/L8dvPyxbpzmZpBA6ZUyAjE+qxzOW9CcFmSeNmoVvgJOGXJWQG2IpCJdVKi6Ai9&#10;NclsOn2ddIClQ5DKezq9H518E/GrSsnwqaq8CszknLiFuGJci2FNNmuR1Shco+WJhvgHFq3Qlh69&#10;QN2LINge9R9QrZYIHqowkdAmUFVaqpgDZZNOf8vmqRFOxVxIHO8uMvn/Bys/Hh6R6TLnN2nKmRUt&#10;FekzySZsbRQbDkmizvmMIp/cIw5JevcA8ptnFrYNxak7ROgaJUoiFuOTZxcGw9NVVnQfoCR8sQ8Q&#10;1eorbAdA0oH1sSjHS1FUH5ikw/niDRWaM0mum/lsRXtilIjsfNmhD+8UtGzY5ByJfAQXhwcfxtBz&#10;SCQPRpc7bUw0sC62BtlBUH/s4ndC99dhxrIu56vFbBGRn/n8NcQ0fn+DaHWgRje6zfnyEiSyQbW3&#10;toxtGIQ2456yM5aSPCs3ViD0RR9LlS7PRSmgPJKwCGNj0yDSpgH8wVlHTZ1z/30vUHFm3lsqziqd&#10;z4cpiEYUljO89hTXHmElQeU8cDZut2GcnL1DXTf0UhrlsHBHBa10FHugPLI68afGjeU6DdkwGdd2&#10;jPr1K9j8BAAA//8DAFBLAwQUAAYACAAAACEAjxO0Kd4AAAAJAQAADwAAAGRycy9kb3ducmV2Lnht&#10;bEyPwU7DMBBE70j8g7VI3KhNCmkJcSoEKhLHNr1w28QmCcTrKHbawNezPcFxdkYzb/PN7HpxtGPo&#10;PGm4XSgQlmpvOmo0HMrtzRpEiEgGe09Ww7cNsCkuL3LMjD/Rzh73sRFcQiFDDW2MQyZlqFvrMCz8&#10;YIm9Dz86jCzHRpoRT1zuepkolUqHHfFCi4N9bm39tZ+chqpLDvizK1+Ve9gu49tcfk7vL1pfX81P&#10;jyCineNfGM74jA4FM1V+IhNEr2GV3jN6ZEMlIDiwXq74UGlI7xKQRS7/f1D8AgAA//8DAFBLAQIt&#10;ABQABgAIAAAAIQC2gziS/gAAAOEBAAATAAAAAAAAAAAAAAAAAAAAAABbQ29udGVudF9UeXBlc10u&#10;eG1sUEsBAi0AFAAGAAgAAAAhADj9If/WAAAAlAEAAAsAAAAAAAAAAAAAAAAALwEAAF9yZWxzLy5y&#10;ZWxzUEsBAi0AFAAGAAgAAAAhAOnzQoAnAgAAUgQAAA4AAAAAAAAAAAAAAAAALgIAAGRycy9lMm9E&#10;b2MueG1sUEsBAi0AFAAGAAgAAAAhAI8TtCneAAAACQEAAA8AAAAAAAAAAAAAAAAAgQQAAGRycy9k&#10;b3ducmV2LnhtbFBLBQYAAAAABAAEAPMAAACMBQAAAAA=&#10;">
                      <v:textbox>
                        <w:txbxContent>
                          <w:p w14:paraId="08D7C1E7" w14:textId="77777777" w:rsidR="00D35C1E" w:rsidRPr="00AB7AC6" w:rsidRDefault="00D35C1E" w:rsidP="00BE4939">
                            <w:pPr>
                              <w:jc w:val="center"/>
                            </w:pPr>
                          </w:p>
                        </w:txbxContent>
                      </v:textbox>
                    </v:rect>
                  </w:pict>
                </mc:Fallback>
              </mc:AlternateContent>
            </w:r>
          </w:p>
          <w:p w14:paraId="641BEB15" w14:textId="77777777" w:rsidR="00BE4939" w:rsidRPr="006F3B00" w:rsidRDefault="00BE4939" w:rsidP="001B0EF6">
            <w:pPr>
              <w:spacing w:after="0" w:line="240" w:lineRule="auto"/>
              <w:rPr>
                <w:rFonts w:ascii="Times New Roman" w:hAnsi="Times New Roman" w:cs="Times New Roman"/>
              </w:rPr>
            </w:pPr>
            <w:r w:rsidRPr="006F3B00">
              <w:rPr>
                <w:rFonts w:ascii="Times New Roman" w:hAnsi="Times New Roman" w:cs="Times New Roman"/>
              </w:rPr>
              <w:t>I confirm that I have read and understand the information sheet explaining</w:t>
            </w:r>
          </w:p>
          <w:p w14:paraId="1E167B65" w14:textId="77777777" w:rsidR="00BE4939" w:rsidRPr="006F3B00" w:rsidRDefault="00BE4939" w:rsidP="001B0EF6">
            <w:pPr>
              <w:spacing w:after="0" w:line="240" w:lineRule="auto"/>
              <w:rPr>
                <w:rFonts w:ascii="Times New Roman" w:hAnsi="Times New Roman" w:cs="Times New Roman"/>
              </w:rPr>
            </w:pPr>
            <w:r w:rsidRPr="006F3B00">
              <w:rPr>
                <w:rFonts w:ascii="Times New Roman" w:hAnsi="Times New Roman" w:cs="Times New Roman"/>
              </w:rPr>
              <w:t xml:space="preserve">the above research project and I have had the opportunity to ask questions </w:t>
            </w:r>
          </w:p>
          <w:p w14:paraId="5F888158" w14:textId="77777777" w:rsidR="00BE4939" w:rsidRPr="006F3B00" w:rsidRDefault="00BE4939" w:rsidP="001B0EF6">
            <w:pPr>
              <w:spacing w:after="0" w:line="240" w:lineRule="auto"/>
              <w:rPr>
                <w:rFonts w:ascii="Times New Roman" w:hAnsi="Times New Roman" w:cs="Times New Roman"/>
              </w:rPr>
            </w:pPr>
            <w:proofErr w:type="gramStart"/>
            <w:r w:rsidRPr="006F3B00">
              <w:rPr>
                <w:rFonts w:ascii="Times New Roman" w:hAnsi="Times New Roman" w:cs="Times New Roman"/>
              </w:rPr>
              <w:t>about</w:t>
            </w:r>
            <w:proofErr w:type="gramEnd"/>
            <w:r w:rsidRPr="006F3B00">
              <w:rPr>
                <w:rFonts w:ascii="Times New Roman" w:hAnsi="Times New Roman" w:cs="Times New Roman"/>
              </w:rPr>
              <w:t xml:space="preserve"> the project.</w:t>
            </w:r>
          </w:p>
          <w:p w14:paraId="12D6FAE4" w14:textId="77777777" w:rsidR="00BE4939" w:rsidRPr="006F3B00" w:rsidRDefault="00BE4939" w:rsidP="001B0EF6">
            <w:pPr>
              <w:rPr>
                <w:rFonts w:ascii="Times New Roman" w:hAnsi="Times New Roman" w:cs="Times New Roman"/>
              </w:rPr>
            </w:pPr>
          </w:p>
          <w:p w14:paraId="5C63C236" w14:textId="77777777" w:rsidR="00BE4939" w:rsidRPr="006F3B00" w:rsidRDefault="00BE4939" w:rsidP="001B0EF6">
            <w:pPr>
              <w:spacing w:after="0" w:line="240" w:lineRule="auto"/>
              <w:rPr>
                <w:rFonts w:ascii="Times New Roman" w:hAnsi="Times New Roman" w:cs="Times New Roman"/>
              </w:rPr>
            </w:pPr>
            <w:r w:rsidRPr="006F3B00">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57ADE75" wp14:editId="15B513D9">
                      <wp:simplePos x="0" y="0"/>
                      <wp:positionH relativeFrom="column">
                        <wp:posOffset>4862830</wp:posOffset>
                      </wp:positionH>
                      <wp:positionV relativeFrom="paragraph">
                        <wp:posOffset>85725</wp:posOffset>
                      </wp:positionV>
                      <wp:extent cx="457200" cy="342900"/>
                      <wp:effectExtent l="0" t="0" r="19050" b="1905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3D98BEE2" w14:textId="77777777" w:rsidR="00D35C1E" w:rsidRPr="00AB7AC6" w:rsidRDefault="00D35C1E" w:rsidP="00BE49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ADE75" id="Rectangle 312" o:spid="_x0000_s1068" style="position:absolute;margin-left:382.9pt;margin-top:6.7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9jmKQIAAFIEAAAOAAAAZHJzL2Uyb0RvYy54bWysVMFu2zAMvQ/YPwi6L47TZGuMOEWRLsOA&#10;bivW7QNkWbaFyaJGKXG6ry8lp2m67TTMB4EUqUfykfTq6tAbtlfoNdiS55MpZ8pKqLVtS/792/bN&#10;JWc+CFsLA1aV/EF5frV+/Wo1uELNoANTK2QEYn0xuJJ3Ibgiy7zsVC/8BJyyZGwAexFIxTarUQyE&#10;3ptsNp2+zQbA2iFI5T3d3oxGvk74TaNk+NI0XgVmSk65hXRiOqt4ZuuVKFoUrtPymIb4hyx6oS0F&#10;PUHdiCDYDvUfUL2WCB6aMJHQZ9A0WqpUA1WTT3+r5r4TTqVaiBzvTjT5/wcrP+/vkOm65Bf5jDMr&#10;emrSV6JN2NYoFi+JosH5gjzv3R3GIr27BfnDMwubjvzUNSIMnRI1JZZH/+zFg6h4esqq4RPUhC92&#10;ARJbhwb7CEg8sENqysOpKeoQmKTL+eIdNZozSaaL+WxJcowgiqfHDn34oKBnUSg5UvIJXOxvfRhd&#10;n1xS8mB0vdXGJAXbamOQ7QXNxzZ9R3R/7mYsG0q+XMwWCfmFzZ9DTNP3N4heBxp0o/uSX56cRBFZ&#10;e29rSlMUQWgzylSdsUcaI3NjB8KhOqRW5csYIdJaQf1AxCKMg02LSEIH+IuzgYa65P7nTqDizHy0&#10;1JxlPp/HLUhKIpYzPLdU5xZhJUGVPHA2ipswbs7OoW47ipQnOixcU0Mbnch+zuqYPw1uatdxyeJm&#10;nOvJ6/lXsH4EAAD//wMAUEsDBBQABgAIAAAAIQAHyfLK3gAAAAkBAAAPAAAAZHJzL2Rvd25yZXYu&#10;eG1sTI9BT4NAEIXvJv6HzZh4s4slQEWWxmhq4rGlF28LOwLKzhJ2adFf73iqxzfv5b1viu1iB3HC&#10;yfeOFNyvIhBIjTM9tQqO1e5uA8IHTUYPjlDBN3rYltdXhc6NO9MeT4fQCi4hn2sFXQhjLqVvOrTa&#10;r9yIxN6Hm6wOLKdWmkmfudwOch1FqbS6J17o9IjPHTZfh9kqqPv1Uf/sq9fIPuzi8LZUn/P7i1K3&#10;N8vTI4iAS7iE4Q+f0aFkptrNZLwYFGRpwuiBjTgBwYFNnPGhVpBmCciykP8/KH8BAAD//wMAUEsB&#10;Ai0AFAAGAAgAAAAhALaDOJL+AAAA4QEAABMAAAAAAAAAAAAAAAAAAAAAAFtDb250ZW50X1R5cGVz&#10;XS54bWxQSwECLQAUAAYACAAAACEAOP0h/9YAAACUAQAACwAAAAAAAAAAAAAAAAAvAQAAX3JlbHMv&#10;LnJlbHNQSwECLQAUAAYACAAAACEAk9fY5ikCAABSBAAADgAAAAAAAAAAAAAAAAAuAgAAZHJzL2Uy&#10;b0RvYy54bWxQSwECLQAUAAYACAAAACEAB8nyyt4AAAAJAQAADwAAAAAAAAAAAAAAAACDBAAAZHJz&#10;L2Rvd25yZXYueG1sUEsFBgAAAAAEAAQA8wAAAI4FAAAAAA==&#10;">
                      <v:textbox>
                        <w:txbxContent>
                          <w:p w14:paraId="3D98BEE2" w14:textId="77777777" w:rsidR="00D35C1E" w:rsidRPr="00AB7AC6" w:rsidRDefault="00D35C1E" w:rsidP="00BE4939">
                            <w:pPr>
                              <w:jc w:val="center"/>
                            </w:pPr>
                          </w:p>
                        </w:txbxContent>
                      </v:textbox>
                    </v:rect>
                  </w:pict>
                </mc:Fallback>
              </mc:AlternateContent>
            </w:r>
            <w:r w:rsidRPr="006F3B00">
              <w:rPr>
                <w:rFonts w:ascii="Times New Roman" w:hAnsi="Times New Roman" w:cs="Times New Roman"/>
              </w:rPr>
              <w:t>I understand that my participation is voluntary and that I am free to withdraw</w:t>
            </w:r>
          </w:p>
          <w:p w14:paraId="7A1E7318" w14:textId="77777777" w:rsidR="00BE4939" w:rsidRPr="006F3B00" w:rsidRDefault="00BE4939" w:rsidP="001B0EF6">
            <w:pPr>
              <w:spacing w:after="0" w:line="240" w:lineRule="auto"/>
              <w:rPr>
                <w:rFonts w:ascii="Times New Roman" w:hAnsi="Times New Roman" w:cs="Times New Roman"/>
              </w:rPr>
            </w:pPr>
            <w:r w:rsidRPr="006F3B00">
              <w:rPr>
                <w:rFonts w:ascii="Times New Roman" w:hAnsi="Times New Roman" w:cs="Times New Roman"/>
              </w:rPr>
              <w:t>at any time without giving any reason and without any negative</w:t>
            </w:r>
          </w:p>
          <w:p w14:paraId="7D326BFB" w14:textId="77777777" w:rsidR="00BE4939" w:rsidRPr="006F3B00" w:rsidRDefault="00BE4939" w:rsidP="001B0EF6">
            <w:pPr>
              <w:spacing w:after="0" w:line="240" w:lineRule="auto"/>
              <w:rPr>
                <w:rFonts w:ascii="Times New Roman" w:hAnsi="Times New Roman" w:cs="Times New Roman"/>
              </w:rPr>
            </w:pPr>
            <w:proofErr w:type="gramStart"/>
            <w:r w:rsidRPr="006F3B00">
              <w:rPr>
                <w:rFonts w:ascii="Times New Roman" w:hAnsi="Times New Roman" w:cs="Times New Roman"/>
              </w:rPr>
              <w:t>consequences</w:t>
            </w:r>
            <w:proofErr w:type="gramEnd"/>
            <w:r w:rsidRPr="006F3B00">
              <w:rPr>
                <w:rFonts w:ascii="Times New Roman" w:hAnsi="Times New Roman" w:cs="Times New Roman"/>
              </w:rPr>
              <w:t>. In addition, should I not wish to answer any particular question</w:t>
            </w:r>
          </w:p>
          <w:p w14:paraId="12657D96" w14:textId="77777777" w:rsidR="00BE4939" w:rsidRPr="006F3B00" w:rsidRDefault="00BE4939" w:rsidP="001B0EF6">
            <w:pPr>
              <w:spacing w:after="0" w:line="240" w:lineRule="auto"/>
              <w:rPr>
                <w:rFonts w:ascii="Times New Roman" w:hAnsi="Times New Roman" w:cs="Times New Roman"/>
              </w:rPr>
            </w:pPr>
            <w:proofErr w:type="gramStart"/>
            <w:r w:rsidRPr="006F3B00">
              <w:rPr>
                <w:rFonts w:ascii="Times New Roman" w:hAnsi="Times New Roman" w:cs="Times New Roman"/>
              </w:rPr>
              <w:t>or</w:t>
            </w:r>
            <w:proofErr w:type="gramEnd"/>
            <w:r w:rsidRPr="006F3B00">
              <w:rPr>
                <w:rFonts w:ascii="Times New Roman" w:hAnsi="Times New Roman" w:cs="Times New Roman"/>
              </w:rPr>
              <w:t xml:space="preserve"> questions, I am free to decline. </w:t>
            </w:r>
          </w:p>
          <w:p w14:paraId="5A8FB1A4" w14:textId="77777777" w:rsidR="00BE4939" w:rsidRPr="006F3B00" w:rsidRDefault="00BE4939" w:rsidP="001B0EF6">
            <w:pPr>
              <w:tabs>
                <w:tab w:val="left" w:pos="360"/>
              </w:tabs>
              <w:ind w:left="360"/>
              <w:rPr>
                <w:rFonts w:ascii="Times New Roman" w:hAnsi="Times New Roman" w:cs="Times New Roman"/>
              </w:rPr>
            </w:pPr>
          </w:p>
          <w:p w14:paraId="559ECBB9" w14:textId="77777777" w:rsidR="00BE4939" w:rsidRPr="006F3B00" w:rsidRDefault="00BE4939" w:rsidP="001B0EF6">
            <w:pPr>
              <w:tabs>
                <w:tab w:val="left" w:pos="360"/>
              </w:tabs>
              <w:spacing w:after="0" w:line="240" w:lineRule="auto"/>
              <w:rPr>
                <w:rFonts w:ascii="Times New Roman" w:hAnsi="Times New Roman" w:cs="Times New Roman"/>
              </w:rPr>
            </w:pPr>
            <w:r w:rsidRPr="006F3B00">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EC725D3" wp14:editId="1903001F">
                      <wp:simplePos x="0" y="0"/>
                      <wp:positionH relativeFrom="column">
                        <wp:posOffset>4871085</wp:posOffset>
                      </wp:positionH>
                      <wp:positionV relativeFrom="paragraph">
                        <wp:posOffset>71120</wp:posOffset>
                      </wp:positionV>
                      <wp:extent cx="457200" cy="342900"/>
                      <wp:effectExtent l="0" t="0" r="19050" b="1905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9D39C" id="Rectangle 313" o:spid="_x0000_s1026" style="position:absolute;margin-left:383.55pt;margin-top:5.6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KDHgIAAD8EAAAOAAAAZHJzL2Uyb0RvYy54bWysU9tuEzEQfUfiHyy/k80VmlU2VZUShFSg&#10;ovABjte7a2F7zNjJpnw9Y28aUuAJ4QfL4xkfnzkzs7o+WsMOCoMGV/HJaMyZchJq7dqKf/2yfXXF&#10;WYjC1cKAUxV/VIFfr1++WPW+VFPowNQKGYG4UPa+4l2MviyKIDtlRRiBV46cDaAVkUxsixpFT+jW&#10;FNPx+HXRA9YeQaoQ6PZ2cPJ1xm8aJeOnpgkqMlNx4hbzjnnfpb1Yr0TZovCdlica4h9YWKEdfXqG&#10;uhVRsD3qP6CslggBmjiSYAtoGi1VzoGymYx/y+ahE17lXEic4M8yhf8HKz8e7pHpuuKzyYwzJywV&#10;6TPJJlxrFEuXJFHvQ0mRD/4eU5LB34H8FpiDTUdx6gYR+k6JmohNUnzx7EEyAj1lu/4D1IQv9hGy&#10;WscGbQIkHdgxF+XxXBR1jEzS5XzxhgrNmSTXbD5d0jn9IMqnxx5DfKfAsnSoOBL5DC4OdyEOoU8h&#10;mTwYXW+1MdnAdrcxyA6C+mOb1wk9XIYZx/qKLxfTRUZ+5guXEOO8/gZhdaRGN9pW/OocJMqk2ltX&#10;E01RRqHNcKbsjDvJmJQbKrCD+pFURBi6mKaODh3gD8566uCKh+97gYoz895RJZaT+Ty1fDayipzh&#10;pWd36RFOElTFI2fDcROHMdl71G1HP01y7g5uqHqNzsqmyg6sTmSpS3NtThOVxuDSzlG/5n79EwAA&#10;//8DAFBLAwQUAAYACAAAACEAUb97VN4AAAAJAQAADwAAAGRycy9kb3ducmV2LnhtbEyPwU6DQBCG&#10;7ya+w2ZMvNkFGmlLWRqjqYnHll68DewIVHaXsEuLPr3jSY8z/5d/vsl3s+nFhUbfOasgXkQgyNZO&#10;d7ZRcCr3D2sQPqDV2DtLCr7Iw664vckx0+5qD3Q5hkZwifUZKmhDGDIpfd2SQb9wA1nOPtxoMPA4&#10;NlKPeOVy08skilJpsLN8ocWBnluqP4+TUVB1yQm/D+VrZDb7ZXiby/P0/qLU/d38tAURaA5/MPzq&#10;szoU7FS5yWovegWrdBUzykGcgGBgvdzwolKQPiYgi1z+/6D4AQAA//8DAFBLAQItABQABgAIAAAA&#10;IQC2gziS/gAAAOEBAAATAAAAAAAAAAAAAAAAAAAAAABbQ29udGVudF9UeXBlc10ueG1sUEsBAi0A&#10;FAAGAAgAAAAhADj9If/WAAAAlAEAAAsAAAAAAAAAAAAAAAAALwEAAF9yZWxzLy5yZWxzUEsBAi0A&#10;FAAGAAgAAAAhAN5VQoMeAgAAPwQAAA4AAAAAAAAAAAAAAAAALgIAAGRycy9lMm9Eb2MueG1sUEsB&#10;Ai0AFAAGAAgAAAAhAFG/e1TeAAAACQEAAA8AAAAAAAAAAAAAAAAAeAQAAGRycy9kb3ducmV2Lnht&#10;bFBLBQYAAAAABAAEAPMAAACDBQAAAAA=&#10;"/>
                  </w:pict>
                </mc:Fallback>
              </mc:AlternateContent>
            </w:r>
            <w:r w:rsidRPr="006F3B00">
              <w:rPr>
                <w:rFonts w:ascii="Times New Roman" w:hAnsi="Times New Roman" w:cs="Times New Roman"/>
              </w:rPr>
              <w:t>I understand that my responses will be kept strictly confidential. I give permission</w:t>
            </w:r>
          </w:p>
          <w:p w14:paraId="47FA6EAB" w14:textId="77777777" w:rsidR="00BE4939" w:rsidRPr="006F3B00" w:rsidRDefault="00BE4939" w:rsidP="001B0EF6">
            <w:pPr>
              <w:tabs>
                <w:tab w:val="left" w:pos="360"/>
              </w:tabs>
              <w:spacing w:after="0" w:line="240" w:lineRule="auto"/>
              <w:rPr>
                <w:rFonts w:ascii="Times New Roman" w:hAnsi="Times New Roman" w:cs="Times New Roman"/>
              </w:rPr>
            </w:pPr>
            <w:proofErr w:type="gramStart"/>
            <w:r w:rsidRPr="006F3B00">
              <w:rPr>
                <w:rFonts w:ascii="Times New Roman" w:hAnsi="Times New Roman" w:cs="Times New Roman"/>
              </w:rPr>
              <w:t>for</w:t>
            </w:r>
            <w:proofErr w:type="gramEnd"/>
            <w:r w:rsidRPr="006F3B00">
              <w:rPr>
                <w:rFonts w:ascii="Times New Roman" w:hAnsi="Times New Roman" w:cs="Times New Roman"/>
              </w:rPr>
              <w:t xml:space="preserve"> members of the research team to have access to my anonymised responses.</w:t>
            </w:r>
          </w:p>
          <w:p w14:paraId="6D7476A0" w14:textId="77777777" w:rsidR="00BE4939" w:rsidRPr="006F3B00" w:rsidRDefault="00BE4939" w:rsidP="001B0EF6">
            <w:pPr>
              <w:tabs>
                <w:tab w:val="left" w:pos="360"/>
              </w:tabs>
              <w:spacing w:after="0" w:line="240" w:lineRule="auto"/>
              <w:rPr>
                <w:rFonts w:ascii="Times New Roman" w:hAnsi="Times New Roman" w:cs="Times New Roman"/>
              </w:rPr>
            </w:pPr>
            <w:r w:rsidRPr="006F3B00">
              <w:rPr>
                <w:rFonts w:ascii="Times New Roman" w:hAnsi="Times New Roman" w:cs="Times New Roman"/>
              </w:rPr>
              <w:t xml:space="preserve">I understand that my name will not be linked with the research materials, and I will </w:t>
            </w:r>
          </w:p>
          <w:p w14:paraId="27F7D688" w14:textId="77777777" w:rsidR="00BE4939" w:rsidRPr="006F3B00" w:rsidRDefault="00BE4939" w:rsidP="001B0EF6">
            <w:pPr>
              <w:tabs>
                <w:tab w:val="left" w:pos="360"/>
              </w:tabs>
              <w:spacing w:after="0" w:line="240" w:lineRule="auto"/>
              <w:rPr>
                <w:rFonts w:ascii="Times New Roman" w:hAnsi="Times New Roman" w:cs="Times New Roman"/>
              </w:rPr>
            </w:pPr>
            <w:proofErr w:type="gramStart"/>
            <w:r w:rsidRPr="006F3B00">
              <w:rPr>
                <w:rFonts w:ascii="Times New Roman" w:hAnsi="Times New Roman" w:cs="Times New Roman"/>
              </w:rPr>
              <w:t>not</w:t>
            </w:r>
            <w:proofErr w:type="gramEnd"/>
            <w:r w:rsidRPr="006F3B00">
              <w:rPr>
                <w:rFonts w:ascii="Times New Roman" w:hAnsi="Times New Roman" w:cs="Times New Roman"/>
              </w:rPr>
              <w:t xml:space="preserve"> be identified or identifiable in the report or reports that result from the research.     </w:t>
            </w:r>
          </w:p>
          <w:p w14:paraId="69EDE35D" w14:textId="77777777" w:rsidR="00BE4939" w:rsidRPr="006F3B00" w:rsidRDefault="00BE4939" w:rsidP="001B0EF6">
            <w:pPr>
              <w:tabs>
                <w:tab w:val="left" w:pos="360"/>
              </w:tabs>
              <w:ind w:left="360"/>
              <w:rPr>
                <w:rFonts w:ascii="Times New Roman" w:hAnsi="Times New Roman" w:cs="Times New Roman"/>
              </w:rPr>
            </w:pPr>
          </w:p>
          <w:p w14:paraId="66385D52" w14:textId="77777777" w:rsidR="00BE4939" w:rsidRPr="006F3B00" w:rsidRDefault="00BE4939" w:rsidP="001B0EF6">
            <w:pPr>
              <w:spacing w:after="0" w:line="240" w:lineRule="auto"/>
              <w:rPr>
                <w:rFonts w:ascii="Times New Roman" w:hAnsi="Times New Roman" w:cs="Times New Roman"/>
              </w:rPr>
            </w:pPr>
            <w:r w:rsidRPr="006F3B00">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3287164" wp14:editId="6192D1C8">
                      <wp:simplePos x="0" y="0"/>
                      <wp:positionH relativeFrom="column">
                        <wp:posOffset>4871085</wp:posOffset>
                      </wp:positionH>
                      <wp:positionV relativeFrom="paragraph">
                        <wp:posOffset>14605</wp:posOffset>
                      </wp:positionV>
                      <wp:extent cx="457200" cy="342900"/>
                      <wp:effectExtent l="0" t="0" r="19050" b="1905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BD7F8" id="Rectangle 314" o:spid="_x0000_s1026" style="position:absolute;margin-left:383.55pt;margin-top:1.15pt;width:3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t8HwIAAD8EAAAOAAAAZHJzL2Uyb0RvYy54bWysU9tuEzEQfUfiHyy/k03SBJpVNlWVEoRU&#10;oKLwAROvd9fCN8ZONuHrGXvTkAJPCD9YHs/4+MyZmeXNwWi2lxiUsxWfjMacSStcrWxb8a9fNq+u&#10;OQsRbA3aWVnxowz8ZvXyxbL3pZy6zulaIiMQG8reV7yL0ZdFEUQnDYSR89KSs3FoIJKJbVEj9IRu&#10;dDEdj18XvcPaoxMyBLq9G5x8lfGbRor4qWmCjExXnLjFvGPet2kvVksoWwTfKXGiAf/AwoCy9OkZ&#10;6g4isB2qP6CMEuiCa+JIOFO4plFC5hwom8n4t2weO/Ay50LiBH+WKfw/WPFx/4BM1RW/msw4s2Co&#10;SJ9JNrCtlixdkkS9DyVFPvoHTEkGf+/Et8CsW3cUJ28RXd9JqInYJMUXzx4kI9BTtu0/uJrwYRdd&#10;VuvQoEmApAM75KIcz0WRh8gEXc7mb6jQnAlyXc2mCzqnH6B8euwxxHfSGZYOFUcin8Fhfx/iEPoU&#10;ksk7reqN0job2G7XGtkeqD82eZ3Qw2WYtqyv+GI+nWfkZ75wCTHO628QRkVqdK1Mxa/PQVAm1d7a&#10;mmhCGUHp4UzZaXuSMSk3VGDr6iOpiG7oYpo6OnQOf3DWUwdXPHzfAUrO9HtLlVhMZrPU8tnIKnKG&#10;l57tpQesIKiKR86G4zoOY7LzqNqOfprk3K27peo1KiubKjuwOpGlLs21OU1UGoNLO0f9mvvVTwAA&#10;AP//AwBQSwMEFAAGAAgAAAAhAOrdM2feAAAACAEAAA8AAABkcnMvZG93bnJldi54bWxMj0FPg0AU&#10;hO8m/ofNM/Fml0KkLeXRGE1NPLb04m1hn0Bl3xJ2adFf73rS42QmM9/ku9n04kKj6ywjLBcRCOLa&#10;6o4bhFO5f1iDcF6xVr1lQvgiB7vi9iZXmbZXPtDl6BsRSthlCqH1fsikdHVLRrmFHYiD92FHo3yQ&#10;YyP1qK6h3PQyjqJUGtVxWGjVQM8t1Z/HySBUXXxS34fyNTKbfeLf5vI8vb8g3t/NT1sQnmb/F4Zf&#10;/IAORWCq7MTaiR5hla6WIYoQJyCCv042QVcIj2kCssjl/wPFDwAAAP//AwBQSwECLQAUAAYACAAA&#10;ACEAtoM4kv4AAADhAQAAEwAAAAAAAAAAAAAAAAAAAAAAW0NvbnRlbnRfVHlwZXNdLnhtbFBLAQIt&#10;ABQABgAIAAAAIQA4/SH/1gAAAJQBAAALAAAAAAAAAAAAAAAAAC8BAABfcmVscy8ucmVsc1BLAQIt&#10;ABQABgAIAAAAIQCTfkt8HwIAAD8EAAAOAAAAAAAAAAAAAAAAAC4CAABkcnMvZTJvRG9jLnhtbFBL&#10;AQItABQABgAIAAAAIQDq3TNn3gAAAAgBAAAPAAAAAAAAAAAAAAAAAHkEAABkcnMvZG93bnJldi54&#10;bWxQSwUGAAAAAAQABADzAAAAhAUAAAAA&#10;"/>
                  </w:pict>
                </mc:Fallback>
              </mc:AlternateContent>
            </w:r>
            <w:r w:rsidRPr="006F3B00">
              <w:rPr>
                <w:rFonts w:ascii="Times New Roman" w:hAnsi="Times New Roman" w:cs="Times New Roman"/>
              </w:rPr>
              <w:t>I agree for the data collected from me to be used in future research and for it to be</w:t>
            </w:r>
          </w:p>
          <w:p w14:paraId="1B60FA45" w14:textId="77777777" w:rsidR="00BE4939" w:rsidRPr="006F3B00" w:rsidRDefault="00BE4939" w:rsidP="001B0EF6">
            <w:pPr>
              <w:spacing w:after="0" w:line="240" w:lineRule="auto"/>
              <w:rPr>
                <w:rFonts w:ascii="Times New Roman" w:hAnsi="Times New Roman" w:cs="Times New Roman"/>
              </w:rPr>
            </w:pPr>
            <w:proofErr w:type="gramStart"/>
            <w:r w:rsidRPr="006F3B00">
              <w:rPr>
                <w:rFonts w:ascii="Times New Roman" w:hAnsi="Times New Roman" w:cs="Times New Roman"/>
              </w:rPr>
              <w:t>shared</w:t>
            </w:r>
            <w:proofErr w:type="gramEnd"/>
            <w:r w:rsidRPr="006F3B00">
              <w:rPr>
                <w:rFonts w:ascii="Times New Roman" w:hAnsi="Times New Roman" w:cs="Times New Roman"/>
              </w:rPr>
              <w:t xml:space="preserve"> with external bodies such as the Royal College of Pathologists. Data will be</w:t>
            </w:r>
          </w:p>
          <w:p w14:paraId="726DD69F" w14:textId="77777777" w:rsidR="00BE4939" w:rsidRPr="006F3B00" w:rsidRDefault="00BE4939" w:rsidP="001B0EF6">
            <w:pPr>
              <w:spacing w:after="0" w:line="240" w:lineRule="auto"/>
              <w:rPr>
                <w:rFonts w:ascii="Times New Roman" w:hAnsi="Times New Roman" w:cs="Times New Roman"/>
              </w:rPr>
            </w:pPr>
            <w:proofErr w:type="gramStart"/>
            <w:r w:rsidRPr="006F3B00">
              <w:rPr>
                <w:rFonts w:ascii="Times New Roman" w:hAnsi="Times New Roman" w:cs="Times New Roman"/>
              </w:rPr>
              <w:t>stored</w:t>
            </w:r>
            <w:proofErr w:type="gramEnd"/>
            <w:r w:rsidRPr="006F3B00">
              <w:rPr>
                <w:rFonts w:ascii="Times New Roman" w:hAnsi="Times New Roman" w:cs="Times New Roman"/>
              </w:rPr>
              <w:t xml:space="preserve"> securely for 10 years.  </w:t>
            </w:r>
          </w:p>
          <w:p w14:paraId="7ACF7C62" w14:textId="77777777" w:rsidR="00BE4939" w:rsidRPr="006F3B00" w:rsidRDefault="00BE4939" w:rsidP="001B0EF6">
            <w:pPr>
              <w:tabs>
                <w:tab w:val="left" w:pos="360"/>
              </w:tabs>
              <w:rPr>
                <w:rFonts w:ascii="Times New Roman" w:hAnsi="Times New Roman" w:cs="Times New Roman"/>
              </w:rPr>
            </w:pPr>
            <w:r w:rsidRPr="006F3B00">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886D84C" wp14:editId="4824B200">
                      <wp:simplePos x="0" y="0"/>
                      <wp:positionH relativeFrom="column">
                        <wp:posOffset>4871085</wp:posOffset>
                      </wp:positionH>
                      <wp:positionV relativeFrom="paragraph">
                        <wp:posOffset>215900</wp:posOffset>
                      </wp:positionV>
                      <wp:extent cx="457200" cy="342900"/>
                      <wp:effectExtent l="0" t="0" r="19050" b="1905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1C736" id="Rectangle 315" o:spid="_x0000_s1026" style="position:absolute;margin-left:383.55pt;margin-top:17pt;width: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7SHwIAAD8EAAAOAAAAZHJzL2Uyb0RvYy54bWysU9tuEzEQfUfiHyy/k03SBJpVNlWVEoRU&#10;oKLwAROvd9fCN8ZONuHrGXvTkAJPCD9YHs/4+MyZmeXNwWi2lxiUsxWfjMacSStcrWxb8a9fNq+u&#10;OQsRbA3aWVnxowz8ZvXyxbL3pZy6zulaIiMQG8reV7yL0ZdFEUQnDYSR89KSs3FoIJKJbVEj9IRu&#10;dDEdj18XvcPaoxMyBLq9G5x8lfGbRor4qWmCjExXnLjFvGPet2kvVksoWwTfKXGiAf/AwoCy9OkZ&#10;6g4isB2qP6CMEuiCa+JIOFO4plFC5hwom8n4t2weO/Ay50LiBH+WKfw/WPFx/4BM1RW/msw5s2Co&#10;SJ9JNrCtlixdkkS9DyVFPvoHTEkGf+/Et8CsW3cUJ28RXd9JqInYJMUXzx4kI9BTtu0/uJrwYRdd&#10;VuvQoEmApAM75KIcz0WRh8gEXc7mb6jQnAlyXc2mCzqnH6B8euwxxHfSGZYOFUcin8Fhfx/iEPoU&#10;ksk7reqN0job2G7XGtkeqD82eZ3Qw2WYtqyv+GI+nWfkZ75wCTHO628QRkVqdK1Mxa/PQVAm1d7a&#10;mmhCGUHp4UzZaXuSMSk3VGDr6iOpiG7oYpo6OnQOf3DWUwdXPHzfAUrO9HtLlVhMZrPU8tnIKnKG&#10;l57tpQesIKiKR86G4zoOY7LzqNqOfprk3K27peo1KiubKjuwOpGlLs21OU1UGoNLO0f9mvvVTwAA&#10;AP//AwBQSwMEFAAGAAgAAAAhAPOgApreAAAACQEAAA8AAABkcnMvZG93bnJldi54bWxMj0FPwzAM&#10;he9I/IfISNxYshVtXWk6IdCQOG7dhVvamLbQOFWTboVfjznBzfZ7ev5evptdL844hs6ThuVCgUCq&#10;ve2o0XAq93cpiBANWdN7Qg1fGGBXXF/lJrP+Qgc8H2MjOIRCZjS0MQ6ZlKFu0Zmw8AMSa+9+dCby&#10;OjbSjubC4a6XK6XW0pmO+ENrBnxqsf48Tk5D1a1O5vtQvii33SfxdS4/prdnrW9v5scHEBHn+GeG&#10;X3xGh4KZKj+RDaLXsFlvlmzVkNxzJzakyZYPFQ+pAlnk8n+D4gcAAP//AwBQSwECLQAUAAYACAAA&#10;ACEAtoM4kv4AAADhAQAAEwAAAAAAAAAAAAAAAAAAAAAAW0NvbnRlbnRfVHlwZXNdLnhtbFBLAQIt&#10;ABQABgAIAAAAIQA4/SH/1gAAAJQBAAALAAAAAAAAAAAAAAAAAC8BAABfcmVscy8ucmVsc1BLAQIt&#10;ABQABgAIAAAAIQAKct7SHwIAAD8EAAAOAAAAAAAAAAAAAAAAAC4CAABkcnMvZTJvRG9jLnhtbFBL&#10;AQItABQABgAIAAAAIQDzoAKa3gAAAAkBAAAPAAAAAAAAAAAAAAAAAHkEAABkcnMvZG93bnJldi54&#10;bWxQSwUGAAAAAAQABADzAAAAhAUAAAAA&#10;"/>
                  </w:pict>
                </mc:Fallback>
              </mc:AlternateContent>
            </w:r>
          </w:p>
          <w:p w14:paraId="04E3A7BA" w14:textId="77777777" w:rsidR="00BE4939" w:rsidRPr="006F3B00" w:rsidRDefault="00BE4939" w:rsidP="001B0EF6">
            <w:pPr>
              <w:tabs>
                <w:tab w:val="left" w:pos="360"/>
              </w:tabs>
              <w:spacing w:after="0" w:line="240" w:lineRule="auto"/>
              <w:rPr>
                <w:rFonts w:ascii="Times New Roman" w:hAnsi="Times New Roman" w:cs="Times New Roman"/>
              </w:rPr>
            </w:pPr>
            <w:r w:rsidRPr="006F3B00">
              <w:rPr>
                <w:rFonts w:ascii="Times New Roman" w:hAnsi="Times New Roman" w:cs="Times New Roman"/>
              </w:rPr>
              <w:t xml:space="preserve">I agree to take part in the above research project.  </w:t>
            </w:r>
          </w:p>
          <w:p w14:paraId="2CA6423E" w14:textId="77777777" w:rsidR="00BE4939" w:rsidRPr="006F3B00" w:rsidRDefault="00BE4939" w:rsidP="001B0EF6">
            <w:pPr>
              <w:rPr>
                <w:rFonts w:ascii="Times New Roman" w:hAnsi="Times New Roman" w:cs="Times New Roman"/>
              </w:rPr>
            </w:pPr>
          </w:p>
          <w:p w14:paraId="01481CCB" w14:textId="77777777" w:rsidR="00BE4939" w:rsidRPr="006F3B00" w:rsidRDefault="00BE4939" w:rsidP="001B0EF6">
            <w:pPr>
              <w:tabs>
                <w:tab w:val="left" w:pos="3600"/>
                <w:tab w:val="left" w:pos="6480"/>
              </w:tabs>
              <w:rPr>
                <w:rFonts w:ascii="Times New Roman" w:hAnsi="Times New Roman" w:cs="Times New Roman"/>
              </w:rPr>
            </w:pPr>
            <w:r w:rsidRPr="006F3B00">
              <w:rPr>
                <w:rFonts w:ascii="Times New Roman" w:hAnsi="Times New Roman" w:cs="Times New Roman"/>
              </w:rPr>
              <w:t>____________</w:t>
            </w:r>
            <w:r w:rsidRPr="006F3B00">
              <w:rPr>
                <w:rFonts w:ascii="Times New Roman" w:hAnsi="Times New Roman" w:cs="Times New Roman"/>
              </w:rPr>
              <w:tab/>
              <w:t>______                                           _________</w:t>
            </w:r>
          </w:p>
          <w:p w14:paraId="46854A2C" w14:textId="77777777" w:rsidR="00BE4939" w:rsidRPr="006F3B00" w:rsidRDefault="00BE4939" w:rsidP="001B0EF6">
            <w:pPr>
              <w:tabs>
                <w:tab w:val="left" w:pos="3600"/>
                <w:tab w:val="left" w:pos="6480"/>
              </w:tabs>
              <w:rPr>
                <w:rFonts w:ascii="Times New Roman" w:hAnsi="Times New Roman" w:cs="Times New Roman"/>
              </w:rPr>
            </w:pPr>
            <w:r w:rsidRPr="006F3B00">
              <w:rPr>
                <w:rFonts w:ascii="Times New Roman" w:hAnsi="Times New Roman" w:cs="Times New Roman"/>
              </w:rPr>
              <w:t>Name of Participant</w:t>
            </w:r>
            <w:r w:rsidRPr="006F3B00">
              <w:rPr>
                <w:rFonts w:ascii="Times New Roman" w:hAnsi="Times New Roman" w:cs="Times New Roman"/>
              </w:rPr>
              <w:tab/>
              <w:t>Date</w:t>
            </w:r>
            <w:r w:rsidRPr="006F3B00">
              <w:rPr>
                <w:rFonts w:ascii="Times New Roman" w:hAnsi="Times New Roman" w:cs="Times New Roman"/>
              </w:rPr>
              <w:tab/>
              <w:t>Signature</w:t>
            </w:r>
          </w:p>
          <w:p w14:paraId="027B5D32" w14:textId="77777777" w:rsidR="00BE4939" w:rsidRPr="006F3B00" w:rsidRDefault="00BE4939" w:rsidP="001B0EF6">
            <w:pPr>
              <w:pStyle w:val="Header"/>
              <w:jc w:val="both"/>
              <w:rPr>
                <w:rFonts w:ascii="Times New Roman" w:hAnsi="Times New Roman" w:cs="Times New Roman"/>
                <w:i/>
                <w:iCs/>
              </w:rPr>
            </w:pPr>
          </w:p>
        </w:tc>
      </w:tr>
    </w:tbl>
    <w:p w14:paraId="5912A517" w14:textId="77777777" w:rsidR="00BE4939" w:rsidRPr="006F3B00" w:rsidRDefault="00BE4939" w:rsidP="00BE4939">
      <w:pPr>
        <w:pStyle w:val="Heading4"/>
        <w:rPr>
          <w:rFonts w:ascii="Times New Roman" w:hAnsi="Times New Roman" w:cs="Times New Roman"/>
          <w:b w:val="0"/>
          <w:bCs w:val="0"/>
          <w:color w:val="0099FF"/>
          <w:sz w:val="24"/>
          <w:szCs w:val="24"/>
        </w:rPr>
      </w:pPr>
    </w:p>
    <w:p w14:paraId="3B544058" w14:textId="21A19D47" w:rsidR="00BE4939" w:rsidRDefault="00BE4939" w:rsidP="00BE4939">
      <w:pPr>
        <w:rPr>
          <w:rFonts w:ascii="Times New Roman" w:hAnsi="Times New Roman" w:cs="Times New Roman"/>
          <w:b/>
          <w:u w:val="single"/>
        </w:rPr>
      </w:pPr>
    </w:p>
    <w:p w14:paraId="501B752C" w14:textId="128DDC1E" w:rsidR="009F72BE" w:rsidRDefault="009F72BE" w:rsidP="00BE4939">
      <w:pPr>
        <w:rPr>
          <w:rFonts w:ascii="Times New Roman" w:hAnsi="Times New Roman" w:cs="Times New Roman"/>
          <w:b/>
          <w:u w:val="single"/>
        </w:rPr>
      </w:pPr>
    </w:p>
    <w:p w14:paraId="674238F9" w14:textId="41AC6933" w:rsidR="009F72BE" w:rsidRDefault="009F72BE" w:rsidP="00BE4939">
      <w:pPr>
        <w:rPr>
          <w:rFonts w:ascii="Times New Roman" w:hAnsi="Times New Roman" w:cs="Times New Roman"/>
          <w:b/>
          <w:u w:val="single"/>
        </w:rPr>
      </w:pPr>
    </w:p>
    <w:p w14:paraId="0E4C8FAA" w14:textId="7452226D" w:rsidR="009F72BE" w:rsidRDefault="009F72BE" w:rsidP="00BE4939">
      <w:pPr>
        <w:rPr>
          <w:rFonts w:ascii="Times New Roman" w:hAnsi="Times New Roman" w:cs="Times New Roman"/>
          <w:b/>
          <w:u w:val="single"/>
        </w:rPr>
      </w:pPr>
    </w:p>
    <w:p w14:paraId="0DFFA790" w14:textId="2F078B16" w:rsidR="009F72BE" w:rsidRDefault="009F72BE" w:rsidP="00BE4939">
      <w:pPr>
        <w:rPr>
          <w:rFonts w:ascii="Times New Roman" w:hAnsi="Times New Roman" w:cs="Times New Roman"/>
          <w:b/>
          <w:u w:val="single"/>
        </w:rPr>
      </w:pPr>
    </w:p>
    <w:p w14:paraId="4F6FA774" w14:textId="2D328ED0" w:rsidR="009F72BE" w:rsidRDefault="009F72BE" w:rsidP="00BE4939">
      <w:pPr>
        <w:rPr>
          <w:rFonts w:ascii="Times New Roman" w:hAnsi="Times New Roman" w:cs="Times New Roman"/>
          <w:b/>
          <w:u w:val="single"/>
        </w:rPr>
      </w:pPr>
    </w:p>
    <w:p w14:paraId="079D8334" w14:textId="2BF95669" w:rsidR="009F72BE" w:rsidRDefault="009F72BE" w:rsidP="00BE4939">
      <w:pPr>
        <w:rPr>
          <w:rFonts w:ascii="Times New Roman" w:hAnsi="Times New Roman" w:cs="Times New Roman"/>
          <w:b/>
          <w:u w:val="single"/>
        </w:rPr>
      </w:pPr>
    </w:p>
    <w:p w14:paraId="1774C513" w14:textId="77777777" w:rsidR="00B9675C" w:rsidRDefault="00B9675C" w:rsidP="00BE4939">
      <w:pPr>
        <w:rPr>
          <w:rFonts w:ascii="Times New Roman" w:hAnsi="Times New Roman" w:cs="Times New Roman"/>
          <w:b/>
          <w:u w:val="single"/>
        </w:rPr>
      </w:pPr>
    </w:p>
    <w:p w14:paraId="34F3203D" w14:textId="77777777" w:rsidR="009F72BE" w:rsidRPr="006F3B00" w:rsidRDefault="009F72BE" w:rsidP="00BE4939">
      <w:pPr>
        <w:rPr>
          <w:rFonts w:ascii="Times New Roman" w:hAnsi="Times New Roman" w:cs="Times New Roman"/>
          <w:b/>
          <w:u w:val="single"/>
        </w:rPr>
      </w:pPr>
    </w:p>
    <w:p w14:paraId="2A353368" w14:textId="77777777" w:rsidR="00BE4939" w:rsidRPr="006F3B00" w:rsidRDefault="00BE4939" w:rsidP="00BE4939">
      <w:pPr>
        <w:rPr>
          <w:rFonts w:ascii="Times New Roman" w:hAnsi="Times New Roman" w:cs="Times New Roman"/>
          <w:b/>
          <w:u w:val="single"/>
        </w:rPr>
      </w:pPr>
    </w:p>
    <w:p w14:paraId="5601E28A" w14:textId="77777777" w:rsidR="00BE4939" w:rsidRPr="006F3B00" w:rsidRDefault="00BE4939" w:rsidP="00BE4939">
      <w:pPr>
        <w:rPr>
          <w:rFonts w:ascii="Times New Roman" w:hAnsi="Times New Roman" w:cs="Times New Roman"/>
          <w:b/>
          <w:u w:val="single"/>
        </w:rPr>
      </w:pPr>
      <w:r w:rsidRPr="006F3B00">
        <w:rPr>
          <w:rFonts w:ascii="Times New Roman" w:hAnsi="Times New Roman" w:cs="Times New Roman"/>
          <w:b/>
          <w:u w:val="single"/>
        </w:rPr>
        <w:t>Part 3: Rating of items</w:t>
      </w:r>
    </w:p>
    <w:p w14:paraId="215CA618" w14:textId="77777777" w:rsidR="00BE4939" w:rsidRPr="006F3B00" w:rsidRDefault="00BE4939" w:rsidP="00BE4939">
      <w:pPr>
        <w:rPr>
          <w:rFonts w:ascii="Times New Roman" w:hAnsi="Times New Roman" w:cs="Times New Roman"/>
          <w:b/>
          <w:u w:val="single"/>
        </w:rPr>
      </w:pPr>
      <w:r w:rsidRPr="006F3B00">
        <w:rPr>
          <w:rFonts w:ascii="Times New Roman" w:hAnsi="Times New Roman" w:cs="Times New Roman"/>
        </w:rPr>
        <w:t xml:space="preserve">Our research has suggested that the following items/qualities may be important to diagnostic competence in histopathology.  </w:t>
      </w:r>
      <w:r w:rsidRPr="006F3B00">
        <w:rPr>
          <w:rFonts w:ascii="Times New Roman" w:hAnsi="Times New Roman" w:cs="Times New Roman"/>
          <w:u w:val="single"/>
        </w:rPr>
        <w:t>Please rate each item according to how important you think it is when determining a trainee’s diagnostic competency.</w:t>
      </w:r>
      <w:r w:rsidRPr="006F3B00">
        <w:rPr>
          <w:rFonts w:ascii="Times New Roman" w:hAnsi="Times New Roman" w:cs="Times New Roman"/>
        </w:rPr>
        <w:t xml:space="preserve">  The scale consists of 10 points, where “10” indicates that you think the item is definitely important and “1” indicates you think the item is definitely not important. Please only select one option for each item by placing a cross “x” in the relevant box.   The items have been divided into 7 sections.</w:t>
      </w:r>
    </w:p>
    <w:tbl>
      <w:tblPr>
        <w:tblStyle w:val="TableGrid"/>
        <w:tblW w:w="8640" w:type="dxa"/>
        <w:tblInd w:w="-5" w:type="dxa"/>
        <w:tblLayout w:type="fixed"/>
        <w:tblLook w:val="04A0" w:firstRow="1" w:lastRow="0" w:firstColumn="1" w:lastColumn="0" w:noHBand="0" w:noVBand="1"/>
      </w:tblPr>
      <w:tblGrid>
        <w:gridCol w:w="2282"/>
        <w:gridCol w:w="596"/>
        <w:gridCol w:w="540"/>
        <w:gridCol w:w="539"/>
        <w:gridCol w:w="180"/>
        <w:gridCol w:w="539"/>
        <w:gridCol w:w="719"/>
        <w:gridCol w:w="719"/>
        <w:gridCol w:w="56"/>
        <w:gridCol w:w="622"/>
        <w:gridCol w:w="41"/>
        <w:gridCol w:w="539"/>
        <w:gridCol w:w="41"/>
        <w:gridCol w:w="507"/>
        <w:gridCol w:w="115"/>
        <w:gridCol w:w="595"/>
        <w:gridCol w:w="10"/>
      </w:tblGrid>
      <w:tr w:rsidR="00BE4939" w:rsidRPr="006F3B00" w14:paraId="224DFF48" w14:textId="77777777" w:rsidTr="00AD4244">
        <w:trPr>
          <w:gridAfter w:val="1"/>
          <w:wAfter w:w="10" w:type="dxa"/>
        </w:trPr>
        <w:tc>
          <w:tcPr>
            <w:tcW w:w="2282" w:type="dxa"/>
          </w:tcPr>
          <w:p w14:paraId="7A5CB803" w14:textId="77777777" w:rsidR="00BE4939" w:rsidRPr="006F3B00" w:rsidRDefault="00BE4939" w:rsidP="001B0EF6">
            <w:pPr>
              <w:rPr>
                <w:rFonts w:ascii="Times New Roman" w:hAnsi="Times New Roman" w:cs="Times New Roman"/>
                <w:b/>
              </w:rPr>
            </w:pPr>
          </w:p>
        </w:tc>
        <w:tc>
          <w:tcPr>
            <w:tcW w:w="6348" w:type="dxa"/>
            <w:gridSpan w:val="15"/>
          </w:tcPr>
          <w:p w14:paraId="520C4E5D" w14:textId="7D8419B1" w:rsidR="00BE4939" w:rsidRPr="006F3B00" w:rsidRDefault="00BE4939" w:rsidP="001B0EF6">
            <w:pPr>
              <w:rPr>
                <w:rFonts w:ascii="Times New Roman" w:hAnsi="Times New Roman" w:cs="Times New Roman"/>
                <w:b/>
              </w:rPr>
            </w:pPr>
            <w:r w:rsidRPr="006F3B00">
              <w:rPr>
                <w:rFonts w:ascii="Times New Roman" w:hAnsi="Times New Roman" w:cs="Times New Roman"/>
                <w:b/>
              </w:rPr>
              <w:t xml:space="preserve">Definitely not important                 </w:t>
            </w:r>
            <w:r w:rsidR="00802F83">
              <w:rPr>
                <w:rFonts w:ascii="Times New Roman" w:hAnsi="Times New Roman" w:cs="Times New Roman"/>
                <w:b/>
              </w:rPr>
              <w:t xml:space="preserve">                 Definitely </w:t>
            </w:r>
            <w:r w:rsidRPr="006F3B00">
              <w:rPr>
                <w:rFonts w:ascii="Times New Roman" w:hAnsi="Times New Roman" w:cs="Times New Roman"/>
                <w:b/>
              </w:rPr>
              <w:t>important</w:t>
            </w:r>
          </w:p>
          <w:p w14:paraId="3D27289E" w14:textId="77777777" w:rsidR="00BE4939" w:rsidRPr="006F3B00" w:rsidRDefault="00BE4939" w:rsidP="001B0EF6">
            <w:pPr>
              <w:rPr>
                <w:rFonts w:ascii="Times New Roman" w:hAnsi="Times New Roman" w:cs="Times New Roman"/>
                <w:b/>
              </w:rPr>
            </w:pPr>
          </w:p>
        </w:tc>
      </w:tr>
      <w:tr w:rsidR="00BE4939" w:rsidRPr="006F3B00" w14:paraId="180ED2A2" w14:textId="77777777" w:rsidTr="00AD4244">
        <w:trPr>
          <w:gridAfter w:val="1"/>
          <w:wAfter w:w="10" w:type="dxa"/>
        </w:trPr>
        <w:tc>
          <w:tcPr>
            <w:tcW w:w="2282" w:type="dxa"/>
          </w:tcPr>
          <w:p w14:paraId="25472461" w14:textId="77777777" w:rsidR="00BE4939" w:rsidRPr="006F3B00" w:rsidRDefault="00BE4939" w:rsidP="001B0EF6">
            <w:pPr>
              <w:rPr>
                <w:rFonts w:ascii="Times New Roman" w:hAnsi="Times New Roman" w:cs="Times New Roman"/>
                <w:b/>
                <w:sz w:val="28"/>
                <w:szCs w:val="28"/>
              </w:rPr>
            </w:pPr>
            <w:r w:rsidRPr="006F3B00">
              <w:rPr>
                <w:rFonts w:ascii="Times New Roman" w:hAnsi="Times New Roman" w:cs="Times New Roman"/>
                <w:b/>
                <w:sz w:val="28"/>
                <w:szCs w:val="28"/>
              </w:rPr>
              <w:t>Stage of training</w:t>
            </w:r>
          </w:p>
        </w:tc>
        <w:tc>
          <w:tcPr>
            <w:tcW w:w="596" w:type="dxa"/>
          </w:tcPr>
          <w:p w14:paraId="354B720F"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1</w:t>
            </w:r>
          </w:p>
        </w:tc>
        <w:tc>
          <w:tcPr>
            <w:tcW w:w="540" w:type="dxa"/>
          </w:tcPr>
          <w:p w14:paraId="2A63749B"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2</w:t>
            </w:r>
          </w:p>
        </w:tc>
        <w:tc>
          <w:tcPr>
            <w:tcW w:w="719" w:type="dxa"/>
            <w:gridSpan w:val="2"/>
          </w:tcPr>
          <w:p w14:paraId="447D18E7"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3</w:t>
            </w:r>
          </w:p>
        </w:tc>
        <w:tc>
          <w:tcPr>
            <w:tcW w:w="539" w:type="dxa"/>
          </w:tcPr>
          <w:p w14:paraId="0E313169"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4</w:t>
            </w:r>
          </w:p>
        </w:tc>
        <w:tc>
          <w:tcPr>
            <w:tcW w:w="719" w:type="dxa"/>
          </w:tcPr>
          <w:p w14:paraId="1041344E"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5</w:t>
            </w:r>
          </w:p>
        </w:tc>
        <w:tc>
          <w:tcPr>
            <w:tcW w:w="775" w:type="dxa"/>
            <w:gridSpan w:val="2"/>
          </w:tcPr>
          <w:p w14:paraId="30805FCA"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6</w:t>
            </w:r>
          </w:p>
        </w:tc>
        <w:tc>
          <w:tcPr>
            <w:tcW w:w="622" w:type="dxa"/>
          </w:tcPr>
          <w:p w14:paraId="47E79EDA"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7</w:t>
            </w:r>
          </w:p>
        </w:tc>
        <w:tc>
          <w:tcPr>
            <w:tcW w:w="621" w:type="dxa"/>
            <w:gridSpan w:val="3"/>
          </w:tcPr>
          <w:p w14:paraId="1BC5DC33"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8</w:t>
            </w:r>
          </w:p>
        </w:tc>
        <w:tc>
          <w:tcPr>
            <w:tcW w:w="622" w:type="dxa"/>
            <w:gridSpan w:val="2"/>
          </w:tcPr>
          <w:p w14:paraId="109D638D"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9</w:t>
            </w:r>
          </w:p>
        </w:tc>
        <w:tc>
          <w:tcPr>
            <w:tcW w:w="595" w:type="dxa"/>
          </w:tcPr>
          <w:p w14:paraId="0100D598"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10</w:t>
            </w:r>
          </w:p>
        </w:tc>
      </w:tr>
      <w:tr w:rsidR="00BE4939" w:rsidRPr="006F3B00" w14:paraId="55C56AB8" w14:textId="77777777" w:rsidTr="00AD4244">
        <w:trPr>
          <w:gridAfter w:val="1"/>
          <w:wAfter w:w="10" w:type="dxa"/>
        </w:trPr>
        <w:tc>
          <w:tcPr>
            <w:tcW w:w="2282" w:type="dxa"/>
          </w:tcPr>
          <w:p w14:paraId="0BB33CFD"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1. The stage of training e.g. ST1 versus ST5</w:t>
            </w:r>
          </w:p>
          <w:p w14:paraId="7637745C" w14:textId="77777777" w:rsidR="00BE4939" w:rsidRPr="006F3B00" w:rsidRDefault="00BE4939" w:rsidP="001B0EF6">
            <w:pPr>
              <w:rPr>
                <w:rFonts w:ascii="Times New Roman" w:hAnsi="Times New Roman" w:cs="Times New Roman"/>
              </w:rPr>
            </w:pPr>
          </w:p>
        </w:tc>
        <w:tc>
          <w:tcPr>
            <w:tcW w:w="596" w:type="dxa"/>
          </w:tcPr>
          <w:p w14:paraId="4877E9B1" w14:textId="77777777" w:rsidR="00BE4939" w:rsidRPr="006F3B00" w:rsidRDefault="00BE4939" w:rsidP="001B0EF6">
            <w:pPr>
              <w:rPr>
                <w:rFonts w:ascii="Times New Roman" w:hAnsi="Times New Roman" w:cs="Times New Roman"/>
                <w:b/>
                <w:u w:val="single"/>
              </w:rPr>
            </w:pPr>
          </w:p>
        </w:tc>
        <w:tc>
          <w:tcPr>
            <w:tcW w:w="540" w:type="dxa"/>
          </w:tcPr>
          <w:p w14:paraId="3B4CFBB3" w14:textId="77777777" w:rsidR="00BE4939" w:rsidRPr="006F3B00" w:rsidRDefault="00BE4939" w:rsidP="001B0EF6">
            <w:pPr>
              <w:rPr>
                <w:rFonts w:ascii="Times New Roman" w:hAnsi="Times New Roman" w:cs="Times New Roman"/>
                <w:b/>
                <w:u w:val="single"/>
              </w:rPr>
            </w:pPr>
          </w:p>
        </w:tc>
        <w:tc>
          <w:tcPr>
            <w:tcW w:w="719" w:type="dxa"/>
            <w:gridSpan w:val="2"/>
          </w:tcPr>
          <w:p w14:paraId="1360D80C" w14:textId="77777777" w:rsidR="00BE4939" w:rsidRPr="006F3B00" w:rsidRDefault="00BE4939" w:rsidP="001B0EF6">
            <w:pPr>
              <w:rPr>
                <w:rFonts w:ascii="Times New Roman" w:hAnsi="Times New Roman" w:cs="Times New Roman"/>
                <w:b/>
                <w:u w:val="single"/>
              </w:rPr>
            </w:pPr>
          </w:p>
        </w:tc>
        <w:tc>
          <w:tcPr>
            <w:tcW w:w="539" w:type="dxa"/>
          </w:tcPr>
          <w:p w14:paraId="054D0BEB" w14:textId="77777777" w:rsidR="00BE4939" w:rsidRPr="006F3B00" w:rsidRDefault="00BE4939" w:rsidP="001B0EF6">
            <w:pPr>
              <w:rPr>
                <w:rFonts w:ascii="Times New Roman" w:hAnsi="Times New Roman" w:cs="Times New Roman"/>
                <w:b/>
                <w:u w:val="single"/>
              </w:rPr>
            </w:pPr>
          </w:p>
        </w:tc>
        <w:tc>
          <w:tcPr>
            <w:tcW w:w="719" w:type="dxa"/>
          </w:tcPr>
          <w:p w14:paraId="77CEFBC0" w14:textId="77777777" w:rsidR="00BE4939" w:rsidRPr="006F3B00" w:rsidRDefault="00BE4939" w:rsidP="001B0EF6">
            <w:pPr>
              <w:rPr>
                <w:rFonts w:ascii="Times New Roman" w:hAnsi="Times New Roman" w:cs="Times New Roman"/>
                <w:b/>
                <w:u w:val="single"/>
              </w:rPr>
            </w:pPr>
          </w:p>
        </w:tc>
        <w:tc>
          <w:tcPr>
            <w:tcW w:w="775" w:type="dxa"/>
            <w:gridSpan w:val="2"/>
          </w:tcPr>
          <w:p w14:paraId="5A9CFC98" w14:textId="77777777" w:rsidR="00BE4939" w:rsidRPr="006F3B00" w:rsidRDefault="00BE4939" w:rsidP="001B0EF6">
            <w:pPr>
              <w:rPr>
                <w:rFonts w:ascii="Times New Roman" w:hAnsi="Times New Roman" w:cs="Times New Roman"/>
                <w:b/>
                <w:u w:val="single"/>
              </w:rPr>
            </w:pPr>
          </w:p>
        </w:tc>
        <w:tc>
          <w:tcPr>
            <w:tcW w:w="622" w:type="dxa"/>
          </w:tcPr>
          <w:p w14:paraId="53933932" w14:textId="77777777" w:rsidR="00BE4939" w:rsidRPr="006F3B00" w:rsidRDefault="00BE4939" w:rsidP="001B0EF6">
            <w:pPr>
              <w:rPr>
                <w:rFonts w:ascii="Times New Roman" w:hAnsi="Times New Roman" w:cs="Times New Roman"/>
                <w:b/>
                <w:u w:val="single"/>
              </w:rPr>
            </w:pPr>
          </w:p>
        </w:tc>
        <w:tc>
          <w:tcPr>
            <w:tcW w:w="621" w:type="dxa"/>
            <w:gridSpan w:val="3"/>
          </w:tcPr>
          <w:p w14:paraId="5206152B" w14:textId="77777777" w:rsidR="00BE4939" w:rsidRPr="006F3B00" w:rsidRDefault="00BE4939" w:rsidP="001B0EF6">
            <w:pPr>
              <w:rPr>
                <w:rFonts w:ascii="Times New Roman" w:hAnsi="Times New Roman" w:cs="Times New Roman"/>
                <w:b/>
                <w:u w:val="single"/>
              </w:rPr>
            </w:pPr>
          </w:p>
        </w:tc>
        <w:tc>
          <w:tcPr>
            <w:tcW w:w="622" w:type="dxa"/>
            <w:gridSpan w:val="2"/>
          </w:tcPr>
          <w:p w14:paraId="4E6702F0" w14:textId="77777777" w:rsidR="00BE4939" w:rsidRPr="006F3B00" w:rsidRDefault="00BE4939" w:rsidP="001B0EF6">
            <w:pPr>
              <w:rPr>
                <w:rFonts w:ascii="Times New Roman" w:hAnsi="Times New Roman" w:cs="Times New Roman"/>
                <w:b/>
                <w:u w:val="single"/>
              </w:rPr>
            </w:pPr>
          </w:p>
        </w:tc>
        <w:tc>
          <w:tcPr>
            <w:tcW w:w="595" w:type="dxa"/>
          </w:tcPr>
          <w:p w14:paraId="60E895BD" w14:textId="77777777" w:rsidR="00BE4939" w:rsidRPr="006F3B00" w:rsidRDefault="00BE4939" w:rsidP="001B0EF6">
            <w:pPr>
              <w:rPr>
                <w:rFonts w:ascii="Times New Roman" w:hAnsi="Times New Roman" w:cs="Times New Roman"/>
                <w:b/>
                <w:u w:val="single"/>
              </w:rPr>
            </w:pPr>
          </w:p>
        </w:tc>
      </w:tr>
      <w:tr w:rsidR="00BE4939" w:rsidRPr="006F3B00" w14:paraId="550704A3" w14:textId="77777777" w:rsidTr="00AD4244">
        <w:trPr>
          <w:gridAfter w:val="1"/>
          <w:wAfter w:w="10" w:type="dxa"/>
        </w:trPr>
        <w:tc>
          <w:tcPr>
            <w:tcW w:w="2282" w:type="dxa"/>
          </w:tcPr>
          <w:p w14:paraId="119C06BD"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 RCPath curricula and training guidelines</w:t>
            </w:r>
          </w:p>
          <w:p w14:paraId="29BB37BC" w14:textId="77777777" w:rsidR="00BE4939" w:rsidRPr="006F3B00" w:rsidRDefault="00BE4939" w:rsidP="001B0EF6">
            <w:pPr>
              <w:rPr>
                <w:rFonts w:ascii="Times New Roman" w:hAnsi="Times New Roman" w:cs="Times New Roman"/>
              </w:rPr>
            </w:pPr>
          </w:p>
        </w:tc>
        <w:tc>
          <w:tcPr>
            <w:tcW w:w="596" w:type="dxa"/>
          </w:tcPr>
          <w:p w14:paraId="0E55EE2F" w14:textId="77777777" w:rsidR="00BE4939" w:rsidRPr="006F3B00" w:rsidRDefault="00BE4939" w:rsidP="001B0EF6">
            <w:pPr>
              <w:rPr>
                <w:rFonts w:ascii="Times New Roman" w:hAnsi="Times New Roman" w:cs="Times New Roman"/>
                <w:b/>
                <w:u w:val="single"/>
              </w:rPr>
            </w:pPr>
          </w:p>
        </w:tc>
        <w:tc>
          <w:tcPr>
            <w:tcW w:w="540" w:type="dxa"/>
          </w:tcPr>
          <w:p w14:paraId="119F2E1C" w14:textId="77777777" w:rsidR="00BE4939" w:rsidRPr="006F3B00" w:rsidRDefault="00BE4939" w:rsidP="001B0EF6">
            <w:pPr>
              <w:rPr>
                <w:rFonts w:ascii="Times New Roman" w:hAnsi="Times New Roman" w:cs="Times New Roman"/>
                <w:b/>
                <w:u w:val="single"/>
              </w:rPr>
            </w:pPr>
          </w:p>
        </w:tc>
        <w:tc>
          <w:tcPr>
            <w:tcW w:w="719" w:type="dxa"/>
            <w:gridSpan w:val="2"/>
          </w:tcPr>
          <w:p w14:paraId="22B8A205" w14:textId="77777777" w:rsidR="00BE4939" w:rsidRPr="006F3B00" w:rsidRDefault="00BE4939" w:rsidP="001B0EF6">
            <w:pPr>
              <w:rPr>
                <w:rFonts w:ascii="Times New Roman" w:hAnsi="Times New Roman" w:cs="Times New Roman"/>
                <w:b/>
                <w:u w:val="single"/>
              </w:rPr>
            </w:pPr>
          </w:p>
        </w:tc>
        <w:tc>
          <w:tcPr>
            <w:tcW w:w="539" w:type="dxa"/>
          </w:tcPr>
          <w:p w14:paraId="202C55FC" w14:textId="77777777" w:rsidR="00BE4939" w:rsidRPr="006F3B00" w:rsidRDefault="00BE4939" w:rsidP="001B0EF6">
            <w:pPr>
              <w:rPr>
                <w:rFonts w:ascii="Times New Roman" w:hAnsi="Times New Roman" w:cs="Times New Roman"/>
                <w:b/>
                <w:u w:val="single"/>
              </w:rPr>
            </w:pPr>
          </w:p>
        </w:tc>
        <w:tc>
          <w:tcPr>
            <w:tcW w:w="719" w:type="dxa"/>
          </w:tcPr>
          <w:p w14:paraId="5FEB78EA" w14:textId="77777777" w:rsidR="00BE4939" w:rsidRPr="006F3B00" w:rsidRDefault="00BE4939" w:rsidP="001B0EF6">
            <w:pPr>
              <w:rPr>
                <w:rFonts w:ascii="Times New Roman" w:hAnsi="Times New Roman" w:cs="Times New Roman"/>
                <w:b/>
                <w:u w:val="single"/>
              </w:rPr>
            </w:pPr>
          </w:p>
        </w:tc>
        <w:tc>
          <w:tcPr>
            <w:tcW w:w="775" w:type="dxa"/>
            <w:gridSpan w:val="2"/>
          </w:tcPr>
          <w:p w14:paraId="678A9713" w14:textId="77777777" w:rsidR="00BE4939" w:rsidRPr="006F3B00" w:rsidRDefault="00BE4939" w:rsidP="001B0EF6">
            <w:pPr>
              <w:rPr>
                <w:rFonts w:ascii="Times New Roman" w:hAnsi="Times New Roman" w:cs="Times New Roman"/>
                <w:b/>
                <w:u w:val="single"/>
              </w:rPr>
            </w:pPr>
          </w:p>
        </w:tc>
        <w:tc>
          <w:tcPr>
            <w:tcW w:w="622" w:type="dxa"/>
          </w:tcPr>
          <w:p w14:paraId="4AD2AD96" w14:textId="77777777" w:rsidR="00BE4939" w:rsidRPr="006F3B00" w:rsidRDefault="00BE4939" w:rsidP="001B0EF6">
            <w:pPr>
              <w:rPr>
                <w:rFonts w:ascii="Times New Roman" w:hAnsi="Times New Roman" w:cs="Times New Roman"/>
                <w:b/>
                <w:u w:val="single"/>
              </w:rPr>
            </w:pPr>
          </w:p>
        </w:tc>
        <w:tc>
          <w:tcPr>
            <w:tcW w:w="621" w:type="dxa"/>
            <w:gridSpan w:val="3"/>
          </w:tcPr>
          <w:p w14:paraId="0F5A2CBC" w14:textId="77777777" w:rsidR="00BE4939" w:rsidRPr="006F3B00" w:rsidRDefault="00BE4939" w:rsidP="001B0EF6">
            <w:pPr>
              <w:rPr>
                <w:rFonts w:ascii="Times New Roman" w:hAnsi="Times New Roman" w:cs="Times New Roman"/>
                <w:b/>
                <w:u w:val="single"/>
              </w:rPr>
            </w:pPr>
          </w:p>
        </w:tc>
        <w:tc>
          <w:tcPr>
            <w:tcW w:w="622" w:type="dxa"/>
            <w:gridSpan w:val="2"/>
          </w:tcPr>
          <w:p w14:paraId="1172E897" w14:textId="77777777" w:rsidR="00BE4939" w:rsidRPr="006F3B00" w:rsidRDefault="00BE4939" w:rsidP="001B0EF6">
            <w:pPr>
              <w:rPr>
                <w:rFonts w:ascii="Times New Roman" w:hAnsi="Times New Roman" w:cs="Times New Roman"/>
                <w:b/>
                <w:u w:val="single"/>
              </w:rPr>
            </w:pPr>
          </w:p>
        </w:tc>
        <w:tc>
          <w:tcPr>
            <w:tcW w:w="595" w:type="dxa"/>
          </w:tcPr>
          <w:p w14:paraId="0051967E" w14:textId="77777777" w:rsidR="00BE4939" w:rsidRPr="006F3B00" w:rsidRDefault="00BE4939" w:rsidP="001B0EF6">
            <w:pPr>
              <w:rPr>
                <w:rFonts w:ascii="Times New Roman" w:hAnsi="Times New Roman" w:cs="Times New Roman"/>
                <w:b/>
                <w:u w:val="single"/>
              </w:rPr>
            </w:pPr>
          </w:p>
        </w:tc>
      </w:tr>
      <w:tr w:rsidR="00AD4244" w:rsidRPr="006F3B00" w14:paraId="6C590793" w14:textId="77777777" w:rsidTr="00AD4244">
        <w:tc>
          <w:tcPr>
            <w:tcW w:w="2282" w:type="dxa"/>
          </w:tcPr>
          <w:p w14:paraId="4D53BECC" w14:textId="77777777" w:rsidR="00802F83" w:rsidRPr="006F3B00" w:rsidRDefault="00802F83" w:rsidP="00802F83">
            <w:pPr>
              <w:rPr>
                <w:rFonts w:ascii="Times New Roman" w:hAnsi="Times New Roman" w:cs="Times New Roman"/>
                <w:b/>
              </w:rPr>
            </w:pPr>
          </w:p>
        </w:tc>
        <w:tc>
          <w:tcPr>
            <w:tcW w:w="6358" w:type="dxa"/>
            <w:gridSpan w:val="16"/>
          </w:tcPr>
          <w:p w14:paraId="20CB777F" w14:textId="6F5FD6C3" w:rsidR="00802F83" w:rsidRPr="006F3B00" w:rsidRDefault="00802F83" w:rsidP="00802F83">
            <w:pPr>
              <w:rPr>
                <w:rFonts w:ascii="Times New Roman" w:hAnsi="Times New Roman" w:cs="Times New Roman"/>
                <w:b/>
              </w:rPr>
            </w:pPr>
            <w:r w:rsidRPr="006F3B00">
              <w:rPr>
                <w:rFonts w:ascii="Times New Roman" w:hAnsi="Times New Roman" w:cs="Times New Roman"/>
                <w:b/>
              </w:rPr>
              <w:t xml:space="preserve">Definitely not important      </w:t>
            </w:r>
            <w:r>
              <w:rPr>
                <w:rFonts w:ascii="Times New Roman" w:hAnsi="Times New Roman" w:cs="Times New Roman"/>
                <w:b/>
              </w:rPr>
              <w:t xml:space="preserve">                             </w:t>
            </w:r>
            <w:r w:rsidRPr="006F3B00">
              <w:rPr>
                <w:rFonts w:ascii="Times New Roman" w:hAnsi="Times New Roman" w:cs="Times New Roman"/>
                <w:b/>
              </w:rPr>
              <w:t>Definitely important</w:t>
            </w:r>
          </w:p>
          <w:p w14:paraId="38B3FF61" w14:textId="77777777" w:rsidR="00802F83" w:rsidRPr="006F3B00" w:rsidRDefault="00802F83" w:rsidP="00802F83">
            <w:pPr>
              <w:rPr>
                <w:rFonts w:ascii="Times New Roman" w:hAnsi="Times New Roman" w:cs="Times New Roman"/>
                <w:b/>
              </w:rPr>
            </w:pPr>
          </w:p>
        </w:tc>
      </w:tr>
      <w:tr w:rsidR="00802F83" w:rsidRPr="006F3B00" w14:paraId="51E13284" w14:textId="77777777" w:rsidTr="00AD4244">
        <w:tc>
          <w:tcPr>
            <w:tcW w:w="2282" w:type="dxa"/>
          </w:tcPr>
          <w:p w14:paraId="2E847C5A" w14:textId="77777777" w:rsidR="00802F83" w:rsidRPr="006F3B00" w:rsidRDefault="00802F83" w:rsidP="00802F83">
            <w:pPr>
              <w:rPr>
                <w:rFonts w:ascii="Times New Roman" w:hAnsi="Times New Roman" w:cs="Times New Roman"/>
                <w:b/>
                <w:sz w:val="28"/>
                <w:szCs w:val="28"/>
              </w:rPr>
            </w:pPr>
            <w:r w:rsidRPr="006F3B00">
              <w:rPr>
                <w:rFonts w:ascii="Times New Roman" w:hAnsi="Times New Roman" w:cs="Times New Roman"/>
                <w:b/>
                <w:sz w:val="28"/>
                <w:szCs w:val="28"/>
              </w:rPr>
              <w:t>Timing</w:t>
            </w:r>
          </w:p>
        </w:tc>
        <w:tc>
          <w:tcPr>
            <w:tcW w:w="596" w:type="dxa"/>
          </w:tcPr>
          <w:p w14:paraId="2BA35C8B"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1</w:t>
            </w:r>
          </w:p>
        </w:tc>
        <w:tc>
          <w:tcPr>
            <w:tcW w:w="540" w:type="dxa"/>
          </w:tcPr>
          <w:p w14:paraId="3521FDCA"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2</w:t>
            </w:r>
          </w:p>
        </w:tc>
        <w:tc>
          <w:tcPr>
            <w:tcW w:w="539" w:type="dxa"/>
          </w:tcPr>
          <w:p w14:paraId="7411F82F"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3</w:t>
            </w:r>
          </w:p>
        </w:tc>
        <w:tc>
          <w:tcPr>
            <w:tcW w:w="719" w:type="dxa"/>
            <w:gridSpan w:val="2"/>
          </w:tcPr>
          <w:p w14:paraId="706B200D"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4</w:t>
            </w:r>
          </w:p>
        </w:tc>
        <w:tc>
          <w:tcPr>
            <w:tcW w:w="719" w:type="dxa"/>
          </w:tcPr>
          <w:p w14:paraId="58B99206"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5</w:t>
            </w:r>
          </w:p>
        </w:tc>
        <w:tc>
          <w:tcPr>
            <w:tcW w:w="719" w:type="dxa"/>
          </w:tcPr>
          <w:p w14:paraId="6223E165"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6</w:t>
            </w:r>
          </w:p>
        </w:tc>
        <w:tc>
          <w:tcPr>
            <w:tcW w:w="719" w:type="dxa"/>
            <w:gridSpan w:val="3"/>
          </w:tcPr>
          <w:p w14:paraId="158ACB24"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7</w:t>
            </w:r>
          </w:p>
        </w:tc>
        <w:tc>
          <w:tcPr>
            <w:tcW w:w="539" w:type="dxa"/>
          </w:tcPr>
          <w:p w14:paraId="089FE9B1"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8</w:t>
            </w:r>
          </w:p>
        </w:tc>
        <w:tc>
          <w:tcPr>
            <w:tcW w:w="548" w:type="dxa"/>
            <w:gridSpan w:val="2"/>
          </w:tcPr>
          <w:p w14:paraId="79D4D4F5"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9</w:t>
            </w:r>
          </w:p>
        </w:tc>
        <w:tc>
          <w:tcPr>
            <w:tcW w:w="720" w:type="dxa"/>
            <w:gridSpan w:val="3"/>
          </w:tcPr>
          <w:p w14:paraId="74FABAE7"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10</w:t>
            </w:r>
          </w:p>
        </w:tc>
      </w:tr>
      <w:tr w:rsidR="00802F83" w:rsidRPr="006F3B00" w14:paraId="2EC3C940" w14:textId="77777777" w:rsidTr="00AD4244">
        <w:tc>
          <w:tcPr>
            <w:tcW w:w="2282" w:type="dxa"/>
          </w:tcPr>
          <w:p w14:paraId="475BE2DF" w14:textId="752340B1" w:rsidR="00802F83" w:rsidRPr="006F3B00" w:rsidRDefault="00802F83" w:rsidP="00802F83">
            <w:pPr>
              <w:rPr>
                <w:rFonts w:ascii="Times New Roman" w:hAnsi="Times New Roman" w:cs="Times New Roman"/>
              </w:rPr>
            </w:pPr>
            <w:r>
              <w:rPr>
                <w:rFonts w:ascii="Times New Roman" w:hAnsi="Times New Roman" w:cs="Times New Roman"/>
              </w:rPr>
              <w:t xml:space="preserve">3. </w:t>
            </w:r>
            <w:r w:rsidRPr="006F3B00">
              <w:rPr>
                <w:rFonts w:ascii="Times New Roman" w:hAnsi="Times New Roman" w:cs="Times New Roman"/>
              </w:rPr>
              <w:t xml:space="preserve">Placements/cases assessed longitudinally over </w:t>
            </w:r>
            <w:r>
              <w:rPr>
                <w:rFonts w:ascii="Times New Roman" w:hAnsi="Times New Roman" w:cs="Times New Roman"/>
              </w:rPr>
              <w:t>a period of time</w:t>
            </w:r>
          </w:p>
        </w:tc>
        <w:tc>
          <w:tcPr>
            <w:tcW w:w="596" w:type="dxa"/>
          </w:tcPr>
          <w:p w14:paraId="2B1B5496" w14:textId="77777777" w:rsidR="00802F83" w:rsidRPr="006F3B00" w:rsidRDefault="00802F83" w:rsidP="00802F83">
            <w:pPr>
              <w:rPr>
                <w:rFonts w:ascii="Times New Roman" w:hAnsi="Times New Roman" w:cs="Times New Roman"/>
                <w:b/>
                <w:u w:val="single"/>
              </w:rPr>
            </w:pPr>
          </w:p>
        </w:tc>
        <w:tc>
          <w:tcPr>
            <w:tcW w:w="540" w:type="dxa"/>
          </w:tcPr>
          <w:p w14:paraId="5288D496" w14:textId="77777777" w:rsidR="00802F83" w:rsidRPr="006F3B00" w:rsidRDefault="00802F83" w:rsidP="00802F83">
            <w:pPr>
              <w:rPr>
                <w:rFonts w:ascii="Times New Roman" w:hAnsi="Times New Roman" w:cs="Times New Roman"/>
                <w:b/>
                <w:u w:val="single"/>
              </w:rPr>
            </w:pPr>
          </w:p>
        </w:tc>
        <w:tc>
          <w:tcPr>
            <w:tcW w:w="539" w:type="dxa"/>
          </w:tcPr>
          <w:p w14:paraId="66504D04" w14:textId="77777777" w:rsidR="00802F83" w:rsidRPr="006F3B00" w:rsidRDefault="00802F83" w:rsidP="00802F83">
            <w:pPr>
              <w:rPr>
                <w:rFonts w:ascii="Times New Roman" w:hAnsi="Times New Roman" w:cs="Times New Roman"/>
                <w:b/>
                <w:u w:val="single"/>
              </w:rPr>
            </w:pPr>
          </w:p>
        </w:tc>
        <w:tc>
          <w:tcPr>
            <w:tcW w:w="719" w:type="dxa"/>
            <w:gridSpan w:val="2"/>
          </w:tcPr>
          <w:p w14:paraId="31A77A15" w14:textId="77777777" w:rsidR="00802F83" w:rsidRPr="006F3B00" w:rsidRDefault="00802F83" w:rsidP="00802F83">
            <w:pPr>
              <w:rPr>
                <w:rFonts w:ascii="Times New Roman" w:hAnsi="Times New Roman" w:cs="Times New Roman"/>
                <w:b/>
                <w:u w:val="single"/>
              </w:rPr>
            </w:pPr>
          </w:p>
        </w:tc>
        <w:tc>
          <w:tcPr>
            <w:tcW w:w="719" w:type="dxa"/>
          </w:tcPr>
          <w:p w14:paraId="01033320" w14:textId="77777777" w:rsidR="00802F83" w:rsidRPr="006F3B00" w:rsidRDefault="00802F83" w:rsidP="00802F83">
            <w:pPr>
              <w:rPr>
                <w:rFonts w:ascii="Times New Roman" w:hAnsi="Times New Roman" w:cs="Times New Roman"/>
                <w:b/>
                <w:u w:val="single"/>
              </w:rPr>
            </w:pPr>
          </w:p>
        </w:tc>
        <w:tc>
          <w:tcPr>
            <w:tcW w:w="719" w:type="dxa"/>
          </w:tcPr>
          <w:p w14:paraId="72CD0EA4" w14:textId="77777777" w:rsidR="00802F83" w:rsidRPr="006F3B00" w:rsidRDefault="00802F83" w:rsidP="00802F83">
            <w:pPr>
              <w:rPr>
                <w:rFonts w:ascii="Times New Roman" w:hAnsi="Times New Roman" w:cs="Times New Roman"/>
                <w:b/>
                <w:u w:val="single"/>
              </w:rPr>
            </w:pPr>
          </w:p>
        </w:tc>
        <w:tc>
          <w:tcPr>
            <w:tcW w:w="719" w:type="dxa"/>
            <w:gridSpan w:val="3"/>
          </w:tcPr>
          <w:p w14:paraId="3FB79660" w14:textId="77777777" w:rsidR="00802F83" w:rsidRPr="006F3B00" w:rsidRDefault="00802F83" w:rsidP="00802F83">
            <w:pPr>
              <w:rPr>
                <w:rFonts w:ascii="Times New Roman" w:hAnsi="Times New Roman" w:cs="Times New Roman"/>
                <w:b/>
                <w:u w:val="single"/>
              </w:rPr>
            </w:pPr>
          </w:p>
        </w:tc>
        <w:tc>
          <w:tcPr>
            <w:tcW w:w="539" w:type="dxa"/>
          </w:tcPr>
          <w:p w14:paraId="0110BC5E" w14:textId="77777777" w:rsidR="00802F83" w:rsidRPr="006F3B00" w:rsidRDefault="00802F83" w:rsidP="00802F83">
            <w:pPr>
              <w:rPr>
                <w:rFonts w:ascii="Times New Roman" w:hAnsi="Times New Roman" w:cs="Times New Roman"/>
                <w:b/>
                <w:u w:val="single"/>
              </w:rPr>
            </w:pPr>
          </w:p>
        </w:tc>
        <w:tc>
          <w:tcPr>
            <w:tcW w:w="548" w:type="dxa"/>
            <w:gridSpan w:val="2"/>
          </w:tcPr>
          <w:p w14:paraId="7A170D4E" w14:textId="77777777" w:rsidR="00802F83" w:rsidRPr="006F3B00" w:rsidRDefault="00802F83" w:rsidP="00802F83">
            <w:pPr>
              <w:rPr>
                <w:rFonts w:ascii="Times New Roman" w:hAnsi="Times New Roman" w:cs="Times New Roman"/>
                <w:b/>
                <w:u w:val="single"/>
              </w:rPr>
            </w:pPr>
          </w:p>
        </w:tc>
        <w:tc>
          <w:tcPr>
            <w:tcW w:w="720" w:type="dxa"/>
            <w:gridSpan w:val="3"/>
          </w:tcPr>
          <w:p w14:paraId="61665B27" w14:textId="77777777" w:rsidR="00802F83" w:rsidRPr="006F3B00" w:rsidRDefault="00802F83" w:rsidP="00802F83">
            <w:pPr>
              <w:rPr>
                <w:rFonts w:ascii="Times New Roman" w:hAnsi="Times New Roman" w:cs="Times New Roman"/>
                <w:b/>
                <w:u w:val="single"/>
              </w:rPr>
            </w:pPr>
          </w:p>
        </w:tc>
      </w:tr>
      <w:tr w:rsidR="00802F83" w:rsidRPr="006F3B00" w14:paraId="12AD69B8" w14:textId="77777777" w:rsidTr="00AD4244">
        <w:tc>
          <w:tcPr>
            <w:tcW w:w="2282" w:type="dxa"/>
          </w:tcPr>
          <w:p w14:paraId="280C6D2D" w14:textId="77777777" w:rsidR="00802F83" w:rsidRPr="006F3B00" w:rsidRDefault="00802F83" w:rsidP="00802F83">
            <w:pPr>
              <w:rPr>
                <w:rFonts w:ascii="Times New Roman" w:hAnsi="Times New Roman" w:cs="Times New Roman"/>
              </w:rPr>
            </w:pPr>
            <w:r w:rsidRPr="006F3B00">
              <w:rPr>
                <w:rFonts w:ascii="Times New Roman" w:hAnsi="Times New Roman" w:cs="Times New Roman"/>
              </w:rPr>
              <w:t>4.  Individual cases in an examination setting</w:t>
            </w:r>
          </w:p>
          <w:p w14:paraId="7FC5116A" w14:textId="77777777" w:rsidR="00802F83" w:rsidRPr="006F3B00" w:rsidRDefault="00802F83" w:rsidP="00802F83">
            <w:pPr>
              <w:rPr>
                <w:rFonts w:ascii="Times New Roman" w:hAnsi="Times New Roman" w:cs="Times New Roman"/>
              </w:rPr>
            </w:pPr>
          </w:p>
        </w:tc>
        <w:tc>
          <w:tcPr>
            <w:tcW w:w="596" w:type="dxa"/>
          </w:tcPr>
          <w:p w14:paraId="463A06F2" w14:textId="77777777" w:rsidR="00802F83" w:rsidRPr="006F3B00" w:rsidRDefault="00802F83" w:rsidP="00802F83">
            <w:pPr>
              <w:rPr>
                <w:rFonts w:ascii="Times New Roman" w:hAnsi="Times New Roman" w:cs="Times New Roman"/>
                <w:b/>
                <w:u w:val="single"/>
              </w:rPr>
            </w:pPr>
          </w:p>
        </w:tc>
        <w:tc>
          <w:tcPr>
            <w:tcW w:w="540" w:type="dxa"/>
          </w:tcPr>
          <w:p w14:paraId="3B293A12" w14:textId="77777777" w:rsidR="00802F83" w:rsidRPr="006F3B00" w:rsidRDefault="00802F83" w:rsidP="00802F83">
            <w:pPr>
              <w:rPr>
                <w:rFonts w:ascii="Times New Roman" w:hAnsi="Times New Roman" w:cs="Times New Roman"/>
                <w:b/>
                <w:u w:val="single"/>
              </w:rPr>
            </w:pPr>
          </w:p>
        </w:tc>
        <w:tc>
          <w:tcPr>
            <w:tcW w:w="539" w:type="dxa"/>
          </w:tcPr>
          <w:p w14:paraId="37A59B4F" w14:textId="77777777" w:rsidR="00802F83" w:rsidRPr="006F3B00" w:rsidRDefault="00802F83" w:rsidP="00802F83">
            <w:pPr>
              <w:rPr>
                <w:rFonts w:ascii="Times New Roman" w:hAnsi="Times New Roman" w:cs="Times New Roman"/>
                <w:b/>
                <w:u w:val="single"/>
              </w:rPr>
            </w:pPr>
          </w:p>
        </w:tc>
        <w:tc>
          <w:tcPr>
            <w:tcW w:w="719" w:type="dxa"/>
            <w:gridSpan w:val="2"/>
          </w:tcPr>
          <w:p w14:paraId="6743E636" w14:textId="77777777" w:rsidR="00802F83" w:rsidRPr="006F3B00" w:rsidRDefault="00802F83" w:rsidP="00802F83">
            <w:pPr>
              <w:rPr>
                <w:rFonts w:ascii="Times New Roman" w:hAnsi="Times New Roman" w:cs="Times New Roman"/>
                <w:b/>
                <w:u w:val="single"/>
              </w:rPr>
            </w:pPr>
          </w:p>
        </w:tc>
        <w:tc>
          <w:tcPr>
            <w:tcW w:w="719" w:type="dxa"/>
          </w:tcPr>
          <w:p w14:paraId="32E38E85" w14:textId="77777777" w:rsidR="00802F83" w:rsidRPr="006F3B00" w:rsidRDefault="00802F83" w:rsidP="00802F83">
            <w:pPr>
              <w:rPr>
                <w:rFonts w:ascii="Times New Roman" w:hAnsi="Times New Roman" w:cs="Times New Roman"/>
                <w:b/>
                <w:u w:val="single"/>
              </w:rPr>
            </w:pPr>
          </w:p>
        </w:tc>
        <w:tc>
          <w:tcPr>
            <w:tcW w:w="719" w:type="dxa"/>
          </w:tcPr>
          <w:p w14:paraId="5EDF432E" w14:textId="77777777" w:rsidR="00802F83" w:rsidRPr="006F3B00" w:rsidRDefault="00802F83" w:rsidP="00802F83">
            <w:pPr>
              <w:rPr>
                <w:rFonts w:ascii="Times New Roman" w:hAnsi="Times New Roman" w:cs="Times New Roman"/>
                <w:b/>
                <w:u w:val="single"/>
              </w:rPr>
            </w:pPr>
          </w:p>
        </w:tc>
        <w:tc>
          <w:tcPr>
            <w:tcW w:w="719" w:type="dxa"/>
            <w:gridSpan w:val="3"/>
          </w:tcPr>
          <w:p w14:paraId="362124C3" w14:textId="77777777" w:rsidR="00802F83" w:rsidRPr="006F3B00" w:rsidRDefault="00802F83" w:rsidP="00802F83">
            <w:pPr>
              <w:rPr>
                <w:rFonts w:ascii="Times New Roman" w:hAnsi="Times New Roman" w:cs="Times New Roman"/>
                <w:b/>
                <w:u w:val="single"/>
              </w:rPr>
            </w:pPr>
          </w:p>
        </w:tc>
        <w:tc>
          <w:tcPr>
            <w:tcW w:w="539" w:type="dxa"/>
          </w:tcPr>
          <w:p w14:paraId="308C19A5" w14:textId="77777777" w:rsidR="00802F83" w:rsidRPr="006F3B00" w:rsidRDefault="00802F83" w:rsidP="00802F83">
            <w:pPr>
              <w:rPr>
                <w:rFonts w:ascii="Times New Roman" w:hAnsi="Times New Roman" w:cs="Times New Roman"/>
                <w:b/>
                <w:u w:val="single"/>
              </w:rPr>
            </w:pPr>
          </w:p>
        </w:tc>
        <w:tc>
          <w:tcPr>
            <w:tcW w:w="548" w:type="dxa"/>
            <w:gridSpan w:val="2"/>
          </w:tcPr>
          <w:p w14:paraId="09C08964" w14:textId="77777777" w:rsidR="00802F83" w:rsidRPr="006F3B00" w:rsidRDefault="00802F83" w:rsidP="00802F83">
            <w:pPr>
              <w:rPr>
                <w:rFonts w:ascii="Times New Roman" w:hAnsi="Times New Roman" w:cs="Times New Roman"/>
                <w:b/>
                <w:u w:val="single"/>
              </w:rPr>
            </w:pPr>
          </w:p>
        </w:tc>
        <w:tc>
          <w:tcPr>
            <w:tcW w:w="720" w:type="dxa"/>
            <w:gridSpan w:val="3"/>
          </w:tcPr>
          <w:p w14:paraId="3A636884" w14:textId="77777777" w:rsidR="00802F83" w:rsidRPr="006F3B00" w:rsidRDefault="00802F83" w:rsidP="00802F83">
            <w:pPr>
              <w:rPr>
                <w:rFonts w:ascii="Times New Roman" w:hAnsi="Times New Roman" w:cs="Times New Roman"/>
                <w:b/>
                <w:u w:val="single"/>
              </w:rPr>
            </w:pPr>
          </w:p>
        </w:tc>
      </w:tr>
    </w:tbl>
    <w:p w14:paraId="323E1692" w14:textId="3C8B477D" w:rsidR="00BE4939" w:rsidRPr="006F3B00" w:rsidRDefault="00BE4939" w:rsidP="00BE4939">
      <w:pPr>
        <w:rPr>
          <w:rFonts w:ascii="Times New Roman" w:hAnsi="Times New Roman" w:cs="Times New Roman"/>
        </w:rPr>
      </w:pPr>
    </w:p>
    <w:tbl>
      <w:tblPr>
        <w:tblStyle w:val="TableGrid"/>
        <w:tblW w:w="8640" w:type="dxa"/>
        <w:jc w:val="center"/>
        <w:tblLayout w:type="fixed"/>
        <w:tblLook w:val="04A0" w:firstRow="1" w:lastRow="0" w:firstColumn="1" w:lastColumn="0" w:noHBand="0" w:noVBand="1"/>
      </w:tblPr>
      <w:tblGrid>
        <w:gridCol w:w="2335"/>
        <w:gridCol w:w="540"/>
        <w:gridCol w:w="540"/>
        <w:gridCol w:w="540"/>
        <w:gridCol w:w="720"/>
        <w:gridCol w:w="720"/>
        <w:gridCol w:w="720"/>
        <w:gridCol w:w="720"/>
        <w:gridCol w:w="540"/>
        <w:gridCol w:w="540"/>
        <w:gridCol w:w="725"/>
      </w:tblGrid>
      <w:tr w:rsidR="00802F83" w:rsidRPr="006F3B00" w14:paraId="7A0EE084" w14:textId="77777777" w:rsidTr="00AD4244">
        <w:trPr>
          <w:jc w:val="center"/>
        </w:trPr>
        <w:tc>
          <w:tcPr>
            <w:tcW w:w="2335" w:type="dxa"/>
          </w:tcPr>
          <w:p w14:paraId="64E8E68F" w14:textId="77777777" w:rsidR="00802F83" w:rsidRPr="006F3B00" w:rsidRDefault="00802F83" w:rsidP="00802F83">
            <w:pPr>
              <w:rPr>
                <w:rFonts w:ascii="Times New Roman" w:hAnsi="Times New Roman" w:cs="Times New Roman"/>
                <w:b/>
              </w:rPr>
            </w:pPr>
          </w:p>
        </w:tc>
        <w:tc>
          <w:tcPr>
            <w:tcW w:w="6305" w:type="dxa"/>
            <w:gridSpan w:val="10"/>
          </w:tcPr>
          <w:p w14:paraId="55E1EA51" w14:textId="0A681D1C" w:rsidR="00802F83" w:rsidRPr="006F3B00" w:rsidRDefault="00802F83" w:rsidP="00802F83">
            <w:pPr>
              <w:rPr>
                <w:rFonts w:ascii="Times New Roman" w:hAnsi="Times New Roman" w:cs="Times New Roman"/>
                <w:b/>
              </w:rPr>
            </w:pPr>
            <w:r w:rsidRPr="006F3B00">
              <w:rPr>
                <w:rFonts w:ascii="Times New Roman" w:hAnsi="Times New Roman" w:cs="Times New Roman"/>
                <w:b/>
              </w:rPr>
              <w:t xml:space="preserve">Definitely not important      </w:t>
            </w:r>
            <w:r>
              <w:rPr>
                <w:rFonts w:ascii="Times New Roman" w:hAnsi="Times New Roman" w:cs="Times New Roman"/>
                <w:b/>
              </w:rPr>
              <w:t xml:space="preserve">                           </w:t>
            </w:r>
            <w:r w:rsidRPr="006F3B00">
              <w:rPr>
                <w:rFonts w:ascii="Times New Roman" w:hAnsi="Times New Roman" w:cs="Times New Roman"/>
                <w:b/>
              </w:rPr>
              <w:t>Definitely important</w:t>
            </w:r>
          </w:p>
          <w:p w14:paraId="56E7149E" w14:textId="77777777" w:rsidR="00802F83" w:rsidRPr="006F3B00" w:rsidRDefault="00802F83" w:rsidP="00802F83">
            <w:pPr>
              <w:rPr>
                <w:rFonts w:ascii="Times New Roman" w:hAnsi="Times New Roman" w:cs="Times New Roman"/>
                <w:b/>
              </w:rPr>
            </w:pPr>
          </w:p>
        </w:tc>
      </w:tr>
      <w:tr w:rsidR="00AD4244" w:rsidRPr="006F3B00" w14:paraId="50449473" w14:textId="77777777" w:rsidTr="00AD4244">
        <w:trPr>
          <w:jc w:val="center"/>
        </w:trPr>
        <w:tc>
          <w:tcPr>
            <w:tcW w:w="2335" w:type="dxa"/>
          </w:tcPr>
          <w:p w14:paraId="27C8101B" w14:textId="77777777" w:rsidR="00802F83" w:rsidRPr="006F3B00" w:rsidRDefault="00802F83" w:rsidP="00802F83">
            <w:pPr>
              <w:rPr>
                <w:rFonts w:ascii="Times New Roman" w:hAnsi="Times New Roman" w:cs="Times New Roman"/>
                <w:b/>
                <w:sz w:val="28"/>
                <w:szCs w:val="28"/>
              </w:rPr>
            </w:pPr>
            <w:r w:rsidRPr="006F3B00">
              <w:rPr>
                <w:rFonts w:ascii="Times New Roman" w:hAnsi="Times New Roman" w:cs="Times New Roman"/>
                <w:b/>
                <w:sz w:val="28"/>
                <w:szCs w:val="28"/>
              </w:rPr>
              <w:t>Professionalism</w:t>
            </w:r>
          </w:p>
        </w:tc>
        <w:tc>
          <w:tcPr>
            <w:tcW w:w="540" w:type="dxa"/>
          </w:tcPr>
          <w:p w14:paraId="411EA1DE"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1</w:t>
            </w:r>
          </w:p>
        </w:tc>
        <w:tc>
          <w:tcPr>
            <w:tcW w:w="540" w:type="dxa"/>
          </w:tcPr>
          <w:p w14:paraId="4F34951E"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2</w:t>
            </w:r>
          </w:p>
        </w:tc>
        <w:tc>
          <w:tcPr>
            <w:tcW w:w="540" w:type="dxa"/>
          </w:tcPr>
          <w:p w14:paraId="2F498713"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3</w:t>
            </w:r>
          </w:p>
        </w:tc>
        <w:tc>
          <w:tcPr>
            <w:tcW w:w="720" w:type="dxa"/>
          </w:tcPr>
          <w:p w14:paraId="32CFC250"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4</w:t>
            </w:r>
          </w:p>
        </w:tc>
        <w:tc>
          <w:tcPr>
            <w:tcW w:w="720" w:type="dxa"/>
          </w:tcPr>
          <w:p w14:paraId="675E4BCE"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5</w:t>
            </w:r>
          </w:p>
        </w:tc>
        <w:tc>
          <w:tcPr>
            <w:tcW w:w="720" w:type="dxa"/>
          </w:tcPr>
          <w:p w14:paraId="278F0863"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6</w:t>
            </w:r>
          </w:p>
        </w:tc>
        <w:tc>
          <w:tcPr>
            <w:tcW w:w="720" w:type="dxa"/>
          </w:tcPr>
          <w:p w14:paraId="35417CAE"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7</w:t>
            </w:r>
          </w:p>
        </w:tc>
        <w:tc>
          <w:tcPr>
            <w:tcW w:w="540" w:type="dxa"/>
          </w:tcPr>
          <w:p w14:paraId="2C58FA53"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8</w:t>
            </w:r>
          </w:p>
        </w:tc>
        <w:tc>
          <w:tcPr>
            <w:tcW w:w="540" w:type="dxa"/>
          </w:tcPr>
          <w:p w14:paraId="6C881732"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9</w:t>
            </w:r>
          </w:p>
        </w:tc>
        <w:tc>
          <w:tcPr>
            <w:tcW w:w="725" w:type="dxa"/>
          </w:tcPr>
          <w:p w14:paraId="3BEEB939" w14:textId="77777777" w:rsidR="00802F83" w:rsidRPr="006F3B00" w:rsidRDefault="00802F83" w:rsidP="00802F83">
            <w:pPr>
              <w:rPr>
                <w:rFonts w:ascii="Times New Roman" w:hAnsi="Times New Roman" w:cs="Times New Roman"/>
                <w:b/>
              </w:rPr>
            </w:pPr>
            <w:r w:rsidRPr="006F3B00">
              <w:rPr>
                <w:rFonts w:ascii="Times New Roman" w:hAnsi="Times New Roman" w:cs="Times New Roman"/>
                <w:b/>
              </w:rPr>
              <w:t>10</w:t>
            </w:r>
          </w:p>
        </w:tc>
      </w:tr>
      <w:tr w:rsidR="00AD4244" w:rsidRPr="006F3B00" w14:paraId="498AC2AD" w14:textId="77777777" w:rsidTr="00AD4244">
        <w:trPr>
          <w:jc w:val="center"/>
        </w:trPr>
        <w:tc>
          <w:tcPr>
            <w:tcW w:w="2335" w:type="dxa"/>
          </w:tcPr>
          <w:p w14:paraId="71FFEA53" w14:textId="77777777" w:rsidR="00802F83" w:rsidRPr="006F3B00" w:rsidRDefault="00802F83" w:rsidP="00802F83">
            <w:pPr>
              <w:rPr>
                <w:rFonts w:ascii="Times New Roman" w:hAnsi="Times New Roman" w:cs="Times New Roman"/>
              </w:rPr>
            </w:pPr>
            <w:r w:rsidRPr="006F3B00">
              <w:rPr>
                <w:rFonts w:ascii="Times New Roman" w:hAnsi="Times New Roman" w:cs="Times New Roman"/>
              </w:rPr>
              <w:t>5. Trainee is organised and timely when conducting themselves in the department e.g. does not lose cases, is aware of turnaround times, triages urgent cases</w:t>
            </w:r>
          </w:p>
        </w:tc>
        <w:tc>
          <w:tcPr>
            <w:tcW w:w="540" w:type="dxa"/>
          </w:tcPr>
          <w:p w14:paraId="01CD573C" w14:textId="77777777" w:rsidR="00802F83" w:rsidRPr="006F3B00" w:rsidRDefault="00802F83" w:rsidP="00802F83">
            <w:pPr>
              <w:rPr>
                <w:rFonts w:ascii="Times New Roman" w:hAnsi="Times New Roman" w:cs="Times New Roman"/>
                <w:b/>
                <w:u w:val="single"/>
              </w:rPr>
            </w:pPr>
          </w:p>
        </w:tc>
        <w:tc>
          <w:tcPr>
            <w:tcW w:w="540" w:type="dxa"/>
          </w:tcPr>
          <w:p w14:paraId="3D984D9F" w14:textId="77777777" w:rsidR="00802F83" w:rsidRPr="006F3B00" w:rsidRDefault="00802F83" w:rsidP="00802F83">
            <w:pPr>
              <w:rPr>
                <w:rFonts w:ascii="Times New Roman" w:hAnsi="Times New Roman" w:cs="Times New Roman"/>
                <w:b/>
                <w:u w:val="single"/>
              </w:rPr>
            </w:pPr>
          </w:p>
        </w:tc>
        <w:tc>
          <w:tcPr>
            <w:tcW w:w="540" w:type="dxa"/>
          </w:tcPr>
          <w:p w14:paraId="16E6A8C7" w14:textId="77777777" w:rsidR="00802F83" w:rsidRPr="006F3B00" w:rsidRDefault="00802F83" w:rsidP="00802F83">
            <w:pPr>
              <w:rPr>
                <w:rFonts w:ascii="Times New Roman" w:hAnsi="Times New Roman" w:cs="Times New Roman"/>
                <w:b/>
                <w:u w:val="single"/>
              </w:rPr>
            </w:pPr>
          </w:p>
        </w:tc>
        <w:tc>
          <w:tcPr>
            <w:tcW w:w="720" w:type="dxa"/>
          </w:tcPr>
          <w:p w14:paraId="29E5A6DF" w14:textId="77777777" w:rsidR="00802F83" w:rsidRPr="006F3B00" w:rsidRDefault="00802F83" w:rsidP="00802F83">
            <w:pPr>
              <w:rPr>
                <w:rFonts w:ascii="Times New Roman" w:hAnsi="Times New Roman" w:cs="Times New Roman"/>
                <w:b/>
                <w:u w:val="single"/>
              </w:rPr>
            </w:pPr>
          </w:p>
        </w:tc>
        <w:tc>
          <w:tcPr>
            <w:tcW w:w="720" w:type="dxa"/>
          </w:tcPr>
          <w:p w14:paraId="6A3F84E9" w14:textId="77777777" w:rsidR="00802F83" w:rsidRPr="006F3B00" w:rsidRDefault="00802F83" w:rsidP="00802F83">
            <w:pPr>
              <w:rPr>
                <w:rFonts w:ascii="Times New Roman" w:hAnsi="Times New Roman" w:cs="Times New Roman"/>
                <w:b/>
                <w:u w:val="single"/>
              </w:rPr>
            </w:pPr>
          </w:p>
        </w:tc>
        <w:tc>
          <w:tcPr>
            <w:tcW w:w="720" w:type="dxa"/>
          </w:tcPr>
          <w:p w14:paraId="21DADEED" w14:textId="77777777" w:rsidR="00802F83" w:rsidRPr="006F3B00" w:rsidRDefault="00802F83" w:rsidP="00802F83">
            <w:pPr>
              <w:rPr>
                <w:rFonts w:ascii="Times New Roman" w:hAnsi="Times New Roman" w:cs="Times New Roman"/>
                <w:b/>
                <w:u w:val="single"/>
              </w:rPr>
            </w:pPr>
          </w:p>
        </w:tc>
        <w:tc>
          <w:tcPr>
            <w:tcW w:w="720" w:type="dxa"/>
          </w:tcPr>
          <w:p w14:paraId="64A6DC5F" w14:textId="77777777" w:rsidR="00802F83" w:rsidRPr="006F3B00" w:rsidRDefault="00802F83" w:rsidP="00802F83">
            <w:pPr>
              <w:rPr>
                <w:rFonts w:ascii="Times New Roman" w:hAnsi="Times New Roman" w:cs="Times New Roman"/>
                <w:b/>
                <w:u w:val="single"/>
              </w:rPr>
            </w:pPr>
          </w:p>
        </w:tc>
        <w:tc>
          <w:tcPr>
            <w:tcW w:w="540" w:type="dxa"/>
          </w:tcPr>
          <w:p w14:paraId="70612424" w14:textId="77777777" w:rsidR="00802F83" w:rsidRPr="006F3B00" w:rsidRDefault="00802F83" w:rsidP="00802F83">
            <w:pPr>
              <w:rPr>
                <w:rFonts w:ascii="Times New Roman" w:hAnsi="Times New Roman" w:cs="Times New Roman"/>
                <w:b/>
                <w:u w:val="single"/>
              </w:rPr>
            </w:pPr>
          </w:p>
        </w:tc>
        <w:tc>
          <w:tcPr>
            <w:tcW w:w="540" w:type="dxa"/>
          </w:tcPr>
          <w:p w14:paraId="59B46E0A" w14:textId="77777777" w:rsidR="00802F83" w:rsidRPr="006F3B00" w:rsidRDefault="00802F83" w:rsidP="00802F83">
            <w:pPr>
              <w:rPr>
                <w:rFonts w:ascii="Times New Roman" w:hAnsi="Times New Roman" w:cs="Times New Roman"/>
                <w:b/>
                <w:u w:val="single"/>
              </w:rPr>
            </w:pPr>
          </w:p>
        </w:tc>
        <w:tc>
          <w:tcPr>
            <w:tcW w:w="725" w:type="dxa"/>
          </w:tcPr>
          <w:p w14:paraId="79EE644C" w14:textId="77777777" w:rsidR="00802F83" w:rsidRPr="006F3B00" w:rsidRDefault="00802F83" w:rsidP="00802F83">
            <w:pPr>
              <w:rPr>
                <w:rFonts w:ascii="Times New Roman" w:hAnsi="Times New Roman" w:cs="Times New Roman"/>
                <w:b/>
                <w:u w:val="single"/>
              </w:rPr>
            </w:pPr>
          </w:p>
        </w:tc>
      </w:tr>
      <w:tr w:rsidR="00AD4244" w:rsidRPr="006F3B00" w14:paraId="3581CA73" w14:textId="77777777" w:rsidTr="00AD4244">
        <w:trPr>
          <w:jc w:val="center"/>
        </w:trPr>
        <w:tc>
          <w:tcPr>
            <w:tcW w:w="2335" w:type="dxa"/>
          </w:tcPr>
          <w:p w14:paraId="6B5B457B" w14:textId="77777777" w:rsidR="00802F83" w:rsidRPr="006F3B00" w:rsidRDefault="00802F83" w:rsidP="00802F83">
            <w:pPr>
              <w:rPr>
                <w:rFonts w:ascii="Times New Roman" w:hAnsi="Times New Roman" w:cs="Times New Roman"/>
              </w:rPr>
            </w:pPr>
            <w:r w:rsidRPr="006F3B00">
              <w:rPr>
                <w:rFonts w:ascii="Times New Roman" w:hAnsi="Times New Roman" w:cs="Times New Roman"/>
              </w:rPr>
              <w:t xml:space="preserve">6. Trainee communicates with all staff appropriately e.g. effectively, timely, politely </w:t>
            </w:r>
          </w:p>
        </w:tc>
        <w:tc>
          <w:tcPr>
            <w:tcW w:w="540" w:type="dxa"/>
          </w:tcPr>
          <w:p w14:paraId="27856956" w14:textId="77777777" w:rsidR="00802F83" w:rsidRPr="006F3B00" w:rsidRDefault="00802F83" w:rsidP="00802F83">
            <w:pPr>
              <w:rPr>
                <w:rFonts w:ascii="Times New Roman" w:hAnsi="Times New Roman" w:cs="Times New Roman"/>
                <w:b/>
                <w:u w:val="single"/>
              </w:rPr>
            </w:pPr>
          </w:p>
        </w:tc>
        <w:tc>
          <w:tcPr>
            <w:tcW w:w="540" w:type="dxa"/>
          </w:tcPr>
          <w:p w14:paraId="4426C037" w14:textId="77777777" w:rsidR="00802F83" w:rsidRPr="006F3B00" w:rsidRDefault="00802F83" w:rsidP="00802F83">
            <w:pPr>
              <w:rPr>
                <w:rFonts w:ascii="Times New Roman" w:hAnsi="Times New Roman" w:cs="Times New Roman"/>
                <w:b/>
                <w:u w:val="single"/>
              </w:rPr>
            </w:pPr>
          </w:p>
        </w:tc>
        <w:tc>
          <w:tcPr>
            <w:tcW w:w="540" w:type="dxa"/>
          </w:tcPr>
          <w:p w14:paraId="1DA8CBC2" w14:textId="77777777" w:rsidR="00802F83" w:rsidRPr="006F3B00" w:rsidRDefault="00802F83" w:rsidP="00802F83">
            <w:pPr>
              <w:rPr>
                <w:rFonts w:ascii="Times New Roman" w:hAnsi="Times New Roman" w:cs="Times New Roman"/>
                <w:b/>
                <w:u w:val="single"/>
              </w:rPr>
            </w:pPr>
          </w:p>
        </w:tc>
        <w:tc>
          <w:tcPr>
            <w:tcW w:w="720" w:type="dxa"/>
          </w:tcPr>
          <w:p w14:paraId="6F9D99C8" w14:textId="77777777" w:rsidR="00802F83" w:rsidRPr="006F3B00" w:rsidRDefault="00802F83" w:rsidP="00802F83">
            <w:pPr>
              <w:rPr>
                <w:rFonts w:ascii="Times New Roman" w:hAnsi="Times New Roman" w:cs="Times New Roman"/>
                <w:b/>
                <w:u w:val="single"/>
              </w:rPr>
            </w:pPr>
          </w:p>
        </w:tc>
        <w:tc>
          <w:tcPr>
            <w:tcW w:w="720" w:type="dxa"/>
          </w:tcPr>
          <w:p w14:paraId="0C21725D" w14:textId="77777777" w:rsidR="00802F83" w:rsidRPr="006F3B00" w:rsidRDefault="00802F83" w:rsidP="00802F83">
            <w:pPr>
              <w:rPr>
                <w:rFonts w:ascii="Times New Roman" w:hAnsi="Times New Roman" w:cs="Times New Roman"/>
                <w:b/>
                <w:u w:val="single"/>
              </w:rPr>
            </w:pPr>
          </w:p>
        </w:tc>
        <w:tc>
          <w:tcPr>
            <w:tcW w:w="720" w:type="dxa"/>
          </w:tcPr>
          <w:p w14:paraId="7A2D120E" w14:textId="77777777" w:rsidR="00802F83" w:rsidRPr="006F3B00" w:rsidRDefault="00802F83" w:rsidP="00802F83">
            <w:pPr>
              <w:rPr>
                <w:rFonts w:ascii="Times New Roman" w:hAnsi="Times New Roman" w:cs="Times New Roman"/>
                <w:b/>
                <w:u w:val="single"/>
              </w:rPr>
            </w:pPr>
          </w:p>
        </w:tc>
        <w:tc>
          <w:tcPr>
            <w:tcW w:w="720" w:type="dxa"/>
          </w:tcPr>
          <w:p w14:paraId="2E1A8CBC" w14:textId="77777777" w:rsidR="00802F83" w:rsidRPr="006F3B00" w:rsidRDefault="00802F83" w:rsidP="00802F83">
            <w:pPr>
              <w:rPr>
                <w:rFonts w:ascii="Times New Roman" w:hAnsi="Times New Roman" w:cs="Times New Roman"/>
                <w:b/>
                <w:u w:val="single"/>
              </w:rPr>
            </w:pPr>
          </w:p>
        </w:tc>
        <w:tc>
          <w:tcPr>
            <w:tcW w:w="540" w:type="dxa"/>
          </w:tcPr>
          <w:p w14:paraId="4B95E6A2" w14:textId="77777777" w:rsidR="00802F83" w:rsidRPr="006F3B00" w:rsidRDefault="00802F83" w:rsidP="00802F83">
            <w:pPr>
              <w:rPr>
                <w:rFonts w:ascii="Times New Roman" w:hAnsi="Times New Roman" w:cs="Times New Roman"/>
                <w:b/>
                <w:u w:val="single"/>
              </w:rPr>
            </w:pPr>
          </w:p>
        </w:tc>
        <w:tc>
          <w:tcPr>
            <w:tcW w:w="540" w:type="dxa"/>
          </w:tcPr>
          <w:p w14:paraId="50BDA2A0" w14:textId="77777777" w:rsidR="00802F83" w:rsidRPr="006F3B00" w:rsidRDefault="00802F83" w:rsidP="00802F83">
            <w:pPr>
              <w:rPr>
                <w:rFonts w:ascii="Times New Roman" w:hAnsi="Times New Roman" w:cs="Times New Roman"/>
                <w:b/>
                <w:u w:val="single"/>
              </w:rPr>
            </w:pPr>
          </w:p>
        </w:tc>
        <w:tc>
          <w:tcPr>
            <w:tcW w:w="725" w:type="dxa"/>
          </w:tcPr>
          <w:p w14:paraId="1614C2CC" w14:textId="77777777" w:rsidR="00802F83" w:rsidRPr="006F3B00" w:rsidRDefault="00802F83" w:rsidP="00802F83">
            <w:pPr>
              <w:rPr>
                <w:rFonts w:ascii="Times New Roman" w:hAnsi="Times New Roman" w:cs="Times New Roman"/>
                <w:b/>
                <w:u w:val="single"/>
              </w:rPr>
            </w:pPr>
          </w:p>
        </w:tc>
      </w:tr>
      <w:tr w:rsidR="00AD4244" w:rsidRPr="006F3B00" w14:paraId="6D367432" w14:textId="77777777" w:rsidTr="00AD4244">
        <w:trPr>
          <w:jc w:val="center"/>
        </w:trPr>
        <w:tc>
          <w:tcPr>
            <w:tcW w:w="2335" w:type="dxa"/>
          </w:tcPr>
          <w:p w14:paraId="4F407C69" w14:textId="77777777" w:rsidR="00802F83" w:rsidRPr="006F3B00" w:rsidRDefault="00802F83" w:rsidP="00802F83">
            <w:pPr>
              <w:rPr>
                <w:rFonts w:ascii="Times New Roman" w:hAnsi="Times New Roman" w:cs="Times New Roman"/>
              </w:rPr>
            </w:pPr>
            <w:r w:rsidRPr="006F3B00">
              <w:rPr>
                <w:rFonts w:ascii="Times New Roman" w:hAnsi="Times New Roman" w:cs="Times New Roman"/>
              </w:rPr>
              <w:t>7. Trainee  works as part of a team e.g. works effectively with colleagues and does not create conflict</w:t>
            </w:r>
          </w:p>
        </w:tc>
        <w:tc>
          <w:tcPr>
            <w:tcW w:w="540" w:type="dxa"/>
          </w:tcPr>
          <w:p w14:paraId="77F1B1CA" w14:textId="77777777" w:rsidR="00802F83" w:rsidRPr="006F3B00" w:rsidRDefault="00802F83" w:rsidP="00802F83">
            <w:pPr>
              <w:rPr>
                <w:rFonts w:ascii="Times New Roman" w:hAnsi="Times New Roman" w:cs="Times New Roman"/>
                <w:b/>
                <w:u w:val="single"/>
              </w:rPr>
            </w:pPr>
          </w:p>
        </w:tc>
        <w:tc>
          <w:tcPr>
            <w:tcW w:w="540" w:type="dxa"/>
          </w:tcPr>
          <w:p w14:paraId="0E3E96EF" w14:textId="77777777" w:rsidR="00802F83" w:rsidRPr="006F3B00" w:rsidRDefault="00802F83" w:rsidP="00802F83">
            <w:pPr>
              <w:rPr>
                <w:rFonts w:ascii="Times New Roman" w:hAnsi="Times New Roman" w:cs="Times New Roman"/>
                <w:b/>
                <w:u w:val="single"/>
              </w:rPr>
            </w:pPr>
          </w:p>
        </w:tc>
        <w:tc>
          <w:tcPr>
            <w:tcW w:w="540" w:type="dxa"/>
          </w:tcPr>
          <w:p w14:paraId="12310EBE" w14:textId="77777777" w:rsidR="00802F83" w:rsidRPr="006F3B00" w:rsidRDefault="00802F83" w:rsidP="00802F83">
            <w:pPr>
              <w:rPr>
                <w:rFonts w:ascii="Times New Roman" w:hAnsi="Times New Roman" w:cs="Times New Roman"/>
                <w:b/>
                <w:u w:val="single"/>
              </w:rPr>
            </w:pPr>
          </w:p>
        </w:tc>
        <w:tc>
          <w:tcPr>
            <w:tcW w:w="720" w:type="dxa"/>
          </w:tcPr>
          <w:p w14:paraId="7F0F402C" w14:textId="77777777" w:rsidR="00802F83" w:rsidRPr="006F3B00" w:rsidRDefault="00802F83" w:rsidP="00802F83">
            <w:pPr>
              <w:rPr>
                <w:rFonts w:ascii="Times New Roman" w:hAnsi="Times New Roman" w:cs="Times New Roman"/>
                <w:b/>
                <w:u w:val="single"/>
              </w:rPr>
            </w:pPr>
          </w:p>
        </w:tc>
        <w:tc>
          <w:tcPr>
            <w:tcW w:w="720" w:type="dxa"/>
          </w:tcPr>
          <w:p w14:paraId="071DDE2F" w14:textId="77777777" w:rsidR="00802F83" w:rsidRPr="006F3B00" w:rsidRDefault="00802F83" w:rsidP="00802F83">
            <w:pPr>
              <w:rPr>
                <w:rFonts w:ascii="Times New Roman" w:hAnsi="Times New Roman" w:cs="Times New Roman"/>
                <w:b/>
                <w:u w:val="single"/>
              </w:rPr>
            </w:pPr>
          </w:p>
        </w:tc>
        <w:tc>
          <w:tcPr>
            <w:tcW w:w="720" w:type="dxa"/>
          </w:tcPr>
          <w:p w14:paraId="1FE170D7" w14:textId="77777777" w:rsidR="00802F83" w:rsidRPr="006F3B00" w:rsidRDefault="00802F83" w:rsidP="00802F83">
            <w:pPr>
              <w:rPr>
                <w:rFonts w:ascii="Times New Roman" w:hAnsi="Times New Roman" w:cs="Times New Roman"/>
                <w:b/>
                <w:u w:val="single"/>
              </w:rPr>
            </w:pPr>
          </w:p>
        </w:tc>
        <w:tc>
          <w:tcPr>
            <w:tcW w:w="720" w:type="dxa"/>
          </w:tcPr>
          <w:p w14:paraId="26B2B1B0" w14:textId="77777777" w:rsidR="00802F83" w:rsidRPr="006F3B00" w:rsidRDefault="00802F83" w:rsidP="00802F83">
            <w:pPr>
              <w:rPr>
                <w:rFonts w:ascii="Times New Roman" w:hAnsi="Times New Roman" w:cs="Times New Roman"/>
                <w:b/>
                <w:u w:val="single"/>
              </w:rPr>
            </w:pPr>
          </w:p>
        </w:tc>
        <w:tc>
          <w:tcPr>
            <w:tcW w:w="540" w:type="dxa"/>
          </w:tcPr>
          <w:p w14:paraId="30576EA7" w14:textId="77777777" w:rsidR="00802F83" w:rsidRPr="006F3B00" w:rsidRDefault="00802F83" w:rsidP="00802F83">
            <w:pPr>
              <w:rPr>
                <w:rFonts w:ascii="Times New Roman" w:hAnsi="Times New Roman" w:cs="Times New Roman"/>
                <w:b/>
                <w:u w:val="single"/>
              </w:rPr>
            </w:pPr>
          </w:p>
        </w:tc>
        <w:tc>
          <w:tcPr>
            <w:tcW w:w="540" w:type="dxa"/>
          </w:tcPr>
          <w:p w14:paraId="253CBB9C" w14:textId="77777777" w:rsidR="00802F83" w:rsidRPr="006F3B00" w:rsidRDefault="00802F83" w:rsidP="00802F83">
            <w:pPr>
              <w:rPr>
                <w:rFonts w:ascii="Times New Roman" w:hAnsi="Times New Roman" w:cs="Times New Roman"/>
                <w:b/>
                <w:u w:val="single"/>
              </w:rPr>
            </w:pPr>
          </w:p>
        </w:tc>
        <w:tc>
          <w:tcPr>
            <w:tcW w:w="725" w:type="dxa"/>
          </w:tcPr>
          <w:p w14:paraId="25F61954" w14:textId="77777777" w:rsidR="00802F83" w:rsidRPr="006F3B00" w:rsidRDefault="00802F83" w:rsidP="00802F83">
            <w:pPr>
              <w:rPr>
                <w:rFonts w:ascii="Times New Roman" w:hAnsi="Times New Roman" w:cs="Times New Roman"/>
                <w:b/>
                <w:u w:val="single"/>
              </w:rPr>
            </w:pPr>
          </w:p>
        </w:tc>
      </w:tr>
      <w:tr w:rsidR="00AD4244" w:rsidRPr="006F3B00" w14:paraId="79BC740C" w14:textId="77777777" w:rsidTr="00AD4244">
        <w:trPr>
          <w:jc w:val="center"/>
        </w:trPr>
        <w:tc>
          <w:tcPr>
            <w:tcW w:w="2335" w:type="dxa"/>
          </w:tcPr>
          <w:p w14:paraId="5D148358" w14:textId="77777777" w:rsidR="00802F83" w:rsidRPr="006F3B00" w:rsidRDefault="00802F83" w:rsidP="00802F83">
            <w:pPr>
              <w:rPr>
                <w:rFonts w:ascii="Times New Roman" w:hAnsi="Times New Roman" w:cs="Times New Roman"/>
              </w:rPr>
            </w:pPr>
            <w:r w:rsidRPr="006F3B00">
              <w:rPr>
                <w:rFonts w:ascii="Times New Roman" w:hAnsi="Times New Roman" w:cs="Times New Roman"/>
              </w:rPr>
              <w:t>8. Trainee is mo</w:t>
            </w:r>
            <w:r>
              <w:rPr>
                <w:rFonts w:ascii="Times New Roman" w:hAnsi="Times New Roman" w:cs="Times New Roman"/>
              </w:rPr>
              <w:t>tivated and has a good attitude</w:t>
            </w:r>
          </w:p>
        </w:tc>
        <w:tc>
          <w:tcPr>
            <w:tcW w:w="540" w:type="dxa"/>
          </w:tcPr>
          <w:p w14:paraId="76FFB76F" w14:textId="77777777" w:rsidR="00802F83" w:rsidRPr="006F3B00" w:rsidRDefault="00802F83" w:rsidP="00802F83">
            <w:pPr>
              <w:rPr>
                <w:rFonts w:ascii="Times New Roman" w:hAnsi="Times New Roman" w:cs="Times New Roman"/>
                <w:b/>
                <w:u w:val="single"/>
              </w:rPr>
            </w:pPr>
          </w:p>
        </w:tc>
        <w:tc>
          <w:tcPr>
            <w:tcW w:w="540" w:type="dxa"/>
          </w:tcPr>
          <w:p w14:paraId="4B2D0FD0" w14:textId="77777777" w:rsidR="00802F83" w:rsidRPr="006F3B00" w:rsidRDefault="00802F83" w:rsidP="00802F83">
            <w:pPr>
              <w:rPr>
                <w:rFonts w:ascii="Times New Roman" w:hAnsi="Times New Roman" w:cs="Times New Roman"/>
                <w:b/>
                <w:u w:val="single"/>
              </w:rPr>
            </w:pPr>
          </w:p>
        </w:tc>
        <w:tc>
          <w:tcPr>
            <w:tcW w:w="540" w:type="dxa"/>
          </w:tcPr>
          <w:p w14:paraId="1AC48D62" w14:textId="77777777" w:rsidR="00802F83" w:rsidRPr="006F3B00" w:rsidRDefault="00802F83" w:rsidP="00802F83">
            <w:pPr>
              <w:rPr>
                <w:rFonts w:ascii="Times New Roman" w:hAnsi="Times New Roman" w:cs="Times New Roman"/>
                <w:b/>
                <w:u w:val="single"/>
              </w:rPr>
            </w:pPr>
          </w:p>
        </w:tc>
        <w:tc>
          <w:tcPr>
            <w:tcW w:w="720" w:type="dxa"/>
          </w:tcPr>
          <w:p w14:paraId="0170B4E2" w14:textId="77777777" w:rsidR="00802F83" w:rsidRPr="006F3B00" w:rsidRDefault="00802F83" w:rsidP="00802F83">
            <w:pPr>
              <w:rPr>
                <w:rFonts w:ascii="Times New Roman" w:hAnsi="Times New Roman" w:cs="Times New Roman"/>
                <w:b/>
                <w:u w:val="single"/>
              </w:rPr>
            </w:pPr>
          </w:p>
        </w:tc>
        <w:tc>
          <w:tcPr>
            <w:tcW w:w="720" w:type="dxa"/>
          </w:tcPr>
          <w:p w14:paraId="5BD7F221" w14:textId="77777777" w:rsidR="00802F83" w:rsidRPr="006F3B00" w:rsidRDefault="00802F83" w:rsidP="00802F83">
            <w:pPr>
              <w:rPr>
                <w:rFonts w:ascii="Times New Roman" w:hAnsi="Times New Roman" w:cs="Times New Roman"/>
                <w:b/>
                <w:u w:val="single"/>
              </w:rPr>
            </w:pPr>
          </w:p>
        </w:tc>
        <w:tc>
          <w:tcPr>
            <w:tcW w:w="720" w:type="dxa"/>
          </w:tcPr>
          <w:p w14:paraId="0670C664" w14:textId="77777777" w:rsidR="00802F83" w:rsidRPr="006F3B00" w:rsidRDefault="00802F83" w:rsidP="00802F83">
            <w:pPr>
              <w:rPr>
                <w:rFonts w:ascii="Times New Roman" w:hAnsi="Times New Roman" w:cs="Times New Roman"/>
                <w:b/>
                <w:u w:val="single"/>
              </w:rPr>
            </w:pPr>
          </w:p>
        </w:tc>
        <w:tc>
          <w:tcPr>
            <w:tcW w:w="720" w:type="dxa"/>
          </w:tcPr>
          <w:p w14:paraId="2F77A692" w14:textId="77777777" w:rsidR="00802F83" w:rsidRPr="006F3B00" w:rsidRDefault="00802F83" w:rsidP="00802F83">
            <w:pPr>
              <w:rPr>
                <w:rFonts w:ascii="Times New Roman" w:hAnsi="Times New Roman" w:cs="Times New Roman"/>
                <w:b/>
                <w:u w:val="single"/>
              </w:rPr>
            </w:pPr>
          </w:p>
        </w:tc>
        <w:tc>
          <w:tcPr>
            <w:tcW w:w="540" w:type="dxa"/>
          </w:tcPr>
          <w:p w14:paraId="1C3E0A61" w14:textId="77777777" w:rsidR="00802F83" w:rsidRPr="006F3B00" w:rsidRDefault="00802F83" w:rsidP="00802F83">
            <w:pPr>
              <w:rPr>
                <w:rFonts w:ascii="Times New Roman" w:hAnsi="Times New Roman" w:cs="Times New Roman"/>
                <w:b/>
                <w:u w:val="single"/>
              </w:rPr>
            </w:pPr>
          </w:p>
        </w:tc>
        <w:tc>
          <w:tcPr>
            <w:tcW w:w="540" w:type="dxa"/>
          </w:tcPr>
          <w:p w14:paraId="1320EED4" w14:textId="77777777" w:rsidR="00802F83" w:rsidRPr="006F3B00" w:rsidRDefault="00802F83" w:rsidP="00802F83">
            <w:pPr>
              <w:rPr>
                <w:rFonts w:ascii="Times New Roman" w:hAnsi="Times New Roman" w:cs="Times New Roman"/>
                <w:b/>
                <w:u w:val="single"/>
              </w:rPr>
            </w:pPr>
          </w:p>
        </w:tc>
        <w:tc>
          <w:tcPr>
            <w:tcW w:w="725" w:type="dxa"/>
          </w:tcPr>
          <w:p w14:paraId="7176E858" w14:textId="77777777" w:rsidR="00802F83" w:rsidRPr="006F3B00" w:rsidRDefault="00802F83" w:rsidP="00802F83">
            <w:pPr>
              <w:rPr>
                <w:rFonts w:ascii="Times New Roman" w:hAnsi="Times New Roman" w:cs="Times New Roman"/>
                <w:b/>
                <w:u w:val="single"/>
              </w:rPr>
            </w:pPr>
          </w:p>
        </w:tc>
      </w:tr>
    </w:tbl>
    <w:p w14:paraId="7237B284" w14:textId="4E227B31" w:rsidR="00BE4939" w:rsidRDefault="00BE4939" w:rsidP="00BE4939">
      <w:pPr>
        <w:rPr>
          <w:rFonts w:ascii="Times New Roman" w:hAnsi="Times New Roman" w:cs="Times New Roman"/>
        </w:rPr>
      </w:pPr>
    </w:p>
    <w:p w14:paraId="7B83468D" w14:textId="2B56ED8E" w:rsidR="00802F83" w:rsidRDefault="00802F83" w:rsidP="00BE4939">
      <w:pPr>
        <w:rPr>
          <w:rFonts w:ascii="Times New Roman" w:hAnsi="Times New Roman" w:cs="Times New Roman"/>
        </w:rPr>
      </w:pPr>
    </w:p>
    <w:tbl>
      <w:tblPr>
        <w:tblStyle w:val="TableGrid"/>
        <w:tblW w:w="8635" w:type="dxa"/>
        <w:jc w:val="center"/>
        <w:tblLayout w:type="fixed"/>
        <w:tblLook w:val="04A0" w:firstRow="1" w:lastRow="0" w:firstColumn="1" w:lastColumn="0" w:noHBand="0" w:noVBand="1"/>
      </w:tblPr>
      <w:tblGrid>
        <w:gridCol w:w="2875"/>
        <w:gridCol w:w="540"/>
        <w:gridCol w:w="540"/>
        <w:gridCol w:w="540"/>
        <w:gridCol w:w="540"/>
        <w:gridCol w:w="540"/>
        <w:gridCol w:w="720"/>
        <w:gridCol w:w="540"/>
        <w:gridCol w:w="540"/>
        <w:gridCol w:w="540"/>
        <w:gridCol w:w="720"/>
      </w:tblGrid>
      <w:tr w:rsidR="00AD4244" w:rsidRPr="006F3B00" w14:paraId="4C30F20E" w14:textId="77777777" w:rsidTr="00AD4244">
        <w:trPr>
          <w:jc w:val="center"/>
        </w:trPr>
        <w:tc>
          <w:tcPr>
            <w:tcW w:w="2875" w:type="dxa"/>
          </w:tcPr>
          <w:p w14:paraId="2666E9FD" w14:textId="77777777" w:rsidR="00AD4244" w:rsidRPr="006F3B00" w:rsidRDefault="00AD4244" w:rsidP="00AD4244">
            <w:pPr>
              <w:rPr>
                <w:rFonts w:ascii="Times New Roman" w:hAnsi="Times New Roman" w:cs="Times New Roman"/>
                <w:b/>
              </w:rPr>
            </w:pPr>
          </w:p>
        </w:tc>
        <w:tc>
          <w:tcPr>
            <w:tcW w:w="5760" w:type="dxa"/>
            <w:gridSpan w:val="10"/>
          </w:tcPr>
          <w:p w14:paraId="552B5EDC" w14:textId="77DA633C" w:rsidR="00AD4244" w:rsidRPr="006F3B00" w:rsidRDefault="00AD4244" w:rsidP="00AD4244">
            <w:pPr>
              <w:rPr>
                <w:rFonts w:ascii="Times New Roman" w:hAnsi="Times New Roman" w:cs="Times New Roman"/>
                <w:b/>
              </w:rPr>
            </w:pPr>
            <w:r w:rsidRPr="006F3B00">
              <w:rPr>
                <w:rFonts w:ascii="Times New Roman" w:hAnsi="Times New Roman" w:cs="Times New Roman"/>
                <w:b/>
              </w:rPr>
              <w:t xml:space="preserve">Definitely not important      </w:t>
            </w:r>
            <w:r>
              <w:rPr>
                <w:rFonts w:ascii="Times New Roman" w:hAnsi="Times New Roman" w:cs="Times New Roman"/>
                <w:b/>
              </w:rPr>
              <w:t xml:space="preserve">                     </w:t>
            </w:r>
            <w:r w:rsidRPr="006F3B00">
              <w:rPr>
                <w:rFonts w:ascii="Times New Roman" w:hAnsi="Times New Roman" w:cs="Times New Roman"/>
                <w:b/>
              </w:rPr>
              <w:t>Definitely important</w:t>
            </w:r>
          </w:p>
          <w:p w14:paraId="7BE2F07D" w14:textId="77777777" w:rsidR="00AD4244" w:rsidRPr="006F3B00" w:rsidRDefault="00AD4244" w:rsidP="00AD4244">
            <w:pPr>
              <w:rPr>
                <w:rFonts w:ascii="Times New Roman" w:hAnsi="Times New Roman" w:cs="Times New Roman"/>
                <w:b/>
              </w:rPr>
            </w:pPr>
          </w:p>
        </w:tc>
      </w:tr>
      <w:tr w:rsidR="00AD4244" w:rsidRPr="006F3B00" w14:paraId="4D4AEBA1" w14:textId="77777777" w:rsidTr="00AD4244">
        <w:trPr>
          <w:jc w:val="center"/>
        </w:trPr>
        <w:tc>
          <w:tcPr>
            <w:tcW w:w="2875" w:type="dxa"/>
          </w:tcPr>
          <w:p w14:paraId="0CC2ECAA" w14:textId="77777777" w:rsidR="00AD4244" w:rsidRPr="006F3B00" w:rsidRDefault="00AD4244" w:rsidP="00AD4244">
            <w:pPr>
              <w:rPr>
                <w:rFonts w:ascii="Times New Roman" w:hAnsi="Times New Roman" w:cs="Times New Roman"/>
                <w:b/>
                <w:sz w:val="28"/>
                <w:szCs w:val="28"/>
              </w:rPr>
            </w:pPr>
            <w:r w:rsidRPr="006F3B00">
              <w:rPr>
                <w:rFonts w:ascii="Times New Roman" w:hAnsi="Times New Roman" w:cs="Times New Roman"/>
                <w:b/>
                <w:sz w:val="28"/>
                <w:szCs w:val="28"/>
              </w:rPr>
              <w:t>Forming a diagnosis</w:t>
            </w:r>
          </w:p>
        </w:tc>
        <w:tc>
          <w:tcPr>
            <w:tcW w:w="540" w:type="dxa"/>
          </w:tcPr>
          <w:p w14:paraId="2CFDE69D"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1</w:t>
            </w:r>
          </w:p>
        </w:tc>
        <w:tc>
          <w:tcPr>
            <w:tcW w:w="540" w:type="dxa"/>
          </w:tcPr>
          <w:p w14:paraId="2384D8FF"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2</w:t>
            </w:r>
          </w:p>
        </w:tc>
        <w:tc>
          <w:tcPr>
            <w:tcW w:w="540" w:type="dxa"/>
          </w:tcPr>
          <w:p w14:paraId="3A857ED0"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3</w:t>
            </w:r>
          </w:p>
        </w:tc>
        <w:tc>
          <w:tcPr>
            <w:tcW w:w="540" w:type="dxa"/>
          </w:tcPr>
          <w:p w14:paraId="2E5EB2AD"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4</w:t>
            </w:r>
          </w:p>
        </w:tc>
        <w:tc>
          <w:tcPr>
            <w:tcW w:w="540" w:type="dxa"/>
          </w:tcPr>
          <w:p w14:paraId="01F96AC5"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5</w:t>
            </w:r>
          </w:p>
        </w:tc>
        <w:tc>
          <w:tcPr>
            <w:tcW w:w="720" w:type="dxa"/>
          </w:tcPr>
          <w:p w14:paraId="5881CBD3"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6</w:t>
            </w:r>
          </w:p>
        </w:tc>
        <w:tc>
          <w:tcPr>
            <w:tcW w:w="540" w:type="dxa"/>
          </w:tcPr>
          <w:p w14:paraId="067549B5"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7</w:t>
            </w:r>
          </w:p>
        </w:tc>
        <w:tc>
          <w:tcPr>
            <w:tcW w:w="540" w:type="dxa"/>
          </w:tcPr>
          <w:p w14:paraId="5C994605"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8</w:t>
            </w:r>
          </w:p>
        </w:tc>
        <w:tc>
          <w:tcPr>
            <w:tcW w:w="540" w:type="dxa"/>
          </w:tcPr>
          <w:p w14:paraId="7F202087"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9</w:t>
            </w:r>
          </w:p>
        </w:tc>
        <w:tc>
          <w:tcPr>
            <w:tcW w:w="720" w:type="dxa"/>
          </w:tcPr>
          <w:p w14:paraId="0E8CDEC5"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10</w:t>
            </w:r>
          </w:p>
        </w:tc>
      </w:tr>
      <w:tr w:rsidR="00AD4244" w:rsidRPr="006F3B00" w14:paraId="46D7DD5C" w14:textId="77777777" w:rsidTr="00AD4244">
        <w:trPr>
          <w:jc w:val="center"/>
        </w:trPr>
        <w:tc>
          <w:tcPr>
            <w:tcW w:w="2875" w:type="dxa"/>
          </w:tcPr>
          <w:p w14:paraId="4E3E64F1" w14:textId="77777777" w:rsidR="00AD4244" w:rsidRPr="006F3B00" w:rsidRDefault="00AD4244" w:rsidP="00AD4244">
            <w:pPr>
              <w:rPr>
                <w:rFonts w:ascii="Times New Roman" w:hAnsi="Times New Roman" w:cs="Times New Roman"/>
              </w:rPr>
            </w:pPr>
            <w:r w:rsidRPr="006F3B00">
              <w:rPr>
                <w:rFonts w:ascii="Times New Roman" w:hAnsi="Times New Roman" w:cs="Times New Roman"/>
              </w:rPr>
              <w:t>9. The diagnosis is correct</w:t>
            </w:r>
          </w:p>
          <w:p w14:paraId="4AB34924" w14:textId="77777777" w:rsidR="00AD4244" w:rsidRPr="006F3B00" w:rsidRDefault="00AD4244" w:rsidP="00AD4244">
            <w:pPr>
              <w:rPr>
                <w:rFonts w:ascii="Times New Roman" w:hAnsi="Times New Roman" w:cs="Times New Roman"/>
              </w:rPr>
            </w:pPr>
          </w:p>
        </w:tc>
        <w:tc>
          <w:tcPr>
            <w:tcW w:w="540" w:type="dxa"/>
          </w:tcPr>
          <w:p w14:paraId="5B09D0E1" w14:textId="77777777" w:rsidR="00AD4244" w:rsidRPr="006F3B00" w:rsidRDefault="00AD4244" w:rsidP="00AD4244">
            <w:pPr>
              <w:rPr>
                <w:rFonts w:ascii="Times New Roman" w:hAnsi="Times New Roman" w:cs="Times New Roman"/>
                <w:b/>
                <w:u w:val="single"/>
              </w:rPr>
            </w:pPr>
          </w:p>
        </w:tc>
        <w:tc>
          <w:tcPr>
            <w:tcW w:w="540" w:type="dxa"/>
          </w:tcPr>
          <w:p w14:paraId="229F29AC" w14:textId="77777777" w:rsidR="00AD4244" w:rsidRPr="006F3B00" w:rsidRDefault="00AD4244" w:rsidP="00AD4244">
            <w:pPr>
              <w:rPr>
                <w:rFonts w:ascii="Times New Roman" w:hAnsi="Times New Roman" w:cs="Times New Roman"/>
                <w:b/>
                <w:u w:val="single"/>
              </w:rPr>
            </w:pPr>
          </w:p>
        </w:tc>
        <w:tc>
          <w:tcPr>
            <w:tcW w:w="540" w:type="dxa"/>
          </w:tcPr>
          <w:p w14:paraId="4F0E6E78" w14:textId="77777777" w:rsidR="00AD4244" w:rsidRPr="006F3B00" w:rsidRDefault="00AD4244" w:rsidP="00AD4244">
            <w:pPr>
              <w:rPr>
                <w:rFonts w:ascii="Times New Roman" w:hAnsi="Times New Roman" w:cs="Times New Roman"/>
                <w:b/>
                <w:u w:val="single"/>
              </w:rPr>
            </w:pPr>
          </w:p>
        </w:tc>
        <w:tc>
          <w:tcPr>
            <w:tcW w:w="540" w:type="dxa"/>
          </w:tcPr>
          <w:p w14:paraId="77B0DA44" w14:textId="77777777" w:rsidR="00AD4244" w:rsidRPr="006F3B00" w:rsidRDefault="00AD4244" w:rsidP="00AD4244">
            <w:pPr>
              <w:rPr>
                <w:rFonts w:ascii="Times New Roman" w:hAnsi="Times New Roman" w:cs="Times New Roman"/>
                <w:b/>
                <w:u w:val="single"/>
              </w:rPr>
            </w:pPr>
          </w:p>
        </w:tc>
        <w:tc>
          <w:tcPr>
            <w:tcW w:w="540" w:type="dxa"/>
          </w:tcPr>
          <w:p w14:paraId="56B25963" w14:textId="77777777" w:rsidR="00AD4244" w:rsidRPr="006F3B00" w:rsidRDefault="00AD4244" w:rsidP="00AD4244">
            <w:pPr>
              <w:rPr>
                <w:rFonts w:ascii="Times New Roman" w:hAnsi="Times New Roman" w:cs="Times New Roman"/>
                <w:b/>
                <w:u w:val="single"/>
              </w:rPr>
            </w:pPr>
          </w:p>
        </w:tc>
        <w:tc>
          <w:tcPr>
            <w:tcW w:w="720" w:type="dxa"/>
          </w:tcPr>
          <w:p w14:paraId="131C2061" w14:textId="77777777" w:rsidR="00AD4244" w:rsidRPr="006F3B00" w:rsidRDefault="00AD4244" w:rsidP="00AD4244">
            <w:pPr>
              <w:rPr>
                <w:rFonts w:ascii="Times New Roman" w:hAnsi="Times New Roman" w:cs="Times New Roman"/>
                <w:b/>
                <w:u w:val="single"/>
              </w:rPr>
            </w:pPr>
          </w:p>
        </w:tc>
        <w:tc>
          <w:tcPr>
            <w:tcW w:w="540" w:type="dxa"/>
          </w:tcPr>
          <w:p w14:paraId="3912F4EB" w14:textId="77777777" w:rsidR="00AD4244" w:rsidRPr="006F3B00" w:rsidRDefault="00AD4244" w:rsidP="00AD4244">
            <w:pPr>
              <w:rPr>
                <w:rFonts w:ascii="Times New Roman" w:hAnsi="Times New Roman" w:cs="Times New Roman"/>
                <w:b/>
                <w:u w:val="single"/>
              </w:rPr>
            </w:pPr>
          </w:p>
        </w:tc>
        <w:tc>
          <w:tcPr>
            <w:tcW w:w="540" w:type="dxa"/>
          </w:tcPr>
          <w:p w14:paraId="274AA062" w14:textId="77777777" w:rsidR="00AD4244" w:rsidRPr="006F3B00" w:rsidRDefault="00AD4244" w:rsidP="00AD4244">
            <w:pPr>
              <w:rPr>
                <w:rFonts w:ascii="Times New Roman" w:hAnsi="Times New Roman" w:cs="Times New Roman"/>
                <w:b/>
                <w:u w:val="single"/>
              </w:rPr>
            </w:pPr>
          </w:p>
        </w:tc>
        <w:tc>
          <w:tcPr>
            <w:tcW w:w="540" w:type="dxa"/>
          </w:tcPr>
          <w:p w14:paraId="74F78E3D" w14:textId="77777777" w:rsidR="00AD4244" w:rsidRPr="006F3B00" w:rsidRDefault="00AD4244" w:rsidP="00AD4244">
            <w:pPr>
              <w:rPr>
                <w:rFonts w:ascii="Times New Roman" w:hAnsi="Times New Roman" w:cs="Times New Roman"/>
                <w:b/>
                <w:u w:val="single"/>
              </w:rPr>
            </w:pPr>
          </w:p>
        </w:tc>
        <w:tc>
          <w:tcPr>
            <w:tcW w:w="720" w:type="dxa"/>
          </w:tcPr>
          <w:p w14:paraId="5818B4AB" w14:textId="77777777" w:rsidR="00AD4244" w:rsidRPr="006F3B00" w:rsidRDefault="00AD4244" w:rsidP="00AD4244">
            <w:pPr>
              <w:rPr>
                <w:rFonts w:ascii="Times New Roman" w:hAnsi="Times New Roman" w:cs="Times New Roman"/>
                <w:b/>
                <w:u w:val="single"/>
              </w:rPr>
            </w:pPr>
          </w:p>
        </w:tc>
      </w:tr>
      <w:tr w:rsidR="00AD4244" w:rsidRPr="006F3B00" w14:paraId="65148510" w14:textId="77777777" w:rsidTr="00AD4244">
        <w:trPr>
          <w:jc w:val="center"/>
        </w:trPr>
        <w:tc>
          <w:tcPr>
            <w:tcW w:w="2875" w:type="dxa"/>
          </w:tcPr>
          <w:p w14:paraId="6253F912" w14:textId="77777777" w:rsidR="00AD4244" w:rsidRPr="006F3B00" w:rsidRDefault="00AD4244" w:rsidP="00AD4244">
            <w:pPr>
              <w:rPr>
                <w:rFonts w:ascii="Times New Roman" w:hAnsi="Times New Roman" w:cs="Times New Roman"/>
              </w:rPr>
            </w:pPr>
            <w:r w:rsidRPr="006F3B00">
              <w:rPr>
                <w:rFonts w:ascii="Times New Roman" w:hAnsi="Times New Roman" w:cs="Times New Roman"/>
              </w:rPr>
              <w:t>10. Trainee consistently produces a correct diagnosis</w:t>
            </w:r>
          </w:p>
          <w:p w14:paraId="4A8721E6" w14:textId="77777777" w:rsidR="00AD4244" w:rsidRPr="006F3B00" w:rsidRDefault="00AD4244" w:rsidP="00AD4244">
            <w:pPr>
              <w:rPr>
                <w:rFonts w:ascii="Times New Roman" w:hAnsi="Times New Roman" w:cs="Times New Roman"/>
              </w:rPr>
            </w:pPr>
          </w:p>
        </w:tc>
        <w:tc>
          <w:tcPr>
            <w:tcW w:w="540" w:type="dxa"/>
          </w:tcPr>
          <w:p w14:paraId="3D2C3FC8" w14:textId="77777777" w:rsidR="00AD4244" w:rsidRPr="006F3B00" w:rsidRDefault="00AD4244" w:rsidP="00AD4244">
            <w:pPr>
              <w:rPr>
                <w:rFonts w:ascii="Times New Roman" w:hAnsi="Times New Roman" w:cs="Times New Roman"/>
                <w:b/>
                <w:u w:val="single"/>
              </w:rPr>
            </w:pPr>
          </w:p>
        </w:tc>
        <w:tc>
          <w:tcPr>
            <w:tcW w:w="540" w:type="dxa"/>
          </w:tcPr>
          <w:p w14:paraId="6597C394" w14:textId="77777777" w:rsidR="00AD4244" w:rsidRPr="006F3B00" w:rsidRDefault="00AD4244" w:rsidP="00AD4244">
            <w:pPr>
              <w:rPr>
                <w:rFonts w:ascii="Times New Roman" w:hAnsi="Times New Roman" w:cs="Times New Roman"/>
                <w:b/>
                <w:u w:val="single"/>
              </w:rPr>
            </w:pPr>
          </w:p>
        </w:tc>
        <w:tc>
          <w:tcPr>
            <w:tcW w:w="540" w:type="dxa"/>
          </w:tcPr>
          <w:p w14:paraId="0A370280" w14:textId="77777777" w:rsidR="00AD4244" w:rsidRPr="006F3B00" w:rsidRDefault="00AD4244" w:rsidP="00AD4244">
            <w:pPr>
              <w:rPr>
                <w:rFonts w:ascii="Times New Roman" w:hAnsi="Times New Roman" w:cs="Times New Roman"/>
                <w:b/>
                <w:u w:val="single"/>
              </w:rPr>
            </w:pPr>
          </w:p>
        </w:tc>
        <w:tc>
          <w:tcPr>
            <w:tcW w:w="540" w:type="dxa"/>
          </w:tcPr>
          <w:p w14:paraId="7B679408" w14:textId="77777777" w:rsidR="00AD4244" w:rsidRPr="006F3B00" w:rsidRDefault="00AD4244" w:rsidP="00AD4244">
            <w:pPr>
              <w:rPr>
                <w:rFonts w:ascii="Times New Roman" w:hAnsi="Times New Roman" w:cs="Times New Roman"/>
                <w:b/>
                <w:u w:val="single"/>
              </w:rPr>
            </w:pPr>
          </w:p>
        </w:tc>
        <w:tc>
          <w:tcPr>
            <w:tcW w:w="540" w:type="dxa"/>
          </w:tcPr>
          <w:p w14:paraId="4FA6E533" w14:textId="77777777" w:rsidR="00AD4244" w:rsidRPr="006F3B00" w:rsidRDefault="00AD4244" w:rsidP="00AD4244">
            <w:pPr>
              <w:rPr>
                <w:rFonts w:ascii="Times New Roman" w:hAnsi="Times New Roman" w:cs="Times New Roman"/>
                <w:b/>
                <w:u w:val="single"/>
              </w:rPr>
            </w:pPr>
          </w:p>
        </w:tc>
        <w:tc>
          <w:tcPr>
            <w:tcW w:w="720" w:type="dxa"/>
          </w:tcPr>
          <w:p w14:paraId="50B3BDC0" w14:textId="77777777" w:rsidR="00AD4244" w:rsidRPr="006F3B00" w:rsidRDefault="00AD4244" w:rsidP="00AD4244">
            <w:pPr>
              <w:rPr>
                <w:rFonts w:ascii="Times New Roman" w:hAnsi="Times New Roman" w:cs="Times New Roman"/>
                <w:b/>
                <w:u w:val="single"/>
              </w:rPr>
            </w:pPr>
          </w:p>
        </w:tc>
        <w:tc>
          <w:tcPr>
            <w:tcW w:w="540" w:type="dxa"/>
          </w:tcPr>
          <w:p w14:paraId="1A8361FE" w14:textId="77777777" w:rsidR="00AD4244" w:rsidRPr="006F3B00" w:rsidRDefault="00AD4244" w:rsidP="00AD4244">
            <w:pPr>
              <w:rPr>
                <w:rFonts w:ascii="Times New Roman" w:hAnsi="Times New Roman" w:cs="Times New Roman"/>
                <w:b/>
                <w:u w:val="single"/>
              </w:rPr>
            </w:pPr>
          </w:p>
        </w:tc>
        <w:tc>
          <w:tcPr>
            <w:tcW w:w="540" w:type="dxa"/>
          </w:tcPr>
          <w:p w14:paraId="3D530EB0" w14:textId="77777777" w:rsidR="00AD4244" w:rsidRPr="006F3B00" w:rsidRDefault="00AD4244" w:rsidP="00AD4244">
            <w:pPr>
              <w:rPr>
                <w:rFonts w:ascii="Times New Roman" w:hAnsi="Times New Roman" w:cs="Times New Roman"/>
                <w:b/>
                <w:u w:val="single"/>
              </w:rPr>
            </w:pPr>
          </w:p>
        </w:tc>
        <w:tc>
          <w:tcPr>
            <w:tcW w:w="540" w:type="dxa"/>
          </w:tcPr>
          <w:p w14:paraId="36673F5E" w14:textId="77777777" w:rsidR="00AD4244" w:rsidRPr="006F3B00" w:rsidRDefault="00AD4244" w:rsidP="00AD4244">
            <w:pPr>
              <w:rPr>
                <w:rFonts w:ascii="Times New Roman" w:hAnsi="Times New Roman" w:cs="Times New Roman"/>
                <w:b/>
                <w:u w:val="single"/>
              </w:rPr>
            </w:pPr>
          </w:p>
        </w:tc>
        <w:tc>
          <w:tcPr>
            <w:tcW w:w="720" w:type="dxa"/>
          </w:tcPr>
          <w:p w14:paraId="31F6D34A" w14:textId="77777777" w:rsidR="00AD4244" w:rsidRPr="006F3B00" w:rsidRDefault="00AD4244" w:rsidP="00AD4244">
            <w:pPr>
              <w:rPr>
                <w:rFonts w:ascii="Times New Roman" w:hAnsi="Times New Roman" w:cs="Times New Roman"/>
                <w:b/>
                <w:u w:val="single"/>
              </w:rPr>
            </w:pPr>
          </w:p>
        </w:tc>
      </w:tr>
      <w:tr w:rsidR="00AD4244" w:rsidRPr="006F3B00" w14:paraId="01F63F3B" w14:textId="77777777" w:rsidTr="00AD4244">
        <w:trPr>
          <w:jc w:val="center"/>
        </w:trPr>
        <w:tc>
          <w:tcPr>
            <w:tcW w:w="2875" w:type="dxa"/>
          </w:tcPr>
          <w:p w14:paraId="5D70023E" w14:textId="77777777" w:rsidR="00AD4244" w:rsidRDefault="00AD4244" w:rsidP="00AD4244">
            <w:pPr>
              <w:rPr>
                <w:rFonts w:ascii="Times New Roman" w:hAnsi="Times New Roman" w:cs="Times New Roman"/>
              </w:rPr>
            </w:pPr>
            <w:r w:rsidRPr="006F3B00">
              <w:rPr>
                <w:rFonts w:ascii="Times New Roman" w:hAnsi="Times New Roman" w:cs="Times New Roman"/>
              </w:rPr>
              <w:t>11. The histopathology report is accurate &amp; does not contain factual errors or omit important information</w:t>
            </w:r>
          </w:p>
          <w:p w14:paraId="5F41A614" w14:textId="0015BFE9" w:rsidR="00BE3B6C" w:rsidRPr="006F3B00" w:rsidRDefault="00BE3B6C" w:rsidP="00AD4244">
            <w:pPr>
              <w:rPr>
                <w:rFonts w:ascii="Times New Roman" w:hAnsi="Times New Roman" w:cs="Times New Roman"/>
              </w:rPr>
            </w:pPr>
          </w:p>
        </w:tc>
        <w:tc>
          <w:tcPr>
            <w:tcW w:w="540" w:type="dxa"/>
          </w:tcPr>
          <w:p w14:paraId="748D435A" w14:textId="77777777" w:rsidR="00AD4244" w:rsidRPr="006F3B00" w:rsidRDefault="00AD4244" w:rsidP="00AD4244">
            <w:pPr>
              <w:rPr>
                <w:rFonts w:ascii="Times New Roman" w:hAnsi="Times New Roman" w:cs="Times New Roman"/>
                <w:b/>
                <w:u w:val="single"/>
              </w:rPr>
            </w:pPr>
          </w:p>
        </w:tc>
        <w:tc>
          <w:tcPr>
            <w:tcW w:w="540" w:type="dxa"/>
          </w:tcPr>
          <w:p w14:paraId="6A5DB7B9" w14:textId="77777777" w:rsidR="00AD4244" w:rsidRPr="006F3B00" w:rsidRDefault="00AD4244" w:rsidP="00AD4244">
            <w:pPr>
              <w:rPr>
                <w:rFonts w:ascii="Times New Roman" w:hAnsi="Times New Roman" w:cs="Times New Roman"/>
                <w:b/>
                <w:u w:val="single"/>
              </w:rPr>
            </w:pPr>
          </w:p>
        </w:tc>
        <w:tc>
          <w:tcPr>
            <w:tcW w:w="540" w:type="dxa"/>
          </w:tcPr>
          <w:p w14:paraId="285E20EE" w14:textId="77777777" w:rsidR="00AD4244" w:rsidRPr="006F3B00" w:rsidRDefault="00AD4244" w:rsidP="00AD4244">
            <w:pPr>
              <w:rPr>
                <w:rFonts w:ascii="Times New Roman" w:hAnsi="Times New Roman" w:cs="Times New Roman"/>
                <w:b/>
                <w:u w:val="single"/>
              </w:rPr>
            </w:pPr>
          </w:p>
        </w:tc>
        <w:tc>
          <w:tcPr>
            <w:tcW w:w="540" w:type="dxa"/>
          </w:tcPr>
          <w:p w14:paraId="3E221371" w14:textId="77777777" w:rsidR="00AD4244" w:rsidRPr="006F3B00" w:rsidRDefault="00AD4244" w:rsidP="00AD4244">
            <w:pPr>
              <w:rPr>
                <w:rFonts w:ascii="Times New Roman" w:hAnsi="Times New Roman" w:cs="Times New Roman"/>
                <w:b/>
                <w:u w:val="single"/>
              </w:rPr>
            </w:pPr>
          </w:p>
        </w:tc>
        <w:tc>
          <w:tcPr>
            <w:tcW w:w="540" w:type="dxa"/>
          </w:tcPr>
          <w:p w14:paraId="3C50ACBE" w14:textId="77777777" w:rsidR="00AD4244" w:rsidRPr="006F3B00" w:rsidRDefault="00AD4244" w:rsidP="00AD4244">
            <w:pPr>
              <w:rPr>
                <w:rFonts w:ascii="Times New Roman" w:hAnsi="Times New Roman" w:cs="Times New Roman"/>
                <w:b/>
                <w:u w:val="single"/>
              </w:rPr>
            </w:pPr>
          </w:p>
        </w:tc>
        <w:tc>
          <w:tcPr>
            <w:tcW w:w="720" w:type="dxa"/>
          </w:tcPr>
          <w:p w14:paraId="7DFFD4EE" w14:textId="77777777" w:rsidR="00AD4244" w:rsidRPr="006F3B00" w:rsidRDefault="00AD4244" w:rsidP="00AD4244">
            <w:pPr>
              <w:rPr>
                <w:rFonts w:ascii="Times New Roman" w:hAnsi="Times New Roman" w:cs="Times New Roman"/>
                <w:b/>
                <w:u w:val="single"/>
              </w:rPr>
            </w:pPr>
          </w:p>
        </w:tc>
        <w:tc>
          <w:tcPr>
            <w:tcW w:w="540" w:type="dxa"/>
          </w:tcPr>
          <w:p w14:paraId="5A989B7B" w14:textId="77777777" w:rsidR="00AD4244" w:rsidRPr="006F3B00" w:rsidRDefault="00AD4244" w:rsidP="00AD4244">
            <w:pPr>
              <w:rPr>
                <w:rFonts w:ascii="Times New Roman" w:hAnsi="Times New Roman" w:cs="Times New Roman"/>
                <w:b/>
                <w:u w:val="single"/>
              </w:rPr>
            </w:pPr>
          </w:p>
        </w:tc>
        <w:tc>
          <w:tcPr>
            <w:tcW w:w="540" w:type="dxa"/>
          </w:tcPr>
          <w:p w14:paraId="2B91A29D" w14:textId="77777777" w:rsidR="00AD4244" w:rsidRPr="006F3B00" w:rsidRDefault="00AD4244" w:rsidP="00AD4244">
            <w:pPr>
              <w:rPr>
                <w:rFonts w:ascii="Times New Roman" w:hAnsi="Times New Roman" w:cs="Times New Roman"/>
                <w:b/>
                <w:u w:val="single"/>
              </w:rPr>
            </w:pPr>
          </w:p>
        </w:tc>
        <w:tc>
          <w:tcPr>
            <w:tcW w:w="540" w:type="dxa"/>
          </w:tcPr>
          <w:p w14:paraId="0D182E37" w14:textId="77777777" w:rsidR="00AD4244" w:rsidRPr="006F3B00" w:rsidRDefault="00AD4244" w:rsidP="00AD4244">
            <w:pPr>
              <w:rPr>
                <w:rFonts w:ascii="Times New Roman" w:hAnsi="Times New Roman" w:cs="Times New Roman"/>
                <w:b/>
                <w:u w:val="single"/>
              </w:rPr>
            </w:pPr>
          </w:p>
        </w:tc>
        <w:tc>
          <w:tcPr>
            <w:tcW w:w="720" w:type="dxa"/>
          </w:tcPr>
          <w:p w14:paraId="73B1AAE6" w14:textId="77777777" w:rsidR="00AD4244" w:rsidRPr="006F3B00" w:rsidRDefault="00AD4244" w:rsidP="00AD4244">
            <w:pPr>
              <w:rPr>
                <w:rFonts w:ascii="Times New Roman" w:hAnsi="Times New Roman" w:cs="Times New Roman"/>
                <w:b/>
                <w:u w:val="single"/>
              </w:rPr>
            </w:pPr>
          </w:p>
        </w:tc>
      </w:tr>
      <w:tr w:rsidR="00AD4244" w:rsidRPr="006F3B00" w14:paraId="514FC6E6" w14:textId="77777777" w:rsidTr="00AD4244">
        <w:trPr>
          <w:jc w:val="center"/>
        </w:trPr>
        <w:tc>
          <w:tcPr>
            <w:tcW w:w="2875" w:type="dxa"/>
          </w:tcPr>
          <w:p w14:paraId="2C9B363E" w14:textId="77777777" w:rsidR="00AD4244" w:rsidRDefault="00AD4244" w:rsidP="00AD4244">
            <w:pPr>
              <w:rPr>
                <w:rFonts w:ascii="Times New Roman" w:hAnsi="Times New Roman" w:cs="Times New Roman"/>
              </w:rPr>
            </w:pPr>
            <w:r w:rsidRPr="006F3B00">
              <w:rPr>
                <w:rFonts w:ascii="Times New Roman" w:hAnsi="Times New Roman" w:cs="Times New Roman"/>
              </w:rPr>
              <w:t>12. Trainee shows evidence of clinico-pathological correlation: clinical information/macroscopic work is used to support/refute possible diagnoses/features. Examples might be correlating radiographic with histological findings; referring to previous pathology reports that are relevant to the current biopsy; recognising that clinical information provided may affect what is seen histologically, e.g. previous radiotherapy</w:t>
            </w:r>
          </w:p>
          <w:p w14:paraId="5EE46FB5" w14:textId="1C02A5B1" w:rsidR="00BE3B6C" w:rsidRPr="006F3B00" w:rsidRDefault="00BE3B6C" w:rsidP="00AD4244">
            <w:pPr>
              <w:rPr>
                <w:rFonts w:ascii="Times New Roman" w:hAnsi="Times New Roman" w:cs="Times New Roman"/>
              </w:rPr>
            </w:pPr>
          </w:p>
        </w:tc>
        <w:tc>
          <w:tcPr>
            <w:tcW w:w="540" w:type="dxa"/>
          </w:tcPr>
          <w:p w14:paraId="7C9E5236" w14:textId="77777777" w:rsidR="00AD4244" w:rsidRPr="006F3B00" w:rsidRDefault="00AD4244" w:rsidP="00AD4244">
            <w:pPr>
              <w:rPr>
                <w:rFonts w:ascii="Times New Roman" w:hAnsi="Times New Roman" w:cs="Times New Roman"/>
                <w:b/>
                <w:u w:val="single"/>
              </w:rPr>
            </w:pPr>
          </w:p>
        </w:tc>
        <w:tc>
          <w:tcPr>
            <w:tcW w:w="540" w:type="dxa"/>
          </w:tcPr>
          <w:p w14:paraId="60C4E231" w14:textId="77777777" w:rsidR="00AD4244" w:rsidRPr="006F3B00" w:rsidRDefault="00AD4244" w:rsidP="00AD4244">
            <w:pPr>
              <w:rPr>
                <w:rFonts w:ascii="Times New Roman" w:hAnsi="Times New Roman" w:cs="Times New Roman"/>
                <w:b/>
                <w:u w:val="single"/>
              </w:rPr>
            </w:pPr>
          </w:p>
        </w:tc>
        <w:tc>
          <w:tcPr>
            <w:tcW w:w="540" w:type="dxa"/>
          </w:tcPr>
          <w:p w14:paraId="7C266650" w14:textId="77777777" w:rsidR="00AD4244" w:rsidRPr="006F3B00" w:rsidRDefault="00AD4244" w:rsidP="00AD4244">
            <w:pPr>
              <w:rPr>
                <w:rFonts w:ascii="Times New Roman" w:hAnsi="Times New Roman" w:cs="Times New Roman"/>
                <w:b/>
                <w:u w:val="single"/>
              </w:rPr>
            </w:pPr>
          </w:p>
        </w:tc>
        <w:tc>
          <w:tcPr>
            <w:tcW w:w="540" w:type="dxa"/>
          </w:tcPr>
          <w:p w14:paraId="682FF635" w14:textId="77777777" w:rsidR="00AD4244" w:rsidRPr="006F3B00" w:rsidRDefault="00AD4244" w:rsidP="00AD4244">
            <w:pPr>
              <w:rPr>
                <w:rFonts w:ascii="Times New Roman" w:hAnsi="Times New Roman" w:cs="Times New Roman"/>
                <w:b/>
                <w:u w:val="single"/>
              </w:rPr>
            </w:pPr>
          </w:p>
        </w:tc>
        <w:tc>
          <w:tcPr>
            <w:tcW w:w="540" w:type="dxa"/>
          </w:tcPr>
          <w:p w14:paraId="130545DE" w14:textId="77777777" w:rsidR="00AD4244" w:rsidRPr="006F3B00" w:rsidRDefault="00AD4244" w:rsidP="00AD4244">
            <w:pPr>
              <w:rPr>
                <w:rFonts w:ascii="Times New Roman" w:hAnsi="Times New Roman" w:cs="Times New Roman"/>
                <w:b/>
                <w:u w:val="single"/>
              </w:rPr>
            </w:pPr>
          </w:p>
        </w:tc>
        <w:tc>
          <w:tcPr>
            <w:tcW w:w="720" w:type="dxa"/>
          </w:tcPr>
          <w:p w14:paraId="4C561DBB" w14:textId="77777777" w:rsidR="00AD4244" w:rsidRPr="006F3B00" w:rsidRDefault="00AD4244" w:rsidP="00AD4244">
            <w:pPr>
              <w:rPr>
                <w:rFonts w:ascii="Times New Roman" w:hAnsi="Times New Roman" w:cs="Times New Roman"/>
                <w:b/>
                <w:u w:val="single"/>
              </w:rPr>
            </w:pPr>
          </w:p>
        </w:tc>
        <w:tc>
          <w:tcPr>
            <w:tcW w:w="540" w:type="dxa"/>
          </w:tcPr>
          <w:p w14:paraId="1EBF5EBC" w14:textId="77777777" w:rsidR="00AD4244" w:rsidRPr="006F3B00" w:rsidRDefault="00AD4244" w:rsidP="00AD4244">
            <w:pPr>
              <w:rPr>
                <w:rFonts w:ascii="Times New Roman" w:hAnsi="Times New Roman" w:cs="Times New Roman"/>
                <w:b/>
                <w:u w:val="single"/>
              </w:rPr>
            </w:pPr>
          </w:p>
        </w:tc>
        <w:tc>
          <w:tcPr>
            <w:tcW w:w="540" w:type="dxa"/>
          </w:tcPr>
          <w:p w14:paraId="2EA216EF" w14:textId="77777777" w:rsidR="00AD4244" w:rsidRPr="006F3B00" w:rsidRDefault="00AD4244" w:rsidP="00AD4244">
            <w:pPr>
              <w:rPr>
                <w:rFonts w:ascii="Times New Roman" w:hAnsi="Times New Roman" w:cs="Times New Roman"/>
                <w:b/>
                <w:u w:val="single"/>
              </w:rPr>
            </w:pPr>
          </w:p>
        </w:tc>
        <w:tc>
          <w:tcPr>
            <w:tcW w:w="540" w:type="dxa"/>
          </w:tcPr>
          <w:p w14:paraId="1B5690FD" w14:textId="77777777" w:rsidR="00AD4244" w:rsidRPr="006F3B00" w:rsidRDefault="00AD4244" w:rsidP="00AD4244">
            <w:pPr>
              <w:rPr>
                <w:rFonts w:ascii="Times New Roman" w:hAnsi="Times New Roman" w:cs="Times New Roman"/>
                <w:b/>
                <w:u w:val="single"/>
              </w:rPr>
            </w:pPr>
          </w:p>
        </w:tc>
        <w:tc>
          <w:tcPr>
            <w:tcW w:w="720" w:type="dxa"/>
          </w:tcPr>
          <w:p w14:paraId="6304FC4B" w14:textId="77777777" w:rsidR="00AD4244" w:rsidRPr="006F3B00" w:rsidRDefault="00AD4244" w:rsidP="00AD4244">
            <w:pPr>
              <w:rPr>
                <w:rFonts w:ascii="Times New Roman" w:hAnsi="Times New Roman" w:cs="Times New Roman"/>
                <w:b/>
                <w:u w:val="single"/>
              </w:rPr>
            </w:pPr>
          </w:p>
        </w:tc>
      </w:tr>
      <w:tr w:rsidR="00AD4244" w:rsidRPr="006F3B00" w14:paraId="3A4B0AD6" w14:textId="77777777" w:rsidTr="00AD4244">
        <w:trPr>
          <w:jc w:val="center"/>
        </w:trPr>
        <w:tc>
          <w:tcPr>
            <w:tcW w:w="2875" w:type="dxa"/>
          </w:tcPr>
          <w:p w14:paraId="598BFEFD" w14:textId="77777777" w:rsidR="00AD4244" w:rsidRDefault="00AD4244" w:rsidP="00AD4244">
            <w:pPr>
              <w:rPr>
                <w:rFonts w:ascii="Times New Roman" w:hAnsi="Times New Roman" w:cs="Times New Roman"/>
              </w:rPr>
            </w:pPr>
            <w:r w:rsidRPr="006F3B00">
              <w:rPr>
                <w:rFonts w:ascii="Times New Roman" w:hAnsi="Times New Roman" w:cs="Times New Roman"/>
              </w:rPr>
              <w:t>13. Trainee follows sound pathological principles to reach a diagnosis e.g. the trainee understands how they reached the diagnosis, has a consistent, accurate way of examining slides and knows the steps involved when making a diagnosis. The diagnosis has not stemmed from guessing.</w:t>
            </w:r>
          </w:p>
          <w:p w14:paraId="7C8E56D8" w14:textId="27148701" w:rsidR="00BE3B6C" w:rsidRPr="006F3B00" w:rsidRDefault="00BE3B6C" w:rsidP="00AD4244">
            <w:pPr>
              <w:rPr>
                <w:rFonts w:ascii="Times New Roman" w:hAnsi="Times New Roman" w:cs="Times New Roman"/>
              </w:rPr>
            </w:pPr>
          </w:p>
        </w:tc>
        <w:tc>
          <w:tcPr>
            <w:tcW w:w="540" w:type="dxa"/>
          </w:tcPr>
          <w:p w14:paraId="7BA68EE2" w14:textId="77777777" w:rsidR="00AD4244" w:rsidRPr="006F3B00" w:rsidRDefault="00AD4244" w:rsidP="00AD4244">
            <w:pPr>
              <w:rPr>
                <w:rFonts w:ascii="Times New Roman" w:hAnsi="Times New Roman" w:cs="Times New Roman"/>
                <w:b/>
                <w:u w:val="single"/>
              </w:rPr>
            </w:pPr>
          </w:p>
        </w:tc>
        <w:tc>
          <w:tcPr>
            <w:tcW w:w="540" w:type="dxa"/>
          </w:tcPr>
          <w:p w14:paraId="3FC45C07" w14:textId="77777777" w:rsidR="00AD4244" w:rsidRPr="006F3B00" w:rsidRDefault="00AD4244" w:rsidP="00AD4244">
            <w:pPr>
              <w:rPr>
                <w:rFonts w:ascii="Times New Roman" w:hAnsi="Times New Roman" w:cs="Times New Roman"/>
                <w:b/>
                <w:u w:val="single"/>
              </w:rPr>
            </w:pPr>
          </w:p>
        </w:tc>
        <w:tc>
          <w:tcPr>
            <w:tcW w:w="540" w:type="dxa"/>
          </w:tcPr>
          <w:p w14:paraId="6B0B4FFB" w14:textId="77777777" w:rsidR="00AD4244" w:rsidRPr="006F3B00" w:rsidRDefault="00AD4244" w:rsidP="00AD4244">
            <w:pPr>
              <w:rPr>
                <w:rFonts w:ascii="Times New Roman" w:hAnsi="Times New Roman" w:cs="Times New Roman"/>
                <w:b/>
                <w:u w:val="single"/>
              </w:rPr>
            </w:pPr>
          </w:p>
        </w:tc>
        <w:tc>
          <w:tcPr>
            <w:tcW w:w="540" w:type="dxa"/>
          </w:tcPr>
          <w:p w14:paraId="2C084F6A" w14:textId="77777777" w:rsidR="00AD4244" w:rsidRPr="006F3B00" w:rsidRDefault="00AD4244" w:rsidP="00AD4244">
            <w:pPr>
              <w:rPr>
                <w:rFonts w:ascii="Times New Roman" w:hAnsi="Times New Roman" w:cs="Times New Roman"/>
                <w:b/>
                <w:u w:val="single"/>
              </w:rPr>
            </w:pPr>
          </w:p>
        </w:tc>
        <w:tc>
          <w:tcPr>
            <w:tcW w:w="540" w:type="dxa"/>
          </w:tcPr>
          <w:p w14:paraId="55DB5977" w14:textId="77777777" w:rsidR="00AD4244" w:rsidRPr="006F3B00" w:rsidRDefault="00AD4244" w:rsidP="00AD4244">
            <w:pPr>
              <w:rPr>
                <w:rFonts w:ascii="Times New Roman" w:hAnsi="Times New Roman" w:cs="Times New Roman"/>
                <w:b/>
                <w:u w:val="single"/>
              </w:rPr>
            </w:pPr>
          </w:p>
        </w:tc>
        <w:tc>
          <w:tcPr>
            <w:tcW w:w="720" w:type="dxa"/>
          </w:tcPr>
          <w:p w14:paraId="5B0420C4" w14:textId="77777777" w:rsidR="00AD4244" w:rsidRPr="006F3B00" w:rsidRDefault="00AD4244" w:rsidP="00AD4244">
            <w:pPr>
              <w:rPr>
                <w:rFonts w:ascii="Times New Roman" w:hAnsi="Times New Roman" w:cs="Times New Roman"/>
                <w:b/>
                <w:u w:val="single"/>
              </w:rPr>
            </w:pPr>
          </w:p>
        </w:tc>
        <w:tc>
          <w:tcPr>
            <w:tcW w:w="540" w:type="dxa"/>
          </w:tcPr>
          <w:p w14:paraId="4869E6AE" w14:textId="77777777" w:rsidR="00AD4244" w:rsidRPr="006F3B00" w:rsidRDefault="00AD4244" w:rsidP="00AD4244">
            <w:pPr>
              <w:rPr>
                <w:rFonts w:ascii="Times New Roman" w:hAnsi="Times New Roman" w:cs="Times New Roman"/>
                <w:b/>
                <w:u w:val="single"/>
              </w:rPr>
            </w:pPr>
          </w:p>
        </w:tc>
        <w:tc>
          <w:tcPr>
            <w:tcW w:w="540" w:type="dxa"/>
          </w:tcPr>
          <w:p w14:paraId="21C37522" w14:textId="77777777" w:rsidR="00AD4244" w:rsidRPr="006F3B00" w:rsidRDefault="00AD4244" w:rsidP="00AD4244">
            <w:pPr>
              <w:rPr>
                <w:rFonts w:ascii="Times New Roman" w:hAnsi="Times New Roman" w:cs="Times New Roman"/>
                <w:b/>
                <w:u w:val="single"/>
              </w:rPr>
            </w:pPr>
          </w:p>
        </w:tc>
        <w:tc>
          <w:tcPr>
            <w:tcW w:w="540" w:type="dxa"/>
          </w:tcPr>
          <w:p w14:paraId="62715D9C" w14:textId="77777777" w:rsidR="00AD4244" w:rsidRPr="006F3B00" w:rsidRDefault="00AD4244" w:rsidP="00AD4244">
            <w:pPr>
              <w:rPr>
                <w:rFonts w:ascii="Times New Roman" w:hAnsi="Times New Roman" w:cs="Times New Roman"/>
                <w:b/>
                <w:u w:val="single"/>
              </w:rPr>
            </w:pPr>
          </w:p>
        </w:tc>
        <w:tc>
          <w:tcPr>
            <w:tcW w:w="720" w:type="dxa"/>
          </w:tcPr>
          <w:p w14:paraId="322115B8" w14:textId="77777777" w:rsidR="00AD4244" w:rsidRPr="006F3B00" w:rsidRDefault="00AD4244" w:rsidP="00AD4244">
            <w:pPr>
              <w:rPr>
                <w:rFonts w:ascii="Times New Roman" w:hAnsi="Times New Roman" w:cs="Times New Roman"/>
                <w:b/>
                <w:u w:val="single"/>
              </w:rPr>
            </w:pPr>
          </w:p>
        </w:tc>
      </w:tr>
      <w:tr w:rsidR="00AD4244" w:rsidRPr="006F3B00" w14:paraId="679457A4" w14:textId="77777777" w:rsidTr="00AD4244">
        <w:trPr>
          <w:jc w:val="center"/>
        </w:trPr>
        <w:tc>
          <w:tcPr>
            <w:tcW w:w="2875" w:type="dxa"/>
          </w:tcPr>
          <w:p w14:paraId="4C500AD5" w14:textId="77777777" w:rsidR="00AD4244" w:rsidRDefault="00AD4244" w:rsidP="00AD4244">
            <w:pPr>
              <w:rPr>
                <w:rFonts w:ascii="Times New Roman" w:hAnsi="Times New Roman" w:cs="Times New Roman"/>
              </w:rPr>
            </w:pPr>
            <w:r w:rsidRPr="006F3B00">
              <w:rPr>
                <w:rFonts w:ascii="Times New Roman" w:hAnsi="Times New Roman" w:cs="Times New Roman"/>
              </w:rPr>
              <w:t>14. Trainee has appropriate level of basic knowledge. e.g. recognises normal histology for different organs/tissues, knows basic pathological processes, can compare normal to abnormal</w:t>
            </w:r>
          </w:p>
          <w:p w14:paraId="6BEB8928" w14:textId="0711AE15" w:rsidR="00BE3B6C" w:rsidRPr="006F3B00" w:rsidRDefault="00BE3B6C" w:rsidP="00AD4244">
            <w:pPr>
              <w:rPr>
                <w:rFonts w:ascii="Times New Roman" w:hAnsi="Times New Roman" w:cs="Times New Roman"/>
              </w:rPr>
            </w:pPr>
          </w:p>
        </w:tc>
        <w:tc>
          <w:tcPr>
            <w:tcW w:w="540" w:type="dxa"/>
          </w:tcPr>
          <w:p w14:paraId="45F9C66E" w14:textId="77777777" w:rsidR="00AD4244" w:rsidRPr="006F3B00" w:rsidRDefault="00AD4244" w:rsidP="00AD4244">
            <w:pPr>
              <w:rPr>
                <w:rFonts w:ascii="Times New Roman" w:hAnsi="Times New Roman" w:cs="Times New Roman"/>
                <w:b/>
                <w:u w:val="single"/>
              </w:rPr>
            </w:pPr>
          </w:p>
        </w:tc>
        <w:tc>
          <w:tcPr>
            <w:tcW w:w="540" w:type="dxa"/>
          </w:tcPr>
          <w:p w14:paraId="1A3E5064" w14:textId="77777777" w:rsidR="00AD4244" w:rsidRPr="006F3B00" w:rsidRDefault="00AD4244" w:rsidP="00AD4244">
            <w:pPr>
              <w:rPr>
                <w:rFonts w:ascii="Times New Roman" w:hAnsi="Times New Roman" w:cs="Times New Roman"/>
                <w:b/>
                <w:u w:val="single"/>
              </w:rPr>
            </w:pPr>
          </w:p>
        </w:tc>
        <w:tc>
          <w:tcPr>
            <w:tcW w:w="540" w:type="dxa"/>
          </w:tcPr>
          <w:p w14:paraId="639ECB6A" w14:textId="77777777" w:rsidR="00AD4244" w:rsidRPr="006F3B00" w:rsidRDefault="00AD4244" w:rsidP="00AD4244">
            <w:pPr>
              <w:rPr>
                <w:rFonts w:ascii="Times New Roman" w:hAnsi="Times New Roman" w:cs="Times New Roman"/>
                <w:b/>
                <w:u w:val="single"/>
              </w:rPr>
            </w:pPr>
          </w:p>
        </w:tc>
        <w:tc>
          <w:tcPr>
            <w:tcW w:w="540" w:type="dxa"/>
          </w:tcPr>
          <w:p w14:paraId="5DEE9F76" w14:textId="77777777" w:rsidR="00AD4244" w:rsidRPr="006F3B00" w:rsidRDefault="00AD4244" w:rsidP="00AD4244">
            <w:pPr>
              <w:rPr>
                <w:rFonts w:ascii="Times New Roman" w:hAnsi="Times New Roman" w:cs="Times New Roman"/>
                <w:b/>
                <w:u w:val="single"/>
              </w:rPr>
            </w:pPr>
          </w:p>
        </w:tc>
        <w:tc>
          <w:tcPr>
            <w:tcW w:w="540" w:type="dxa"/>
          </w:tcPr>
          <w:p w14:paraId="266858AC" w14:textId="77777777" w:rsidR="00AD4244" w:rsidRPr="006F3B00" w:rsidRDefault="00AD4244" w:rsidP="00AD4244">
            <w:pPr>
              <w:rPr>
                <w:rFonts w:ascii="Times New Roman" w:hAnsi="Times New Roman" w:cs="Times New Roman"/>
                <w:b/>
                <w:u w:val="single"/>
              </w:rPr>
            </w:pPr>
          </w:p>
        </w:tc>
        <w:tc>
          <w:tcPr>
            <w:tcW w:w="720" w:type="dxa"/>
          </w:tcPr>
          <w:p w14:paraId="0C1E7A0E" w14:textId="77777777" w:rsidR="00AD4244" w:rsidRPr="006F3B00" w:rsidRDefault="00AD4244" w:rsidP="00AD4244">
            <w:pPr>
              <w:rPr>
                <w:rFonts w:ascii="Times New Roman" w:hAnsi="Times New Roman" w:cs="Times New Roman"/>
                <w:b/>
                <w:u w:val="single"/>
              </w:rPr>
            </w:pPr>
          </w:p>
        </w:tc>
        <w:tc>
          <w:tcPr>
            <w:tcW w:w="540" w:type="dxa"/>
          </w:tcPr>
          <w:p w14:paraId="083D2E13" w14:textId="77777777" w:rsidR="00AD4244" w:rsidRPr="006F3B00" w:rsidRDefault="00AD4244" w:rsidP="00AD4244">
            <w:pPr>
              <w:rPr>
                <w:rFonts w:ascii="Times New Roman" w:hAnsi="Times New Roman" w:cs="Times New Roman"/>
                <w:b/>
                <w:u w:val="single"/>
              </w:rPr>
            </w:pPr>
          </w:p>
        </w:tc>
        <w:tc>
          <w:tcPr>
            <w:tcW w:w="540" w:type="dxa"/>
          </w:tcPr>
          <w:p w14:paraId="2E1D5137" w14:textId="77777777" w:rsidR="00AD4244" w:rsidRPr="006F3B00" w:rsidRDefault="00AD4244" w:rsidP="00AD4244">
            <w:pPr>
              <w:rPr>
                <w:rFonts w:ascii="Times New Roman" w:hAnsi="Times New Roman" w:cs="Times New Roman"/>
                <w:b/>
                <w:u w:val="single"/>
              </w:rPr>
            </w:pPr>
          </w:p>
        </w:tc>
        <w:tc>
          <w:tcPr>
            <w:tcW w:w="540" w:type="dxa"/>
          </w:tcPr>
          <w:p w14:paraId="35C17B4E" w14:textId="77777777" w:rsidR="00AD4244" w:rsidRPr="006F3B00" w:rsidRDefault="00AD4244" w:rsidP="00AD4244">
            <w:pPr>
              <w:rPr>
                <w:rFonts w:ascii="Times New Roman" w:hAnsi="Times New Roman" w:cs="Times New Roman"/>
                <w:b/>
                <w:u w:val="single"/>
              </w:rPr>
            </w:pPr>
          </w:p>
        </w:tc>
        <w:tc>
          <w:tcPr>
            <w:tcW w:w="720" w:type="dxa"/>
          </w:tcPr>
          <w:p w14:paraId="5AA42E62" w14:textId="77777777" w:rsidR="00AD4244" w:rsidRPr="006F3B00" w:rsidRDefault="00AD4244" w:rsidP="00AD4244">
            <w:pPr>
              <w:rPr>
                <w:rFonts w:ascii="Times New Roman" w:hAnsi="Times New Roman" w:cs="Times New Roman"/>
                <w:b/>
                <w:u w:val="single"/>
              </w:rPr>
            </w:pPr>
          </w:p>
        </w:tc>
      </w:tr>
      <w:tr w:rsidR="00AD4244" w:rsidRPr="006F3B00" w14:paraId="34C1F2D9" w14:textId="77777777" w:rsidTr="00AD4244">
        <w:trPr>
          <w:jc w:val="center"/>
        </w:trPr>
        <w:tc>
          <w:tcPr>
            <w:tcW w:w="2875" w:type="dxa"/>
          </w:tcPr>
          <w:p w14:paraId="40F319F3" w14:textId="77777777" w:rsidR="00AD4244" w:rsidRPr="006F3B00" w:rsidRDefault="00AD4244" w:rsidP="00AD4244">
            <w:pPr>
              <w:rPr>
                <w:rFonts w:ascii="Times New Roman" w:hAnsi="Times New Roman" w:cs="Times New Roman"/>
              </w:rPr>
            </w:pPr>
            <w:r w:rsidRPr="006F3B00">
              <w:rPr>
                <w:rFonts w:ascii="Times New Roman" w:hAnsi="Times New Roman" w:cs="Times New Roman"/>
              </w:rPr>
              <w:t>15. Trainee has appropriate level of up-to-date knowledge. e.g. latest papers/datasets</w:t>
            </w:r>
          </w:p>
          <w:p w14:paraId="49376448" w14:textId="77777777" w:rsidR="00AD4244" w:rsidRPr="006F3B00" w:rsidRDefault="00AD4244" w:rsidP="00AD4244">
            <w:pPr>
              <w:rPr>
                <w:rFonts w:ascii="Times New Roman" w:hAnsi="Times New Roman" w:cs="Times New Roman"/>
              </w:rPr>
            </w:pPr>
          </w:p>
        </w:tc>
        <w:tc>
          <w:tcPr>
            <w:tcW w:w="540" w:type="dxa"/>
          </w:tcPr>
          <w:p w14:paraId="6D0EF24C" w14:textId="77777777" w:rsidR="00AD4244" w:rsidRPr="006F3B00" w:rsidRDefault="00AD4244" w:rsidP="00AD4244">
            <w:pPr>
              <w:rPr>
                <w:rFonts w:ascii="Times New Roman" w:hAnsi="Times New Roman" w:cs="Times New Roman"/>
                <w:b/>
                <w:u w:val="single"/>
              </w:rPr>
            </w:pPr>
          </w:p>
        </w:tc>
        <w:tc>
          <w:tcPr>
            <w:tcW w:w="540" w:type="dxa"/>
          </w:tcPr>
          <w:p w14:paraId="71724D22" w14:textId="77777777" w:rsidR="00AD4244" w:rsidRPr="006F3B00" w:rsidRDefault="00AD4244" w:rsidP="00AD4244">
            <w:pPr>
              <w:rPr>
                <w:rFonts w:ascii="Times New Roman" w:hAnsi="Times New Roman" w:cs="Times New Roman"/>
                <w:b/>
                <w:u w:val="single"/>
              </w:rPr>
            </w:pPr>
          </w:p>
        </w:tc>
        <w:tc>
          <w:tcPr>
            <w:tcW w:w="540" w:type="dxa"/>
          </w:tcPr>
          <w:p w14:paraId="4906178C" w14:textId="77777777" w:rsidR="00AD4244" w:rsidRPr="006F3B00" w:rsidRDefault="00AD4244" w:rsidP="00AD4244">
            <w:pPr>
              <w:rPr>
                <w:rFonts w:ascii="Times New Roman" w:hAnsi="Times New Roman" w:cs="Times New Roman"/>
                <w:b/>
                <w:u w:val="single"/>
              </w:rPr>
            </w:pPr>
          </w:p>
        </w:tc>
        <w:tc>
          <w:tcPr>
            <w:tcW w:w="540" w:type="dxa"/>
          </w:tcPr>
          <w:p w14:paraId="09C23BFE" w14:textId="77777777" w:rsidR="00AD4244" w:rsidRPr="006F3B00" w:rsidRDefault="00AD4244" w:rsidP="00AD4244">
            <w:pPr>
              <w:rPr>
                <w:rFonts w:ascii="Times New Roman" w:hAnsi="Times New Roman" w:cs="Times New Roman"/>
                <w:b/>
                <w:u w:val="single"/>
              </w:rPr>
            </w:pPr>
          </w:p>
        </w:tc>
        <w:tc>
          <w:tcPr>
            <w:tcW w:w="540" w:type="dxa"/>
          </w:tcPr>
          <w:p w14:paraId="7B84227D" w14:textId="77777777" w:rsidR="00AD4244" w:rsidRPr="006F3B00" w:rsidRDefault="00AD4244" w:rsidP="00AD4244">
            <w:pPr>
              <w:rPr>
                <w:rFonts w:ascii="Times New Roman" w:hAnsi="Times New Roman" w:cs="Times New Roman"/>
                <w:b/>
                <w:u w:val="single"/>
              </w:rPr>
            </w:pPr>
          </w:p>
        </w:tc>
        <w:tc>
          <w:tcPr>
            <w:tcW w:w="720" w:type="dxa"/>
          </w:tcPr>
          <w:p w14:paraId="172BFD7D" w14:textId="77777777" w:rsidR="00AD4244" w:rsidRPr="006F3B00" w:rsidRDefault="00AD4244" w:rsidP="00AD4244">
            <w:pPr>
              <w:rPr>
                <w:rFonts w:ascii="Times New Roman" w:hAnsi="Times New Roman" w:cs="Times New Roman"/>
                <w:b/>
                <w:u w:val="single"/>
              </w:rPr>
            </w:pPr>
          </w:p>
        </w:tc>
        <w:tc>
          <w:tcPr>
            <w:tcW w:w="540" w:type="dxa"/>
          </w:tcPr>
          <w:p w14:paraId="0DA8636E" w14:textId="77777777" w:rsidR="00AD4244" w:rsidRPr="006F3B00" w:rsidRDefault="00AD4244" w:rsidP="00AD4244">
            <w:pPr>
              <w:rPr>
                <w:rFonts w:ascii="Times New Roman" w:hAnsi="Times New Roman" w:cs="Times New Roman"/>
                <w:b/>
                <w:u w:val="single"/>
              </w:rPr>
            </w:pPr>
          </w:p>
        </w:tc>
        <w:tc>
          <w:tcPr>
            <w:tcW w:w="540" w:type="dxa"/>
          </w:tcPr>
          <w:p w14:paraId="0FFB1D39" w14:textId="77777777" w:rsidR="00AD4244" w:rsidRPr="006F3B00" w:rsidRDefault="00AD4244" w:rsidP="00AD4244">
            <w:pPr>
              <w:rPr>
                <w:rFonts w:ascii="Times New Roman" w:hAnsi="Times New Roman" w:cs="Times New Roman"/>
                <w:b/>
                <w:u w:val="single"/>
              </w:rPr>
            </w:pPr>
          </w:p>
        </w:tc>
        <w:tc>
          <w:tcPr>
            <w:tcW w:w="540" w:type="dxa"/>
          </w:tcPr>
          <w:p w14:paraId="2F9CD845" w14:textId="77777777" w:rsidR="00AD4244" w:rsidRPr="006F3B00" w:rsidRDefault="00AD4244" w:rsidP="00AD4244">
            <w:pPr>
              <w:rPr>
                <w:rFonts w:ascii="Times New Roman" w:hAnsi="Times New Roman" w:cs="Times New Roman"/>
                <w:b/>
                <w:u w:val="single"/>
              </w:rPr>
            </w:pPr>
          </w:p>
        </w:tc>
        <w:tc>
          <w:tcPr>
            <w:tcW w:w="720" w:type="dxa"/>
          </w:tcPr>
          <w:p w14:paraId="2F218A43" w14:textId="77777777" w:rsidR="00AD4244" w:rsidRPr="006F3B00" w:rsidRDefault="00AD4244" w:rsidP="00AD4244">
            <w:pPr>
              <w:rPr>
                <w:rFonts w:ascii="Times New Roman" w:hAnsi="Times New Roman" w:cs="Times New Roman"/>
                <w:b/>
                <w:u w:val="single"/>
              </w:rPr>
            </w:pPr>
          </w:p>
        </w:tc>
      </w:tr>
    </w:tbl>
    <w:p w14:paraId="40E43BD9" w14:textId="63BB3DE8" w:rsidR="00802F83" w:rsidRDefault="00802F83" w:rsidP="00BE4939">
      <w:pPr>
        <w:rPr>
          <w:rFonts w:ascii="Times New Roman" w:hAnsi="Times New Roman" w:cs="Times New Roman"/>
        </w:rPr>
      </w:pPr>
    </w:p>
    <w:p w14:paraId="2142CB52" w14:textId="77777777" w:rsidR="00AD4244" w:rsidRDefault="00AD4244" w:rsidP="00BE4939">
      <w:pPr>
        <w:rPr>
          <w:rFonts w:ascii="Times New Roman" w:hAnsi="Times New Roman" w:cs="Times New Roman"/>
        </w:rPr>
      </w:pPr>
    </w:p>
    <w:tbl>
      <w:tblPr>
        <w:tblStyle w:val="TableGrid"/>
        <w:tblW w:w="8635" w:type="dxa"/>
        <w:jc w:val="center"/>
        <w:tblLayout w:type="fixed"/>
        <w:tblLook w:val="04A0" w:firstRow="1" w:lastRow="0" w:firstColumn="1" w:lastColumn="0" w:noHBand="0" w:noVBand="1"/>
      </w:tblPr>
      <w:tblGrid>
        <w:gridCol w:w="2631"/>
        <w:gridCol w:w="604"/>
        <w:gridCol w:w="540"/>
        <w:gridCol w:w="540"/>
        <w:gridCol w:w="540"/>
        <w:gridCol w:w="720"/>
        <w:gridCol w:w="540"/>
        <w:gridCol w:w="540"/>
        <w:gridCol w:w="720"/>
        <w:gridCol w:w="540"/>
        <w:gridCol w:w="720"/>
      </w:tblGrid>
      <w:tr w:rsidR="00AD4244" w:rsidRPr="006F3B00" w14:paraId="05322074" w14:textId="77777777" w:rsidTr="00AD4244">
        <w:trPr>
          <w:jc w:val="center"/>
        </w:trPr>
        <w:tc>
          <w:tcPr>
            <w:tcW w:w="2631" w:type="dxa"/>
          </w:tcPr>
          <w:p w14:paraId="492792B6" w14:textId="77777777" w:rsidR="00AD4244" w:rsidRPr="006F3B00" w:rsidRDefault="00AD4244" w:rsidP="00AD4244">
            <w:pPr>
              <w:rPr>
                <w:rFonts w:ascii="Times New Roman" w:hAnsi="Times New Roman" w:cs="Times New Roman"/>
                <w:b/>
              </w:rPr>
            </w:pPr>
          </w:p>
        </w:tc>
        <w:tc>
          <w:tcPr>
            <w:tcW w:w="6004" w:type="dxa"/>
            <w:gridSpan w:val="10"/>
          </w:tcPr>
          <w:p w14:paraId="0E341B6C" w14:textId="445BA5A7" w:rsidR="00AD4244" w:rsidRPr="006F3B00" w:rsidRDefault="00AD4244" w:rsidP="00AD4244">
            <w:pPr>
              <w:rPr>
                <w:rFonts w:ascii="Times New Roman" w:hAnsi="Times New Roman" w:cs="Times New Roman"/>
                <w:b/>
              </w:rPr>
            </w:pPr>
            <w:r w:rsidRPr="006F3B00">
              <w:rPr>
                <w:rFonts w:ascii="Times New Roman" w:hAnsi="Times New Roman" w:cs="Times New Roman"/>
                <w:b/>
              </w:rPr>
              <w:t xml:space="preserve">Definitely not important      </w:t>
            </w:r>
            <w:r>
              <w:rPr>
                <w:rFonts w:ascii="Times New Roman" w:hAnsi="Times New Roman" w:cs="Times New Roman"/>
                <w:b/>
              </w:rPr>
              <w:t xml:space="preserve">                             </w:t>
            </w:r>
            <w:r w:rsidRPr="006F3B00">
              <w:rPr>
                <w:rFonts w:ascii="Times New Roman" w:hAnsi="Times New Roman" w:cs="Times New Roman"/>
                <w:b/>
              </w:rPr>
              <w:t>Definitely important</w:t>
            </w:r>
          </w:p>
          <w:p w14:paraId="000CC6C5" w14:textId="77777777" w:rsidR="00AD4244" w:rsidRPr="006F3B00" w:rsidRDefault="00AD4244" w:rsidP="00AD4244">
            <w:pPr>
              <w:rPr>
                <w:rFonts w:ascii="Times New Roman" w:hAnsi="Times New Roman" w:cs="Times New Roman"/>
                <w:b/>
              </w:rPr>
            </w:pPr>
          </w:p>
        </w:tc>
      </w:tr>
      <w:tr w:rsidR="00AD4244" w:rsidRPr="006F3B00" w14:paraId="67F55B57" w14:textId="77777777" w:rsidTr="00AD4244">
        <w:trPr>
          <w:jc w:val="center"/>
        </w:trPr>
        <w:tc>
          <w:tcPr>
            <w:tcW w:w="2631" w:type="dxa"/>
          </w:tcPr>
          <w:p w14:paraId="6F13AE0C" w14:textId="77777777" w:rsidR="00AD4244" w:rsidRPr="006F3B00" w:rsidRDefault="00AD4244" w:rsidP="00AD4244">
            <w:pPr>
              <w:rPr>
                <w:rFonts w:ascii="Times New Roman" w:hAnsi="Times New Roman" w:cs="Times New Roman"/>
                <w:b/>
                <w:sz w:val="28"/>
                <w:szCs w:val="28"/>
              </w:rPr>
            </w:pPr>
            <w:r w:rsidRPr="006F3B00">
              <w:rPr>
                <w:rFonts w:ascii="Times New Roman" w:hAnsi="Times New Roman" w:cs="Times New Roman"/>
                <w:b/>
                <w:sz w:val="28"/>
                <w:szCs w:val="28"/>
              </w:rPr>
              <w:t>Reflection</w:t>
            </w:r>
          </w:p>
        </w:tc>
        <w:tc>
          <w:tcPr>
            <w:tcW w:w="604" w:type="dxa"/>
          </w:tcPr>
          <w:p w14:paraId="6108FAC9"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1</w:t>
            </w:r>
          </w:p>
        </w:tc>
        <w:tc>
          <w:tcPr>
            <w:tcW w:w="540" w:type="dxa"/>
          </w:tcPr>
          <w:p w14:paraId="3089E589"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2</w:t>
            </w:r>
          </w:p>
        </w:tc>
        <w:tc>
          <w:tcPr>
            <w:tcW w:w="540" w:type="dxa"/>
          </w:tcPr>
          <w:p w14:paraId="35377D8E"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3</w:t>
            </w:r>
          </w:p>
        </w:tc>
        <w:tc>
          <w:tcPr>
            <w:tcW w:w="540" w:type="dxa"/>
          </w:tcPr>
          <w:p w14:paraId="2CD880B0"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4</w:t>
            </w:r>
          </w:p>
        </w:tc>
        <w:tc>
          <w:tcPr>
            <w:tcW w:w="720" w:type="dxa"/>
          </w:tcPr>
          <w:p w14:paraId="08CD9A16"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5</w:t>
            </w:r>
          </w:p>
        </w:tc>
        <w:tc>
          <w:tcPr>
            <w:tcW w:w="540" w:type="dxa"/>
          </w:tcPr>
          <w:p w14:paraId="529CEFAB"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6</w:t>
            </w:r>
          </w:p>
        </w:tc>
        <w:tc>
          <w:tcPr>
            <w:tcW w:w="540" w:type="dxa"/>
          </w:tcPr>
          <w:p w14:paraId="69A35D5E"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7</w:t>
            </w:r>
          </w:p>
        </w:tc>
        <w:tc>
          <w:tcPr>
            <w:tcW w:w="720" w:type="dxa"/>
          </w:tcPr>
          <w:p w14:paraId="3B41CEB8"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8</w:t>
            </w:r>
          </w:p>
        </w:tc>
        <w:tc>
          <w:tcPr>
            <w:tcW w:w="540" w:type="dxa"/>
          </w:tcPr>
          <w:p w14:paraId="66A42E13"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9</w:t>
            </w:r>
          </w:p>
        </w:tc>
        <w:tc>
          <w:tcPr>
            <w:tcW w:w="720" w:type="dxa"/>
          </w:tcPr>
          <w:p w14:paraId="438888D0" w14:textId="77777777" w:rsidR="00AD4244" w:rsidRPr="006F3B00" w:rsidRDefault="00AD4244" w:rsidP="00AD4244">
            <w:pPr>
              <w:rPr>
                <w:rFonts w:ascii="Times New Roman" w:hAnsi="Times New Roman" w:cs="Times New Roman"/>
                <w:b/>
              </w:rPr>
            </w:pPr>
            <w:r w:rsidRPr="006F3B00">
              <w:rPr>
                <w:rFonts w:ascii="Times New Roman" w:hAnsi="Times New Roman" w:cs="Times New Roman"/>
                <w:b/>
              </w:rPr>
              <w:t>10</w:t>
            </w:r>
          </w:p>
        </w:tc>
      </w:tr>
      <w:tr w:rsidR="00AD4244" w:rsidRPr="006F3B00" w14:paraId="7212D649" w14:textId="77777777" w:rsidTr="00AD4244">
        <w:trPr>
          <w:jc w:val="center"/>
        </w:trPr>
        <w:tc>
          <w:tcPr>
            <w:tcW w:w="2631" w:type="dxa"/>
          </w:tcPr>
          <w:p w14:paraId="4ABE1942" w14:textId="77777777" w:rsidR="00AD4244" w:rsidRPr="006F3B00" w:rsidRDefault="00AD4244" w:rsidP="00AD4244">
            <w:pPr>
              <w:rPr>
                <w:rFonts w:ascii="Times New Roman" w:hAnsi="Times New Roman" w:cs="Times New Roman"/>
              </w:rPr>
            </w:pPr>
            <w:r w:rsidRPr="006F3B00">
              <w:rPr>
                <w:rFonts w:ascii="Times New Roman" w:hAnsi="Times New Roman" w:cs="Times New Roman"/>
              </w:rPr>
              <w:t>16. Trainee is aware of their own limitations</w:t>
            </w:r>
          </w:p>
        </w:tc>
        <w:tc>
          <w:tcPr>
            <w:tcW w:w="604" w:type="dxa"/>
          </w:tcPr>
          <w:p w14:paraId="79DBCE18" w14:textId="77777777" w:rsidR="00AD4244" w:rsidRPr="006F3B00" w:rsidRDefault="00AD4244" w:rsidP="00AD4244">
            <w:pPr>
              <w:rPr>
                <w:rFonts w:ascii="Times New Roman" w:hAnsi="Times New Roman" w:cs="Times New Roman"/>
                <w:b/>
                <w:u w:val="single"/>
              </w:rPr>
            </w:pPr>
          </w:p>
          <w:p w14:paraId="007E55C0" w14:textId="77777777" w:rsidR="00AD4244" w:rsidRPr="006F3B00" w:rsidRDefault="00AD4244" w:rsidP="00AD4244">
            <w:pPr>
              <w:rPr>
                <w:rFonts w:ascii="Times New Roman" w:hAnsi="Times New Roman" w:cs="Times New Roman"/>
                <w:b/>
                <w:u w:val="single"/>
              </w:rPr>
            </w:pPr>
          </w:p>
        </w:tc>
        <w:tc>
          <w:tcPr>
            <w:tcW w:w="540" w:type="dxa"/>
          </w:tcPr>
          <w:p w14:paraId="09AC50F0" w14:textId="77777777" w:rsidR="00AD4244" w:rsidRPr="006F3B00" w:rsidRDefault="00AD4244" w:rsidP="00AD4244">
            <w:pPr>
              <w:rPr>
                <w:rFonts w:ascii="Times New Roman" w:hAnsi="Times New Roman" w:cs="Times New Roman"/>
                <w:b/>
                <w:u w:val="single"/>
              </w:rPr>
            </w:pPr>
          </w:p>
        </w:tc>
        <w:tc>
          <w:tcPr>
            <w:tcW w:w="540" w:type="dxa"/>
          </w:tcPr>
          <w:p w14:paraId="32A9C4C8" w14:textId="77777777" w:rsidR="00AD4244" w:rsidRPr="006F3B00" w:rsidRDefault="00AD4244" w:rsidP="00AD4244">
            <w:pPr>
              <w:rPr>
                <w:rFonts w:ascii="Times New Roman" w:hAnsi="Times New Roman" w:cs="Times New Roman"/>
                <w:b/>
                <w:u w:val="single"/>
              </w:rPr>
            </w:pPr>
          </w:p>
        </w:tc>
        <w:tc>
          <w:tcPr>
            <w:tcW w:w="540" w:type="dxa"/>
          </w:tcPr>
          <w:p w14:paraId="35EEF779" w14:textId="77777777" w:rsidR="00AD4244" w:rsidRPr="006F3B00" w:rsidRDefault="00AD4244" w:rsidP="00AD4244">
            <w:pPr>
              <w:rPr>
                <w:rFonts w:ascii="Times New Roman" w:hAnsi="Times New Roman" w:cs="Times New Roman"/>
                <w:b/>
                <w:u w:val="single"/>
              </w:rPr>
            </w:pPr>
          </w:p>
        </w:tc>
        <w:tc>
          <w:tcPr>
            <w:tcW w:w="720" w:type="dxa"/>
          </w:tcPr>
          <w:p w14:paraId="2B98B1BD" w14:textId="77777777" w:rsidR="00AD4244" w:rsidRPr="006F3B00" w:rsidRDefault="00AD4244" w:rsidP="00AD4244">
            <w:pPr>
              <w:rPr>
                <w:rFonts w:ascii="Times New Roman" w:hAnsi="Times New Roman" w:cs="Times New Roman"/>
                <w:b/>
                <w:u w:val="single"/>
              </w:rPr>
            </w:pPr>
          </w:p>
        </w:tc>
        <w:tc>
          <w:tcPr>
            <w:tcW w:w="540" w:type="dxa"/>
          </w:tcPr>
          <w:p w14:paraId="1BE77A7A" w14:textId="77777777" w:rsidR="00AD4244" w:rsidRPr="006F3B00" w:rsidRDefault="00AD4244" w:rsidP="00AD4244">
            <w:pPr>
              <w:rPr>
                <w:rFonts w:ascii="Times New Roman" w:hAnsi="Times New Roman" w:cs="Times New Roman"/>
                <w:b/>
                <w:u w:val="single"/>
              </w:rPr>
            </w:pPr>
          </w:p>
        </w:tc>
        <w:tc>
          <w:tcPr>
            <w:tcW w:w="540" w:type="dxa"/>
          </w:tcPr>
          <w:p w14:paraId="1A52537E" w14:textId="77777777" w:rsidR="00AD4244" w:rsidRPr="006F3B00" w:rsidRDefault="00AD4244" w:rsidP="00AD4244">
            <w:pPr>
              <w:rPr>
                <w:rFonts w:ascii="Times New Roman" w:hAnsi="Times New Roman" w:cs="Times New Roman"/>
                <w:b/>
                <w:u w:val="single"/>
              </w:rPr>
            </w:pPr>
          </w:p>
        </w:tc>
        <w:tc>
          <w:tcPr>
            <w:tcW w:w="720" w:type="dxa"/>
          </w:tcPr>
          <w:p w14:paraId="6359D2F3" w14:textId="77777777" w:rsidR="00AD4244" w:rsidRPr="006F3B00" w:rsidRDefault="00AD4244" w:rsidP="00AD4244">
            <w:pPr>
              <w:rPr>
                <w:rFonts w:ascii="Times New Roman" w:hAnsi="Times New Roman" w:cs="Times New Roman"/>
                <w:b/>
                <w:u w:val="single"/>
              </w:rPr>
            </w:pPr>
          </w:p>
        </w:tc>
        <w:tc>
          <w:tcPr>
            <w:tcW w:w="540" w:type="dxa"/>
          </w:tcPr>
          <w:p w14:paraId="07FEADBD" w14:textId="77777777" w:rsidR="00AD4244" w:rsidRPr="006F3B00" w:rsidRDefault="00AD4244" w:rsidP="00AD4244">
            <w:pPr>
              <w:rPr>
                <w:rFonts w:ascii="Times New Roman" w:hAnsi="Times New Roman" w:cs="Times New Roman"/>
                <w:b/>
                <w:u w:val="single"/>
              </w:rPr>
            </w:pPr>
          </w:p>
        </w:tc>
        <w:tc>
          <w:tcPr>
            <w:tcW w:w="720" w:type="dxa"/>
          </w:tcPr>
          <w:p w14:paraId="505BEFFE" w14:textId="77777777" w:rsidR="00AD4244" w:rsidRPr="006F3B00" w:rsidRDefault="00AD4244" w:rsidP="00AD4244">
            <w:pPr>
              <w:rPr>
                <w:rFonts w:ascii="Times New Roman" w:hAnsi="Times New Roman" w:cs="Times New Roman"/>
                <w:b/>
                <w:u w:val="single"/>
              </w:rPr>
            </w:pPr>
          </w:p>
        </w:tc>
      </w:tr>
      <w:tr w:rsidR="00AD4244" w:rsidRPr="006F3B00" w14:paraId="194BD556" w14:textId="77777777" w:rsidTr="00AD4244">
        <w:trPr>
          <w:jc w:val="center"/>
        </w:trPr>
        <w:tc>
          <w:tcPr>
            <w:tcW w:w="2631" w:type="dxa"/>
          </w:tcPr>
          <w:p w14:paraId="57B3A7C1" w14:textId="77777777" w:rsidR="00AD4244" w:rsidRPr="006F3B00" w:rsidRDefault="00AD4244" w:rsidP="00AD4244">
            <w:pPr>
              <w:rPr>
                <w:rFonts w:ascii="Times New Roman" w:hAnsi="Times New Roman" w:cs="Times New Roman"/>
              </w:rPr>
            </w:pPr>
            <w:r w:rsidRPr="006F3B00">
              <w:rPr>
                <w:rFonts w:ascii="Times New Roman" w:hAnsi="Times New Roman" w:cs="Times New Roman"/>
              </w:rPr>
              <w:t>17. Trainee reflects on their own limitations/performance</w:t>
            </w:r>
          </w:p>
        </w:tc>
        <w:tc>
          <w:tcPr>
            <w:tcW w:w="604" w:type="dxa"/>
          </w:tcPr>
          <w:p w14:paraId="22376D0F" w14:textId="77777777" w:rsidR="00AD4244" w:rsidRPr="006F3B00" w:rsidRDefault="00AD4244" w:rsidP="00AD4244">
            <w:pPr>
              <w:rPr>
                <w:rFonts w:ascii="Times New Roman" w:hAnsi="Times New Roman" w:cs="Times New Roman"/>
                <w:b/>
                <w:u w:val="single"/>
              </w:rPr>
            </w:pPr>
          </w:p>
        </w:tc>
        <w:tc>
          <w:tcPr>
            <w:tcW w:w="540" w:type="dxa"/>
          </w:tcPr>
          <w:p w14:paraId="435F990A" w14:textId="77777777" w:rsidR="00AD4244" w:rsidRPr="006F3B00" w:rsidRDefault="00AD4244" w:rsidP="00AD4244">
            <w:pPr>
              <w:rPr>
                <w:rFonts w:ascii="Times New Roman" w:hAnsi="Times New Roman" w:cs="Times New Roman"/>
                <w:b/>
                <w:u w:val="single"/>
              </w:rPr>
            </w:pPr>
          </w:p>
        </w:tc>
        <w:tc>
          <w:tcPr>
            <w:tcW w:w="540" w:type="dxa"/>
          </w:tcPr>
          <w:p w14:paraId="457EDE23" w14:textId="77777777" w:rsidR="00AD4244" w:rsidRPr="006F3B00" w:rsidRDefault="00AD4244" w:rsidP="00AD4244">
            <w:pPr>
              <w:rPr>
                <w:rFonts w:ascii="Times New Roman" w:hAnsi="Times New Roman" w:cs="Times New Roman"/>
                <w:b/>
                <w:u w:val="single"/>
              </w:rPr>
            </w:pPr>
          </w:p>
        </w:tc>
        <w:tc>
          <w:tcPr>
            <w:tcW w:w="540" w:type="dxa"/>
          </w:tcPr>
          <w:p w14:paraId="2F1CC5D3" w14:textId="77777777" w:rsidR="00AD4244" w:rsidRPr="006F3B00" w:rsidRDefault="00AD4244" w:rsidP="00AD4244">
            <w:pPr>
              <w:rPr>
                <w:rFonts w:ascii="Times New Roman" w:hAnsi="Times New Roman" w:cs="Times New Roman"/>
                <w:b/>
                <w:u w:val="single"/>
              </w:rPr>
            </w:pPr>
          </w:p>
        </w:tc>
        <w:tc>
          <w:tcPr>
            <w:tcW w:w="720" w:type="dxa"/>
          </w:tcPr>
          <w:p w14:paraId="7DDDF2B6" w14:textId="77777777" w:rsidR="00AD4244" w:rsidRPr="006F3B00" w:rsidRDefault="00AD4244" w:rsidP="00AD4244">
            <w:pPr>
              <w:rPr>
                <w:rFonts w:ascii="Times New Roman" w:hAnsi="Times New Roman" w:cs="Times New Roman"/>
                <w:b/>
                <w:u w:val="single"/>
              </w:rPr>
            </w:pPr>
          </w:p>
        </w:tc>
        <w:tc>
          <w:tcPr>
            <w:tcW w:w="540" w:type="dxa"/>
          </w:tcPr>
          <w:p w14:paraId="46B51FC3" w14:textId="77777777" w:rsidR="00AD4244" w:rsidRPr="006F3B00" w:rsidRDefault="00AD4244" w:rsidP="00AD4244">
            <w:pPr>
              <w:rPr>
                <w:rFonts w:ascii="Times New Roman" w:hAnsi="Times New Roman" w:cs="Times New Roman"/>
                <w:b/>
                <w:u w:val="single"/>
              </w:rPr>
            </w:pPr>
          </w:p>
        </w:tc>
        <w:tc>
          <w:tcPr>
            <w:tcW w:w="540" w:type="dxa"/>
          </w:tcPr>
          <w:p w14:paraId="2D904831" w14:textId="77777777" w:rsidR="00AD4244" w:rsidRPr="006F3B00" w:rsidRDefault="00AD4244" w:rsidP="00AD4244">
            <w:pPr>
              <w:rPr>
                <w:rFonts w:ascii="Times New Roman" w:hAnsi="Times New Roman" w:cs="Times New Roman"/>
                <w:b/>
                <w:u w:val="single"/>
              </w:rPr>
            </w:pPr>
          </w:p>
        </w:tc>
        <w:tc>
          <w:tcPr>
            <w:tcW w:w="720" w:type="dxa"/>
          </w:tcPr>
          <w:p w14:paraId="132E5D2A" w14:textId="77777777" w:rsidR="00AD4244" w:rsidRPr="006F3B00" w:rsidRDefault="00AD4244" w:rsidP="00AD4244">
            <w:pPr>
              <w:rPr>
                <w:rFonts w:ascii="Times New Roman" w:hAnsi="Times New Roman" w:cs="Times New Roman"/>
                <w:b/>
                <w:u w:val="single"/>
              </w:rPr>
            </w:pPr>
          </w:p>
        </w:tc>
        <w:tc>
          <w:tcPr>
            <w:tcW w:w="540" w:type="dxa"/>
          </w:tcPr>
          <w:p w14:paraId="74B8D42B" w14:textId="77777777" w:rsidR="00AD4244" w:rsidRPr="006F3B00" w:rsidRDefault="00AD4244" w:rsidP="00AD4244">
            <w:pPr>
              <w:rPr>
                <w:rFonts w:ascii="Times New Roman" w:hAnsi="Times New Roman" w:cs="Times New Roman"/>
                <w:b/>
                <w:u w:val="single"/>
              </w:rPr>
            </w:pPr>
          </w:p>
        </w:tc>
        <w:tc>
          <w:tcPr>
            <w:tcW w:w="720" w:type="dxa"/>
          </w:tcPr>
          <w:p w14:paraId="71B0737F" w14:textId="77777777" w:rsidR="00AD4244" w:rsidRPr="006F3B00" w:rsidRDefault="00AD4244" w:rsidP="00AD4244">
            <w:pPr>
              <w:rPr>
                <w:rFonts w:ascii="Times New Roman" w:hAnsi="Times New Roman" w:cs="Times New Roman"/>
                <w:b/>
                <w:u w:val="single"/>
              </w:rPr>
            </w:pPr>
          </w:p>
        </w:tc>
      </w:tr>
      <w:tr w:rsidR="00AD4244" w:rsidRPr="006F3B00" w14:paraId="4215E0FA" w14:textId="77777777" w:rsidTr="00AD4244">
        <w:trPr>
          <w:jc w:val="center"/>
        </w:trPr>
        <w:tc>
          <w:tcPr>
            <w:tcW w:w="2631" w:type="dxa"/>
          </w:tcPr>
          <w:p w14:paraId="0D440402" w14:textId="77777777" w:rsidR="00AD4244" w:rsidRPr="006F3B00" w:rsidRDefault="00AD4244" w:rsidP="00AD4244">
            <w:pPr>
              <w:rPr>
                <w:rFonts w:ascii="Times New Roman" w:hAnsi="Times New Roman" w:cs="Times New Roman"/>
              </w:rPr>
            </w:pPr>
            <w:r w:rsidRPr="006F3B00">
              <w:rPr>
                <w:rFonts w:ascii="Times New Roman" w:hAnsi="Times New Roman" w:cs="Times New Roman"/>
              </w:rPr>
              <w:t>18. Trainee shows evidence of improvement following reflection</w:t>
            </w:r>
          </w:p>
        </w:tc>
        <w:tc>
          <w:tcPr>
            <w:tcW w:w="604" w:type="dxa"/>
          </w:tcPr>
          <w:p w14:paraId="055A8A4F" w14:textId="77777777" w:rsidR="00AD4244" w:rsidRPr="006F3B00" w:rsidRDefault="00AD4244" w:rsidP="00AD4244">
            <w:pPr>
              <w:rPr>
                <w:rFonts w:ascii="Times New Roman" w:hAnsi="Times New Roman" w:cs="Times New Roman"/>
                <w:b/>
                <w:u w:val="single"/>
              </w:rPr>
            </w:pPr>
          </w:p>
        </w:tc>
        <w:tc>
          <w:tcPr>
            <w:tcW w:w="540" w:type="dxa"/>
          </w:tcPr>
          <w:p w14:paraId="7D78BA68" w14:textId="77777777" w:rsidR="00AD4244" w:rsidRPr="006F3B00" w:rsidRDefault="00AD4244" w:rsidP="00AD4244">
            <w:pPr>
              <w:rPr>
                <w:rFonts w:ascii="Times New Roman" w:hAnsi="Times New Roman" w:cs="Times New Roman"/>
                <w:b/>
                <w:u w:val="single"/>
              </w:rPr>
            </w:pPr>
          </w:p>
        </w:tc>
        <w:tc>
          <w:tcPr>
            <w:tcW w:w="540" w:type="dxa"/>
          </w:tcPr>
          <w:p w14:paraId="1B943373" w14:textId="77777777" w:rsidR="00AD4244" w:rsidRPr="006F3B00" w:rsidRDefault="00AD4244" w:rsidP="00AD4244">
            <w:pPr>
              <w:rPr>
                <w:rFonts w:ascii="Times New Roman" w:hAnsi="Times New Roman" w:cs="Times New Roman"/>
                <w:b/>
                <w:u w:val="single"/>
              </w:rPr>
            </w:pPr>
          </w:p>
        </w:tc>
        <w:tc>
          <w:tcPr>
            <w:tcW w:w="540" w:type="dxa"/>
          </w:tcPr>
          <w:p w14:paraId="1F868C6F" w14:textId="77777777" w:rsidR="00AD4244" w:rsidRPr="006F3B00" w:rsidRDefault="00AD4244" w:rsidP="00AD4244">
            <w:pPr>
              <w:rPr>
                <w:rFonts w:ascii="Times New Roman" w:hAnsi="Times New Roman" w:cs="Times New Roman"/>
                <w:b/>
                <w:u w:val="single"/>
              </w:rPr>
            </w:pPr>
          </w:p>
        </w:tc>
        <w:tc>
          <w:tcPr>
            <w:tcW w:w="720" w:type="dxa"/>
          </w:tcPr>
          <w:p w14:paraId="07C64702" w14:textId="77777777" w:rsidR="00AD4244" w:rsidRPr="006F3B00" w:rsidRDefault="00AD4244" w:rsidP="00AD4244">
            <w:pPr>
              <w:rPr>
                <w:rFonts w:ascii="Times New Roman" w:hAnsi="Times New Roman" w:cs="Times New Roman"/>
                <w:b/>
                <w:u w:val="single"/>
              </w:rPr>
            </w:pPr>
          </w:p>
        </w:tc>
        <w:tc>
          <w:tcPr>
            <w:tcW w:w="540" w:type="dxa"/>
          </w:tcPr>
          <w:p w14:paraId="5C9ED28B" w14:textId="77777777" w:rsidR="00AD4244" w:rsidRPr="006F3B00" w:rsidRDefault="00AD4244" w:rsidP="00AD4244">
            <w:pPr>
              <w:rPr>
                <w:rFonts w:ascii="Times New Roman" w:hAnsi="Times New Roman" w:cs="Times New Roman"/>
                <w:b/>
                <w:u w:val="single"/>
              </w:rPr>
            </w:pPr>
          </w:p>
        </w:tc>
        <w:tc>
          <w:tcPr>
            <w:tcW w:w="540" w:type="dxa"/>
          </w:tcPr>
          <w:p w14:paraId="54000EE3" w14:textId="77777777" w:rsidR="00AD4244" w:rsidRPr="006F3B00" w:rsidRDefault="00AD4244" w:rsidP="00AD4244">
            <w:pPr>
              <w:rPr>
                <w:rFonts w:ascii="Times New Roman" w:hAnsi="Times New Roman" w:cs="Times New Roman"/>
                <w:b/>
                <w:u w:val="single"/>
              </w:rPr>
            </w:pPr>
          </w:p>
        </w:tc>
        <w:tc>
          <w:tcPr>
            <w:tcW w:w="720" w:type="dxa"/>
          </w:tcPr>
          <w:p w14:paraId="214805FD" w14:textId="77777777" w:rsidR="00AD4244" w:rsidRPr="006F3B00" w:rsidRDefault="00AD4244" w:rsidP="00AD4244">
            <w:pPr>
              <w:rPr>
                <w:rFonts w:ascii="Times New Roman" w:hAnsi="Times New Roman" w:cs="Times New Roman"/>
                <w:b/>
                <w:u w:val="single"/>
              </w:rPr>
            </w:pPr>
          </w:p>
        </w:tc>
        <w:tc>
          <w:tcPr>
            <w:tcW w:w="540" w:type="dxa"/>
          </w:tcPr>
          <w:p w14:paraId="631A877C" w14:textId="77777777" w:rsidR="00AD4244" w:rsidRPr="006F3B00" w:rsidRDefault="00AD4244" w:rsidP="00AD4244">
            <w:pPr>
              <w:rPr>
                <w:rFonts w:ascii="Times New Roman" w:hAnsi="Times New Roman" w:cs="Times New Roman"/>
                <w:b/>
                <w:u w:val="single"/>
              </w:rPr>
            </w:pPr>
          </w:p>
        </w:tc>
        <w:tc>
          <w:tcPr>
            <w:tcW w:w="720" w:type="dxa"/>
          </w:tcPr>
          <w:p w14:paraId="0BCC9251" w14:textId="77777777" w:rsidR="00AD4244" w:rsidRPr="006F3B00" w:rsidRDefault="00AD4244" w:rsidP="00AD4244">
            <w:pPr>
              <w:rPr>
                <w:rFonts w:ascii="Times New Roman" w:hAnsi="Times New Roman" w:cs="Times New Roman"/>
                <w:b/>
                <w:u w:val="single"/>
              </w:rPr>
            </w:pPr>
          </w:p>
        </w:tc>
      </w:tr>
    </w:tbl>
    <w:p w14:paraId="24B41CA0" w14:textId="3170E59E" w:rsidR="00BE4939" w:rsidRPr="006F3B00" w:rsidRDefault="00BE4939" w:rsidP="00BE4939">
      <w:pPr>
        <w:rPr>
          <w:rFonts w:ascii="Times New Roman" w:hAnsi="Times New Roman" w:cs="Times New Roman"/>
        </w:rPr>
      </w:pPr>
    </w:p>
    <w:tbl>
      <w:tblPr>
        <w:tblStyle w:val="TableGrid"/>
        <w:tblW w:w="8645" w:type="dxa"/>
        <w:jc w:val="center"/>
        <w:tblLayout w:type="fixed"/>
        <w:tblLook w:val="04A0" w:firstRow="1" w:lastRow="0" w:firstColumn="1" w:lastColumn="0" w:noHBand="0" w:noVBand="1"/>
      </w:tblPr>
      <w:tblGrid>
        <w:gridCol w:w="2632"/>
        <w:gridCol w:w="539"/>
        <w:gridCol w:w="604"/>
        <w:gridCol w:w="540"/>
        <w:gridCol w:w="540"/>
        <w:gridCol w:w="720"/>
        <w:gridCol w:w="540"/>
        <w:gridCol w:w="540"/>
        <w:gridCol w:w="720"/>
        <w:gridCol w:w="540"/>
        <w:gridCol w:w="730"/>
      </w:tblGrid>
      <w:tr w:rsidR="00BE4939" w:rsidRPr="006F3B00" w14:paraId="24B331B1" w14:textId="77777777" w:rsidTr="007B6573">
        <w:trPr>
          <w:jc w:val="center"/>
        </w:trPr>
        <w:tc>
          <w:tcPr>
            <w:tcW w:w="2632" w:type="dxa"/>
          </w:tcPr>
          <w:p w14:paraId="2CBADBDA" w14:textId="77777777" w:rsidR="00BE4939" w:rsidRPr="006F3B00" w:rsidRDefault="00BE4939" w:rsidP="001B0EF6">
            <w:pPr>
              <w:rPr>
                <w:rFonts w:ascii="Times New Roman" w:hAnsi="Times New Roman" w:cs="Times New Roman"/>
                <w:b/>
              </w:rPr>
            </w:pPr>
          </w:p>
        </w:tc>
        <w:tc>
          <w:tcPr>
            <w:tcW w:w="6013" w:type="dxa"/>
            <w:gridSpan w:val="10"/>
          </w:tcPr>
          <w:p w14:paraId="1790F6BD" w14:textId="0530CD81" w:rsidR="00BE4939" w:rsidRPr="006F3B00" w:rsidRDefault="00BE4939" w:rsidP="001B0EF6">
            <w:pPr>
              <w:rPr>
                <w:rFonts w:ascii="Times New Roman" w:hAnsi="Times New Roman" w:cs="Times New Roman"/>
                <w:b/>
              </w:rPr>
            </w:pPr>
            <w:r w:rsidRPr="006F3B00">
              <w:rPr>
                <w:rFonts w:ascii="Times New Roman" w:hAnsi="Times New Roman" w:cs="Times New Roman"/>
                <w:b/>
              </w:rPr>
              <w:t xml:space="preserve">Definitely not important      </w:t>
            </w:r>
            <w:r w:rsidR="00AD4244">
              <w:rPr>
                <w:rFonts w:ascii="Times New Roman" w:hAnsi="Times New Roman" w:cs="Times New Roman"/>
                <w:b/>
              </w:rPr>
              <w:t xml:space="preserve">                       </w:t>
            </w:r>
            <w:r w:rsidRPr="006F3B00">
              <w:rPr>
                <w:rFonts w:ascii="Times New Roman" w:hAnsi="Times New Roman" w:cs="Times New Roman"/>
                <w:b/>
              </w:rPr>
              <w:t>Definitely important</w:t>
            </w:r>
          </w:p>
          <w:p w14:paraId="2F568182" w14:textId="77777777" w:rsidR="00BE4939" w:rsidRPr="006F3B00" w:rsidRDefault="00BE4939" w:rsidP="001B0EF6">
            <w:pPr>
              <w:rPr>
                <w:rFonts w:ascii="Times New Roman" w:hAnsi="Times New Roman" w:cs="Times New Roman"/>
                <w:b/>
              </w:rPr>
            </w:pPr>
          </w:p>
        </w:tc>
      </w:tr>
      <w:tr w:rsidR="007B6573" w:rsidRPr="006F3B00" w14:paraId="4ED9F8EE" w14:textId="77777777" w:rsidTr="007B6573">
        <w:trPr>
          <w:jc w:val="center"/>
        </w:trPr>
        <w:tc>
          <w:tcPr>
            <w:tcW w:w="2632" w:type="dxa"/>
          </w:tcPr>
          <w:p w14:paraId="0986287F" w14:textId="77777777" w:rsidR="00BE4939" w:rsidRPr="006F3B00" w:rsidRDefault="00BE4939" w:rsidP="001B0EF6">
            <w:pPr>
              <w:rPr>
                <w:rFonts w:ascii="Times New Roman" w:hAnsi="Times New Roman" w:cs="Times New Roman"/>
                <w:b/>
                <w:sz w:val="28"/>
                <w:szCs w:val="28"/>
              </w:rPr>
            </w:pPr>
            <w:r w:rsidRPr="006F3B00">
              <w:rPr>
                <w:rFonts w:ascii="Times New Roman" w:hAnsi="Times New Roman" w:cs="Times New Roman"/>
                <w:b/>
                <w:sz w:val="28"/>
                <w:szCs w:val="28"/>
              </w:rPr>
              <w:t>Trust</w:t>
            </w:r>
          </w:p>
        </w:tc>
        <w:tc>
          <w:tcPr>
            <w:tcW w:w="539" w:type="dxa"/>
          </w:tcPr>
          <w:p w14:paraId="7ACC57C4"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1</w:t>
            </w:r>
          </w:p>
        </w:tc>
        <w:tc>
          <w:tcPr>
            <w:tcW w:w="604" w:type="dxa"/>
          </w:tcPr>
          <w:p w14:paraId="0C4FECEC"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2</w:t>
            </w:r>
          </w:p>
        </w:tc>
        <w:tc>
          <w:tcPr>
            <w:tcW w:w="540" w:type="dxa"/>
          </w:tcPr>
          <w:p w14:paraId="7140D0CE"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3</w:t>
            </w:r>
          </w:p>
        </w:tc>
        <w:tc>
          <w:tcPr>
            <w:tcW w:w="540" w:type="dxa"/>
          </w:tcPr>
          <w:p w14:paraId="5E975C14"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4</w:t>
            </w:r>
          </w:p>
        </w:tc>
        <w:tc>
          <w:tcPr>
            <w:tcW w:w="720" w:type="dxa"/>
          </w:tcPr>
          <w:p w14:paraId="6FB4652C"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5</w:t>
            </w:r>
          </w:p>
        </w:tc>
        <w:tc>
          <w:tcPr>
            <w:tcW w:w="540" w:type="dxa"/>
          </w:tcPr>
          <w:p w14:paraId="769A3720"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6</w:t>
            </w:r>
          </w:p>
        </w:tc>
        <w:tc>
          <w:tcPr>
            <w:tcW w:w="540" w:type="dxa"/>
          </w:tcPr>
          <w:p w14:paraId="1541C76E"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7</w:t>
            </w:r>
          </w:p>
        </w:tc>
        <w:tc>
          <w:tcPr>
            <w:tcW w:w="720" w:type="dxa"/>
          </w:tcPr>
          <w:p w14:paraId="178C83BB"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8</w:t>
            </w:r>
          </w:p>
        </w:tc>
        <w:tc>
          <w:tcPr>
            <w:tcW w:w="540" w:type="dxa"/>
          </w:tcPr>
          <w:p w14:paraId="04A65C54"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9</w:t>
            </w:r>
          </w:p>
        </w:tc>
        <w:tc>
          <w:tcPr>
            <w:tcW w:w="730" w:type="dxa"/>
          </w:tcPr>
          <w:p w14:paraId="7D30A940"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10</w:t>
            </w:r>
          </w:p>
        </w:tc>
      </w:tr>
      <w:tr w:rsidR="007B6573" w:rsidRPr="006F3B00" w14:paraId="4D24D175" w14:textId="77777777" w:rsidTr="007B6573">
        <w:trPr>
          <w:jc w:val="center"/>
        </w:trPr>
        <w:tc>
          <w:tcPr>
            <w:tcW w:w="2632" w:type="dxa"/>
          </w:tcPr>
          <w:p w14:paraId="1B2FA5E5"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19. Trainee can be trusted to carry out  macroscopic examination and “cut-up” independently</w:t>
            </w:r>
          </w:p>
        </w:tc>
        <w:tc>
          <w:tcPr>
            <w:tcW w:w="539" w:type="dxa"/>
          </w:tcPr>
          <w:p w14:paraId="0DFBF718" w14:textId="77777777" w:rsidR="00BE4939" w:rsidRPr="006F3B00" w:rsidRDefault="00BE4939" w:rsidP="001B0EF6">
            <w:pPr>
              <w:rPr>
                <w:rFonts w:ascii="Times New Roman" w:hAnsi="Times New Roman" w:cs="Times New Roman"/>
                <w:b/>
                <w:u w:val="single"/>
              </w:rPr>
            </w:pPr>
          </w:p>
        </w:tc>
        <w:tc>
          <w:tcPr>
            <w:tcW w:w="604" w:type="dxa"/>
          </w:tcPr>
          <w:p w14:paraId="16431057" w14:textId="77777777" w:rsidR="00BE4939" w:rsidRPr="006F3B00" w:rsidRDefault="00BE4939" w:rsidP="001B0EF6">
            <w:pPr>
              <w:rPr>
                <w:rFonts w:ascii="Times New Roman" w:hAnsi="Times New Roman" w:cs="Times New Roman"/>
                <w:b/>
                <w:u w:val="single"/>
              </w:rPr>
            </w:pPr>
          </w:p>
        </w:tc>
        <w:tc>
          <w:tcPr>
            <w:tcW w:w="540" w:type="dxa"/>
          </w:tcPr>
          <w:p w14:paraId="25D68B0F" w14:textId="77777777" w:rsidR="00BE4939" w:rsidRPr="006F3B00" w:rsidRDefault="00BE4939" w:rsidP="001B0EF6">
            <w:pPr>
              <w:rPr>
                <w:rFonts w:ascii="Times New Roman" w:hAnsi="Times New Roman" w:cs="Times New Roman"/>
                <w:b/>
                <w:u w:val="single"/>
              </w:rPr>
            </w:pPr>
          </w:p>
        </w:tc>
        <w:tc>
          <w:tcPr>
            <w:tcW w:w="540" w:type="dxa"/>
          </w:tcPr>
          <w:p w14:paraId="32A193CB" w14:textId="77777777" w:rsidR="00BE4939" w:rsidRPr="006F3B00" w:rsidRDefault="00BE4939" w:rsidP="001B0EF6">
            <w:pPr>
              <w:rPr>
                <w:rFonts w:ascii="Times New Roman" w:hAnsi="Times New Roman" w:cs="Times New Roman"/>
                <w:b/>
                <w:u w:val="single"/>
              </w:rPr>
            </w:pPr>
          </w:p>
        </w:tc>
        <w:tc>
          <w:tcPr>
            <w:tcW w:w="720" w:type="dxa"/>
          </w:tcPr>
          <w:p w14:paraId="7BAFA850" w14:textId="77777777" w:rsidR="00BE4939" w:rsidRPr="006F3B00" w:rsidRDefault="00BE4939" w:rsidP="001B0EF6">
            <w:pPr>
              <w:rPr>
                <w:rFonts w:ascii="Times New Roman" w:hAnsi="Times New Roman" w:cs="Times New Roman"/>
                <w:b/>
                <w:u w:val="single"/>
              </w:rPr>
            </w:pPr>
          </w:p>
        </w:tc>
        <w:tc>
          <w:tcPr>
            <w:tcW w:w="540" w:type="dxa"/>
          </w:tcPr>
          <w:p w14:paraId="1CD8EF8A" w14:textId="77777777" w:rsidR="00BE4939" w:rsidRPr="006F3B00" w:rsidRDefault="00BE4939" w:rsidP="001B0EF6">
            <w:pPr>
              <w:rPr>
                <w:rFonts w:ascii="Times New Roman" w:hAnsi="Times New Roman" w:cs="Times New Roman"/>
                <w:b/>
                <w:u w:val="single"/>
              </w:rPr>
            </w:pPr>
          </w:p>
        </w:tc>
        <w:tc>
          <w:tcPr>
            <w:tcW w:w="540" w:type="dxa"/>
          </w:tcPr>
          <w:p w14:paraId="496A38F4" w14:textId="77777777" w:rsidR="00BE4939" w:rsidRPr="006F3B00" w:rsidRDefault="00BE4939" w:rsidP="001B0EF6">
            <w:pPr>
              <w:rPr>
                <w:rFonts w:ascii="Times New Roman" w:hAnsi="Times New Roman" w:cs="Times New Roman"/>
                <w:b/>
                <w:u w:val="single"/>
              </w:rPr>
            </w:pPr>
          </w:p>
        </w:tc>
        <w:tc>
          <w:tcPr>
            <w:tcW w:w="720" w:type="dxa"/>
          </w:tcPr>
          <w:p w14:paraId="0B17CED9" w14:textId="77777777" w:rsidR="00BE4939" w:rsidRPr="006F3B00" w:rsidRDefault="00BE4939" w:rsidP="001B0EF6">
            <w:pPr>
              <w:rPr>
                <w:rFonts w:ascii="Times New Roman" w:hAnsi="Times New Roman" w:cs="Times New Roman"/>
                <w:b/>
                <w:u w:val="single"/>
              </w:rPr>
            </w:pPr>
          </w:p>
        </w:tc>
        <w:tc>
          <w:tcPr>
            <w:tcW w:w="540" w:type="dxa"/>
          </w:tcPr>
          <w:p w14:paraId="2B670505" w14:textId="77777777" w:rsidR="00BE4939" w:rsidRPr="006F3B00" w:rsidRDefault="00BE4939" w:rsidP="001B0EF6">
            <w:pPr>
              <w:rPr>
                <w:rFonts w:ascii="Times New Roman" w:hAnsi="Times New Roman" w:cs="Times New Roman"/>
                <w:b/>
                <w:u w:val="single"/>
              </w:rPr>
            </w:pPr>
          </w:p>
        </w:tc>
        <w:tc>
          <w:tcPr>
            <w:tcW w:w="730" w:type="dxa"/>
          </w:tcPr>
          <w:p w14:paraId="2A384E69" w14:textId="77777777" w:rsidR="00BE4939" w:rsidRPr="006F3B00" w:rsidRDefault="00BE4939" w:rsidP="001B0EF6">
            <w:pPr>
              <w:rPr>
                <w:rFonts w:ascii="Times New Roman" w:hAnsi="Times New Roman" w:cs="Times New Roman"/>
                <w:b/>
                <w:u w:val="single"/>
              </w:rPr>
            </w:pPr>
          </w:p>
        </w:tc>
      </w:tr>
      <w:tr w:rsidR="007B6573" w:rsidRPr="006F3B00" w14:paraId="547AE303" w14:textId="77777777" w:rsidTr="007B6573">
        <w:trPr>
          <w:jc w:val="center"/>
        </w:trPr>
        <w:tc>
          <w:tcPr>
            <w:tcW w:w="2632" w:type="dxa"/>
          </w:tcPr>
          <w:p w14:paraId="18846201"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20. Trainee can be trusted to report cases (however, the consultant will check the reports and authorise them)</w:t>
            </w:r>
          </w:p>
        </w:tc>
        <w:tc>
          <w:tcPr>
            <w:tcW w:w="539" w:type="dxa"/>
          </w:tcPr>
          <w:p w14:paraId="29B07471" w14:textId="77777777" w:rsidR="00BE4939" w:rsidRPr="006F3B00" w:rsidRDefault="00BE4939" w:rsidP="001B0EF6">
            <w:pPr>
              <w:rPr>
                <w:rFonts w:ascii="Times New Roman" w:hAnsi="Times New Roman" w:cs="Times New Roman"/>
                <w:b/>
                <w:u w:val="single"/>
              </w:rPr>
            </w:pPr>
          </w:p>
        </w:tc>
        <w:tc>
          <w:tcPr>
            <w:tcW w:w="604" w:type="dxa"/>
          </w:tcPr>
          <w:p w14:paraId="716FCFBD" w14:textId="77777777" w:rsidR="00BE4939" w:rsidRPr="006F3B00" w:rsidRDefault="00BE4939" w:rsidP="001B0EF6">
            <w:pPr>
              <w:rPr>
                <w:rFonts w:ascii="Times New Roman" w:hAnsi="Times New Roman" w:cs="Times New Roman"/>
                <w:b/>
                <w:u w:val="single"/>
              </w:rPr>
            </w:pPr>
          </w:p>
        </w:tc>
        <w:tc>
          <w:tcPr>
            <w:tcW w:w="540" w:type="dxa"/>
          </w:tcPr>
          <w:p w14:paraId="69818ACE" w14:textId="77777777" w:rsidR="00BE4939" w:rsidRPr="006F3B00" w:rsidRDefault="00BE4939" w:rsidP="001B0EF6">
            <w:pPr>
              <w:rPr>
                <w:rFonts w:ascii="Times New Roman" w:hAnsi="Times New Roman" w:cs="Times New Roman"/>
                <w:b/>
                <w:u w:val="single"/>
              </w:rPr>
            </w:pPr>
          </w:p>
        </w:tc>
        <w:tc>
          <w:tcPr>
            <w:tcW w:w="540" w:type="dxa"/>
          </w:tcPr>
          <w:p w14:paraId="29B6F880" w14:textId="77777777" w:rsidR="00BE4939" w:rsidRPr="006F3B00" w:rsidRDefault="00BE4939" w:rsidP="001B0EF6">
            <w:pPr>
              <w:rPr>
                <w:rFonts w:ascii="Times New Roman" w:hAnsi="Times New Roman" w:cs="Times New Roman"/>
                <w:b/>
                <w:u w:val="single"/>
              </w:rPr>
            </w:pPr>
          </w:p>
        </w:tc>
        <w:tc>
          <w:tcPr>
            <w:tcW w:w="720" w:type="dxa"/>
          </w:tcPr>
          <w:p w14:paraId="6B67FD0C" w14:textId="77777777" w:rsidR="00BE4939" w:rsidRPr="006F3B00" w:rsidRDefault="00BE4939" w:rsidP="001B0EF6">
            <w:pPr>
              <w:rPr>
                <w:rFonts w:ascii="Times New Roman" w:hAnsi="Times New Roman" w:cs="Times New Roman"/>
                <w:b/>
                <w:u w:val="single"/>
              </w:rPr>
            </w:pPr>
          </w:p>
        </w:tc>
        <w:tc>
          <w:tcPr>
            <w:tcW w:w="540" w:type="dxa"/>
          </w:tcPr>
          <w:p w14:paraId="0F639831" w14:textId="77777777" w:rsidR="00BE4939" w:rsidRPr="006F3B00" w:rsidRDefault="00BE4939" w:rsidP="001B0EF6">
            <w:pPr>
              <w:rPr>
                <w:rFonts w:ascii="Times New Roman" w:hAnsi="Times New Roman" w:cs="Times New Roman"/>
                <w:b/>
                <w:u w:val="single"/>
              </w:rPr>
            </w:pPr>
          </w:p>
        </w:tc>
        <w:tc>
          <w:tcPr>
            <w:tcW w:w="540" w:type="dxa"/>
          </w:tcPr>
          <w:p w14:paraId="7AD259C0" w14:textId="77777777" w:rsidR="00BE4939" w:rsidRPr="006F3B00" w:rsidRDefault="00BE4939" w:rsidP="001B0EF6">
            <w:pPr>
              <w:rPr>
                <w:rFonts w:ascii="Times New Roman" w:hAnsi="Times New Roman" w:cs="Times New Roman"/>
                <w:b/>
                <w:u w:val="single"/>
              </w:rPr>
            </w:pPr>
          </w:p>
        </w:tc>
        <w:tc>
          <w:tcPr>
            <w:tcW w:w="720" w:type="dxa"/>
          </w:tcPr>
          <w:p w14:paraId="72CA25AA" w14:textId="77777777" w:rsidR="00BE4939" w:rsidRPr="006F3B00" w:rsidRDefault="00BE4939" w:rsidP="001B0EF6">
            <w:pPr>
              <w:rPr>
                <w:rFonts w:ascii="Times New Roman" w:hAnsi="Times New Roman" w:cs="Times New Roman"/>
                <w:b/>
                <w:u w:val="single"/>
              </w:rPr>
            </w:pPr>
          </w:p>
        </w:tc>
        <w:tc>
          <w:tcPr>
            <w:tcW w:w="540" w:type="dxa"/>
          </w:tcPr>
          <w:p w14:paraId="5013E1F8" w14:textId="77777777" w:rsidR="00BE4939" w:rsidRPr="006F3B00" w:rsidRDefault="00BE4939" w:rsidP="001B0EF6">
            <w:pPr>
              <w:rPr>
                <w:rFonts w:ascii="Times New Roman" w:hAnsi="Times New Roman" w:cs="Times New Roman"/>
                <w:b/>
                <w:u w:val="single"/>
              </w:rPr>
            </w:pPr>
          </w:p>
        </w:tc>
        <w:tc>
          <w:tcPr>
            <w:tcW w:w="730" w:type="dxa"/>
          </w:tcPr>
          <w:p w14:paraId="25D0C0A3" w14:textId="77777777" w:rsidR="00BE4939" w:rsidRPr="006F3B00" w:rsidRDefault="00BE4939" w:rsidP="001B0EF6">
            <w:pPr>
              <w:rPr>
                <w:rFonts w:ascii="Times New Roman" w:hAnsi="Times New Roman" w:cs="Times New Roman"/>
                <w:b/>
                <w:u w:val="single"/>
              </w:rPr>
            </w:pPr>
          </w:p>
        </w:tc>
      </w:tr>
      <w:tr w:rsidR="007B6573" w:rsidRPr="006F3B00" w14:paraId="40D29037" w14:textId="77777777" w:rsidTr="007B6573">
        <w:trPr>
          <w:jc w:val="center"/>
        </w:trPr>
        <w:tc>
          <w:tcPr>
            <w:tcW w:w="2632" w:type="dxa"/>
          </w:tcPr>
          <w:p w14:paraId="0963D3F8"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21. Trainee can be trusted to report independently (the consultant does not check the report and the trainee authorises it)</w:t>
            </w:r>
          </w:p>
        </w:tc>
        <w:tc>
          <w:tcPr>
            <w:tcW w:w="539" w:type="dxa"/>
          </w:tcPr>
          <w:p w14:paraId="55C77775" w14:textId="77777777" w:rsidR="00BE4939" w:rsidRPr="006F3B00" w:rsidRDefault="00BE4939" w:rsidP="001B0EF6">
            <w:pPr>
              <w:rPr>
                <w:rFonts w:ascii="Times New Roman" w:hAnsi="Times New Roman" w:cs="Times New Roman"/>
                <w:b/>
                <w:u w:val="single"/>
              </w:rPr>
            </w:pPr>
          </w:p>
        </w:tc>
        <w:tc>
          <w:tcPr>
            <w:tcW w:w="604" w:type="dxa"/>
          </w:tcPr>
          <w:p w14:paraId="603E9D57" w14:textId="77777777" w:rsidR="00BE4939" w:rsidRPr="006F3B00" w:rsidRDefault="00BE4939" w:rsidP="001B0EF6">
            <w:pPr>
              <w:rPr>
                <w:rFonts w:ascii="Times New Roman" w:hAnsi="Times New Roman" w:cs="Times New Roman"/>
                <w:b/>
                <w:u w:val="single"/>
              </w:rPr>
            </w:pPr>
          </w:p>
        </w:tc>
        <w:tc>
          <w:tcPr>
            <w:tcW w:w="540" w:type="dxa"/>
          </w:tcPr>
          <w:p w14:paraId="5D270AA4" w14:textId="77777777" w:rsidR="00BE4939" w:rsidRPr="006F3B00" w:rsidRDefault="00BE4939" w:rsidP="001B0EF6">
            <w:pPr>
              <w:rPr>
                <w:rFonts w:ascii="Times New Roman" w:hAnsi="Times New Roman" w:cs="Times New Roman"/>
                <w:b/>
                <w:u w:val="single"/>
              </w:rPr>
            </w:pPr>
          </w:p>
        </w:tc>
        <w:tc>
          <w:tcPr>
            <w:tcW w:w="540" w:type="dxa"/>
          </w:tcPr>
          <w:p w14:paraId="3DD00EF8" w14:textId="77777777" w:rsidR="00BE4939" w:rsidRPr="006F3B00" w:rsidRDefault="00BE4939" w:rsidP="001B0EF6">
            <w:pPr>
              <w:rPr>
                <w:rFonts w:ascii="Times New Roman" w:hAnsi="Times New Roman" w:cs="Times New Roman"/>
                <w:b/>
                <w:u w:val="single"/>
              </w:rPr>
            </w:pPr>
          </w:p>
        </w:tc>
        <w:tc>
          <w:tcPr>
            <w:tcW w:w="720" w:type="dxa"/>
          </w:tcPr>
          <w:p w14:paraId="71DB0E51" w14:textId="77777777" w:rsidR="00BE4939" w:rsidRPr="006F3B00" w:rsidRDefault="00BE4939" w:rsidP="001B0EF6">
            <w:pPr>
              <w:rPr>
                <w:rFonts w:ascii="Times New Roman" w:hAnsi="Times New Roman" w:cs="Times New Roman"/>
                <w:b/>
                <w:u w:val="single"/>
              </w:rPr>
            </w:pPr>
          </w:p>
        </w:tc>
        <w:tc>
          <w:tcPr>
            <w:tcW w:w="540" w:type="dxa"/>
          </w:tcPr>
          <w:p w14:paraId="7BC12B8A" w14:textId="77777777" w:rsidR="00BE4939" w:rsidRPr="006F3B00" w:rsidRDefault="00BE4939" w:rsidP="001B0EF6">
            <w:pPr>
              <w:rPr>
                <w:rFonts w:ascii="Times New Roman" w:hAnsi="Times New Roman" w:cs="Times New Roman"/>
                <w:b/>
                <w:u w:val="single"/>
              </w:rPr>
            </w:pPr>
          </w:p>
        </w:tc>
        <w:tc>
          <w:tcPr>
            <w:tcW w:w="540" w:type="dxa"/>
          </w:tcPr>
          <w:p w14:paraId="3CB03F8D" w14:textId="77777777" w:rsidR="00BE4939" w:rsidRPr="006F3B00" w:rsidRDefault="00BE4939" w:rsidP="001B0EF6">
            <w:pPr>
              <w:rPr>
                <w:rFonts w:ascii="Times New Roman" w:hAnsi="Times New Roman" w:cs="Times New Roman"/>
                <w:b/>
                <w:u w:val="single"/>
              </w:rPr>
            </w:pPr>
          </w:p>
        </w:tc>
        <w:tc>
          <w:tcPr>
            <w:tcW w:w="720" w:type="dxa"/>
          </w:tcPr>
          <w:p w14:paraId="5082C5C9" w14:textId="77777777" w:rsidR="00BE4939" w:rsidRPr="006F3B00" w:rsidRDefault="00BE4939" w:rsidP="001B0EF6">
            <w:pPr>
              <w:rPr>
                <w:rFonts w:ascii="Times New Roman" w:hAnsi="Times New Roman" w:cs="Times New Roman"/>
                <w:b/>
                <w:u w:val="single"/>
              </w:rPr>
            </w:pPr>
          </w:p>
        </w:tc>
        <w:tc>
          <w:tcPr>
            <w:tcW w:w="540" w:type="dxa"/>
          </w:tcPr>
          <w:p w14:paraId="43EA8763" w14:textId="77777777" w:rsidR="00BE4939" w:rsidRPr="006F3B00" w:rsidRDefault="00BE4939" w:rsidP="001B0EF6">
            <w:pPr>
              <w:rPr>
                <w:rFonts w:ascii="Times New Roman" w:hAnsi="Times New Roman" w:cs="Times New Roman"/>
                <w:b/>
                <w:u w:val="single"/>
              </w:rPr>
            </w:pPr>
          </w:p>
        </w:tc>
        <w:tc>
          <w:tcPr>
            <w:tcW w:w="730" w:type="dxa"/>
          </w:tcPr>
          <w:p w14:paraId="1758B2DD" w14:textId="77777777" w:rsidR="00BE4939" w:rsidRPr="006F3B00" w:rsidRDefault="00BE4939" w:rsidP="001B0EF6">
            <w:pPr>
              <w:rPr>
                <w:rFonts w:ascii="Times New Roman" w:hAnsi="Times New Roman" w:cs="Times New Roman"/>
                <w:b/>
                <w:u w:val="single"/>
              </w:rPr>
            </w:pPr>
          </w:p>
        </w:tc>
      </w:tr>
      <w:tr w:rsidR="007B6573" w:rsidRPr="006F3B00" w14:paraId="0F67B683" w14:textId="77777777" w:rsidTr="007B6573">
        <w:trPr>
          <w:jc w:val="center"/>
        </w:trPr>
        <w:tc>
          <w:tcPr>
            <w:tcW w:w="2632" w:type="dxa"/>
          </w:tcPr>
          <w:p w14:paraId="68F37634"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22. Trainee asks for help/second opinion when needed</w:t>
            </w:r>
          </w:p>
        </w:tc>
        <w:tc>
          <w:tcPr>
            <w:tcW w:w="539" w:type="dxa"/>
          </w:tcPr>
          <w:p w14:paraId="5F0A9C21" w14:textId="77777777" w:rsidR="00BE4939" w:rsidRPr="006F3B00" w:rsidRDefault="00BE4939" w:rsidP="001B0EF6">
            <w:pPr>
              <w:rPr>
                <w:rFonts w:ascii="Times New Roman" w:hAnsi="Times New Roman" w:cs="Times New Roman"/>
                <w:b/>
                <w:u w:val="single"/>
              </w:rPr>
            </w:pPr>
          </w:p>
        </w:tc>
        <w:tc>
          <w:tcPr>
            <w:tcW w:w="604" w:type="dxa"/>
          </w:tcPr>
          <w:p w14:paraId="351485C4" w14:textId="77777777" w:rsidR="00BE4939" w:rsidRPr="006F3B00" w:rsidRDefault="00BE4939" w:rsidP="001B0EF6">
            <w:pPr>
              <w:rPr>
                <w:rFonts w:ascii="Times New Roman" w:hAnsi="Times New Roman" w:cs="Times New Roman"/>
                <w:b/>
                <w:u w:val="single"/>
              </w:rPr>
            </w:pPr>
          </w:p>
        </w:tc>
        <w:tc>
          <w:tcPr>
            <w:tcW w:w="540" w:type="dxa"/>
          </w:tcPr>
          <w:p w14:paraId="6F5C79A1" w14:textId="77777777" w:rsidR="00BE4939" w:rsidRPr="006F3B00" w:rsidRDefault="00BE4939" w:rsidP="001B0EF6">
            <w:pPr>
              <w:rPr>
                <w:rFonts w:ascii="Times New Roman" w:hAnsi="Times New Roman" w:cs="Times New Roman"/>
                <w:b/>
                <w:u w:val="single"/>
              </w:rPr>
            </w:pPr>
          </w:p>
        </w:tc>
        <w:tc>
          <w:tcPr>
            <w:tcW w:w="540" w:type="dxa"/>
          </w:tcPr>
          <w:p w14:paraId="49B315FD" w14:textId="77777777" w:rsidR="00BE4939" w:rsidRPr="006F3B00" w:rsidRDefault="00BE4939" w:rsidP="001B0EF6">
            <w:pPr>
              <w:rPr>
                <w:rFonts w:ascii="Times New Roman" w:hAnsi="Times New Roman" w:cs="Times New Roman"/>
                <w:b/>
                <w:u w:val="single"/>
              </w:rPr>
            </w:pPr>
          </w:p>
        </w:tc>
        <w:tc>
          <w:tcPr>
            <w:tcW w:w="720" w:type="dxa"/>
          </w:tcPr>
          <w:p w14:paraId="765F7887" w14:textId="77777777" w:rsidR="00BE4939" w:rsidRPr="006F3B00" w:rsidRDefault="00BE4939" w:rsidP="001B0EF6">
            <w:pPr>
              <w:rPr>
                <w:rFonts w:ascii="Times New Roman" w:hAnsi="Times New Roman" w:cs="Times New Roman"/>
                <w:b/>
                <w:u w:val="single"/>
              </w:rPr>
            </w:pPr>
          </w:p>
        </w:tc>
        <w:tc>
          <w:tcPr>
            <w:tcW w:w="540" w:type="dxa"/>
          </w:tcPr>
          <w:p w14:paraId="479FC948" w14:textId="77777777" w:rsidR="00BE4939" w:rsidRPr="006F3B00" w:rsidRDefault="00BE4939" w:rsidP="001B0EF6">
            <w:pPr>
              <w:rPr>
                <w:rFonts w:ascii="Times New Roman" w:hAnsi="Times New Roman" w:cs="Times New Roman"/>
                <w:b/>
                <w:u w:val="single"/>
              </w:rPr>
            </w:pPr>
          </w:p>
        </w:tc>
        <w:tc>
          <w:tcPr>
            <w:tcW w:w="540" w:type="dxa"/>
          </w:tcPr>
          <w:p w14:paraId="57F99AE8" w14:textId="77777777" w:rsidR="00BE4939" w:rsidRPr="006F3B00" w:rsidRDefault="00BE4939" w:rsidP="001B0EF6">
            <w:pPr>
              <w:rPr>
                <w:rFonts w:ascii="Times New Roman" w:hAnsi="Times New Roman" w:cs="Times New Roman"/>
                <w:b/>
                <w:u w:val="single"/>
              </w:rPr>
            </w:pPr>
          </w:p>
        </w:tc>
        <w:tc>
          <w:tcPr>
            <w:tcW w:w="720" w:type="dxa"/>
          </w:tcPr>
          <w:p w14:paraId="1DB8A8A0" w14:textId="77777777" w:rsidR="00BE4939" w:rsidRPr="006F3B00" w:rsidRDefault="00BE4939" w:rsidP="001B0EF6">
            <w:pPr>
              <w:rPr>
                <w:rFonts w:ascii="Times New Roman" w:hAnsi="Times New Roman" w:cs="Times New Roman"/>
                <w:b/>
                <w:u w:val="single"/>
              </w:rPr>
            </w:pPr>
          </w:p>
        </w:tc>
        <w:tc>
          <w:tcPr>
            <w:tcW w:w="540" w:type="dxa"/>
          </w:tcPr>
          <w:p w14:paraId="5029BCA5" w14:textId="77777777" w:rsidR="00BE4939" w:rsidRPr="006F3B00" w:rsidRDefault="00BE4939" w:rsidP="001B0EF6">
            <w:pPr>
              <w:rPr>
                <w:rFonts w:ascii="Times New Roman" w:hAnsi="Times New Roman" w:cs="Times New Roman"/>
                <w:b/>
                <w:u w:val="single"/>
              </w:rPr>
            </w:pPr>
          </w:p>
        </w:tc>
        <w:tc>
          <w:tcPr>
            <w:tcW w:w="730" w:type="dxa"/>
          </w:tcPr>
          <w:p w14:paraId="6C36DA75" w14:textId="77777777" w:rsidR="00BE4939" w:rsidRPr="006F3B00" w:rsidRDefault="00BE4939" w:rsidP="001B0EF6">
            <w:pPr>
              <w:rPr>
                <w:rFonts w:ascii="Times New Roman" w:hAnsi="Times New Roman" w:cs="Times New Roman"/>
                <w:b/>
                <w:u w:val="single"/>
              </w:rPr>
            </w:pPr>
          </w:p>
        </w:tc>
      </w:tr>
      <w:tr w:rsidR="007B6573" w:rsidRPr="006F3B00" w14:paraId="61B1721A" w14:textId="77777777" w:rsidTr="007B6573">
        <w:trPr>
          <w:jc w:val="center"/>
        </w:trPr>
        <w:tc>
          <w:tcPr>
            <w:tcW w:w="2632" w:type="dxa"/>
          </w:tcPr>
          <w:p w14:paraId="18D18ABF"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23. Your opinion of a trainee’s diagnostic competence is related to an overall impression you have of them, rather than items of evidence e.g. gut-feelings/impressions/ your perceptions about trainees</w:t>
            </w:r>
          </w:p>
        </w:tc>
        <w:tc>
          <w:tcPr>
            <w:tcW w:w="539" w:type="dxa"/>
          </w:tcPr>
          <w:p w14:paraId="39C47BFB" w14:textId="77777777" w:rsidR="00BE4939" w:rsidRPr="006F3B00" w:rsidRDefault="00BE4939" w:rsidP="001B0EF6">
            <w:pPr>
              <w:rPr>
                <w:rFonts w:ascii="Times New Roman" w:hAnsi="Times New Roman" w:cs="Times New Roman"/>
                <w:b/>
                <w:u w:val="single"/>
              </w:rPr>
            </w:pPr>
          </w:p>
        </w:tc>
        <w:tc>
          <w:tcPr>
            <w:tcW w:w="604" w:type="dxa"/>
          </w:tcPr>
          <w:p w14:paraId="41D527AC" w14:textId="77777777" w:rsidR="00BE4939" w:rsidRPr="006F3B00" w:rsidRDefault="00BE4939" w:rsidP="001B0EF6">
            <w:pPr>
              <w:rPr>
                <w:rFonts w:ascii="Times New Roman" w:hAnsi="Times New Roman" w:cs="Times New Roman"/>
                <w:b/>
                <w:u w:val="single"/>
              </w:rPr>
            </w:pPr>
          </w:p>
        </w:tc>
        <w:tc>
          <w:tcPr>
            <w:tcW w:w="540" w:type="dxa"/>
          </w:tcPr>
          <w:p w14:paraId="295FC302" w14:textId="77777777" w:rsidR="00BE4939" w:rsidRPr="006F3B00" w:rsidRDefault="00BE4939" w:rsidP="001B0EF6">
            <w:pPr>
              <w:rPr>
                <w:rFonts w:ascii="Times New Roman" w:hAnsi="Times New Roman" w:cs="Times New Roman"/>
                <w:b/>
                <w:u w:val="single"/>
              </w:rPr>
            </w:pPr>
          </w:p>
        </w:tc>
        <w:tc>
          <w:tcPr>
            <w:tcW w:w="540" w:type="dxa"/>
          </w:tcPr>
          <w:p w14:paraId="59C8EF2E" w14:textId="77777777" w:rsidR="00BE4939" w:rsidRPr="006F3B00" w:rsidRDefault="00BE4939" w:rsidP="001B0EF6">
            <w:pPr>
              <w:rPr>
                <w:rFonts w:ascii="Times New Roman" w:hAnsi="Times New Roman" w:cs="Times New Roman"/>
                <w:b/>
                <w:u w:val="single"/>
              </w:rPr>
            </w:pPr>
          </w:p>
        </w:tc>
        <w:tc>
          <w:tcPr>
            <w:tcW w:w="720" w:type="dxa"/>
          </w:tcPr>
          <w:p w14:paraId="0C8C8E2F" w14:textId="77777777" w:rsidR="00BE4939" w:rsidRPr="006F3B00" w:rsidRDefault="00BE4939" w:rsidP="001B0EF6">
            <w:pPr>
              <w:rPr>
                <w:rFonts w:ascii="Times New Roman" w:hAnsi="Times New Roman" w:cs="Times New Roman"/>
                <w:b/>
                <w:u w:val="single"/>
              </w:rPr>
            </w:pPr>
          </w:p>
        </w:tc>
        <w:tc>
          <w:tcPr>
            <w:tcW w:w="540" w:type="dxa"/>
          </w:tcPr>
          <w:p w14:paraId="073745B8" w14:textId="77777777" w:rsidR="00BE4939" w:rsidRPr="006F3B00" w:rsidRDefault="00BE4939" w:rsidP="001B0EF6">
            <w:pPr>
              <w:rPr>
                <w:rFonts w:ascii="Times New Roman" w:hAnsi="Times New Roman" w:cs="Times New Roman"/>
                <w:b/>
                <w:u w:val="single"/>
              </w:rPr>
            </w:pPr>
          </w:p>
        </w:tc>
        <w:tc>
          <w:tcPr>
            <w:tcW w:w="540" w:type="dxa"/>
          </w:tcPr>
          <w:p w14:paraId="6E7A5080" w14:textId="77777777" w:rsidR="00BE4939" w:rsidRPr="006F3B00" w:rsidRDefault="00BE4939" w:rsidP="001B0EF6">
            <w:pPr>
              <w:rPr>
                <w:rFonts w:ascii="Times New Roman" w:hAnsi="Times New Roman" w:cs="Times New Roman"/>
                <w:b/>
                <w:u w:val="single"/>
              </w:rPr>
            </w:pPr>
          </w:p>
        </w:tc>
        <w:tc>
          <w:tcPr>
            <w:tcW w:w="720" w:type="dxa"/>
          </w:tcPr>
          <w:p w14:paraId="656F223A" w14:textId="77777777" w:rsidR="00BE4939" w:rsidRPr="006F3B00" w:rsidRDefault="00BE4939" w:rsidP="001B0EF6">
            <w:pPr>
              <w:rPr>
                <w:rFonts w:ascii="Times New Roman" w:hAnsi="Times New Roman" w:cs="Times New Roman"/>
                <w:b/>
                <w:u w:val="single"/>
              </w:rPr>
            </w:pPr>
          </w:p>
        </w:tc>
        <w:tc>
          <w:tcPr>
            <w:tcW w:w="540" w:type="dxa"/>
          </w:tcPr>
          <w:p w14:paraId="73810247" w14:textId="77777777" w:rsidR="00BE4939" w:rsidRPr="006F3B00" w:rsidRDefault="00BE4939" w:rsidP="001B0EF6">
            <w:pPr>
              <w:rPr>
                <w:rFonts w:ascii="Times New Roman" w:hAnsi="Times New Roman" w:cs="Times New Roman"/>
                <w:b/>
                <w:u w:val="single"/>
              </w:rPr>
            </w:pPr>
          </w:p>
        </w:tc>
        <w:tc>
          <w:tcPr>
            <w:tcW w:w="730" w:type="dxa"/>
          </w:tcPr>
          <w:p w14:paraId="37415D9F" w14:textId="77777777" w:rsidR="00BE4939" w:rsidRPr="006F3B00" w:rsidRDefault="00BE4939" w:rsidP="001B0EF6">
            <w:pPr>
              <w:rPr>
                <w:rFonts w:ascii="Times New Roman" w:hAnsi="Times New Roman" w:cs="Times New Roman"/>
                <w:b/>
                <w:u w:val="single"/>
              </w:rPr>
            </w:pPr>
          </w:p>
        </w:tc>
      </w:tr>
      <w:tr w:rsidR="007B6573" w:rsidRPr="006F3B00" w14:paraId="7106B9CE" w14:textId="77777777" w:rsidTr="007B6573">
        <w:trPr>
          <w:jc w:val="center"/>
        </w:trPr>
        <w:tc>
          <w:tcPr>
            <w:tcW w:w="2632" w:type="dxa"/>
          </w:tcPr>
          <w:p w14:paraId="6F734B60"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24. Your opinion of a trainee’s diagnostic competence is related to bringing all the evidence together and triangulating findings from exams, workplace-based assessments, day-to-day work</w:t>
            </w:r>
          </w:p>
        </w:tc>
        <w:tc>
          <w:tcPr>
            <w:tcW w:w="539" w:type="dxa"/>
          </w:tcPr>
          <w:p w14:paraId="351F8C59" w14:textId="77777777" w:rsidR="00BE4939" w:rsidRPr="006F3B00" w:rsidRDefault="00BE4939" w:rsidP="001B0EF6">
            <w:pPr>
              <w:rPr>
                <w:rFonts w:ascii="Times New Roman" w:hAnsi="Times New Roman" w:cs="Times New Roman"/>
                <w:b/>
                <w:u w:val="single"/>
              </w:rPr>
            </w:pPr>
          </w:p>
        </w:tc>
        <w:tc>
          <w:tcPr>
            <w:tcW w:w="604" w:type="dxa"/>
          </w:tcPr>
          <w:p w14:paraId="16581085" w14:textId="77777777" w:rsidR="00BE4939" w:rsidRPr="006F3B00" w:rsidRDefault="00BE4939" w:rsidP="001B0EF6">
            <w:pPr>
              <w:rPr>
                <w:rFonts w:ascii="Times New Roman" w:hAnsi="Times New Roman" w:cs="Times New Roman"/>
                <w:b/>
                <w:u w:val="single"/>
              </w:rPr>
            </w:pPr>
          </w:p>
        </w:tc>
        <w:tc>
          <w:tcPr>
            <w:tcW w:w="540" w:type="dxa"/>
          </w:tcPr>
          <w:p w14:paraId="4B7E7E28" w14:textId="77777777" w:rsidR="00BE4939" w:rsidRPr="006F3B00" w:rsidRDefault="00BE4939" w:rsidP="001B0EF6">
            <w:pPr>
              <w:rPr>
                <w:rFonts w:ascii="Times New Roman" w:hAnsi="Times New Roman" w:cs="Times New Roman"/>
                <w:b/>
                <w:u w:val="single"/>
              </w:rPr>
            </w:pPr>
          </w:p>
        </w:tc>
        <w:tc>
          <w:tcPr>
            <w:tcW w:w="540" w:type="dxa"/>
          </w:tcPr>
          <w:p w14:paraId="4EBA9514" w14:textId="77777777" w:rsidR="00BE4939" w:rsidRPr="006F3B00" w:rsidRDefault="00BE4939" w:rsidP="001B0EF6">
            <w:pPr>
              <w:rPr>
                <w:rFonts w:ascii="Times New Roman" w:hAnsi="Times New Roman" w:cs="Times New Roman"/>
                <w:b/>
                <w:u w:val="single"/>
              </w:rPr>
            </w:pPr>
          </w:p>
        </w:tc>
        <w:tc>
          <w:tcPr>
            <w:tcW w:w="720" w:type="dxa"/>
          </w:tcPr>
          <w:p w14:paraId="66F60438" w14:textId="77777777" w:rsidR="00BE4939" w:rsidRPr="006F3B00" w:rsidRDefault="00BE4939" w:rsidP="001B0EF6">
            <w:pPr>
              <w:rPr>
                <w:rFonts w:ascii="Times New Roman" w:hAnsi="Times New Roman" w:cs="Times New Roman"/>
                <w:b/>
                <w:u w:val="single"/>
              </w:rPr>
            </w:pPr>
          </w:p>
        </w:tc>
        <w:tc>
          <w:tcPr>
            <w:tcW w:w="540" w:type="dxa"/>
          </w:tcPr>
          <w:p w14:paraId="070CBE06" w14:textId="77777777" w:rsidR="00BE4939" w:rsidRPr="006F3B00" w:rsidRDefault="00BE4939" w:rsidP="001B0EF6">
            <w:pPr>
              <w:rPr>
                <w:rFonts w:ascii="Times New Roman" w:hAnsi="Times New Roman" w:cs="Times New Roman"/>
                <w:b/>
                <w:u w:val="single"/>
              </w:rPr>
            </w:pPr>
          </w:p>
        </w:tc>
        <w:tc>
          <w:tcPr>
            <w:tcW w:w="540" w:type="dxa"/>
          </w:tcPr>
          <w:p w14:paraId="0EE2B251" w14:textId="77777777" w:rsidR="00BE4939" w:rsidRPr="006F3B00" w:rsidRDefault="00BE4939" w:rsidP="001B0EF6">
            <w:pPr>
              <w:rPr>
                <w:rFonts w:ascii="Times New Roman" w:hAnsi="Times New Roman" w:cs="Times New Roman"/>
                <w:b/>
                <w:u w:val="single"/>
              </w:rPr>
            </w:pPr>
          </w:p>
        </w:tc>
        <w:tc>
          <w:tcPr>
            <w:tcW w:w="720" w:type="dxa"/>
          </w:tcPr>
          <w:p w14:paraId="29DF8181" w14:textId="77777777" w:rsidR="00BE4939" w:rsidRPr="006F3B00" w:rsidRDefault="00BE4939" w:rsidP="001B0EF6">
            <w:pPr>
              <w:rPr>
                <w:rFonts w:ascii="Times New Roman" w:hAnsi="Times New Roman" w:cs="Times New Roman"/>
                <w:b/>
                <w:u w:val="single"/>
              </w:rPr>
            </w:pPr>
          </w:p>
        </w:tc>
        <w:tc>
          <w:tcPr>
            <w:tcW w:w="540" w:type="dxa"/>
          </w:tcPr>
          <w:p w14:paraId="7E77EE8D" w14:textId="77777777" w:rsidR="00BE4939" w:rsidRPr="006F3B00" w:rsidRDefault="00BE4939" w:rsidP="001B0EF6">
            <w:pPr>
              <w:rPr>
                <w:rFonts w:ascii="Times New Roman" w:hAnsi="Times New Roman" w:cs="Times New Roman"/>
                <w:b/>
                <w:u w:val="single"/>
              </w:rPr>
            </w:pPr>
          </w:p>
        </w:tc>
        <w:tc>
          <w:tcPr>
            <w:tcW w:w="730" w:type="dxa"/>
          </w:tcPr>
          <w:p w14:paraId="5A079C5E" w14:textId="77777777" w:rsidR="00BE4939" w:rsidRPr="006F3B00" w:rsidRDefault="00BE4939" w:rsidP="001B0EF6">
            <w:pPr>
              <w:rPr>
                <w:rFonts w:ascii="Times New Roman" w:hAnsi="Times New Roman" w:cs="Times New Roman"/>
                <w:b/>
                <w:u w:val="single"/>
              </w:rPr>
            </w:pPr>
          </w:p>
        </w:tc>
      </w:tr>
    </w:tbl>
    <w:p w14:paraId="2A13171D" w14:textId="1A213EC7" w:rsidR="00BE4939" w:rsidRDefault="00BE4939" w:rsidP="00BE4939">
      <w:pPr>
        <w:rPr>
          <w:rFonts w:ascii="Times New Roman" w:hAnsi="Times New Roman" w:cs="Times New Roman"/>
        </w:rPr>
      </w:pPr>
    </w:p>
    <w:p w14:paraId="0872063A" w14:textId="20F31D03" w:rsidR="007B6573" w:rsidRDefault="007B6573" w:rsidP="00BE4939">
      <w:pPr>
        <w:rPr>
          <w:rFonts w:ascii="Times New Roman" w:hAnsi="Times New Roman" w:cs="Times New Roman"/>
        </w:rPr>
      </w:pPr>
    </w:p>
    <w:p w14:paraId="29ACCD3D" w14:textId="77777777" w:rsidR="007B6573" w:rsidRPr="006F3B00" w:rsidRDefault="007B6573" w:rsidP="00BE4939">
      <w:pPr>
        <w:rPr>
          <w:rFonts w:ascii="Times New Roman" w:hAnsi="Times New Roman" w:cs="Times New Roman"/>
        </w:rPr>
      </w:pPr>
    </w:p>
    <w:tbl>
      <w:tblPr>
        <w:tblStyle w:val="TableGrid"/>
        <w:tblW w:w="8455" w:type="dxa"/>
        <w:jc w:val="center"/>
        <w:tblLayout w:type="fixed"/>
        <w:tblLook w:val="04A0" w:firstRow="1" w:lastRow="0" w:firstColumn="1" w:lastColumn="0" w:noHBand="0" w:noVBand="1"/>
      </w:tblPr>
      <w:tblGrid>
        <w:gridCol w:w="2457"/>
        <w:gridCol w:w="598"/>
        <w:gridCol w:w="720"/>
        <w:gridCol w:w="540"/>
        <w:gridCol w:w="540"/>
        <w:gridCol w:w="720"/>
        <w:gridCol w:w="540"/>
        <w:gridCol w:w="540"/>
        <w:gridCol w:w="720"/>
        <w:gridCol w:w="540"/>
        <w:gridCol w:w="540"/>
      </w:tblGrid>
      <w:tr w:rsidR="00BE4939" w:rsidRPr="006F3B00" w14:paraId="2CFA2EFE" w14:textId="77777777" w:rsidTr="00BD3A5D">
        <w:trPr>
          <w:jc w:val="center"/>
        </w:trPr>
        <w:tc>
          <w:tcPr>
            <w:tcW w:w="2457" w:type="dxa"/>
          </w:tcPr>
          <w:p w14:paraId="396A7001" w14:textId="77777777" w:rsidR="00BE4939" w:rsidRPr="006F3B00" w:rsidRDefault="00BE4939" w:rsidP="001B0EF6">
            <w:pPr>
              <w:rPr>
                <w:rFonts w:ascii="Times New Roman" w:hAnsi="Times New Roman" w:cs="Times New Roman"/>
                <w:b/>
              </w:rPr>
            </w:pPr>
          </w:p>
        </w:tc>
        <w:tc>
          <w:tcPr>
            <w:tcW w:w="5998" w:type="dxa"/>
            <w:gridSpan w:val="10"/>
          </w:tcPr>
          <w:p w14:paraId="4357A03E" w14:textId="5F81694B" w:rsidR="00BE4939" w:rsidRPr="006F3B00" w:rsidRDefault="00BE4939" w:rsidP="001B0EF6">
            <w:pPr>
              <w:rPr>
                <w:rFonts w:ascii="Times New Roman" w:hAnsi="Times New Roman" w:cs="Times New Roman"/>
                <w:b/>
              </w:rPr>
            </w:pPr>
            <w:r w:rsidRPr="006F3B00">
              <w:rPr>
                <w:rFonts w:ascii="Times New Roman" w:hAnsi="Times New Roman" w:cs="Times New Roman"/>
                <w:b/>
              </w:rPr>
              <w:t xml:space="preserve">Definitely not important      </w:t>
            </w:r>
            <w:r w:rsidR="00BD3A5D">
              <w:rPr>
                <w:rFonts w:ascii="Times New Roman" w:hAnsi="Times New Roman" w:cs="Times New Roman"/>
                <w:b/>
              </w:rPr>
              <w:t xml:space="preserve">                               </w:t>
            </w:r>
            <w:r w:rsidRPr="006F3B00">
              <w:rPr>
                <w:rFonts w:ascii="Times New Roman" w:hAnsi="Times New Roman" w:cs="Times New Roman"/>
                <w:b/>
              </w:rPr>
              <w:t>Definitely important</w:t>
            </w:r>
          </w:p>
          <w:p w14:paraId="13AB481D" w14:textId="77777777" w:rsidR="00BE4939" w:rsidRPr="006F3B00" w:rsidRDefault="00BE4939" w:rsidP="001B0EF6">
            <w:pPr>
              <w:rPr>
                <w:rFonts w:ascii="Times New Roman" w:hAnsi="Times New Roman" w:cs="Times New Roman"/>
                <w:b/>
              </w:rPr>
            </w:pPr>
          </w:p>
        </w:tc>
      </w:tr>
      <w:tr w:rsidR="00BE4939" w:rsidRPr="006F3B00" w14:paraId="0AA60C5C" w14:textId="77777777" w:rsidTr="00BD3A5D">
        <w:trPr>
          <w:jc w:val="center"/>
        </w:trPr>
        <w:tc>
          <w:tcPr>
            <w:tcW w:w="2457" w:type="dxa"/>
          </w:tcPr>
          <w:p w14:paraId="14E9916E" w14:textId="77777777" w:rsidR="00BE4939" w:rsidRPr="006F3B00" w:rsidRDefault="00BE4939" w:rsidP="001B0EF6">
            <w:pPr>
              <w:rPr>
                <w:rFonts w:ascii="Times New Roman" w:hAnsi="Times New Roman" w:cs="Times New Roman"/>
                <w:b/>
                <w:sz w:val="28"/>
                <w:szCs w:val="28"/>
              </w:rPr>
            </w:pPr>
            <w:r w:rsidRPr="006F3B00">
              <w:rPr>
                <w:rFonts w:ascii="Times New Roman" w:hAnsi="Times New Roman" w:cs="Times New Roman"/>
                <w:b/>
                <w:sz w:val="28"/>
                <w:szCs w:val="28"/>
              </w:rPr>
              <w:t>The patient’s report</w:t>
            </w:r>
          </w:p>
        </w:tc>
        <w:tc>
          <w:tcPr>
            <w:tcW w:w="598" w:type="dxa"/>
          </w:tcPr>
          <w:p w14:paraId="5F7CE38E"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1</w:t>
            </w:r>
          </w:p>
        </w:tc>
        <w:tc>
          <w:tcPr>
            <w:tcW w:w="720" w:type="dxa"/>
          </w:tcPr>
          <w:p w14:paraId="55329A13"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2</w:t>
            </w:r>
          </w:p>
        </w:tc>
        <w:tc>
          <w:tcPr>
            <w:tcW w:w="540" w:type="dxa"/>
          </w:tcPr>
          <w:p w14:paraId="114D9C6D"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3</w:t>
            </w:r>
          </w:p>
        </w:tc>
        <w:tc>
          <w:tcPr>
            <w:tcW w:w="540" w:type="dxa"/>
          </w:tcPr>
          <w:p w14:paraId="6976CD0C"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4</w:t>
            </w:r>
          </w:p>
        </w:tc>
        <w:tc>
          <w:tcPr>
            <w:tcW w:w="720" w:type="dxa"/>
          </w:tcPr>
          <w:p w14:paraId="0DA54231"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5</w:t>
            </w:r>
          </w:p>
        </w:tc>
        <w:tc>
          <w:tcPr>
            <w:tcW w:w="540" w:type="dxa"/>
          </w:tcPr>
          <w:p w14:paraId="17E91CCF"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6</w:t>
            </w:r>
          </w:p>
        </w:tc>
        <w:tc>
          <w:tcPr>
            <w:tcW w:w="540" w:type="dxa"/>
          </w:tcPr>
          <w:p w14:paraId="6502DDDB"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7</w:t>
            </w:r>
          </w:p>
        </w:tc>
        <w:tc>
          <w:tcPr>
            <w:tcW w:w="720" w:type="dxa"/>
          </w:tcPr>
          <w:p w14:paraId="3A05FE4A"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8</w:t>
            </w:r>
          </w:p>
        </w:tc>
        <w:tc>
          <w:tcPr>
            <w:tcW w:w="540" w:type="dxa"/>
          </w:tcPr>
          <w:p w14:paraId="12F92DA9"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9</w:t>
            </w:r>
          </w:p>
        </w:tc>
        <w:tc>
          <w:tcPr>
            <w:tcW w:w="540" w:type="dxa"/>
          </w:tcPr>
          <w:p w14:paraId="7C595886" w14:textId="77777777" w:rsidR="00BE4939" w:rsidRPr="006F3B00" w:rsidRDefault="00BE4939" w:rsidP="001B0EF6">
            <w:pPr>
              <w:rPr>
                <w:rFonts w:ascii="Times New Roman" w:hAnsi="Times New Roman" w:cs="Times New Roman"/>
                <w:b/>
              </w:rPr>
            </w:pPr>
            <w:r w:rsidRPr="006F3B00">
              <w:rPr>
                <w:rFonts w:ascii="Times New Roman" w:hAnsi="Times New Roman" w:cs="Times New Roman"/>
                <w:b/>
              </w:rPr>
              <w:t>10</w:t>
            </w:r>
          </w:p>
        </w:tc>
      </w:tr>
      <w:tr w:rsidR="00BE4939" w:rsidRPr="006F3B00" w14:paraId="5912BA6D" w14:textId="77777777" w:rsidTr="00BD3A5D">
        <w:trPr>
          <w:jc w:val="center"/>
        </w:trPr>
        <w:tc>
          <w:tcPr>
            <w:tcW w:w="2457" w:type="dxa"/>
          </w:tcPr>
          <w:p w14:paraId="1F34ECAE"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25. Report is useful to the clinician/surgeon e.g. it does not contain unnecessary information or detail; it shows the surgeon’s clinical differential diagnoses have been considered</w:t>
            </w:r>
          </w:p>
        </w:tc>
        <w:tc>
          <w:tcPr>
            <w:tcW w:w="598" w:type="dxa"/>
          </w:tcPr>
          <w:p w14:paraId="4C689F16" w14:textId="77777777" w:rsidR="00BE4939" w:rsidRPr="006F3B00" w:rsidRDefault="00BE4939" w:rsidP="001B0EF6">
            <w:pPr>
              <w:rPr>
                <w:rFonts w:ascii="Times New Roman" w:hAnsi="Times New Roman" w:cs="Times New Roman"/>
                <w:b/>
                <w:u w:val="single"/>
              </w:rPr>
            </w:pPr>
          </w:p>
        </w:tc>
        <w:tc>
          <w:tcPr>
            <w:tcW w:w="720" w:type="dxa"/>
          </w:tcPr>
          <w:p w14:paraId="64ABDA98" w14:textId="77777777" w:rsidR="00BE4939" w:rsidRPr="006F3B00" w:rsidRDefault="00BE4939" w:rsidP="001B0EF6">
            <w:pPr>
              <w:rPr>
                <w:rFonts w:ascii="Times New Roman" w:hAnsi="Times New Roman" w:cs="Times New Roman"/>
                <w:b/>
                <w:u w:val="single"/>
              </w:rPr>
            </w:pPr>
          </w:p>
        </w:tc>
        <w:tc>
          <w:tcPr>
            <w:tcW w:w="540" w:type="dxa"/>
          </w:tcPr>
          <w:p w14:paraId="2FEDDDA0" w14:textId="77777777" w:rsidR="00BE4939" w:rsidRPr="006F3B00" w:rsidRDefault="00BE4939" w:rsidP="001B0EF6">
            <w:pPr>
              <w:rPr>
                <w:rFonts w:ascii="Times New Roman" w:hAnsi="Times New Roman" w:cs="Times New Roman"/>
                <w:b/>
                <w:u w:val="single"/>
              </w:rPr>
            </w:pPr>
          </w:p>
        </w:tc>
        <w:tc>
          <w:tcPr>
            <w:tcW w:w="540" w:type="dxa"/>
          </w:tcPr>
          <w:p w14:paraId="535C05E3" w14:textId="77777777" w:rsidR="00BE4939" w:rsidRPr="006F3B00" w:rsidRDefault="00BE4939" w:rsidP="001B0EF6">
            <w:pPr>
              <w:rPr>
                <w:rFonts w:ascii="Times New Roman" w:hAnsi="Times New Roman" w:cs="Times New Roman"/>
                <w:b/>
                <w:u w:val="single"/>
              </w:rPr>
            </w:pPr>
          </w:p>
        </w:tc>
        <w:tc>
          <w:tcPr>
            <w:tcW w:w="720" w:type="dxa"/>
          </w:tcPr>
          <w:p w14:paraId="0C5AA93D" w14:textId="77777777" w:rsidR="00BE4939" w:rsidRPr="006F3B00" w:rsidRDefault="00BE4939" w:rsidP="001B0EF6">
            <w:pPr>
              <w:rPr>
                <w:rFonts w:ascii="Times New Roman" w:hAnsi="Times New Roman" w:cs="Times New Roman"/>
                <w:b/>
                <w:u w:val="single"/>
              </w:rPr>
            </w:pPr>
          </w:p>
        </w:tc>
        <w:tc>
          <w:tcPr>
            <w:tcW w:w="540" w:type="dxa"/>
          </w:tcPr>
          <w:p w14:paraId="0D1B3F7D" w14:textId="77777777" w:rsidR="00BE4939" w:rsidRPr="006F3B00" w:rsidRDefault="00BE4939" w:rsidP="001B0EF6">
            <w:pPr>
              <w:rPr>
                <w:rFonts w:ascii="Times New Roman" w:hAnsi="Times New Roman" w:cs="Times New Roman"/>
                <w:b/>
                <w:u w:val="single"/>
              </w:rPr>
            </w:pPr>
          </w:p>
        </w:tc>
        <w:tc>
          <w:tcPr>
            <w:tcW w:w="540" w:type="dxa"/>
          </w:tcPr>
          <w:p w14:paraId="695F45F8" w14:textId="77777777" w:rsidR="00BE4939" w:rsidRPr="006F3B00" w:rsidRDefault="00BE4939" w:rsidP="001B0EF6">
            <w:pPr>
              <w:rPr>
                <w:rFonts w:ascii="Times New Roman" w:hAnsi="Times New Roman" w:cs="Times New Roman"/>
                <w:b/>
                <w:u w:val="single"/>
              </w:rPr>
            </w:pPr>
          </w:p>
        </w:tc>
        <w:tc>
          <w:tcPr>
            <w:tcW w:w="720" w:type="dxa"/>
          </w:tcPr>
          <w:p w14:paraId="070C37B4" w14:textId="77777777" w:rsidR="00BE4939" w:rsidRPr="006F3B00" w:rsidRDefault="00BE4939" w:rsidP="001B0EF6">
            <w:pPr>
              <w:rPr>
                <w:rFonts w:ascii="Times New Roman" w:hAnsi="Times New Roman" w:cs="Times New Roman"/>
                <w:b/>
                <w:u w:val="single"/>
              </w:rPr>
            </w:pPr>
          </w:p>
        </w:tc>
        <w:tc>
          <w:tcPr>
            <w:tcW w:w="540" w:type="dxa"/>
          </w:tcPr>
          <w:p w14:paraId="7AC1AA7C" w14:textId="77777777" w:rsidR="00BE4939" w:rsidRPr="006F3B00" w:rsidRDefault="00BE4939" w:rsidP="001B0EF6">
            <w:pPr>
              <w:rPr>
                <w:rFonts w:ascii="Times New Roman" w:hAnsi="Times New Roman" w:cs="Times New Roman"/>
                <w:b/>
                <w:u w:val="single"/>
              </w:rPr>
            </w:pPr>
          </w:p>
        </w:tc>
        <w:tc>
          <w:tcPr>
            <w:tcW w:w="540" w:type="dxa"/>
          </w:tcPr>
          <w:p w14:paraId="72B65CCB" w14:textId="77777777" w:rsidR="00BE4939" w:rsidRPr="006F3B00" w:rsidRDefault="00BE4939" w:rsidP="001B0EF6">
            <w:pPr>
              <w:rPr>
                <w:rFonts w:ascii="Times New Roman" w:hAnsi="Times New Roman" w:cs="Times New Roman"/>
                <w:b/>
                <w:u w:val="single"/>
              </w:rPr>
            </w:pPr>
          </w:p>
        </w:tc>
      </w:tr>
      <w:tr w:rsidR="00BE4939" w:rsidRPr="006F3B00" w14:paraId="12D88EDD" w14:textId="77777777" w:rsidTr="00BD3A5D">
        <w:trPr>
          <w:jc w:val="center"/>
        </w:trPr>
        <w:tc>
          <w:tcPr>
            <w:tcW w:w="2457" w:type="dxa"/>
          </w:tcPr>
          <w:p w14:paraId="3E86C9FB"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26. Report ensures the clinician/surgeon receives the appropriate message e.g. when diagnoses are not clear-cut and a differential diagnosis or other message needs to be conveyed. This might include a discussion about the limitations of the biopsy or if further tests or information are needed</w:t>
            </w:r>
          </w:p>
        </w:tc>
        <w:tc>
          <w:tcPr>
            <w:tcW w:w="598" w:type="dxa"/>
          </w:tcPr>
          <w:p w14:paraId="53FF689E" w14:textId="77777777" w:rsidR="00BE4939" w:rsidRPr="006F3B00" w:rsidRDefault="00BE4939" w:rsidP="001B0EF6">
            <w:pPr>
              <w:rPr>
                <w:rFonts w:ascii="Times New Roman" w:hAnsi="Times New Roman" w:cs="Times New Roman"/>
                <w:b/>
                <w:u w:val="single"/>
              </w:rPr>
            </w:pPr>
          </w:p>
        </w:tc>
        <w:tc>
          <w:tcPr>
            <w:tcW w:w="720" w:type="dxa"/>
          </w:tcPr>
          <w:p w14:paraId="085D455A" w14:textId="77777777" w:rsidR="00BE4939" w:rsidRPr="006F3B00" w:rsidRDefault="00BE4939" w:rsidP="001B0EF6">
            <w:pPr>
              <w:rPr>
                <w:rFonts w:ascii="Times New Roman" w:hAnsi="Times New Roman" w:cs="Times New Roman"/>
                <w:b/>
                <w:u w:val="single"/>
              </w:rPr>
            </w:pPr>
          </w:p>
        </w:tc>
        <w:tc>
          <w:tcPr>
            <w:tcW w:w="540" w:type="dxa"/>
          </w:tcPr>
          <w:p w14:paraId="7D3A39E6" w14:textId="77777777" w:rsidR="00BE4939" w:rsidRPr="006F3B00" w:rsidRDefault="00BE4939" w:rsidP="001B0EF6">
            <w:pPr>
              <w:rPr>
                <w:rFonts w:ascii="Times New Roman" w:hAnsi="Times New Roman" w:cs="Times New Roman"/>
                <w:b/>
                <w:u w:val="single"/>
              </w:rPr>
            </w:pPr>
          </w:p>
        </w:tc>
        <w:tc>
          <w:tcPr>
            <w:tcW w:w="540" w:type="dxa"/>
          </w:tcPr>
          <w:p w14:paraId="3DCC3334" w14:textId="77777777" w:rsidR="00BE4939" w:rsidRPr="006F3B00" w:rsidRDefault="00BE4939" w:rsidP="001B0EF6">
            <w:pPr>
              <w:rPr>
                <w:rFonts w:ascii="Times New Roman" w:hAnsi="Times New Roman" w:cs="Times New Roman"/>
                <w:b/>
                <w:u w:val="single"/>
              </w:rPr>
            </w:pPr>
          </w:p>
        </w:tc>
        <w:tc>
          <w:tcPr>
            <w:tcW w:w="720" w:type="dxa"/>
          </w:tcPr>
          <w:p w14:paraId="5DD5151A" w14:textId="77777777" w:rsidR="00BE4939" w:rsidRPr="006F3B00" w:rsidRDefault="00BE4939" w:rsidP="001B0EF6">
            <w:pPr>
              <w:rPr>
                <w:rFonts w:ascii="Times New Roman" w:hAnsi="Times New Roman" w:cs="Times New Roman"/>
                <w:b/>
                <w:u w:val="single"/>
              </w:rPr>
            </w:pPr>
          </w:p>
        </w:tc>
        <w:tc>
          <w:tcPr>
            <w:tcW w:w="540" w:type="dxa"/>
          </w:tcPr>
          <w:p w14:paraId="52975DA9" w14:textId="77777777" w:rsidR="00BE4939" w:rsidRPr="006F3B00" w:rsidRDefault="00BE4939" w:rsidP="001B0EF6">
            <w:pPr>
              <w:rPr>
                <w:rFonts w:ascii="Times New Roman" w:hAnsi="Times New Roman" w:cs="Times New Roman"/>
                <w:b/>
                <w:u w:val="single"/>
              </w:rPr>
            </w:pPr>
          </w:p>
        </w:tc>
        <w:tc>
          <w:tcPr>
            <w:tcW w:w="540" w:type="dxa"/>
          </w:tcPr>
          <w:p w14:paraId="13F106B9" w14:textId="77777777" w:rsidR="00BE4939" w:rsidRPr="006F3B00" w:rsidRDefault="00BE4939" w:rsidP="001B0EF6">
            <w:pPr>
              <w:rPr>
                <w:rFonts w:ascii="Times New Roman" w:hAnsi="Times New Roman" w:cs="Times New Roman"/>
                <w:b/>
                <w:u w:val="single"/>
              </w:rPr>
            </w:pPr>
          </w:p>
        </w:tc>
        <w:tc>
          <w:tcPr>
            <w:tcW w:w="720" w:type="dxa"/>
          </w:tcPr>
          <w:p w14:paraId="209B9105" w14:textId="77777777" w:rsidR="00BE4939" w:rsidRPr="006F3B00" w:rsidRDefault="00BE4939" w:rsidP="001B0EF6">
            <w:pPr>
              <w:rPr>
                <w:rFonts w:ascii="Times New Roman" w:hAnsi="Times New Roman" w:cs="Times New Roman"/>
                <w:b/>
                <w:u w:val="single"/>
              </w:rPr>
            </w:pPr>
          </w:p>
        </w:tc>
        <w:tc>
          <w:tcPr>
            <w:tcW w:w="540" w:type="dxa"/>
          </w:tcPr>
          <w:p w14:paraId="0B172DEF" w14:textId="77777777" w:rsidR="00BE4939" w:rsidRPr="006F3B00" w:rsidRDefault="00BE4939" w:rsidP="001B0EF6">
            <w:pPr>
              <w:rPr>
                <w:rFonts w:ascii="Times New Roman" w:hAnsi="Times New Roman" w:cs="Times New Roman"/>
                <w:b/>
                <w:u w:val="single"/>
              </w:rPr>
            </w:pPr>
          </w:p>
        </w:tc>
        <w:tc>
          <w:tcPr>
            <w:tcW w:w="540" w:type="dxa"/>
          </w:tcPr>
          <w:p w14:paraId="1349D762" w14:textId="77777777" w:rsidR="00BE4939" w:rsidRPr="006F3B00" w:rsidRDefault="00BE4939" w:rsidP="001B0EF6">
            <w:pPr>
              <w:rPr>
                <w:rFonts w:ascii="Times New Roman" w:hAnsi="Times New Roman" w:cs="Times New Roman"/>
                <w:b/>
                <w:u w:val="single"/>
              </w:rPr>
            </w:pPr>
          </w:p>
        </w:tc>
      </w:tr>
      <w:tr w:rsidR="00BE4939" w:rsidRPr="006F3B00" w14:paraId="284F4E8A" w14:textId="77777777" w:rsidTr="00BD3A5D">
        <w:trPr>
          <w:jc w:val="center"/>
        </w:trPr>
        <w:tc>
          <w:tcPr>
            <w:tcW w:w="2457" w:type="dxa"/>
          </w:tcPr>
          <w:p w14:paraId="18ED79F9" w14:textId="77777777" w:rsidR="00BE4939" w:rsidRPr="006F3B00" w:rsidRDefault="00BE4939" w:rsidP="001B0EF6">
            <w:pPr>
              <w:rPr>
                <w:rFonts w:ascii="Times New Roman" w:hAnsi="Times New Roman" w:cs="Times New Roman"/>
              </w:rPr>
            </w:pPr>
            <w:r w:rsidRPr="006F3B00">
              <w:rPr>
                <w:rFonts w:ascii="Times New Roman" w:hAnsi="Times New Roman" w:cs="Times New Roman"/>
              </w:rPr>
              <w:t>27. Report is organised appropriately and well-written e.g. it is logically laid out, is not confusing and uses appropriate language</w:t>
            </w:r>
          </w:p>
        </w:tc>
        <w:tc>
          <w:tcPr>
            <w:tcW w:w="598" w:type="dxa"/>
          </w:tcPr>
          <w:p w14:paraId="696CF615" w14:textId="77777777" w:rsidR="00BE4939" w:rsidRPr="006F3B00" w:rsidRDefault="00BE4939" w:rsidP="001B0EF6">
            <w:pPr>
              <w:rPr>
                <w:rFonts w:ascii="Times New Roman" w:hAnsi="Times New Roman" w:cs="Times New Roman"/>
                <w:b/>
                <w:u w:val="single"/>
              </w:rPr>
            </w:pPr>
          </w:p>
        </w:tc>
        <w:tc>
          <w:tcPr>
            <w:tcW w:w="720" w:type="dxa"/>
          </w:tcPr>
          <w:p w14:paraId="14297F6A" w14:textId="77777777" w:rsidR="00BE4939" w:rsidRPr="006F3B00" w:rsidRDefault="00BE4939" w:rsidP="001B0EF6">
            <w:pPr>
              <w:rPr>
                <w:rFonts w:ascii="Times New Roman" w:hAnsi="Times New Roman" w:cs="Times New Roman"/>
                <w:b/>
                <w:u w:val="single"/>
              </w:rPr>
            </w:pPr>
          </w:p>
        </w:tc>
        <w:tc>
          <w:tcPr>
            <w:tcW w:w="540" w:type="dxa"/>
          </w:tcPr>
          <w:p w14:paraId="1709BBAF" w14:textId="77777777" w:rsidR="00BE4939" w:rsidRPr="006F3B00" w:rsidRDefault="00BE4939" w:rsidP="001B0EF6">
            <w:pPr>
              <w:rPr>
                <w:rFonts w:ascii="Times New Roman" w:hAnsi="Times New Roman" w:cs="Times New Roman"/>
                <w:b/>
                <w:u w:val="single"/>
              </w:rPr>
            </w:pPr>
          </w:p>
        </w:tc>
        <w:tc>
          <w:tcPr>
            <w:tcW w:w="540" w:type="dxa"/>
          </w:tcPr>
          <w:p w14:paraId="6B71E890" w14:textId="77777777" w:rsidR="00BE4939" w:rsidRPr="006F3B00" w:rsidRDefault="00BE4939" w:rsidP="001B0EF6">
            <w:pPr>
              <w:rPr>
                <w:rFonts w:ascii="Times New Roman" w:hAnsi="Times New Roman" w:cs="Times New Roman"/>
                <w:b/>
                <w:u w:val="single"/>
              </w:rPr>
            </w:pPr>
          </w:p>
        </w:tc>
        <w:tc>
          <w:tcPr>
            <w:tcW w:w="720" w:type="dxa"/>
          </w:tcPr>
          <w:p w14:paraId="0BF3BACD" w14:textId="77777777" w:rsidR="00BE4939" w:rsidRPr="006F3B00" w:rsidRDefault="00BE4939" w:rsidP="001B0EF6">
            <w:pPr>
              <w:rPr>
                <w:rFonts w:ascii="Times New Roman" w:hAnsi="Times New Roman" w:cs="Times New Roman"/>
                <w:b/>
                <w:u w:val="single"/>
              </w:rPr>
            </w:pPr>
          </w:p>
        </w:tc>
        <w:tc>
          <w:tcPr>
            <w:tcW w:w="540" w:type="dxa"/>
          </w:tcPr>
          <w:p w14:paraId="2051FFE6" w14:textId="77777777" w:rsidR="00BE4939" w:rsidRPr="006F3B00" w:rsidRDefault="00BE4939" w:rsidP="001B0EF6">
            <w:pPr>
              <w:rPr>
                <w:rFonts w:ascii="Times New Roman" w:hAnsi="Times New Roman" w:cs="Times New Roman"/>
                <w:b/>
                <w:u w:val="single"/>
              </w:rPr>
            </w:pPr>
          </w:p>
        </w:tc>
        <w:tc>
          <w:tcPr>
            <w:tcW w:w="540" w:type="dxa"/>
          </w:tcPr>
          <w:p w14:paraId="04D2E197" w14:textId="77777777" w:rsidR="00BE4939" w:rsidRPr="006F3B00" w:rsidRDefault="00BE4939" w:rsidP="001B0EF6">
            <w:pPr>
              <w:rPr>
                <w:rFonts w:ascii="Times New Roman" w:hAnsi="Times New Roman" w:cs="Times New Roman"/>
                <w:b/>
                <w:u w:val="single"/>
              </w:rPr>
            </w:pPr>
          </w:p>
        </w:tc>
        <w:tc>
          <w:tcPr>
            <w:tcW w:w="720" w:type="dxa"/>
          </w:tcPr>
          <w:p w14:paraId="292518D3" w14:textId="77777777" w:rsidR="00BE4939" w:rsidRPr="006F3B00" w:rsidRDefault="00BE4939" w:rsidP="001B0EF6">
            <w:pPr>
              <w:rPr>
                <w:rFonts w:ascii="Times New Roman" w:hAnsi="Times New Roman" w:cs="Times New Roman"/>
                <w:b/>
                <w:u w:val="single"/>
              </w:rPr>
            </w:pPr>
          </w:p>
        </w:tc>
        <w:tc>
          <w:tcPr>
            <w:tcW w:w="540" w:type="dxa"/>
          </w:tcPr>
          <w:p w14:paraId="0F362E9F" w14:textId="77777777" w:rsidR="00BE4939" w:rsidRPr="006F3B00" w:rsidRDefault="00BE4939" w:rsidP="001B0EF6">
            <w:pPr>
              <w:rPr>
                <w:rFonts w:ascii="Times New Roman" w:hAnsi="Times New Roman" w:cs="Times New Roman"/>
                <w:b/>
                <w:u w:val="single"/>
              </w:rPr>
            </w:pPr>
          </w:p>
        </w:tc>
        <w:tc>
          <w:tcPr>
            <w:tcW w:w="540" w:type="dxa"/>
          </w:tcPr>
          <w:p w14:paraId="2CA746AE" w14:textId="77777777" w:rsidR="00BE4939" w:rsidRPr="006F3B00" w:rsidRDefault="00BE4939" w:rsidP="001B0EF6">
            <w:pPr>
              <w:rPr>
                <w:rFonts w:ascii="Times New Roman" w:hAnsi="Times New Roman" w:cs="Times New Roman"/>
                <w:b/>
                <w:u w:val="single"/>
              </w:rPr>
            </w:pPr>
          </w:p>
        </w:tc>
      </w:tr>
    </w:tbl>
    <w:p w14:paraId="0584C8FF" w14:textId="77777777" w:rsidR="00BE4939" w:rsidRPr="006F3B00" w:rsidRDefault="00BE4939" w:rsidP="00BE4939">
      <w:pPr>
        <w:rPr>
          <w:rFonts w:ascii="Times New Roman" w:hAnsi="Times New Roman" w:cs="Times New Roman"/>
        </w:rPr>
      </w:pPr>
    </w:p>
    <w:p w14:paraId="521F8F57"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If you would like to comment on any of the items in the tables above, please write your suggestions in the text box below. In addition, if there are there any qualities/traits which you think are part of diagnostic competence which are not included in the table, please also write these in the same box.</w:t>
      </w:r>
    </w:p>
    <w:p w14:paraId="1FCAD8FF" w14:textId="77777777" w:rsidR="00BE4939" w:rsidRPr="006F3B00" w:rsidRDefault="00BE4939" w:rsidP="00BE4939">
      <w:pPr>
        <w:rPr>
          <w:rFonts w:ascii="Times New Roman" w:hAnsi="Times New Roman" w:cs="Times New Roman"/>
        </w:rPr>
      </w:pPr>
      <w:r w:rsidRPr="006F3B00">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2CD9466" wp14:editId="4ED5C203">
                <wp:simplePos x="0" y="0"/>
                <wp:positionH relativeFrom="column">
                  <wp:posOffset>-27829</wp:posOffset>
                </wp:positionH>
                <wp:positionV relativeFrom="paragraph">
                  <wp:posOffset>69105</wp:posOffset>
                </wp:positionV>
                <wp:extent cx="5514230" cy="895350"/>
                <wp:effectExtent l="0" t="0" r="1079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230" cy="895350"/>
                        </a:xfrm>
                        <a:prstGeom prst="rect">
                          <a:avLst/>
                        </a:prstGeom>
                        <a:solidFill>
                          <a:srgbClr val="FFFFFF"/>
                        </a:solidFill>
                        <a:ln w="9525">
                          <a:solidFill>
                            <a:schemeClr val="tx1"/>
                          </a:solidFill>
                          <a:miter lim="800000"/>
                          <a:headEnd/>
                          <a:tailEnd/>
                        </a:ln>
                      </wps:spPr>
                      <wps:txbx>
                        <w:txbxContent>
                          <w:p w14:paraId="4B954E98" w14:textId="77777777" w:rsidR="00D35C1E" w:rsidRDefault="00D35C1E" w:rsidP="00BE4939"/>
                          <w:p w14:paraId="39F50D03" w14:textId="77777777" w:rsidR="00D35C1E" w:rsidRDefault="00D35C1E" w:rsidP="00BE4939"/>
                          <w:p w14:paraId="0901063B" w14:textId="77777777" w:rsidR="00D35C1E" w:rsidRDefault="00D35C1E" w:rsidP="00BE4939"/>
                          <w:p w14:paraId="0758CC9F" w14:textId="77777777" w:rsidR="00D35C1E" w:rsidRDefault="00D35C1E" w:rsidP="00BE4939"/>
                          <w:p w14:paraId="74AE924D" w14:textId="77777777" w:rsidR="00D35C1E" w:rsidRDefault="00D35C1E" w:rsidP="00BE4939"/>
                          <w:p w14:paraId="682F8A0F" w14:textId="77777777" w:rsidR="00D35C1E" w:rsidRDefault="00D35C1E" w:rsidP="00BE4939"/>
                          <w:p w14:paraId="02D0457C" w14:textId="77777777" w:rsidR="00D35C1E" w:rsidRDefault="00D35C1E" w:rsidP="00BE4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D9466" id="_x0000_s1069" type="#_x0000_t202" style="position:absolute;margin-left:-2.2pt;margin-top:5.45pt;width:434.2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EfLQIAAE0EAAAOAAAAZHJzL2Uyb0RvYy54bWysVNtu2zAMfR+wfxD0vjhx4q4x4hRdugwD&#10;ugvQ7gNkWY6FSaImKbG7ry8lp2mWvQ3zgyCK1BF5DunVzaAVOQjnJZiKziZTSoTh0Eizq+iPx+27&#10;a0p8YKZhCoyo6JPw9Gb99s2qt6XIoQPVCEcQxPiytxXtQrBllnneCc38BKww6GzBaRbQdLuscaxH&#10;dK2yfDq9ynpwjXXAhfd4ejc66Trht63g4VvbehGIqijmFtLq0lrHNVuvWLlzzHaSH9Ng/5CFZtLg&#10;oyeoOxYY2Tv5F5SW3IGHNkw46AzaVnKRasBqZtOLah46ZkWqBcnx9kST/3+w/OvhuyOyqeh8dkWJ&#10;YRpFehRDIB9gIHnkp7e+xLAHi4FhwGPUOdXq7T3wn54Y2HTM7MStc9B3gjWY3yzezM6ujjg+gtT9&#10;F2jwGbYPkICG1ulIHtJBEB11ejppE1PheFgUs0U+RxdH3/WymBdJvIyVL7et8+GTAE3ipqIOtU/o&#10;7HDvQ8yGlS8h8TEPSjZbqVQy3K7eKEcODPtkm75UwEWYMqSv6LLIi5GAPyBiy4oTSBhGCi4QtAzY&#10;70pqLGIav7EDI2sfTZO6MTCpxj1mrMyRxsjcyGEY6iEplqfLkeMamick1sHY3ziPuOnA/aakx96u&#10;qP+1Z05Qoj4bFGc5WyziMCRjUbxHIOLOPfW5hxmOUBUNlIzbTUgDFHkzcIsitjLx+5rJMWfs2UT7&#10;cb7iUJzbKer1L7B+BgAA//8DAFBLAwQUAAYACAAAACEA1d0bZd4AAAAJAQAADwAAAGRycy9kb3du&#10;cmV2LnhtbEyPQUvDQBCF74L/YRnBW7upxNLGbIpUUk8KjYJ4m2bHJJidDdltG/+946ke573Hm+/l&#10;m8n16kRj6DwbWMwTUMS1tx03Bt7fytkKVIjIFnvPZOCHAmyK66scM+vPvKdTFRslJRwyNNDGOGRa&#10;h7olh2HuB2LxvvzoMMo5NtqOeJZy1+u7JFlqhx3LhxYH2rZUf1dHZ+B5Vz9VQQcsd/uX4XP7YUv7&#10;ao25vZkeH0BFmuIlDH/4gg6FMB38kW1QvYFZmkpS9GQNSvzVMpVtBxHuF2vQRa7/Lyh+AQAA//8D&#10;AFBLAQItABQABgAIAAAAIQC2gziS/gAAAOEBAAATAAAAAAAAAAAAAAAAAAAAAABbQ29udGVudF9U&#10;eXBlc10ueG1sUEsBAi0AFAAGAAgAAAAhADj9If/WAAAAlAEAAAsAAAAAAAAAAAAAAAAALwEAAF9y&#10;ZWxzLy5yZWxzUEsBAi0AFAAGAAgAAAAhAIaXIR8tAgAATQQAAA4AAAAAAAAAAAAAAAAALgIAAGRy&#10;cy9lMm9Eb2MueG1sUEsBAi0AFAAGAAgAAAAhANXdG2XeAAAACQEAAA8AAAAAAAAAAAAAAAAAhwQA&#10;AGRycy9kb3ducmV2LnhtbFBLBQYAAAAABAAEAPMAAACSBQAAAAA=&#10;" strokecolor="black [3213]">
                <v:textbox>
                  <w:txbxContent>
                    <w:p w14:paraId="4B954E98" w14:textId="77777777" w:rsidR="00D35C1E" w:rsidRDefault="00D35C1E" w:rsidP="00BE4939"/>
                    <w:p w14:paraId="39F50D03" w14:textId="77777777" w:rsidR="00D35C1E" w:rsidRDefault="00D35C1E" w:rsidP="00BE4939"/>
                    <w:p w14:paraId="0901063B" w14:textId="77777777" w:rsidR="00D35C1E" w:rsidRDefault="00D35C1E" w:rsidP="00BE4939"/>
                    <w:p w14:paraId="0758CC9F" w14:textId="77777777" w:rsidR="00D35C1E" w:rsidRDefault="00D35C1E" w:rsidP="00BE4939"/>
                    <w:p w14:paraId="74AE924D" w14:textId="77777777" w:rsidR="00D35C1E" w:rsidRDefault="00D35C1E" w:rsidP="00BE4939"/>
                    <w:p w14:paraId="682F8A0F" w14:textId="77777777" w:rsidR="00D35C1E" w:rsidRDefault="00D35C1E" w:rsidP="00BE4939"/>
                    <w:p w14:paraId="02D0457C" w14:textId="77777777" w:rsidR="00D35C1E" w:rsidRDefault="00D35C1E" w:rsidP="00BE4939"/>
                  </w:txbxContent>
                </v:textbox>
              </v:shape>
            </w:pict>
          </mc:Fallback>
        </mc:AlternateContent>
      </w:r>
    </w:p>
    <w:p w14:paraId="43F360B0" w14:textId="77777777" w:rsidR="00BE4939" w:rsidRPr="006F3B00" w:rsidRDefault="00BE4939" w:rsidP="00BE4939">
      <w:pPr>
        <w:rPr>
          <w:rFonts w:ascii="Times New Roman" w:hAnsi="Times New Roman" w:cs="Times New Roman"/>
          <w:b/>
          <w:u w:val="single"/>
        </w:rPr>
      </w:pPr>
    </w:p>
    <w:p w14:paraId="6AD126A9" w14:textId="77777777" w:rsidR="00BE4939" w:rsidRPr="006F3B00" w:rsidRDefault="00BE4939" w:rsidP="00BE4939">
      <w:pPr>
        <w:rPr>
          <w:rFonts w:ascii="Times New Roman" w:hAnsi="Times New Roman" w:cs="Times New Roman"/>
        </w:rPr>
      </w:pPr>
      <w:r w:rsidRPr="006F3B00">
        <w:rPr>
          <w:rFonts w:ascii="Times New Roman" w:hAnsi="Times New Roman" w:cs="Times New Roman"/>
          <w:b/>
          <w:u w:val="single"/>
        </w:rPr>
        <w:t>Part 4: Ranking of items</w:t>
      </w:r>
    </w:p>
    <w:p w14:paraId="74C522B8" w14:textId="77777777" w:rsidR="00BE4939" w:rsidRPr="006F3B00" w:rsidRDefault="00BE4939" w:rsidP="00BE4939">
      <w:pPr>
        <w:rPr>
          <w:rFonts w:ascii="Times New Roman" w:hAnsi="Times New Roman" w:cs="Times New Roman"/>
        </w:rPr>
      </w:pPr>
    </w:p>
    <w:p w14:paraId="49D1DA77"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Please list the 3 items from the tables which you feel are most important when judging diagnostic competence in trainees. The items are number 1-27. </w:t>
      </w:r>
      <w:r w:rsidRPr="006F3B00">
        <w:rPr>
          <w:rFonts w:ascii="Times New Roman" w:hAnsi="Times New Roman" w:cs="Times New Roman"/>
          <w:b/>
        </w:rPr>
        <w:t>Please put the most important item first.</w:t>
      </w:r>
    </w:p>
    <w:p w14:paraId="12B6D72F"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1. </w:t>
      </w:r>
    </w:p>
    <w:p w14:paraId="0B69D249"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2. </w:t>
      </w:r>
    </w:p>
    <w:p w14:paraId="75B4F470"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3.</w:t>
      </w:r>
    </w:p>
    <w:p w14:paraId="3A125630"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lastRenderedPageBreak/>
        <w:t xml:space="preserve">Please list the 3 items from the tables which you feel are least important when judging diagnostic competence in trainees. </w:t>
      </w:r>
      <w:r w:rsidRPr="006F3B00">
        <w:rPr>
          <w:rFonts w:ascii="Times New Roman" w:hAnsi="Times New Roman" w:cs="Times New Roman"/>
          <w:b/>
        </w:rPr>
        <w:t>Please put the least important item first.</w:t>
      </w:r>
    </w:p>
    <w:p w14:paraId="6C813FAF"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1. </w:t>
      </w:r>
    </w:p>
    <w:p w14:paraId="35750B05"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 xml:space="preserve">2. </w:t>
      </w:r>
    </w:p>
    <w:p w14:paraId="66348EC3"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3.</w:t>
      </w:r>
    </w:p>
    <w:p w14:paraId="0955C7C7"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If you wish to explain your ranking, please write in the box below:</w:t>
      </w:r>
    </w:p>
    <w:p w14:paraId="3ADDD737" w14:textId="77777777" w:rsidR="00BE4939" w:rsidRPr="006F3B00" w:rsidRDefault="00BE4939" w:rsidP="00BE4939">
      <w:pPr>
        <w:rPr>
          <w:rFonts w:ascii="Times New Roman" w:hAnsi="Times New Roman" w:cs="Times New Roman"/>
        </w:rPr>
      </w:pPr>
      <w:r w:rsidRPr="006F3B00">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B93585" wp14:editId="6ADCAC8C">
                <wp:simplePos x="0" y="0"/>
                <wp:positionH relativeFrom="column">
                  <wp:posOffset>35781</wp:posOffset>
                </wp:positionH>
                <wp:positionV relativeFrom="paragraph">
                  <wp:posOffset>90888</wp:posOffset>
                </wp:positionV>
                <wp:extent cx="5450619" cy="895350"/>
                <wp:effectExtent l="0" t="0" r="17145"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619" cy="895350"/>
                        </a:xfrm>
                        <a:prstGeom prst="rect">
                          <a:avLst/>
                        </a:prstGeom>
                        <a:solidFill>
                          <a:srgbClr val="FFFFFF"/>
                        </a:solidFill>
                        <a:ln w="9525">
                          <a:solidFill>
                            <a:schemeClr val="tx1"/>
                          </a:solidFill>
                          <a:miter lim="800000"/>
                          <a:headEnd/>
                          <a:tailEnd/>
                        </a:ln>
                      </wps:spPr>
                      <wps:txbx>
                        <w:txbxContent>
                          <w:p w14:paraId="0AB6FD1D" w14:textId="77777777" w:rsidR="00D35C1E" w:rsidRDefault="00D35C1E" w:rsidP="00BE4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93585" id="_x0000_s1070" type="#_x0000_t202" style="position:absolute;margin-left:2.8pt;margin-top:7.15pt;width:429.2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X7LgIAAE0EAAAOAAAAZHJzL2Uyb0RvYy54bWysVNtu2zAMfR+wfxD0vvjSuG2MOEWXLsOA&#10;7gK0+wBZlmNhsqhJSuzs60fJaZplb8P8IIgidUSeQ3p5N/aK7IV1EnRFs1lKidAcGqm3Ff3+vHl3&#10;S4nzTDdMgRYVPQhH71Zv3ywHU4ocOlCNsARBtCsHU9HOe1MmieOd6JmbgREanS3Ynnk07TZpLBsQ&#10;vVdJnqbXyQC2MRa4cA5PHyYnXUX8thXcf21bJzxRFcXcfFxtXOuwJqslK7eWmU7yYxrsH7LomdT4&#10;6AnqgXlGdlb+BdVLbsFB62cc+gTaVnIRa8BqsvSimqeOGRFrQXKcOdHk/h8s/7L/ZolsKnqV3VCi&#10;WY8iPYvRk/cwkjzwMxhXYtiTwUA/4jHqHGt15hH4D0c0rDumt+LeWhg6wRrMLws3k7OrE44LIPXw&#10;GRp8hu08RKCxtX0gD+kgiI46HU7ahFQ4HhbzIr3OFpRw9N0uiqsiipew8uW2sc5/FNCTsKmoRe0j&#10;Ots/Oh+yYeVLSHjMgZLNRioVDbut18qSPcM+2cQvFnARpjQZKroo8mIi4A+I0LLiBOLHiYILhF56&#10;7HcleywiDd/UgYG1D7qJ3eiZVNMeM1b6SGNgbuLQj/UYFcvjC4HjGpoDEmth6m+cR9x0YH9RMmBv&#10;V9T93DErKFGfNIqzyObzMAzRmBc3ORr23FOfe5jmCFVRT8m0Xfs4QIE3DfcoYisjv6+ZHHPGno20&#10;H+crDMW5HaNe/wKr3wAAAP//AwBQSwMEFAAGAAgAAAAhAAbaU9vdAAAACAEAAA8AAABkcnMvZG93&#10;bnJldi54bWxMj0FLw0AQhe+C/2EZwZvdaJtQYjZFKqknhUZBvE2zYxLMzobsto3/3vGkx3nv8eZ7&#10;xWZ2gzrRFHrPBm4XCSjixtueWwNvr9XNGlSIyBYHz2TgmwJsysuLAnPrz7ynUx1bJSUccjTQxTjm&#10;WoemI4dh4Udi8T795DDKObXaTniWcjfouyTJtMOe5UOHI207ar7qozPwtGse66ADVrv98/ixfbeV&#10;fbHGXF/ND/egIs3xLwy/+IIOpTAd/JFtUIOBNJOgyKslKLHX2UqmHURI0yXostD/B5Q/AAAA//8D&#10;AFBLAQItABQABgAIAAAAIQC2gziS/gAAAOEBAAATAAAAAAAAAAAAAAAAAAAAAABbQ29udGVudF9U&#10;eXBlc10ueG1sUEsBAi0AFAAGAAgAAAAhADj9If/WAAAAlAEAAAsAAAAAAAAAAAAAAAAALwEAAF9y&#10;ZWxzLy5yZWxzUEsBAi0AFAAGAAgAAAAhACuB1fsuAgAATQQAAA4AAAAAAAAAAAAAAAAALgIAAGRy&#10;cy9lMm9Eb2MueG1sUEsBAi0AFAAGAAgAAAAhAAbaU9vdAAAACAEAAA8AAAAAAAAAAAAAAAAAiAQA&#10;AGRycy9kb3ducmV2LnhtbFBLBQYAAAAABAAEAPMAAACSBQAAAAA=&#10;" strokecolor="black [3213]">
                <v:textbox>
                  <w:txbxContent>
                    <w:p w14:paraId="0AB6FD1D" w14:textId="77777777" w:rsidR="00D35C1E" w:rsidRDefault="00D35C1E" w:rsidP="00BE4939"/>
                  </w:txbxContent>
                </v:textbox>
              </v:shape>
            </w:pict>
          </mc:Fallback>
        </mc:AlternateContent>
      </w:r>
    </w:p>
    <w:p w14:paraId="6B961C1D" w14:textId="77777777" w:rsidR="00BE4939" w:rsidRPr="006F3B00" w:rsidRDefault="00BE4939" w:rsidP="00BE4939">
      <w:pPr>
        <w:rPr>
          <w:rFonts w:ascii="Times New Roman" w:hAnsi="Times New Roman" w:cs="Times New Roman"/>
        </w:rPr>
      </w:pPr>
    </w:p>
    <w:p w14:paraId="78C17B25" w14:textId="77777777" w:rsidR="00BE4939" w:rsidRPr="006F3B00" w:rsidRDefault="00BE4939" w:rsidP="00BE4939">
      <w:pPr>
        <w:rPr>
          <w:rFonts w:ascii="Times New Roman" w:hAnsi="Times New Roman" w:cs="Times New Roman"/>
        </w:rPr>
      </w:pPr>
    </w:p>
    <w:p w14:paraId="319E28F6" w14:textId="77777777" w:rsidR="00BE4939" w:rsidRPr="006F3B00" w:rsidRDefault="00BE4939" w:rsidP="00BE4939">
      <w:pPr>
        <w:rPr>
          <w:rFonts w:ascii="Times New Roman" w:hAnsi="Times New Roman" w:cs="Times New Roman"/>
        </w:rPr>
      </w:pPr>
    </w:p>
    <w:p w14:paraId="1B963C36" w14:textId="77777777" w:rsidR="00BE4939" w:rsidRPr="006F3B00" w:rsidRDefault="00BE4939" w:rsidP="00BE4939">
      <w:pPr>
        <w:rPr>
          <w:rFonts w:ascii="Times New Roman" w:hAnsi="Times New Roman" w:cs="Times New Roman"/>
        </w:rPr>
      </w:pPr>
    </w:p>
    <w:p w14:paraId="6D90AB19" w14:textId="77777777" w:rsidR="00BE4939" w:rsidRPr="006F3B00" w:rsidRDefault="00BE4939" w:rsidP="00BE4939">
      <w:pPr>
        <w:rPr>
          <w:rFonts w:ascii="Times New Roman" w:hAnsi="Times New Roman" w:cs="Times New Roman"/>
        </w:rPr>
      </w:pPr>
    </w:p>
    <w:p w14:paraId="6200C2DC" w14:textId="77777777" w:rsidR="00BE4939" w:rsidRPr="006F3B00" w:rsidRDefault="00BE4939" w:rsidP="00BE4939">
      <w:pPr>
        <w:rPr>
          <w:rFonts w:ascii="Times New Roman" w:hAnsi="Times New Roman" w:cs="Times New Roman"/>
        </w:rPr>
      </w:pPr>
      <w:r w:rsidRPr="006F3B00">
        <w:rPr>
          <w:rFonts w:ascii="Times New Roman" w:hAnsi="Times New Roman" w:cs="Times New Roman"/>
        </w:rPr>
        <w:t>Thank you.</w:t>
      </w:r>
    </w:p>
    <w:p w14:paraId="52405799" w14:textId="77777777" w:rsidR="001970A4" w:rsidRPr="006F3B00" w:rsidRDefault="001970A4" w:rsidP="001970A4">
      <w:pPr>
        <w:rPr>
          <w:rFonts w:ascii="Times New Roman" w:hAnsi="Times New Roman" w:cs="Times New Roman"/>
        </w:rPr>
      </w:pPr>
    </w:p>
    <w:p w14:paraId="096D7515" w14:textId="77777777" w:rsidR="001970A4" w:rsidRPr="006F3B00" w:rsidRDefault="001970A4" w:rsidP="001970A4">
      <w:pPr>
        <w:rPr>
          <w:rFonts w:ascii="Times New Roman" w:hAnsi="Times New Roman" w:cs="Times New Roman"/>
        </w:rPr>
      </w:pPr>
    </w:p>
    <w:p w14:paraId="47315AB4" w14:textId="77777777" w:rsidR="001970A4" w:rsidRPr="006F3B00" w:rsidRDefault="001970A4" w:rsidP="001970A4">
      <w:pPr>
        <w:rPr>
          <w:rFonts w:ascii="Times New Roman" w:hAnsi="Times New Roman" w:cs="Times New Roman"/>
          <w:b/>
          <w:u w:val="single"/>
        </w:rPr>
      </w:pPr>
      <w:r w:rsidRPr="006F3B00">
        <w:rPr>
          <w:rFonts w:ascii="Times New Roman" w:hAnsi="Times New Roman" w:cs="Times New Roman"/>
          <w:b/>
          <w:u w:val="single"/>
        </w:rPr>
        <w:t xml:space="preserve">Delphi Study </w:t>
      </w:r>
    </w:p>
    <w:p w14:paraId="4B718E72" w14:textId="77777777" w:rsidR="001970A4" w:rsidRPr="006F3B00" w:rsidRDefault="001970A4" w:rsidP="001970A4">
      <w:pPr>
        <w:rPr>
          <w:rFonts w:ascii="Times New Roman" w:hAnsi="Times New Roman" w:cs="Times New Roman"/>
          <w:b/>
          <w:u w:val="single"/>
        </w:rPr>
      </w:pPr>
      <w:r w:rsidRPr="006F3B00">
        <w:rPr>
          <w:rFonts w:ascii="Times New Roman" w:hAnsi="Times New Roman" w:cs="Times New Roman"/>
          <w:b/>
          <w:u w:val="single"/>
        </w:rPr>
        <w:t>Instructions for round 2</w:t>
      </w:r>
    </w:p>
    <w:p w14:paraId="5E728A32" w14:textId="77777777" w:rsidR="001970A4" w:rsidRPr="006F3B00" w:rsidRDefault="001970A4" w:rsidP="001970A4">
      <w:pPr>
        <w:rPr>
          <w:rFonts w:ascii="Times New Roman" w:hAnsi="Times New Roman" w:cs="Times New Roman"/>
        </w:rPr>
      </w:pPr>
      <w:r w:rsidRPr="006F3B00">
        <w:rPr>
          <w:rFonts w:ascii="Times New Roman" w:hAnsi="Times New Roman" w:cs="Times New Roman"/>
        </w:rPr>
        <w:t>Thank you for submitting your responses to round 1. I have pleasure in enclosing the results from round 1 including:</w:t>
      </w:r>
    </w:p>
    <w:p w14:paraId="6B2C97BF" w14:textId="77777777" w:rsidR="001970A4" w:rsidRPr="006F3B00" w:rsidRDefault="001970A4" w:rsidP="001970A4">
      <w:pPr>
        <w:rPr>
          <w:rFonts w:ascii="Times New Roman" w:hAnsi="Times New Roman" w:cs="Times New Roman"/>
        </w:rPr>
      </w:pPr>
      <w:r w:rsidRPr="006F3B00">
        <w:rPr>
          <w:rFonts w:ascii="Times New Roman" w:hAnsi="Times New Roman" w:cs="Times New Roman"/>
        </w:rPr>
        <w:t xml:space="preserve">-the original set of statements, some of which have now been amended following your feedback </w:t>
      </w:r>
      <w:r w:rsidRPr="006F3B00">
        <w:rPr>
          <w:rFonts w:ascii="Times New Roman" w:hAnsi="Times New Roman" w:cs="Times New Roman"/>
          <w:color w:val="00B050"/>
        </w:rPr>
        <w:t>(modifications are in green)</w:t>
      </w:r>
    </w:p>
    <w:p w14:paraId="28C676B2" w14:textId="77777777" w:rsidR="001970A4" w:rsidRPr="006F3B00" w:rsidRDefault="001970A4" w:rsidP="001970A4">
      <w:pPr>
        <w:rPr>
          <w:rFonts w:ascii="Times New Roman" w:hAnsi="Times New Roman" w:cs="Times New Roman"/>
        </w:rPr>
      </w:pPr>
      <w:r w:rsidRPr="006F3B00">
        <w:rPr>
          <w:rFonts w:ascii="Times New Roman" w:hAnsi="Times New Roman" w:cs="Times New Roman"/>
        </w:rPr>
        <w:t>-the score you gave each statement</w:t>
      </w:r>
    </w:p>
    <w:p w14:paraId="60C44B53" w14:textId="77777777" w:rsidR="001970A4" w:rsidRPr="006F3B00" w:rsidRDefault="001970A4" w:rsidP="001970A4">
      <w:pPr>
        <w:rPr>
          <w:rFonts w:ascii="Times New Roman" w:hAnsi="Times New Roman" w:cs="Times New Roman"/>
        </w:rPr>
      </w:pPr>
      <w:r w:rsidRPr="006F3B00">
        <w:rPr>
          <w:rFonts w:ascii="Times New Roman" w:hAnsi="Times New Roman" w:cs="Times New Roman"/>
        </w:rPr>
        <w:t>-the mean score from the panel</w:t>
      </w:r>
    </w:p>
    <w:p w14:paraId="658AA5FD" w14:textId="77777777" w:rsidR="001970A4" w:rsidRPr="006F3B00" w:rsidRDefault="001970A4" w:rsidP="001970A4">
      <w:pPr>
        <w:rPr>
          <w:rFonts w:ascii="Times New Roman" w:hAnsi="Times New Roman" w:cs="Times New Roman"/>
        </w:rPr>
      </w:pPr>
      <w:r w:rsidRPr="006F3B00">
        <w:rPr>
          <w:rFonts w:ascii="Times New Roman" w:hAnsi="Times New Roman" w:cs="Times New Roman"/>
        </w:rPr>
        <w:t>-the range of scores</w:t>
      </w:r>
    </w:p>
    <w:p w14:paraId="130EB7E6" w14:textId="77777777" w:rsidR="001970A4" w:rsidRPr="006F3B00" w:rsidRDefault="001970A4" w:rsidP="001970A4">
      <w:pPr>
        <w:rPr>
          <w:rFonts w:ascii="Times New Roman" w:hAnsi="Times New Roman" w:cs="Times New Roman"/>
        </w:rPr>
      </w:pPr>
      <w:r w:rsidRPr="006F3B00">
        <w:rPr>
          <w:rFonts w:ascii="Times New Roman" w:hAnsi="Times New Roman" w:cs="Times New Roman"/>
        </w:rPr>
        <w:t>-and whether the statement reached consensus</w:t>
      </w:r>
    </w:p>
    <w:p w14:paraId="36B1B5FE" w14:textId="77777777" w:rsidR="001970A4" w:rsidRPr="006F3B00" w:rsidRDefault="001970A4" w:rsidP="001970A4">
      <w:pPr>
        <w:rPr>
          <w:rFonts w:ascii="Times New Roman" w:hAnsi="Times New Roman" w:cs="Times New Roman"/>
        </w:rPr>
      </w:pPr>
    </w:p>
    <w:p w14:paraId="5A9F9708" w14:textId="77777777" w:rsidR="001970A4" w:rsidRPr="006F3B00" w:rsidRDefault="001970A4" w:rsidP="001970A4">
      <w:pPr>
        <w:rPr>
          <w:rFonts w:ascii="Times New Roman" w:hAnsi="Times New Roman" w:cs="Times New Roman"/>
          <w:b/>
        </w:rPr>
      </w:pPr>
      <w:r w:rsidRPr="006F3B00">
        <w:rPr>
          <w:rFonts w:ascii="Times New Roman" w:hAnsi="Times New Roman" w:cs="Times New Roman"/>
          <w:b/>
        </w:rPr>
        <w:t>For round 2, I would be grateful if you could:</w:t>
      </w:r>
    </w:p>
    <w:p w14:paraId="3771EBDE" w14:textId="77777777" w:rsidR="001970A4" w:rsidRPr="006F3B00" w:rsidRDefault="001970A4" w:rsidP="001970A4">
      <w:pPr>
        <w:rPr>
          <w:rFonts w:ascii="Times New Roman" w:hAnsi="Times New Roman" w:cs="Times New Roman"/>
        </w:rPr>
      </w:pPr>
      <w:r w:rsidRPr="006F3B00">
        <w:rPr>
          <w:rFonts w:ascii="Times New Roman" w:hAnsi="Times New Roman" w:cs="Times New Roman"/>
        </w:rPr>
        <w:t>- RE-SCORE ALL STATEMENTS regardless of whether they have reached consensus or not (Part 1)</w:t>
      </w:r>
    </w:p>
    <w:p w14:paraId="287274F3" w14:textId="77777777" w:rsidR="001970A4" w:rsidRPr="006F3B00" w:rsidRDefault="001970A4" w:rsidP="001970A4">
      <w:pPr>
        <w:rPr>
          <w:rFonts w:ascii="Times New Roman" w:hAnsi="Times New Roman" w:cs="Times New Roman"/>
          <w:szCs w:val="24"/>
        </w:rPr>
      </w:pPr>
      <w:r w:rsidRPr="006F3B00">
        <w:rPr>
          <w:rFonts w:ascii="Times New Roman" w:hAnsi="Times New Roman" w:cs="Times New Roman"/>
          <w:szCs w:val="24"/>
        </w:rPr>
        <w:t>-rank the three items which you think are the “most important” and “least important” (Part 2)</w:t>
      </w:r>
    </w:p>
    <w:p w14:paraId="49FD44D3" w14:textId="77777777" w:rsidR="00BE4939" w:rsidRPr="006F3B00" w:rsidRDefault="00BE4939" w:rsidP="00BE4939">
      <w:pPr>
        <w:rPr>
          <w:rFonts w:ascii="Times New Roman" w:hAnsi="Times New Roman" w:cs="Times New Roman"/>
        </w:rPr>
      </w:pPr>
    </w:p>
    <w:p w14:paraId="1446357C" w14:textId="77777777" w:rsidR="001970A4" w:rsidRPr="006F3B00" w:rsidRDefault="001970A4" w:rsidP="00BE4939">
      <w:pPr>
        <w:rPr>
          <w:rFonts w:ascii="Times New Roman" w:hAnsi="Times New Roman" w:cs="Times New Roman"/>
        </w:rPr>
      </w:pPr>
    </w:p>
    <w:p w14:paraId="647E9FED" w14:textId="77777777" w:rsidR="001970A4" w:rsidRPr="006F3B00" w:rsidRDefault="001970A4" w:rsidP="00BE4939">
      <w:pPr>
        <w:rPr>
          <w:rFonts w:ascii="Times New Roman" w:hAnsi="Times New Roman" w:cs="Times New Roman"/>
        </w:rPr>
      </w:pPr>
    </w:p>
    <w:p w14:paraId="68CA24AE" w14:textId="77777777" w:rsidR="001970A4" w:rsidRPr="006F3B00" w:rsidRDefault="001970A4" w:rsidP="00BE4939">
      <w:pPr>
        <w:rPr>
          <w:rFonts w:ascii="Times New Roman" w:hAnsi="Times New Roman" w:cs="Times New Roman"/>
        </w:rPr>
      </w:pPr>
    </w:p>
    <w:p w14:paraId="28ECBFDE" w14:textId="77777777" w:rsidR="00465FE7" w:rsidRPr="00465FE7" w:rsidRDefault="00465FE7" w:rsidP="00465FE7"/>
    <w:p w14:paraId="0EB2C8AA" w14:textId="77777777" w:rsidR="00863DF5" w:rsidRPr="006F3B00" w:rsidRDefault="00863DF5" w:rsidP="0020029A">
      <w:pPr>
        <w:pStyle w:val="Heading1"/>
        <w:rPr>
          <w:rFonts w:ascii="Times New Roman" w:hAnsi="Times New Roman" w:cs="Times New Roman"/>
          <w:b/>
          <w:color w:val="auto"/>
          <w:sz w:val="24"/>
          <w:szCs w:val="24"/>
          <w:u w:val="single"/>
        </w:rPr>
      </w:pPr>
      <w:bookmarkStart w:id="140" w:name="_Toc23243869"/>
      <w:r w:rsidRPr="006F3B00">
        <w:rPr>
          <w:rFonts w:ascii="Times New Roman" w:hAnsi="Times New Roman" w:cs="Times New Roman"/>
          <w:b/>
          <w:color w:val="auto"/>
          <w:sz w:val="24"/>
          <w:szCs w:val="24"/>
          <w:u w:val="single"/>
        </w:rPr>
        <w:lastRenderedPageBreak/>
        <w:t>References</w:t>
      </w:r>
      <w:bookmarkEnd w:id="140"/>
    </w:p>
    <w:p w14:paraId="7BC8E5CA" w14:textId="77777777" w:rsidR="00BA644F" w:rsidRPr="006F3B00" w:rsidRDefault="00BA644F" w:rsidP="00BA644F">
      <w:pPr>
        <w:rPr>
          <w:rFonts w:ascii="Times New Roman" w:hAnsi="Times New Roman" w:cs="Times New Roman"/>
          <w:sz w:val="24"/>
          <w:szCs w:val="24"/>
        </w:rPr>
      </w:pPr>
    </w:p>
    <w:p w14:paraId="2C1E055A" w14:textId="39E00033" w:rsidR="00BE3B6C" w:rsidRPr="00BE3B6C" w:rsidRDefault="00EF6235" w:rsidP="00BE3B6C">
      <w:pPr>
        <w:widowControl w:val="0"/>
        <w:autoSpaceDE w:val="0"/>
        <w:autoSpaceDN w:val="0"/>
        <w:adjustRightInd w:val="0"/>
        <w:spacing w:line="480" w:lineRule="auto"/>
        <w:rPr>
          <w:rFonts w:ascii="Times New Roman" w:hAnsi="Times New Roman" w:cs="Times New Roman"/>
          <w:noProof/>
          <w:sz w:val="24"/>
          <w:szCs w:val="24"/>
        </w:rPr>
      </w:pPr>
      <w:r w:rsidRPr="006F3B00">
        <w:rPr>
          <w:rFonts w:ascii="Times New Roman" w:hAnsi="Times New Roman" w:cs="Times New Roman"/>
          <w:sz w:val="24"/>
          <w:szCs w:val="24"/>
        </w:rPr>
        <w:fldChar w:fldCharType="begin" w:fldLock="1"/>
      </w:r>
      <w:r w:rsidRPr="006F3B00">
        <w:rPr>
          <w:rFonts w:ascii="Times New Roman" w:hAnsi="Times New Roman" w:cs="Times New Roman"/>
          <w:sz w:val="24"/>
          <w:szCs w:val="24"/>
        </w:rPr>
        <w:instrText xml:space="preserve">ADDIN Mendeley Bibliography CSL_BIBLIOGRAPHY </w:instrText>
      </w:r>
      <w:r w:rsidRPr="006F3B00">
        <w:rPr>
          <w:rFonts w:ascii="Times New Roman" w:hAnsi="Times New Roman" w:cs="Times New Roman"/>
          <w:sz w:val="24"/>
          <w:szCs w:val="24"/>
        </w:rPr>
        <w:fldChar w:fldCharType="separate"/>
      </w:r>
      <w:r w:rsidR="00BE3B6C" w:rsidRPr="00BE3B6C">
        <w:rPr>
          <w:rFonts w:ascii="Times New Roman" w:hAnsi="Times New Roman" w:cs="Times New Roman"/>
          <w:noProof/>
          <w:sz w:val="24"/>
          <w:szCs w:val="24"/>
        </w:rPr>
        <w:t xml:space="preserve">Ajjawi, R. </w:t>
      </w:r>
      <w:r w:rsidR="00BE3B6C" w:rsidRPr="00BE3B6C">
        <w:rPr>
          <w:rFonts w:ascii="Times New Roman" w:hAnsi="Times New Roman" w:cs="Times New Roman"/>
          <w:i/>
          <w:iCs/>
          <w:noProof/>
          <w:sz w:val="24"/>
          <w:szCs w:val="24"/>
        </w:rPr>
        <w:t>et al.</w:t>
      </w:r>
      <w:r w:rsidR="00A94E9F">
        <w:rPr>
          <w:rFonts w:ascii="Times New Roman" w:hAnsi="Times New Roman" w:cs="Times New Roman"/>
          <w:noProof/>
          <w:sz w:val="24"/>
          <w:szCs w:val="24"/>
        </w:rPr>
        <w:t xml:space="preserve"> (2017). </w:t>
      </w:r>
      <w:r w:rsidR="00BE3B6C" w:rsidRPr="00BE3B6C">
        <w:rPr>
          <w:rFonts w:ascii="Times New Roman" w:hAnsi="Times New Roman" w:cs="Times New Roman"/>
          <w:noProof/>
          <w:sz w:val="24"/>
          <w:szCs w:val="24"/>
        </w:rPr>
        <w:t>Developing a national dental education research strategy: Pr</w:t>
      </w:r>
      <w:r w:rsidR="00A94E9F">
        <w:rPr>
          <w:rFonts w:ascii="Times New Roman" w:hAnsi="Times New Roman" w:cs="Times New Roman"/>
          <w:noProof/>
          <w:sz w:val="24"/>
          <w:szCs w:val="24"/>
        </w:rPr>
        <w:t>iorities, barriers and enablers.</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BMJ Open</w:t>
      </w:r>
      <w:r w:rsidR="00BE3B6C" w:rsidRPr="00BE3B6C">
        <w:rPr>
          <w:rFonts w:ascii="Times New Roman" w:hAnsi="Times New Roman" w:cs="Times New Roman"/>
          <w:noProof/>
          <w:sz w:val="24"/>
          <w:szCs w:val="24"/>
        </w:rPr>
        <w:t xml:space="preserve">, </w:t>
      </w:r>
      <w:r w:rsidR="00BE3B6C" w:rsidRPr="00A94E9F">
        <w:rPr>
          <w:rFonts w:ascii="Times New Roman" w:hAnsi="Times New Roman" w:cs="Times New Roman"/>
          <w:b/>
          <w:noProof/>
          <w:sz w:val="24"/>
          <w:szCs w:val="24"/>
        </w:rPr>
        <w:t>7</w:t>
      </w:r>
      <w:r w:rsidR="00A94E9F">
        <w:rPr>
          <w:rFonts w:ascii="Times New Roman" w:hAnsi="Times New Roman" w:cs="Times New Roman"/>
          <w:b/>
          <w:noProof/>
          <w:sz w:val="24"/>
          <w:szCs w:val="24"/>
        </w:rPr>
        <w:t>,</w:t>
      </w:r>
      <w:r w:rsidR="00A94E9F" w:rsidRPr="00A94E9F">
        <w:rPr>
          <w:rStyle w:val="Heading1Char"/>
        </w:rPr>
        <w:t xml:space="preserve"> </w:t>
      </w:r>
      <w:r w:rsidR="00A94E9F">
        <w:rPr>
          <w:rStyle w:val="highwire-cite-metadata-elocation-id"/>
        </w:rPr>
        <w:t xml:space="preserve">e013129. </w:t>
      </w:r>
    </w:p>
    <w:p w14:paraId="5366864D" w14:textId="30991532" w:rsidR="00A94E9F" w:rsidRDefault="00A94E9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Albanese, M. A. (2000). </w:t>
      </w:r>
      <w:r w:rsidR="00BE3B6C" w:rsidRPr="00BE3B6C">
        <w:rPr>
          <w:rFonts w:ascii="Times New Roman" w:hAnsi="Times New Roman" w:cs="Times New Roman"/>
          <w:noProof/>
          <w:sz w:val="24"/>
          <w:szCs w:val="24"/>
        </w:rPr>
        <w:t>C</w:t>
      </w:r>
      <w:r w:rsidR="00BE3B6C" w:rsidRPr="00A94E9F">
        <w:rPr>
          <w:rFonts w:ascii="Times New Roman" w:hAnsi="Times New Roman" w:cs="Times New Roman"/>
          <w:noProof/>
          <w:sz w:val="24"/>
          <w:szCs w:val="24"/>
        </w:rPr>
        <w:t>hallenges in using rater j</w:t>
      </w:r>
      <w:r>
        <w:rPr>
          <w:rFonts w:ascii="Times New Roman" w:hAnsi="Times New Roman" w:cs="Times New Roman"/>
          <w:noProof/>
          <w:sz w:val="24"/>
          <w:szCs w:val="24"/>
        </w:rPr>
        <w:t>udgements in medical education.</w:t>
      </w:r>
      <w:r w:rsidR="00BE3B6C" w:rsidRPr="00A94E9F">
        <w:rPr>
          <w:rFonts w:ascii="Times New Roman" w:hAnsi="Times New Roman" w:cs="Times New Roman"/>
          <w:noProof/>
          <w:sz w:val="24"/>
          <w:szCs w:val="24"/>
        </w:rPr>
        <w:t xml:space="preserve"> </w:t>
      </w:r>
      <w:r w:rsidR="00BE3B6C" w:rsidRPr="00A94E9F">
        <w:rPr>
          <w:rFonts w:ascii="Times New Roman" w:hAnsi="Times New Roman" w:cs="Times New Roman"/>
          <w:i/>
          <w:iCs/>
          <w:noProof/>
          <w:sz w:val="24"/>
          <w:szCs w:val="24"/>
        </w:rPr>
        <w:t>Journal of Evaluation in Clinical Practice</w:t>
      </w:r>
      <w:r>
        <w:rPr>
          <w:rFonts w:ascii="Times New Roman" w:hAnsi="Times New Roman" w:cs="Times New Roman"/>
          <w:noProof/>
          <w:sz w:val="24"/>
          <w:szCs w:val="24"/>
        </w:rPr>
        <w:t>.</w:t>
      </w:r>
      <w:r w:rsidRPr="00A94E9F">
        <w:rPr>
          <w:rStyle w:val="current-selection"/>
          <w:rFonts w:ascii="Times New Roman" w:hAnsi="Times New Roman" w:cs="Times New Roman"/>
          <w:sz w:val="24"/>
          <w:szCs w:val="24"/>
        </w:rPr>
        <w:t xml:space="preserve"> </w:t>
      </w:r>
      <w:r w:rsidRPr="00DE66C5">
        <w:rPr>
          <w:rStyle w:val="current-selection"/>
          <w:rFonts w:ascii="Times New Roman" w:hAnsi="Times New Roman" w:cs="Times New Roman"/>
          <w:b/>
          <w:sz w:val="24"/>
          <w:szCs w:val="24"/>
        </w:rPr>
        <w:t>6</w:t>
      </w:r>
      <w:r>
        <w:rPr>
          <w:rStyle w:val="current-selection"/>
          <w:rFonts w:ascii="Times New Roman" w:hAnsi="Times New Roman" w:cs="Times New Roman"/>
          <w:sz w:val="24"/>
          <w:szCs w:val="24"/>
        </w:rPr>
        <w:t>(</w:t>
      </w:r>
      <w:r w:rsidRPr="00A94E9F">
        <w:rPr>
          <w:rStyle w:val="current-selection"/>
          <w:rFonts w:ascii="Times New Roman" w:hAnsi="Times New Roman" w:cs="Times New Roman"/>
          <w:sz w:val="24"/>
          <w:szCs w:val="24"/>
        </w:rPr>
        <w:t>3</w:t>
      </w:r>
      <w:r>
        <w:rPr>
          <w:rStyle w:val="current-selection"/>
          <w:rFonts w:ascii="Times New Roman" w:hAnsi="Times New Roman" w:cs="Times New Roman"/>
          <w:sz w:val="24"/>
          <w:szCs w:val="24"/>
        </w:rPr>
        <w:t>)</w:t>
      </w:r>
      <w:r w:rsidRPr="00A94E9F">
        <w:rPr>
          <w:rStyle w:val="current-selection"/>
          <w:rFonts w:ascii="Times New Roman" w:hAnsi="Times New Roman" w:cs="Times New Roman"/>
          <w:sz w:val="24"/>
          <w:szCs w:val="24"/>
        </w:rPr>
        <w:t>, 305–319</w:t>
      </w:r>
      <w:r>
        <w:rPr>
          <w:rStyle w:val="current-selection"/>
          <w:rFonts w:ascii="Times New Roman" w:hAnsi="Times New Roman" w:cs="Times New Roman"/>
          <w:sz w:val="24"/>
          <w:szCs w:val="24"/>
        </w:rPr>
        <w:t>.</w:t>
      </w:r>
    </w:p>
    <w:p w14:paraId="64046C96" w14:textId="0C6D7713" w:rsidR="00BE3B6C" w:rsidRPr="00BE3B6C" w:rsidRDefault="00A94E9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Alexander, H.</w:t>
      </w:r>
      <w:r w:rsidR="00DE66C5">
        <w:rPr>
          <w:rFonts w:ascii="Times New Roman" w:hAnsi="Times New Roman" w:cs="Times New Roman"/>
          <w:noProof/>
          <w:sz w:val="24"/>
          <w:szCs w:val="24"/>
        </w:rPr>
        <w:t>A.</w:t>
      </w:r>
      <w:r>
        <w:rPr>
          <w:rFonts w:ascii="Times New Roman" w:hAnsi="Times New Roman" w:cs="Times New Roman"/>
          <w:noProof/>
          <w:sz w:val="24"/>
          <w:szCs w:val="24"/>
        </w:rPr>
        <w:t xml:space="preserve"> (1996). </w:t>
      </w:r>
      <w:r w:rsidR="00BE3B6C" w:rsidRPr="00BE3B6C">
        <w:rPr>
          <w:rFonts w:ascii="Times New Roman" w:hAnsi="Times New Roman" w:cs="Times New Roman"/>
          <w:noProof/>
          <w:sz w:val="24"/>
          <w:szCs w:val="24"/>
        </w:rPr>
        <w:t>Physiotherapy student clinical education: The influence of subjective judgeme</w:t>
      </w:r>
      <w:r>
        <w:rPr>
          <w:rFonts w:ascii="Times New Roman" w:hAnsi="Times New Roman" w:cs="Times New Roman"/>
          <w:noProof/>
          <w:sz w:val="24"/>
          <w:szCs w:val="24"/>
        </w:rPr>
        <w:t>nts on observational assessment.</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Assessment &amp; Evaluation in Higher Education</w:t>
      </w:r>
      <w:r w:rsidR="00DE66C5">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w:t>
      </w:r>
      <w:r w:rsidR="00BE3B6C" w:rsidRPr="00DE66C5">
        <w:rPr>
          <w:rFonts w:ascii="Times New Roman" w:hAnsi="Times New Roman" w:cs="Times New Roman"/>
          <w:b/>
          <w:noProof/>
          <w:sz w:val="24"/>
          <w:szCs w:val="24"/>
        </w:rPr>
        <w:t>21</w:t>
      </w:r>
      <w:r w:rsidR="00DE66C5">
        <w:rPr>
          <w:rFonts w:ascii="Times New Roman" w:hAnsi="Times New Roman" w:cs="Times New Roman"/>
          <w:noProof/>
          <w:sz w:val="24"/>
          <w:szCs w:val="24"/>
        </w:rPr>
        <w:t xml:space="preserve">(4), </w:t>
      </w:r>
      <w:r w:rsidR="00BE3B6C" w:rsidRPr="00BE3B6C">
        <w:rPr>
          <w:rFonts w:ascii="Times New Roman" w:hAnsi="Times New Roman" w:cs="Times New Roman"/>
          <w:noProof/>
          <w:sz w:val="24"/>
          <w:szCs w:val="24"/>
        </w:rPr>
        <w:t>357–366.</w:t>
      </w:r>
    </w:p>
    <w:p w14:paraId="18C6AD55" w14:textId="5D08AFDE" w:rsidR="00BE3B6C" w:rsidRPr="00BE3B6C" w:rsidRDefault="00DE66C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Ali, J. and Goh, A. (2017). </w:t>
      </w:r>
      <w:r w:rsidR="00BE3B6C" w:rsidRPr="00BE3B6C">
        <w:rPr>
          <w:rFonts w:ascii="Times New Roman" w:hAnsi="Times New Roman" w:cs="Times New Roman"/>
          <w:noProof/>
          <w:sz w:val="24"/>
          <w:szCs w:val="24"/>
        </w:rPr>
        <w:t>Student perceptions</w:t>
      </w:r>
      <w:r>
        <w:rPr>
          <w:rFonts w:ascii="Times New Roman" w:hAnsi="Times New Roman" w:cs="Times New Roman"/>
          <w:noProof/>
          <w:sz w:val="24"/>
          <w:szCs w:val="24"/>
        </w:rPr>
        <w:t xml:space="preserve"> of workplace-based assessment.</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Clinical Teacher</w:t>
      </w:r>
      <w:r>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w:t>
      </w:r>
      <w:r w:rsidR="00BE3B6C" w:rsidRPr="00DE66C5">
        <w:rPr>
          <w:rFonts w:ascii="Times New Roman" w:hAnsi="Times New Roman" w:cs="Times New Roman"/>
          <w:b/>
          <w:noProof/>
          <w:sz w:val="24"/>
          <w:szCs w:val="24"/>
        </w:rPr>
        <w:t>14</w:t>
      </w:r>
      <w:r>
        <w:rPr>
          <w:rFonts w:ascii="Times New Roman" w:hAnsi="Times New Roman" w:cs="Times New Roman"/>
          <w:noProof/>
          <w:sz w:val="24"/>
          <w:szCs w:val="24"/>
        </w:rPr>
        <w:t xml:space="preserve">(5), 319–324. </w:t>
      </w:r>
    </w:p>
    <w:p w14:paraId="18F44C81" w14:textId="3F7F3439" w:rsidR="00BE3B6C" w:rsidRPr="00BE3B6C" w:rsidRDefault="00DE66C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Allen, T. C. (2013). </w:t>
      </w:r>
      <w:r w:rsidR="00BE3B6C" w:rsidRPr="00BE3B6C">
        <w:rPr>
          <w:rFonts w:ascii="Times New Roman" w:hAnsi="Times New Roman" w:cs="Times New Roman"/>
          <w:noProof/>
          <w:sz w:val="24"/>
          <w:szCs w:val="24"/>
        </w:rPr>
        <w:t>Graduated responsibility for pathology residen</w:t>
      </w:r>
      <w:r>
        <w:rPr>
          <w:rFonts w:ascii="Times New Roman" w:hAnsi="Times New Roman" w:cs="Times New Roman"/>
          <w:noProof/>
          <w:sz w:val="24"/>
          <w:szCs w:val="24"/>
        </w:rPr>
        <w:t xml:space="preserve">ts: No time for half measures. </w:t>
      </w:r>
      <w:r w:rsidR="00BE3B6C" w:rsidRPr="00BE3B6C">
        <w:rPr>
          <w:rFonts w:ascii="Times New Roman" w:hAnsi="Times New Roman" w:cs="Times New Roman"/>
          <w:i/>
          <w:iCs/>
          <w:noProof/>
          <w:sz w:val="24"/>
          <w:szCs w:val="24"/>
        </w:rPr>
        <w:t>Archives of Pathology and Laboratory Medicine</w:t>
      </w:r>
      <w:r>
        <w:rPr>
          <w:rFonts w:ascii="Times New Roman" w:hAnsi="Times New Roman" w:cs="Times New Roman"/>
          <w:noProof/>
          <w:sz w:val="24"/>
          <w:szCs w:val="24"/>
        </w:rPr>
        <w:t>.</w:t>
      </w:r>
      <w:r w:rsidRPr="00DE66C5">
        <w:rPr>
          <w:rFonts w:ascii="Times New Roman" w:hAnsi="Times New Roman" w:cs="Times New Roman"/>
          <w:sz w:val="24"/>
          <w:szCs w:val="24"/>
        </w:rPr>
        <w:t xml:space="preserve"> </w:t>
      </w:r>
      <w:r w:rsidRPr="00DE66C5">
        <w:rPr>
          <w:rFonts w:ascii="Times New Roman" w:hAnsi="Times New Roman" w:cs="Times New Roman"/>
          <w:b/>
          <w:sz w:val="24"/>
          <w:szCs w:val="24"/>
        </w:rPr>
        <w:t>137</w:t>
      </w:r>
      <w:r w:rsidRPr="00DE66C5">
        <w:rPr>
          <w:rFonts w:ascii="Times New Roman" w:hAnsi="Times New Roman" w:cs="Times New Roman"/>
          <w:sz w:val="24"/>
          <w:szCs w:val="24"/>
        </w:rPr>
        <w:t>(4):457-61</w:t>
      </w:r>
      <w:r w:rsidRPr="00DE66C5">
        <w:rPr>
          <w:rFonts w:ascii="Times New Roman" w:hAnsi="Times New Roman" w:cs="Times New Roman"/>
          <w:noProof/>
          <w:sz w:val="24"/>
          <w:szCs w:val="24"/>
        </w:rPr>
        <w:t>.</w:t>
      </w:r>
      <w:r w:rsidR="00BE3B6C" w:rsidRPr="00DE66C5">
        <w:rPr>
          <w:rFonts w:ascii="Times New Roman" w:hAnsi="Times New Roman" w:cs="Times New Roman"/>
          <w:noProof/>
          <w:sz w:val="24"/>
          <w:szCs w:val="24"/>
        </w:rPr>
        <w:t xml:space="preserve"> </w:t>
      </w:r>
    </w:p>
    <w:p w14:paraId="6F27B44C" w14:textId="7359D29A"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Allsbrook, W. C.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(2001)</w:t>
      </w:r>
      <w:r w:rsidR="00DE66C5">
        <w:rPr>
          <w:rFonts w:ascii="Times New Roman" w:hAnsi="Times New Roman" w:cs="Times New Roman"/>
          <w:noProof/>
          <w:sz w:val="24"/>
          <w:szCs w:val="24"/>
        </w:rPr>
        <w:t xml:space="preserve">. </w:t>
      </w:r>
      <w:r w:rsidRPr="00BE3B6C">
        <w:rPr>
          <w:rFonts w:ascii="Times New Roman" w:hAnsi="Times New Roman" w:cs="Times New Roman"/>
          <w:noProof/>
          <w:sz w:val="24"/>
          <w:szCs w:val="24"/>
        </w:rPr>
        <w:t>Interobserver reproducibility of Gleason grading of prostatic c</w:t>
      </w:r>
      <w:r w:rsidR="00DE66C5">
        <w:rPr>
          <w:rFonts w:ascii="Times New Roman" w:hAnsi="Times New Roman" w:cs="Times New Roman"/>
          <w:noProof/>
          <w:sz w:val="24"/>
          <w:szCs w:val="24"/>
        </w:rPr>
        <w:t>arcinoma: Urologic pathologists.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Human Pathology</w:t>
      </w:r>
      <w:r w:rsidR="00DE66C5">
        <w:rPr>
          <w:rFonts w:ascii="Times New Roman" w:hAnsi="Times New Roman" w:cs="Times New Roman"/>
          <w:noProof/>
          <w:sz w:val="24"/>
          <w:szCs w:val="24"/>
        </w:rPr>
        <w:t xml:space="preserve">. </w:t>
      </w:r>
      <w:r w:rsidR="00DE66C5" w:rsidRPr="00DE66C5">
        <w:rPr>
          <w:rFonts w:ascii="Times New Roman" w:hAnsi="Times New Roman" w:cs="Times New Roman"/>
          <w:b/>
          <w:noProof/>
          <w:sz w:val="24"/>
          <w:szCs w:val="24"/>
        </w:rPr>
        <w:t>32</w:t>
      </w:r>
      <w:r w:rsidR="00DE66C5">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74–80. </w:t>
      </w:r>
    </w:p>
    <w:p w14:paraId="0082FBE2" w14:textId="3036981B" w:rsidR="00B46D53"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Anders</w:t>
      </w:r>
      <w:r w:rsidR="00B46D53">
        <w:rPr>
          <w:rFonts w:ascii="Times New Roman" w:hAnsi="Times New Roman" w:cs="Times New Roman"/>
          <w:noProof/>
          <w:sz w:val="24"/>
          <w:szCs w:val="24"/>
        </w:rPr>
        <w:t xml:space="preserve">on, L. and Krathwohl, D. (2001). </w:t>
      </w:r>
      <w:r w:rsidRPr="00BE3B6C">
        <w:rPr>
          <w:rFonts w:ascii="Times New Roman" w:hAnsi="Times New Roman" w:cs="Times New Roman"/>
          <w:i/>
          <w:iCs/>
          <w:noProof/>
          <w:sz w:val="24"/>
          <w:szCs w:val="24"/>
        </w:rPr>
        <w:t>A taxonomy for learning, teaching, and assessing : A Revision of Bloom’s Taxonomy of Educational Objectives</w:t>
      </w:r>
      <w:r w:rsidR="00B46D53">
        <w:rPr>
          <w:rFonts w:ascii="Times New Roman" w:hAnsi="Times New Roman" w:cs="Times New Roman"/>
          <w:noProof/>
          <w:sz w:val="24"/>
          <w:szCs w:val="24"/>
        </w:rPr>
        <w:t>. 1st ed</w:t>
      </w:r>
      <w:r w:rsidRPr="00BE3B6C">
        <w:rPr>
          <w:rFonts w:ascii="Times New Roman" w:hAnsi="Times New Roman" w:cs="Times New Roman"/>
          <w:noProof/>
          <w:sz w:val="24"/>
          <w:szCs w:val="24"/>
        </w:rPr>
        <w:t>. New York: Longman.</w:t>
      </w:r>
    </w:p>
    <w:p w14:paraId="70C7EAF7" w14:textId="76E8DECE" w:rsidR="00BE3B6C" w:rsidRPr="00BE3B6C" w:rsidRDefault="00070E3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Arnold, L. (2002). </w:t>
      </w:r>
      <w:r w:rsidR="00BE3B6C" w:rsidRPr="00BE3B6C">
        <w:rPr>
          <w:rFonts w:ascii="Times New Roman" w:hAnsi="Times New Roman" w:cs="Times New Roman"/>
          <w:noProof/>
          <w:sz w:val="24"/>
          <w:szCs w:val="24"/>
        </w:rPr>
        <w:t xml:space="preserve">Assessing professional behavior: </w:t>
      </w:r>
      <w:r>
        <w:rPr>
          <w:rFonts w:ascii="Times New Roman" w:hAnsi="Times New Roman" w:cs="Times New Roman"/>
          <w:noProof/>
          <w:sz w:val="24"/>
          <w:szCs w:val="24"/>
        </w:rPr>
        <w:t>yesterday, today, and tomorrow.</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Academic medicine : journal of the Association of American Medical Colleges</w:t>
      </w:r>
      <w:r>
        <w:rPr>
          <w:rFonts w:ascii="Times New Roman" w:hAnsi="Times New Roman" w:cs="Times New Roman"/>
          <w:noProof/>
          <w:sz w:val="24"/>
          <w:szCs w:val="24"/>
        </w:rPr>
        <w:t xml:space="preserve">. </w:t>
      </w:r>
      <w:r w:rsidRPr="00070E35">
        <w:rPr>
          <w:rFonts w:ascii="Times New Roman" w:hAnsi="Times New Roman" w:cs="Times New Roman"/>
          <w:b/>
          <w:noProof/>
          <w:sz w:val="24"/>
          <w:szCs w:val="24"/>
        </w:rPr>
        <w:t>77</w:t>
      </w:r>
      <w:r>
        <w:rPr>
          <w:rFonts w:ascii="Times New Roman" w:hAnsi="Times New Roman" w:cs="Times New Roman"/>
          <w:noProof/>
          <w:sz w:val="24"/>
          <w:szCs w:val="24"/>
        </w:rPr>
        <w:t>(6),</w:t>
      </w:r>
      <w:r w:rsidR="00BE3B6C" w:rsidRPr="00BE3B6C">
        <w:rPr>
          <w:rFonts w:ascii="Times New Roman" w:hAnsi="Times New Roman" w:cs="Times New Roman"/>
          <w:noProof/>
          <w:sz w:val="24"/>
          <w:szCs w:val="24"/>
        </w:rPr>
        <w:t xml:space="preserve"> 502–515. </w:t>
      </w:r>
    </w:p>
    <w:p w14:paraId="408E045C" w14:textId="1AB4326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Arnold, L. </w:t>
      </w:r>
      <w:r w:rsidRPr="00BE3B6C">
        <w:rPr>
          <w:rFonts w:ascii="Times New Roman" w:hAnsi="Times New Roman" w:cs="Times New Roman"/>
          <w:i/>
          <w:iCs/>
          <w:noProof/>
          <w:sz w:val="24"/>
          <w:szCs w:val="24"/>
        </w:rPr>
        <w:t>et al.</w:t>
      </w:r>
      <w:r w:rsidR="00070E35">
        <w:rPr>
          <w:rFonts w:ascii="Times New Roman" w:hAnsi="Times New Roman" w:cs="Times New Roman"/>
          <w:noProof/>
          <w:sz w:val="24"/>
          <w:szCs w:val="24"/>
        </w:rPr>
        <w:t xml:space="preserve"> (2007). </w:t>
      </w:r>
      <w:r w:rsidRPr="00BE3B6C">
        <w:rPr>
          <w:rFonts w:ascii="Times New Roman" w:hAnsi="Times New Roman" w:cs="Times New Roman"/>
          <w:noProof/>
          <w:sz w:val="24"/>
          <w:szCs w:val="24"/>
        </w:rPr>
        <w:t>Can there be a single system for peer assessment of professionalism among medical student</w:t>
      </w:r>
      <w:r w:rsidR="00070E35">
        <w:rPr>
          <w:rFonts w:ascii="Times New Roman" w:hAnsi="Times New Roman" w:cs="Times New Roman"/>
          <w:noProof/>
          <w:sz w:val="24"/>
          <w:szCs w:val="24"/>
        </w:rPr>
        <w:t>s? A multi-institutional study.</w:t>
      </w:r>
      <w:r w:rsidRPr="00BE3B6C">
        <w:rPr>
          <w:rFonts w:ascii="Times New Roman" w:hAnsi="Times New Roman" w:cs="Times New Roman"/>
          <w:noProof/>
          <w:sz w:val="24"/>
          <w:szCs w:val="24"/>
        </w:rPr>
        <w:t xml:space="preserve"> </w:t>
      </w:r>
      <w:r w:rsidR="00070E35">
        <w:rPr>
          <w:rFonts w:ascii="Times New Roman" w:hAnsi="Times New Roman" w:cs="Times New Roman"/>
          <w:i/>
          <w:iCs/>
          <w:noProof/>
          <w:sz w:val="24"/>
          <w:szCs w:val="24"/>
        </w:rPr>
        <w:t>Academic medicine : J</w:t>
      </w:r>
      <w:r w:rsidRPr="00BE3B6C">
        <w:rPr>
          <w:rFonts w:ascii="Times New Roman" w:hAnsi="Times New Roman" w:cs="Times New Roman"/>
          <w:i/>
          <w:iCs/>
          <w:noProof/>
          <w:sz w:val="24"/>
          <w:szCs w:val="24"/>
        </w:rPr>
        <w:t>ournal of the Association of American Medical Colleges</w:t>
      </w:r>
      <w:r w:rsidR="00070E35">
        <w:rPr>
          <w:rFonts w:ascii="Times New Roman" w:hAnsi="Times New Roman" w:cs="Times New Roman"/>
          <w:noProof/>
          <w:sz w:val="24"/>
          <w:szCs w:val="24"/>
        </w:rPr>
        <w:t xml:space="preserve">. </w:t>
      </w:r>
      <w:r w:rsidR="00070E35" w:rsidRPr="00070E35">
        <w:rPr>
          <w:rFonts w:ascii="Times New Roman" w:hAnsi="Times New Roman" w:cs="Times New Roman"/>
          <w:b/>
          <w:noProof/>
          <w:sz w:val="24"/>
          <w:szCs w:val="24"/>
        </w:rPr>
        <w:t>82</w:t>
      </w:r>
      <w:r w:rsidR="00070E35">
        <w:rPr>
          <w:rFonts w:ascii="Times New Roman" w:hAnsi="Times New Roman" w:cs="Times New Roman"/>
          <w:noProof/>
          <w:sz w:val="24"/>
          <w:szCs w:val="24"/>
        </w:rPr>
        <w:t xml:space="preserve">(6), </w:t>
      </w:r>
      <w:r w:rsidRPr="00BE3B6C">
        <w:rPr>
          <w:rFonts w:ascii="Times New Roman" w:hAnsi="Times New Roman" w:cs="Times New Roman"/>
          <w:noProof/>
          <w:sz w:val="24"/>
          <w:szCs w:val="24"/>
        </w:rPr>
        <w:t xml:space="preserve">578–86. </w:t>
      </w:r>
    </w:p>
    <w:p w14:paraId="234A165D" w14:textId="29D3AC8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Artino, A. R. </w:t>
      </w:r>
      <w:r w:rsidRPr="00BE3B6C">
        <w:rPr>
          <w:rFonts w:ascii="Times New Roman" w:hAnsi="Times New Roman" w:cs="Times New Roman"/>
          <w:i/>
          <w:iCs/>
          <w:noProof/>
          <w:sz w:val="24"/>
          <w:szCs w:val="24"/>
        </w:rPr>
        <w:t>et al.</w:t>
      </w:r>
      <w:r w:rsidR="00070E35">
        <w:rPr>
          <w:rFonts w:ascii="Times New Roman" w:hAnsi="Times New Roman" w:cs="Times New Roman"/>
          <w:noProof/>
          <w:sz w:val="24"/>
          <w:szCs w:val="24"/>
        </w:rPr>
        <w:t xml:space="preserve"> (2014). </w:t>
      </w:r>
      <w:r w:rsidRPr="00BE3B6C">
        <w:rPr>
          <w:rFonts w:ascii="Times New Roman" w:hAnsi="Times New Roman" w:cs="Times New Roman"/>
          <w:noProof/>
          <w:sz w:val="24"/>
          <w:szCs w:val="24"/>
        </w:rPr>
        <w:t>Developing questionnaires for education</w:t>
      </w:r>
      <w:r w:rsidR="00070E35">
        <w:rPr>
          <w:rFonts w:ascii="Times New Roman" w:hAnsi="Times New Roman" w:cs="Times New Roman"/>
          <w:noProof/>
          <w:sz w:val="24"/>
          <w:szCs w:val="24"/>
        </w:rPr>
        <w:t xml:space="preserve">al research: AMEE </w:t>
      </w:r>
      <w:r w:rsidR="00070E35">
        <w:rPr>
          <w:rFonts w:ascii="Times New Roman" w:hAnsi="Times New Roman" w:cs="Times New Roman"/>
          <w:noProof/>
          <w:sz w:val="24"/>
          <w:szCs w:val="24"/>
        </w:rPr>
        <w:lastRenderedPageBreak/>
        <w:t>Guide No. 87.</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Medical Teacher</w:t>
      </w:r>
      <w:r w:rsidR="00070E35">
        <w:rPr>
          <w:rFonts w:ascii="Times New Roman" w:hAnsi="Times New Roman" w:cs="Times New Roman"/>
          <w:noProof/>
          <w:sz w:val="24"/>
          <w:szCs w:val="24"/>
        </w:rPr>
        <w:t xml:space="preserve">. </w:t>
      </w:r>
      <w:r w:rsidR="00070E35" w:rsidRPr="00070E35">
        <w:rPr>
          <w:rFonts w:ascii="Times New Roman" w:hAnsi="Times New Roman" w:cs="Times New Roman"/>
          <w:b/>
          <w:noProof/>
          <w:sz w:val="24"/>
          <w:szCs w:val="24"/>
        </w:rPr>
        <w:t>36</w:t>
      </w:r>
      <w:r w:rsidR="00070E35">
        <w:rPr>
          <w:rFonts w:ascii="Times New Roman" w:hAnsi="Times New Roman" w:cs="Times New Roman"/>
          <w:noProof/>
          <w:sz w:val="24"/>
          <w:szCs w:val="24"/>
        </w:rPr>
        <w:t xml:space="preserve">(6), 463–474. </w:t>
      </w:r>
    </w:p>
    <w:p w14:paraId="6C48B890" w14:textId="04A916D2" w:rsidR="00BE3B6C" w:rsidRPr="00BE3B6C" w:rsidRDefault="00EC3AAE"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Asch, E and</w:t>
      </w:r>
      <w:r w:rsidR="00BE3B6C" w:rsidRPr="00BE3B6C">
        <w:rPr>
          <w:rFonts w:ascii="Times New Roman" w:hAnsi="Times New Roman" w:cs="Times New Roman"/>
          <w:noProof/>
          <w:sz w:val="24"/>
          <w:szCs w:val="24"/>
        </w:rPr>
        <w:t xml:space="preserve"> Sa</w:t>
      </w:r>
      <w:r w:rsidR="00070E35">
        <w:rPr>
          <w:rFonts w:ascii="Times New Roman" w:hAnsi="Times New Roman" w:cs="Times New Roman"/>
          <w:noProof/>
          <w:sz w:val="24"/>
          <w:szCs w:val="24"/>
        </w:rPr>
        <w:t>ltzberg</w:t>
      </w:r>
      <w:r>
        <w:rPr>
          <w:rFonts w:ascii="Times New Roman" w:hAnsi="Times New Roman" w:cs="Times New Roman"/>
          <w:noProof/>
          <w:sz w:val="24"/>
          <w:szCs w:val="24"/>
        </w:rPr>
        <w:t>, D.</w:t>
      </w:r>
      <w:r w:rsidR="00070E35">
        <w:rPr>
          <w:rFonts w:ascii="Times New Roman" w:hAnsi="Times New Roman" w:cs="Times New Roman"/>
          <w:noProof/>
          <w:sz w:val="24"/>
          <w:szCs w:val="24"/>
        </w:rPr>
        <w:t xml:space="preserve"> K. S. (1998). </w:t>
      </w:r>
      <w:r w:rsidR="00BE3B6C" w:rsidRPr="00BE3B6C">
        <w:rPr>
          <w:rFonts w:ascii="Times New Roman" w:hAnsi="Times New Roman" w:cs="Times New Roman"/>
          <w:noProof/>
          <w:sz w:val="24"/>
          <w:szCs w:val="24"/>
        </w:rPr>
        <w:t>Reinforcement of self-directed learning and the development of professional attitudes thr</w:t>
      </w:r>
      <w:r w:rsidR="00070E35">
        <w:rPr>
          <w:rFonts w:ascii="Times New Roman" w:hAnsi="Times New Roman" w:cs="Times New Roman"/>
          <w:noProof/>
          <w:sz w:val="24"/>
          <w:szCs w:val="24"/>
        </w:rPr>
        <w:t>ough peer- and self-assessment.</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Acad Med</w:t>
      </w:r>
      <w:r w:rsidR="00070E35">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w:t>
      </w:r>
      <w:r w:rsidR="00BE3B6C" w:rsidRPr="00070E35">
        <w:rPr>
          <w:rFonts w:ascii="Times New Roman" w:hAnsi="Times New Roman" w:cs="Times New Roman"/>
          <w:b/>
          <w:noProof/>
          <w:sz w:val="24"/>
          <w:szCs w:val="24"/>
        </w:rPr>
        <w:t>73</w:t>
      </w:r>
      <w:r w:rsidR="00070E35">
        <w:rPr>
          <w:rFonts w:ascii="Times New Roman" w:hAnsi="Times New Roman" w:cs="Times New Roman"/>
          <w:noProof/>
          <w:sz w:val="24"/>
          <w:szCs w:val="24"/>
        </w:rPr>
        <w:t xml:space="preserve"> (5), </w:t>
      </w:r>
      <w:r w:rsidR="00BE3B6C" w:rsidRPr="00BE3B6C">
        <w:rPr>
          <w:rFonts w:ascii="Times New Roman" w:hAnsi="Times New Roman" w:cs="Times New Roman"/>
          <w:noProof/>
          <w:sz w:val="24"/>
          <w:szCs w:val="24"/>
        </w:rPr>
        <w:t>575.</w:t>
      </w:r>
    </w:p>
    <w:p w14:paraId="3CDD50CB" w14:textId="070A432B"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At</w:t>
      </w:r>
      <w:r w:rsidR="00070E35">
        <w:rPr>
          <w:rFonts w:ascii="Times New Roman" w:hAnsi="Times New Roman" w:cs="Times New Roman"/>
          <w:noProof/>
          <w:sz w:val="24"/>
          <w:szCs w:val="24"/>
        </w:rPr>
        <w:t xml:space="preserve">kins, S. and Murphy, K. (1993). </w:t>
      </w:r>
      <w:r w:rsidRPr="00BE3B6C">
        <w:rPr>
          <w:rFonts w:ascii="Times New Roman" w:hAnsi="Times New Roman" w:cs="Times New Roman"/>
          <w:noProof/>
          <w:sz w:val="24"/>
          <w:szCs w:val="24"/>
        </w:rPr>
        <w:t>Reflecti</w:t>
      </w:r>
      <w:r w:rsidR="00070E35">
        <w:rPr>
          <w:rFonts w:ascii="Times New Roman" w:hAnsi="Times New Roman" w:cs="Times New Roman"/>
          <w:noProof/>
          <w:sz w:val="24"/>
          <w:szCs w:val="24"/>
        </w:rPr>
        <w:t>on: a review of the literature.</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Journal of Advanced Nursing</w:t>
      </w:r>
      <w:r w:rsidR="00070E35">
        <w:rPr>
          <w:rFonts w:ascii="Times New Roman" w:hAnsi="Times New Roman" w:cs="Times New Roman"/>
          <w:noProof/>
          <w:sz w:val="24"/>
          <w:szCs w:val="24"/>
        </w:rPr>
        <w:t xml:space="preserve">. </w:t>
      </w:r>
      <w:r w:rsidR="00070E35" w:rsidRPr="00070E35">
        <w:rPr>
          <w:rFonts w:ascii="Times New Roman" w:hAnsi="Times New Roman" w:cs="Times New Roman"/>
          <w:b/>
          <w:noProof/>
          <w:sz w:val="24"/>
          <w:szCs w:val="24"/>
        </w:rPr>
        <w:t>18</w:t>
      </w:r>
      <w:r w:rsidR="00070E35">
        <w:rPr>
          <w:rFonts w:ascii="Times New Roman" w:hAnsi="Times New Roman" w:cs="Times New Roman"/>
          <w:noProof/>
          <w:sz w:val="24"/>
          <w:szCs w:val="24"/>
        </w:rPr>
        <w:t>(8), 1188–1192.</w:t>
      </w:r>
    </w:p>
    <w:p w14:paraId="1171458E" w14:textId="71E4DF4A" w:rsidR="00BE3B6C" w:rsidRPr="00BE3B6C" w:rsidRDefault="00070E3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Barbour, R. S. (2001). </w:t>
      </w:r>
      <w:r w:rsidR="00BE3B6C" w:rsidRPr="00BE3B6C">
        <w:rPr>
          <w:rFonts w:ascii="Times New Roman" w:hAnsi="Times New Roman" w:cs="Times New Roman"/>
          <w:noProof/>
          <w:sz w:val="24"/>
          <w:szCs w:val="24"/>
        </w:rPr>
        <w:t>Checklists for improving rigour in qualitative research: a ca</w:t>
      </w:r>
      <w:r>
        <w:rPr>
          <w:rFonts w:ascii="Times New Roman" w:hAnsi="Times New Roman" w:cs="Times New Roman"/>
          <w:noProof/>
          <w:sz w:val="24"/>
          <w:szCs w:val="24"/>
        </w:rPr>
        <w:t>se of the tail wagging the dog?</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B</w:t>
      </w:r>
      <w:r w:rsidR="001C50AF">
        <w:rPr>
          <w:rFonts w:ascii="Times New Roman" w:hAnsi="Times New Roman" w:cs="Times New Roman"/>
          <w:i/>
          <w:iCs/>
          <w:noProof/>
          <w:sz w:val="24"/>
          <w:szCs w:val="24"/>
        </w:rPr>
        <w:t xml:space="preserve">ritish </w:t>
      </w:r>
      <w:r w:rsidR="00BE3B6C" w:rsidRPr="00BE3B6C">
        <w:rPr>
          <w:rFonts w:ascii="Times New Roman" w:hAnsi="Times New Roman" w:cs="Times New Roman"/>
          <w:i/>
          <w:iCs/>
          <w:noProof/>
          <w:sz w:val="24"/>
          <w:szCs w:val="24"/>
        </w:rPr>
        <w:t>M</w:t>
      </w:r>
      <w:r w:rsidR="001C50AF">
        <w:rPr>
          <w:rFonts w:ascii="Times New Roman" w:hAnsi="Times New Roman" w:cs="Times New Roman"/>
          <w:i/>
          <w:iCs/>
          <w:noProof/>
          <w:sz w:val="24"/>
          <w:szCs w:val="24"/>
        </w:rPr>
        <w:t xml:space="preserve">edical </w:t>
      </w:r>
      <w:r w:rsidR="00BE3B6C" w:rsidRPr="00BE3B6C">
        <w:rPr>
          <w:rFonts w:ascii="Times New Roman" w:hAnsi="Times New Roman" w:cs="Times New Roman"/>
          <w:i/>
          <w:iCs/>
          <w:noProof/>
          <w:sz w:val="24"/>
          <w:szCs w:val="24"/>
        </w:rPr>
        <w:t>J</w:t>
      </w:r>
      <w:r w:rsidR="001C50AF">
        <w:rPr>
          <w:rFonts w:ascii="Times New Roman" w:hAnsi="Times New Roman" w:cs="Times New Roman"/>
          <w:i/>
          <w:iCs/>
          <w:noProof/>
          <w:sz w:val="24"/>
          <w:szCs w:val="24"/>
        </w:rPr>
        <w:t>ournal</w:t>
      </w:r>
      <w:r>
        <w:rPr>
          <w:rFonts w:ascii="Times New Roman" w:hAnsi="Times New Roman" w:cs="Times New Roman"/>
          <w:noProof/>
          <w:sz w:val="24"/>
          <w:szCs w:val="24"/>
        </w:rPr>
        <w:t xml:space="preserve">. </w:t>
      </w:r>
      <w:r w:rsidR="001C50AF" w:rsidRPr="001C50AF">
        <w:rPr>
          <w:rFonts w:ascii="Times New Roman" w:hAnsi="Times New Roman" w:cs="Times New Roman"/>
          <w:b/>
          <w:noProof/>
          <w:sz w:val="24"/>
          <w:szCs w:val="24"/>
        </w:rPr>
        <w:t>322</w:t>
      </w:r>
      <w:r w:rsidR="001C50AF">
        <w:rPr>
          <w:rFonts w:ascii="Times New Roman" w:hAnsi="Times New Roman" w:cs="Times New Roman"/>
          <w:noProof/>
          <w:sz w:val="24"/>
          <w:szCs w:val="24"/>
        </w:rPr>
        <w:t>(7294),</w:t>
      </w:r>
      <w:r w:rsidR="00BE3B6C" w:rsidRPr="00BE3B6C">
        <w:rPr>
          <w:rFonts w:ascii="Times New Roman" w:hAnsi="Times New Roman" w:cs="Times New Roman"/>
          <w:noProof/>
          <w:sz w:val="24"/>
          <w:szCs w:val="24"/>
        </w:rPr>
        <w:t xml:space="preserve">1115–1117. </w:t>
      </w:r>
    </w:p>
    <w:p w14:paraId="418608D7" w14:textId="006476D3" w:rsidR="00BE3B6C" w:rsidRPr="00BE3B6C" w:rsidRDefault="001C50A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Bargagliotti, </w:t>
      </w:r>
      <w:bookmarkStart w:id="141" w:name="_GoBack"/>
      <w:bookmarkEnd w:id="141"/>
      <w:r>
        <w:rPr>
          <w:rFonts w:ascii="Times New Roman" w:hAnsi="Times New Roman" w:cs="Times New Roman"/>
          <w:noProof/>
          <w:sz w:val="24"/>
          <w:szCs w:val="24"/>
        </w:rPr>
        <w:t xml:space="preserve">T. (1999). </w:t>
      </w:r>
      <w:r w:rsidR="00BE3B6C" w:rsidRPr="00BE3B6C">
        <w:rPr>
          <w:rFonts w:ascii="Times New Roman" w:hAnsi="Times New Roman" w:cs="Times New Roman"/>
          <w:noProof/>
          <w:sz w:val="24"/>
          <w:szCs w:val="24"/>
        </w:rPr>
        <w:t>Reducing Threats to the Implementation of a Competency-Based</w:t>
      </w:r>
      <w:r>
        <w:rPr>
          <w:rFonts w:ascii="Times New Roman" w:hAnsi="Times New Roman" w:cs="Times New Roman"/>
          <w:noProof/>
          <w:sz w:val="24"/>
          <w:szCs w:val="24"/>
        </w:rPr>
        <w:t xml:space="preserve"> Performance Assessment System.</w:t>
      </w:r>
      <w:r w:rsidR="00BE3B6C" w:rsidRPr="00BE3B6C">
        <w:rPr>
          <w:rFonts w:ascii="Times New Roman" w:hAnsi="Times New Roman" w:cs="Times New Roman"/>
          <w:noProof/>
          <w:sz w:val="24"/>
          <w:szCs w:val="24"/>
        </w:rPr>
        <w:t xml:space="preserve"> </w:t>
      </w:r>
      <w:r w:rsidRPr="001C50AF">
        <w:rPr>
          <w:rFonts w:ascii="Times New Roman" w:hAnsi="Times New Roman" w:cs="Times New Roman"/>
          <w:i/>
          <w:noProof/>
          <w:sz w:val="24"/>
          <w:szCs w:val="24"/>
        </w:rPr>
        <w:t>The</w:t>
      </w:r>
      <w:r>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Online Journal of Issues in</w:t>
      </w:r>
      <w:r>
        <w:rPr>
          <w:rFonts w:ascii="Times New Roman" w:hAnsi="Times New Roman" w:cs="Times New Roman"/>
          <w:i/>
          <w:iCs/>
          <w:noProof/>
          <w:sz w:val="24"/>
          <w:szCs w:val="24"/>
        </w:rPr>
        <w:t xml:space="preserve"> Nursing. </w:t>
      </w:r>
      <w:r w:rsidRPr="001C50AF">
        <w:rPr>
          <w:rFonts w:ascii="Times New Roman" w:hAnsi="Times New Roman" w:cs="Times New Roman"/>
          <w:b/>
          <w:noProof/>
          <w:sz w:val="24"/>
          <w:szCs w:val="24"/>
        </w:rPr>
        <w:t>4</w:t>
      </w:r>
      <w:r>
        <w:rPr>
          <w:rFonts w:ascii="Times New Roman" w:hAnsi="Times New Roman" w:cs="Times New Roman"/>
          <w:noProof/>
          <w:sz w:val="24"/>
          <w:szCs w:val="24"/>
        </w:rPr>
        <w:t>(2), 1–10.</w:t>
      </w:r>
    </w:p>
    <w:p w14:paraId="4EE1FAA3" w14:textId="58A2AC74" w:rsidR="00C700F2" w:rsidRDefault="00BE3B6C" w:rsidP="00C700F2">
      <w:pPr>
        <w:pStyle w:val="Heading1"/>
        <w:spacing w:line="480" w:lineRule="auto"/>
        <w:rPr>
          <w:rFonts w:ascii="Times New Roman" w:hAnsi="Times New Roman" w:cs="Times New Roman"/>
          <w:color w:val="auto"/>
          <w:sz w:val="24"/>
          <w:szCs w:val="24"/>
        </w:rPr>
      </w:pPr>
      <w:bookmarkStart w:id="142" w:name="_Toc17300942"/>
      <w:bookmarkStart w:id="143" w:name="_Toc23243870"/>
      <w:r w:rsidRPr="00C700F2">
        <w:rPr>
          <w:rFonts w:ascii="Times New Roman" w:hAnsi="Times New Roman" w:cs="Times New Roman"/>
          <w:noProof/>
          <w:color w:val="auto"/>
          <w:sz w:val="24"/>
          <w:szCs w:val="24"/>
        </w:rPr>
        <w:t xml:space="preserve">Barrett, A. </w:t>
      </w:r>
      <w:r w:rsidRPr="00C700F2">
        <w:rPr>
          <w:rFonts w:ascii="Times New Roman" w:hAnsi="Times New Roman" w:cs="Times New Roman"/>
          <w:i/>
          <w:iCs/>
          <w:noProof/>
          <w:color w:val="auto"/>
          <w:sz w:val="24"/>
          <w:szCs w:val="24"/>
        </w:rPr>
        <w:t>et al.</w:t>
      </w:r>
      <w:r w:rsidR="00C700F2">
        <w:rPr>
          <w:rFonts w:ascii="Times New Roman" w:hAnsi="Times New Roman" w:cs="Times New Roman"/>
          <w:noProof/>
          <w:color w:val="auto"/>
          <w:sz w:val="24"/>
          <w:szCs w:val="24"/>
        </w:rPr>
        <w:t xml:space="preserve"> (2016</w:t>
      </w:r>
      <w:r w:rsidR="00392677" w:rsidRPr="00C700F2">
        <w:rPr>
          <w:rFonts w:ascii="Times New Roman" w:hAnsi="Times New Roman" w:cs="Times New Roman"/>
          <w:noProof/>
          <w:color w:val="auto"/>
          <w:sz w:val="24"/>
          <w:szCs w:val="24"/>
        </w:rPr>
        <w:t xml:space="preserve">). </w:t>
      </w:r>
      <w:r w:rsidR="00C700F2" w:rsidRPr="00C700F2">
        <w:rPr>
          <w:rFonts w:ascii="Times New Roman" w:hAnsi="Times New Roman" w:cs="Times New Roman"/>
          <w:color w:val="auto"/>
          <w:sz w:val="24"/>
          <w:szCs w:val="24"/>
        </w:rPr>
        <w:t>A BEME (Best Evidence in Medical Education) review of the use of workplace-based assessment in identifying and remediating underperformance among postgraduate medical trainees: BEME Guide No. 43.</w:t>
      </w:r>
      <w:r w:rsidR="00C700F2">
        <w:rPr>
          <w:rFonts w:ascii="Times New Roman" w:hAnsi="Times New Roman" w:cs="Times New Roman"/>
          <w:color w:val="auto"/>
          <w:sz w:val="24"/>
          <w:szCs w:val="24"/>
        </w:rPr>
        <w:t xml:space="preserve"> </w:t>
      </w:r>
      <w:r w:rsidR="00C700F2">
        <w:rPr>
          <w:rFonts w:ascii="Times New Roman" w:hAnsi="Times New Roman" w:cs="Times New Roman"/>
          <w:i/>
          <w:iCs/>
          <w:noProof/>
          <w:color w:val="auto"/>
          <w:sz w:val="24"/>
          <w:szCs w:val="24"/>
        </w:rPr>
        <w:t>Medical Teacher</w:t>
      </w:r>
      <w:r w:rsidR="00C700F2">
        <w:rPr>
          <w:rFonts w:ascii="Times New Roman" w:hAnsi="Times New Roman" w:cs="Times New Roman"/>
          <w:noProof/>
          <w:color w:val="auto"/>
          <w:sz w:val="24"/>
          <w:szCs w:val="24"/>
        </w:rPr>
        <w:t xml:space="preserve">. </w:t>
      </w:r>
      <w:r w:rsidR="00C700F2" w:rsidRPr="00C700F2">
        <w:rPr>
          <w:rFonts w:ascii="Times New Roman" w:hAnsi="Times New Roman" w:cs="Times New Roman"/>
          <w:b/>
          <w:color w:val="auto"/>
          <w:sz w:val="24"/>
          <w:szCs w:val="24"/>
        </w:rPr>
        <w:t>38</w:t>
      </w:r>
      <w:r w:rsidR="00C700F2" w:rsidRPr="00C700F2">
        <w:rPr>
          <w:rFonts w:ascii="Times New Roman" w:hAnsi="Times New Roman" w:cs="Times New Roman"/>
          <w:color w:val="auto"/>
          <w:sz w:val="24"/>
          <w:szCs w:val="24"/>
        </w:rPr>
        <w:t>(12):1188-1198</w:t>
      </w:r>
      <w:bookmarkEnd w:id="142"/>
      <w:bookmarkEnd w:id="143"/>
    </w:p>
    <w:p w14:paraId="73BED499" w14:textId="77777777" w:rsidR="00C700F2" w:rsidRPr="00C700F2" w:rsidRDefault="00C700F2" w:rsidP="00C700F2"/>
    <w:p w14:paraId="09180C24" w14:textId="3120896D" w:rsidR="00BE3B6C" w:rsidRPr="00BE3B6C" w:rsidRDefault="00C700F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Beard, J. D. (2008). </w:t>
      </w:r>
      <w:r w:rsidR="00BE3B6C" w:rsidRPr="00BE3B6C">
        <w:rPr>
          <w:rFonts w:ascii="Times New Roman" w:hAnsi="Times New Roman" w:cs="Times New Roman"/>
          <w:noProof/>
          <w:sz w:val="24"/>
          <w:szCs w:val="24"/>
        </w:rPr>
        <w:t>Assessment of surgica</w:t>
      </w:r>
      <w:r>
        <w:rPr>
          <w:rFonts w:ascii="Times New Roman" w:hAnsi="Times New Roman" w:cs="Times New Roman"/>
          <w:noProof/>
          <w:sz w:val="24"/>
          <w:szCs w:val="24"/>
        </w:rPr>
        <w:t>l skills of trainees in the UK.</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Annals of the Royal College of Surgeons of England</w:t>
      </w:r>
      <w:r w:rsidR="006814A2">
        <w:rPr>
          <w:rFonts w:ascii="Times New Roman" w:hAnsi="Times New Roman" w:cs="Times New Roman"/>
          <w:noProof/>
          <w:sz w:val="24"/>
          <w:szCs w:val="24"/>
        </w:rPr>
        <w:t xml:space="preserve">. </w:t>
      </w:r>
      <w:r w:rsidRPr="00C700F2">
        <w:rPr>
          <w:rFonts w:ascii="Times New Roman" w:hAnsi="Times New Roman" w:cs="Times New Roman"/>
          <w:b/>
          <w:noProof/>
          <w:sz w:val="24"/>
          <w:szCs w:val="24"/>
        </w:rPr>
        <w:t>90</w:t>
      </w:r>
      <w:r>
        <w:rPr>
          <w:rFonts w:ascii="Times New Roman" w:hAnsi="Times New Roman" w:cs="Times New Roman"/>
          <w:noProof/>
          <w:sz w:val="24"/>
          <w:szCs w:val="24"/>
        </w:rPr>
        <w:t xml:space="preserve">(4), </w:t>
      </w:r>
      <w:r w:rsidR="00BE3B6C" w:rsidRPr="00BE3B6C">
        <w:rPr>
          <w:rFonts w:ascii="Times New Roman" w:hAnsi="Times New Roman" w:cs="Times New Roman"/>
          <w:noProof/>
          <w:sz w:val="24"/>
          <w:szCs w:val="24"/>
        </w:rPr>
        <w:t xml:space="preserve">282–5. </w:t>
      </w:r>
    </w:p>
    <w:p w14:paraId="2FEC8A34" w14:textId="3562A334" w:rsidR="006814A2" w:rsidRDefault="006814A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Beeston, S. and Higgs, J. (2001). </w:t>
      </w:r>
      <w:r w:rsidR="00BE3B6C" w:rsidRPr="00BE3B6C">
        <w:rPr>
          <w:rFonts w:ascii="Times New Roman" w:hAnsi="Times New Roman" w:cs="Times New Roman"/>
          <w:noProof/>
          <w:sz w:val="24"/>
          <w:szCs w:val="24"/>
        </w:rPr>
        <w:t>Professional practice:</w:t>
      </w:r>
      <w:r>
        <w:rPr>
          <w:rFonts w:ascii="Times New Roman" w:hAnsi="Times New Roman" w:cs="Times New Roman"/>
          <w:noProof/>
          <w:sz w:val="24"/>
          <w:szCs w:val="24"/>
        </w:rPr>
        <w:t xml:space="preserve"> Artistry and connoisseurship. I</w:t>
      </w:r>
      <w:r w:rsidR="007608FD">
        <w:rPr>
          <w:rFonts w:ascii="Times New Roman" w:hAnsi="Times New Roman" w:cs="Times New Roman"/>
          <w:noProof/>
          <w:sz w:val="24"/>
          <w:szCs w:val="24"/>
        </w:rPr>
        <w:t>n</w:t>
      </w:r>
      <w:r w:rsidR="00B97E97">
        <w:rPr>
          <w:rFonts w:ascii="Times New Roman" w:hAnsi="Times New Roman" w:cs="Times New Roman"/>
          <w:noProof/>
          <w:sz w:val="24"/>
          <w:szCs w:val="24"/>
        </w:rPr>
        <w:t>:</w:t>
      </w:r>
      <w:r w:rsidR="007608FD">
        <w:rPr>
          <w:rFonts w:ascii="Times New Roman" w:hAnsi="Times New Roman" w:cs="Times New Roman"/>
          <w:noProof/>
          <w:sz w:val="24"/>
          <w:szCs w:val="24"/>
        </w:rPr>
        <w:t xml:space="preserve"> H. Titchen and J. Higgs,</w:t>
      </w:r>
      <w:r>
        <w:rPr>
          <w:rFonts w:ascii="Times New Roman" w:hAnsi="Times New Roman" w:cs="Times New Roman"/>
          <w:noProof/>
          <w:sz w:val="24"/>
          <w:szCs w:val="24"/>
        </w:rPr>
        <w:t xml:space="preserve"> ed</w:t>
      </w:r>
      <w:r w:rsidR="00600016">
        <w:rPr>
          <w:rFonts w:ascii="Times New Roman" w:hAnsi="Times New Roman" w:cs="Times New Roman"/>
          <w:noProof/>
          <w:sz w:val="24"/>
          <w:szCs w:val="24"/>
        </w:rPr>
        <w:t>s</w:t>
      </w:r>
      <w:r>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Practice Knowledge and Expertise in the Health Professions.</w:t>
      </w:r>
      <w:r>
        <w:rPr>
          <w:rFonts w:ascii="Times New Roman" w:hAnsi="Times New Roman" w:cs="Times New Roman"/>
          <w:noProof/>
          <w:sz w:val="24"/>
          <w:szCs w:val="24"/>
        </w:rPr>
        <w:t xml:space="preserve"> Oxford: Butterworth-Heinemann.</w:t>
      </w:r>
      <w:r w:rsidR="00BE3B6C" w:rsidRPr="00BE3B6C">
        <w:rPr>
          <w:rFonts w:ascii="Times New Roman" w:hAnsi="Times New Roman" w:cs="Times New Roman"/>
          <w:noProof/>
          <w:sz w:val="24"/>
          <w:szCs w:val="24"/>
        </w:rPr>
        <w:t xml:space="preserve"> pp. 108–121.</w:t>
      </w:r>
    </w:p>
    <w:p w14:paraId="241BC089" w14:textId="7D1D863C" w:rsidR="002A5572" w:rsidRPr="00BE3B6C" w:rsidRDefault="002A557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Benner, P. (1982). From novice to expert. </w:t>
      </w:r>
      <w:r>
        <w:rPr>
          <w:rFonts w:ascii="Times New Roman" w:hAnsi="Times New Roman" w:cs="Times New Roman"/>
          <w:i/>
          <w:iCs/>
          <w:noProof/>
          <w:sz w:val="24"/>
          <w:szCs w:val="24"/>
        </w:rPr>
        <w:t>The American Journal of N</w:t>
      </w:r>
      <w:r w:rsidRPr="00BE3B6C">
        <w:rPr>
          <w:rFonts w:ascii="Times New Roman" w:hAnsi="Times New Roman" w:cs="Times New Roman"/>
          <w:i/>
          <w:iCs/>
          <w:noProof/>
          <w:sz w:val="24"/>
          <w:szCs w:val="24"/>
        </w:rPr>
        <w:t>ursing</w:t>
      </w:r>
      <w:r>
        <w:rPr>
          <w:rFonts w:ascii="Times New Roman" w:hAnsi="Times New Roman" w:cs="Times New Roman"/>
          <w:noProof/>
          <w:sz w:val="24"/>
          <w:szCs w:val="24"/>
        </w:rPr>
        <w:t xml:space="preserve">. </w:t>
      </w:r>
      <w:r w:rsidRPr="007608FD">
        <w:rPr>
          <w:rFonts w:ascii="Times New Roman" w:hAnsi="Times New Roman" w:cs="Times New Roman"/>
          <w:b/>
          <w:noProof/>
          <w:sz w:val="24"/>
          <w:szCs w:val="24"/>
        </w:rPr>
        <w:t>82</w:t>
      </w:r>
      <w:r>
        <w:rPr>
          <w:rFonts w:ascii="Times New Roman" w:hAnsi="Times New Roman" w:cs="Times New Roman"/>
          <w:noProof/>
          <w:sz w:val="24"/>
          <w:szCs w:val="24"/>
        </w:rPr>
        <w:t xml:space="preserve">(3), </w:t>
      </w:r>
      <w:r w:rsidRPr="00BE3B6C">
        <w:rPr>
          <w:rFonts w:ascii="Times New Roman" w:hAnsi="Times New Roman" w:cs="Times New Roman"/>
          <w:noProof/>
          <w:sz w:val="24"/>
          <w:szCs w:val="24"/>
        </w:rPr>
        <w:t xml:space="preserve">402–407. </w:t>
      </w:r>
    </w:p>
    <w:p w14:paraId="7A9A6AE4" w14:textId="11B32CB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Benner, P.</w:t>
      </w:r>
      <w:r w:rsidR="007608FD">
        <w:rPr>
          <w:rFonts w:ascii="Times New Roman" w:hAnsi="Times New Roman" w:cs="Times New Roman"/>
          <w:noProof/>
          <w:sz w:val="24"/>
          <w:szCs w:val="24"/>
        </w:rPr>
        <w:t xml:space="preserve">, Tanner, C., Chesla, C. (1996). </w:t>
      </w:r>
      <w:r w:rsidRPr="00BE3B6C">
        <w:rPr>
          <w:rFonts w:ascii="Times New Roman" w:hAnsi="Times New Roman" w:cs="Times New Roman"/>
          <w:i/>
          <w:iCs/>
          <w:noProof/>
          <w:sz w:val="24"/>
          <w:szCs w:val="24"/>
        </w:rPr>
        <w:t>Expertise in Nursing Practice: Caring, Clinical Judgment, and Ethics.</w:t>
      </w:r>
      <w:r w:rsidR="007608FD">
        <w:rPr>
          <w:rFonts w:ascii="Times New Roman" w:hAnsi="Times New Roman" w:cs="Times New Roman"/>
          <w:i/>
          <w:iCs/>
          <w:noProof/>
          <w:sz w:val="24"/>
          <w:szCs w:val="24"/>
        </w:rPr>
        <w:t xml:space="preserve"> </w:t>
      </w:r>
      <w:r w:rsidR="007608FD" w:rsidRPr="007608FD">
        <w:rPr>
          <w:rFonts w:ascii="Times New Roman" w:hAnsi="Times New Roman" w:cs="Times New Roman"/>
          <w:iCs/>
          <w:noProof/>
          <w:sz w:val="24"/>
          <w:szCs w:val="24"/>
        </w:rPr>
        <w:t>2</w:t>
      </w:r>
      <w:r w:rsidR="007608FD" w:rsidRPr="007608FD">
        <w:rPr>
          <w:rFonts w:ascii="Times New Roman" w:hAnsi="Times New Roman" w:cs="Times New Roman"/>
          <w:iCs/>
          <w:noProof/>
          <w:sz w:val="24"/>
          <w:szCs w:val="24"/>
          <w:vertAlign w:val="superscript"/>
        </w:rPr>
        <w:t>nd</w:t>
      </w:r>
      <w:r w:rsidR="007608FD" w:rsidRPr="007608FD">
        <w:rPr>
          <w:rFonts w:ascii="Times New Roman" w:hAnsi="Times New Roman" w:cs="Times New Roman"/>
          <w:iCs/>
          <w:noProof/>
          <w:sz w:val="24"/>
          <w:szCs w:val="24"/>
        </w:rPr>
        <w:t xml:space="preserve"> ed</w:t>
      </w:r>
      <w:r w:rsidR="007608FD">
        <w:rPr>
          <w:rFonts w:ascii="Times New Roman" w:hAnsi="Times New Roman" w:cs="Times New Roman"/>
          <w:i/>
          <w:iCs/>
          <w:noProof/>
          <w:sz w:val="24"/>
          <w:szCs w:val="24"/>
        </w:rPr>
        <w:t>.</w:t>
      </w:r>
      <w:r w:rsidR="007608FD">
        <w:rPr>
          <w:rFonts w:ascii="Times New Roman" w:hAnsi="Times New Roman" w:cs="Times New Roman"/>
          <w:noProof/>
          <w:sz w:val="24"/>
          <w:szCs w:val="24"/>
        </w:rPr>
        <w:t xml:space="preserve"> New York: Springer.</w:t>
      </w:r>
    </w:p>
    <w:p w14:paraId="1408EEE6" w14:textId="5E8ED46A"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lastRenderedPageBreak/>
        <w:t>Bindal, T., Wall,</w:t>
      </w:r>
      <w:r w:rsidR="002F5191">
        <w:rPr>
          <w:rFonts w:ascii="Times New Roman" w:hAnsi="Times New Roman" w:cs="Times New Roman"/>
          <w:noProof/>
          <w:sz w:val="24"/>
          <w:szCs w:val="24"/>
        </w:rPr>
        <w:t xml:space="preserve"> D. and Goodyear, H. M. (2011). </w:t>
      </w:r>
      <w:r w:rsidRPr="00BE3B6C">
        <w:rPr>
          <w:rFonts w:ascii="Times New Roman" w:hAnsi="Times New Roman" w:cs="Times New Roman"/>
          <w:noProof/>
          <w:sz w:val="24"/>
          <w:szCs w:val="24"/>
        </w:rPr>
        <w:t>Trainee doctors’ views on workplace-based assessments: Are</w:t>
      </w:r>
      <w:r w:rsidR="002F5191">
        <w:rPr>
          <w:rFonts w:ascii="Times New Roman" w:hAnsi="Times New Roman" w:cs="Times New Roman"/>
          <w:noProof/>
          <w:sz w:val="24"/>
          <w:szCs w:val="24"/>
        </w:rPr>
        <w:t xml:space="preserve"> they just a tick box exercise?</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Medical Teacher</w:t>
      </w:r>
      <w:r w:rsidR="002F5191">
        <w:rPr>
          <w:rFonts w:ascii="Times New Roman" w:hAnsi="Times New Roman" w:cs="Times New Roman"/>
          <w:noProof/>
          <w:sz w:val="24"/>
          <w:szCs w:val="24"/>
        </w:rPr>
        <w:t xml:space="preserve">. </w:t>
      </w:r>
      <w:r w:rsidR="002F5191" w:rsidRPr="002F5191">
        <w:rPr>
          <w:rFonts w:ascii="Times New Roman" w:hAnsi="Times New Roman" w:cs="Times New Roman"/>
          <w:b/>
          <w:noProof/>
          <w:sz w:val="24"/>
          <w:szCs w:val="24"/>
        </w:rPr>
        <w:t>33</w:t>
      </w:r>
      <w:r w:rsidR="002F5191">
        <w:rPr>
          <w:rFonts w:ascii="Times New Roman" w:hAnsi="Times New Roman" w:cs="Times New Roman"/>
          <w:noProof/>
          <w:sz w:val="24"/>
          <w:szCs w:val="24"/>
        </w:rPr>
        <w:t xml:space="preserve">(11), </w:t>
      </w:r>
      <w:r w:rsidRPr="00BE3B6C">
        <w:rPr>
          <w:rFonts w:ascii="Times New Roman" w:hAnsi="Times New Roman" w:cs="Times New Roman"/>
          <w:noProof/>
          <w:sz w:val="24"/>
          <w:szCs w:val="24"/>
        </w:rPr>
        <w:t xml:space="preserve">919–927. </w:t>
      </w:r>
    </w:p>
    <w:p w14:paraId="7ABA31C8" w14:textId="1D61FFF4" w:rsidR="002F5191" w:rsidRDefault="002F5191"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Black, D. (2016). </w:t>
      </w:r>
      <w:r w:rsidR="00BE3B6C" w:rsidRPr="00BE3B6C">
        <w:rPr>
          <w:rFonts w:ascii="Times New Roman" w:hAnsi="Times New Roman" w:cs="Times New Roman"/>
          <w:noProof/>
          <w:sz w:val="24"/>
          <w:szCs w:val="24"/>
        </w:rPr>
        <w:t>An end to box ticking: an overhaul</w:t>
      </w:r>
      <w:r>
        <w:rPr>
          <w:rFonts w:ascii="Times New Roman" w:hAnsi="Times New Roman" w:cs="Times New Roman"/>
          <w:noProof/>
          <w:sz w:val="24"/>
          <w:szCs w:val="24"/>
        </w:rPr>
        <w:t xml:space="preserve"> of competency based education.</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B</w:t>
      </w:r>
      <w:r>
        <w:rPr>
          <w:rFonts w:ascii="Times New Roman" w:hAnsi="Times New Roman" w:cs="Times New Roman"/>
          <w:i/>
          <w:iCs/>
          <w:noProof/>
          <w:sz w:val="24"/>
          <w:szCs w:val="24"/>
        </w:rPr>
        <w:t xml:space="preserve">ritish </w:t>
      </w:r>
      <w:r w:rsidR="00BE3B6C" w:rsidRPr="00BE3B6C">
        <w:rPr>
          <w:rFonts w:ascii="Times New Roman" w:hAnsi="Times New Roman" w:cs="Times New Roman"/>
          <w:i/>
          <w:iCs/>
          <w:noProof/>
          <w:sz w:val="24"/>
          <w:szCs w:val="24"/>
        </w:rPr>
        <w:t>M</w:t>
      </w:r>
      <w:r>
        <w:rPr>
          <w:rFonts w:ascii="Times New Roman" w:hAnsi="Times New Roman" w:cs="Times New Roman"/>
          <w:i/>
          <w:iCs/>
          <w:noProof/>
          <w:sz w:val="24"/>
          <w:szCs w:val="24"/>
        </w:rPr>
        <w:t xml:space="preserve">edical </w:t>
      </w:r>
      <w:r w:rsidR="00BE3B6C" w:rsidRPr="00BE3B6C">
        <w:rPr>
          <w:rFonts w:ascii="Times New Roman" w:hAnsi="Times New Roman" w:cs="Times New Roman"/>
          <w:i/>
          <w:iCs/>
          <w:noProof/>
          <w:sz w:val="24"/>
          <w:szCs w:val="24"/>
        </w:rPr>
        <w:t>J</w:t>
      </w:r>
      <w:r>
        <w:rPr>
          <w:rFonts w:ascii="Times New Roman" w:hAnsi="Times New Roman" w:cs="Times New Roman"/>
          <w:i/>
          <w:iCs/>
          <w:noProof/>
          <w:sz w:val="24"/>
          <w:szCs w:val="24"/>
        </w:rPr>
        <w:t>ournal</w:t>
      </w:r>
      <w:r w:rsidR="00B97E97">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w:t>
      </w:r>
      <w:r w:rsidR="00BE3B6C" w:rsidRPr="00C85758">
        <w:rPr>
          <w:rFonts w:ascii="Times New Roman" w:hAnsi="Times New Roman" w:cs="Times New Roman"/>
          <w:b/>
          <w:noProof/>
          <w:sz w:val="24"/>
          <w:szCs w:val="24"/>
        </w:rPr>
        <w:t>353</w:t>
      </w:r>
      <w:r w:rsidR="00BE3B6C" w:rsidRPr="00BE3B6C">
        <w:rPr>
          <w:rFonts w:ascii="Times New Roman" w:hAnsi="Times New Roman" w:cs="Times New Roman"/>
          <w:noProof/>
          <w:sz w:val="24"/>
          <w:szCs w:val="24"/>
        </w:rPr>
        <w:t>(3020).</w:t>
      </w:r>
    </w:p>
    <w:p w14:paraId="61CCB03F" w14:textId="5616C065" w:rsidR="00BE3B6C" w:rsidRPr="00BE3B6C" w:rsidRDefault="00C85758"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Black, D. and Welch, J. (2009). </w:t>
      </w:r>
      <w:r w:rsidR="00BE3B6C" w:rsidRPr="00BE3B6C">
        <w:rPr>
          <w:rFonts w:ascii="Times New Roman" w:hAnsi="Times New Roman" w:cs="Times New Roman"/>
          <w:noProof/>
          <w:sz w:val="24"/>
          <w:szCs w:val="24"/>
        </w:rPr>
        <w:t>The under-preforming trainee - concerns and ch</w:t>
      </w:r>
      <w:r>
        <w:rPr>
          <w:rFonts w:ascii="Times New Roman" w:hAnsi="Times New Roman" w:cs="Times New Roman"/>
          <w:noProof/>
          <w:sz w:val="24"/>
          <w:szCs w:val="24"/>
        </w:rPr>
        <w:t>allenges for medical educators.</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The clinical teacher</w:t>
      </w:r>
      <w:r>
        <w:rPr>
          <w:rFonts w:ascii="Times New Roman" w:hAnsi="Times New Roman" w:cs="Times New Roman"/>
          <w:noProof/>
          <w:sz w:val="24"/>
          <w:szCs w:val="24"/>
        </w:rPr>
        <w:t xml:space="preserve">. </w:t>
      </w:r>
      <w:r w:rsidRPr="00C85758">
        <w:rPr>
          <w:rFonts w:ascii="Times New Roman" w:hAnsi="Times New Roman" w:cs="Times New Roman"/>
          <w:b/>
          <w:noProof/>
          <w:sz w:val="24"/>
          <w:szCs w:val="24"/>
        </w:rPr>
        <w:t>6</w:t>
      </w:r>
      <w:r>
        <w:rPr>
          <w:rFonts w:ascii="Times New Roman" w:hAnsi="Times New Roman" w:cs="Times New Roman"/>
          <w:noProof/>
          <w:sz w:val="24"/>
          <w:szCs w:val="24"/>
        </w:rPr>
        <w:t xml:space="preserve">(2), </w:t>
      </w:r>
      <w:r w:rsidR="00BE3B6C" w:rsidRPr="00BE3B6C">
        <w:rPr>
          <w:rFonts w:ascii="Times New Roman" w:hAnsi="Times New Roman" w:cs="Times New Roman"/>
          <w:noProof/>
          <w:sz w:val="24"/>
          <w:szCs w:val="24"/>
        </w:rPr>
        <w:t>79–82.</w:t>
      </w:r>
    </w:p>
    <w:p w14:paraId="04925182" w14:textId="6D31255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Bloom, B. S. </w:t>
      </w:r>
      <w:r w:rsidRPr="00BE3B6C">
        <w:rPr>
          <w:rFonts w:ascii="Times New Roman" w:hAnsi="Times New Roman" w:cs="Times New Roman"/>
          <w:i/>
          <w:iCs/>
          <w:noProof/>
          <w:sz w:val="24"/>
          <w:szCs w:val="24"/>
        </w:rPr>
        <w:t>et al.</w:t>
      </w:r>
      <w:r w:rsidR="00C85758">
        <w:rPr>
          <w:rFonts w:ascii="Times New Roman" w:hAnsi="Times New Roman" w:cs="Times New Roman"/>
          <w:noProof/>
          <w:sz w:val="24"/>
          <w:szCs w:val="24"/>
        </w:rPr>
        <w:t xml:space="preserve"> (1956). </w:t>
      </w:r>
      <w:r w:rsidRPr="00C85758">
        <w:rPr>
          <w:rFonts w:ascii="Times New Roman" w:hAnsi="Times New Roman" w:cs="Times New Roman"/>
          <w:i/>
          <w:noProof/>
          <w:sz w:val="24"/>
          <w:szCs w:val="24"/>
        </w:rPr>
        <w:t>Taxonomy of educational objectives: The classification of educational goals</w:t>
      </w:r>
      <w:r w:rsidR="00C85758" w:rsidRPr="00C85758">
        <w:rPr>
          <w:rFonts w:ascii="Times New Roman" w:hAnsi="Times New Roman" w:cs="Times New Roman"/>
          <w:i/>
          <w:noProof/>
          <w:sz w:val="24"/>
          <w:szCs w:val="24"/>
        </w:rPr>
        <w:t>: Handbook 1, cognitive domain</w:t>
      </w:r>
      <w:r w:rsidR="00C85758">
        <w:rPr>
          <w:rFonts w:ascii="Times New Roman" w:hAnsi="Times New Roman" w:cs="Times New Roman"/>
          <w:noProof/>
          <w:sz w:val="24"/>
          <w:szCs w:val="24"/>
        </w:rPr>
        <w:t xml:space="preserve">. </w:t>
      </w:r>
      <w:r w:rsidRPr="00BE3B6C">
        <w:rPr>
          <w:rFonts w:ascii="Times New Roman" w:hAnsi="Times New Roman" w:cs="Times New Roman"/>
          <w:noProof/>
          <w:sz w:val="24"/>
          <w:szCs w:val="24"/>
        </w:rPr>
        <w:t xml:space="preserve"> </w:t>
      </w:r>
      <w:r w:rsidR="00C85758" w:rsidRPr="00C85758">
        <w:rPr>
          <w:rFonts w:ascii="Times New Roman" w:hAnsi="Times New Roman" w:cs="Times New Roman"/>
          <w:iCs/>
          <w:noProof/>
          <w:sz w:val="24"/>
          <w:szCs w:val="24"/>
        </w:rPr>
        <w:t>London</w:t>
      </w:r>
      <w:r w:rsidR="00C85758">
        <w:rPr>
          <w:rFonts w:ascii="Times New Roman" w:hAnsi="Times New Roman" w:cs="Times New Roman"/>
          <w:noProof/>
          <w:sz w:val="24"/>
          <w:szCs w:val="24"/>
        </w:rPr>
        <w:t>: Longmans</w:t>
      </w:r>
    </w:p>
    <w:p w14:paraId="7C4D9BEC" w14:textId="60C92652" w:rsidR="00BE3B6C" w:rsidRPr="00BE3B6C" w:rsidRDefault="00B97E97"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Bloor, M. </w:t>
      </w:r>
      <w:r w:rsidRPr="00B97E97">
        <w:rPr>
          <w:rFonts w:ascii="Times New Roman" w:hAnsi="Times New Roman" w:cs="Times New Roman"/>
          <w:i/>
          <w:noProof/>
          <w:sz w:val="24"/>
          <w:szCs w:val="24"/>
        </w:rPr>
        <w:t>et al</w:t>
      </w:r>
      <w:r>
        <w:rPr>
          <w:rFonts w:ascii="Times New Roman" w:hAnsi="Times New Roman" w:cs="Times New Roman"/>
          <w:noProof/>
          <w:sz w:val="24"/>
          <w:szCs w:val="24"/>
        </w:rPr>
        <w:t xml:space="preserve"> (2015). </w:t>
      </w:r>
      <w:r w:rsidR="00BE3B6C" w:rsidRPr="00BE3B6C">
        <w:rPr>
          <w:rFonts w:ascii="Times New Roman" w:hAnsi="Times New Roman" w:cs="Times New Roman"/>
          <w:noProof/>
          <w:sz w:val="24"/>
          <w:szCs w:val="24"/>
        </w:rPr>
        <w:t>Useful but no Oracle: Reflections on the use of a Delphi Group in a mult</w:t>
      </w:r>
      <w:r>
        <w:rPr>
          <w:rFonts w:ascii="Times New Roman" w:hAnsi="Times New Roman" w:cs="Times New Roman"/>
          <w:noProof/>
          <w:sz w:val="24"/>
          <w:szCs w:val="24"/>
        </w:rPr>
        <w:t>i-methods policy research study.</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Qualitative Research</w:t>
      </w:r>
      <w:r>
        <w:rPr>
          <w:rFonts w:ascii="Times New Roman" w:hAnsi="Times New Roman" w:cs="Times New Roman"/>
          <w:noProof/>
          <w:sz w:val="24"/>
          <w:szCs w:val="24"/>
        </w:rPr>
        <w:t xml:space="preserve">, </w:t>
      </w:r>
      <w:r w:rsidRPr="00B97E97">
        <w:rPr>
          <w:rFonts w:ascii="Times New Roman" w:hAnsi="Times New Roman" w:cs="Times New Roman"/>
          <w:b/>
          <w:noProof/>
          <w:sz w:val="24"/>
          <w:szCs w:val="24"/>
        </w:rPr>
        <w:t>15</w:t>
      </w:r>
      <w:r>
        <w:rPr>
          <w:rFonts w:ascii="Times New Roman" w:hAnsi="Times New Roman" w:cs="Times New Roman"/>
          <w:noProof/>
          <w:sz w:val="24"/>
          <w:szCs w:val="24"/>
        </w:rPr>
        <w:t xml:space="preserve">(1), </w:t>
      </w:r>
      <w:r w:rsidR="00BE3B6C" w:rsidRPr="00BE3B6C">
        <w:rPr>
          <w:rFonts w:ascii="Times New Roman" w:hAnsi="Times New Roman" w:cs="Times New Roman"/>
          <w:noProof/>
          <w:sz w:val="24"/>
          <w:szCs w:val="24"/>
        </w:rPr>
        <w:t xml:space="preserve">57–70. </w:t>
      </w:r>
    </w:p>
    <w:p w14:paraId="4863B9AD" w14:textId="11026B36"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Boenink, A. D. </w:t>
      </w:r>
      <w:r w:rsidRPr="00BE3B6C">
        <w:rPr>
          <w:rFonts w:ascii="Times New Roman" w:hAnsi="Times New Roman" w:cs="Times New Roman"/>
          <w:i/>
          <w:iCs/>
          <w:noProof/>
          <w:sz w:val="24"/>
          <w:szCs w:val="24"/>
        </w:rPr>
        <w:t>et al.</w:t>
      </w:r>
      <w:r w:rsidR="00B97E97">
        <w:rPr>
          <w:rFonts w:ascii="Times New Roman" w:hAnsi="Times New Roman" w:cs="Times New Roman"/>
          <w:noProof/>
          <w:sz w:val="24"/>
          <w:szCs w:val="24"/>
        </w:rPr>
        <w:t xml:space="preserve"> (2005). </w:t>
      </w:r>
      <w:r w:rsidRPr="00BE3B6C">
        <w:rPr>
          <w:rFonts w:ascii="Times New Roman" w:hAnsi="Times New Roman" w:cs="Times New Roman"/>
          <w:noProof/>
          <w:sz w:val="24"/>
          <w:szCs w:val="24"/>
        </w:rPr>
        <w:t>The effects of teaching medical professionalism by means of v</w:t>
      </w:r>
      <w:r w:rsidR="00B97E97">
        <w:rPr>
          <w:rFonts w:ascii="Times New Roman" w:hAnsi="Times New Roman" w:cs="Times New Roman"/>
          <w:noProof/>
          <w:sz w:val="24"/>
          <w:szCs w:val="24"/>
        </w:rPr>
        <w:t>ignettes: an exploratory study.</w:t>
      </w:r>
      <w:r w:rsidRPr="00BE3B6C">
        <w:rPr>
          <w:rFonts w:ascii="Times New Roman" w:hAnsi="Times New Roman" w:cs="Times New Roman"/>
          <w:noProof/>
          <w:sz w:val="24"/>
          <w:szCs w:val="24"/>
        </w:rPr>
        <w:t xml:space="preserve"> </w:t>
      </w:r>
      <w:r w:rsidR="00B97E97">
        <w:rPr>
          <w:rFonts w:ascii="Times New Roman" w:hAnsi="Times New Roman" w:cs="Times New Roman"/>
          <w:i/>
          <w:iCs/>
          <w:noProof/>
          <w:sz w:val="24"/>
          <w:szCs w:val="24"/>
        </w:rPr>
        <w:t>Medical T</w:t>
      </w:r>
      <w:r w:rsidRPr="00BE3B6C">
        <w:rPr>
          <w:rFonts w:ascii="Times New Roman" w:hAnsi="Times New Roman" w:cs="Times New Roman"/>
          <w:i/>
          <w:iCs/>
          <w:noProof/>
          <w:sz w:val="24"/>
          <w:szCs w:val="24"/>
        </w:rPr>
        <w:t>eacher</w:t>
      </w:r>
      <w:r w:rsidR="00B97E97">
        <w:rPr>
          <w:rFonts w:ascii="Times New Roman" w:hAnsi="Times New Roman" w:cs="Times New Roman"/>
          <w:noProof/>
          <w:sz w:val="24"/>
          <w:szCs w:val="24"/>
        </w:rPr>
        <w:t xml:space="preserve">. </w:t>
      </w:r>
      <w:r w:rsidR="00B97E97" w:rsidRPr="00B97E97">
        <w:rPr>
          <w:rFonts w:ascii="Times New Roman" w:hAnsi="Times New Roman" w:cs="Times New Roman"/>
          <w:b/>
          <w:noProof/>
          <w:sz w:val="24"/>
          <w:szCs w:val="24"/>
        </w:rPr>
        <w:t>27</w:t>
      </w:r>
      <w:r w:rsidR="00B97E97">
        <w:rPr>
          <w:rFonts w:ascii="Times New Roman" w:hAnsi="Times New Roman" w:cs="Times New Roman"/>
          <w:noProof/>
          <w:sz w:val="24"/>
          <w:szCs w:val="24"/>
        </w:rPr>
        <w:t xml:space="preserve">(5), </w:t>
      </w:r>
      <w:r w:rsidRPr="00BE3B6C">
        <w:rPr>
          <w:rFonts w:ascii="Times New Roman" w:hAnsi="Times New Roman" w:cs="Times New Roman"/>
          <w:noProof/>
          <w:sz w:val="24"/>
          <w:szCs w:val="24"/>
        </w:rPr>
        <w:t xml:space="preserve">429–432. </w:t>
      </w:r>
    </w:p>
    <w:p w14:paraId="34D6EEF3" w14:textId="0B911D5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Boshuize</w:t>
      </w:r>
      <w:r w:rsidR="00B97E97">
        <w:rPr>
          <w:rFonts w:ascii="Times New Roman" w:hAnsi="Times New Roman" w:cs="Times New Roman"/>
          <w:noProof/>
          <w:sz w:val="24"/>
          <w:szCs w:val="24"/>
        </w:rPr>
        <w:t xml:space="preserve">n, H. P. A. and Schmidt, H. G. (2000). </w:t>
      </w:r>
      <w:r w:rsidRPr="00BE3B6C">
        <w:rPr>
          <w:rFonts w:ascii="Times New Roman" w:hAnsi="Times New Roman" w:cs="Times New Roman"/>
          <w:noProof/>
          <w:sz w:val="24"/>
          <w:szCs w:val="24"/>
        </w:rPr>
        <w:t>The development o</w:t>
      </w:r>
      <w:r w:rsidR="00B97E97">
        <w:rPr>
          <w:rFonts w:ascii="Times New Roman" w:hAnsi="Times New Roman" w:cs="Times New Roman"/>
          <w:noProof/>
          <w:sz w:val="24"/>
          <w:szCs w:val="24"/>
        </w:rPr>
        <w:t>f clinical reasoning expertise. In: J Higgs and M Jones, ed</w:t>
      </w:r>
      <w:r w:rsidR="00600016">
        <w:rPr>
          <w:rFonts w:ascii="Times New Roman" w:hAnsi="Times New Roman" w:cs="Times New Roman"/>
          <w:noProof/>
          <w:sz w:val="24"/>
          <w:szCs w:val="24"/>
        </w:rPr>
        <w:t>s</w:t>
      </w:r>
      <w:r w:rsidR="00B97E97">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Clinical Reasoning in the Health Professions</w:t>
      </w:r>
      <w:r w:rsidR="00B97E97">
        <w:rPr>
          <w:rFonts w:ascii="Times New Roman" w:hAnsi="Times New Roman" w:cs="Times New Roman"/>
          <w:noProof/>
          <w:sz w:val="24"/>
          <w:szCs w:val="24"/>
        </w:rPr>
        <w:t>. 2nd ed</w:t>
      </w:r>
      <w:r w:rsidRPr="00BE3B6C">
        <w:rPr>
          <w:rFonts w:ascii="Times New Roman" w:hAnsi="Times New Roman" w:cs="Times New Roman"/>
          <w:noProof/>
          <w:sz w:val="24"/>
          <w:szCs w:val="24"/>
        </w:rPr>
        <w:t>.</w:t>
      </w:r>
      <w:r w:rsidR="00D77757">
        <w:rPr>
          <w:rFonts w:ascii="Times New Roman" w:hAnsi="Times New Roman" w:cs="Times New Roman"/>
          <w:noProof/>
          <w:sz w:val="24"/>
          <w:szCs w:val="24"/>
        </w:rPr>
        <w:t xml:space="preserve"> Oxford: Butterworth-Heinemann.</w:t>
      </w:r>
      <w:r w:rsidRPr="00BE3B6C">
        <w:rPr>
          <w:rFonts w:ascii="Times New Roman" w:hAnsi="Times New Roman" w:cs="Times New Roman"/>
          <w:noProof/>
          <w:sz w:val="24"/>
          <w:szCs w:val="24"/>
        </w:rPr>
        <w:t xml:space="preserve"> pp. 15–22.</w:t>
      </w:r>
    </w:p>
    <w:p w14:paraId="3499B699" w14:textId="26440D8C" w:rsidR="00BE3B6C" w:rsidRPr="00BE3B6C" w:rsidRDefault="00B97E97"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Boud, D. (2000). </w:t>
      </w:r>
      <w:r w:rsidR="00BE3B6C" w:rsidRPr="00BE3B6C">
        <w:rPr>
          <w:rFonts w:ascii="Times New Roman" w:hAnsi="Times New Roman" w:cs="Times New Roman"/>
          <w:noProof/>
          <w:sz w:val="24"/>
          <w:szCs w:val="24"/>
        </w:rPr>
        <w:t>Sustaineable Assessment: Rethinking assess</w:t>
      </w:r>
      <w:r>
        <w:rPr>
          <w:rFonts w:ascii="Times New Roman" w:hAnsi="Times New Roman" w:cs="Times New Roman"/>
          <w:noProof/>
          <w:sz w:val="24"/>
          <w:szCs w:val="24"/>
        </w:rPr>
        <w:t xml:space="preserve">ment for the learning society. </w:t>
      </w:r>
      <w:r w:rsidRPr="00B97E97">
        <w:rPr>
          <w:rFonts w:ascii="Times New Roman" w:hAnsi="Times New Roman" w:cs="Times New Roman"/>
          <w:i/>
          <w:noProof/>
          <w:sz w:val="24"/>
          <w:szCs w:val="24"/>
        </w:rPr>
        <w:t>Studies</w:t>
      </w:r>
      <w:r>
        <w:rPr>
          <w:rFonts w:ascii="Times New Roman" w:hAnsi="Times New Roman" w:cs="Times New Roman"/>
          <w:noProof/>
          <w:sz w:val="24"/>
          <w:szCs w:val="24"/>
        </w:rPr>
        <w:t xml:space="preserve"> in </w:t>
      </w:r>
      <w:r w:rsidR="00BE3B6C" w:rsidRPr="00BE3B6C">
        <w:rPr>
          <w:rFonts w:ascii="Times New Roman" w:hAnsi="Times New Roman" w:cs="Times New Roman"/>
          <w:i/>
          <w:iCs/>
          <w:noProof/>
          <w:sz w:val="24"/>
          <w:szCs w:val="24"/>
        </w:rPr>
        <w:t>Continuing Education</w:t>
      </w:r>
      <w:r>
        <w:rPr>
          <w:rFonts w:ascii="Times New Roman" w:hAnsi="Times New Roman" w:cs="Times New Roman"/>
          <w:noProof/>
          <w:sz w:val="24"/>
          <w:szCs w:val="24"/>
        </w:rPr>
        <w:t xml:space="preserve">. </w:t>
      </w:r>
      <w:r w:rsidRPr="00B97E97">
        <w:rPr>
          <w:rFonts w:ascii="Times New Roman" w:hAnsi="Times New Roman" w:cs="Times New Roman"/>
          <w:b/>
          <w:noProof/>
          <w:sz w:val="24"/>
          <w:szCs w:val="24"/>
        </w:rPr>
        <w:t>22</w:t>
      </w:r>
      <w:r>
        <w:rPr>
          <w:rFonts w:ascii="Times New Roman" w:hAnsi="Times New Roman" w:cs="Times New Roman"/>
          <w:noProof/>
          <w:sz w:val="24"/>
          <w:szCs w:val="24"/>
        </w:rPr>
        <w:t xml:space="preserve">(2), </w:t>
      </w:r>
      <w:r w:rsidR="00BE3B6C" w:rsidRPr="00BE3B6C">
        <w:rPr>
          <w:rFonts w:ascii="Times New Roman" w:hAnsi="Times New Roman" w:cs="Times New Roman"/>
          <w:noProof/>
          <w:sz w:val="24"/>
          <w:szCs w:val="24"/>
        </w:rPr>
        <w:t xml:space="preserve">151–167. </w:t>
      </w:r>
    </w:p>
    <w:p w14:paraId="07FEC8A7" w14:textId="1423C121"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Boulkedid, R. </w:t>
      </w:r>
      <w:r w:rsidRPr="00BE3B6C">
        <w:rPr>
          <w:rFonts w:ascii="Times New Roman" w:hAnsi="Times New Roman" w:cs="Times New Roman"/>
          <w:i/>
          <w:iCs/>
          <w:noProof/>
          <w:sz w:val="24"/>
          <w:szCs w:val="24"/>
        </w:rPr>
        <w:t>et al.</w:t>
      </w:r>
      <w:r w:rsidR="00273951">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Using and reporting the Delphi method for selecting healthcare quality i</w:t>
      </w:r>
      <w:r w:rsidR="00273951">
        <w:rPr>
          <w:rFonts w:ascii="Times New Roman" w:hAnsi="Times New Roman" w:cs="Times New Roman"/>
          <w:noProof/>
          <w:sz w:val="24"/>
          <w:szCs w:val="24"/>
        </w:rPr>
        <w:t>ndicators: A systematic review.</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PLoS ONE</w:t>
      </w:r>
      <w:r w:rsidR="00273951">
        <w:rPr>
          <w:rFonts w:ascii="Times New Roman" w:hAnsi="Times New Roman" w:cs="Times New Roman"/>
          <w:noProof/>
          <w:sz w:val="24"/>
          <w:szCs w:val="24"/>
        </w:rPr>
        <w:t xml:space="preserve">, </w:t>
      </w:r>
      <w:r w:rsidR="00273951" w:rsidRPr="00273951">
        <w:rPr>
          <w:rFonts w:ascii="Times New Roman" w:hAnsi="Times New Roman" w:cs="Times New Roman"/>
          <w:b/>
          <w:noProof/>
          <w:sz w:val="24"/>
          <w:szCs w:val="24"/>
        </w:rPr>
        <w:t>6</w:t>
      </w:r>
      <w:r w:rsidR="00D77757">
        <w:rPr>
          <w:rFonts w:ascii="Times New Roman" w:hAnsi="Times New Roman" w:cs="Times New Roman"/>
          <w:noProof/>
          <w:sz w:val="24"/>
          <w:szCs w:val="24"/>
        </w:rPr>
        <w:t>(6):e20476</w:t>
      </w:r>
    </w:p>
    <w:p w14:paraId="54646391" w14:textId="145B45D0"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Boursicot, K. A. M., Roberts, T</w:t>
      </w:r>
      <w:r w:rsidR="00E11F7B">
        <w:rPr>
          <w:rFonts w:ascii="Times New Roman" w:hAnsi="Times New Roman" w:cs="Times New Roman"/>
          <w:noProof/>
          <w:sz w:val="24"/>
          <w:szCs w:val="24"/>
        </w:rPr>
        <w:t>. E. and Burdick, W. P. (2011</w:t>
      </w:r>
      <w:r w:rsidR="00D77757">
        <w:rPr>
          <w:rFonts w:ascii="Times New Roman" w:hAnsi="Times New Roman" w:cs="Times New Roman"/>
          <w:noProof/>
          <w:sz w:val="24"/>
          <w:szCs w:val="24"/>
        </w:rPr>
        <w:t xml:space="preserve">). </w:t>
      </w:r>
      <w:r w:rsidRPr="00BE3B6C">
        <w:rPr>
          <w:rFonts w:ascii="Times New Roman" w:hAnsi="Times New Roman" w:cs="Times New Roman"/>
          <w:noProof/>
          <w:sz w:val="24"/>
          <w:szCs w:val="24"/>
        </w:rPr>
        <w:t>Structured Ass</w:t>
      </w:r>
      <w:r w:rsidR="00D77757">
        <w:rPr>
          <w:rFonts w:ascii="Times New Roman" w:hAnsi="Times New Roman" w:cs="Times New Roman"/>
          <w:noProof/>
          <w:sz w:val="24"/>
          <w:szCs w:val="24"/>
        </w:rPr>
        <w:t>essments of Clinical Competence. I</w:t>
      </w:r>
      <w:r w:rsidRPr="00BE3B6C">
        <w:rPr>
          <w:rFonts w:ascii="Times New Roman" w:hAnsi="Times New Roman" w:cs="Times New Roman"/>
          <w:noProof/>
          <w:sz w:val="24"/>
          <w:szCs w:val="24"/>
        </w:rPr>
        <w:t>n</w:t>
      </w:r>
      <w:r w:rsidR="00D77757">
        <w:rPr>
          <w:rFonts w:ascii="Times New Roman" w:hAnsi="Times New Roman" w:cs="Times New Roman"/>
          <w:noProof/>
          <w:sz w:val="24"/>
          <w:szCs w:val="24"/>
        </w:rPr>
        <w:t>:</w:t>
      </w:r>
      <w:r w:rsidR="00E11F7B">
        <w:rPr>
          <w:rFonts w:ascii="Times New Roman" w:hAnsi="Times New Roman" w:cs="Times New Roman"/>
          <w:noProof/>
          <w:sz w:val="24"/>
          <w:szCs w:val="24"/>
        </w:rPr>
        <w:t xml:space="preserve"> T. Swanwick, ed.</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Understanding Medical Education: Evidence, Theory and Practice</w:t>
      </w:r>
      <w:r w:rsidR="00D77757">
        <w:rPr>
          <w:rFonts w:ascii="Times New Roman" w:hAnsi="Times New Roman" w:cs="Times New Roman"/>
          <w:noProof/>
          <w:sz w:val="24"/>
          <w:szCs w:val="24"/>
        </w:rPr>
        <w:t>.</w:t>
      </w:r>
      <w:r w:rsidR="00E11F7B">
        <w:rPr>
          <w:rFonts w:ascii="Times New Roman" w:hAnsi="Times New Roman" w:cs="Times New Roman"/>
          <w:noProof/>
          <w:sz w:val="24"/>
          <w:szCs w:val="24"/>
        </w:rPr>
        <w:t xml:space="preserve"> London:</w:t>
      </w:r>
      <w:r w:rsidR="00D77757">
        <w:rPr>
          <w:rFonts w:ascii="Times New Roman" w:hAnsi="Times New Roman" w:cs="Times New Roman"/>
          <w:noProof/>
          <w:sz w:val="24"/>
          <w:szCs w:val="24"/>
        </w:rPr>
        <w:t xml:space="preserve"> Wiley-Blackwell. pp. 246–258. </w:t>
      </w:r>
    </w:p>
    <w:p w14:paraId="2A4C94A8" w14:textId="7ED0E717"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B</w:t>
      </w:r>
      <w:r w:rsidR="00E11F7B">
        <w:rPr>
          <w:rFonts w:ascii="Times New Roman" w:hAnsi="Times New Roman" w:cs="Times New Roman"/>
          <w:noProof/>
          <w:sz w:val="24"/>
          <w:szCs w:val="24"/>
        </w:rPr>
        <w:t xml:space="preserve">raun, V. and Clarke, V. (2006). </w:t>
      </w:r>
      <w:r w:rsidRPr="00BE3B6C">
        <w:rPr>
          <w:rFonts w:ascii="Times New Roman" w:hAnsi="Times New Roman" w:cs="Times New Roman"/>
          <w:noProof/>
          <w:sz w:val="24"/>
          <w:szCs w:val="24"/>
        </w:rPr>
        <w:t>Using th</w:t>
      </w:r>
      <w:r w:rsidR="00E11F7B">
        <w:rPr>
          <w:rFonts w:ascii="Times New Roman" w:hAnsi="Times New Roman" w:cs="Times New Roman"/>
          <w:noProof/>
          <w:sz w:val="24"/>
          <w:szCs w:val="24"/>
        </w:rPr>
        <w:t xml:space="preserve">ematic analysis in psychology. </w:t>
      </w:r>
      <w:r w:rsidRPr="00BE3B6C">
        <w:rPr>
          <w:rFonts w:ascii="Times New Roman" w:hAnsi="Times New Roman" w:cs="Times New Roman"/>
          <w:i/>
          <w:iCs/>
          <w:noProof/>
          <w:sz w:val="24"/>
          <w:szCs w:val="24"/>
        </w:rPr>
        <w:t>Qualitative Research in Psychology</w:t>
      </w:r>
      <w:r w:rsidR="00E11F7B">
        <w:rPr>
          <w:rFonts w:ascii="Times New Roman" w:hAnsi="Times New Roman" w:cs="Times New Roman"/>
          <w:noProof/>
          <w:sz w:val="24"/>
          <w:szCs w:val="24"/>
        </w:rPr>
        <w:t xml:space="preserve">. </w:t>
      </w:r>
      <w:r w:rsidR="00E11F7B" w:rsidRPr="00E11F7B">
        <w:rPr>
          <w:rFonts w:ascii="Times New Roman" w:hAnsi="Times New Roman" w:cs="Times New Roman"/>
          <w:b/>
          <w:noProof/>
          <w:sz w:val="24"/>
          <w:szCs w:val="24"/>
        </w:rPr>
        <w:t>3</w:t>
      </w:r>
      <w:r w:rsidR="00E11F7B">
        <w:rPr>
          <w:rFonts w:ascii="Times New Roman" w:hAnsi="Times New Roman" w:cs="Times New Roman"/>
          <w:noProof/>
          <w:sz w:val="24"/>
          <w:szCs w:val="24"/>
        </w:rPr>
        <w:t xml:space="preserve">(2), </w:t>
      </w:r>
      <w:r w:rsidRPr="00BE3B6C">
        <w:rPr>
          <w:rFonts w:ascii="Times New Roman" w:hAnsi="Times New Roman" w:cs="Times New Roman"/>
          <w:noProof/>
          <w:sz w:val="24"/>
          <w:szCs w:val="24"/>
        </w:rPr>
        <w:t xml:space="preserve">77–101. </w:t>
      </w:r>
    </w:p>
    <w:p w14:paraId="1BDF7153" w14:textId="4CAFA417" w:rsidR="00FD325E"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lastRenderedPageBreak/>
        <w:t>Brehmer, A. and Breh</w:t>
      </w:r>
      <w:r w:rsidR="00E11F7B">
        <w:rPr>
          <w:rFonts w:ascii="Times New Roman" w:hAnsi="Times New Roman" w:cs="Times New Roman"/>
          <w:noProof/>
          <w:sz w:val="24"/>
          <w:szCs w:val="24"/>
        </w:rPr>
        <w:t xml:space="preserve">mer, B. (1988). </w:t>
      </w:r>
      <w:r w:rsidRPr="00BE3B6C">
        <w:rPr>
          <w:rFonts w:ascii="Times New Roman" w:hAnsi="Times New Roman" w:cs="Times New Roman"/>
          <w:noProof/>
          <w:sz w:val="24"/>
          <w:szCs w:val="24"/>
        </w:rPr>
        <w:t>Chapter 3 What Have we Learned about Human Judgment from Th</w:t>
      </w:r>
      <w:r w:rsidR="00E11F7B">
        <w:rPr>
          <w:rFonts w:ascii="Times New Roman" w:hAnsi="Times New Roman" w:cs="Times New Roman"/>
          <w:noProof/>
          <w:sz w:val="24"/>
          <w:szCs w:val="24"/>
        </w:rPr>
        <w:t>irty Years of Policy Capturing?</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Advances in Psychology</w:t>
      </w:r>
      <w:r w:rsidR="00E11F7B">
        <w:rPr>
          <w:rFonts w:ascii="Times New Roman" w:hAnsi="Times New Roman" w:cs="Times New Roman"/>
          <w:noProof/>
          <w:sz w:val="24"/>
          <w:szCs w:val="24"/>
        </w:rPr>
        <w:t xml:space="preserve">. </w:t>
      </w:r>
      <w:r w:rsidR="00FD325E" w:rsidRPr="00FD325E">
        <w:rPr>
          <w:rFonts w:ascii="Times New Roman" w:hAnsi="Times New Roman" w:cs="Times New Roman"/>
          <w:b/>
          <w:noProof/>
          <w:sz w:val="24"/>
          <w:szCs w:val="24"/>
        </w:rPr>
        <w:t>54</w:t>
      </w:r>
      <w:r w:rsidR="00FD325E">
        <w:rPr>
          <w:rFonts w:ascii="Times New Roman" w:hAnsi="Times New Roman" w:cs="Times New Roman"/>
          <w:noProof/>
          <w:sz w:val="24"/>
          <w:szCs w:val="24"/>
        </w:rPr>
        <w:t xml:space="preserve">, </w:t>
      </w:r>
      <w:r w:rsidRPr="00BE3B6C">
        <w:rPr>
          <w:rFonts w:ascii="Times New Roman" w:hAnsi="Times New Roman" w:cs="Times New Roman"/>
          <w:noProof/>
          <w:sz w:val="24"/>
          <w:szCs w:val="24"/>
        </w:rPr>
        <w:t xml:space="preserve">75–114. </w:t>
      </w:r>
    </w:p>
    <w:p w14:paraId="47F9022D" w14:textId="7FF972DD" w:rsidR="00BE3B6C" w:rsidRPr="00BE3B6C" w:rsidRDefault="00FD325E"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Brennan, R. L. (2001). </w:t>
      </w:r>
      <w:r w:rsidR="00BE3B6C" w:rsidRPr="00BE3B6C">
        <w:rPr>
          <w:rFonts w:ascii="Times New Roman" w:hAnsi="Times New Roman" w:cs="Times New Roman"/>
          <w:noProof/>
          <w:sz w:val="24"/>
          <w:szCs w:val="24"/>
        </w:rPr>
        <w:t>An essay on the history and future of reliability from t</w:t>
      </w:r>
      <w:r>
        <w:rPr>
          <w:rFonts w:ascii="Times New Roman" w:hAnsi="Times New Roman" w:cs="Times New Roman"/>
          <w:noProof/>
          <w:sz w:val="24"/>
          <w:szCs w:val="24"/>
        </w:rPr>
        <w:t xml:space="preserve">he perspective of replications. </w:t>
      </w:r>
      <w:r w:rsidR="00BE3B6C" w:rsidRPr="00BE3B6C">
        <w:rPr>
          <w:rFonts w:ascii="Times New Roman" w:hAnsi="Times New Roman" w:cs="Times New Roman"/>
          <w:i/>
          <w:iCs/>
          <w:noProof/>
          <w:sz w:val="24"/>
          <w:szCs w:val="24"/>
        </w:rPr>
        <w:t>Journal of Educational Measurement</w:t>
      </w:r>
      <w:r>
        <w:rPr>
          <w:rFonts w:ascii="Times New Roman" w:hAnsi="Times New Roman" w:cs="Times New Roman"/>
          <w:noProof/>
          <w:sz w:val="24"/>
          <w:szCs w:val="24"/>
        </w:rPr>
        <w:t xml:space="preserve">. </w:t>
      </w:r>
      <w:r w:rsidRPr="00FD325E">
        <w:rPr>
          <w:rFonts w:ascii="Times New Roman" w:hAnsi="Times New Roman" w:cs="Times New Roman"/>
          <w:b/>
          <w:noProof/>
          <w:sz w:val="24"/>
          <w:szCs w:val="24"/>
        </w:rPr>
        <w:t>38</w:t>
      </w:r>
      <w:r>
        <w:rPr>
          <w:rFonts w:ascii="Times New Roman" w:hAnsi="Times New Roman" w:cs="Times New Roman"/>
          <w:noProof/>
          <w:sz w:val="24"/>
          <w:szCs w:val="24"/>
        </w:rPr>
        <w:t xml:space="preserve">(4), </w:t>
      </w:r>
      <w:r w:rsidR="00BE3B6C" w:rsidRPr="00BE3B6C">
        <w:rPr>
          <w:rFonts w:ascii="Times New Roman" w:hAnsi="Times New Roman" w:cs="Times New Roman"/>
          <w:noProof/>
          <w:sz w:val="24"/>
          <w:szCs w:val="24"/>
        </w:rPr>
        <w:t xml:space="preserve">295–317. </w:t>
      </w:r>
    </w:p>
    <w:p w14:paraId="36D54DEB" w14:textId="733B4365"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Brigh</w:t>
      </w:r>
      <w:r w:rsidR="00FD325E">
        <w:rPr>
          <w:rFonts w:ascii="Times New Roman" w:hAnsi="Times New Roman" w:cs="Times New Roman"/>
          <w:noProof/>
          <w:sz w:val="24"/>
          <w:szCs w:val="24"/>
        </w:rPr>
        <w:t xml:space="preserve">twell, A. and Grant, J. (2013). </w:t>
      </w:r>
      <w:r w:rsidRPr="00BE3B6C">
        <w:rPr>
          <w:rFonts w:ascii="Times New Roman" w:hAnsi="Times New Roman" w:cs="Times New Roman"/>
          <w:noProof/>
          <w:sz w:val="24"/>
          <w:szCs w:val="24"/>
        </w:rPr>
        <w:t>Competency</w:t>
      </w:r>
      <w:r w:rsidR="00FD325E">
        <w:rPr>
          <w:rFonts w:ascii="Times New Roman" w:hAnsi="Times New Roman" w:cs="Times New Roman"/>
          <w:noProof/>
          <w:sz w:val="24"/>
          <w:szCs w:val="24"/>
        </w:rPr>
        <w:t>-based training: Who benefits?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Postgraduate Medical Journal</w:t>
      </w:r>
      <w:r w:rsidR="00FD325E">
        <w:rPr>
          <w:rFonts w:ascii="Times New Roman" w:hAnsi="Times New Roman" w:cs="Times New Roman"/>
          <w:noProof/>
          <w:sz w:val="24"/>
          <w:szCs w:val="24"/>
        </w:rPr>
        <w:t xml:space="preserve">. </w:t>
      </w:r>
      <w:r w:rsidR="00FD325E" w:rsidRPr="00FD325E">
        <w:rPr>
          <w:rFonts w:ascii="Times New Roman" w:hAnsi="Times New Roman" w:cs="Times New Roman"/>
          <w:b/>
          <w:noProof/>
          <w:sz w:val="24"/>
          <w:szCs w:val="24"/>
        </w:rPr>
        <w:t>89</w:t>
      </w:r>
      <w:r w:rsidR="00FD325E">
        <w:rPr>
          <w:rFonts w:ascii="Times New Roman" w:hAnsi="Times New Roman" w:cs="Times New Roman"/>
          <w:noProof/>
          <w:sz w:val="24"/>
          <w:szCs w:val="24"/>
        </w:rPr>
        <w:t xml:space="preserve">(1048), </w:t>
      </w:r>
      <w:r w:rsidRPr="00BE3B6C">
        <w:rPr>
          <w:rFonts w:ascii="Times New Roman" w:hAnsi="Times New Roman" w:cs="Times New Roman"/>
          <w:noProof/>
          <w:sz w:val="24"/>
          <w:szCs w:val="24"/>
        </w:rPr>
        <w:t>107–110.</w:t>
      </w:r>
    </w:p>
    <w:p w14:paraId="301AF47B" w14:textId="560CD109" w:rsidR="00BE3B6C" w:rsidRPr="00BE3B6C" w:rsidRDefault="00FD325E"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Brookhart, S. M. (2001). </w:t>
      </w:r>
      <w:r w:rsidR="00BE3B6C" w:rsidRPr="00BE3B6C">
        <w:rPr>
          <w:rFonts w:ascii="Times New Roman" w:hAnsi="Times New Roman" w:cs="Times New Roman"/>
          <w:noProof/>
          <w:sz w:val="24"/>
          <w:szCs w:val="24"/>
        </w:rPr>
        <w:t>Successful Students’ Formative and Summative U</w:t>
      </w:r>
      <w:r>
        <w:rPr>
          <w:rFonts w:ascii="Times New Roman" w:hAnsi="Times New Roman" w:cs="Times New Roman"/>
          <w:noProof/>
          <w:sz w:val="24"/>
          <w:szCs w:val="24"/>
        </w:rPr>
        <w:t xml:space="preserve">ses of Assessment Information. </w:t>
      </w:r>
      <w:r w:rsidR="00BE3B6C" w:rsidRPr="00BE3B6C">
        <w:rPr>
          <w:rFonts w:ascii="Times New Roman" w:hAnsi="Times New Roman" w:cs="Times New Roman"/>
          <w:i/>
          <w:iCs/>
          <w:noProof/>
          <w:sz w:val="24"/>
          <w:szCs w:val="24"/>
        </w:rPr>
        <w:t>Assessment in Education</w:t>
      </w:r>
      <w:r w:rsidR="00D3578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FD325E">
        <w:rPr>
          <w:rFonts w:ascii="Times New Roman" w:hAnsi="Times New Roman" w:cs="Times New Roman"/>
          <w:b/>
          <w:noProof/>
          <w:sz w:val="24"/>
          <w:szCs w:val="24"/>
        </w:rPr>
        <w:t>8</w:t>
      </w:r>
      <w:r>
        <w:rPr>
          <w:rFonts w:ascii="Times New Roman" w:hAnsi="Times New Roman" w:cs="Times New Roman"/>
          <w:noProof/>
          <w:sz w:val="24"/>
          <w:szCs w:val="24"/>
        </w:rPr>
        <w:t xml:space="preserve">(2), </w:t>
      </w:r>
      <w:r w:rsidR="00BE3B6C" w:rsidRPr="00BE3B6C">
        <w:rPr>
          <w:rFonts w:ascii="Times New Roman" w:hAnsi="Times New Roman" w:cs="Times New Roman"/>
          <w:noProof/>
          <w:sz w:val="24"/>
          <w:szCs w:val="24"/>
        </w:rPr>
        <w:t>153-168.</w:t>
      </w:r>
    </w:p>
    <w:p w14:paraId="1521F0CC" w14:textId="3706357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Brown, G., Man</w:t>
      </w:r>
      <w:r w:rsidR="00FD325E">
        <w:rPr>
          <w:rFonts w:ascii="Times New Roman" w:hAnsi="Times New Roman" w:cs="Times New Roman"/>
          <w:noProof/>
          <w:sz w:val="24"/>
          <w:szCs w:val="24"/>
        </w:rPr>
        <w:t xml:space="preserve">ogue, M. and Rohlin, M. (2002). </w:t>
      </w:r>
      <w:r w:rsidRPr="00BE3B6C">
        <w:rPr>
          <w:rFonts w:ascii="Times New Roman" w:hAnsi="Times New Roman" w:cs="Times New Roman"/>
          <w:noProof/>
          <w:sz w:val="24"/>
          <w:szCs w:val="24"/>
        </w:rPr>
        <w:t>Assessing attitudes in dent</w:t>
      </w:r>
      <w:r w:rsidR="00FD325E">
        <w:rPr>
          <w:rFonts w:ascii="Times New Roman" w:hAnsi="Times New Roman" w:cs="Times New Roman"/>
          <w:noProof/>
          <w:sz w:val="24"/>
          <w:szCs w:val="24"/>
        </w:rPr>
        <w:t xml:space="preserve">al education: Is it worthwhile? </w:t>
      </w:r>
      <w:r w:rsidRPr="00BE3B6C">
        <w:rPr>
          <w:rFonts w:ascii="Times New Roman" w:hAnsi="Times New Roman" w:cs="Times New Roman"/>
          <w:i/>
          <w:iCs/>
          <w:noProof/>
          <w:sz w:val="24"/>
          <w:szCs w:val="24"/>
        </w:rPr>
        <w:t>British Dental Journal</w:t>
      </w:r>
      <w:r w:rsidR="00FD325E">
        <w:rPr>
          <w:rFonts w:ascii="Times New Roman" w:hAnsi="Times New Roman" w:cs="Times New Roman"/>
          <w:noProof/>
          <w:sz w:val="24"/>
          <w:szCs w:val="24"/>
        </w:rPr>
        <w:t xml:space="preserve">. </w:t>
      </w:r>
      <w:r w:rsidR="00FD325E" w:rsidRPr="00FD325E">
        <w:rPr>
          <w:rFonts w:ascii="Times New Roman" w:hAnsi="Times New Roman" w:cs="Times New Roman"/>
          <w:b/>
          <w:noProof/>
          <w:sz w:val="24"/>
          <w:szCs w:val="24"/>
        </w:rPr>
        <w:t>193</w:t>
      </w:r>
      <w:r w:rsidR="00FD325E">
        <w:rPr>
          <w:rFonts w:ascii="Times New Roman" w:hAnsi="Times New Roman" w:cs="Times New Roman"/>
          <w:noProof/>
          <w:sz w:val="24"/>
          <w:szCs w:val="24"/>
        </w:rPr>
        <w:t xml:space="preserve">(12), </w:t>
      </w:r>
      <w:r w:rsidRPr="00BE3B6C">
        <w:rPr>
          <w:rFonts w:ascii="Times New Roman" w:hAnsi="Times New Roman" w:cs="Times New Roman"/>
          <w:noProof/>
          <w:sz w:val="24"/>
          <w:szCs w:val="24"/>
        </w:rPr>
        <w:t>703–707.</w:t>
      </w:r>
    </w:p>
    <w:p w14:paraId="521F7AFB" w14:textId="04B075A2" w:rsidR="00BE3B6C" w:rsidRPr="00BE3B6C" w:rsidRDefault="00FD325E"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Brualdi, A. (1999). </w:t>
      </w:r>
      <w:r w:rsidR="00BE3B6C" w:rsidRPr="00BE3B6C">
        <w:rPr>
          <w:rFonts w:ascii="Times New Roman" w:hAnsi="Times New Roman" w:cs="Times New Roman"/>
          <w:noProof/>
          <w:sz w:val="24"/>
          <w:szCs w:val="24"/>
        </w:rPr>
        <w:t xml:space="preserve">Traditional </w:t>
      </w:r>
      <w:r>
        <w:rPr>
          <w:rFonts w:ascii="Times New Roman" w:hAnsi="Times New Roman" w:cs="Times New Roman"/>
          <w:noProof/>
          <w:sz w:val="24"/>
          <w:szCs w:val="24"/>
        </w:rPr>
        <w:t>and Modern Concepts of Validity.</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ERIC/AE Digest</w:t>
      </w:r>
      <w:r w:rsidR="00D35782">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1–6.</w:t>
      </w:r>
      <w:r w:rsidRPr="00FD325E">
        <w:t xml:space="preserve"> </w:t>
      </w:r>
      <w:r w:rsidRPr="00600016">
        <w:rPr>
          <w:rFonts w:ascii="Times New Roman" w:hAnsi="Times New Roman" w:cs="Times New Roman"/>
          <w:sz w:val="24"/>
          <w:szCs w:val="24"/>
        </w:rPr>
        <w:t>ERIC identifier: ED435714</w:t>
      </w:r>
    </w:p>
    <w:p w14:paraId="1CBDC3DB" w14:textId="61D74F6F" w:rsidR="00BE3B6C" w:rsidRPr="00BE3B6C" w:rsidRDefault="00600016"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Brunswik, E. (1952). </w:t>
      </w:r>
      <w:r w:rsidR="00BE3B6C" w:rsidRPr="00BE3B6C">
        <w:rPr>
          <w:rFonts w:ascii="Times New Roman" w:hAnsi="Times New Roman" w:cs="Times New Roman"/>
          <w:i/>
          <w:iCs/>
          <w:noProof/>
          <w:sz w:val="24"/>
          <w:szCs w:val="24"/>
        </w:rPr>
        <w:t>The conceptual framework of psychology.</w:t>
      </w:r>
      <w:r w:rsidR="00BE3B6C" w:rsidRPr="00BE3B6C">
        <w:rPr>
          <w:rFonts w:ascii="Times New Roman" w:hAnsi="Times New Roman" w:cs="Times New Roman"/>
          <w:noProof/>
          <w:sz w:val="24"/>
          <w:szCs w:val="24"/>
        </w:rPr>
        <w:t xml:space="preserve"> Chicago: University of Chicago Press.</w:t>
      </w:r>
    </w:p>
    <w:p w14:paraId="1DE9973E" w14:textId="0CD2F435" w:rsidR="00600016"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Brunyé, T. T. </w:t>
      </w:r>
      <w:r w:rsidRPr="00BE3B6C">
        <w:rPr>
          <w:rFonts w:ascii="Times New Roman" w:hAnsi="Times New Roman" w:cs="Times New Roman"/>
          <w:i/>
          <w:iCs/>
          <w:noProof/>
          <w:sz w:val="24"/>
          <w:szCs w:val="24"/>
        </w:rPr>
        <w:t>et al.</w:t>
      </w:r>
      <w:r w:rsidR="00600016">
        <w:rPr>
          <w:rFonts w:ascii="Times New Roman" w:hAnsi="Times New Roman" w:cs="Times New Roman"/>
          <w:noProof/>
          <w:sz w:val="24"/>
          <w:szCs w:val="24"/>
        </w:rPr>
        <w:t xml:space="preserve"> (2014). </w:t>
      </w:r>
      <w:r w:rsidRPr="00BE3B6C">
        <w:rPr>
          <w:rFonts w:ascii="Times New Roman" w:hAnsi="Times New Roman" w:cs="Times New Roman"/>
          <w:noProof/>
          <w:sz w:val="24"/>
          <w:szCs w:val="24"/>
        </w:rPr>
        <w:t>Eye movements as an index of pathologist v</w:t>
      </w:r>
      <w:r w:rsidR="00600016">
        <w:rPr>
          <w:rFonts w:ascii="Times New Roman" w:hAnsi="Times New Roman" w:cs="Times New Roman"/>
          <w:noProof/>
          <w:sz w:val="24"/>
          <w:szCs w:val="24"/>
        </w:rPr>
        <w:t>isual expertise: A pilot study.</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PLoS ONE</w:t>
      </w:r>
      <w:r w:rsidR="00D35782">
        <w:rPr>
          <w:rFonts w:ascii="Times New Roman" w:hAnsi="Times New Roman" w:cs="Times New Roman"/>
          <w:noProof/>
          <w:sz w:val="24"/>
          <w:szCs w:val="24"/>
        </w:rPr>
        <w:t>.</w:t>
      </w:r>
      <w:r w:rsidR="00600016">
        <w:rPr>
          <w:rFonts w:ascii="Times New Roman" w:hAnsi="Times New Roman" w:cs="Times New Roman"/>
          <w:noProof/>
          <w:sz w:val="24"/>
          <w:szCs w:val="24"/>
        </w:rPr>
        <w:t xml:space="preserve"> </w:t>
      </w:r>
      <w:r w:rsidR="00600016" w:rsidRPr="00600016">
        <w:rPr>
          <w:rFonts w:ascii="Times New Roman" w:hAnsi="Times New Roman" w:cs="Times New Roman"/>
          <w:b/>
          <w:noProof/>
          <w:sz w:val="24"/>
          <w:szCs w:val="24"/>
        </w:rPr>
        <w:t>9</w:t>
      </w:r>
      <w:r w:rsidR="00600016">
        <w:rPr>
          <w:rFonts w:ascii="Times New Roman" w:hAnsi="Times New Roman" w:cs="Times New Roman"/>
          <w:noProof/>
          <w:sz w:val="24"/>
          <w:szCs w:val="24"/>
        </w:rPr>
        <w:t>(8)</w:t>
      </w:r>
      <w:r w:rsidR="00600016">
        <w:t>: e103447.</w:t>
      </w:r>
    </w:p>
    <w:p w14:paraId="64C04621" w14:textId="43737D30" w:rsidR="00BE3B6C" w:rsidRPr="00BE3B6C" w:rsidRDefault="002301DC"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Bryman, A. (2012</w:t>
      </w:r>
      <w:r w:rsidR="00600016">
        <w:rPr>
          <w:rFonts w:ascii="Times New Roman" w:hAnsi="Times New Roman" w:cs="Times New Roman"/>
          <w:noProof/>
          <w:sz w:val="24"/>
          <w:szCs w:val="24"/>
        </w:rPr>
        <w:t>) ‘Qualitative data analysis. I</w:t>
      </w:r>
      <w:r w:rsidR="00BE3B6C" w:rsidRPr="00BE3B6C">
        <w:rPr>
          <w:rFonts w:ascii="Times New Roman" w:hAnsi="Times New Roman" w:cs="Times New Roman"/>
          <w:noProof/>
          <w:sz w:val="24"/>
          <w:szCs w:val="24"/>
        </w:rPr>
        <w:t>n</w:t>
      </w:r>
      <w:r w:rsidR="00600016">
        <w:rPr>
          <w:rFonts w:ascii="Times New Roman" w:hAnsi="Times New Roman" w:cs="Times New Roman"/>
          <w:noProof/>
          <w:sz w:val="24"/>
          <w:szCs w:val="24"/>
        </w:rPr>
        <w:t>:</w:t>
      </w:r>
      <w:r>
        <w:rPr>
          <w:rFonts w:ascii="Times New Roman" w:hAnsi="Times New Roman" w:cs="Times New Roman"/>
          <w:noProof/>
          <w:sz w:val="24"/>
          <w:szCs w:val="24"/>
        </w:rPr>
        <w:t xml:space="preserve"> A. Bryman</w:t>
      </w:r>
      <w:r w:rsidR="00600016">
        <w:rPr>
          <w:rFonts w:ascii="Times New Roman" w:hAnsi="Times New Roman" w:cs="Times New Roman"/>
          <w:noProof/>
          <w:sz w:val="24"/>
          <w:szCs w:val="24"/>
        </w:rPr>
        <w:t xml:space="preserve"> , ed.</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Social Research Methods</w:t>
      </w:r>
      <w:r w:rsidR="00600016">
        <w:rPr>
          <w:rFonts w:ascii="Times New Roman" w:hAnsi="Times New Roman" w:cs="Times New Roman"/>
          <w:noProof/>
          <w:sz w:val="24"/>
          <w:szCs w:val="24"/>
        </w:rPr>
        <w:t xml:space="preserve">. </w:t>
      </w:r>
      <w:r>
        <w:rPr>
          <w:rFonts w:ascii="Times New Roman" w:hAnsi="Times New Roman" w:cs="Times New Roman"/>
          <w:noProof/>
          <w:sz w:val="24"/>
          <w:szCs w:val="24"/>
        </w:rPr>
        <w:t>4th</w:t>
      </w:r>
      <w:r w:rsidR="00600016">
        <w:rPr>
          <w:rFonts w:ascii="Times New Roman" w:hAnsi="Times New Roman" w:cs="Times New Roman"/>
          <w:noProof/>
          <w:sz w:val="24"/>
          <w:szCs w:val="24"/>
        </w:rPr>
        <w:t xml:space="preserve"> ed. Oxford: Oxford University Press.</w:t>
      </w:r>
      <w:r>
        <w:rPr>
          <w:rFonts w:ascii="Times New Roman" w:hAnsi="Times New Roman" w:cs="Times New Roman"/>
          <w:noProof/>
          <w:sz w:val="24"/>
          <w:szCs w:val="24"/>
        </w:rPr>
        <w:t xml:space="preserve"> pp. 564–5588</w:t>
      </w:r>
      <w:r w:rsidR="00BE3B6C" w:rsidRPr="00BE3B6C">
        <w:rPr>
          <w:rFonts w:ascii="Times New Roman" w:hAnsi="Times New Roman" w:cs="Times New Roman"/>
          <w:noProof/>
          <w:sz w:val="24"/>
          <w:szCs w:val="24"/>
        </w:rPr>
        <w:t>.</w:t>
      </w:r>
    </w:p>
    <w:p w14:paraId="3F4F3ABA" w14:textId="1845E208"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Bullock, A. D. </w:t>
      </w:r>
      <w:r w:rsidRPr="00BE3B6C">
        <w:rPr>
          <w:rFonts w:ascii="Times New Roman" w:hAnsi="Times New Roman" w:cs="Times New Roman"/>
          <w:i/>
          <w:iCs/>
          <w:noProof/>
          <w:sz w:val="24"/>
          <w:szCs w:val="24"/>
        </w:rPr>
        <w:t>et al.</w:t>
      </w:r>
      <w:r w:rsidR="002301DC">
        <w:rPr>
          <w:rFonts w:ascii="Times New Roman" w:hAnsi="Times New Roman" w:cs="Times New Roman"/>
          <w:noProof/>
          <w:sz w:val="24"/>
          <w:szCs w:val="24"/>
        </w:rPr>
        <w:t xml:space="preserve"> (2009). </w:t>
      </w:r>
      <w:r w:rsidRPr="00BE3B6C">
        <w:rPr>
          <w:rFonts w:ascii="Times New Roman" w:hAnsi="Times New Roman" w:cs="Times New Roman"/>
          <w:noProof/>
          <w:sz w:val="24"/>
          <w:szCs w:val="24"/>
        </w:rPr>
        <w:t>How ratings vary by staff group in multi-source feedback</w:t>
      </w:r>
      <w:r w:rsidR="002301DC">
        <w:rPr>
          <w:rFonts w:ascii="Times New Roman" w:hAnsi="Times New Roman" w:cs="Times New Roman"/>
          <w:noProof/>
          <w:sz w:val="24"/>
          <w:szCs w:val="24"/>
        </w:rPr>
        <w:t xml:space="preserve"> assessment of junior doctors. </w:t>
      </w:r>
      <w:r w:rsidRPr="00BE3B6C">
        <w:rPr>
          <w:rFonts w:ascii="Times New Roman" w:hAnsi="Times New Roman" w:cs="Times New Roman"/>
          <w:i/>
          <w:iCs/>
          <w:noProof/>
          <w:sz w:val="24"/>
          <w:szCs w:val="24"/>
        </w:rPr>
        <w:t>Medical Education</w:t>
      </w:r>
      <w:r w:rsidR="00D35782">
        <w:rPr>
          <w:rFonts w:ascii="Times New Roman" w:hAnsi="Times New Roman" w:cs="Times New Roman"/>
          <w:noProof/>
          <w:sz w:val="24"/>
          <w:szCs w:val="24"/>
        </w:rPr>
        <w:t>.</w:t>
      </w:r>
      <w:r w:rsidR="002301DC">
        <w:rPr>
          <w:rFonts w:ascii="Times New Roman" w:hAnsi="Times New Roman" w:cs="Times New Roman"/>
          <w:noProof/>
          <w:sz w:val="24"/>
          <w:szCs w:val="24"/>
        </w:rPr>
        <w:t xml:space="preserve"> </w:t>
      </w:r>
      <w:r w:rsidR="002301DC" w:rsidRPr="002301DC">
        <w:rPr>
          <w:rFonts w:ascii="Times New Roman" w:hAnsi="Times New Roman" w:cs="Times New Roman"/>
          <w:b/>
          <w:noProof/>
          <w:sz w:val="24"/>
          <w:szCs w:val="24"/>
        </w:rPr>
        <w:t>43</w:t>
      </w:r>
      <w:r w:rsidR="002301DC">
        <w:rPr>
          <w:rFonts w:ascii="Times New Roman" w:hAnsi="Times New Roman" w:cs="Times New Roman"/>
          <w:noProof/>
          <w:sz w:val="24"/>
          <w:szCs w:val="24"/>
        </w:rPr>
        <w:t xml:space="preserve">(6), 516–520. </w:t>
      </w:r>
    </w:p>
    <w:p w14:paraId="5D8CCA22" w14:textId="4E073FBD" w:rsidR="00BE3B6C" w:rsidRPr="00BE3B6C" w:rsidRDefault="0011455C"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Bullock, A. D. (2010). </w:t>
      </w:r>
      <w:r w:rsidR="00BE3B6C" w:rsidRPr="00BE3B6C">
        <w:rPr>
          <w:rFonts w:ascii="Times New Roman" w:hAnsi="Times New Roman" w:cs="Times New Roman"/>
          <w:noProof/>
          <w:sz w:val="24"/>
          <w:szCs w:val="24"/>
        </w:rPr>
        <w:t>G</w:t>
      </w:r>
      <w:r>
        <w:rPr>
          <w:rFonts w:ascii="Times New Roman" w:hAnsi="Times New Roman" w:cs="Times New Roman"/>
          <w:noProof/>
          <w:sz w:val="24"/>
          <w:szCs w:val="24"/>
        </w:rPr>
        <w:t xml:space="preserve">uest Editorial. </w:t>
      </w:r>
      <w:r w:rsidR="00BE3B6C" w:rsidRPr="00BE3B6C">
        <w:rPr>
          <w:rFonts w:ascii="Times New Roman" w:hAnsi="Times New Roman" w:cs="Times New Roman"/>
          <w:i/>
          <w:iCs/>
          <w:noProof/>
          <w:sz w:val="24"/>
          <w:szCs w:val="24"/>
        </w:rPr>
        <w:t>Eur J Dent Educ</w:t>
      </w:r>
      <w:r w:rsidR="00D3578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11455C">
        <w:rPr>
          <w:rFonts w:ascii="Times New Roman" w:hAnsi="Times New Roman" w:cs="Times New Roman"/>
          <w:b/>
          <w:noProof/>
          <w:sz w:val="24"/>
          <w:szCs w:val="24"/>
        </w:rPr>
        <w:t>14</w:t>
      </w:r>
      <w:r>
        <w:rPr>
          <w:rFonts w:ascii="Times New Roman" w:hAnsi="Times New Roman" w:cs="Times New Roman"/>
          <w:noProof/>
          <w:sz w:val="24"/>
          <w:szCs w:val="24"/>
        </w:rPr>
        <w:t xml:space="preserve">(2), 65–68. </w:t>
      </w:r>
    </w:p>
    <w:p w14:paraId="7D336F03" w14:textId="320AFF07"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Burg, F. D., Lloyd, </w:t>
      </w:r>
      <w:r w:rsidR="00D35782">
        <w:rPr>
          <w:rFonts w:ascii="Times New Roman" w:hAnsi="Times New Roman" w:cs="Times New Roman"/>
          <w:noProof/>
          <w:sz w:val="24"/>
          <w:szCs w:val="24"/>
        </w:rPr>
        <w:t xml:space="preserve">J. S. and Templeton, B. (1982). Competence in medicine. </w:t>
      </w:r>
      <w:r w:rsidRPr="00BE3B6C">
        <w:rPr>
          <w:rFonts w:ascii="Times New Roman" w:hAnsi="Times New Roman" w:cs="Times New Roman"/>
          <w:i/>
          <w:iCs/>
          <w:noProof/>
          <w:sz w:val="24"/>
          <w:szCs w:val="24"/>
        </w:rPr>
        <w:t>Medical Teacher</w:t>
      </w:r>
      <w:r w:rsidR="00D35782">
        <w:rPr>
          <w:rFonts w:ascii="Times New Roman" w:hAnsi="Times New Roman" w:cs="Times New Roman"/>
          <w:noProof/>
          <w:sz w:val="24"/>
          <w:szCs w:val="24"/>
        </w:rPr>
        <w:t xml:space="preserve">. </w:t>
      </w:r>
      <w:r w:rsidR="00D35782" w:rsidRPr="00D35782">
        <w:rPr>
          <w:rFonts w:ascii="Times New Roman" w:hAnsi="Times New Roman" w:cs="Times New Roman"/>
          <w:b/>
          <w:noProof/>
          <w:sz w:val="24"/>
          <w:szCs w:val="24"/>
        </w:rPr>
        <w:t>4</w:t>
      </w:r>
      <w:r w:rsidR="00D35782">
        <w:rPr>
          <w:rFonts w:ascii="Times New Roman" w:hAnsi="Times New Roman" w:cs="Times New Roman"/>
          <w:noProof/>
          <w:sz w:val="24"/>
          <w:szCs w:val="24"/>
        </w:rPr>
        <w:t xml:space="preserve">(2), 60–64. </w:t>
      </w:r>
    </w:p>
    <w:p w14:paraId="3936BF2D" w14:textId="7935A379"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lastRenderedPageBreak/>
        <w:t xml:space="preserve">Burr, B., Wade, W. and Watts, H. </w:t>
      </w:r>
      <w:r w:rsidR="00D35782">
        <w:rPr>
          <w:rFonts w:ascii="Times New Roman" w:hAnsi="Times New Roman" w:cs="Times New Roman"/>
          <w:noProof/>
          <w:sz w:val="24"/>
          <w:szCs w:val="24"/>
        </w:rPr>
        <w:t xml:space="preserve">(2012). </w:t>
      </w:r>
      <w:r w:rsidRPr="00BE3B6C">
        <w:rPr>
          <w:rFonts w:ascii="Times New Roman" w:hAnsi="Times New Roman" w:cs="Times New Roman"/>
          <w:noProof/>
          <w:sz w:val="24"/>
          <w:szCs w:val="24"/>
        </w:rPr>
        <w:t>Improvi</w:t>
      </w:r>
      <w:r w:rsidR="00D35782">
        <w:rPr>
          <w:rFonts w:ascii="Times New Roman" w:hAnsi="Times New Roman" w:cs="Times New Roman"/>
          <w:noProof/>
          <w:sz w:val="24"/>
          <w:szCs w:val="24"/>
        </w:rPr>
        <w:t xml:space="preserve">ng workplace based assessments.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B</w:t>
      </w:r>
      <w:r w:rsidR="00D35782">
        <w:rPr>
          <w:rFonts w:ascii="Times New Roman" w:hAnsi="Times New Roman" w:cs="Times New Roman"/>
          <w:i/>
          <w:iCs/>
          <w:noProof/>
          <w:sz w:val="24"/>
          <w:szCs w:val="24"/>
        </w:rPr>
        <w:t xml:space="preserve">ritish </w:t>
      </w:r>
      <w:r w:rsidRPr="00BE3B6C">
        <w:rPr>
          <w:rFonts w:ascii="Times New Roman" w:hAnsi="Times New Roman" w:cs="Times New Roman"/>
          <w:i/>
          <w:iCs/>
          <w:noProof/>
          <w:sz w:val="24"/>
          <w:szCs w:val="24"/>
        </w:rPr>
        <w:t>M</w:t>
      </w:r>
      <w:r w:rsidR="00D35782">
        <w:rPr>
          <w:rFonts w:ascii="Times New Roman" w:hAnsi="Times New Roman" w:cs="Times New Roman"/>
          <w:i/>
          <w:iCs/>
          <w:noProof/>
          <w:sz w:val="24"/>
          <w:szCs w:val="24"/>
        </w:rPr>
        <w:t xml:space="preserve">edical </w:t>
      </w:r>
      <w:r w:rsidRPr="00BE3B6C">
        <w:rPr>
          <w:rFonts w:ascii="Times New Roman" w:hAnsi="Times New Roman" w:cs="Times New Roman"/>
          <w:i/>
          <w:iCs/>
          <w:noProof/>
          <w:sz w:val="24"/>
          <w:szCs w:val="24"/>
        </w:rPr>
        <w:t>J</w:t>
      </w:r>
      <w:r w:rsidR="00D35782">
        <w:rPr>
          <w:rFonts w:ascii="Times New Roman" w:hAnsi="Times New Roman" w:cs="Times New Roman"/>
          <w:i/>
          <w:iCs/>
          <w:noProof/>
          <w:sz w:val="24"/>
          <w:szCs w:val="24"/>
        </w:rPr>
        <w:t>ournal</w:t>
      </w:r>
      <w:r w:rsidR="00D35782">
        <w:rPr>
          <w:rFonts w:ascii="Times New Roman" w:hAnsi="Times New Roman" w:cs="Times New Roman"/>
          <w:noProof/>
          <w:sz w:val="24"/>
          <w:szCs w:val="24"/>
        </w:rPr>
        <w:t xml:space="preserve">. </w:t>
      </w:r>
      <w:r w:rsidR="00D35782" w:rsidRPr="00D35782">
        <w:rPr>
          <w:rFonts w:ascii="Times New Roman" w:hAnsi="Times New Roman" w:cs="Times New Roman"/>
          <w:b/>
          <w:noProof/>
          <w:sz w:val="24"/>
          <w:szCs w:val="24"/>
        </w:rPr>
        <w:t>345</w:t>
      </w:r>
      <w:r w:rsidR="00D35782">
        <w:rPr>
          <w:rFonts w:ascii="Times New Roman" w:hAnsi="Times New Roman" w:cs="Times New Roman"/>
          <w:noProof/>
          <w:sz w:val="24"/>
          <w:szCs w:val="24"/>
        </w:rPr>
        <w:t>:e4986</w:t>
      </w:r>
    </w:p>
    <w:p w14:paraId="0450E935" w14:textId="6742A887" w:rsidR="00BE3B6C" w:rsidRPr="00BE3B6C" w:rsidRDefault="00D3578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Bussolati, G. (2006). </w:t>
      </w:r>
      <w:r w:rsidR="00BE3B6C" w:rsidRPr="00BE3B6C">
        <w:rPr>
          <w:rFonts w:ascii="Times New Roman" w:hAnsi="Times New Roman" w:cs="Times New Roman"/>
          <w:noProof/>
          <w:sz w:val="24"/>
          <w:szCs w:val="24"/>
        </w:rPr>
        <w:t xml:space="preserve">Dissecting the pathologist’s brain: mental processes that </w:t>
      </w:r>
      <w:r>
        <w:rPr>
          <w:rFonts w:ascii="Times New Roman" w:hAnsi="Times New Roman" w:cs="Times New Roman"/>
          <w:noProof/>
          <w:sz w:val="24"/>
          <w:szCs w:val="24"/>
        </w:rPr>
        <w:t>lead to pathological diagnoses.</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Virchows Archiv</w:t>
      </w:r>
      <w:r>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w:t>
      </w:r>
      <w:r w:rsidR="00BE3B6C" w:rsidRPr="00D35782">
        <w:rPr>
          <w:rFonts w:ascii="Times New Roman" w:hAnsi="Times New Roman" w:cs="Times New Roman"/>
          <w:b/>
          <w:noProof/>
          <w:sz w:val="24"/>
          <w:szCs w:val="24"/>
        </w:rPr>
        <w:t>448</w:t>
      </w:r>
      <w:r>
        <w:rPr>
          <w:rFonts w:ascii="Times New Roman" w:hAnsi="Times New Roman" w:cs="Times New Roman"/>
          <w:noProof/>
          <w:sz w:val="24"/>
          <w:szCs w:val="24"/>
        </w:rPr>
        <w:t xml:space="preserve">(6), </w:t>
      </w:r>
      <w:r w:rsidR="00BE3B6C" w:rsidRPr="00BE3B6C">
        <w:rPr>
          <w:rFonts w:ascii="Times New Roman" w:hAnsi="Times New Roman" w:cs="Times New Roman"/>
          <w:noProof/>
          <w:sz w:val="24"/>
          <w:szCs w:val="24"/>
        </w:rPr>
        <w:t xml:space="preserve">739–743. </w:t>
      </w:r>
    </w:p>
    <w:p w14:paraId="2F0F5126" w14:textId="6DD78024" w:rsidR="00BE3B6C" w:rsidRPr="00BE3B6C" w:rsidRDefault="00637E3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v</w:t>
      </w:r>
      <w:r w:rsidR="00BE3B6C" w:rsidRPr="00BE3B6C">
        <w:rPr>
          <w:rFonts w:ascii="Times New Roman" w:hAnsi="Times New Roman" w:cs="Times New Roman"/>
          <w:noProof/>
          <w:sz w:val="24"/>
          <w:szCs w:val="24"/>
        </w:rPr>
        <w:t xml:space="preserve">an de Camp, K. </w:t>
      </w:r>
      <w:r w:rsidR="00BE3B6C" w:rsidRPr="00BE3B6C">
        <w:rPr>
          <w:rFonts w:ascii="Times New Roman" w:hAnsi="Times New Roman" w:cs="Times New Roman"/>
          <w:i/>
          <w:iCs/>
          <w:noProof/>
          <w:sz w:val="24"/>
          <w:szCs w:val="24"/>
        </w:rPr>
        <w:t>et al.</w:t>
      </w:r>
      <w:r w:rsidR="00D35782">
        <w:rPr>
          <w:rFonts w:ascii="Times New Roman" w:hAnsi="Times New Roman" w:cs="Times New Roman"/>
          <w:noProof/>
          <w:sz w:val="24"/>
          <w:szCs w:val="24"/>
        </w:rPr>
        <w:t xml:space="preserve"> (2004). </w:t>
      </w:r>
      <w:r w:rsidR="00BE3B6C" w:rsidRPr="00BE3B6C">
        <w:rPr>
          <w:rFonts w:ascii="Times New Roman" w:hAnsi="Times New Roman" w:cs="Times New Roman"/>
          <w:noProof/>
          <w:sz w:val="24"/>
          <w:szCs w:val="24"/>
        </w:rPr>
        <w:t>How to conceptualize profess</w:t>
      </w:r>
      <w:r w:rsidR="00D35782">
        <w:rPr>
          <w:rFonts w:ascii="Times New Roman" w:hAnsi="Times New Roman" w:cs="Times New Roman"/>
          <w:noProof/>
          <w:sz w:val="24"/>
          <w:szCs w:val="24"/>
        </w:rPr>
        <w:t xml:space="preserve">ionalism: A qualitative study. </w:t>
      </w:r>
      <w:r w:rsidR="00BE3B6C" w:rsidRPr="00BE3B6C">
        <w:rPr>
          <w:rFonts w:ascii="Times New Roman" w:hAnsi="Times New Roman" w:cs="Times New Roman"/>
          <w:i/>
          <w:iCs/>
          <w:noProof/>
          <w:sz w:val="24"/>
          <w:szCs w:val="24"/>
        </w:rPr>
        <w:t>Medical Teacher</w:t>
      </w:r>
      <w:r w:rsidR="00D35782">
        <w:rPr>
          <w:rFonts w:ascii="Times New Roman" w:hAnsi="Times New Roman" w:cs="Times New Roman"/>
          <w:noProof/>
          <w:sz w:val="24"/>
          <w:szCs w:val="24"/>
        </w:rPr>
        <w:t xml:space="preserve">. </w:t>
      </w:r>
      <w:r w:rsidR="00D35782" w:rsidRPr="00D35782">
        <w:rPr>
          <w:rFonts w:ascii="Times New Roman" w:hAnsi="Times New Roman" w:cs="Times New Roman"/>
          <w:b/>
          <w:noProof/>
          <w:sz w:val="24"/>
          <w:szCs w:val="24"/>
        </w:rPr>
        <w:t>26</w:t>
      </w:r>
      <w:r w:rsidR="00D35782">
        <w:rPr>
          <w:rFonts w:ascii="Times New Roman" w:hAnsi="Times New Roman" w:cs="Times New Roman"/>
          <w:noProof/>
          <w:sz w:val="24"/>
          <w:szCs w:val="24"/>
        </w:rPr>
        <w:t xml:space="preserve">(8), 696–702. </w:t>
      </w:r>
    </w:p>
    <w:p w14:paraId="79A8EFCD" w14:textId="5B72F7C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Carif</w:t>
      </w:r>
      <w:r w:rsidR="00820566">
        <w:rPr>
          <w:rFonts w:ascii="Times New Roman" w:hAnsi="Times New Roman" w:cs="Times New Roman"/>
          <w:noProof/>
          <w:sz w:val="24"/>
          <w:szCs w:val="24"/>
        </w:rPr>
        <w:t xml:space="preserve">io, J. and Perla, R. J. (2007). </w:t>
      </w:r>
      <w:r w:rsidRPr="00BE3B6C">
        <w:rPr>
          <w:rFonts w:ascii="Times New Roman" w:hAnsi="Times New Roman" w:cs="Times New Roman"/>
          <w:noProof/>
          <w:sz w:val="24"/>
          <w:szCs w:val="24"/>
        </w:rPr>
        <w:t>Ten Common Misunderstandings, Misconceptions, Persistent Myths and Urban Legends about Likert Scales and Likert Respons</w:t>
      </w:r>
      <w:r w:rsidR="00820566">
        <w:rPr>
          <w:rFonts w:ascii="Times New Roman" w:hAnsi="Times New Roman" w:cs="Times New Roman"/>
          <w:noProof/>
          <w:sz w:val="24"/>
          <w:szCs w:val="24"/>
        </w:rPr>
        <w:t xml:space="preserve">e Formats and their Antidotes. </w:t>
      </w:r>
      <w:r w:rsidRPr="00BE3B6C">
        <w:rPr>
          <w:rFonts w:ascii="Times New Roman" w:hAnsi="Times New Roman" w:cs="Times New Roman"/>
          <w:i/>
          <w:iCs/>
          <w:noProof/>
          <w:sz w:val="24"/>
          <w:szCs w:val="24"/>
        </w:rPr>
        <w:t>Journal of Social Sciences</w:t>
      </w:r>
      <w:r w:rsidR="00820566">
        <w:rPr>
          <w:rFonts w:ascii="Times New Roman" w:hAnsi="Times New Roman" w:cs="Times New Roman"/>
          <w:noProof/>
          <w:sz w:val="24"/>
          <w:szCs w:val="24"/>
        </w:rPr>
        <w:t xml:space="preserve">. </w:t>
      </w:r>
      <w:r w:rsidR="00820566" w:rsidRPr="00820566">
        <w:rPr>
          <w:rFonts w:ascii="Times New Roman" w:hAnsi="Times New Roman" w:cs="Times New Roman"/>
          <w:b/>
          <w:noProof/>
          <w:sz w:val="24"/>
          <w:szCs w:val="24"/>
        </w:rPr>
        <w:t>3</w:t>
      </w:r>
      <w:r w:rsidR="00820566">
        <w:rPr>
          <w:rFonts w:ascii="Times New Roman" w:hAnsi="Times New Roman" w:cs="Times New Roman"/>
          <w:noProof/>
          <w:sz w:val="24"/>
          <w:szCs w:val="24"/>
        </w:rPr>
        <w:t xml:space="preserve">(3), 106–116. </w:t>
      </w:r>
    </w:p>
    <w:p w14:paraId="610472DF" w14:textId="7DCC11ED" w:rsidR="00BE3B6C" w:rsidRDefault="00820566"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Carr, S. J. (2004). </w:t>
      </w:r>
      <w:r w:rsidR="00BE3B6C" w:rsidRPr="00BE3B6C">
        <w:rPr>
          <w:rFonts w:ascii="Times New Roman" w:hAnsi="Times New Roman" w:cs="Times New Roman"/>
          <w:noProof/>
          <w:sz w:val="24"/>
          <w:szCs w:val="24"/>
        </w:rPr>
        <w:t>Assessing clinical competency in medical senior house officers:</w:t>
      </w:r>
      <w:r>
        <w:rPr>
          <w:rFonts w:ascii="Times New Roman" w:hAnsi="Times New Roman" w:cs="Times New Roman"/>
          <w:noProof/>
          <w:sz w:val="24"/>
          <w:szCs w:val="24"/>
        </w:rPr>
        <w:t xml:space="preserve"> Now and why should we do it? </w:t>
      </w:r>
      <w:r w:rsidR="00BE3B6C" w:rsidRPr="00BE3B6C">
        <w:rPr>
          <w:rFonts w:ascii="Times New Roman" w:hAnsi="Times New Roman" w:cs="Times New Roman"/>
          <w:i/>
          <w:iCs/>
          <w:noProof/>
          <w:sz w:val="24"/>
          <w:szCs w:val="24"/>
        </w:rPr>
        <w:t>Postgraduate Medical Journal</w:t>
      </w:r>
      <w:r>
        <w:rPr>
          <w:rFonts w:ascii="Times New Roman" w:hAnsi="Times New Roman" w:cs="Times New Roman"/>
          <w:noProof/>
          <w:sz w:val="24"/>
          <w:szCs w:val="24"/>
        </w:rPr>
        <w:t xml:space="preserve">. </w:t>
      </w:r>
      <w:r w:rsidRPr="00820566">
        <w:rPr>
          <w:rFonts w:ascii="Times New Roman" w:hAnsi="Times New Roman" w:cs="Times New Roman"/>
          <w:b/>
          <w:noProof/>
          <w:sz w:val="24"/>
          <w:szCs w:val="24"/>
        </w:rPr>
        <w:t>80</w:t>
      </w:r>
      <w:r>
        <w:rPr>
          <w:rFonts w:ascii="Times New Roman" w:hAnsi="Times New Roman" w:cs="Times New Roman"/>
          <w:noProof/>
          <w:sz w:val="24"/>
          <w:szCs w:val="24"/>
        </w:rPr>
        <w:t xml:space="preserve">(940), 63–66. </w:t>
      </w:r>
    </w:p>
    <w:p w14:paraId="18D8AE3B" w14:textId="27D84231" w:rsidR="00820566" w:rsidRDefault="00820566"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Carracc</w:t>
      </w:r>
      <w:r>
        <w:rPr>
          <w:rFonts w:ascii="Times New Roman" w:hAnsi="Times New Roman" w:cs="Times New Roman"/>
          <w:noProof/>
          <w:sz w:val="24"/>
          <w:szCs w:val="24"/>
        </w:rPr>
        <w:t xml:space="preserve">io, C. and Burke, A. E. (2010). </w:t>
      </w:r>
      <w:r w:rsidRPr="00BE3B6C">
        <w:rPr>
          <w:rFonts w:ascii="Times New Roman" w:hAnsi="Times New Roman" w:cs="Times New Roman"/>
          <w:noProof/>
          <w:sz w:val="24"/>
          <w:szCs w:val="24"/>
        </w:rPr>
        <w:t>Beyond Competencies and Milestones:</w:t>
      </w:r>
      <w:r>
        <w:rPr>
          <w:rFonts w:ascii="Times New Roman" w:hAnsi="Times New Roman" w:cs="Times New Roman"/>
          <w:noProof/>
          <w:sz w:val="24"/>
          <w:szCs w:val="24"/>
        </w:rPr>
        <w:t xml:space="preserve"> Adding Meaning Through Context. </w:t>
      </w:r>
      <w:r w:rsidRPr="00BE3B6C">
        <w:rPr>
          <w:rFonts w:ascii="Times New Roman" w:hAnsi="Times New Roman" w:cs="Times New Roman"/>
          <w:i/>
          <w:iCs/>
          <w:noProof/>
          <w:sz w:val="24"/>
          <w:szCs w:val="24"/>
        </w:rPr>
        <w:t>Journal of Graduate Medical Education</w:t>
      </w:r>
      <w:r>
        <w:rPr>
          <w:rFonts w:ascii="Times New Roman" w:hAnsi="Times New Roman" w:cs="Times New Roman"/>
          <w:noProof/>
          <w:sz w:val="24"/>
          <w:szCs w:val="24"/>
        </w:rPr>
        <w:t xml:space="preserve">. </w:t>
      </w:r>
      <w:r w:rsidRPr="00820566">
        <w:rPr>
          <w:rFonts w:ascii="Times New Roman" w:hAnsi="Times New Roman" w:cs="Times New Roman"/>
          <w:b/>
          <w:noProof/>
          <w:sz w:val="24"/>
          <w:szCs w:val="24"/>
        </w:rPr>
        <w:t>2</w:t>
      </w:r>
      <w:r>
        <w:rPr>
          <w:rFonts w:ascii="Times New Roman" w:hAnsi="Times New Roman" w:cs="Times New Roman"/>
          <w:noProof/>
          <w:sz w:val="24"/>
          <w:szCs w:val="24"/>
        </w:rPr>
        <w:t xml:space="preserve">(3), </w:t>
      </w:r>
      <w:r w:rsidRPr="00BE3B6C">
        <w:rPr>
          <w:rFonts w:ascii="Times New Roman" w:hAnsi="Times New Roman" w:cs="Times New Roman"/>
          <w:noProof/>
          <w:sz w:val="24"/>
          <w:szCs w:val="24"/>
        </w:rPr>
        <w:t>419–422.</w:t>
      </w:r>
      <w:r>
        <w:rPr>
          <w:rFonts w:ascii="Times New Roman" w:hAnsi="Times New Roman" w:cs="Times New Roman"/>
          <w:noProof/>
          <w:sz w:val="24"/>
          <w:szCs w:val="24"/>
        </w:rPr>
        <w:t xml:space="preserve"> </w:t>
      </w:r>
    </w:p>
    <w:p w14:paraId="02B7C855" w14:textId="20C43808"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Carraccio, C. </w:t>
      </w:r>
      <w:r w:rsidRPr="00BE3B6C">
        <w:rPr>
          <w:rFonts w:ascii="Times New Roman" w:hAnsi="Times New Roman" w:cs="Times New Roman"/>
          <w:i/>
          <w:iCs/>
          <w:noProof/>
          <w:sz w:val="24"/>
          <w:szCs w:val="24"/>
        </w:rPr>
        <w:t>et al.</w:t>
      </w:r>
      <w:r w:rsidR="00820566">
        <w:rPr>
          <w:rFonts w:ascii="Times New Roman" w:hAnsi="Times New Roman" w:cs="Times New Roman"/>
          <w:noProof/>
          <w:sz w:val="24"/>
          <w:szCs w:val="24"/>
        </w:rPr>
        <w:t xml:space="preserve"> (2002). </w:t>
      </w:r>
      <w:r w:rsidRPr="00BE3B6C">
        <w:rPr>
          <w:rFonts w:ascii="Times New Roman" w:hAnsi="Times New Roman" w:cs="Times New Roman"/>
          <w:noProof/>
          <w:sz w:val="24"/>
          <w:szCs w:val="24"/>
        </w:rPr>
        <w:t>Shifting paradigms</w:t>
      </w:r>
      <w:r w:rsidR="00820566">
        <w:rPr>
          <w:rFonts w:ascii="Times New Roman" w:hAnsi="Times New Roman" w:cs="Times New Roman"/>
          <w:noProof/>
          <w:sz w:val="24"/>
          <w:szCs w:val="24"/>
        </w:rPr>
        <w:t>: From flexner to competencies.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Academic Medicine</w:t>
      </w:r>
      <w:r w:rsidR="00820566">
        <w:rPr>
          <w:rFonts w:ascii="Times New Roman" w:hAnsi="Times New Roman" w:cs="Times New Roman"/>
          <w:noProof/>
          <w:sz w:val="24"/>
          <w:szCs w:val="24"/>
        </w:rPr>
        <w:t xml:space="preserve">. </w:t>
      </w:r>
      <w:r w:rsidR="00820566" w:rsidRPr="00820566">
        <w:rPr>
          <w:rFonts w:ascii="Times New Roman" w:hAnsi="Times New Roman" w:cs="Times New Roman"/>
          <w:b/>
          <w:noProof/>
          <w:sz w:val="24"/>
          <w:szCs w:val="24"/>
        </w:rPr>
        <w:t>77</w:t>
      </w:r>
      <w:r w:rsidR="00820566">
        <w:rPr>
          <w:rFonts w:ascii="Times New Roman" w:hAnsi="Times New Roman" w:cs="Times New Roman"/>
          <w:noProof/>
          <w:sz w:val="24"/>
          <w:szCs w:val="24"/>
        </w:rPr>
        <w:t xml:space="preserve">(5), 361–367. </w:t>
      </w:r>
    </w:p>
    <w:p w14:paraId="404E6ADE" w14:textId="1B4E47D1" w:rsidR="00BE3B6C" w:rsidRPr="00BE3B6C" w:rsidRDefault="00820566"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Carter, R. (1985). </w:t>
      </w:r>
      <w:r w:rsidR="00BE3B6C" w:rsidRPr="00BE3B6C">
        <w:rPr>
          <w:rFonts w:ascii="Times New Roman" w:hAnsi="Times New Roman" w:cs="Times New Roman"/>
          <w:noProof/>
          <w:sz w:val="24"/>
          <w:szCs w:val="24"/>
        </w:rPr>
        <w:t xml:space="preserve">A taxonomy of objectives for </w:t>
      </w:r>
      <w:r>
        <w:rPr>
          <w:rFonts w:ascii="Times New Roman" w:hAnsi="Times New Roman" w:cs="Times New Roman"/>
          <w:noProof/>
          <w:sz w:val="24"/>
          <w:szCs w:val="24"/>
        </w:rPr>
        <w:t xml:space="preserve">professional education. </w:t>
      </w:r>
      <w:r w:rsidR="00BE3B6C" w:rsidRPr="00BE3B6C">
        <w:rPr>
          <w:rFonts w:ascii="Times New Roman" w:hAnsi="Times New Roman" w:cs="Times New Roman"/>
          <w:i/>
          <w:iCs/>
          <w:noProof/>
          <w:sz w:val="24"/>
          <w:szCs w:val="24"/>
        </w:rPr>
        <w:t>Studies in Higher Education</w:t>
      </w:r>
      <w:r>
        <w:rPr>
          <w:rFonts w:ascii="Times New Roman" w:hAnsi="Times New Roman" w:cs="Times New Roman"/>
          <w:noProof/>
          <w:sz w:val="24"/>
          <w:szCs w:val="24"/>
        </w:rPr>
        <w:t xml:space="preserve">. </w:t>
      </w:r>
      <w:r w:rsidRPr="00820566">
        <w:rPr>
          <w:rFonts w:ascii="Times New Roman" w:hAnsi="Times New Roman" w:cs="Times New Roman"/>
          <w:b/>
          <w:noProof/>
          <w:sz w:val="24"/>
          <w:szCs w:val="24"/>
        </w:rPr>
        <w:t>10</w:t>
      </w:r>
      <w:r>
        <w:rPr>
          <w:rFonts w:ascii="Times New Roman" w:hAnsi="Times New Roman" w:cs="Times New Roman"/>
          <w:noProof/>
          <w:sz w:val="24"/>
          <w:szCs w:val="24"/>
        </w:rPr>
        <w:t xml:space="preserve">(2), 135–149. </w:t>
      </w:r>
    </w:p>
    <w:p w14:paraId="1B6691CE" w14:textId="1BC3D469" w:rsidR="00BE3B6C" w:rsidRDefault="00820566"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Cash, K. (1995). </w:t>
      </w:r>
      <w:r w:rsidR="00BE3B6C" w:rsidRPr="00BE3B6C">
        <w:rPr>
          <w:rFonts w:ascii="Times New Roman" w:hAnsi="Times New Roman" w:cs="Times New Roman"/>
          <w:noProof/>
          <w:sz w:val="24"/>
          <w:szCs w:val="24"/>
        </w:rPr>
        <w:t>Benner and exp</w:t>
      </w:r>
      <w:r>
        <w:rPr>
          <w:rFonts w:ascii="Times New Roman" w:hAnsi="Times New Roman" w:cs="Times New Roman"/>
          <w:noProof/>
          <w:sz w:val="24"/>
          <w:szCs w:val="24"/>
        </w:rPr>
        <w:t xml:space="preserve">ertise in nursing: a critique. </w:t>
      </w:r>
      <w:r w:rsidR="00BE3B6C" w:rsidRPr="00BE3B6C">
        <w:rPr>
          <w:rFonts w:ascii="Times New Roman" w:hAnsi="Times New Roman" w:cs="Times New Roman"/>
          <w:i/>
          <w:iCs/>
          <w:noProof/>
          <w:sz w:val="24"/>
          <w:szCs w:val="24"/>
        </w:rPr>
        <w:t>International Journal of Nursing Studies</w:t>
      </w:r>
      <w:r>
        <w:rPr>
          <w:rFonts w:ascii="Times New Roman" w:hAnsi="Times New Roman" w:cs="Times New Roman"/>
          <w:noProof/>
          <w:sz w:val="24"/>
          <w:szCs w:val="24"/>
        </w:rPr>
        <w:t xml:space="preserve">. </w:t>
      </w:r>
      <w:r w:rsidRPr="00820566">
        <w:rPr>
          <w:rFonts w:ascii="Times New Roman" w:hAnsi="Times New Roman" w:cs="Times New Roman"/>
          <w:b/>
          <w:noProof/>
          <w:sz w:val="24"/>
          <w:szCs w:val="24"/>
        </w:rPr>
        <w:t>32</w:t>
      </w:r>
      <w:r>
        <w:rPr>
          <w:rFonts w:ascii="Times New Roman" w:hAnsi="Times New Roman" w:cs="Times New Roman"/>
          <w:noProof/>
          <w:sz w:val="24"/>
          <w:szCs w:val="24"/>
        </w:rPr>
        <w:t>(6), 527–534.</w:t>
      </w:r>
    </w:p>
    <w:p w14:paraId="6489AB5A" w14:textId="77777777" w:rsidR="007B031A" w:rsidRPr="00BE3B6C" w:rsidRDefault="007B031A" w:rsidP="007B031A">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ten Cate, O. (2005). </w:t>
      </w:r>
      <w:r w:rsidRPr="00BE3B6C">
        <w:rPr>
          <w:rFonts w:ascii="Times New Roman" w:hAnsi="Times New Roman" w:cs="Times New Roman"/>
          <w:noProof/>
          <w:sz w:val="24"/>
          <w:szCs w:val="24"/>
        </w:rPr>
        <w:t xml:space="preserve">Entrustability of professional activities </w:t>
      </w:r>
      <w:r>
        <w:rPr>
          <w:rFonts w:ascii="Times New Roman" w:hAnsi="Times New Roman" w:cs="Times New Roman"/>
          <w:noProof/>
          <w:sz w:val="24"/>
          <w:szCs w:val="24"/>
        </w:rPr>
        <w:t xml:space="preserve">and competency-based training. </w:t>
      </w:r>
      <w:r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682A79">
        <w:rPr>
          <w:rFonts w:ascii="Times New Roman" w:hAnsi="Times New Roman" w:cs="Times New Roman"/>
          <w:b/>
          <w:noProof/>
          <w:sz w:val="24"/>
          <w:szCs w:val="24"/>
        </w:rPr>
        <w:t>39</w:t>
      </w:r>
      <w:r>
        <w:rPr>
          <w:rFonts w:ascii="Times New Roman" w:hAnsi="Times New Roman" w:cs="Times New Roman"/>
          <w:noProof/>
          <w:sz w:val="24"/>
          <w:szCs w:val="24"/>
        </w:rPr>
        <w:t xml:space="preserve">(12), </w:t>
      </w:r>
      <w:r w:rsidRPr="00BE3B6C">
        <w:rPr>
          <w:rFonts w:ascii="Times New Roman" w:hAnsi="Times New Roman" w:cs="Times New Roman"/>
          <w:noProof/>
          <w:sz w:val="24"/>
          <w:szCs w:val="24"/>
        </w:rPr>
        <w:t xml:space="preserve">1176–1177. </w:t>
      </w:r>
    </w:p>
    <w:p w14:paraId="107F9B4D" w14:textId="77777777" w:rsidR="007B031A" w:rsidRDefault="007B031A" w:rsidP="007B031A">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ten Cate, O. (2013). </w:t>
      </w:r>
      <w:r w:rsidRPr="00BE3B6C">
        <w:rPr>
          <w:rFonts w:ascii="Times New Roman" w:hAnsi="Times New Roman" w:cs="Times New Roman"/>
          <w:noProof/>
          <w:sz w:val="24"/>
          <w:szCs w:val="24"/>
        </w:rPr>
        <w:t>Nuts and Bolts of Entrus</w:t>
      </w:r>
      <w:r>
        <w:rPr>
          <w:rFonts w:ascii="Times New Roman" w:hAnsi="Times New Roman" w:cs="Times New Roman"/>
          <w:noProof/>
          <w:sz w:val="24"/>
          <w:szCs w:val="24"/>
        </w:rPr>
        <w:t>table Professional Activitites.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Journal of Graduate Medical Education</w:t>
      </w:r>
      <w:r>
        <w:rPr>
          <w:rFonts w:ascii="Times New Roman" w:hAnsi="Times New Roman" w:cs="Times New Roman"/>
          <w:noProof/>
          <w:sz w:val="24"/>
          <w:szCs w:val="24"/>
        </w:rPr>
        <w:t xml:space="preserve">, </w:t>
      </w:r>
      <w:r w:rsidRPr="00A92DD3">
        <w:rPr>
          <w:rFonts w:ascii="Times New Roman" w:hAnsi="Times New Roman" w:cs="Times New Roman"/>
          <w:b/>
          <w:noProof/>
          <w:sz w:val="24"/>
          <w:szCs w:val="24"/>
        </w:rPr>
        <w:t>5</w:t>
      </w:r>
      <w:r>
        <w:rPr>
          <w:rFonts w:ascii="Times New Roman" w:hAnsi="Times New Roman" w:cs="Times New Roman"/>
          <w:noProof/>
          <w:sz w:val="24"/>
          <w:szCs w:val="24"/>
        </w:rPr>
        <w:t>(1), 1</w:t>
      </w:r>
      <w:r w:rsidRPr="00BE3B6C">
        <w:rPr>
          <w:rFonts w:ascii="Times New Roman" w:hAnsi="Times New Roman" w:cs="Times New Roman"/>
          <w:noProof/>
          <w:sz w:val="24"/>
          <w:szCs w:val="24"/>
        </w:rPr>
        <w:t>57–</w:t>
      </w:r>
      <w:r>
        <w:rPr>
          <w:rFonts w:ascii="Times New Roman" w:hAnsi="Times New Roman" w:cs="Times New Roman"/>
          <w:noProof/>
          <w:sz w:val="24"/>
          <w:szCs w:val="24"/>
        </w:rPr>
        <w:t>15</w:t>
      </w:r>
      <w:r w:rsidRPr="00BE3B6C">
        <w:rPr>
          <w:rFonts w:ascii="Times New Roman" w:hAnsi="Times New Roman" w:cs="Times New Roman"/>
          <w:noProof/>
          <w:sz w:val="24"/>
          <w:szCs w:val="24"/>
        </w:rPr>
        <w:t xml:space="preserve">8. </w:t>
      </w:r>
    </w:p>
    <w:p w14:paraId="0A759944" w14:textId="77777777" w:rsidR="007B031A" w:rsidRDefault="007B031A" w:rsidP="007B031A">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ten Cate, O and Billett, S. (2014). </w:t>
      </w:r>
      <w:r w:rsidRPr="00BE3B6C">
        <w:rPr>
          <w:rFonts w:ascii="Times New Roman" w:hAnsi="Times New Roman" w:cs="Times New Roman"/>
          <w:noProof/>
          <w:sz w:val="24"/>
          <w:szCs w:val="24"/>
        </w:rPr>
        <w:t>Competency-based medical education: Origins, pe</w:t>
      </w:r>
      <w:r>
        <w:rPr>
          <w:rFonts w:ascii="Times New Roman" w:hAnsi="Times New Roman" w:cs="Times New Roman"/>
          <w:noProof/>
          <w:sz w:val="24"/>
          <w:szCs w:val="24"/>
        </w:rPr>
        <w:t xml:space="preserve">rspectives and potentialities. </w:t>
      </w:r>
      <w:r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682A79">
        <w:rPr>
          <w:rFonts w:ascii="Times New Roman" w:hAnsi="Times New Roman" w:cs="Times New Roman"/>
          <w:b/>
          <w:noProof/>
          <w:sz w:val="24"/>
          <w:szCs w:val="24"/>
        </w:rPr>
        <w:t>48</w:t>
      </w:r>
      <w:r>
        <w:rPr>
          <w:rFonts w:ascii="Times New Roman" w:hAnsi="Times New Roman" w:cs="Times New Roman"/>
          <w:noProof/>
          <w:sz w:val="24"/>
          <w:szCs w:val="24"/>
        </w:rPr>
        <w:t xml:space="preserve">(3), 325–332. </w:t>
      </w:r>
    </w:p>
    <w:p w14:paraId="5C857355" w14:textId="77777777" w:rsidR="007B031A" w:rsidRPr="00BE3B6C" w:rsidRDefault="007B031A" w:rsidP="007B031A">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t</w:t>
      </w:r>
      <w:r w:rsidRPr="00BE3B6C">
        <w:rPr>
          <w:rFonts w:ascii="Times New Roman" w:hAnsi="Times New Roman" w:cs="Times New Roman"/>
          <w:noProof/>
          <w:sz w:val="24"/>
          <w:szCs w:val="24"/>
        </w:rPr>
        <w:t>en Cate, O., Snel</w:t>
      </w:r>
      <w:r>
        <w:rPr>
          <w:rFonts w:ascii="Times New Roman" w:hAnsi="Times New Roman" w:cs="Times New Roman"/>
          <w:noProof/>
          <w:sz w:val="24"/>
          <w:szCs w:val="24"/>
        </w:rPr>
        <w:t xml:space="preserve">l, L. and Carraccio, C. (2010). </w:t>
      </w:r>
      <w:r w:rsidRPr="00BE3B6C">
        <w:rPr>
          <w:rFonts w:ascii="Times New Roman" w:hAnsi="Times New Roman" w:cs="Times New Roman"/>
          <w:noProof/>
          <w:sz w:val="24"/>
          <w:szCs w:val="24"/>
        </w:rPr>
        <w:t>Medical competence: the interplay between individual ability and</w:t>
      </w:r>
      <w:r>
        <w:rPr>
          <w:rFonts w:ascii="Times New Roman" w:hAnsi="Times New Roman" w:cs="Times New Roman"/>
          <w:noProof/>
          <w:sz w:val="24"/>
          <w:szCs w:val="24"/>
        </w:rPr>
        <w:t xml:space="preserve"> the health care environment. </w:t>
      </w:r>
      <w:r>
        <w:rPr>
          <w:rFonts w:ascii="Times New Roman" w:hAnsi="Times New Roman" w:cs="Times New Roman"/>
          <w:i/>
          <w:iCs/>
          <w:noProof/>
          <w:sz w:val="24"/>
          <w:szCs w:val="24"/>
        </w:rPr>
        <w:t>Medical T</w:t>
      </w:r>
      <w:r w:rsidRPr="00BE3B6C">
        <w:rPr>
          <w:rFonts w:ascii="Times New Roman" w:hAnsi="Times New Roman" w:cs="Times New Roman"/>
          <w:i/>
          <w:iCs/>
          <w:noProof/>
          <w:sz w:val="24"/>
          <w:szCs w:val="24"/>
        </w:rPr>
        <w:t>eacher</w:t>
      </w:r>
      <w:r>
        <w:rPr>
          <w:rFonts w:ascii="Times New Roman" w:hAnsi="Times New Roman" w:cs="Times New Roman"/>
          <w:noProof/>
          <w:sz w:val="24"/>
          <w:szCs w:val="24"/>
        </w:rPr>
        <w:t xml:space="preserve">. </w:t>
      </w:r>
      <w:r w:rsidRPr="000D294F">
        <w:rPr>
          <w:rFonts w:ascii="Times New Roman" w:hAnsi="Times New Roman" w:cs="Times New Roman"/>
          <w:b/>
          <w:noProof/>
          <w:sz w:val="24"/>
          <w:szCs w:val="24"/>
        </w:rPr>
        <w:t>32</w:t>
      </w:r>
      <w:r>
        <w:rPr>
          <w:rFonts w:ascii="Times New Roman" w:hAnsi="Times New Roman" w:cs="Times New Roman"/>
          <w:noProof/>
          <w:sz w:val="24"/>
          <w:szCs w:val="24"/>
        </w:rPr>
        <w:t xml:space="preserve">(8), 669–675. </w:t>
      </w:r>
    </w:p>
    <w:p w14:paraId="06A67579" w14:textId="77777777" w:rsidR="007B031A" w:rsidRPr="00BE3B6C" w:rsidRDefault="007B031A" w:rsidP="007B031A">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t</w:t>
      </w:r>
      <w:r w:rsidRPr="00BE3B6C">
        <w:rPr>
          <w:rFonts w:ascii="Times New Roman" w:hAnsi="Times New Roman" w:cs="Times New Roman"/>
          <w:noProof/>
          <w:sz w:val="24"/>
          <w:szCs w:val="24"/>
        </w:rPr>
        <w:t>en Cate, O., Kusurk</w:t>
      </w:r>
      <w:r>
        <w:rPr>
          <w:rFonts w:ascii="Times New Roman" w:hAnsi="Times New Roman" w:cs="Times New Roman"/>
          <w:noProof/>
          <w:sz w:val="24"/>
          <w:szCs w:val="24"/>
        </w:rPr>
        <w:t xml:space="preserve">ar, R. and Williams, G. (2011). </w:t>
      </w:r>
      <w:r w:rsidRPr="00BE3B6C">
        <w:rPr>
          <w:rFonts w:ascii="Times New Roman" w:hAnsi="Times New Roman" w:cs="Times New Roman"/>
          <w:noProof/>
          <w:sz w:val="24"/>
          <w:szCs w:val="24"/>
        </w:rPr>
        <w:t xml:space="preserve">How self-determination theory can assist our understanding of the teaching and learning processes in medical education. </w:t>
      </w:r>
      <w:r>
        <w:rPr>
          <w:rFonts w:ascii="Times New Roman" w:hAnsi="Times New Roman" w:cs="Times New Roman"/>
          <w:noProof/>
          <w:sz w:val="24"/>
          <w:szCs w:val="24"/>
        </w:rPr>
        <w:t>AMEE guide No. 59.</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Medical Teacher</w:t>
      </w:r>
      <w:r>
        <w:rPr>
          <w:rFonts w:ascii="Times New Roman" w:hAnsi="Times New Roman" w:cs="Times New Roman"/>
          <w:noProof/>
          <w:sz w:val="24"/>
          <w:szCs w:val="24"/>
        </w:rPr>
        <w:t xml:space="preserve">. </w:t>
      </w:r>
      <w:r w:rsidRPr="00682A79">
        <w:rPr>
          <w:rFonts w:ascii="Times New Roman" w:hAnsi="Times New Roman" w:cs="Times New Roman"/>
          <w:b/>
          <w:noProof/>
          <w:sz w:val="24"/>
          <w:szCs w:val="24"/>
        </w:rPr>
        <w:t>33</w:t>
      </w:r>
      <w:r>
        <w:rPr>
          <w:rFonts w:ascii="Times New Roman" w:hAnsi="Times New Roman" w:cs="Times New Roman"/>
          <w:noProof/>
          <w:sz w:val="24"/>
          <w:szCs w:val="24"/>
        </w:rPr>
        <w:t>(12), 961–973.</w:t>
      </w:r>
    </w:p>
    <w:p w14:paraId="42B87532" w14:textId="03DC54FE" w:rsidR="007B031A" w:rsidRPr="00BE3B6C" w:rsidRDefault="007B031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ten Cate, O. </w:t>
      </w:r>
      <w:r w:rsidRPr="00820566">
        <w:rPr>
          <w:rFonts w:ascii="Times New Roman" w:hAnsi="Times New Roman" w:cs="Times New Roman"/>
          <w:i/>
          <w:noProof/>
          <w:sz w:val="24"/>
          <w:szCs w:val="24"/>
        </w:rPr>
        <w:t>et al</w:t>
      </w:r>
      <w:r>
        <w:rPr>
          <w:rFonts w:ascii="Times New Roman" w:hAnsi="Times New Roman" w:cs="Times New Roman"/>
          <w:noProof/>
          <w:sz w:val="24"/>
          <w:szCs w:val="24"/>
        </w:rPr>
        <w:t xml:space="preserve"> (2015). </w:t>
      </w:r>
      <w:r w:rsidRPr="00BE3B6C">
        <w:rPr>
          <w:rFonts w:ascii="Times New Roman" w:hAnsi="Times New Roman" w:cs="Times New Roman"/>
          <w:noProof/>
          <w:sz w:val="24"/>
          <w:szCs w:val="24"/>
        </w:rPr>
        <w:t>Curriculum development for the workplace using Entrustable Professional Activiti</w:t>
      </w:r>
      <w:r>
        <w:rPr>
          <w:rFonts w:ascii="Times New Roman" w:hAnsi="Times New Roman" w:cs="Times New Roman"/>
          <w:noProof/>
          <w:sz w:val="24"/>
          <w:szCs w:val="24"/>
        </w:rPr>
        <w:t xml:space="preserve">es (EPAs): AMEE Guide No. 99. </w:t>
      </w:r>
      <w:r w:rsidRPr="00BE3B6C">
        <w:rPr>
          <w:rFonts w:ascii="Times New Roman" w:hAnsi="Times New Roman" w:cs="Times New Roman"/>
          <w:i/>
          <w:iCs/>
          <w:noProof/>
          <w:sz w:val="24"/>
          <w:szCs w:val="24"/>
        </w:rPr>
        <w:t>Med</w:t>
      </w:r>
      <w:r>
        <w:rPr>
          <w:rFonts w:ascii="Times New Roman" w:hAnsi="Times New Roman" w:cs="Times New Roman"/>
          <w:i/>
          <w:iCs/>
          <w:noProof/>
          <w:sz w:val="24"/>
          <w:szCs w:val="24"/>
        </w:rPr>
        <w:t>ical</w:t>
      </w:r>
      <w:r w:rsidRPr="00BE3B6C">
        <w:rPr>
          <w:rFonts w:ascii="Times New Roman" w:hAnsi="Times New Roman" w:cs="Times New Roman"/>
          <w:i/>
          <w:iCs/>
          <w:noProof/>
          <w:sz w:val="24"/>
          <w:szCs w:val="24"/>
        </w:rPr>
        <w:t xml:space="preserve"> Teach</w:t>
      </w:r>
      <w:r>
        <w:rPr>
          <w:rFonts w:ascii="Times New Roman" w:hAnsi="Times New Roman" w:cs="Times New Roman"/>
          <w:noProof/>
          <w:sz w:val="24"/>
          <w:szCs w:val="24"/>
        </w:rPr>
        <w:t xml:space="preserve">er. </w:t>
      </w:r>
      <w:r w:rsidRPr="00A92DD3">
        <w:rPr>
          <w:rFonts w:ascii="Times New Roman" w:hAnsi="Times New Roman" w:cs="Times New Roman"/>
          <w:b/>
          <w:noProof/>
          <w:sz w:val="24"/>
          <w:szCs w:val="24"/>
        </w:rPr>
        <w:t>37</w:t>
      </w:r>
      <w:r>
        <w:rPr>
          <w:rFonts w:ascii="Times New Roman" w:hAnsi="Times New Roman" w:cs="Times New Roman"/>
          <w:noProof/>
          <w:sz w:val="24"/>
          <w:szCs w:val="24"/>
        </w:rPr>
        <w:t xml:space="preserve">(11), </w:t>
      </w:r>
      <w:r w:rsidRPr="00BE3B6C">
        <w:rPr>
          <w:rFonts w:ascii="Times New Roman" w:hAnsi="Times New Roman" w:cs="Times New Roman"/>
          <w:noProof/>
          <w:sz w:val="24"/>
          <w:szCs w:val="24"/>
        </w:rPr>
        <w:t>9</w:t>
      </w:r>
      <w:r>
        <w:rPr>
          <w:rFonts w:ascii="Times New Roman" w:hAnsi="Times New Roman" w:cs="Times New Roman"/>
          <w:noProof/>
          <w:sz w:val="24"/>
          <w:szCs w:val="24"/>
        </w:rPr>
        <w:t>83–1002.</w:t>
      </w:r>
    </w:p>
    <w:p w14:paraId="106185CF" w14:textId="38A9D22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Chang, A. </w:t>
      </w:r>
      <w:r w:rsidRPr="00BE3B6C">
        <w:rPr>
          <w:rFonts w:ascii="Times New Roman" w:hAnsi="Times New Roman" w:cs="Times New Roman"/>
          <w:i/>
          <w:iCs/>
          <w:noProof/>
          <w:sz w:val="24"/>
          <w:szCs w:val="24"/>
        </w:rPr>
        <w:t>et al.</w:t>
      </w:r>
      <w:r w:rsidR="0079303E">
        <w:rPr>
          <w:rFonts w:ascii="Times New Roman" w:hAnsi="Times New Roman" w:cs="Times New Roman"/>
          <w:noProof/>
          <w:sz w:val="24"/>
          <w:szCs w:val="24"/>
        </w:rPr>
        <w:t xml:space="preserve"> (2013). </w:t>
      </w:r>
      <w:r w:rsidRPr="00BE3B6C">
        <w:rPr>
          <w:rFonts w:ascii="Times New Roman" w:hAnsi="Times New Roman" w:cs="Times New Roman"/>
          <w:noProof/>
          <w:sz w:val="24"/>
          <w:szCs w:val="24"/>
        </w:rPr>
        <w:t>Transforming Primary Care Training—Patient-Centered Medical Home Entrustable Professional Activities f</w:t>
      </w:r>
      <w:r w:rsidR="0079303E">
        <w:rPr>
          <w:rFonts w:ascii="Times New Roman" w:hAnsi="Times New Roman" w:cs="Times New Roman"/>
          <w:noProof/>
          <w:sz w:val="24"/>
          <w:szCs w:val="24"/>
        </w:rPr>
        <w:t>or Internal Medicine Residents.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Journal of General Internal Medicine</w:t>
      </w:r>
      <w:r w:rsidR="0079303E">
        <w:rPr>
          <w:rFonts w:ascii="Times New Roman" w:hAnsi="Times New Roman" w:cs="Times New Roman"/>
          <w:noProof/>
          <w:sz w:val="24"/>
          <w:szCs w:val="24"/>
        </w:rPr>
        <w:t xml:space="preserve">. </w:t>
      </w:r>
      <w:r w:rsidR="0079303E" w:rsidRPr="00B009A6">
        <w:rPr>
          <w:rFonts w:ascii="Times New Roman" w:hAnsi="Times New Roman" w:cs="Times New Roman"/>
          <w:b/>
          <w:noProof/>
          <w:sz w:val="24"/>
          <w:szCs w:val="24"/>
        </w:rPr>
        <w:t>28</w:t>
      </w:r>
      <w:r w:rsidR="0079303E">
        <w:rPr>
          <w:rFonts w:ascii="Times New Roman" w:hAnsi="Times New Roman" w:cs="Times New Roman"/>
          <w:noProof/>
          <w:sz w:val="24"/>
          <w:szCs w:val="24"/>
        </w:rPr>
        <w:t xml:space="preserve">(6), 801-809. </w:t>
      </w:r>
    </w:p>
    <w:p w14:paraId="08571A9D" w14:textId="7C19B857" w:rsidR="00BE3B6C" w:rsidRPr="00BE3B6C" w:rsidRDefault="002747F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Chapman, J. (1998). Agonising about assessment.  In: D. Fish and C. Coles, eds. </w:t>
      </w:r>
      <w:r w:rsidR="00BE3B6C" w:rsidRPr="00BE3B6C">
        <w:rPr>
          <w:rFonts w:ascii="Times New Roman" w:hAnsi="Times New Roman" w:cs="Times New Roman"/>
          <w:i/>
          <w:iCs/>
          <w:noProof/>
          <w:sz w:val="24"/>
          <w:szCs w:val="24"/>
        </w:rPr>
        <w:t>Developing Professional Judgement in Health Care: Learning through the critical appreciation of practice</w:t>
      </w:r>
      <w:r w:rsidR="00BE3B6C" w:rsidRPr="00BE3B6C">
        <w:rPr>
          <w:rFonts w:ascii="Times New Roman" w:hAnsi="Times New Roman" w:cs="Times New Roman"/>
          <w:noProof/>
          <w:sz w:val="24"/>
          <w:szCs w:val="24"/>
        </w:rPr>
        <w:t>.</w:t>
      </w:r>
      <w:r>
        <w:rPr>
          <w:rFonts w:ascii="Times New Roman" w:hAnsi="Times New Roman" w:cs="Times New Roman"/>
          <w:noProof/>
          <w:sz w:val="24"/>
          <w:szCs w:val="24"/>
        </w:rPr>
        <w:t xml:space="preserve"> Oxford: Butterworth-Heinemann.</w:t>
      </w:r>
      <w:r w:rsidR="00BE3B6C" w:rsidRPr="00BE3B6C">
        <w:rPr>
          <w:rFonts w:ascii="Times New Roman" w:hAnsi="Times New Roman" w:cs="Times New Roman"/>
          <w:noProof/>
          <w:sz w:val="24"/>
          <w:szCs w:val="24"/>
        </w:rPr>
        <w:t xml:space="preserve"> pp. 157–181.</w:t>
      </w:r>
    </w:p>
    <w:p w14:paraId="10A4A64C" w14:textId="255ABC98"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Chelliah, K.</w:t>
      </w:r>
      <w:r w:rsidR="002747F5">
        <w:rPr>
          <w:rFonts w:ascii="Times New Roman" w:hAnsi="Times New Roman" w:cs="Times New Roman"/>
          <w:noProof/>
          <w:sz w:val="24"/>
          <w:szCs w:val="24"/>
        </w:rPr>
        <w:t xml:space="preserve"> K. and Arumugam, Z. (2012). </w:t>
      </w:r>
      <w:r w:rsidRPr="00BE3B6C">
        <w:rPr>
          <w:rFonts w:ascii="Times New Roman" w:hAnsi="Times New Roman" w:cs="Times New Roman"/>
          <w:noProof/>
          <w:sz w:val="24"/>
          <w:szCs w:val="24"/>
        </w:rPr>
        <w:t xml:space="preserve">Does Reflective Practice Enhance Clinical Competency in </w:t>
      </w:r>
      <w:r w:rsidR="002747F5">
        <w:rPr>
          <w:rFonts w:ascii="Times New Roman" w:hAnsi="Times New Roman" w:cs="Times New Roman"/>
          <w:noProof/>
          <w:sz w:val="24"/>
          <w:szCs w:val="24"/>
        </w:rPr>
        <w:t>Medical Imaging Undergraduates?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Procedia - Social and Behavioral Sciences</w:t>
      </w:r>
      <w:r w:rsidR="002747F5">
        <w:rPr>
          <w:rFonts w:ascii="Times New Roman" w:hAnsi="Times New Roman" w:cs="Times New Roman"/>
          <w:noProof/>
          <w:sz w:val="24"/>
          <w:szCs w:val="24"/>
        </w:rPr>
        <w:t xml:space="preserve">. </w:t>
      </w:r>
      <w:r w:rsidR="002747F5" w:rsidRPr="002747F5">
        <w:rPr>
          <w:rFonts w:ascii="Times New Roman" w:hAnsi="Times New Roman" w:cs="Times New Roman"/>
          <w:b/>
          <w:noProof/>
          <w:sz w:val="24"/>
          <w:szCs w:val="24"/>
        </w:rPr>
        <w:t>60</w:t>
      </w:r>
      <w:r w:rsidR="002747F5">
        <w:rPr>
          <w:rFonts w:ascii="Times New Roman" w:hAnsi="Times New Roman" w:cs="Times New Roman"/>
          <w:noProof/>
          <w:sz w:val="24"/>
          <w:szCs w:val="24"/>
        </w:rPr>
        <w:t xml:space="preserve">, 73–77. </w:t>
      </w:r>
    </w:p>
    <w:p w14:paraId="178C5A00" w14:textId="7FA21B74"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Cohen, S. J., Halvorson, H. W. and Gosselink</w:t>
      </w:r>
      <w:r w:rsidR="002747F5">
        <w:rPr>
          <w:rFonts w:ascii="Times New Roman" w:hAnsi="Times New Roman" w:cs="Times New Roman"/>
          <w:noProof/>
          <w:sz w:val="24"/>
          <w:szCs w:val="24"/>
        </w:rPr>
        <w:t xml:space="preserve">, C. A. (1994). </w:t>
      </w:r>
      <w:r w:rsidRPr="00BE3B6C">
        <w:rPr>
          <w:rFonts w:ascii="Times New Roman" w:hAnsi="Times New Roman" w:cs="Times New Roman"/>
          <w:noProof/>
          <w:sz w:val="24"/>
          <w:szCs w:val="24"/>
        </w:rPr>
        <w:t>Changing physician behavior</w:t>
      </w:r>
      <w:r w:rsidR="002747F5">
        <w:rPr>
          <w:rFonts w:ascii="Times New Roman" w:hAnsi="Times New Roman" w:cs="Times New Roman"/>
          <w:noProof/>
          <w:sz w:val="24"/>
          <w:szCs w:val="24"/>
        </w:rPr>
        <w:t xml:space="preserve"> to improve disease prevention.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Preventive Medicine</w:t>
      </w:r>
      <w:r w:rsidR="002747F5">
        <w:rPr>
          <w:rFonts w:ascii="Times New Roman" w:hAnsi="Times New Roman" w:cs="Times New Roman"/>
          <w:noProof/>
          <w:sz w:val="24"/>
          <w:szCs w:val="24"/>
        </w:rPr>
        <w:t xml:space="preserve">. </w:t>
      </w:r>
      <w:r w:rsidRPr="002747F5">
        <w:rPr>
          <w:rFonts w:ascii="Times New Roman" w:hAnsi="Times New Roman" w:cs="Times New Roman"/>
          <w:b/>
          <w:noProof/>
          <w:sz w:val="24"/>
          <w:szCs w:val="24"/>
        </w:rPr>
        <w:t>23</w:t>
      </w:r>
      <w:r w:rsidR="002747F5">
        <w:rPr>
          <w:rFonts w:ascii="Times New Roman" w:hAnsi="Times New Roman" w:cs="Times New Roman"/>
          <w:noProof/>
          <w:sz w:val="24"/>
          <w:szCs w:val="24"/>
        </w:rPr>
        <w:t xml:space="preserve">(3), 284–291. </w:t>
      </w:r>
    </w:p>
    <w:p w14:paraId="7E6561CD" w14:textId="254F1BE7"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Cook, C., Heath,</w:t>
      </w:r>
      <w:r w:rsidR="002747F5">
        <w:rPr>
          <w:rFonts w:ascii="Times New Roman" w:hAnsi="Times New Roman" w:cs="Times New Roman"/>
          <w:noProof/>
          <w:sz w:val="24"/>
          <w:szCs w:val="24"/>
        </w:rPr>
        <w:t xml:space="preserve"> F. and Thompson, R. L. (2000). </w:t>
      </w:r>
      <w:r w:rsidRPr="00BE3B6C">
        <w:rPr>
          <w:rFonts w:ascii="Times New Roman" w:hAnsi="Times New Roman" w:cs="Times New Roman"/>
          <w:noProof/>
          <w:sz w:val="24"/>
          <w:szCs w:val="24"/>
        </w:rPr>
        <w:t>A meta-analysis of response rates in Web- or internet-based su</w:t>
      </w:r>
      <w:r w:rsidR="002747F5">
        <w:rPr>
          <w:rFonts w:ascii="Times New Roman" w:hAnsi="Times New Roman" w:cs="Times New Roman"/>
          <w:noProof/>
          <w:sz w:val="24"/>
          <w:szCs w:val="24"/>
        </w:rPr>
        <w:t>rveys.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Educational and Psychological Measurement</w:t>
      </w:r>
      <w:r w:rsidR="002747F5">
        <w:rPr>
          <w:rFonts w:ascii="Times New Roman" w:hAnsi="Times New Roman" w:cs="Times New Roman"/>
          <w:noProof/>
          <w:sz w:val="24"/>
          <w:szCs w:val="24"/>
        </w:rPr>
        <w:t xml:space="preserve">. </w:t>
      </w:r>
      <w:r w:rsidR="002747F5" w:rsidRPr="002747F5">
        <w:rPr>
          <w:rFonts w:ascii="Times New Roman" w:hAnsi="Times New Roman" w:cs="Times New Roman"/>
          <w:b/>
          <w:noProof/>
          <w:sz w:val="24"/>
          <w:szCs w:val="24"/>
        </w:rPr>
        <w:t>60</w:t>
      </w:r>
      <w:r w:rsidR="002747F5">
        <w:rPr>
          <w:rFonts w:ascii="Times New Roman" w:hAnsi="Times New Roman" w:cs="Times New Roman"/>
          <w:noProof/>
          <w:sz w:val="24"/>
          <w:szCs w:val="24"/>
        </w:rPr>
        <w:t>(6),</w:t>
      </w:r>
      <w:r w:rsidRPr="00BE3B6C">
        <w:rPr>
          <w:rFonts w:ascii="Times New Roman" w:hAnsi="Times New Roman" w:cs="Times New Roman"/>
          <w:noProof/>
          <w:sz w:val="24"/>
          <w:szCs w:val="24"/>
        </w:rPr>
        <w:t xml:space="preserve"> </w:t>
      </w:r>
      <w:r w:rsidRPr="00BE3B6C">
        <w:rPr>
          <w:rFonts w:ascii="Times New Roman" w:hAnsi="Times New Roman" w:cs="Times New Roman"/>
          <w:noProof/>
          <w:sz w:val="24"/>
          <w:szCs w:val="24"/>
        </w:rPr>
        <w:lastRenderedPageBreak/>
        <w:t xml:space="preserve">821–836. </w:t>
      </w:r>
    </w:p>
    <w:p w14:paraId="1265F155" w14:textId="3A68E4C6"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Cook, D. A. </w:t>
      </w:r>
      <w:r w:rsidRPr="00BE3B6C">
        <w:rPr>
          <w:rFonts w:ascii="Times New Roman" w:hAnsi="Times New Roman" w:cs="Times New Roman"/>
          <w:i/>
          <w:iCs/>
          <w:noProof/>
          <w:sz w:val="24"/>
          <w:szCs w:val="24"/>
        </w:rPr>
        <w:t>et al.</w:t>
      </w:r>
      <w:r w:rsidR="002747F5">
        <w:rPr>
          <w:rFonts w:ascii="Times New Roman" w:hAnsi="Times New Roman" w:cs="Times New Roman"/>
          <w:noProof/>
          <w:sz w:val="24"/>
          <w:szCs w:val="24"/>
        </w:rPr>
        <w:t xml:space="preserve"> (2009). </w:t>
      </w:r>
      <w:r w:rsidRPr="00BE3B6C">
        <w:rPr>
          <w:rFonts w:ascii="Times New Roman" w:hAnsi="Times New Roman" w:cs="Times New Roman"/>
          <w:noProof/>
          <w:sz w:val="24"/>
          <w:szCs w:val="24"/>
        </w:rPr>
        <w:t>Effect of rater training on reliability and accuracy of mini-CEX scores: A</w:t>
      </w:r>
      <w:r w:rsidR="002747F5">
        <w:rPr>
          <w:rFonts w:ascii="Times New Roman" w:hAnsi="Times New Roman" w:cs="Times New Roman"/>
          <w:noProof/>
          <w:sz w:val="24"/>
          <w:szCs w:val="24"/>
        </w:rPr>
        <w:t xml:space="preserve"> randomized, controlled trial. </w:t>
      </w:r>
      <w:r w:rsidRPr="00BE3B6C">
        <w:rPr>
          <w:rFonts w:ascii="Times New Roman" w:hAnsi="Times New Roman" w:cs="Times New Roman"/>
          <w:i/>
          <w:iCs/>
          <w:noProof/>
          <w:sz w:val="24"/>
          <w:szCs w:val="24"/>
        </w:rPr>
        <w:t>Journal of General Internal Medicine</w:t>
      </w:r>
      <w:r w:rsidR="002747F5">
        <w:rPr>
          <w:rFonts w:ascii="Times New Roman" w:hAnsi="Times New Roman" w:cs="Times New Roman"/>
          <w:noProof/>
          <w:sz w:val="24"/>
          <w:szCs w:val="24"/>
        </w:rPr>
        <w:t xml:space="preserve">. </w:t>
      </w:r>
      <w:r w:rsidR="002747F5" w:rsidRPr="002747F5">
        <w:rPr>
          <w:rFonts w:ascii="Times New Roman" w:hAnsi="Times New Roman" w:cs="Times New Roman"/>
          <w:b/>
          <w:noProof/>
          <w:sz w:val="24"/>
          <w:szCs w:val="24"/>
        </w:rPr>
        <w:t>24</w:t>
      </w:r>
      <w:r w:rsidR="002747F5">
        <w:rPr>
          <w:rFonts w:ascii="Times New Roman" w:hAnsi="Times New Roman" w:cs="Times New Roman"/>
          <w:noProof/>
          <w:sz w:val="24"/>
          <w:szCs w:val="24"/>
        </w:rPr>
        <w:t xml:space="preserve">(1), 74–79. </w:t>
      </w:r>
    </w:p>
    <w:p w14:paraId="6BE80718" w14:textId="1AFCFED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Cooksey, R.</w:t>
      </w:r>
      <w:r w:rsidR="00BD040B">
        <w:rPr>
          <w:rFonts w:ascii="Times New Roman" w:hAnsi="Times New Roman" w:cs="Times New Roman"/>
          <w:noProof/>
          <w:sz w:val="24"/>
          <w:szCs w:val="24"/>
        </w:rPr>
        <w:t>W.</w:t>
      </w:r>
      <w:r w:rsidRPr="00BE3B6C">
        <w:rPr>
          <w:rFonts w:ascii="Times New Roman" w:hAnsi="Times New Roman" w:cs="Times New Roman"/>
          <w:noProof/>
          <w:sz w:val="24"/>
          <w:szCs w:val="24"/>
        </w:rPr>
        <w:t xml:space="preserve"> (1996</w:t>
      </w:r>
      <w:r w:rsidR="00BD040B">
        <w:rPr>
          <w:rFonts w:ascii="Times New Roman" w:hAnsi="Times New Roman" w:cs="Times New Roman"/>
          <w:noProof/>
          <w:sz w:val="24"/>
          <w:szCs w:val="24"/>
        </w:rPr>
        <w:t>a</w:t>
      </w:r>
      <w:r w:rsidRPr="00BE3B6C">
        <w:rPr>
          <w:rFonts w:ascii="Times New Roman" w:hAnsi="Times New Roman" w:cs="Times New Roman"/>
          <w:noProof/>
          <w:sz w:val="24"/>
          <w:szCs w:val="24"/>
        </w:rPr>
        <w:t>)</w:t>
      </w:r>
      <w:r w:rsidR="002747F5">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Judgement Analysis: Theory, Methods and Applications.</w:t>
      </w:r>
      <w:r w:rsidR="002747F5">
        <w:rPr>
          <w:rFonts w:ascii="Times New Roman" w:hAnsi="Times New Roman" w:cs="Times New Roman"/>
          <w:noProof/>
          <w:sz w:val="24"/>
          <w:szCs w:val="24"/>
        </w:rPr>
        <w:t xml:space="preserve"> Bingley: Emerald Group Publishing.</w:t>
      </w:r>
    </w:p>
    <w:p w14:paraId="3F650CEB" w14:textId="5667C663" w:rsidR="00BE3B6C" w:rsidRPr="00BE3B6C" w:rsidRDefault="00BD040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Cooksey, R. W. (1996b). </w:t>
      </w:r>
      <w:r w:rsidR="00BE3B6C" w:rsidRPr="00BE3B6C">
        <w:rPr>
          <w:rFonts w:ascii="Times New Roman" w:hAnsi="Times New Roman" w:cs="Times New Roman"/>
          <w:noProof/>
          <w:sz w:val="24"/>
          <w:szCs w:val="24"/>
        </w:rPr>
        <w:t>The Methodology of</w:t>
      </w:r>
      <w:r>
        <w:rPr>
          <w:rFonts w:ascii="Times New Roman" w:hAnsi="Times New Roman" w:cs="Times New Roman"/>
          <w:noProof/>
          <w:sz w:val="24"/>
          <w:szCs w:val="24"/>
        </w:rPr>
        <w:t xml:space="preserve"> Social Judgement Theory. </w:t>
      </w:r>
      <w:r w:rsidR="00BE3B6C" w:rsidRPr="00BE3B6C">
        <w:rPr>
          <w:rFonts w:ascii="Times New Roman" w:hAnsi="Times New Roman" w:cs="Times New Roman"/>
          <w:i/>
          <w:iCs/>
          <w:noProof/>
          <w:sz w:val="24"/>
          <w:szCs w:val="24"/>
        </w:rPr>
        <w:t>Thinking &amp; Reasoning</w:t>
      </w:r>
      <w:r>
        <w:rPr>
          <w:rFonts w:ascii="Times New Roman" w:hAnsi="Times New Roman" w:cs="Times New Roman"/>
          <w:noProof/>
          <w:sz w:val="24"/>
          <w:szCs w:val="24"/>
        </w:rPr>
        <w:t xml:space="preserve">. </w:t>
      </w:r>
      <w:r w:rsidRPr="00BD040B">
        <w:rPr>
          <w:rFonts w:ascii="Times New Roman" w:hAnsi="Times New Roman" w:cs="Times New Roman"/>
          <w:b/>
          <w:noProof/>
          <w:sz w:val="24"/>
          <w:szCs w:val="24"/>
        </w:rPr>
        <w:t>2</w:t>
      </w:r>
      <w:r>
        <w:rPr>
          <w:rFonts w:ascii="Times New Roman" w:hAnsi="Times New Roman" w:cs="Times New Roman"/>
          <w:noProof/>
          <w:sz w:val="24"/>
          <w:szCs w:val="24"/>
        </w:rPr>
        <w:t>(2</w:t>
      </w:r>
      <w:r w:rsidR="001021DA">
        <w:rPr>
          <w:rFonts w:ascii="Times New Roman" w:hAnsi="Times New Roman" w:cs="Times New Roman"/>
          <w:noProof/>
          <w:sz w:val="24"/>
          <w:szCs w:val="24"/>
        </w:rPr>
        <w:t>-</w:t>
      </w:r>
      <w:r>
        <w:rPr>
          <w:rFonts w:ascii="Times New Roman" w:hAnsi="Times New Roman" w:cs="Times New Roman"/>
          <w:noProof/>
          <w:sz w:val="24"/>
          <w:szCs w:val="24"/>
        </w:rPr>
        <w:t xml:space="preserve">3), </w:t>
      </w:r>
      <w:r w:rsidR="00BE3B6C" w:rsidRPr="00BE3B6C">
        <w:rPr>
          <w:rFonts w:ascii="Times New Roman" w:hAnsi="Times New Roman" w:cs="Times New Roman"/>
          <w:noProof/>
          <w:sz w:val="24"/>
          <w:szCs w:val="24"/>
        </w:rPr>
        <w:t>141–173.</w:t>
      </w:r>
    </w:p>
    <w:p w14:paraId="22AD6E1D" w14:textId="18618CA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Cowpe, J. </w:t>
      </w:r>
      <w:r w:rsidRPr="00BE3B6C">
        <w:rPr>
          <w:rFonts w:ascii="Times New Roman" w:hAnsi="Times New Roman" w:cs="Times New Roman"/>
          <w:i/>
          <w:iCs/>
          <w:noProof/>
          <w:sz w:val="24"/>
          <w:szCs w:val="24"/>
        </w:rPr>
        <w:t>et al.</w:t>
      </w:r>
      <w:r w:rsidR="00D21F2D">
        <w:rPr>
          <w:rFonts w:ascii="Times New Roman" w:hAnsi="Times New Roman" w:cs="Times New Roman"/>
          <w:noProof/>
          <w:sz w:val="24"/>
          <w:szCs w:val="24"/>
        </w:rPr>
        <w:t xml:space="preserve"> (2010). </w:t>
      </w:r>
      <w:r w:rsidRPr="00BE3B6C">
        <w:rPr>
          <w:rFonts w:ascii="Times New Roman" w:hAnsi="Times New Roman" w:cs="Times New Roman"/>
          <w:noProof/>
          <w:sz w:val="24"/>
          <w:szCs w:val="24"/>
        </w:rPr>
        <w:t xml:space="preserve">Profile and competences for the graduating </w:t>
      </w:r>
      <w:r w:rsidR="00D21F2D">
        <w:rPr>
          <w:rFonts w:ascii="Times New Roman" w:hAnsi="Times New Roman" w:cs="Times New Roman"/>
          <w:noProof/>
          <w:sz w:val="24"/>
          <w:szCs w:val="24"/>
        </w:rPr>
        <w:t>European dentist - update 2009.</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European Journal of Dental Education</w:t>
      </w:r>
      <w:r w:rsidR="00D21F2D">
        <w:rPr>
          <w:rFonts w:ascii="Times New Roman" w:hAnsi="Times New Roman" w:cs="Times New Roman"/>
          <w:noProof/>
          <w:sz w:val="24"/>
          <w:szCs w:val="24"/>
        </w:rPr>
        <w:t xml:space="preserve">. </w:t>
      </w:r>
      <w:r w:rsidR="00D21F2D" w:rsidRPr="00D21F2D">
        <w:rPr>
          <w:rFonts w:ascii="Times New Roman" w:hAnsi="Times New Roman" w:cs="Times New Roman"/>
          <w:b/>
          <w:noProof/>
          <w:sz w:val="24"/>
          <w:szCs w:val="24"/>
        </w:rPr>
        <w:t>14</w:t>
      </w:r>
      <w:r w:rsidR="00D21F2D">
        <w:rPr>
          <w:rFonts w:ascii="Times New Roman" w:hAnsi="Times New Roman" w:cs="Times New Roman"/>
          <w:noProof/>
          <w:sz w:val="24"/>
          <w:szCs w:val="24"/>
        </w:rPr>
        <w:t xml:space="preserve">(4), </w:t>
      </w:r>
      <w:r w:rsidRPr="00BE3B6C">
        <w:rPr>
          <w:rFonts w:ascii="Times New Roman" w:hAnsi="Times New Roman" w:cs="Times New Roman"/>
          <w:noProof/>
          <w:sz w:val="24"/>
          <w:szCs w:val="24"/>
        </w:rPr>
        <w:t>193–202</w:t>
      </w:r>
      <w:r w:rsidR="00D21F2D">
        <w:rPr>
          <w:rFonts w:ascii="Times New Roman" w:hAnsi="Times New Roman" w:cs="Times New Roman"/>
          <w:noProof/>
          <w:sz w:val="24"/>
          <w:szCs w:val="24"/>
        </w:rPr>
        <w:t xml:space="preserve">. </w:t>
      </w:r>
    </w:p>
    <w:p w14:paraId="6B11387F" w14:textId="44B32716" w:rsidR="00D21F2D"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Cresswell, J. W. </w:t>
      </w:r>
      <w:r w:rsidRPr="00BE3B6C">
        <w:rPr>
          <w:rFonts w:ascii="Times New Roman" w:hAnsi="Times New Roman" w:cs="Times New Roman"/>
          <w:i/>
          <w:iCs/>
          <w:noProof/>
          <w:sz w:val="24"/>
          <w:szCs w:val="24"/>
        </w:rPr>
        <w:t>et al.</w:t>
      </w:r>
      <w:r w:rsidR="00D21F2D">
        <w:rPr>
          <w:rFonts w:ascii="Times New Roman" w:hAnsi="Times New Roman" w:cs="Times New Roman"/>
          <w:noProof/>
          <w:sz w:val="24"/>
          <w:szCs w:val="24"/>
        </w:rPr>
        <w:t xml:space="preserve"> (2003). </w:t>
      </w:r>
      <w:r w:rsidRPr="00BE3B6C">
        <w:rPr>
          <w:rFonts w:ascii="Times New Roman" w:hAnsi="Times New Roman" w:cs="Times New Roman"/>
          <w:noProof/>
          <w:sz w:val="24"/>
          <w:szCs w:val="24"/>
        </w:rPr>
        <w:t xml:space="preserve">Advanced </w:t>
      </w:r>
      <w:r w:rsidR="00D21F2D">
        <w:rPr>
          <w:rFonts w:ascii="Times New Roman" w:hAnsi="Times New Roman" w:cs="Times New Roman"/>
          <w:noProof/>
          <w:sz w:val="24"/>
          <w:szCs w:val="24"/>
        </w:rPr>
        <w:t xml:space="preserve">mixed methods research designs. In:A. Tashakkori and C.Teddlie, eds.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Handbook of Mixed Methods in Social and Behavioral Research</w:t>
      </w:r>
      <w:r w:rsidR="00D21F2D">
        <w:rPr>
          <w:rFonts w:ascii="Times New Roman" w:hAnsi="Times New Roman" w:cs="Times New Roman"/>
          <w:noProof/>
          <w:sz w:val="24"/>
          <w:szCs w:val="24"/>
        </w:rPr>
        <w:t xml:space="preserve">. Thousand Oaks, California: Sage Publications. </w:t>
      </w:r>
      <w:r w:rsidRPr="00BE3B6C">
        <w:rPr>
          <w:rFonts w:ascii="Times New Roman" w:hAnsi="Times New Roman" w:cs="Times New Roman"/>
          <w:noProof/>
          <w:sz w:val="24"/>
          <w:szCs w:val="24"/>
        </w:rPr>
        <w:t>pp. 209–240</w:t>
      </w:r>
      <w:r w:rsidR="00D21F2D">
        <w:rPr>
          <w:rFonts w:ascii="Times New Roman" w:hAnsi="Times New Roman" w:cs="Times New Roman"/>
          <w:noProof/>
          <w:sz w:val="24"/>
          <w:szCs w:val="24"/>
        </w:rPr>
        <w:t>.</w:t>
      </w:r>
    </w:p>
    <w:p w14:paraId="3E799720" w14:textId="58A95E8C" w:rsidR="00D21F2D" w:rsidRDefault="00D21F2D"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Creswell, J. W. (2014). </w:t>
      </w:r>
      <w:r w:rsidR="00BE3B6C" w:rsidRPr="00BE3B6C">
        <w:rPr>
          <w:rFonts w:ascii="Times New Roman" w:hAnsi="Times New Roman" w:cs="Times New Roman"/>
          <w:i/>
          <w:iCs/>
          <w:noProof/>
          <w:sz w:val="24"/>
          <w:szCs w:val="24"/>
        </w:rPr>
        <w:t>Research Design: Qualitative, Quantitative, and Mixed Methods Approaches</w:t>
      </w:r>
      <w:r w:rsidR="00762519">
        <w:rPr>
          <w:rFonts w:ascii="Times New Roman" w:hAnsi="Times New Roman" w:cs="Times New Roman"/>
          <w:noProof/>
          <w:sz w:val="24"/>
          <w:szCs w:val="24"/>
        </w:rPr>
        <w:t>. 4</w:t>
      </w:r>
      <w:r w:rsidR="00762519" w:rsidRPr="00762519">
        <w:rPr>
          <w:rFonts w:ascii="Times New Roman" w:hAnsi="Times New Roman" w:cs="Times New Roman"/>
          <w:noProof/>
          <w:sz w:val="24"/>
          <w:szCs w:val="24"/>
          <w:vertAlign w:val="superscript"/>
        </w:rPr>
        <w:t>th</w:t>
      </w:r>
      <w:r w:rsidR="00762519">
        <w:rPr>
          <w:rFonts w:ascii="Times New Roman" w:hAnsi="Times New Roman" w:cs="Times New Roman"/>
          <w:noProof/>
          <w:sz w:val="24"/>
          <w:szCs w:val="24"/>
        </w:rPr>
        <w:t xml:space="preserve"> ed. Thousand Oaks, California: Sage publications</w:t>
      </w:r>
    </w:p>
    <w:p w14:paraId="33F8502A" w14:textId="35B8BB86"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Crooks, T. J., Kane,</w:t>
      </w:r>
      <w:r w:rsidR="00762519">
        <w:rPr>
          <w:rFonts w:ascii="Times New Roman" w:hAnsi="Times New Roman" w:cs="Times New Roman"/>
          <w:noProof/>
          <w:sz w:val="24"/>
          <w:szCs w:val="24"/>
        </w:rPr>
        <w:t xml:space="preserve"> M. T. and Cohen, A. S. (1996). </w:t>
      </w:r>
      <w:r w:rsidRPr="00BE3B6C">
        <w:rPr>
          <w:rFonts w:ascii="Times New Roman" w:hAnsi="Times New Roman" w:cs="Times New Roman"/>
          <w:noProof/>
          <w:sz w:val="24"/>
          <w:szCs w:val="24"/>
        </w:rPr>
        <w:t>Threats t</w:t>
      </w:r>
      <w:r w:rsidR="00762519">
        <w:rPr>
          <w:rFonts w:ascii="Times New Roman" w:hAnsi="Times New Roman" w:cs="Times New Roman"/>
          <w:noProof/>
          <w:sz w:val="24"/>
          <w:szCs w:val="24"/>
        </w:rPr>
        <w:t>o the Valid Use of Assessments.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Assessment in Education: Principles, Policy &amp; Practice</w:t>
      </w:r>
      <w:r w:rsidR="00762519">
        <w:rPr>
          <w:rFonts w:ascii="Times New Roman" w:hAnsi="Times New Roman" w:cs="Times New Roman"/>
          <w:noProof/>
          <w:sz w:val="24"/>
          <w:szCs w:val="24"/>
        </w:rPr>
        <w:t xml:space="preserve">. </w:t>
      </w:r>
      <w:r w:rsidR="00762519" w:rsidRPr="00762519">
        <w:rPr>
          <w:rFonts w:ascii="Times New Roman" w:hAnsi="Times New Roman" w:cs="Times New Roman"/>
          <w:b/>
          <w:noProof/>
          <w:sz w:val="24"/>
          <w:szCs w:val="24"/>
        </w:rPr>
        <w:t>3</w:t>
      </w:r>
      <w:r w:rsidR="00762519">
        <w:rPr>
          <w:rFonts w:ascii="Times New Roman" w:hAnsi="Times New Roman" w:cs="Times New Roman"/>
          <w:noProof/>
          <w:sz w:val="24"/>
          <w:szCs w:val="24"/>
        </w:rPr>
        <w:t xml:space="preserve">(3), </w:t>
      </w:r>
      <w:r w:rsidRPr="00BE3B6C">
        <w:rPr>
          <w:rFonts w:ascii="Times New Roman" w:hAnsi="Times New Roman" w:cs="Times New Roman"/>
          <w:noProof/>
          <w:sz w:val="24"/>
          <w:szCs w:val="24"/>
        </w:rPr>
        <w:t>265–286</w:t>
      </w:r>
      <w:r w:rsidR="00762519">
        <w:rPr>
          <w:rFonts w:ascii="Times New Roman" w:hAnsi="Times New Roman" w:cs="Times New Roman"/>
          <w:noProof/>
          <w:sz w:val="24"/>
          <w:szCs w:val="24"/>
        </w:rPr>
        <w:t>.</w:t>
      </w:r>
    </w:p>
    <w:p w14:paraId="0AFECF49" w14:textId="3B54BA96" w:rsidR="00C04945" w:rsidRPr="00BE3B6C" w:rsidRDefault="00C0494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Cross, S. S. (2005). </w:t>
      </w:r>
      <w:r w:rsidRPr="00BE3B6C">
        <w:rPr>
          <w:rFonts w:ascii="Times New Roman" w:hAnsi="Times New Roman" w:cs="Times New Roman"/>
          <w:noProof/>
          <w:sz w:val="24"/>
          <w:szCs w:val="24"/>
        </w:rPr>
        <w:t>Aptitude testing and assessment of traini</w:t>
      </w:r>
      <w:r>
        <w:rPr>
          <w:rFonts w:ascii="Times New Roman" w:hAnsi="Times New Roman" w:cs="Times New Roman"/>
          <w:noProof/>
          <w:sz w:val="24"/>
          <w:szCs w:val="24"/>
        </w:rPr>
        <w:t xml:space="preserve">ng progress in histopathology. </w:t>
      </w:r>
      <w:r w:rsidRPr="00BE3B6C">
        <w:rPr>
          <w:rFonts w:ascii="Times New Roman" w:hAnsi="Times New Roman" w:cs="Times New Roman"/>
          <w:i/>
          <w:iCs/>
          <w:noProof/>
          <w:sz w:val="24"/>
          <w:szCs w:val="24"/>
        </w:rPr>
        <w:t>Current Diagnostic Pathology</w:t>
      </w:r>
      <w:r>
        <w:rPr>
          <w:rFonts w:ascii="Times New Roman" w:hAnsi="Times New Roman" w:cs="Times New Roman"/>
          <w:noProof/>
          <w:sz w:val="24"/>
          <w:szCs w:val="24"/>
        </w:rPr>
        <w:t xml:space="preserve">. </w:t>
      </w:r>
      <w:r w:rsidRPr="00143350">
        <w:rPr>
          <w:rFonts w:ascii="Times New Roman" w:hAnsi="Times New Roman" w:cs="Times New Roman"/>
          <w:b/>
          <w:noProof/>
          <w:sz w:val="24"/>
          <w:szCs w:val="24"/>
        </w:rPr>
        <w:t>11</w:t>
      </w:r>
      <w:r>
        <w:rPr>
          <w:rFonts w:ascii="Times New Roman" w:hAnsi="Times New Roman" w:cs="Times New Roman"/>
          <w:noProof/>
          <w:sz w:val="24"/>
          <w:szCs w:val="24"/>
        </w:rPr>
        <w:t xml:space="preserve">(5), 299–307. </w:t>
      </w:r>
    </w:p>
    <w:p w14:paraId="5976BF90" w14:textId="12334105" w:rsidR="002D0F33" w:rsidRPr="00BE3B6C" w:rsidRDefault="002D0F33"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Cross</w:t>
      </w:r>
      <w:r>
        <w:rPr>
          <w:rFonts w:ascii="Times New Roman" w:hAnsi="Times New Roman" w:cs="Times New Roman"/>
          <w:noProof/>
          <w:sz w:val="24"/>
          <w:szCs w:val="24"/>
        </w:rPr>
        <w:t xml:space="preserve">, S.S., </w:t>
      </w:r>
      <w:r w:rsidRPr="00BE3B6C">
        <w:rPr>
          <w:rFonts w:ascii="Times New Roman" w:hAnsi="Times New Roman" w:cs="Times New Roman"/>
          <w:noProof/>
          <w:sz w:val="24"/>
          <w:szCs w:val="24"/>
        </w:rPr>
        <w:t>Dennis,</w:t>
      </w:r>
      <w:r>
        <w:rPr>
          <w:rFonts w:ascii="Times New Roman" w:hAnsi="Times New Roman" w:cs="Times New Roman"/>
          <w:noProof/>
          <w:sz w:val="24"/>
          <w:szCs w:val="24"/>
        </w:rPr>
        <w:t xml:space="preserve"> T and S</w:t>
      </w:r>
      <w:r w:rsidRPr="00BE3B6C">
        <w:rPr>
          <w:rFonts w:ascii="Times New Roman" w:hAnsi="Times New Roman" w:cs="Times New Roman"/>
          <w:noProof/>
          <w:sz w:val="24"/>
          <w:szCs w:val="24"/>
        </w:rPr>
        <w:t>tart,</w:t>
      </w:r>
      <w:r>
        <w:rPr>
          <w:rFonts w:ascii="Times New Roman" w:hAnsi="Times New Roman" w:cs="Times New Roman"/>
          <w:noProof/>
          <w:sz w:val="24"/>
          <w:szCs w:val="24"/>
        </w:rPr>
        <w:t xml:space="preserve"> R.D.</w:t>
      </w:r>
      <w:r w:rsidR="00C04945">
        <w:rPr>
          <w:rFonts w:ascii="Times New Roman" w:hAnsi="Times New Roman" w:cs="Times New Roman"/>
          <w:noProof/>
          <w:sz w:val="24"/>
          <w:szCs w:val="24"/>
        </w:rPr>
        <w:t xml:space="preserve"> </w:t>
      </w:r>
      <w:r>
        <w:rPr>
          <w:rFonts w:ascii="Times New Roman" w:hAnsi="Times New Roman" w:cs="Times New Roman"/>
          <w:noProof/>
          <w:sz w:val="24"/>
          <w:szCs w:val="24"/>
        </w:rPr>
        <w:t xml:space="preserve">(2002). </w:t>
      </w:r>
      <w:r w:rsidRPr="00BE3B6C">
        <w:rPr>
          <w:rFonts w:ascii="Times New Roman" w:hAnsi="Times New Roman" w:cs="Times New Roman"/>
          <w:noProof/>
          <w:sz w:val="24"/>
          <w:szCs w:val="24"/>
        </w:rPr>
        <w:t>The area under the receiver operating characteristic (ROC) curve can be used as a sensitive measure of progress during the early stage</w:t>
      </w:r>
      <w:r>
        <w:rPr>
          <w:rFonts w:ascii="Times New Roman" w:hAnsi="Times New Roman" w:cs="Times New Roman"/>
          <w:noProof/>
          <w:sz w:val="24"/>
          <w:szCs w:val="24"/>
        </w:rPr>
        <w:t xml:space="preserve">s of histopathology training. </w:t>
      </w:r>
      <w:r w:rsidRPr="00BE3B6C">
        <w:rPr>
          <w:rFonts w:ascii="Times New Roman" w:hAnsi="Times New Roman" w:cs="Times New Roman"/>
          <w:i/>
          <w:iCs/>
          <w:noProof/>
          <w:sz w:val="24"/>
          <w:szCs w:val="24"/>
        </w:rPr>
        <w:t>Histopathology</w:t>
      </w:r>
      <w:r>
        <w:rPr>
          <w:rFonts w:ascii="Times New Roman" w:hAnsi="Times New Roman" w:cs="Times New Roman"/>
          <w:noProof/>
          <w:sz w:val="24"/>
          <w:szCs w:val="24"/>
        </w:rPr>
        <w:t xml:space="preserve">, </w:t>
      </w:r>
      <w:r w:rsidRPr="00052CAB">
        <w:rPr>
          <w:rFonts w:ascii="Times New Roman" w:hAnsi="Times New Roman" w:cs="Times New Roman"/>
          <w:b/>
          <w:noProof/>
          <w:sz w:val="24"/>
          <w:szCs w:val="24"/>
        </w:rPr>
        <w:t>41</w:t>
      </w:r>
      <w:r>
        <w:rPr>
          <w:rFonts w:ascii="Times New Roman" w:hAnsi="Times New Roman" w:cs="Times New Roman"/>
          <w:noProof/>
          <w:sz w:val="24"/>
          <w:szCs w:val="24"/>
        </w:rPr>
        <w:t>(1 Suppl), 206.</w:t>
      </w:r>
    </w:p>
    <w:p w14:paraId="2736CFB0" w14:textId="2B4CED6B" w:rsidR="00C04945" w:rsidRPr="00BE3B6C" w:rsidRDefault="00C04945"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Cross, S. S. </w:t>
      </w:r>
      <w:r w:rsidRPr="00BE3B6C">
        <w:rPr>
          <w:rFonts w:ascii="Times New Roman" w:hAnsi="Times New Roman" w:cs="Times New Roman"/>
          <w:i/>
          <w:iCs/>
          <w:noProof/>
          <w:sz w:val="24"/>
          <w:szCs w:val="24"/>
        </w:rPr>
        <w:t>et al.</w:t>
      </w:r>
      <w:r>
        <w:rPr>
          <w:rFonts w:ascii="Times New Roman" w:hAnsi="Times New Roman" w:cs="Times New Roman"/>
          <w:noProof/>
          <w:sz w:val="24"/>
          <w:szCs w:val="24"/>
        </w:rPr>
        <w:t xml:space="preserve"> (2000). </w:t>
      </w:r>
      <w:r w:rsidRPr="00BE3B6C">
        <w:rPr>
          <w:rFonts w:ascii="Times New Roman" w:hAnsi="Times New Roman" w:cs="Times New Roman"/>
          <w:noProof/>
          <w:sz w:val="24"/>
          <w:szCs w:val="24"/>
        </w:rPr>
        <w:t xml:space="preserve">What levels of agreement can be expected between histopathologists assigning cases to discrete nominal categories? A study of the diagnosis </w:t>
      </w:r>
      <w:r w:rsidRPr="00BE3B6C">
        <w:rPr>
          <w:rFonts w:ascii="Times New Roman" w:hAnsi="Times New Roman" w:cs="Times New Roman"/>
          <w:noProof/>
          <w:sz w:val="24"/>
          <w:szCs w:val="24"/>
        </w:rPr>
        <w:lastRenderedPageBreak/>
        <w:t>of hyperplastic and a</w:t>
      </w:r>
      <w:r>
        <w:rPr>
          <w:rFonts w:ascii="Times New Roman" w:hAnsi="Times New Roman" w:cs="Times New Roman"/>
          <w:noProof/>
          <w:sz w:val="24"/>
          <w:szCs w:val="24"/>
        </w:rPr>
        <w:t xml:space="preserve">denomatous colorectal polyps. </w:t>
      </w:r>
      <w:r w:rsidRPr="00BE3B6C">
        <w:rPr>
          <w:rFonts w:ascii="Times New Roman" w:hAnsi="Times New Roman" w:cs="Times New Roman"/>
          <w:i/>
          <w:iCs/>
          <w:noProof/>
          <w:sz w:val="24"/>
          <w:szCs w:val="24"/>
        </w:rPr>
        <w:t>Modern pathology : an official journal of the United States and Canadian Academy of Pathology, Inc</w:t>
      </w:r>
      <w:r>
        <w:rPr>
          <w:rFonts w:ascii="Times New Roman" w:hAnsi="Times New Roman" w:cs="Times New Roman"/>
          <w:noProof/>
          <w:sz w:val="24"/>
          <w:szCs w:val="24"/>
        </w:rPr>
        <w:t xml:space="preserve">. </w:t>
      </w:r>
      <w:r w:rsidRPr="00143350">
        <w:rPr>
          <w:rFonts w:ascii="Times New Roman" w:hAnsi="Times New Roman" w:cs="Times New Roman"/>
          <w:b/>
          <w:noProof/>
          <w:sz w:val="24"/>
          <w:szCs w:val="24"/>
        </w:rPr>
        <w:t>13</w:t>
      </w:r>
      <w:r>
        <w:rPr>
          <w:rFonts w:ascii="Times New Roman" w:hAnsi="Times New Roman" w:cs="Times New Roman"/>
          <w:noProof/>
          <w:sz w:val="24"/>
          <w:szCs w:val="24"/>
        </w:rPr>
        <w:t xml:space="preserve">(9), </w:t>
      </w:r>
      <w:r w:rsidRPr="00BE3B6C">
        <w:rPr>
          <w:rFonts w:ascii="Times New Roman" w:hAnsi="Times New Roman" w:cs="Times New Roman"/>
          <w:noProof/>
          <w:sz w:val="24"/>
          <w:szCs w:val="24"/>
        </w:rPr>
        <w:t>941–944.</w:t>
      </w:r>
      <w:r>
        <w:rPr>
          <w:rFonts w:ascii="Times New Roman" w:hAnsi="Times New Roman" w:cs="Times New Roman"/>
          <w:noProof/>
          <w:sz w:val="24"/>
          <w:szCs w:val="24"/>
        </w:rPr>
        <w:t xml:space="preserve"> </w:t>
      </w:r>
    </w:p>
    <w:p w14:paraId="04D1E494" w14:textId="2D867CDF"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Cross, V., Hi</w:t>
      </w:r>
      <w:r w:rsidR="00143350">
        <w:rPr>
          <w:rFonts w:ascii="Times New Roman" w:hAnsi="Times New Roman" w:cs="Times New Roman"/>
          <w:noProof/>
          <w:sz w:val="24"/>
          <w:szCs w:val="24"/>
        </w:rPr>
        <w:t>cks, C. and Barwell, F. (2001). Assessment and</w:t>
      </w:r>
      <w:r w:rsidRPr="00BE3B6C">
        <w:rPr>
          <w:rFonts w:ascii="Times New Roman" w:hAnsi="Times New Roman" w:cs="Times New Roman"/>
          <w:noProof/>
          <w:sz w:val="24"/>
          <w:szCs w:val="24"/>
        </w:rPr>
        <w:t xml:space="preserve"> Evaluation in Higher Education Exploring the Gap Between Evidence and Judgement : Using video vignettes for practice-based assessment of</w:t>
      </w:r>
      <w:r w:rsidR="00143350">
        <w:rPr>
          <w:rFonts w:ascii="Times New Roman" w:hAnsi="Times New Roman" w:cs="Times New Roman"/>
          <w:noProof/>
          <w:sz w:val="24"/>
          <w:szCs w:val="24"/>
        </w:rPr>
        <w:t xml:space="preserve"> physiotherapy undergraduates. </w:t>
      </w:r>
      <w:r w:rsidRPr="00BE3B6C">
        <w:rPr>
          <w:rFonts w:ascii="Times New Roman" w:hAnsi="Times New Roman" w:cs="Times New Roman"/>
          <w:i/>
          <w:iCs/>
          <w:noProof/>
          <w:sz w:val="24"/>
          <w:szCs w:val="24"/>
        </w:rPr>
        <w:t>Assessment &amp; Evaluation in Higher Education</w:t>
      </w:r>
      <w:r w:rsidR="00143350">
        <w:rPr>
          <w:rFonts w:ascii="Times New Roman" w:hAnsi="Times New Roman" w:cs="Times New Roman"/>
          <w:noProof/>
          <w:sz w:val="24"/>
          <w:szCs w:val="24"/>
        </w:rPr>
        <w:t xml:space="preserve">. </w:t>
      </w:r>
      <w:r w:rsidR="00143350" w:rsidRPr="00143350">
        <w:rPr>
          <w:rFonts w:ascii="Times New Roman" w:hAnsi="Times New Roman" w:cs="Times New Roman"/>
          <w:b/>
          <w:noProof/>
          <w:sz w:val="24"/>
          <w:szCs w:val="24"/>
        </w:rPr>
        <w:t>26</w:t>
      </w:r>
      <w:r w:rsidR="00143350">
        <w:rPr>
          <w:rFonts w:ascii="Times New Roman" w:hAnsi="Times New Roman" w:cs="Times New Roman"/>
          <w:noProof/>
          <w:sz w:val="24"/>
          <w:szCs w:val="24"/>
        </w:rPr>
        <w:t xml:space="preserve">(3), </w:t>
      </w:r>
      <w:r w:rsidRPr="00BE3B6C">
        <w:rPr>
          <w:rFonts w:ascii="Times New Roman" w:hAnsi="Times New Roman" w:cs="Times New Roman"/>
          <w:noProof/>
          <w:sz w:val="24"/>
          <w:szCs w:val="24"/>
        </w:rPr>
        <w:t xml:space="preserve">189–212. </w:t>
      </w:r>
    </w:p>
    <w:p w14:paraId="1B712FBC" w14:textId="3301E9A2" w:rsidR="00C04945" w:rsidRDefault="00C0494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Crossley, J. (2013). </w:t>
      </w:r>
      <w:r w:rsidRPr="00BE3B6C">
        <w:rPr>
          <w:rFonts w:ascii="Times New Roman" w:hAnsi="Times New Roman" w:cs="Times New Roman"/>
          <w:noProof/>
          <w:sz w:val="24"/>
          <w:szCs w:val="24"/>
        </w:rPr>
        <w:t>Val</w:t>
      </w:r>
      <w:r>
        <w:rPr>
          <w:rFonts w:ascii="Times New Roman" w:hAnsi="Times New Roman" w:cs="Times New Roman"/>
          <w:noProof/>
          <w:sz w:val="24"/>
          <w:szCs w:val="24"/>
        </w:rPr>
        <w:t xml:space="preserve">idity and truth in assessment. </w:t>
      </w:r>
      <w:r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143350">
        <w:rPr>
          <w:rFonts w:ascii="Times New Roman" w:hAnsi="Times New Roman" w:cs="Times New Roman"/>
          <w:b/>
          <w:noProof/>
          <w:sz w:val="24"/>
          <w:szCs w:val="24"/>
        </w:rPr>
        <w:t>47</w:t>
      </w:r>
      <w:r>
        <w:rPr>
          <w:rFonts w:ascii="Times New Roman" w:hAnsi="Times New Roman" w:cs="Times New Roman"/>
          <w:noProof/>
          <w:sz w:val="24"/>
          <w:szCs w:val="24"/>
        </w:rPr>
        <w:t xml:space="preserve">(12), 1152–1154. </w:t>
      </w:r>
    </w:p>
    <w:p w14:paraId="6B6CCC48" w14:textId="5F33AB91" w:rsidR="00C04945" w:rsidRPr="00BE3B6C" w:rsidRDefault="00C04945"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Cro</w:t>
      </w:r>
      <w:r>
        <w:rPr>
          <w:rFonts w:ascii="Times New Roman" w:hAnsi="Times New Roman" w:cs="Times New Roman"/>
          <w:noProof/>
          <w:sz w:val="24"/>
          <w:szCs w:val="24"/>
        </w:rPr>
        <w:t xml:space="preserve">ssley, J and Jolly, B. (2012). </w:t>
      </w:r>
      <w:r w:rsidRPr="00BE3B6C">
        <w:rPr>
          <w:rFonts w:ascii="Times New Roman" w:hAnsi="Times New Roman" w:cs="Times New Roman"/>
          <w:noProof/>
          <w:sz w:val="24"/>
          <w:szCs w:val="24"/>
        </w:rPr>
        <w:t>Making sense of work-based assessment: Ask the right questions, in the right way, about the righ</w:t>
      </w:r>
      <w:r>
        <w:rPr>
          <w:rFonts w:ascii="Times New Roman" w:hAnsi="Times New Roman" w:cs="Times New Roman"/>
          <w:noProof/>
          <w:sz w:val="24"/>
          <w:szCs w:val="24"/>
        </w:rPr>
        <w:t xml:space="preserve">t things, of the right people. </w:t>
      </w:r>
      <w:r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143350">
        <w:rPr>
          <w:rFonts w:ascii="Times New Roman" w:hAnsi="Times New Roman" w:cs="Times New Roman"/>
          <w:b/>
          <w:noProof/>
          <w:sz w:val="24"/>
          <w:szCs w:val="24"/>
        </w:rPr>
        <w:t>46</w:t>
      </w:r>
      <w:r>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28–37. </w:t>
      </w:r>
    </w:p>
    <w:p w14:paraId="033ABF49" w14:textId="18E7D0E0"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Crossley, J. </w:t>
      </w:r>
      <w:r w:rsidRPr="00BE3B6C">
        <w:rPr>
          <w:rFonts w:ascii="Times New Roman" w:hAnsi="Times New Roman" w:cs="Times New Roman"/>
          <w:i/>
          <w:iCs/>
          <w:noProof/>
          <w:sz w:val="24"/>
          <w:szCs w:val="24"/>
        </w:rPr>
        <w:t>et al.</w:t>
      </w:r>
      <w:r w:rsidR="00143350">
        <w:rPr>
          <w:rFonts w:ascii="Times New Roman" w:hAnsi="Times New Roman" w:cs="Times New Roman"/>
          <w:noProof/>
          <w:sz w:val="24"/>
          <w:szCs w:val="24"/>
        </w:rPr>
        <w:t xml:space="preserve"> (2002). </w:t>
      </w:r>
      <w:r w:rsidRPr="00BE3B6C">
        <w:rPr>
          <w:rFonts w:ascii="Times New Roman" w:hAnsi="Times New Roman" w:cs="Times New Roman"/>
          <w:noProof/>
          <w:sz w:val="24"/>
          <w:szCs w:val="24"/>
        </w:rPr>
        <w:t xml:space="preserve">Generalisability: A key to </w:t>
      </w:r>
      <w:r w:rsidR="00143350">
        <w:rPr>
          <w:rFonts w:ascii="Times New Roman" w:hAnsi="Times New Roman" w:cs="Times New Roman"/>
          <w:noProof/>
          <w:sz w:val="24"/>
          <w:szCs w:val="24"/>
        </w:rPr>
        <w:t>unlock professional assessment.</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Medical Education</w:t>
      </w:r>
      <w:r w:rsidR="00143350">
        <w:rPr>
          <w:rFonts w:ascii="Times New Roman" w:hAnsi="Times New Roman" w:cs="Times New Roman"/>
          <w:noProof/>
          <w:sz w:val="24"/>
          <w:szCs w:val="24"/>
        </w:rPr>
        <w:t xml:space="preserve">. </w:t>
      </w:r>
      <w:r w:rsidR="00143350" w:rsidRPr="00143350">
        <w:rPr>
          <w:rFonts w:ascii="Times New Roman" w:hAnsi="Times New Roman" w:cs="Times New Roman"/>
          <w:b/>
          <w:noProof/>
          <w:sz w:val="24"/>
          <w:szCs w:val="24"/>
        </w:rPr>
        <w:t>36</w:t>
      </w:r>
      <w:r w:rsidR="00143350">
        <w:rPr>
          <w:rFonts w:ascii="Times New Roman" w:hAnsi="Times New Roman" w:cs="Times New Roman"/>
          <w:noProof/>
          <w:sz w:val="24"/>
          <w:szCs w:val="24"/>
        </w:rPr>
        <w:t xml:space="preserve">(10), </w:t>
      </w:r>
      <w:r w:rsidRPr="00BE3B6C">
        <w:rPr>
          <w:rFonts w:ascii="Times New Roman" w:hAnsi="Times New Roman" w:cs="Times New Roman"/>
          <w:noProof/>
          <w:sz w:val="24"/>
          <w:szCs w:val="24"/>
        </w:rPr>
        <w:t xml:space="preserve">972–978. </w:t>
      </w:r>
    </w:p>
    <w:p w14:paraId="7FC90BDD" w14:textId="0CC2C55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Crossley, J. </w:t>
      </w:r>
      <w:r w:rsidRPr="00BE3B6C">
        <w:rPr>
          <w:rFonts w:ascii="Times New Roman" w:hAnsi="Times New Roman" w:cs="Times New Roman"/>
          <w:i/>
          <w:iCs/>
          <w:noProof/>
          <w:sz w:val="24"/>
          <w:szCs w:val="24"/>
        </w:rPr>
        <w:t>et al.</w:t>
      </w:r>
      <w:r w:rsidR="00143350">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Good questions, good answers: construct alignment improves the performance of work</w:t>
      </w:r>
      <w:r w:rsidR="00143350">
        <w:rPr>
          <w:rFonts w:ascii="Times New Roman" w:hAnsi="Times New Roman" w:cs="Times New Roman"/>
          <w:noProof/>
          <w:sz w:val="24"/>
          <w:szCs w:val="24"/>
        </w:rPr>
        <w:t xml:space="preserve">place-based assessment scales. </w:t>
      </w:r>
      <w:r w:rsidRPr="00BE3B6C">
        <w:rPr>
          <w:rFonts w:ascii="Times New Roman" w:hAnsi="Times New Roman" w:cs="Times New Roman"/>
          <w:i/>
          <w:iCs/>
          <w:noProof/>
          <w:sz w:val="24"/>
          <w:szCs w:val="24"/>
        </w:rPr>
        <w:t>Medical Education</w:t>
      </w:r>
      <w:r w:rsidR="00143350">
        <w:rPr>
          <w:rFonts w:ascii="Times New Roman" w:hAnsi="Times New Roman" w:cs="Times New Roman"/>
          <w:noProof/>
          <w:sz w:val="24"/>
          <w:szCs w:val="24"/>
        </w:rPr>
        <w:t xml:space="preserve">. </w:t>
      </w:r>
      <w:r w:rsidRPr="00143350">
        <w:rPr>
          <w:rFonts w:ascii="Times New Roman" w:hAnsi="Times New Roman" w:cs="Times New Roman"/>
          <w:b/>
          <w:noProof/>
          <w:sz w:val="24"/>
          <w:szCs w:val="24"/>
        </w:rPr>
        <w:t>45</w:t>
      </w:r>
      <w:r w:rsidR="00143350">
        <w:rPr>
          <w:rFonts w:ascii="Times New Roman" w:hAnsi="Times New Roman" w:cs="Times New Roman"/>
          <w:noProof/>
          <w:sz w:val="24"/>
          <w:szCs w:val="24"/>
        </w:rPr>
        <w:t xml:space="preserve">(6), 560-569. </w:t>
      </w:r>
    </w:p>
    <w:p w14:paraId="09EB494E" w14:textId="5FC397FC"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Cruess, </w:t>
      </w:r>
      <w:r w:rsidR="0073279B">
        <w:rPr>
          <w:rFonts w:ascii="Times New Roman" w:hAnsi="Times New Roman" w:cs="Times New Roman"/>
          <w:noProof/>
          <w:sz w:val="24"/>
          <w:szCs w:val="24"/>
        </w:rPr>
        <w:t xml:space="preserve">S. R. and Cruess, R. L. (1997). </w:t>
      </w:r>
      <w:r w:rsidRPr="00BE3B6C">
        <w:rPr>
          <w:rFonts w:ascii="Times New Roman" w:hAnsi="Times New Roman" w:cs="Times New Roman"/>
          <w:noProof/>
          <w:sz w:val="24"/>
          <w:szCs w:val="24"/>
        </w:rPr>
        <w:t>P</w:t>
      </w:r>
      <w:r w:rsidR="0073279B">
        <w:rPr>
          <w:rFonts w:ascii="Times New Roman" w:hAnsi="Times New Roman" w:cs="Times New Roman"/>
          <w:noProof/>
          <w:sz w:val="24"/>
          <w:szCs w:val="24"/>
        </w:rPr>
        <w:t xml:space="preserve">rofessionalism must be taught. </w:t>
      </w:r>
      <w:r w:rsidRPr="00BE3B6C">
        <w:rPr>
          <w:rFonts w:ascii="Times New Roman" w:hAnsi="Times New Roman" w:cs="Times New Roman"/>
          <w:i/>
          <w:iCs/>
          <w:noProof/>
          <w:sz w:val="24"/>
          <w:szCs w:val="24"/>
        </w:rPr>
        <w:t>B</w:t>
      </w:r>
      <w:r w:rsidR="0073279B">
        <w:rPr>
          <w:rFonts w:ascii="Times New Roman" w:hAnsi="Times New Roman" w:cs="Times New Roman"/>
          <w:i/>
          <w:iCs/>
          <w:noProof/>
          <w:sz w:val="24"/>
          <w:szCs w:val="24"/>
        </w:rPr>
        <w:t xml:space="preserve">ritish </w:t>
      </w:r>
      <w:r w:rsidRPr="00BE3B6C">
        <w:rPr>
          <w:rFonts w:ascii="Times New Roman" w:hAnsi="Times New Roman" w:cs="Times New Roman"/>
          <w:i/>
          <w:iCs/>
          <w:noProof/>
          <w:sz w:val="24"/>
          <w:szCs w:val="24"/>
        </w:rPr>
        <w:t>M</w:t>
      </w:r>
      <w:r w:rsidR="0073279B">
        <w:rPr>
          <w:rFonts w:ascii="Times New Roman" w:hAnsi="Times New Roman" w:cs="Times New Roman"/>
          <w:i/>
          <w:iCs/>
          <w:noProof/>
          <w:sz w:val="24"/>
          <w:szCs w:val="24"/>
        </w:rPr>
        <w:t xml:space="preserve">edical </w:t>
      </w:r>
      <w:r w:rsidRPr="00BE3B6C">
        <w:rPr>
          <w:rFonts w:ascii="Times New Roman" w:hAnsi="Times New Roman" w:cs="Times New Roman"/>
          <w:i/>
          <w:iCs/>
          <w:noProof/>
          <w:sz w:val="24"/>
          <w:szCs w:val="24"/>
        </w:rPr>
        <w:t>J</w:t>
      </w:r>
      <w:r w:rsidR="0073279B">
        <w:rPr>
          <w:rFonts w:ascii="Times New Roman" w:hAnsi="Times New Roman" w:cs="Times New Roman"/>
          <w:i/>
          <w:iCs/>
          <w:noProof/>
          <w:sz w:val="24"/>
          <w:szCs w:val="24"/>
        </w:rPr>
        <w:t>ournal</w:t>
      </w:r>
      <w:r w:rsidR="0073279B">
        <w:rPr>
          <w:rFonts w:ascii="Times New Roman" w:hAnsi="Times New Roman" w:cs="Times New Roman"/>
          <w:noProof/>
          <w:sz w:val="24"/>
          <w:szCs w:val="24"/>
        </w:rPr>
        <w:t xml:space="preserve">. </w:t>
      </w:r>
      <w:r w:rsidR="0073279B" w:rsidRPr="0073279B">
        <w:rPr>
          <w:rFonts w:ascii="Times New Roman" w:hAnsi="Times New Roman" w:cs="Times New Roman"/>
          <w:b/>
          <w:noProof/>
          <w:sz w:val="24"/>
          <w:szCs w:val="24"/>
        </w:rPr>
        <w:t>315</w:t>
      </w:r>
      <w:r w:rsidR="0073279B">
        <w:rPr>
          <w:rFonts w:ascii="Times New Roman" w:hAnsi="Times New Roman" w:cs="Times New Roman"/>
          <w:noProof/>
          <w:sz w:val="24"/>
          <w:szCs w:val="24"/>
        </w:rPr>
        <w:t xml:space="preserve">(7123), 1674–1677. </w:t>
      </w:r>
    </w:p>
    <w:p w14:paraId="6DAA8E43" w14:textId="1AF0F419" w:rsidR="00C04945" w:rsidRPr="00BE3B6C" w:rsidRDefault="00C04945"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Cruess, </w:t>
      </w:r>
      <w:r>
        <w:rPr>
          <w:rFonts w:ascii="Times New Roman" w:hAnsi="Times New Roman" w:cs="Times New Roman"/>
          <w:noProof/>
          <w:sz w:val="24"/>
          <w:szCs w:val="24"/>
        </w:rPr>
        <w:t xml:space="preserve">S. </w:t>
      </w:r>
      <w:r w:rsidRPr="00BE3B6C">
        <w:rPr>
          <w:rFonts w:ascii="Times New Roman" w:hAnsi="Times New Roman" w:cs="Times New Roman"/>
          <w:noProof/>
          <w:sz w:val="24"/>
          <w:szCs w:val="24"/>
        </w:rPr>
        <w:t xml:space="preserve">R. </w:t>
      </w:r>
      <w:r w:rsidRPr="00BE3B6C">
        <w:rPr>
          <w:rFonts w:ascii="Times New Roman" w:hAnsi="Times New Roman" w:cs="Times New Roman"/>
          <w:i/>
          <w:iCs/>
          <w:noProof/>
          <w:sz w:val="24"/>
          <w:szCs w:val="24"/>
        </w:rPr>
        <w:t>et al.</w:t>
      </w:r>
      <w:r>
        <w:rPr>
          <w:rFonts w:ascii="Times New Roman" w:hAnsi="Times New Roman" w:cs="Times New Roman"/>
          <w:noProof/>
          <w:sz w:val="24"/>
          <w:szCs w:val="24"/>
        </w:rPr>
        <w:t xml:space="preserve"> (2006). </w:t>
      </w:r>
      <w:r w:rsidRPr="00BE3B6C">
        <w:rPr>
          <w:rFonts w:ascii="Times New Roman" w:hAnsi="Times New Roman" w:cs="Times New Roman"/>
          <w:noProof/>
          <w:sz w:val="24"/>
          <w:szCs w:val="24"/>
        </w:rPr>
        <w:t>The Professionalism Mini-evaluation Exercise:</w:t>
      </w:r>
      <w:r>
        <w:rPr>
          <w:rFonts w:ascii="Times New Roman" w:hAnsi="Times New Roman" w:cs="Times New Roman"/>
          <w:noProof/>
          <w:sz w:val="24"/>
          <w:szCs w:val="24"/>
        </w:rPr>
        <w:t xml:space="preserve"> a preliminary investigation. </w:t>
      </w:r>
      <w:r w:rsidRPr="00BE3B6C">
        <w:rPr>
          <w:rFonts w:ascii="Times New Roman" w:hAnsi="Times New Roman" w:cs="Times New Roman"/>
          <w:i/>
          <w:iCs/>
          <w:noProof/>
          <w:sz w:val="24"/>
          <w:szCs w:val="24"/>
        </w:rPr>
        <w:t xml:space="preserve">Academic medicine : </w:t>
      </w:r>
      <w:r>
        <w:rPr>
          <w:rFonts w:ascii="Times New Roman" w:hAnsi="Times New Roman" w:cs="Times New Roman"/>
          <w:i/>
          <w:iCs/>
          <w:noProof/>
          <w:sz w:val="24"/>
          <w:szCs w:val="24"/>
        </w:rPr>
        <w:t>J</w:t>
      </w:r>
      <w:r w:rsidRPr="00BE3B6C">
        <w:rPr>
          <w:rFonts w:ascii="Times New Roman" w:hAnsi="Times New Roman" w:cs="Times New Roman"/>
          <w:i/>
          <w:iCs/>
          <w:noProof/>
          <w:sz w:val="24"/>
          <w:szCs w:val="24"/>
        </w:rPr>
        <w:t>ournal of the Association of American Medical Colleges</w:t>
      </w:r>
      <w:r>
        <w:rPr>
          <w:rFonts w:ascii="Times New Roman" w:hAnsi="Times New Roman" w:cs="Times New Roman"/>
          <w:noProof/>
          <w:sz w:val="24"/>
          <w:szCs w:val="24"/>
        </w:rPr>
        <w:t xml:space="preserve">. </w:t>
      </w:r>
      <w:r w:rsidRPr="00A22721">
        <w:rPr>
          <w:rFonts w:ascii="Times New Roman" w:hAnsi="Times New Roman" w:cs="Times New Roman"/>
          <w:b/>
          <w:noProof/>
          <w:sz w:val="24"/>
          <w:szCs w:val="24"/>
        </w:rPr>
        <w:t>81</w:t>
      </w:r>
      <w:r>
        <w:rPr>
          <w:rFonts w:ascii="Times New Roman" w:hAnsi="Times New Roman" w:cs="Times New Roman"/>
          <w:noProof/>
          <w:sz w:val="24"/>
          <w:szCs w:val="24"/>
        </w:rPr>
        <w:t xml:space="preserve">(10 Suppl), S74-78. </w:t>
      </w:r>
    </w:p>
    <w:p w14:paraId="2267DE53" w14:textId="62D2CFBA" w:rsidR="00BE3B6C" w:rsidRPr="00BE3B6C" w:rsidRDefault="0073279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Cusimano, M. D. (1996). </w:t>
      </w:r>
      <w:r w:rsidR="00BE3B6C" w:rsidRPr="00BE3B6C">
        <w:rPr>
          <w:rFonts w:ascii="Times New Roman" w:hAnsi="Times New Roman" w:cs="Times New Roman"/>
          <w:noProof/>
          <w:sz w:val="24"/>
          <w:szCs w:val="24"/>
        </w:rPr>
        <w:t>Standard</w:t>
      </w:r>
      <w:r>
        <w:rPr>
          <w:rFonts w:ascii="Times New Roman" w:hAnsi="Times New Roman" w:cs="Times New Roman"/>
          <w:noProof/>
          <w:sz w:val="24"/>
          <w:szCs w:val="24"/>
        </w:rPr>
        <w:t xml:space="preserve"> setting in medical education. </w:t>
      </w:r>
      <w:r w:rsidR="00BE3B6C" w:rsidRPr="00BE3B6C">
        <w:rPr>
          <w:rFonts w:ascii="Times New Roman" w:hAnsi="Times New Roman" w:cs="Times New Roman"/>
          <w:i/>
          <w:iCs/>
          <w:noProof/>
          <w:sz w:val="24"/>
          <w:szCs w:val="24"/>
        </w:rPr>
        <w:t>Academic Medicine</w:t>
      </w:r>
      <w:r>
        <w:rPr>
          <w:rFonts w:ascii="Times New Roman" w:hAnsi="Times New Roman" w:cs="Times New Roman"/>
          <w:noProof/>
          <w:sz w:val="24"/>
          <w:szCs w:val="24"/>
        </w:rPr>
        <w:t>. 71(</w:t>
      </w:r>
      <w:r w:rsidRPr="0073279B">
        <w:rPr>
          <w:rFonts w:ascii="Times New Roman" w:hAnsi="Times New Roman" w:cs="Times New Roman"/>
          <w:b/>
          <w:noProof/>
          <w:sz w:val="24"/>
          <w:szCs w:val="24"/>
        </w:rPr>
        <w:t>10</w:t>
      </w:r>
      <w:r>
        <w:rPr>
          <w:rFonts w:ascii="Times New Roman" w:hAnsi="Times New Roman" w:cs="Times New Roman"/>
          <w:noProof/>
          <w:sz w:val="24"/>
          <w:szCs w:val="24"/>
        </w:rPr>
        <w:t>), 112-20.</w:t>
      </w:r>
    </w:p>
    <w:p w14:paraId="05C8D758" w14:textId="2A1678EA"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Dalton, L. W., Page, </w:t>
      </w:r>
      <w:r w:rsidR="0073279B">
        <w:rPr>
          <w:rFonts w:ascii="Times New Roman" w:hAnsi="Times New Roman" w:cs="Times New Roman"/>
          <w:noProof/>
          <w:sz w:val="24"/>
          <w:szCs w:val="24"/>
        </w:rPr>
        <w:t xml:space="preserve">D. L. and Dupont, W. D. (1994). </w:t>
      </w:r>
      <w:r w:rsidRPr="00BE3B6C">
        <w:rPr>
          <w:rFonts w:ascii="Times New Roman" w:hAnsi="Times New Roman" w:cs="Times New Roman"/>
          <w:noProof/>
          <w:sz w:val="24"/>
          <w:szCs w:val="24"/>
        </w:rPr>
        <w:t xml:space="preserve">Histologic grading of breast </w:t>
      </w:r>
      <w:r w:rsidRPr="00BE3B6C">
        <w:rPr>
          <w:rFonts w:ascii="Times New Roman" w:hAnsi="Times New Roman" w:cs="Times New Roman"/>
          <w:noProof/>
          <w:sz w:val="24"/>
          <w:szCs w:val="24"/>
        </w:rPr>
        <w:lastRenderedPageBreak/>
        <w:t>carcinoma. A reproducibility s</w:t>
      </w:r>
      <w:r w:rsidR="0073279B">
        <w:rPr>
          <w:rFonts w:ascii="Times New Roman" w:hAnsi="Times New Roman" w:cs="Times New Roman"/>
          <w:noProof/>
          <w:sz w:val="24"/>
          <w:szCs w:val="24"/>
        </w:rPr>
        <w:t xml:space="preserve">tudy. </w:t>
      </w:r>
      <w:r w:rsidRPr="00BE3B6C">
        <w:rPr>
          <w:rFonts w:ascii="Times New Roman" w:hAnsi="Times New Roman" w:cs="Times New Roman"/>
          <w:i/>
          <w:iCs/>
          <w:noProof/>
          <w:sz w:val="24"/>
          <w:szCs w:val="24"/>
        </w:rPr>
        <w:t>Cancer</w:t>
      </w:r>
      <w:r w:rsidR="0073279B">
        <w:rPr>
          <w:rFonts w:ascii="Times New Roman" w:hAnsi="Times New Roman" w:cs="Times New Roman"/>
          <w:noProof/>
          <w:sz w:val="24"/>
          <w:szCs w:val="24"/>
        </w:rPr>
        <w:t xml:space="preserve">. </w:t>
      </w:r>
      <w:r w:rsidR="0073279B" w:rsidRPr="0073279B">
        <w:rPr>
          <w:rFonts w:ascii="Times New Roman" w:hAnsi="Times New Roman" w:cs="Times New Roman"/>
          <w:b/>
          <w:noProof/>
          <w:sz w:val="24"/>
          <w:szCs w:val="24"/>
        </w:rPr>
        <w:t>73</w:t>
      </w:r>
      <w:r w:rsidR="0073279B">
        <w:rPr>
          <w:rFonts w:ascii="Times New Roman" w:hAnsi="Times New Roman" w:cs="Times New Roman"/>
          <w:noProof/>
          <w:sz w:val="24"/>
          <w:szCs w:val="24"/>
        </w:rPr>
        <w:t xml:space="preserve">(11), 2765–2770. </w:t>
      </w:r>
    </w:p>
    <w:p w14:paraId="7AF2F675" w14:textId="53661D33" w:rsidR="0073279B"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Damodaran, A., Sh</w:t>
      </w:r>
      <w:r w:rsidR="0073279B">
        <w:rPr>
          <w:rFonts w:ascii="Times New Roman" w:hAnsi="Times New Roman" w:cs="Times New Roman"/>
          <w:noProof/>
          <w:sz w:val="24"/>
          <w:szCs w:val="24"/>
        </w:rPr>
        <w:t xml:space="preserve">ulruf, B. and Jones, P. (2017). </w:t>
      </w:r>
      <w:r w:rsidRPr="00BE3B6C">
        <w:rPr>
          <w:rFonts w:ascii="Times New Roman" w:hAnsi="Times New Roman" w:cs="Times New Roman"/>
          <w:noProof/>
          <w:sz w:val="24"/>
          <w:szCs w:val="24"/>
        </w:rPr>
        <w:t>“Trust” versus</w:t>
      </w:r>
      <w:r w:rsidR="0073279B">
        <w:rPr>
          <w:rFonts w:ascii="Times New Roman" w:hAnsi="Times New Roman" w:cs="Times New Roman"/>
          <w:noProof/>
          <w:sz w:val="24"/>
          <w:szCs w:val="24"/>
        </w:rPr>
        <w:t xml:space="preserve"> “competency” in the workplace.</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Medical Education</w:t>
      </w:r>
      <w:r w:rsidR="0073279B">
        <w:rPr>
          <w:rFonts w:ascii="Times New Roman" w:hAnsi="Times New Roman" w:cs="Times New Roman"/>
          <w:noProof/>
          <w:sz w:val="24"/>
          <w:szCs w:val="24"/>
        </w:rPr>
        <w:t xml:space="preserve">. </w:t>
      </w:r>
      <w:r w:rsidR="0073279B" w:rsidRPr="0073279B">
        <w:rPr>
          <w:rFonts w:ascii="Times New Roman" w:hAnsi="Times New Roman" w:cs="Times New Roman"/>
          <w:b/>
          <w:noProof/>
          <w:sz w:val="24"/>
          <w:szCs w:val="24"/>
        </w:rPr>
        <w:t>51</w:t>
      </w:r>
      <w:r w:rsidR="0073279B">
        <w:rPr>
          <w:rFonts w:ascii="Times New Roman" w:hAnsi="Times New Roman" w:cs="Times New Roman"/>
          <w:noProof/>
          <w:sz w:val="24"/>
          <w:szCs w:val="24"/>
        </w:rPr>
        <w:t>(3), 338-338.</w:t>
      </w:r>
      <w:r w:rsidRPr="00BE3B6C">
        <w:rPr>
          <w:rFonts w:ascii="Times New Roman" w:hAnsi="Times New Roman" w:cs="Times New Roman"/>
          <w:noProof/>
          <w:sz w:val="24"/>
          <w:szCs w:val="24"/>
        </w:rPr>
        <w:t xml:space="preserve"> </w:t>
      </w:r>
    </w:p>
    <w:p w14:paraId="05CB6B47" w14:textId="022E8591" w:rsidR="00BE3B6C" w:rsidRPr="00BE3B6C" w:rsidRDefault="0073279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Daniel, W. (1999). </w:t>
      </w:r>
      <w:r w:rsidR="00BE3B6C" w:rsidRPr="00BE3B6C">
        <w:rPr>
          <w:rFonts w:ascii="Times New Roman" w:hAnsi="Times New Roman" w:cs="Times New Roman"/>
          <w:i/>
          <w:iCs/>
          <w:noProof/>
          <w:sz w:val="24"/>
          <w:szCs w:val="24"/>
        </w:rPr>
        <w:t>Biostatistics: A Foundation for Analysis in the Health Sciences.</w:t>
      </w:r>
      <w:r>
        <w:rPr>
          <w:rFonts w:ascii="Times New Roman" w:hAnsi="Times New Roman" w:cs="Times New Roman"/>
          <w:noProof/>
          <w:sz w:val="24"/>
          <w:szCs w:val="24"/>
        </w:rPr>
        <w:t xml:space="preserve"> 7th Ed</w:t>
      </w:r>
      <w:r w:rsidR="00BE3B6C" w:rsidRPr="00BE3B6C">
        <w:rPr>
          <w:rFonts w:ascii="Times New Roman" w:hAnsi="Times New Roman" w:cs="Times New Roman"/>
          <w:noProof/>
          <w:sz w:val="24"/>
          <w:szCs w:val="24"/>
        </w:rPr>
        <w:t>. New York, NY: John Wiley &amp; Sons, Ltd.</w:t>
      </w:r>
    </w:p>
    <w:p w14:paraId="67DF48D9" w14:textId="670B665D" w:rsidR="00BE3B6C" w:rsidRPr="00BE3B6C" w:rsidRDefault="0073279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Dauphinee, W. D. (1995). </w:t>
      </w:r>
      <w:r w:rsidR="00BE3B6C" w:rsidRPr="00BE3B6C">
        <w:rPr>
          <w:rFonts w:ascii="Times New Roman" w:hAnsi="Times New Roman" w:cs="Times New Roman"/>
          <w:noProof/>
          <w:sz w:val="24"/>
          <w:szCs w:val="24"/>
        </w:rPr>
        <w:t>Assessing clinical performance: Where do we st</w:t>
      </w:r>
      <w:r>
        <w:rPr>
          <w:rFonts w:ascii="Times New Roman" w:hAnsi="Times New Roman" w:cs="Times New Roman"/>
          <w:noProof/>
          <w:sz w:val="24"/>
          <w:szCs w:val="24"/>
        </w:rPr>
        <w:t xml:space="preserve">and and what might we expect?. </w:t>
      </w:r>
      <w:r w:rsidR="00BE3B6C" w:rsidRPr="00BE3B6C">
        <w:rPr>
          <w:rFonts w:ascii="Times New Roman" w:hAnsi="Times New Roman" w:cs="Times New Roman"/>
          <w:i/>
          <w:iCs/>
          <w:noProof/>
          <w:sz w:val="24"/>
          <w:szCs w:val="24"/>
        </w:rPr>
        <w:t>The Journal of the American Medical Association</w:t>
      </w:r>
      <w:r>
        <w:rPr>
          <w:rFonts w:ascii="Times New Roman" w:hAnsi="Times New Roman" w:cs="Times New Roman"/>
          <w:noProof/>
          <w:sz w:val="24"/>
          <w:szCs w:val="24"/>
        </w:rPr>
        <w:t xml:space="preserve">. </w:t>
      </w:r>
      <w:r w:rsidRPr="0073279B">
        <w:rPr>
          <w:rFonts w:ascii="Times New Roman" w:hAnsi="Times New Roman" w:cs="Times New Roman"/>
          <w:b/>
          <w:noProof/>
          <w:sz w:val="24"/>
          <w:szCs w:val="24"/>
        </w:rPr>
        <w:t>274</w:t>
      </w:r>
      <w:r>
        <w:rPr>
          <w:rFonts w:ascii="Times New Roman" w:hAnsi="Times New Roman" w:cs="Times New Roman"/>
          <w:noProof/>
          <w:sz w:val="24"/>
          <w:szCs w:val="24"/>
        </w:rPr>
        <w:t xml:space="preserve">(9), </w:t>
      </w:r>
      <w:r w:rsidR="00BE3B6C" w:rsidRPr="00BE3B6C">
        <w:rPr>
          <w:rFonts w:ascii="Times New Roman" w:hAnsi="Times New Roman" w:cs="Times New Roman"/>
          <w:noProof/>
          <w:sz w:val="24"/>
          <w:szCs w:val="24"/>
        </w:rPr>
        <w:t>741–743.</w:t>
      </w:r>
    </w:p>
    <w:p w14:paraId="7BFAA6A9" w14:textId="1F7443E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Davey, D. D. </w:t>
      </w:r>
      <w:r w:rsidRPr="00BE3B6C">
        <w:rPr>
          <w:rFonts w:ascii="Times New Roman" w:hAnsi="Times New Roman" w:cs="Times New Roman"/>
          <w:i/>
          <w:iCs/>
          <w:noProof/>
          <w:sz w:val="24"/>
          <w:szCs w:val="24"/>
        </w:rPr>
        <w:t>et al.</w:t>
      </w:r>
      <w:r w:rsidR="0073279B">
        <w:rPr>
          <w:rFonts w:ascii="Times New Roman" w:hAnsi="Times New Roman" w:cs="Times New Roman"/>
          <w:noProof/>
          <w:sz w:val="24"/>
          <w:szCs w:val="24"/>
        </w:rPr>
        <w:t xml:space="preserve"> (1996). </w:t>
      </w:r>
      <w:r w:rsidRPr="00BE3B6C">
        <w:rPr>
          <w:rFonts w:ascii="Times New Roman" w:hAnsi="Times New Roman" w:cs="Times New Roman"/>
          <w:noProof/>
          <w:sz w:val="24"/>
          <w:szCs w:val="24"/>
        </w:rPr>
        <w:t>Cytopathology and the pathology resident: A survey o</w:t>
      </w:r>
      <w:r w:rsidR="0073279B">
        <w:rPr>
          <w:rFonts w:ascii="Times New Roman" w:hAnsi="Times New Roman" w:cs="Times New Roman"/>
          <w:noProof/>
          <w:sz w:val="24"/>
          <w:szCs w:val="24"/>
        </w:rPr>
        <w:t xml:space="preserve">f residency program directors. </w:t>
      </w:r>
      <w:r w:rsidRPr="00BE3B6C">
        <w:rPr>
          <w:rFonts w:ascii="Times New Roman" w:hAnsi="Times New Roman" w:cs="Times New Roman"/>
          <w:i/>
          <w:iCs/>
          <w:noProof/>
          <w:sz w:val="24"/>
          <w:szCs w:val="24"/>
        </w:rPr>
        <w:t>Archives of Pathology and Laboratory Medicine</w:t>
      </w:r>
      <w:r w:rsidR="0073279B">
        <w:rPr>
          <w:rFonts w:ascii="Times New Roman" w:hAnsi="Times New Roman" w:cs="Times New Roman"/>
          <w:noProof/>
          <w:sz w:val="24"/>
          <w:szCs w:val="24"/>
        </w:rPr>
        <w:t xml:space="preserve">. </w:t>
      </w:r>
      <w:r w:rsidR="0073279B" w:rsidRPr="0073279B">
        <w:rPr>
          <w:rFonts w:ascii="Times New Roman" w:hAnsi="Times New Roman" w:cs="Times New Roman"/>
          <w:b/>
          <w:noProof/>
          <w:sz w:val="24"/>
          <w:szCs w:val="24"/>
        </w:rPr>
        <w:t>120</w:t>
      </w:r>
      <w:r w:rsidR="0073279B">
        <w:rPr>
          <w:rFonts w:ascii="Times New Roman" w:hAnsi="Times New Roman" w:cs="Times New Roman"/>
          <w:noProof/>
          <w:sz w:val="24"/>
          <w:szCs w:val="24"/>
        </w:rPr>
        <w:t xml:space="preserve">(1), </w:t>
      </w:r>
      <w:r w:rsidRPr="00BE3B6C">
        <w:rPr>
          <w:rFonts w:ascii="Times New Roman" w:hAnsi="Times New Roman" w:cs="Times New Roman"/>
          <w:noProof/>
          <w:sz w:val="24"/>
          <w:szCs w:val="24"/>
        </w:rPr>
        <w:t>101–104.</w:t>
      </w:r>
    </w:p>
    <w:p w14:paraId="68BBE54E" w14:textId="095B1300"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Davies, H. </w:t>
      </w:r>
      <w:r w:rsidRPr="00BE3B6C">
        <w:rPr>
          <w:rFonts w:ascii="Times New Roman" w:hAnsi="Times New Roman" w:cs="Times New Roman"/>
          <w:i/>
          <w:iCs/>
          <w:noProof/>
          <w:sz w:val="24"/>
          <w:szCs w:val="24"/>
        </w:rPr>
        <w:t>et al.</w:t>
      </w:r>
      <w:r w:rsidR="0073279B">
        <w:rPr>
          <w:rFonts w:ascii="Times New Roman" w:hAnsi="Times New Roman" w:cs="Times New Roman"/>
          <w:noProof/>
          <w:sz w:val="24"/>
          <w:szCs w:val="24"/>
        </w:rPr>
        <w:t xml:space="preserve"> (2009). </w:t>
      </w:r>
      <w:r w:rsidRPr="00BE3B6C">
        <w:rPr>
          <w:rFonts w:ascii="Times New Roman" w:hAnsi="Times New Roman" w:cs="Times New Roman"/>
          <w:noProof/>
          <w:sz w:val="24"/>
          <w:szCs w:val="24"/>
        </w:rPr>
        <w:t>Initial evaluation of the first year of the Fo</w:t>
      </w:r>
      <w:r w:rsidR="0073279B">
        <w:rPr>
          <w:rFonts w:ascii="Times New Roman" w:hAnsi="Times New Roman" w:cs="Times New Roman"/>
          <w:noProof/>
          <w:sz w:val="24"/>
          <w:szCs w:val="24"/>
        </w:rPr>
        <w:t xml:space="preserve">undation Assessment Programme. </w:t>
      </w:r>
      <w:r w:rsidRPr="00BE3B6C">
        <w:rPr>
          <w:rFonts w:ascii="Times New Roman" w:hAnsi="Times New Roman" w:cs="Times New Roman"/>
          <w:i/>
          <w:iCs/>
          <w:noProof/>
          <w:sz w:val="24"/>
          <w:szCs w:val="24"/>
        </w:rPr>
        <w:t>Medical Education</w:t>
      </w:r>
      <w:r w:rsidR="0073279B">
        <w:rPr>
          <w:rFonts w:ascii="Times New Roman" w:hAnsi="Times New Roman" w:cs="Times New Roman"/>
          <w:noProof/>
          <w:sz w:val="24"/>
          <w:szCs w:val="24"/>
        </w:rPr>
        <w:t xml:space="preserve">. </w:t>
      </w:r>
      <w:r w:rsidRPr="0073279B">
        <w:rPr>
          <w:rFonts w:ascii="Times New Roman" w:hAnsi="Times New Roman" w:cs="Times New Roman"/>
          <w:b/>
          <w:noProof/>
          <w:sz w:val="24"/>
          <w:szCs w:val="24"/>
        </w:rPr>
        <w:t>43</w:t>
      </w:r>
      <w:r w:rsidRPr="00BE3B6C">
        <w:rPr>
          <w:rFonts w:ascii="Times New Roman" w:hAnsi="Times New Roman" w:cs="Times New Roman"/>
          <w:noProof/>
          <w:sz w:val="24"/>
          <w:szCs w:val="24"/>
        </w:rPr>
        <w:t>(1),</w:t>
      </w:r>
      <w:r w:rsidR="0073279B">
        <w:rPr>
          <w:rFonts w:ascii="Times New Roman" w:hAnsi="Times New Roman" w:cs="Times New Roman"/>
          <w:noProof/>
          <w:sz w:val="24"/>
          <w:szCs w:val="24"/>
        </w:rPr>
        <w:t xml:space="preserve"> 74–81.</w:t>
      </w:r>
    </w:p>
    <w:p w14:paraId="0B58E36A" w14:textId="6D7C61C8"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Dean, B. J.</w:t>
      </w:r>
      <w:r w:rsidR="00D873A9">
        <w:rPr>
          <w:rFonts w:ascii="Times New Roman" w:hAnsi="Times New Roman" w:cs="Times New Roman"/>
          <w:noProof/>
          <w:sz w:val="24"/>
          <w:szCs w:val="24"/>
        </w:rPr>
        <w:t xml:space="preserve"> F. and Duggleby, P. M. (2013). </w:t>
      </w:r>
      <w:r w:rsidRPr="00BE3B6C">
        <w:rPr>
          <w:rFonts w:ascii="Times New Roman" w:hAnsi="Times New Roman" w:cs="Times New Roman"/>
          <w:noProof/>
          <w:sz w:val="24"/>
          <w:szCs w:val="24"/>
        </w:rPr>
        <w:t>Foundation doctors’ experience of their tr</w:t>
      </w:r>
      <w:r w:rsidR="00D873A9">
        <w:rPr>
          <w:rFonts w:ascii="Times New Roman" w:hAnsi="Times New Roman" w:cs="Times New Roman"/>
          <w:noProof/>
          <w:sz w:val="24"/>
          <w:szCs w:val="24"/>
        </w:rPr>
        <w:t xml:space="preserve">aining: a questionnaire study. </w:t>
      </w:r>
      <w:r w:rsidRPr="00BE3B6C">
        <w:rPr>
          <w:rFonts w:ascii="Times New Roman" w:hAnsi="Times New Roman" w:cs="Times New Roman"/>
          <w:i/>
          <w:iCs/>
          <w:noProof/>
          <w:sz w:val="24"/>
          <w:szCs w:val="24"/>
        </w:rPr>
        <w:t>JRSM Short Reports</w:t>
      </w:r>
      <w:r w:rsidR="00D873A9">
        <w:rPr>
          <w:rFonts w:ascii="Times New Roman" w:hAnsi="Times New Roman" w:cs="Times New Roman"/>
          <w:noProof/>
          <w:sz w:val="24"/>
          <w:szCs w:val="24"/>
        </w:rPr>
        <w:t xml:space="preserve">. </w:t>
      </w:r>
      <w:r w:rsidR="00D873A9" w:rsidRPr="00D873A9">
        <w:rPr>
          <w:rFonts w:ascii="Times New Roman" w:hAnsi="Times New Roman" w:cs="Times New Roman"/>
          <w:b/>
          <w:noProof/>
          <w:sz w:val="24"/>
          <w:szCs w:val="24"/>
        </w:rPr>
        <w:t>4</w:t>
      </w:r>
      <w:r w:rsidR="00D873A9">
        <w:rPr>
          <w:rFonts w:ascii="Times New Roman" w:hAnsi="Times New Roman" w:cs="Times New Roman"/>
          <w:noProof/>
          <w:sz w:val="24"/>
          <w:szCs w:val="24"/>
        </w:rPr>
        <w:t xml:space="preserve">(1), 1–7. </w:t>
      </w:r>
    </w:p>
    <w:p w14:paraId="64667EE6" w14:textId="7032A226" w:rsidR="00D873A9"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Denzin, N. K. and Li</w:t>
      </w:r>
      <w:r w:rsidR="00D873A9">
        <w:rPr>
          <w:rFonts w:ascii="Times New Roman" w:hAnsi="Times New Roman" w:cs="Times New Roman"/>
          <w:noProof/>
          <w:sz w:val="24"/>
          <w:szCs w:val="24"/>
        </w:rPr>
        <w:t xml:space="preserve">ncoln, Y. S. (2005). Introduction: </w:t>
      </w:r>
      <w:r w:rsidRPr="00BE3B6C">
        <w:rPr>
          <w:rFonts w:ascii="Times New Roman" w:hAnsi="Times New Roman" w:cs="Times New Roman"/>
          <w:noProof/>
          <w:sz w:val="24"/>
          <w:szCs w:val="24"/>
        </w:rPr>
        <w:t>The Discipline and Pr</w:t>
      </w:r>
      <w:r w:rsidR="00D873A9">
        <w:rPr>
          <w:rFonts w:ascii="Times New Roman" w:hAnsi="Times New Roman" w:cs="Times New Roman"/>
          <w:noProof/>
          <w:sz w:val="24"/>
          <w:szCs w:val="24"/>
        </w:rPr>
        <w:t>actice of Qualitative Research. I</w:t>
      </w:r>
      <w:r w:rsidRPr="00BE3B6C">
        <w:rPr>
          <w:rFonts w:ascii="Times New Roman" w:hAnsi="Times New Roman" w:cs="Times New Roman"/>
          <w:noProof/>
          <w:sz w:val="24"/>
          <w:szCs w:val="24"/>
        </w:rPr>
        <w:t>n</w:t>
      </w:r>
      <w:r w:rsidR="00D873A9">
        <w:rPr>
          <w:rFonts w:ascii="Times New Roman" w:hAnsi="Times New Roman" w:cs="Times New Roman"/>
          <w:noProof/>
          <w:sz w:val="24"/>
          <w:szCs w:val="24"/>
        </w:rPr>
        <w:t>: N. K. Denzin and Y.S. Lincoln, eds.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Handbook of Qualitative Research</w:t>
      </w:r>
      <w:r w:rsidR="00D873A9">
        <w:rPr>
          <w:rFonts w:ascii="Times New Roman" w:hAnsi="Times New Roman" w:cs="Times New Roman"/>
          <w:noProof/>
          <w:sz w:val="24"/>
          <w:szCs w:val="24"/>
        </w:rPr>
        <w:t>. Thousand Oaks, California: Sage publishing Ltd. pp. 1–32</w:t>
      </w:r>
      <w:r w:rsidRPr="00BE3B6C">
        <w:rPr>
          <w:rFonts w:ascii="Times New Roman" w:hAnsi="Times New Roman" w:cs="Times New Roman"/>
          <w:noProof/>
          <w:sz w:val="24"/>
          <w:szCs w:val="24"/>
        </w:rPr>
        <w:t>.</w:t>
      </w:r>
    </w:p>
    <w:p w14:paraId="19F6DB7F" w14:textId="7B94A549" w:rsidR="00BE3B6C" w:rsidRDefault="0070345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Department of Health. (2007). </w:t>
      </w:r>
      <w:r w:rsidR="00BE3B6C" w:rsidRPr="00BE3B6C">
        <w:rPr>
          <w:rFonts w:ascii="Times New Roman" w:hAnsi="Times New Roman" w:cs="Times New Roman"/>
          <w:i/>
          <w:iCs/>
          <w:noProof/>
          <w:sz w:val="24"/>
          <w:szCs w:val="24"/>
        </w:rPr>
        <w:t>A</w:t>
      </w:r>
      <w:r>
        <w:rPr>
          <w:rFonts w:ascii="Times New Roman" w:hAnsi="Times New Roman" w:cs="Times New Roman"/>
          <w:i/>
          <w:iCs/>
          <w:noProof/>
          <w:sz w:val="24"/>
          <w:szCs w:val="24"/>
        </w:rPr>
        <w:t xml:space="preserve"> Reference</w:t>
      </w:r>
      <w:r w:rsidR="00BE3B6C" w:rsidRPr="00BE3B6C">
        <w:rPr>
          <w:rFonts w:ascii="Times New Roman" w:hAnsi="Times New Roman" w:cs="Times New Roman"/>
          <w:i/>
          <w:iCs/>
          <w:noProof/>
          <w:sz w:val="24"/>
          <w:szCs w:val="24"/>
        </w:rPr>
        <w:t xml:space="preserve"> Guide to Postgraduate Specialty Training in the UK: The Gold Guide.</w:t>
      </w:r>
      <w:r w:rsidR="005B2717">
        <w:rPr>
          <w:rFonts w:ascii="Times New Roman" w:hAnsi="Times New Roman" w:cs="Times New Roman"/>
          <w:noProof/>
          <w:sz w:val="24"/>
          <w:szCs w:val="24"/>
        </w:rPr>
        <w:t xml:space="preserve"> London:</w:t>
      </w:r>
      <w:r w:rsidR="00BE3B6C" w:rsidRPr="00BE3B6C">
        <w:rPr>
          <w:rFonts w:ascii="Times New Roman" w:hAnsi="Times New Roman" w:cs="Times New Roman"/>
          <w:noProof/>
          <w:sz w:val="24"/>
          <w:szCs w:val="24"/>
        </w:rPr>
        <w:t xml:space="preserve"> </w:t>
      </w:r>
      <w:r w:rsidR="005B2717">
        <w:rPr>
          <w:rFonts w:ascii="Times New Roman" w:hAnsi="Times New Roman" w:cs="Times New Roman"/>
          <w:noProof/>
          <w:sz w:val="24"/>
          <w:szCs w:val="24"/>
        </w:rPr>
        <w:t>Department of Health.</w:t>
      </w:r>
    </w:p>
    <w:p w14:paraId="2E4F4884" w14:textId="126E737E"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Diamond, I. R. </w:t>
      </w:r>
      <w:r w:rsidRPr="00BE3B6C">
        <w:rPr>
          <w:rFonts w:ascii="Times New Roman" w:hAnsi="Times New Roman" w:cs="Times New Roman"/>
          <w:i/>
          <w:iCs/>
          <w:noProof/>
          <w:sz w:val="24"/>
          <w:szCs w:val="24"/>
        </w:rPr>
        <w:t>et al.</w:t>
      </w:r>
      <w:r w:rsidR="005B2717">
        <w:rPr>
          <w:rFonts w:ascii="Times New Roman" w:hAnsi="Times New Roman" w:cs="Times New Roman"/>
          <w:noProof/>
          <w:sz w:val="24"/>
          <w:szCs w:val="24"/>
        </w:rPr>
        <w:t xml:space="preserve"> (2014). </w:t>
      </w:r>
      <w:r w:rsidRPr="00BE3B6C">
        <w:rPr>
          <w:rFonts w:ascii="Times New Roman" w:hAnsi="Times New Roman" w:cs="Times New Roman"/>
          <w:noProof/>
          <w:sz w:val="24"/>
          <w:szCs w:val="24"/>
        </w:rPr>
        <w:t>Defining consensus: A systematic review recommends methodologic criteria fo</w:t>
      </w:r>
      <w:r w:rsidR="005B2717">
        <w:rPr>
          <w:rFonts w:ascii="Times New Roman" w:hAnsi="Times New Roman" w:cs="Times New Roman"/>
          <w:noProof/>
          <w:sz w:val="24"/>
          <w:szCs w:val="24"/>
        </w:rPr>
        <w:t xml:space="preserve">r reporting of Delphi studies. </w:t>
      </w:r>
      <w:r w:rsidRPr="00BE3B6C">
        <w:rPr>
          <w:rFonts w:ascii="Times New Roman" w:hAnsi="Times New Roman" w:cs="Times New Roman"/>
          <w:i/>
          <w:iCs/>
          <w:noProof/>
          <w:sz w:val="24"/>
          <w:szCs w:val="24"/>
        </w:rPr>
        <w:t>Journal of Clinical Epidemiology</w:t>
      </w:r>
      <w:r w:rsidR="005B2717">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5B2717">
        <w:rPr>
          <w:rFonts w:ascii="Times New Roman" w:hAnsi="Times New Roman" w:cs="Times New Roman"/>
          <w:b/>
          <w:noProof/>
          <w:sz w:val="24"/>
          <w:szCs w:val="24"/>
        </w:rPr>
        <w:t>67</w:t>
      </w:r>
      <w:r w:rsidRPr="00BE3B6C">
        <w:rPr>
          <w:rFonts w:ascii="Times New Roman" w:hAnsi="Times New Roman" w:cs="Times New Roman"/>
          <w:noProof/>
          <w:sz w:val="24"/>
          <w:szCs w:val="24"/>
        </w:rPr>
        <w:t>(4)</w:t>
      </w:r>
      <w:r w:rsidR="005B2717">
        <w:rPr>
          <w:rFonts w:ascii="Times New Roman" w:hAnsi="Times New Roman" w:cs="Times New Roman"/>
          <w:noProof/>
          <w:sz w:val="24"/>
          <w:szCs w:val="24"/>
        </w:rPr>
        <w:t xml:space="preserve">, </w:t>
      </w:r>
      <w:r w:rsidRPr="00BE3B6C">
        <w:rPr>
          <w:rFonts w:ascii="Times New Roman" w:hAnsi="Times New Roman" w:cs="Times New Roman"/>
          <w:noProof/>
          <w:sz w:val="24"/>
          <w:szCs w:val="24"/>
        </w:rPr>
        <w:t xml:space="preserve">401–409. </w:t>
      </w:r>
    </w:p>
    <w:p w14:paraId="329DBE54" w14:textId="5A169154"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Diamond, J. </w:t>
      </w:r>
      <w:r w:rsidRPr="00BE3B6C">
        <w:rPr>
          <w:rFonts w:ascii="Times New Roman" w:hAnsi="Times New Roman" w:cs="Times New Roman"/>
          <w:i/>
          <w:iCs/>
          <w:noProof/>
          <w:sz w:val="24"/>
          <w:szCs w:val="24"/>
        </w:rPr>
        <w:t>et al.</w:t>
      </w:r>
      <w:r w:rsidR="005B2717">
        <w:rPr>
          <w:rFonts w:ascii="Times New Roman" w:hAnsi="Times New Roman" w:cs="Times New Roman"/>
          <w:noProof/>
          <w:sz w:val="24"/>
          <w:szCs w:val="24"/>
        </w:rPr>
        <w:t xml:space="preserve"> (2002). </w:t>
      </w:r>
      <w:r w:rsidRPr="00BE3B6C">
        <w:rPr>
          <w:rFonts w:ascii="Times New Roman" w:hAnsi="Times New Roman" w:cs="Times New Roman"/>
          <w:noProof/>
          <w:sz w:val="24"/>
          <w:szCs w:val="24"/>
        </w:rPr>
        <w:t>A computer-based training system for breast fin</w:t>
      </w:r>
      <w:r w:rsidR="005B2717">
        <w:rPr>
          <w:rFonts w:ascii="Times New Roman" w:hAnsi="Times New Roman" w:cs="Times New Roman"/>
          <w:noProof/>
          <w:sz w:val="24"/>
          <w:szCs w:val="24"/>
        </w:rPr>
        <w:t xml:space="preserve">e needle aspiration cytology. </w:t>
      </w:r>
      <w:r w:rsidRPr="00BE3B6C">
        <w:rPr>
          <w:rFonts w:ascii="Times New Roman" w:hAnsi="Times New Roman" w:cs="Times New Roman"/>
          <w:i/>
          <w:iCs/>
          <w:noProof/>
          <w:sz w:val="24"/>
          <w:szCs w:val="24"/>
        </w:rPr>
        <w:t>The Journal of pathology</w:t>
      </w:r>
      <w:r w:rsidR="005B2717">
        <w:rPr>
          <w:rFonts w:ascii="Times New Roman" w:hAnsi="Times New Roman" w:cs="Times New Roman"/>
          <w:noProof/>
          <w:sz w:val="24"/>
          <w:szCs w:val="24"/>
        </w:rPr>
        <w:t xml:space="preserve">. </w:t>
      </w:r>
      <w:r w:rsidR="005B2717" w:rsidRPr="005B2717">
        <w:rPr>
          <w:rFonts w:ascii="Times New Roman" w:hAnsi="Times New Roman" w:cs="Times New Roman"/>
          <w:b/>
          <w:noProof/>
          <w:sz w:val="24"/>
          <w:szCs w:val="24"/>
        </w:rPr>
        <w:t>196</w:t>
      </w:r>
      <w:r w:rsidR="005B2717">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113–121. </w:t>
      </w:r>
    </w:p>
    <w:p w14:paraId="2ED21F9B" w14:textId="60267498" w:rsidR="007472F9" w:rsidRPr="00BE3B6C" w:rsidRDefault="007472F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Dijksterhuis, M.G</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(2009) ‘Assessment of competence and progressive independence in po</w:t>
      </w:r>
      <w:r>
        <w:rPr>
          <w:rFonts w:ascii="Times New Roman" w:hAnsi="Times New Roman" w:cs="Times New Roman"/>
          <w:noProof/>
          <w:sz w:val="24"/>
          <w:szCs w:val="24"/>
        </w:rPr>
        <w:t xml:space="preserve">stgraduate clinical training. </w:t>
      </w:r>
      <w:r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43(12), 1156-1165 </w:t>
      </w:r>
    </w:p>
    <w:p w14:paraId="689B7634" w14:textId="30A1829E"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Donato, A. A.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(2008)</w:t>
      </w:r>
      <w:r w:rsidR="005B2717">
        <w:rPr>
          <w:rFonts w:ascii="Times New Roman" w:hAnsi="Times New Roman" w:cs="Times New Roman"/>
          <w:noProof/>
          <w:sz w:val="24"/>
          <w:szCs w:val="24"/>
        </w:rPr>
        <w:t xml:space="preserve">. </w:t>
      </w:r>
      <w:r w:rsidRPr="00BE3B6C">
        <w:rPr>
          <w:rFonts w:ascii="Times New Roman" w:hAnsi="Times New Roman" w:cs="Times New Roman"/>
          <w:noProof/>
          <w:sz w:val="24"/>
          <w:szCs w:val="24"/>
        </w:rPr>
        <w:t>Evaluation of a novel assessment form for observing medical residents: A</w:t>
      </w:r>
      <w:r w:rsidR="005B2717">
        <w:rPr>
          <w:rFonts w:ascii="Times New Roman" w:hAnsi="Times New Roman" w:cs="Times New Roman"/>
          <w:noProof/>
          <w:sz w:val="24"/>
          <w:szCs w:val="24"/>
        </w:rPr>
        <w:t xml:space="preserve"> randomised, controlled trial. </w:t>
      </w:r>
      <w:r w:rsidRPr="00BE3B6C">
        <w:rPr>
          <w:rFonts w:ascii="Times New Roman" w:hAnsi="Times New Roman" w:cs="Times New Roman"/>
          <w:i/>
          <w:iCs/>
          <w:noProof/>
          <w:sz w:val="24"/>
          <w:szCs w:val="24"/>
        </w:rPr>
        <w:t>Medical Education</w:t>
      </w:r>
      <w:r w:rsidR="005B2717">
        <w:rPr>
          <w:rFonts w:ascii="Times New Roman" w:hAnsi="Times New Roman" w:cs="Times New Roman"/>
          <w:noProof/>
          <w:sz w:val="24"/>
          <w:szCs w:val="24"/>
        </w:rPr>
        <w:t xml:space="preserve">. </w:t>
      </w:r>
      <w:r w:rsidR="005B2717" w:rsidRPr="005B2717">
        <w:rPr>
          <w:rFonts w:ascii="Times New Roman" w:hAnsi="Times New Roman" w:cs="Times New Roman"/>
          <w:b/>
          <w:noProof/>
          <w:sz w:val="24"/>
          <w:szCs w:val="24"/>
        </w:rPr>
        <w:t>42</w:t>
      </w:r>
      <w:r w:rsidR="005B2717">
        <w:rPr>
          <w:rFonts w:ascii="Times New Roman" w:hAnsi="Times New Roman" w:cs="Times New Roman"/>
          <w:noProof/>
          <w:sz w:val="24"/>
          <w:szCs w:val="24"/>
        </w:rPr>
        <w:t xml:space="preserve">(12), </w:t>
      </w:r>
      <w:r w:rsidRPr="00BE3B6C">
        <w:rPr>
          <w:rFonts w:ascii="Times New Roman" w:hAnsi="Times New Roman" w:cs="Times New Roman"/>
          <w:noProof/>
          <w:sz w:val="24"/>
          <w:szCs w:val="24"/>
        </w:rPr>
        <w:t xml:space="preserve">1234–1242. </w:t>
      </w:r>
    </w:p>
    <w:p w14:paraId="2F1292FE" w14:textId="5230013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Dowdi</w:t>
      </w:r>
      <w:r w:rsidR="005B2717">
        <w:rPr>
          <w:rFonts w:ascii="Times New Roman" w:hAnsi="Times New Roman" w:cs="Times New Roman"/>
          <w:noProof/>
          <w:sz w:val="24"/>
          <w:szCs w:val="24"/>
        </w:rPr>
        <w:t xml:space="preserve">ng, D. and Thompson, C. (2003). </w:t>
      </w:r>
      <w:r w:rsidRPr="00BE3B6C">
        <w:rPr>
          <w:rFonts w:ascii="Times New Roman" w:hAnsi="Times New Roman" w:cs="Times New Roman"/>
          <w:noProof/>
          <w:sz w:val="24"/>
          <w:szCs w:val="24"/>
        </w:rPr>
        <w:t>Measuring the quality of judgement a</w:t>
      </w:r>
      <w:r w:rsidR="005B2717">
        <w:rPr>
          <w:rFonts w:ascii="Times New Roman" w:hAnsi="Times New Roman" w:cs="Times New Roman"/>
          <w:noProof/>
          <w:sz w:val="24"/>
          <w:szCs w:val="24"/>
        </w:rPr>
        <w:t xml:space="preserve">nd decision-making in nursing. </w:t>
      </w:r>
      <w:r w:rsidRPr="00BE3B6C">
        <w:rPr>
          <w:rFonts w:ascii="Times New Roman" w:hAnsi="Times New Roman" w:cs="Times New Roman"/>
          <w:i/>
          <w:iCs/>
          <w:noProof/>
          <w:sz w:val="24"/>
          <w:szCs w:val="24"/>
        </w:rPr>
        <w:t>Journal of Advanced Nursing</w:t>
      </w:r>
      <w:r w:rsidR="005B2717">
        <w:rPr>
          <w:rFonts w:ascii="Times New Roman" w:hAnsi="Times New Roman" w:cs="Times New Roman"/>
          <w:noProof/>
          <w:sz w:val="24"/>
          <w:szCs w:val="24"/>
        </w:rPr>
        <w:t xml:space="preserve">. </w:t>
      </w:r>
      <w:r w:rsidR="005B2717" w:rsidRPr="005B2717">
        <w:rPr>
          <w:rFonts w:ascii="Times New Roman" w:hAnsi="Times New Roman" w:cs="Times New Roman"/>
          <w:b/>
          <w:noProof/>
          <w:sz w:val="24"/>
          <w:szCs w:val="24"/>
        </w:rPr>
        <w:t>44</w:t>
      </w:r>
      <w:r w:rsidR="005B2717">
        <w:rPr>
          <w:rFonts w:ascii="Times New Roman" w:hAnsi="Times New Roman" w:cs="Times New Roman"/>
          <w:noProof/>
          <w:sz w:val="24"/>
          <w:szCs w:val="24"/>
        </w:rPr>
        <w:t>(1), 49–57.</w:t>
      </w:r>
    </w:p>
    <w:p w14:paraId="769DD58A" w14:textId="5CA2E3B0" w:rsidR="00BE3B6C" w:rsidRPr="00BE3B6C" w:rsidRDefault="005B2717"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Downing, S. M. (2002). </w:t>
      </w:r>
      <w:r w:rsidR="00BE3B6C" w:rsidRPr="00BE3B6C">
        <w:rPr>
          <w:rFonts w:ascii="Times New Roman" w:hAnsi="Times New Roman" w:cs="Times New Roman"/>
          <w:noProof/>
          <w:sz w:val="24"/>
          <w:szCs w:val="24"/>
        </w:rPr>
        <w:t>Assessment of Know</w:t>
      </w:r>
      <w:r>
        <w:rPr>
          <w:rFonts w:ascii="Times New Roman" w:hAnsi="Times New Roman" w:cs="Times New Roman"/>
          <w:noProof/>
          <w:sz w:val="24"/>
          <w:szCs w:val="24"/>
        </w:rPr>
        <w:t>ledge with Written Test Forms. I</w:t>
      </w:r>
      <w:r w:rsidR="00BE3B6C" w:rsidRPr="00BE3B6C">
        <w:rPr>
          <w:rFonts w:ascii="Times New Roman" w:hAnsi="Times New Roman" w:cs="Times New Roman"/>
          <w:noProof/>
          <w:sz w:val="24"/>
          <w:szCs w:val="24"/>
        </w:rPr>
        <w:t>n</w:t>
      </w:r>
      <w:r>
        <w:rPr>
          <w:rFonts w:ascii="Times New Roman" w:hAnsi="Times New Roman" w:cs="Times New Roman"/>
          <w:noProof/>
          <w:sz w:val="24"/>
          <w:szCs w:val="24"/>
        </w:rPr>
        <w:t xml:space="preserve">: </w:t>
      </w:r>
      <w:r w:rsidR="00BE3B6C" w:rsidRPr="00BE3B6C">
        <w:rPr>
          <w:rFonts w:ascii="Times New Roman" w:hAnsi="Times New Roman" w:cs="Times New Roman"/>
          <w:noProof/>
          <w:sz w:val="24"/>
          <w:szCs w:val="24"/>
        </w:rPr>
        <w:t xml:space="preserve"> </w:t>
      </w:r>
      <w:r w:rsidR="007B031A">
        <w:rPr>
          <w:rFonts w:ascii="Times New Roman" w:hAnsi="Times New Roman" w:cs="Times New Roman"/>
          <w:noProof/>
          <w:sz w:val="24"/>
          <w:szCs w:val="24"/>
        </w:rPr>
        <w:t xml:space="preserve"> G. Norman, C. v</w:t>
      </w:r>
      <w:r>
        <w:rPr>
          <w:rFonts w:ascii="Times New Roman" w:hAnsi="Times New Roman" w:cs="Times New Roman"/>
          <w:noProof/>
          <w:sz w:val="24"/>
          <w:szCs w:val="24"/>
        </w:rPr>
        <w:t>an der Vleuten and D. Newble, e</w:t>
      </w:r>
      <w:r w:rsidR="00BE3B6C" w:rsidRPr="00BE3B6C">
        <w:rPr>
          <w:rFonts w:ascii="Times New Roman" w:hAnsi="Times New Roman" w:cs="Times New Roman"/>
          <w:noProof/>
          <w:sz w:val="24"/>
          <w:szCs w:val="24"/>
        </w:rPr>
        <w:t>d</w:t>
      </w:r>
      <w:r>
        <w:rPr>
          <w:rFonts w:ascii="Times New Roman" w:hAnsi="Times New Roman" w:cs="Times New Roman"/>
          <w:noProof/>
          <w:sz w:val="24"/>
          <w:szCs w:val="24"/>
        </w:rPr>
        <w:t>s.</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International Handbook of Research in Medical Education</w:t>
      </w:r>
      <w:r w:rsidR="00BE3B6C" w:rsidRPr="00BE3B6C">
        <w:rPr>
          <w:rFonts w:ascii="Times New Roman" w:hAnsi="Times New Roman" w:cs="Times New Roman"/>
          <w:noProof/>
          <w:sz w:val="24"/>
          <w:szCs w:val="24"/>
        </w:rPr>
        <w:t>. Dordrec</w:t>
      </w:r>
      <w:r>
        <w:rPr>
          <w:rFonts w:ascii="Times New Roman" w:hAnsi="Times New Roman" w:cs="Times New Roman"/>
          <w:noProof/>
          <w:sz w:val="24"/>
          <w:szCs w:val="24"/>
        </w:rPr>
        <w:t xml:space="preserve">ht: Kluwer Academic Publishers. </w:t>
      </w:r>
      <w:r w:rsidR="00BE3B6C" w:rsidRPr="00BE3B6C">
        <w:rPr>
          <w:rFonts w:ascii="Times New Roman" w:hAnsi="Times New Roman" w:cs="Times New Roman"/>
          <w:noProof/>
          <w:sz w:val="24"/>
          <w:szCs w:val="24"/>
        </w:rPr>
        <w:t>pp. 647–672.</w:t>
      </w:r>
    </w:p>
    <w:p w14:paraId="201602F9" w14:textId="4EF904C0" w:rsidR="00BE3B6C" w:rsidRDefault="005B2717"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Downing, S. M. (2003). </w:t>
      </w:r>
      <w:r w:rsidR="00BE3B6C" w:rsidRPr="00BE3B6C">
        <w:rPr>
          <w:rFonts w:ascii="Times New Roman" w:hAnsi="Times New Roman" w:cs="Times New Roman"/>
          <w:noProof/>
          <w:sz w:val="24"/>
          <w:szCs w:val="24"/>
        </w:rPr>
        <w:t>Validity: On the meaningful int</w:t>
      </w:r>
      <w:r>
        <w:rPr>
          <w:rFonts w:ascii="Times New Roman" w:hAnsi="Times New Roman" w:cs="Times New Roman"/>
          <w:noProof/>
          <w:sz w:val="24"/>
          <w:szCs w:val="24"/>
        </w:rPr>
        <w:t>erpretation of assessment data.</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5B2717">
        <w:rPr>
          <w:rFonts w:ascii="Times New Roman" w:hAnsi="Times New Roman" w:cs="Times New Roman"/>
          <w:b/>
          <w:noProof/>
          <w:sz w:val="24"/>
          <w:szCs w:val="24"/>
        </w:rPr>
        <w:t>37</w:t>
      </w:r>
      <w:r>
        <w:rPr>
          <w:rFonts w:ascii="Times New Roman" w:hAnsi="Times New Roman" w:cs="Times New Roman"/>
          <w:noProof/>
          <w:sz w:val="24"/>
          <w:szCs w:val="24"/>
        </w:rPr>
        <w:t xml:space="preserve">(9), </w:t>
      </w:r>
      <w:r w:rsidR="00BE3B6C" w:rsidRPr="00BE3B6C">
        <w:rPr>
          <w:rFonts w:ascii="Times New Roman" w:hAnsi="Times New Roman" w:cs="Times New Roman"/>
          <w:noProof/>
          <w:sz w:val="24"/>
          <w:szCs w:val="24"/>
        </w:rPr>
        <w:t xml:space="preserve">830–837. </w:t>
      </w:r>
    </w:p>
    <w:p w14:paraId="05E61130" w14:textId="3043BF31" w:rsidR="00DE7C5C" w:rsidRDefault="002A5572" w:rsidP="00DE7C5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Dreyfus</w:t>
      </w:r>
      <w:r w:rsidR="00DE7C5C">
        <w:rPr>
          <w:rFonts w:ascii="Times New Roman" w:hAnsi="Times New Roman" w:cs="Times New Roman"/>
          <w:noProof/>
          <w:sz w:val="24"/>
          <w:szCs w:val="24"/>
        </w:rPr>
        <w:t>, H.L and Dreyfus, S</w:t>
      </w:r>
      <w:r w:rsidR="00DE7C5C" w:rsidRPr="00BE3B6C">
        <w:rPr>
          <w:rFonts w:ascii="Times New Roman" w:hAnsi="Times New Roman" w:cs="Times New Roman"/>
          <w:noProof/>
          <w:sz w:val="24"/>
          <w:szCs w:val="24"/>
        </w:rPr>
        <w:t>.</w:t>
      </w:r>
      <w:r w:rsidR="00DE7C5C">
        <w:rPr>
          <w:rFonts w:ascii="Times New Roman" w:hAnsi="Times New Roman" w:cs="Times New Roman"/>
          <w:noProof/>
          <w:sz w:val="24"/>
          <w:szCs w:val="24"/>
        </w:rPr>
        <w:t xml:space="preserve">E. (1980). </w:t>
      </w:r>
      <w:r w:rsidR="00DE7C5C" w:rsidRPr="00BE3B6C">
        <w:rPr>
          <w:rFonts w:ascii="Times New Roman" w:hAnsi="Times New Roman" w:cs="Times New Roman"/>
          <w:noProof/>
          <w:sz w:val="24"/>
          <w:szCs w:val="24"/>
        </w:rPr>
        <w:t xml:space="preserve">A five-stage model of the mental activities involved </w:t>
      </w:r>
      <w:r w:rsidR="00DE7C5C">
        <w:rPr>
          <w:rFonts w:ascii="Times New Roman" w:hAnsi="Times New Roman" w:cs="Times New Roman"/>
          <w:noProof/>
          <w:sz w:val="24"/>
          <w:szCs w:val="24"/>
        </w:rPr>
        <w:t>in directed skill acquisition. University of California, Berkeley: Operations Research Centre. pp. 1-18.</w:t>
      </w:r>
    </w:p>
    <w:p w14:paraId="27F1D1DB" w14:textId="77777777" w:rsidR="00DE7C5C" w:rsidRPr="00BE3B6C" w:rsidRDefault="00DE7C5C" w:rsidP="00DE7C5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Dreyfus, H.L and Dreyfus, S. E. (1986). </w:t>
      </w:r>
      <w:r w:rsidRPr="00BE3B6C">
        <w:rPr>
          <w:rFonts w:ascii="Times New Roman" w:hAnsi="Times New Roman" w:cs="Times New Roman"/>
          <w:i/>
          <w:iCs/>
          <w:noProof/>
          <w:sz w:val="24"/>
          <w:szCs w:val="24"/>
        </w:rPr>
        <w:t>Mind Over Machine: The Power of Human Intuition and Expertise in the Age of the Computer.</w:t>
      </w:r>
      <w:r w:rsidRPr="00BE3B6C">
        <w:rPr>
          <w:rFonts w:ascii="Times New Roman" w:hAnsi="Times New Roman" w:cs="Times New Roman"/>
          <w:noProof/>
          <w:sz w:val="24"/>
          <w:szCs w:val="24"/>
        </w:rPr>
        <w:t xml:space="preserve"> Oxford: Basil Blackwell.</w:t>
      </w:r>
    </w:p>
    <w:p w14:paraId="077CDD68" w14:textId="27167707"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Dreyfus, </w:t>
      </w:r>
      <w:r w:rsidR="00D96256">
        <w:rPr>
          <w:rFonts w:ascii="Times New Roman" w:hAnsi="Times New Roman" w:cs="Times New Roman"/>
          <w:noProof/>
          <w:sz w:val="24"/>
          <w:szCs w:val="24"/>
        </w:rPr>
        <w:t>H. L and</w:t>
      </w:r>
      <w:r w:rsidR="005B2717">
        <w:rPr>
          <w:rFonts w:ascii="Times New Roman" w:hAnsi="Times New Roman" w:cs="Times New Roman"/>
          <w:noProof/>
          <w:sz w:val="24"/>
          <w:szCs w:val="24"/>
        </w:rPr>
        <w:t xml:space="preserve"> Dreyfus, S. E. (1996). </w:t>
      </w:r>
      <w:r w:rsidRPr="00BE3B6C">
        <w:rPr>
          <w:rFonts w:ascii="Times New Roman" w:hAnsi="Times New Roman" w:cs="Times New Roman"/>
          <w:noProof/>
          <w:sz w:val="24"/>
          <w:szCs w:val="24"/>
        </w:rPr>
        <w:t>The relationship of theory and practi</w:t>
      </w:r>
      <w:r w:rsidR="005B2717">
        <w:rPr>
          <w:rFonts w:ascii="Times New Roman" w:hAnsi="Times New Roman" w:cs="Times New Roman"/>
          <w:noProof/>
          <w:sz w:val="24"/>
          <w:szCs w:val="24"/>
        </w:rPr>
        <w:t>ce in the acquisition of skill. I</w:t>
      </w:r>
      <w:r w:rsidRPr="00BE3B6C">
        <w:rPr>
          <w:rFonts w:ascii="Times New Roman" w:hAnsi="Times New Roman" w:cs="Times New Roman"/>
          <w:noProof/>
          <w:sz w:val="24"/>
          <w:szCs w:val="24"/>
        </w:rPr>
        <w:t>n</w:t>
      </w:r>
      <w:r w:rsidR="005B2717">
        <w:rPr>
          <w:rFonts w:ascii="Times New Roman" w:hAnsi="Times New Roman" w:cs="Times New Roman"/>
          <w:noProof/>
          <w:sz w:val="24"/>
          <w:szCs w:val="24"/>
        </w:rPr>
        <w:t>:</w:t>
      </w:r>
      <w:r w:rsidR="00D96256">
        <w:rPr>
          <w:rFonts w:ascii="Times New Roman" w:hAnsi="Times New Roman" w:cs="Times New Roman"/>
          <w:noProof/>
          <w:sz w:val="24"/>
          <w:szCs w:val="24"/>
        </w:rPr>
        <w:t xml:space="preserve"> P. Benner, C. Tanner and C. Chelsa</w:t>
      </w:r>
      <w:r w:rsidR="005B2717">
        <w:rPr>
          <w:rFonts w:ascii="Times New Roman" w:hAnsi="Times New Roman" w:cs="Times New Roman"/>
          <w:noProof/>
          <w:sz w:val="24"/>
          <w:szCs w:val="24"/>
        </w:rPr>
        <w:t xml:space="preserve">, </w:t>
      </w:r>
      <w:r w:rsidRPr="00BE3B6C">
        <w:rPr>
          <w:rFonts w:ascii="Times New Roman" w:hAnsi="Times New Roman" w:cs="Times New Roman"/>
          <w:noProof/>
          <w:sz w:val="24"/>
          <w:szCs w:val="24"/>
        </w:rPr>
        <w:t>ed</w:t>
      </w:r>
      <w:r w:rsidR="005B2717">
        <w:rPr>
          <w:rFonts w:ascii="Times New Roman" w:hAnsi="Times New Roman" w:cs="Times New Roman"/>
          <w:noProof/>
          <w:sz w:val="24"/>
          <w:szCs w:val="24"/>
        </w:rPr>
        <w:t>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Expertise in Nursing Practice: Caring, clinical judgment, and ethics.</w:t>
      </w:r>
      <w:r w:rsidRPr="00BE3B6C">
        <w:rPr>
          <w:rFonts w:ascii="Times New Roman" w:hAnsi="Times New Roman" w:cs="Times New Roman"/>
          <w:noProof/>
          <w:sz w:val="24"/>
          <w:szCs w:val="24"/>
        </w:rPr>
        <w:t xml:space="preserve"> New York: Springer Publish</w:t>
      </w:r>
      <w:r w:rsidR="005B2717">
        <w:rPr>
          <w:rFonts w:ascii="Times New Roman" w:hAnsi="Times New Roman" w:cs="Times New Roman"/>
          <w:noProof/>
          <w:sz w:val="24"/>
          <w:szCs w:val="24"/>
        </w:rPr>
        <w:t xml:space="preserve">ing Company. </w:t>
      </w:r>
      <w:r w:rsidRPr="00BE3B6C">
        <w:rPr>
          <w:rFonts w:ascii="Times New Roman" w:hAnsi="Times New Roman" w:cs="Times New Roman"/>
          <w:noProof/>
          <w:sz w:val="24"/>
          <w:szCs w:val="24"/>
        </w:rPr>
        <w:t>pp. 29–47.</w:t>
      </w:r>
    </w:p>
    <w:p w14:paraId="19303E6F" w14:textId="4A1C0649" w:rsidR="00BE3B6C" w:rsidRPr="00BE3B6C" w:rsidRDefault="004A3B6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Duke, M. (1996). </w:t>
      </w:r>
      <w:r w:rsidR="00BE3B6C" w:rsidRPr="00BE3B6C">
        <w:rPr>
          <w:rFonts w:ascii="Times New Roman" w:hAnsi="Times New Roman" w:cs="Times New Roman"/>
          <w:noProof/>
          <w:sz w:val="24"/>
          <w:szCs w:val="24"/>
        </w:rPr>
        <w:t xml:space="preserve">Clinical evaluation--difficulties experienced by sessional clinical teachers of </w:t>
      </w:r>
      <w:r>
        <w:rPr>
          <w:rFonts w:ascii="Times New Roman" w:hAnsi="Times New Roman" w:cs="Times New Roman"/>
          <w:noProof/>
          <w:sz w:val="24"/>
          <w:szCs w:val="24"/>
        </w:rPr>
        <w:t xml:space="preserve">nursing: a qualitative study. </w:t>
      </w:r>
      <w:r w:rsidR="00BE3B6C" w:rsidRPr="00BE3B6C">
        <w:rPr>
          <w:rFonts w:ascii="Times New Roman" w:hAnsi="Times New Roman" w:cs="Times New Roman"/>
          <w:i/>
          <w:iCs/>
          <w:noProof/>
          <w:sz w:val="24"/>
          <w:szCs w:val="24"/>
        </w:rPr>
        <w:t>Journal of advanced nursing</w:t>
      </w:r>
      <w:r>
        <w:rPr>
          <w:rFonts w:ascii="Times New Roman" w:hAnsi="Times New Roman" w:cs="Times New Roman"/>
          <w:noProof/>
          <w:sz w:val="24"/>
          <w:szCs w:val="24"/>
        </w:rPr>
        <w:t xml:space="preserve">. </w:t>
      </w:r>
      <w:r w:rsidRPr="004A3B6F">
        <w:rPr>
          <w:rFonts w:ascii="Times New Roman" w:hAnsi="Times New Roman" w:cs="Times New Roman"/>
          <w:b/>
          <w:noProof/>
          <w:sz w:val="24"/>
          <w:szCs w:val="24"/>
        </w:rPr>
        <w:t>23</w:t>
      </w:r>
      <w:r>
        <w:rPr>
          <w:rFonts w:ascii="Times New Roman" w:hAnsi="Times New Roman" w:cs="Times New Roman"/>
          <w:noProof/>
          <w:sz w:val="24"/>
          <w:szCs w:val="24"/>
        </w:rPr>
        <w:t xml:space="preserve">(2), </w:t>
      </w:r>
      <w:r w:rsidR="00BE3B6C" w:rsidRPr="00BE3B6C">
        <w:rPr>
          <w:rFonts w:ascii="Times New Roman" w:hAnsi="Times New Roman" w:cs="Times New Roman"/>
          <w:noProof/>
          <w:sz w:val="24"/>
          <w:szCs w:val="24"/>
        </w:rPr>
        <w:t>408–414.</w:t>
      </w:r>
    </w:p>
    <w:p w14:paraId="6AD7DECB" w14:textId="5D81EE3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Dunphy, B. C. </w:t>
      </w:r>
      <w:r w:rsidRPr="00BE3B6C">
        <w:rPr>
          <w:rFonts w:ascii="Times New Roman" w:hAnsi="Times New Roman" w:cs="Times New Roman"/>
          <w:i/>
          <w:iCs/>
          <w:noProof/>
          <w:sz w:val="24"/>
          <w:szCs w:val="24"/>
        </w:rPr>
        <w:t>et al.</w:t>
      </w:r>
      <w:r w:rsidR="004A3B6F">
        <w:rPr>
          <w:rFonts w:ascii="Times New Roman" w:hAnsi="Times New Roman" w:cs="Times New Roman"/>
          <w:noProof/>
          <w:sz w:val="24"/>
          <w:szCs w:val="24"/>
        </w:rPr>
        <w:t xml:space="preserve"> (2010). </w:t>
      </w:r>
      <w:r w:rsidRPr="00BE3B6C">
        <w:rPr>
          <w:rFonts w:ascii="Times New Roman" w:hAnsi="Times New Roman" w:cs="Times New Roman"/>
          <w:noProof/>
          <w:sz w:val="24"/>
          <w:szCs w:val="24"/>
        </w:rPr>
        <w:t>Cognitive elemen</w:t>
      </w:r>
      <w:r w:rsidR="004A3B6F">
        <w:rPr>
          <w:rFonts w:ascii="Times New Roman" w:hAnsi="Times New Roman" w:cs="Times New Roman"/>
          <w:noProof/>
          <w:sz w:val="24"/>
          <w:szCs w:val="24"/>
        </w:rPr>
        <w:t xml:space="preserve">ts in clinical decision-making.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w:t>
      </w:r>
      <w:r w:rsidR="004A3B6F">
        <w:rPr>
          <w:rFonts w:ascii="Times New Roman" w:hAnsi="Times New Roman" w:cs="Times New Roman"/>
          <w:i/>
          <w:iCs/>
          <w:noProof/>
          <w:sz w:val="24"/>
          <w:szCs w:val="24"/>
        </w:rPr>
        <w:t>dvances in Health Sciences Education.</w:t>
      </w:r>
      <w:r w:rsidR="004A3B6F">
        <w:rPr>
          <w:rFonts w:ascii="Times New Roman" w:hAnsi="Times New Roman" w:cs="Times New Roman"/>
          <w:noProof/>
          <w:sz w:val="24"/>
          <w:szCs w:val="24"/>
        </w:rPr>
        <w:t xml:space="preserve"> </w:t>
      </w:r>
      <w:r w:rsidR="004A3B6F" w:rsidRPr="004A3B6F">
        <w:rPr>
          <w:rFonts w:ascii="Times New Roman" w:hAnsi="Times New Roman" w:cs="Times New Roman"/>
          <w:b/>
          <w:noProof/>
          <w:sz w:val="24"/>
          <w:szCs w:val="24"/>
        </w:rPr>
        <w:t>15</w:t>
      </w:r>
      <w:r w:rsidR="004A3B6F">
        <w:rPr>
          <w:rFonts w:ascii="Times New Roman" w:hAnsi="Times New Roman" w:cs="Times New Roman"/>
          <w:noProof/>
          <w:sz w:val="24"/>
          <w:szCs w:val="24"/>
        </w:rPr>
        <w:t xml:space="preserve">(2), </w:t>
      </w:r>
      <w:r w:rsidRPr="00BE3B6C">
        <w:rPr>
          <w:rFonts w:ascii="Times New Roman" w:hAnsi="Times New Roman" w:cs="Times New Roman"/>
          <w:noProof/>
          <w:sz w:val="24"/>
          <w:szCs w:val="24"/>
        </w:rPr>
        <w:t>229–250.</w:t>
      </w:r>
    </w:p>
    <w:p w14:paraId="768B13F8" w14:textId="3C8607CF"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lastRenderedPageBreak/>
        <w:t xml:space="preserve">Durning, S. J. </w:t>
      </w:r>
      <w:r w:rsidRPr="00BE3B6C">
        <w:rPr>
          <w:rFonts w:ascii="Times New Roman" w:hAnsi="Times New Roman" w:cs="Times New Roman"/>
          <w:i/>
          <w:iCs/>
          <w:noProof/>
          <w:sz w:val="24"/>
          <w:szCs w:val="24"/>
        </w:rPr>
        <w:t>et al.</w:t>
      </w:r>
      <w:r w:rsidR="001E4832">
        <w:rPr>
          <w:rFonts w:ascii="Times New Roman" w:hAnsi="Times New Roman" w:cs="Times New Roman"/>
          <w:noProof/>
          <w:sz w:val="24"/>
          <w:szCs w:val="24"/>
        </w:rPr>
        <w:t xml:space="preserve"> (2010). </w:t>
      </w:r>
      <w:r w:rsidRPr="00BE3B6C">
        <w:rPr>
          <w:rFonts w:ascii="Times New Roman" w:hAnsi="Times New Roman" w:cs="Times New Roman"/>
          <w:noProof/>
          <w:sz w:val="24"/>
          <w:szCs w:val="24"/>
        </w:rPr>
        <w:t xml:space="preserve">Perspective: Redefining context in the clinical encounter: Implications for research and </w:t>
      </w:r>
      <w:r w:rsidR="001E4832">
        <w:rPr>
          <w:rFonts w:ascii="Times New Roman" w:hAnsi="Times New Roman" w:cs="Times New Roman"/>
          <w:noProof/>
          <w:sz w:val="24"/>
          <w:szCs w:val="24"/>
        </w:rPr>
        <w:t xml:space="preserve">training in medical education. </w:t>
      </w:r>
      <w:r w:rsidRPr="00BE3B6C">
        <w:rPr>
          <w:rFonts w:ascii="Times New Roman" w:hAnsi="Times New Roman" w:cs="Times New Roman"/>
          <w:i/>
          <w:iCs/>
          <w:noProof/>
          <w:sz w:val="24"/>
          <w:szCs w:val="24"/>
        </w:rPr>
        <w:t>Academic Medicine</w:t>
      </w:r>
      <w:r w:rsidR="001E4832">
        <w:rPr>
          <w:rFonts w:ascii="Times New Roman" w:hAnsi="Times New Roman" w:cs="Times New Roman"/>
          <w:noProof/>
          <w:sz w:val="24"/>
          <w:szCs w:val="24"/>
        </w:rPr>
        <w:t xml:space="preserve">. </w:t>
      </w:r>
      <w:r w:rsidR="001E4832" w:rsidRPr="001E4832">
        <w:rPr>
          <w:rFonts w:ascii="Times New Roman" w:hAnsi="Times New Roman" w:cs="Times New Roman"/>
          <w:b/>
          <w:noProof/>
          <w:sz w:val="24"/>
          <w:szCs w:val="24"/>
        </w:rPr>
        <w:t>85</w:t>
      </w:r>
      <w:r w:rsidR="001E4832">
        <w:rPr>
          <w:rFonts w:ascii="Times New Roman" w:hAnsi="Times New Roman" w:cs="Times New Roman"/>
          <w:noProof/>
          <w:sz w:val="24"/>
          <w:szCs w:val="24"/>
        </w:rPr>
        <w:t xml:space="preserve">(5), </w:t>
      </w:r>
      <w:r w:rsidRPr="00BE3B6C">
        <w:rPr>
          <w:rFonts w:ascii="Times New Roman" w:hAnsi="Times New Roman" w:cs="Times New Roman"/>
          <w:noProof/>
          <w:sz w:val="24"/>
          <w:szCs w:val="24"/>
        </w:rPr>
        <w:t xml:space="preserve">894–901. </w:t>
      </w:r>
    </w:p>
    <w:p w14:paraId="508A059B" w14:textId="05099179" w:rsidR="00BE3B6C" w:rsidRPr="00BE3B6C" w:rsidRDefault="001E483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Einhorn, H. J. (1974). </w:t>
      </w:r>
      <w:r w:rsidR="00BE3B6C" w:rsidRPr="00BE3B6C">
        <w:rPr>
          <w:rFonts w:ascii="Times New Roman" w:hAnsi="Times New Roman" w:cs="Times New Roman"/>
          <w:noProof/>
          <w:sz w:val="24"/>
          <w:szCs w:val="24"/>
        </w:rPr>
        <w:t>Expert judgment: Some neces</w:t>
      </w:r>
      <w:r>
        <w:rPr>
          <w:rFonts w:ascii="Times New Roman" w:hAnsi="Times New Roman" w:cs="Times New Roman"/>
          <w:noProof/>
          <w:sz w:val="24"/>
          <w:szCs w:val="24"/>
        </w:rPr>
        <w:t>sary conditions and an example.</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Journal of Applied Psychology</w:t>
      </w:r>
      <w:r>
        <w:rPr>
          <w:rFonts w:ascii="Times New Roman" w:hAnsi="Times New Roman" w:cs="Times New Roman"/>
          <w:noProof/>
          <w:sz w:val="24"/>
          <w:szCs w:val="24"/>
        </w:rPr>
        <w:t xml:space="preserve">. </w:t>
      </w:r>
      <w:r w:rsidRPr="001E4832">
        <w:rPr>
          <w:rFonts w:ascii="Times New Roman" w:hAnsi="Times New Roman" w:cs="Times New Roman"/>
          <w:b/>
          <w:noProof/>
          <w:sz w:val="24"/>
          <w:szCs w:val="24"/>
        </w:rPr>
        <w:t>59</w:t>
      </w:r>
      <w:r>
        <w:rPr>
          <w:rFonts w:ascii="Times New Roman" w:hAnsi="Times New Roman" w:cs="Times New Roman"/>
          <w:noProof/>
          <w:sz w:val="24"/>
          <w:szCs w:val="24"/>
        </w:rPr>
        <w:t xml:space="preserve">(5), 562–571. </w:t>
      </w:r>
    </w:p>
    <w:p w14:paraId="5A05F688" w14:textId="0E74F1AD"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Epstein, R</w:t>
      </w:r>
      <w:r w:rsidR="001E4832">
        <w:rPr>
          <w:rFonts w:ascii="Times New Roman" w:hAnsi="Times New Roman" w:cs="Times New Roman"/>
          <w:noProof/>
          <w:sz w:val="24"/>
          <w:szCs w:val="24"/>
        </w:rPr>
        <w:t xml:space="preserve">. M. and Hundert, E. M. (2002). </w:t>
      </w:r>
      <w:r w:rsidRPr="00BE3B6C">
        <w:rPr>
          <w:rFonts w:ascii="Times New Roman" w:hAnsi="Times New Roman" w:cs="Times New Roman"/>
          <w:noProof/>
          <w:sz w:val="24"/>
          <w:szCs w:val="24"/>
        </w:rPr>
        <w:t>Defining and asse</w:t>
      </w:r>
      <w:r w:rsidR="001E4832">
        <w:rPr>
          <w:rFonts w:ascii="Times New Roman" w:hAnsi="Times New Roman" w:cs="Times New Roman"/>
          <w:noProof/>
          <w:sz w:val="24"/>
          <w:szCs w:val="24"/>
        </w:rPr>
        <w:t xml:space="preserve">ssing professional competence. </w:t>
      </w:r>
      <w:r w:rsidR="00EF20AD">
        <w:rPr>
          <w:rFonts w:ascii="Times New Roman" w:hAnsi="Times New Roman" w:cs="Times New Roman"/>
          <w:i/>
          <w:iCs/>
          <w:noProof/>
          <w:sz w:val="24"/>
          <w:szCs w:val="24"/>
        </w:rPr>
        <w:t>J</w:t>
      </w:r>
      <w:r w:rsidRPr="00BE3B6C">
        <w:rPr>
          <w:rFonts w:ascii="Times New Roman" w:hAnsi="Times New Roman" w:cs="Times New Roman"/>
          <w:i/>
          <w:iCs/>
          <w:noProof/>
          <w:sz w:val="24"/>
          <w:szCs w:val="24"/>
        </w:rPr>
        <w:t>ournal of the American Medical Association</w:t>
      </w:r>
      <w:r w:rsidR="001E4832">
        <w:rPr>
          <w:rFonts w:ascii="Times New Roman" w:hAnsi="Times New Roman" w:cs="Times New Roman"/>
          <w:noProof/>
          <w:sz w:val="24"/>
          <w:szCs w:val="24"/>
        </w:rPr>
        <w:t xml:space="preserve">. </w:t>
      </w:r>
      <w:r w:rsidR="001E4832" w:rsidRPr="001E4832">
        <w:rPr>
          <w:rFonts w:ascii="Times New Roman" w:hAnsi="Times New Roman" w:cs="Times New Roman"/>
          <w:b/>
          <w:noProof/>
          <w:sz w:val="24"/>
          <w:szCs w:val="24"/>
        </w:rPr>
        <w:t>287</w:t>
      </w:r>
      <w:r w:rsidR="001E4832">
        <w:rPr>
          <w:rFonts w:ascii="Times New Roman" w:hAnsi="Times New Roman" w:cs="Times New Roman"/>
          <w:noProof/>
          <w:sz w:val="24"/>
          <w:szCs w:val="24"/>
        </w:rPr>
        <w:t xml:space="preserve">(2), </w:t>
      </w:r>
      <w:r w:rsidRPr="00BE3B6C">
        <w:rPr>
          <w:rFonts w:ascii="Times New Roman" w:hAnsi="Times New Roman" w:cs="Times New Roman"/>
          <w:noProof/>
          <w:sz w:val="24"/>
          <w:szCs w:val="24"/>
        </w:rPr>
        <w:t xml:space="preserve">226–235. </w:t>
      </w:r>
    </w:p>
    <w:p w14:paraId="03CC7C59" w14:textId="4610A507" w:rsidR="00BE3B6C" w:rsidRPr="00BE3B6C" w:rsidRDefault="001E483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Eraut, M. (1994). </w:t>
      </w:r>
      <w:r w:rsidR="00BE3B6C" w:rsidRPr="00BE3B6C">
        <w:rPr>
          <w:rFonts w:ascii="Times New Roman" w:hAnsi="Times New Roman" w:cs="Times New Roman"/>
          <w:i/>
          <w:iCs/>
          <w:noProof/>
          <w:sz w:val="24"/>
          <w:szCs w:val="24"/>
        </w:rPr>
        <w:t>Developing Professional Knowledge and Competence</w:t>
      </w:r>
      <w:r w:rsidR="00BE3B6C" w:rsidRPr="00BE3B6C">
        <w:rPr>
          <w:rFonts w:ascii="Times New Roman" w:hAnsi="Times New Roman" w:cs="Times New Roman"/>
          <w:noProof/>
          <w:sz w:val="24"/>
          <w:szCs w:val="24"/>
        </w:rPr>
        <w:t>. London: Falmer Press.</w:t>
      </w:r>
    </w:p>
    <w:p w14:paraId="56CB1462" w14:textId="501BA4E8" w:rsidR="00BE3B6C" w:rsidRPr="00BE3B6C" w:rsidRDefault="001E483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Eraut, M. (1998). Concepts of competence. </w:t>
      </w:r>
      <w:r w:rsidR="00BE3B6C" w:rsidRPr="00BE3B6C">
        <w:rPr>
          <w:rFonts w:ascii="Times New Roman" w:hAnsi="Times New Roman" w:cs="Times New Roman"/>
          <w:i/>
          <w:iCs/>
          <w:noProof/>
          <w:sz w:val="24"/>
          <w:szCs w:val="24"/>
        </w:rPr>
        <w:t>Journal of Interprofessional Care</w:t>
      </w:r>
      <w:r>
        <w:rPr>
          <w:rFonts w:ascii="Times New Roman" w:hAnsi="Times New Roman" w:cs="Times New Roman"/>
          <w:noProof/>
          <w:sz w:val="24"/>
          <w:szCs w:val="24"/>
        </w:rPr>
        <w:t xml:space="preserve">. </w:t>
      </w:r>
      <w:r w:rsidRPr="001E4832">
        <w:rPr>
          <w:rFonts w:ascii="Times New Roman" w:hAnsi="Times New Roman" w:cs="Times New Roman"/>
          <w:b/>
          <w:noProof/>
          <w:sz w:val="24"/>
          <w:szCs w:val="24"/>
        </w:rPr>
        <w:t>12</w:t>
      </w:r>
      <w:r>
        <w:rPr>
          <w:rFonts w:ascii="Times New Roman" w:hAnsi="Times New Roman" w:cs="Times New Roman"/>
          <w:noProof/>
          <w:sz w:val="24"/>
          <w:szCs w:val="24"/>
        </w:rPr>
        <w:t>(2),</w:t>
      </w:r>
      <w:r w:rsidR="00BE3B6C" w:rsidRPr="00BE3B6C">
        <w:rPr>
          <w:rFonts w:ascii="Times New Roman" w:hAnsi="Times New Roman" w:cs="Times New Roman"/>
          <w:noProof/>
          <w:sz w:val="24"/>
          <w:szCs w:val="24"/>
        </w:rPr>
        <w:t xml:space="preserve"> 127–139. </w:t>
      </w:r>
    </w:p>
    <w:p w14:paraId="47D9DA54" w14:textId="219F828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Essers, G. </w:t>
      </w:r>
      <w:r w:rsidRPr="00BE3B6C">
        <w:rPr>
          <w:rFonts w:ascii="Times New Roman" w:hAnsi="Times New Roman" w:cs="Times New Roman"/>
          <w:i/>
          <w:iCs/>
          <w:noProof/>
          <w:sz w:val="24"/>
          <w:szCs w:val="24"/>
        </w:rPr>
        <w:t>et al.</w:t>
      </w:r>
      <w:r w:rsidR="001E4832">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Identifying context factors explaining physician’s low performance in communication assessment: An explora</w:t>
      </w:r>
      <w:r w:rsidR="001E4832">
        <w:rPr>
          <w:rFonts w:ascii="Times New Roman" w:hAnsi="Times New Roman" w:cs="Times New Roman"/>
          <w:noProof/>
          <w:sz w:val="24"/>
          <w:szCs w:val="24"/>
        </w:rPr>
        <w:t>tive study in general practice.</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BMC Family Practice</w:t>
      </w:r>
      <w:r w:rsidR="001E4832">
        <w:rPr>
          <w:rFonts w:ascii="Times New Roman" w:hAnsi="Times New Roman" w:cs="Times New Roman"/>
          <w:noProof/>
          <w:sz w:val="24"/>
          <w:szCs w:val="24"/>
        </w:rPr>
        <w:t xml:space="preserve">. </w:t>
      </w:r>
      <w:r w:rsidR="001E4832" w:rsidRPr="001E4832">
        <w:rPr>
          <w:rFonts w:ascii="Times New Roman" w:hAnsi="Times New Roman" w:cs="Times New Roman"/>
          <w:b/>
          <w:noProof/>
          <w:sz w:val="24"/>
          <w:szCs w:val="24"/>
        </w:rPr>
        <w:t xml:space="preserve">12 </w:t>
      </w:r>
      <w:r w:rsidR="001E4832">
        <w:rPr>
          <w:rFonts w:ascii="Times New Roman" w:hAnsi="Times New Roman" w:cs="Times New Roman"/>
          <w:noProof/>
          <w:sz w:val="24"/>
          <w:szCs w:val="24"/>
        </w:rPr>
        <w:t xml:space="preserve">(138), </w:t>
      </w:r>
      <w:r w:rsidRPr="00BE3B6C">
        <w:rPr>
          <w:rFonts w:ascii="Times New Roman" w:hAnsi="Times New Roman" w:cs="Times New Roman"/>
          <w:noProof/>
          <w:sz w:val="24"/>
          <w:szCs w:val="24"/>
        </w:rPr>
        <w:t xml:space="preserve">1–8. </w:t>
      </w:r>
    </w:p>
    <w:p w14:paraId="0B99A37B" w14:textId="2F0C3E1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Ev</w:t>
      </w:r>
      <w:r w:rsidR="001E4832">
        <w:rPr>
          <w:rFonts w:ascii="Times New Roman" w:hAnsi="Times New Roman" w:cs="Times New Roman"/>
          <w:noProof/>
          <w:sz w:val="24"/>
          <w:szCs w:val="24"/>
        </w:rPr>
        <w:t xml:space="preserve">a, K. W. and Regehr, G. (2008). </w:t>
      </w:r>
      <w:r w:rsidRPr="00BE3B6C">
        <w:rPr>
          <w:rFonts w:ascii="Times New Roman" w:hAnsi="Times New Roman" w:cs="Times New Roman"/>
          <w:noProof/>
          <w:sz w:val="24"/>
          <w:szCs w:val="24"/>
        </w:rPr>
        <w:t xml:space="preserve">I’ll never play professional football and other </w:t>
      </w:r>
      <w:r w:rsidR="001E4832">
        <w:rPr>
          <w:rFonts w:ascii="Times New Roman" w:hAnsi="Times New Roman" w:cs="Times New Roman"/>
          <w:noProof/>
          <w:sz w:val="24"/>
          <w:szCs w:val="24"/>
        </w:rPr>
        <w:t xml:space="preserve">fallacies of self-assessment. </w:t>
      </w:r>
      <w:r w:rsidRPr="00BE3B6C">
        <w:rPr>
          <w:rFonts w:ascii="Times New Roman" w:hAnsi="Times New Roman" w:cs="Times New Roman"/>
          <w:i/>
          <w:iCs/>
          <w:noProof/>
          <w:sz w:val="24"/>
          <w:szCs w:val="24"/>
        </w:rPr>
        <w:t>Journal of Continuing Education in the Health Professions</w:t>
      </w:r>
      <w:r w:rsidR="001E4832">
        <w:rPr>
          <w:rFonts w:ascii="Times New Roman" w:hAnsi="Times New Roman" w:cs="Times New Roman"/>
          <w:noProof/>
          <w:sz w:val="24"/>
          <w:szCs w:val="24"/>
        </w:rPr>
        <w:t xml:space="preserve">. </w:t>
      </w:r>
      <w:r w:rsidR="001E4832" w:rsidRPr="001E4832">
        <w:rPr>
          <w:rFonts w:ascii="Times New Roman" w:hAnsi="Times New Roman" w:cs="Times New Roman"/>
          <w:b/>
          <w:noProof/>
          <w:sz w:val="24"/>
          <w:szCs w:val="24"/>
        </w:rPr>
        <w:t>28</w:t>
      </w:r>
      <w:r w:rsidR="001E4832">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14–19. </w:t>
      </w:r>
    </w:p>
    <w:p w14:paraId="20216CCB" w14:textId="6D7840E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Fandel, T. M. </w:t>
      </w:r>
      <w:r w:rsidRPr="00BE3B6C">
        <w:rPr>
          <w:rFonts w:ascii="Times New Roman" w:hAnsi="Times New Roman" w:cs="Times New Roman"/>
          <w:i/>
          <w:iCs/>
          <w:noProof/>
          <w:sz w:val="24"/>
          <w:szCs w:val="24"/>
        </w:rPr>
        <w:t>et al.</w:t>
      </w:r>
      <w:r w:rsidR="001E4832">
        <w:rPr>
          <w:rFonts w:ascii="Times New Roman" w:hAnsi="Times New Roman" w:cs="Times New Roman"/>
          <w:noProof/>
          <w:sz w:val="24"/>
          <w:szCs w:val="24"/>
        </w:rPr>
        <w:t xml:space="preserve"> (2008). </w:t>
      </w:r>
      <w:r w:rsidRPr="00BE3B6C">
        <w:rPr>
          <w:rFonts w:ascii="Times New Roman" w:hAnsi="Times New Roman" w:cs="Times New Roman"/>
          <w:noProof/>
          <w:sz w:val="24"/>
          <w:szCs w:val="24"/>
        </w:rPr>
        <w:t xml:space="preserve">Do we truly see what we think we see? The role of cognitive bias </w:t>
      </w:r>
      <w:r w:rsidR="001E4832">
        <w:rPr>
          <w:rFonts w:ascii="Times New Roman" w:hAnsi="Times New Roman" w:cs="Times New Roman"/>
          <w:noProof/>
          <w:sz w:val="24"/>
          <w:szCs w:val="24"/>
        </w:rPr>
        <w:t xml:space="preserve">in pathological interpretation. </w:t>
      </w:r>
      <w:r w:rsidRPr="00BE3B6C">
        <w:rPr>
          <w:rFonts w:ascii="Times New Roman" w:hAnsi="Times New Roman" w:cs="Times New Roman"/>
          <w:i/>
          <w:iCs/>
          <w:noProof/>
          <w:sz w:val="24"/>
          <w:szCs w:val="24"/>
        </w:rPr>
        <w:t>Journal of Pathology</w:t>
      </w:r>
      <w:r w:rsidR="001E4832">
        <w:rPr>
          <w:rFonts w:ascii="Times New Roman" w:hAnsi="Times New Roman" w:cs="Times New Roman"/>
          <w:noProof/>
          <w:sz w:val="24"/>
          <w:szCs w:val="24"/>
        </w:rPr>
        <w:t xml:space="preserve">. </w:t>
      </w:r>
      <w:r w:rsidR="001E4832" w:rsidRPr="001E4832">
        <w:rPr>
          <w:rFonts w:ascii="Times New Roman" w:hAnsi="Times New Roman" w:cs="Times New Roman"/>
          <w:b/>
          <w:noProof/>
          <w:sz w:val="24"/>
          <w:szCs w:val="24"/>
        </w:rPr>
        <w:t>216</w:t>
      </w:r>
      <w:r w:rsidR="001E4832">
        <w:rPr>
          <w:rFonts w:ascii="Times New Roman" w:hAnsi="Times New Roman" w:cs="Times New Roman"/>
          <w:noProof/>
          <w:sz w:val="24"/>
          <w:szCs w:val="24"/>
        </w:rPr>
        <w:t>(2), 193–200.</w:t>
      </w:r>
    </w:p>
    <w:p w14:paraId="3D5769AF" w14:textId="6A8BBB9A" w:rsidR="00BE3B6C" w:rsidRPr="00A85239"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A85239">
        <w:rPr>
          <w:rFonts w:ascii="Times New Roman" w:hAnsi="Times New Roman" w:cs="Times New Roman"/>
          <w:noProof/>
          <w:sz w:val="24"/>
          <w:szCs w:val="24"/>
        </w:rPr>
        <w:t>Feldt, L</w:t>
      </w:r>
      <w:r w:rsidR="001E4832" w:rsidRPr="00A85239">
        <w:rPr>
          <w:rFonts w:ascii="Times New Roman" w:hAnsi="Times New Roman" w:cs="Times New Roman"/>
          <w:noProof/>
          <w:sz w:val="24"/>
          <w:szCs w:val="24"/>
        </w:rPr>
        <w:t>. S. and Brennan, R. L. (1989). Reliability. I</w:t>
      </w:r>
      <w:r w:rsidRPr="00A85239">
        <w:rPr>
          <w:rFonts w:ascii="Times New Roman" w:hAnsi="Times New Roman" w:cs="Times New Roman"/>
          <w:noProof/>
          <w:sz w:val="24"/>
          <w:szCs w:val="24"/>
        </w:rPr>
        <w:t>n</w:t>
      </w:r>
      <w:r w:rsidR="001E4832" w:rsidRPr="00A85239">
        <w:rPr>
          <w:rFonts w:ascii="Times New Roman" w:hAnsi="Times New Roman" w:cs="Times New Roman"/>
          <w:noProof/>
          <w:sz w:val="24"/>
          <w:szCs w:val="24"/>
        </w:rPr>
        <w:t xml:space="preserve">: </w:t>
      </w:r>
      <w:r w:rsidR="00A85239" w:rsidRPr="00A85239">
        <w:rPr>
          <w:rFonts w:ascii="Times New Roman" w:hAnsi="Times New Roman" w:cs="Times New Roman"/>
          <w:noProof/>
          <w:sz w:val="24"/>
          <w:szCs w:val="24"/>
        </w:rPr>
        <w:t>R. L. Linn, ed.</w:t>
      </w:r>
      <w:r w:rsidRPr="00A85239">
        <w:rPr>
          <w:rFonts w:ascii="Times New Roman" w:hAnsi="Times New Roman" w:cs="Times New Roman"/>
          <w:noProof/>
          <w:sz w:val="24"/>
          <w:szCs w:val="24"/>
        </w:rPr>
        <w:t xml:space="preserve"> </w:t>
      </w:r>
      <w:r w:rsidR="00A85239" w:rsidRPr="00A85239">
        <w:rPr>
          <w:rStyle w:val="Emphasis"/>
          <w:rFonts w:ascii="Times New Roman" w:hAnsi="Times New Roman" w:cs="Times New Roman"/>
          <w:sz w:val="24"/>
          <w:szCs w:val="24"/>
        </w:rPr>
        <w:t>The American Council on Education/Macmillan series on higher education</w:t>
      </w:r>
      <w:r w:rsidR="00A85239" w:rsidRPr="00A85239">
        <w:rPr>
          <w:rFonts w:ascii="Times New Roman" w:hAnsi="Times New Roman" w:cs="Times New Roman"/>
          <w:i/>
          <w:iCs/>
          <w:noProof/>
          <w:sz w:val="24"/>
          <w:szCs w:val="24"/>
        </w:rPr>
        <w:t xml:space="preserve">. </w:t>
      </w:r>
      <w:r w:rsidRPr="00A85239">
        <w:rPr>
          <w:rFonts w:ascii="Times New Roman" w:hAnsi="Times New Roman" w:cs="Times New Roman"/>
          <w:i/>
          <w:iCs/>
          <w:noProof/>
          <w:sz w:val="24"/>
          <w:szCs w:val="24"/>
        </w:rPr>
        <w:t>Educational measurement</w:t>
      </w:r>
      <w:r w:rsidR="00A85239">
        <w:rPr>
          <w:rFonts w:ascii="Times New Roman" w:hAnsi="Times New Roman" w:cs="Times New Roman"/>
          <w:i/>
          <w:iCs/>
          <w:noProof/>
          <w:sz w:val="24"/>
          <w:szCs w:val="24"/>
        </w:rPr>
        <w:t>,</w:t>
      </w:r>
      <w:r w:rsidR="001E4832" w:rsidRPr="00A85239">
        <w:rPr>
          <w:rFonts w:ascii="Times New Roman" w:hAnsi="Times New Roman" w:cs="Times New Roman"/>
          <w:i/>
          <w:iCs/>
          <w:noProof/>
          <w:sz w:val="24"/>
          <w:szCs w:val="24"/>
        </w:rPr>
        <w:t xml:space="preserve"> </w:t>
      </w:r>
      <w:r w:rsidR="001E4832" w:rsidRPr="00A85239">
        <w:rPr>
          <w:rFonts w:ascii="Times New Roman" w:hAnsi="Times New Roman" w:cs="Times New Roman"/>
          <w:iCs/>
          <w:noProof/>
          <w:sz w:val="24"/>
          <w:szCs w:val="24"/>
        </w:rPr>
        <w:t>3rd ed.</w:t>
      </w:r>
      <w:r w:rsidR="00A85239" w:rsidRPr="00A85239">
        <w:rPr>
          <w:rFonts w:ascii="Times New Roman" w:hAnsi="Times New Roman" w:cs="Times New Roman"/>
          <w:iCs/>
          <w:noProof/>
          <w:sz w:val="24"/>
          <w:szCs w:val="24"/>
        </w:rPr>
        <w:t xml:space="preserve"> New York, NY, England: Macmillan Publishing Co, Inc;</w:t>
      </w:r>
      <w:r w:rsidR="00A85239">
        <w:rPr>
          <w:rFonts w:ascii="Times New Roman" w:hAnsi="Times New Roman" w:cs="Times New Roman"/>
          <w:iCs/>
          <w:noProof/>
          <w:sz w:val="24"/>
          <w:szCs w:val="24"/>
        </w:rPr>
        <w:t xml:space="preserve"> </w:t>
      </w:r>
      <w:r w:rsidR="00A85239" w:rsidRPr="00A85239">
        <w:rPr>
          <w:rFonts w:ascii="Times New Roman" w:hAnsi="Times New Roman" w:cs="Times New Roman"/>
          <w:iCs/>
          <w:noProof/>
          <w:sz w:val="24"/>
          <w:szCs w:val="24"/>
        </w:rPr>
        <w:t>American Council on Education.</w:t>
      </w:r>
      <w:r w:rsidR="00A85239" w:rsidRPr="00A85239">
        <w:rPr>
          <w:rFonts w:ascii="Times New Roman" w:hAnsi="Times New Roman" w:cs="Times New Roman"/>
          <w:noProof/>
          <w:sz w:val="24"/>
          <w:szCs w:val="24"/>
        </w:rPr>
        <w:t xml:space="preserve"> </w:t>
      </w:r>
      <w:r w:rsidRPr="00A85239">
        <w:rPr>
          <w:rFonts w:ascii="Times New Roman" w:hAnsi="Times New Roman" w:cs="Times New Roman"/>
          <w:noProof/>
          <w:sz w:val="24"/>
          <w:szCs w:val="24"/>
        </w:rPr>
        <w:t>pp. 105–146.</w:t>
      </w:r>
    </w:p>
    <w:p w14:paraId="5D7E326B" w14:textId="57474955" w:rsidR="00BE3B6C" w:rsidRPr="00BE3B6C" w:rsidRDefault="00A8523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Ferguson, R. P. (2014). </w:t>
      </w:r>
      <w:r w:rsidR="00BE3B6C" w:rsidRPr="00BE3B6C">
        <w:rPr>
          <w:rFonts w:ascii="Times New Roman" w:hAnsi="Times New Roman" w:cs="Times New Roman"/>
          <w:noProof/>
          <w:sz w:val="24"/>
          <w:szCs w:val="24"/>
        </w:rPr>
        <w:t>Professionalism: hard to measure but you know it when you s</w:t>
      </w:r>
      <w:r>
        <w:rPr>
          <w:rFonts w:ascii="Times New Roman" w:hAnsi="Times New Roman" w:cs="Times New Roman"/>
          <w:noProof/>
          <w:sz w:val="24"/>
          <w:szCs w:val="24"/>
        </w:rPr>
        <w:t xml:space="preserve">ee </w:t>
      </w:r>
      <w:r>
        <w:rPr>
          <w:rFonts w:ascii="Times New Roman" w:hAnsi="Times New Roman" w:cs="Times New Roman"/>
          <w:noProof/>
          <w:sz w:val="24"/>
          <w:szCs w:val="24"/>
        </w:rPr>
        <w:lastRenderedPageBreak/>
        <w:t xml:space="preserve">it. </w:t>
      </w:r>
      <w:r w:rsidR="00BE3B6C" w:rsidRPr="00BE3B6C">
        <w:rPr>
          <w:rFonts w:ascii="Times New Roman" w:hAnsi="Times New Roman" w:cs="Times New Roman"/>
          <w:i/>
          <w:iCs/>
          <w:noProof/>
          <w:sz w:val="24"/>
          <w:szCs w:val="24"/>
        </w:rPr>
        <w:t>Journal of Community Hospital Internal Medicine Perspectives</w:t>
      </w:r>
      <w:r>
        <w:rPr>
          <w:rFonts w:ascii="Times New Roman" w:hAnsi="Times New Roman" w:cs="Times New Roman"/>
          <w:noProof/>
          <w:sz w:val="24"/>
          <w:szCs w:val="24"/>
        </w:rPr>
        <w:t xml:space="preserve">. </w:t>
      </w:r>
      <w:r w:rsidRPr="00A85239">
        <w:rPr>
          <w:rFonts w:ascii="Times New Roman" w:hAnsi="Times New Roman" w:cs="Times New Roman"/>
          <w:b/>
          <w:noProof/>
          <w:sz w:val="24"/>
          <w:szCs w:val="24"/>
        </w:rPr>
        <w:t>4</w:t>
      </w:r>
      <w:r>
        <w:rPr>
          <w:rFonts w:ascii="Times New Roman" w:hAnsi="Times New Roman" w:cs="Times New Roman"/>
          <w:noProof/>
          <w:sz w:val="24"/>
          <w:szCs w:val="24"/>
        </w:rPr>
        <w:t>(2), 24226.</w:t>
      </w:r>
    </w:p>
    <w:p w14:paraId="4D611686" w14:textId="74F11F7D"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Field, J. C., Cowpe, J.</w:t>
      </w:r>
      <w:r w:rsidR="00981659">
        <w:rPr>
          <w:rFonts w:ascii="Times New Roman" w:hAnsi="Times New Roman" w:cs="Times New Roman"/>
          <w:noProof/>
          <w:sz w:val="24"/>
          <w:szCs w:val="24"/>
        </w:rPr>
        <w:t xml:space="preserve"> G. and Walmsley, A. D. (2017). </w:t>
      </w:r>
      <w:r w:rsidRPr="00BE3B6C">
        <w:rPr>
          <w:rFonts w:ascii="Times New Roman" w:hAnsi="Times New Roman" w:cs="Times New Roman"/>
          <w:noProof/>
          <w:sz w:val="24"/>
          <w:szCs w:val="24"/>
        </w:rPr>
        <w:t>The Graduating European Dentist: A New Under</w:t>
      </w:r>
      <w:r w:rsidR="00981659">
        <w:rPr>
          <w:rFonts w:ascii="Times New Roman" w:hAnsi="Times New Roman" w:cs="Times New Roman"/>
          <w:noProof/>
          <w:sz w:val="24"/>
          <w:szCs w:val="24"/>
        </w:rPr>
        <w:t xml:space="preserve">graduate Curriculum Framework. </w:t>
      </w:r>
      <w:r w:rsidRPr="00BE3B6C">
        <w:rPr>
          <w:rFonts w:ascii="Times New Roman" w:hAnsi="Times New Roman" w:cs="Times New Roman"/>
          <w:i/>
          <w:iCs/>
          <w:noProof/>
          <w:sz w:val="24"/>
          <w:szCs w:val="24"/>
        </w:rPr>
        <w:t>European Journal of Dental Education</w:t>
      </w:r>
      <w:r w:rsidR="00981659">
        <w:rPr>
          <w:rFonts w:ascii="Times New Roman" w:hAnsi="Times New Roman" w:cs="Times New Roman"/>
          <w:noProof/>
          <w:sz w:val="24"/>
          <w:szCs w:val="24"/>
        </w:rPr>
        <w:t xml:space="preserve">. </w:t>
      </w:r>
      <w:r w:rsidR="00981659" w:rsidRPr="00981659">
        <w:rPr>
          <w:rFonts w:ascii="Times New Roman" w:hAnsi="Times New Roman" w:cs="Times New Roman"/>
          <w:b/>
          <w:noProof/>
          <w:sz w:val="24"/>
          <w:szCs w:val="24"/>
        </w:rPr>
        <w:t>21</w:t>
      </w:r>
      <w:r w:rsidR="00981659">
        <w:rPr>
          <w:rFonts w:ascii="Times New Roman" w:hAnsi="Times New Roman" w:cs="Times New Roman"/>
          <w:noProof/>
          <w:sz w:val="24"/>
          <w:szCs w:val="24"/>
        </w:rPr>
        <w:t xml:space="preserve">(1 suppl), 2–10. </w:t>
      </w:r>
    </w:p>
    <w:p w14:paraId="20AA02D9" w14:textId="64C74D17" w:rsidR="00BE3B6C" w:rsidRPr="00BE3B6C" w:rsidRDefault="0098165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Finall,  A. (2012). Trainers'</w:t>
      </w:r>
      <w:r w:rsidR="00BE3B6C" w:rsidRPr="00BE3B6C">
        <w:rPr>
          <w:rFonts w:ascii="Times New Roman" w:hAnsi="Times New Roman" w:cs="Times New Roman"/>
          <w:noProof/>
          <w:sz w:val="24"/>
          <w:szCs w:val="24"/>
        </w:rPr>
        <w:t xml:space="preserve"> perceptions of the direct observation of practical skills assessment in histopathology traini</w:t>
      </w:r>
      <w:r>
        <w:rPr>
          <w:rFonts w:ascii="Times New Roman" w:hAnsi="Times New Roman" w:cs="Times New Roman"/>
          <w:noProof/>
          <w:sz w:val="24"/>
          <w:szCs w:val="24"/>
        </w:rPr>
        <w:t xml:space="preserve">ng: a qualitative pilot study. </w:t>
      </w:r>
      <w:r w:rsidR="00BE3B6C" w:rsidRPr="00BE3B6C">
        <w:rPr>
          <w:rFonts w:ascii="Times New Roman" w:hAnsi="Times New Roman" w:cs="Times New Roman"/>
          <w:i/>
          <w:iCs/>
          <w:noProof/>
          <w:sz w:val="24"/>
          <w:szCs w:val="24"/>
        </w:rPr>
        <w:t>Journal of Clinical Pathology</w:t>
      </w:r>
      <w:r>
        <w:rPr>
          <w:rFonts w:ascii="Times New Roman" w:hAnsi="Times New Roman" w:cs="Times New Roman"/>
          <w:noProof/>
          <w:sz w:val="24"/>
          <w:szCs w:val="24"/>
        </w:rPr>
        <w:t xml:space="preserve">. </w:t>
      </w:r>
      <w:r w:rsidR="00BE3B6C" w:rsidRPr="00981659">
        <w:rPr>
          <w:rFonts w:ascii="Times New Roman" w:hAnsi="Times New Roman" w:cs="Times New Roman"/>
          <w:b/>
          <w:noProof/>
          <w:sz w:val="24"/>
          <w:szCs w:val="24"/>
        </w:rPr>
        <w:t>65</w:t>
      </w:r>
      <w:r w:rsidR="00BE3B6C" w:rsidRPr="00BE3B6C">
        <w:rPr>
          <w:rFonts w:ascii="Times New Roman" w:hAnsi="Times New Roman" w:cs="Times New Roman"/>
          <w:noProof/>
          <w:sz w:val="24"/>
          <w:szCs w:val="24"/>
        </w:rPr>
        <w:t xml:space="preserve">(6), </w:t>
      </w:r>
      <w:r>
        <w:rPr>
          <w:rFonts w:ascii="Times New Roman" w:hAnsi="Times New Roman" w:cs="Times New Roman"/>
          <w:noProof/>
          <w:sz w:val="24"/>
          <w:szCs w:val="24"/>
        </w:rPr>
        <w:t xml:space="preserve">538–540. </w:t>
      </w:r>
    </w:p>
    <w:p w14:paraId="353C1573" w14:textId="75545D5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Fi</w:t>
      </w:r>
      <w:r w:rsidR="00981659">
        <w:rPr>
          <w:rFonts w:ascii="Times New Roman" w:hAnsi="Times New Roman" w:cs="Times New Roman"/>
          <w:noProof/>
          <w:sz w:val="24"/>
          <w:szCs w:val="24"/>
        </w:rPr>
        <w:t xml:space="preserve">nall, A. and Allery, L. (2016). </w:t>
      </w:r>
      <w:r w:rsidRPr="00BE3B6C">
        <w:rPr>
          <w:rFonts w:ascii="Times New Roman" w:hAnsi="Times New Roman" w:cs="Times New Roman"/>
          <w:noProof/>
          <w:sz w:val="24"/>
          <w:szCs w:val="24"/>
        </w:rPr>
        <w:t>Ready, steady, go! What do histopathology trainees think they need from training to enable them to develop autonomy i</w:t>
      </w:r>
      <w:r w:rsidR="00981659">
        <w:rPr>
          <w:rFonts w:ascii="Times New Roman" w:hAnsi="Times New Roman" w:cs="Times New Roman"/>
          <w:noProof/>
          <w:sz w:val="24"/>
          <w:szCs w:val="24"/>
        </w:rPr>
        <w:t>n surgical pathology reporting?</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Journal of Clinical Pathology</w:t>
      </w:r>
      <w:r w:rsidR="00981659">
        <w:rPr>
          <w:rFonts w:ascii="Times New Roman" w:hAnsi="Times New Roman" w:cs="Times New Roman"/>
          <w:noProof/>
          <w:sz w:val="24"/>
          <w:szCs w:val="24"/>
        </w:rPr>
        <w:t xml:space="preserve">. </w:t>
      </w:r>
      <w:r w:rsidR="00981659" w:rsidRPr="00981659">
        <w:rPr>
          <w:rFonts w:ascii="Times New Roman" w:hAnsi="Times New Roman" w:cs="Times New Roman"/>
          <w:b/>
          <w:noProof/>
          <w:sz w:val="24"/>
          <w:szCs w:val="24"/>
        </w:rPr>
        <w:t>69</w:t>
      </w:r>
      <w:r w:rsidR="00981659">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42–46. </w:t>
      </w:r>
    </w:p>
    <w:p w14:paraId="5D0FB5B7" w14:textId="7F587E3A" w:rsidR="00BE3B6C" w:rsidRDefault="00616B5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Fincham, J. E. (2008). </w:t>
      </w:r>
      <w:r w:rsidR="00BE3B6C" w:rsidRPr="00BE3B6C">
        <w:rPr>
          <w:rFonts w:ascii="Times New Roman" w:hAnsi="Times New Roman" w:cs="Times New Roman"/>
          <w:noProof/>
          <w:sz w:val="24"/>
          <w:szCs w:val="24"/>
        </w:rPr>
        <w:t>Response rates and responsiveness for surveys</w:t>
      </w:r>
      <w:r>
        <w:rPr>
          <w:rFonts w:ascii="Times New Roman" w:hAnsi="Times New Roman" w:cs="Times New Roman"/>
          <w:noProof/>
          <w:sz w:val="24"/>
          <w:szCs w:val="24"/>
        </w:rPr>
        <w:t xml:space="preserve">, standards, and the Journal. </w:t>
      </w:r>
      <w:r w:rsidR="00BE3B6C" w:rsidRPr="00BE3B6C">
        <w:rPr>
          <w:rFonts w:ascii="Times New Roman" w:hAnsi="Times New Roman" w:cs="Times New Roman"/>
          <w:i/>
          <w:iCs/>
          <w:noProof/>
          <w:sz w:val="24"/>
          <w:szCs w:val="24"/>
        </w:rPr>
        <w:t>American journal of pharmaceutical education</w:t>
      </w:r>
      <w:r>
        <w:rPr>
          <w:rFonts w:ascii="Times New Roman" w:hAnsi="Times New Roman" w:cs="Times New Roman"/>
          <w:noProof/>
          <w:sz w:val="24"/>
          <w:szCs w:val="24"/>
        </w:rPr>
        <w:t xml:space="preserve">. </w:t>
      </w:r>
      <w:r w:rsidRPr="00616B5F">
        <w:rPr>
          <w:rFonts w:ascii="Times New Roman" w:hAnsi="Times New Roman" w:cs="Times New Roman"/>
          <w:b/>
          <w:noProof/>
          <w:sz w:val="24"/>
          <w:szCs w:val="24"/>
        </w:rPr>
        <w:t>72</w:t>
      </w:r>
      <w:r>
        <w:rPr>
          <w:rFonts w:ascii="Times New Roman" w:hAnsi="Times New Roman" w:cs="Times New Roman"/>
          <w:noProof/>
          <w:sz w:val="24"/>
          <w:szCs w:val="24"/>
        </w:rPr>
        <w:t xml:space="preserve">(2), </w:t>
      </w:r>
      <w:r w:rsidR="00BE3B6C" w:rsidRPr="00BE3B6C">
        <w:rPr>
          <w:rFonts w:ascii="Times New Roman" w:hAnsi="Times New Roman" w:cs="Times New Roman"/>
          <w:noProof/>
          <w:sz w:val="24"/>
          <w:szCs w:val="24"/>
        </w:rPr>
        <w:t xml:space="preserve">43. </w:t>
      </w:r>
    </w:p>
    <w:p w14:paraId="00EF7E05" w14:textId="69CF4270" w:rsidR="00616B5F" w:rsidRDefault="00616B5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Frank, J. R. (Ed</w:t>
      </w:r>
      <w:r w:rsidR="00296369">
        <w:rPr>
          <w:rFonts w:ascii="Times New Roman" w:hAnsi="Times New Roman" w:cs="Times New Roman"/>
          <w:noProof/>
          <w:sz w:val="24"/>
          <w:szCs w:val="24"/>
        </w:rPr>
        <w:t>.</w:t>
      </w:r>
      <w:r>
        <w:rPr>
          <w:rFonts w:ascii="Times New Roman" w:hAnsi="Times New Roman" w:cs="Times New Roman"/>
          <w:noProof/>
          <w:sz w:val="24"/>
          <w:szCs w:val="24"/>
        </w:rPr>
        <w:t xml:space="preserve">) (2005). </w:t>
      </w:r>
      <w:r w:rsidRPr="00BE3B6C">
        <w:rPr>
          <w:rFonts w:ascii="Times New Roman" w:hAnsi="Times New Roman" w:cs="Times New Roman"/>
          <w:i/>
          <w:iCs/>
          <w:noProof/>
          <w:sz w:val="24"/>
          <w:szCs w:val="24"/>
        </w:rPr>
        <w:t>The CanMEDS 2005 physician competency framework. Better standsards.</w:t>
      </w:r>
      <w:r>
        <w:rPr>
          <w:rFonts w:ascii="Times New Roman" w:hAnsi="Times New Roman" w:cs="Times New Roman"/>
          <w:i/>
          <w:iCs/>
          <w:noProof/>
          <w:sz w:val="24"/>
          <w:szCs w:val="24"/>
        </w:rPr>
        <w:t xml:space="preserve"> Better physicians. Better care. </w:t>
      </w:r>
      <w:r w:rsidRPr="00BE3B6C">
        <w:rPr>
          <w:rFonts w:ascii="Times New Roman" w:hAnsi="Times New Roman" w:cs="Times New Roman"/>
          <w:noProof/>
          <w:sz w:val="24"/>
          <w:szCs w:val="24"/>
        </w:rPr>
        <w:t>Ottawa</w:t>
      </w:r>
      <w:r>
        <w:rPr>
          <w:rFonts w:ascii="Times New Roman" w:hAnsi="Times New Roman" w:cs="Times New Roman"/>
          <w:noProof/>
          <w:sz w:val="24"/>
          <w:szCs w:val="24"/>
        </w:rPr>
        <w:t>, Canada</w:t>
      </w:r>
      <w:r w:rsidRPr="00BE3B6C">
        <w:rPr>
          <w:rFonts w:ascii="Times New Roman" w:hAnsi="Times New Roman" w:cs="Times New Roman"/>
          <w:noProof/>
          <w:sz w:val="24"/>
          <w:szCs w:val="24"/>
        </w:rPr>
        <w:t>: The Royal College of Phy</w:t>
      </w:r>
      <w:r>
        <w:rPr>
          <w:rFonts w:ascii="Times New Roman" w:hAnsi="Times New Roman" w:cs="Times New Roman"/>
          <w:noProof/>
          <w:sz w:val="24"/>
          <w:szCs w:val="24"/>
        </w:rPr>
        <w:t>sicians and Surgeons of Canada.</w:t>
      </w:r>
    </w:p>
    <w:p w14:paraId="3EBB1E9F" w14:textId="148ECBD7"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Frank, J.</w:t>
      </w:r>
      <w:r w:rsidR="00616B5F">
        <w:rPr>
          <w:rFonts w:ascii="Times New Roman" w:hAnsi="Times New Roman" w:cs="Times New Roman"/>
          <w:noProof/>
          <w:sz w:val="24"/>
          <w:szCs w:val="24"/>
        </w:rPr>
        <w:t xml:space="preserve"> R.</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w:t>
      </w:r>
      <w:r w:rsidR="00616B5F">
        <w:rPr>
          <w:rFonts w:ascii="Times New Roman" w:hAnsi="Times New Roman" w:cs="Times New Roman"/>
          <w:noProof/>
          <w:sz w:val="24"/>
          <w:szCs w:val="24"/>
        </w:rPr>
        <w:t>(2010</w:t>
      </w:r>
      <w:r w:rsidR="00DE7C5C">
        <w:rPr>
          <w:rFonts w:ascii="Times New Roman" w:hAnsi="Times New Roman" w:cs="Times New Roman"/>
          <w:noProof/>
          <w:sz w:val="24"/>
          <w:szCs w:val="24"/>
        </w:rPr>
        <w:t>a</w:t>
      </w:r>
      <w:r w:rsidR="00616B5F">
        <w:rPr>
          <w:rFonts w:ascii="Times New Roman" w:hAnsi="Times New Roman" w:cs="Times New Roman"/>
          <w:noProof/>
          <w:sz w:val="24"/>
          <w:szCs w:val="24"/>
        </w:rPr>
        <w:t xml:space="preserve">). </w:t>
      </w:r>
      <w:r w:rsidRPr="00BE3B6C">
        <w:rPr>
          <w:rFonts w:ascii="Times New Roman" w:hAnsi="Times New Roman" w:cs="Times New Roman"/>
          <w:noProof/>
          <w:sz w:val="24"/>
          <w:szCs w:val="24"/>
        </w:rPr>
        <w:t>Competency-based medical</w:t>
      </w:r>
      <w:r w:rsidR="00616B5F">
        <w:rPr>
          <w:rFonts w:ascii="Times New Roman" w:hAnsi="Times New Roman" w:cs="Times New Roman"/>
          <w:noProof/>
          <w:sz w:val="24"/>
          <w:szCs w:val="24"/>
        </w:rPr>
        <w:t xml:space="preserve"> education: theory to practice. </w:t>
      </w:r>
      <w:r w:rsidRPr="00BE3B6C">
        <w:rPr>
          <w:rFonts w:ascii="Times New Roman" w:hAnsi="Times New Roman" w:cs="Times New Roman"/>
          <w:noProof/>
          <w:sz w:val="24"/>
          <w:szCs w:val="24"/>
        </w:rPr>
        <w:t xml:space="preserve"> </w:t>
      </w:r>
      <w:r w:rsidR="00616B5F">
        <w:rPr>
          <w:rFonts w:ascii="Times New Roman" w:hAnsi="Times New Roman" w:cs="Times New Roman"/>
          <w:i/>
          <w:iCs/>
          <w:noProof/>
          <w:sz w:val="24"/>
          <w:szCs w:val="24"/>
        </w:rPr>
        <w:t>Medical T</w:t>
      </w:r>
      <w:r w:rsidRPr="00BE3B6C">
        <w:rPr>
          <w:rFonts w:ascii="Times New Roman" w:hAnsi="Times New Roman" w:cs="Times New Roman"/>
          <w:i/>
          <w:iCs/>
          <w:noProof/>
          <w:sz w:val="24"/>
          <w:szCs w:val="24"/>
        </w:rPr>
        <w:t>eacher</w:t>
      </w:r>
      <w:r w:rsidR="00616B5F">
        <w:rPr>
          <w:rFonts w:ascii="Times New Roman" w:hAnsi="Times New Roman" w:cs="Times New Roman"/>
          <w:noProof/>
          <w:sz w:val="24"/>
          <w:szCs w:val="24"/>
        </w:rPr>
        <w:t xml:space="preserve">. </w:t>
      </w:r>
      <w:r w:rsidR="00616B5F" w:rsidRPr="00616B5F">
        <w:rPr>
          <w:rFonts w:ascii="Times New Roman" w:hAnsi="Times New Roman" w:cs="Times New Roman"/>
          <w:b/>
          <w:noProof/>
          <w:sz w:val="24"/>
          <w:szCs w:val="24"/>
        </w:rPr>
        <w:t>32</w:t>
      </w:r>
      <w:r w:rsidR="00616B5F">
        <w:rPr>
          <w:rFonts w:ascii="Times New Roman" w:hAnsi="Times New Roman" w:cs="Times New Roman"/>
          <w:noProof/>
          <w:sz w:val="24"/>
          <w:szCs w:val="24"/>
        </w:rPr>
        <w:t xml:space="preserve">(8), 638–45. </w:t>
      </w:r>
    </w:p>
    <w:p w14:paraId="32CD7A41" w14:textId="76932E2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Frank, J. R. </w:t>
      </w:r>
      <w:r w:rsidRPr="00BE3B6C">
        <w:rPr>
          <w:rFonts w:ascii="Times New Roman" w:hAnsi="Times New Roman" w:cs="Times New Roman"/>
          <w:i/>
          <w:iCs/>
          <w:noProof/>
          <w:sz w:val="24"/>
          <w:szCs w:val="24"/>
        </w:rPr>
        <w:t>et al.</w:t>
      </w:r>
      <w:r w:rsidR="00296369">
        <w:rPr>
          <w:rFonts w:ascii="Times New Roman" w:hAnsi="Times New Roman" w:cs="Times New Roman"/>
          <w:noProof/>
          <w:sz w:val="24"/>
          <w:szCs w:val="24"/>
        </w:rPr>
        <w:t xml:space="preserve"> (2010</w:t>
      </w:r>
      <w:r w:rsidR="00DE7C5C">
        <w:rPr>
          <w:rFonts w:ascii="Times New Roman" w:hAnsi="Times New Roman" w:cs="Times New Roman"/>
          <w:noProof/>
          <w:sz w:val="24"/>
          <w:szCs w:val="24"/>
        </w:rPr>
        <w:t>b</w:t>
      </w:r>
      <w:r w:rsidR="00296369">
        <w:rPr>
          <w:rFonts w:ascii="Times New Roman" w:hAnsi="Times New Roman" w:cs="Times New Roman"/>
          <w:noProof/>
          <w:sz w:val="24"/>
          <w:szCs w:val="24"/>
        </w:rPr>
        <w:t xml:space="preserve">). </w:t>
      </w:r>
      <w:r w:rsidRPr="00BE3B6C">
        <w:rPr>
          <w:rFonts w:ascii="Times New Roman" w:hAnsi="Times New Roman" w:cs="Times New Roman"/>
          <w:noProof/>
          <w:sz w:val="24"/>
          <w:szCs w:val="24"/>
        </w:rPr>
        <w:t>Toward a definition of competency-based education in medicine: A systematic review of published defini</w:t>
      </w:r>
      <w:r w:rsidR="00296369">
        <w:rPr>
          <w:rFonts w:ascii="Times New Roman" w:hAnsi="Times New Roman" w:cs="Times New Roman"/>
          <w:noProof/>
          <w:sz w:val="24"/>
          <w:szCs w:val="24"/>
        </w:rPr>
        <w:t xml:space="preserve">tions. </w:t>
      </w:r>
      <w:r w:rsidRPr="00BE3B6C">
        <w:rPr>
          <w:rFonts w:ascii="Times New Roman" w:hAnsi="Times New Roman" w:cs="Times New Roman"/>
          <w:i/>
          <w:iCs/>
          <w:noProof/>
          <w:sz w:val="24"/>
          <w:szCs w:val="24"/>
        </w:rPr>
        <w:t>Medical Teacher</w:t>
      </w:r>
      <w:r w:rsidR="00296369">
        <w:rPr>
          <w:rFonts w:ascii="Times New Roman" w:hAnsi="Times New Roman" w:cs="Times New Roman"/>
          <w:noProof/>
          <w:sz w:val="24"/>
          <w:szCs w:val="24"/>
        </w:rPr>
        <w:t xml:space="preserve">. </w:t>
      </w:r>
      <w:r w:rsidR="00296369" w:rsidRPr="00296369">
        <w:rPr>
          <w:rFonts w:ascii="Times New Roman" w:hAnsi="Times New Roman" w:cs="Times New Roman"/>
          <w:b/>
          <w:noProof/>
          <w:sz w:val="24"/>
          <w:szCs w:val="24"/>
        </w:rPr>
        <w:t>32</w:t>
      </w:r>
      <w:r w:rsidR="00296369">
        <w:rPr>
          <w:rFonts w:ascii="Times New Roman" w:hAnsi="Times New Roman" w:cs="Times New Roman"/>
          <w:noProof/>
          <w:sz w:val="24"/>
          <w:szCs w:val="24"/>
        </w:rPr>
        <w:t>(8),</w:t>
      </w:r>
      <w:r w:rsidRPr="00BE3B6C">
        <w:rPr>
          <w:rFonts w:ascii="Times New Roman" w:hAnsi="Times New Roman" w:cs="Times New Roman"/>
          <w:noProof/>
          <w:sz w:val="24"/>
          <w:szCs w:val="24"/>
        </w:rPr>
        <w:t xml:space="preserve"> 631–637.</w:t>
      </w:r>
    </w:p>
    <w:p w14:paraId="0FD7DF44" w14:textId="76C71063"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Friedma</w:t>
      </w:r>
      <w:r w:rsidR="00296369">
        <w:rPr>
          <w:rFonts w:ascii="Times New Roman" w:hAnsi="Times New Roman" w:cs="Times New Roman"/>
          <w:noProof/>
          <w:sz w:val="24"/>
          <w:szCs w:val="24"/>
        </w:rPr>
        <w:t xml:space="preserve">n, M. and Mennin, S. P. (1991). </w:t>
      </w:r>
      <w:r w:rsidRPr="00BE3B6C">
        <w:rPr>
          <w:rFonts w:ascii="Times New Roman" w:hAnsi="Times New Roman" w:cs="Times New Roman"/>
          <w:noProof/>
          <w:sz w:val="24"/>
          <w:szCs w:val="24"/>
        </w:rPr>
        <w:t>Rethinking critical iss</w:t>
      </w:r>
      <w:r w:rsidR="00296369">
        <w:rPr>
          <w:rFonts w:ascii="Times New Roman" w:hAnsi="Times New Roman" w:cs="Times New Roman"/>
          <w:noProof/>
          <w:sz w:val="24"/>
          <w:szCs w:val="24"/>
        </w:rPr>
        <w:t>ues in performance assessment.</w:t>
      </w:r>
      <w:r w:rsidRPr="00BE3B6C">
        <w:rPr>
          <w:rFonts w:ascii="Times New Roman" w:hAnsi="Times New Roman" w:cs="Times New Roman"/>
          <w:noProof/>
          <w:sz w:val="24"/>
          <w:szCs w:val="24"/>
        </w:rPr>
        <w:t xml:space="preserve"> </w:t>
      </w:r>
      <w:r w:rsidR="00296369">
        <w:rPr>
          <w:rFonts w:ascii="Times New Roman" w:hAnsi="Times New Roman" w:cs="Times New Roman"/>
          <w:i/>
          <w:iCs/>
          <w:noProof/>
          <w:sz w:val="24"/>
          <w:szCs w:val="24"/>
        </w:rPr>
        <w:t xml:space="preserve">Academic Medicine. </w:t>
      </w:r>
      <w:r w:rsidR="00296369" w:rsidRPr="00296369">
        <w:rPr>
          <w:rFonts w:ascii="Times New Roman" w:hAnsi="Times New Roman" w:cs="Times New Roman"/>
          <w:b/>
          <w:iCs/>
          <w:noProof/>
          <w:sz w:val="24"/>
          <w:szCs w:val="24"/>
        </w:rPr>
        <w:t>66</w:t>
      </w:r>
      <w:r w:rsidR="00296369" w:rsidRPr="00296369">
        <w:rPr>
          <w:rFonts w:ascii="Times New Roman" w:hAnsi="Times New Roman" w:cs="Times New Roman"/>
          <w:iCs/>
          <w:noProof/>
          <w:sz w:val="24"/>
          <w:szCs w:val="24"/>
        </w:rPr>
        <w:t xml:space="preserve">(7), </w:t>
      </w:r>
      <w:r w:rsidR="00296369" w:rsidRPr="00296369">
        <w:rPr>
          <w:rFonts w:ascii="Times New Roman" w:hAnsi="Times New Roman" w:cs="Times New Roman"/>
          <w:noProof/>
          <w:sz w:val="24"/>
          <w:szCs w:val="24"/>
        </w:rPr>
        <w:t xml:space="preserve">390–395. </w:t>
      </w:r>
    </w:p>
    <w:p w14:paraId="679CEA66" w14:textId="67B2AA25" w:rsidR="00BE3B6C" w:rsidRPr="00BE3B6C" w:rsidRDefault="0029636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Gardiner, J. (E</w:t>
      </w:r>
      <w:r w:rsidR="00BE3B6C" w:rsidRPr="00BE3B6C">
        <w:rPr>
          <w:rFonts w:ascii="Times New Roman" w:hAnsi="Times New Roman" w:cs="Times New Roman"/>
          <w:noProof/>
          <w:sz w:val="24"/>
          <w:szCs w:val="24"/>
        </w:rPr>
        <w:t>d.) (2006)</w:t>
      </w:r>
      <w:r>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Assessment and Learning</w:t>
      </w:r>
      <w:r w:rsidR="00BE3B6C" w:rsidRPr="00BE3B6C">
        <w:rPr>
          <w:rFonts w:ascii="Times New Roman" w:hAnsi="Times New Roman" w:cs="Times New Roman"/>
          <w:noProof/>
          <w:sz w:val="24"/>
          <w:szCs w:val="24"/>
        </w:rPr>
        <w:t>. London, UK: Sage publications.</w:t>
      </w:r>
    </w:p>
    <w:p w14:paraId="09D93BD3" w14:textId="71B1308E" w:rsidR="00BE3B6C" w:rsidRPr="00BE3B6C" w:rsidRDefault="0029636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Garland, R. (1991). </w:t>
      </w:r>
      <w:r w:rsidR="00BE3B6C" w:rsidRPr="00BE3B6C">
        <w:rPr>
          <w:rFonts w:ascii="Times New Roman" w:hAnsi="Times New Roman" w:cs="Times New Roman"/>
          <w:noProof/>
          <w:sz w:val="24"/>
          <w:szCs w:val="24"/>
        </w:rPr>
        <w:t>The Mid-Point on a R</w:t>
      </w:r>
      <w:r>
        <w:rPr>
          <w:rFonts w:ascii="Times New Roman" w:hAnsi="Times New Roman" w:cs="Times New Roman"/>
          <w:noProof/>
          <w:sz w:val="24"/>
          <w:szCs w:val="24"/>
        </w:rPr>
        <w:t xml:space="preserve">ating Scale: Is it Desirable? </w:t>
      </w:r>
      <w:r w:rsidR="00BE3B6C" w:rsidRPr="00BE3B6C">
        <w:rPr>
          <w:rFonts w:ascii="Times New Roman" w:hAnsi="Times New Roman" w:cs="Times New Roman"/>
          <w:i/>
          <w:iCs/>
          <w:noProof/>
          <w:sz w:val="24"/>
          <w:szCs w:val="24"/>
        </w:rPr>
        <w:t xml:space="preserve">Marketing </w:t>
      </w:r>
      <w:r w:rsidR="00BE3B6C" w:rsidRPr="00BE3B6C">
        <w:rPr>
          <w:rFonts w:ascii="Times New Roman" w:hAnsi="Times New Roman" w:cs="Times New Roman"/>
          <w:i/>
          <w:iCs/>
          <w:noProof/>
          <w:sz w:val="24"/>
          <w:szCs w:val="24"/>
        </w:rPr>
        <w:lastRenderedPageBreak/>
        <w:t>Bulletin</w:t>
      </w:r>
      <w:r>
        <w:rPr>
          <w:rFonts w:ascii="Times New Roman" w:hAnsi="Times New Roman" w:cs="Times New Roman"/>
          <w:noProof/>
          <w:sz w:val="24"/>
          <w:szCs w:val="24"/>
        </w:rPr>
        <w:t xml:space="preserve">. </w:t>
      </w:r>
      <w:r w:rsidRPr="00296369">
        <w:rPr>
          <w:rFonts w:ascii="Times New Roman" w:hAnsi="Times New Roman" w:cs="Times New Roman"/>
          <w:b/>
          <w:noProof/>
          <w:sz w:val="24"/>
          <w:szCs w:val="24"/>
        </w:rPr>
        <w:t>2</w:t>
      </w:r>
      <w:r>
        <w:rPr>
          <w:rFonts w:ascii="Times New Roman" w:hAnsi="Times New Roman" w:cs="Times New Roman"/>
          <w:noProof/>
          <w:sz w:val="24"/>
          <w:szCs w:val="24"/>
        </w:rPr>
        <w:t xml:space="preserve">(3), 66–70. </w:t>
      </w:r>
    </w:p>
    <w:p w14:paraId="490E1EFF" w14:textId="69798D28" w:rsidR="00713DE5" w:rsidRPr="00713DE5" w:rsidRDefault="00713DE5" w:rsidP="00BE3B6C">
      <w:pPr>
        <w:widowControl w:val="0"/>
        <w:autoSpaceDE w:val="0"/>
        <w:autoSpaceDN w:val="0"/>
        <w:adjustRightInd w:val="0"/>
        <w:spacing w:line="480" w:lineRule="auto"/>
        <w:rPr>
          <w:rFonts w:ascii="Times New Roman" w:hAnsi="Times New Roman" w:cs="Times New Roman"/>
          <w:noProof/>
          <w:sz w:val="24"/>
          <w:szCs w:val="24"/>
        </w:rPr>
      </w:pPr>
      <w:r w:rsidRPr="00713DE5">
        <w:rPr>
          <w:rFonts w:ascii="Times New Roman" w:hAnsi="Times New Roman" w:cs="Times New Roman"/>
          <w:noProof/>
          <w:sz w:val="24"/>
          <w:szCs w:val="24"/>
        </w:rPr>
        <w:t xml:space="preserve">General Dental Council. </w:t>
      </w:r>
      <w:r w:rsidR="00BE3B6C" w:rsidRPr="00713DE5">
        <w:rPr>
          <w:rFonts w:ascii="Times New Roman" w:hAnsi="Times New Roman" w:cs="Times New Roman"/>
          <w:noProof/>
          <w:sz w:val="24"/>
          <w:szCs w:val="24"/>
        </w:rPr>
        <w:t>(2013)</w:t>
      </w:r>
      <w:r w:rsidR="00296369" w:rsidRPr="00713DE5">
        <w:rPr>
          <w:rFonts w:ascii="Times New Roman" w:hAnsi="Times New Roman" w:cs="Times New Roman"/>
          <w:noProof/>
          <w:sz w:val="24"/>
          <w:szCs w:val="24"/>
        </w:rPr>
        <w:t>. Standards for the Dental Team.</w:t>
      </w:r>
      <w:r>
        <w:rPr>
          <w:rFonts w:ascii="Times New Roman" w:hAnsi="Times New Roman" w:cs="Times New Roman"/>
          <w:noProof/>
          <w:sz w:val="24"/>
          <w:szCs w:val="24"/>
        </w:rPr>
        <w:t xml:space="preserve"> (O</w:t>
      </w:r>
      <w:r w:rsidRPr="00713DE5">
        <w:rPr>
          <w:rFonts w:ascii="Times New Roman" w:hAnsi="Times New Roman" w:cs="Times New Roman"/>
          <w:noProof/>
          <w:sz w:val="24"/>
          <w:szCs w:val="24"/>
        </w:rPr>
        <w:t xml:space="preserve">nline). </w:t>
      </w:r>
      <w:r w:rsidR="00317B75">
        <w:rPr>
          <w:rFonts w:ascii="Times New Roman" w:hAnsi="Times New Roman" w:cs="Times New Roman"/>
          <w:noProof/>
          <w:sz w:val="24"/>
          <w:szCs w:val="24"/>
        </w:rPr>
        <w:t xml:space="preserve">London: </w:t>
      </w:r>
      <w:r w:rsidRPr="00713DE5">
        <w:rPr>
          <w:rFonts w:ascii="Times New Roman" w:hAnsi="Times New Roman" w:cs="Times New Roman"/>
          <w:noProof/>
          <w:sz w:val="24"/>
          <w:szCs w:val="24"/>
        </w:rPr>
        <w:t xml:space="preserve">General Dental Council. (Viewed 20 August 2019). Available from: </w:t>
      </w:r>
      <w:r w:rsidRPr="00713DE5">
        <w:rPr>
          <w:rFonts w:ascii="Times New Roman" w:hAnsi="Times New Roman" w:cs="Times New Roman"/>
          <w:sz w:val="24"/>
          <w:szCs w:val="24"/>
        </w:rPr>
        <w:t>https://standards.gdc</w:t>
      </w:r>
      <w:r w:rsidR="006F0704">
        <w:rPr>
          <w:rFonts w:ascii="Times New Roman" w:hAnsi="Times New Roman" w:cs="Times New Roman"/>
          <w:sz w:val="24"/>
          <w:szCs w:val="24"/>
        </w:rPr>
        <w:t>-</w:t>
      </w:r>
      <w:r w:rsidRPr="00713DE5">
        <w:rPr>
          <w:rFonts w:ascii="Times New Roman" w:hAnsi="Times New Roman" w:cs="Times New Roman"/>
          <w:sz w:val="24"/>
          <w:szCs w:val="24"/>
        </w:rPr>
        <w:t>uk.org/Assets/pdf/Standards%20for%20the%20Dental%20Team.pdf</w:t>
      </w:r>
    </w:p>
    <w:p w14:paraId="50585288" w14:textId="75AB69E1" w:rsidR="00317B75" w:rsidRDefault="00317B7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General Medical Council. </w:t>
      </w:r>
      <w:r w:rsidR="006F0704">
        <w:rPr>
          <w:rFonts w:ascii="Times New Roman" w:hAnsi="Times New Roman" w:cs="Times New Roman"/>
          <w:noProof/>
          <w:sz w:val="24"/>
          <w:szCs w:val="24"/>
        </w:rPr>
        <w:t xml:space="preserve">(2009). </w:t>
      </w:r>
      <w:r>
        <w:rPr>
          <w:rFonts w:ascii="Times New Roman" w:hAnsi="Times New Roman" w:cs="Times New Roman"/>
          <w:i/>
          <w:iCs/>
          <w:noProof/>
          <w:sz w:val="24"/>
          <w:szCs w:val="24"/>
        </w:rPr>
        <w:t>Tomorrow’</w:t>
      </w:r>
      <w:r w:rsidR="00BE3B6C" w:rsidRPr="00BE3B6C">
        <w:rPr>
          <w:rFonts w:ascii="Times New Roman" w:hAnsi="Times New Roman" w:cs="Times New Roman"/>
          <w:i/>
          <w:iCs/>
          <w:noProof/>
          <w:sz w:val="24"/>
          <w:szCs w:val="24"/>
        </w:rPr>
        <w:t>s Doctors - Outcomes and standards for undergraduate medical education</w:t>
      </w:r>
      <w:r>
        <w:rPr>
          <w:rFonts w:ascii="Times New Roman" w:hAnsi="Times New Roman" w:cs="Times New Roman"/>
          <w:noProof/>
          <w:sz w:val="24"/>
          <w:szCs w:val="24"/>
        </w:rPr>
        <w:t>. London: General Medical Council</w:t>
      </w:r>
    </w:p>
    <w:p w14:paraId="4234BA32" w14:textId="72289A74" w:rsidR="00BE3B6C" w:rsidRDefault="006F0704"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General Medical Council. (2010). </w:t>
      </w:r>
      <w:r w:rsidR="00BE3B6C" w:rsidRPr="00BE3B6C">
        <w:rPr>
          <w:rFonts w:ascii="Times New Roman" w:hAnsi="Times New Roman" w:cs="Times New Roman"/>
          <w:i/>
          <w:iCs/>
          <w:noProof/>
          <w:sz w:val="24"/>
          <w:szCs w:val="24"/>
        </w:rPr>
        <w:t>Workplace-Based Assessment: A guideline for implementation</w:t>
      </w:r>
      <w:r w:rsidR="00317B75">
        <w:rPr>
          <w:rFonts w:ascii="Times New Roman" w:hAnsi="Times New Roman" w:cs="Times New Roman"/>
          <w:noProof/>
          <w:sz w:val="24"/>
          <w:szCs w:val="24"/>
        </w:rPr>
        <w:t>. London: General Medical Council.</w:t>
      </w:r>
    </w:p>
    <w:p w14:paraId="1ABA5971" w14:textId="4F790D12" w:rsidR="008E686A" w:rsidRPr="00BE3B6C" w:rsidRDefault="008E686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General Medical Council. (2011). </w:t>
      </w:r>
      <w:r w:rsidRPr="00741AB4">
        <w:rPr>
          <w:rFonts w:ascii="Times New Roman" w:hAnsi="Times New Roman" w:cs="Times New Roman"/>
          <w:i/>
          <w:noProof/>
          <w:sz w:val="24"/>
          <w:szCs w:val="24"/>
        </w:rPr>
        <w:t>Learning and assessment in the clinical environment: the way forward</w:t>
      </w:r>
      <w:r>
        <w:rPr>
          <w:rFonts w:ascii="Times New Roman" w:hAnsi="Times New Roman" w:cs="Times New Roman"/>
          <w:noProof/>
          <w:sz w:val="24"/>
          <w:szCs w:val="24"/>
        </w:rPr>
        <w:t>. London: The General Medical Council.</w:t>
      </w:r>
    </w:p>
    <w:p w14:paraId="7BD7DF6F" w14:textId="68C518EB" w:rsidR="00BE3B6C" w:rsidRPr="00BE3B6C" w:rsidRDefault="00317B7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General Medical Council. </w:t>
      </w:r>
      <w:r w:rsidR="00BE3B6C" w:rsidRPr="00BE3B6C">
        <w:rPr>
          <w:rFonts w:ascii="Times New Roman" w:hAnsi="Times New Roman" w:cs="Times New Roman"/>
          <w:noProof/>
          <w:sz w:val="24"/>
          <w:szCs w:val="24"/>
        </w:rPr>
        <w:t>(2015)</w:t>
      </w:r>
      <w:r>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Outcomes for graduates</w:t>
      </w:r>
      <w:r>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Tomorrow’s Doctors</w:t>
      </w:r>
      <w:r>
        <w:rPr>
          <w:rFonts w:ascii="Times New Roman" w:hAnsi="Times New Roman" w:cs="Times New Roman"/>
          <w:noProof/>
          <w:sz w:val="24"/>
          <w:szCs w:val="24"/>
        </w:rPr>
        <w:t xml:space="preserve">). </w:t>
      </w:r>
      <w:r w:rsidR="006F0704">
        <w:rPr>
          <w:rFonts w:ascii="Times New Roman" w:hAnsi="Times New Roman" w:cs="Times New Roman"/>
          <w:noProof/>
          <w:sz w:val="24"/>
          <w:szCs w:val="24"/>
        </w:rPr>
        <w:t>London: General Medical Council.</w:t>
      </w:r>
    </w:p>
    <w:p w14:paraId="23A3AC46" w14:textId="3254C15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Gigerenzer</w:t>
      </w:r>
      <w:r w:rsidR="006F0704">
        <w:rPr>
          <w:rFonts w:ascii="Times New Roman" w:hAnsi="Times New Roman" w:cs="Times New Roman"/>
          <w:noProof/>
          <w:sz w:val="24"/>
          <w:szCs w:val="24"/>
        </w:rPr>
        <w:t xml:space="preserve">, G. and Gaissmaier, W. (2011). Heuristic Decision Making. </w:t>
      </w:r>
      <w:r w:rsidRPr="00BE3B6C">
        <w:rPr>
          <w:rFonts w:ascii="Times New Roman" w:hAnsi="Times New Roman" w:cs="Times New Roman"/>
          <w:i/>
          <w:iCs/>
          <w:noProof/>
          <w:sz w:val="24"/>
          <w:szCs w:val="24"/>
        </w:rPr>
        <w:t>Annual Review of Psychology</w:t>
      </w:r>
      <w:r w:rsidR="006F0704">
        <w:rPr>
          <w:rFonts w:ascii="Times New Roman" w:hAnsi="Times New Roman" w:cs="Times New Roman"/>
          <w:noProof/>
          <w:sz w:val="24"/>
          <w:szCs w:val="24"/>
        </w:rPr>
        <w:t xml:space="preserve">. </w:t>
      </w:r>
      <w:r w:rsidR="006F0704" w:rsidRPr="006F0704">
        <w:rPr>
          <w:rFonts w:ascii="Times New Roman" w:hAnsi="Times New Roman" w:cs="Times New Roman"/>
          <w:b/>
          <w:noProof/>
          <w:sz w:val="24"/>
          <w:szCs w:val="24"/>
        </w:rPr>
        <w:t>62</w:t>
      </w:r>
      <w:r w:rsidR="006F0704">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451–482. </w:t>
      </w:r>
    </w:p>
    <w:p w14:paraId="5914B226" w14:textId="67E11EA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Ginsburg, S. </w:t>
      </w:r>
      <w:r w:rsidRPr="00BE3B6C">
        <w:rPr>
          <w:rFonts w:ascii="Times New Roman" w:hAnsi="Times New Roman" w:cs="Times New Roman"/>
          <w:i/>
          <w:iCs/>
          <w:noProof/>
          <w:sz w:val="24"/>
          <w:szCs w:val="24"/>
        </w:rPr>
        <w:t>et al.</w:t>
      </w:r>
      <w:r w:rsidR="006F0704">
        <w:rPr>
          <w:rFonts w:ascii="Times New Roman" w:hAnsi="Times New Roman" w:cs="Times New Roman"/>
          <w:noProof/>
          <w:sz w:val="24"/>
          <w:szCs w:val="24"/>
        </w:rPr>
        <w:t xml:space="preserve"> (2012). </w:t>
      </w:r>
      <w:r w:rsidRPr="00BE3B6C">
        <w:rPr>
          <w:rFonts w:ascii="Times New Roman" w:hAnsi="Times New Roman" w:cs="Times New Roman"/>
          <w:noProof/>
          <w:sz w:val="24"/>
          <w:szCs w:val="24"/>
        </w:rPr>
        <w:t>“It Dependsa”: Results of a qualitative study investigating how practicing internists a</w:t>
      </w:r>
      <w:r w:rsidR="006F0704">
        <w:rPr>
          <w:rFonts w:ascii="Times New Roman" w:hAnsi="Times New Roman" w:cs="Times New Roman"/>
          <w:noProof/>
          <w:sz w:val="24"/>
          <w:szCs w:val="24"/>
        </w:rPr>
        <w:t xml:space="preserve">pproach professional dilemmas. </w:t>
      </w:r>
      <w:r w:rsidRPr="00BE3B6C">
        <w:rPr>
          <w:rFonts w:ascii="Times New Roman" w:hAnsi="Times New Roman" w:cs="Times New Roman"/>
          <w:i/>
          <w:iCs/>
          <w:noProof/>
          <w:sz w:val="24"/>
          <w:szCs w:val="24"/>
        </w:rPr>
        <w:t>Academic Medicine</w:t>
      </w:r>
      <w:r w:rsidR="006F0704">
        <w:rPr>
          <w:rFonts w:ascii="Times New Roman" w:hAnsi="Times New Roman" w:cs="Times New Roman"/>
          <w:noProof/>
          <w:sz w:val="24"/>
          <w:szCs w:val="24"/>
        </w:rPr>
        <w:t xml:space="preserve">. </w:t>
      </w:r>
      <w:r w:rsidRPr="006F0704">
        <w:rPr>
          <w:rFonts w:ascii="Times New Roman" w:hAnsi="Times New Roman" w:cs="Times New Roman"/>
          <w:b/>
          <w:noProof/>
          <w:sz w:val="24"/>
          <w:szCs w:val="24"/>
        </w:rPr>
        <w:t>87</w:t>
      </w:r>
      <w:r w:rsidR="006F0704">
        <w:rPr>
          <w:rFonts w:ascii="Times New Roman" w:hAnsi="Times New Roman" w:cs="Times New Roman"/>
          <w:noProof/>
          <w:sz w:val="24"/>
          <w:szCs w:val="24"/>
        </w:rPr>
        <w:t xml:space="preserve">(12), </w:t>
      </w:r>
      <w:r w:rsidRPr="00BE3B6C">
        <w:rPr>
          <w:rFonts w:ascii="Times New Roman" w:hAnsi="Times New Roman" w:cs="Times New Roman"/>
          <w:noProof/>
          <w:sz w:val="24"/>
          <w:szCs w:val="24"/>
        </w:rPr>
        <w:t xml:space="preserve">1685–1693. </w:t>
      </w:r>
    </w:p>
    <w:p w14:paraId="0A0348E7" w14:textId="431BC7F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Glaser, </w:t>
      </w:r>
      <w:r w:rsidR="006F0704">
        <w:rPr>
          <w:rFonts w:ascii="Times New Roman" w:hAnsi="Times New Roman" w:cs="Times New Roman"/>
          <w:noProof/>
          <w:sz w:val="24"/>
          <w:szCs w:val="24"/>
        </w:rPr>
        <w:t xml:space="preserve">B. G., Strauss, A. L. T. (1967). </w:t>
      </w:r>
      <w:r w:rsidRPr="00BE3B6C">
        <w:rPr>
          <w:rFonts w:ascii="Times New Roman" w:hAnsi="Times New Roman" w:cs="Times New Roman"/>
          <w:i/>
          <w:iCs/>
          <w:noProof/>
          <w:sz w:val="24"/>
          <w:szCs w:val="24"/>
        </w:rPr>
        <w:t>The discovery of grounded theory: Strategies for qualitative research.</w:t>
      </w:r>
      <w:r w:rsidRPr="00BE3B6C">
        <w:rPr>
          <w:rFonts w:ascii="Times New Roman" w:hAnsi="Times New Roman" w:cs="Times New Roman"/>
          <w:noProof/>
          <w:sz w:val="24"/>
          <w:szCs w:val="24"/>
        </w:rPr>
        <w:t xml:space="preserve"> New York, NY: Aldine De Gruyter.</w:t>
      </w:r>
    </w:p>
    <w:p w14:paraId="3B108B61" w14:textId="40DD21A3" w:rsidR="00BE3B6C" w:rsidRPr="00BE3B6C" w:rsidRDefault="006F0704"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Goldstein, N. S. (1999). </w:t>
      </w:r>
      <w:r w:rsidR="00BE3B6C" w:rsidRPr="00BE3B6C">
        <w:rPr>
          <w:rFonts w:ascii="Times New Roman" w:hAnsi="Times New Roman" w:cs="Times New Roman"/>
          <w:noProof/>
          <w:sz w:val="24"/>
          <w:szCs w:val="24"/>
        </w:rPr>
        <w:t>Diagnostic</w:t>
      </w:r>
      <w:r>
        <w:rPr>
          <w:rFonts w:ascii="Times New Roman" w:hAnsi="Times New Roman" w:cs="Times New Roman"/>
          <w:noProof/>
          <w:sz w:val="24"/>
          <w:szCs w:val="24"/>
        </w:rPr>
        <w:t xml:space="preserve"> errors in surgical pathology. </w:t>
      </w:r>
      <w:r w:rsidR="00BE3B6C" w:rsidRPr="00BE3B6C">
        <w:rPr>
          <w:rFonts w:ascii="Times New Roman" w:hAnsi="Times New Roman" w:cs="Times New Roman"/>
          <w:i/>
          <w:iCs/>
          <w:noProof/>
          <w:sz w:val="24"/>
          <w:szCs w:val="24"/>
        </w:rPr>
        <w:t>Clinics in Laboratory Medicine</w:t>
      </w:r>
      <w:r>
        <w:rPr>
          <w:rFonts w:ascii="Times New Roman" w:hAnsi="Times New Roman" w:cs="Times New Roman"/>
          <w:noProof/>
          <w:sz w:val="24"/>
          <w:szCs w:val="24"/>
        </w:rPr>
        <w:t xml:space="preserve">. </w:t>
      </w:r>
      <w:r w:rsidRPr="006F0704">
        <w:rPr>
          <w:rFonts w:ascii="Times New Roman" w:hAnsi="Times New Roman" w:cs="Times New Roman"/>
          <w:b/>
          <w:noProof/>
          <w:sz w:val="24"/>
          <w:szCs w:val="24"/>
        </w:rPr>
        <w:t>19</w:t>
      </w:r>
      <w:r>
        <w:rPr>
          <w:rFonts w:ascii="Times New Roman" w:hAnsi="Times New Roman" w:cs="Times New Roman"/>
          <w:noProof/>
          <w:sz w:val="24"/>
          <w:szCs w:val="24"/>
        </w:rPr>
        <w:t>(4), 743–756.</w:t>
      </w:r>
    </w:p>
    <w:p w14:paraId="04BFCA54" w14:textId="7DD8E95C" w:rsidR="00BE3B6C" w:rsidRPr="00BE3B6C" w:rsidRDefault="001B7408"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Gomez-Mejia, G. (1998). </w:t>
      </w:r>
      <w:r w:rsidR="00BE3B6C" w:rsidRPr="00BE3B6C">
        <w:rPr>
          <w:rFonts w:ascii="Times New Roman" w:hAnsi="Times New Roman" w:cs="Times New Roman"/>
          <w:noProof/>
          <w:sz w:val="24"/>
          <w:szCs w:val="24"/>
        </w:rPr>
        <w:t>Evaluating employee performance: Does the appraisal</w:t>
      </w:r>
      <w:r>
        <w:rPr>
          <w:rFonts w:ascii="Times New Roman" w:hAnsi="Times New Roman" w:cs="Times New Roman"/>
          <w:noProof/>
          <w:sz w:val="24"/>
          <w:szCs w:val="24"/>
        </w:rPr>
        <w:t xml:space="preserve"> instrument make a difference?</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Journal of Organizational Behavior Management</w:t>
      </w:r>
      <w:r>
        <w:rPr>
          <w:rFonts w:ascii="Times New Roman" w:hAnsi="Times New Roman" w:cs="Times New Roman"/>
          <w:noProof/>
          <w:sz w:val="24"/>
          <w:szCs w:val="24"/>
        </w:rPr>
        <w:t xml:space="preserve">. </w:t>
      </w:r>
      <w:r w:rsidRPr="001B7408">
        <w:rPr>
          <w:rFonts w:ascii="Times New Roman" w:hAnsi="Times New Roman" w:cs="Times New Roman"/>
          <w:b/>
          <w:noProof/>
          <w:sz w:val="24"/>
          <w:szCs w:val="24"/>
        </w:rPr>
        <w:t>9</w:t>
      </w:r>
      <w:r>
        <w:rPr>
          <w:rFonts w:ascii="Times New Roman" w:hAnsi="Times New Roman" w:cs="Times New Roman"/>
          <w:noProof/>
          <w:sz w:val="24"/>
          <w:szCs w:val="24"/>
        </w:rPr>
        <w:t xml:space="preserve">(2), </w:t>
      </w:r>
      <w:r w:rsidR="00BE3B6C" w:rsidRPr="00BE3B6C">
        <w:rPr>
          <w:rFonts w:ascii="Times New Roman" w:hAnsi="Times New Roman" w:cs="Times New Roman"/>
          <w:noProof/>
          <w:sz w:val="24"/>
          <w:szCs w:val="24"/>
        </w:rPr>
        <w:lastRenderedPageBreak/>
        <w:t>155–172.</w:t>
      </w:r>
    </w:p>
    <w:p w14:paraId="4CC1B3EF" w14:textId="251C36CF"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Govaerts, M. J. B. </w:t>
      </w:r>
      <w:r w:rsidRPr="00BE3B6C">
        <w:rPr>
          <w:rFonts w:ascii="Times New Roman" w:hAnsi="Times New Roman" w:cs="Times New Roman"/>
          <w:i/>
          <w:iCs/>
          <w:noProof/>
          <w:sz w:val="24"/>
          <w:szCs w:val="24"/>
        </w:rPr>
        <w:t>et al.</w:t>
      </w:r>
      <w:r w:rsidR="001B7408">
        <w:rPr>
          <w:rFonts w:ascii="Times New Roman" w:hAnsi="Times New Roman" w:cs="Times New Roman"/>
          <w:noProof/>
          <w:sz w:val="24"/>
          <w:szCs w:val="24"/>
        </w:rPr>
        <w:t xml:space="preserve"> (2007). </w:t>
      </w:r>
      <w:r w:rsidRPr="00BE3B6C">
        <w:rPr>
          <w:rFonts w:ascii="Times New Roman" w:hAnsi="Times New Roman" w:cs="Times New Roman"/>
          <w:noProof/>
          <w:sz w:val="24"/>
          <w:szCs w:val="24"/>
        </w:rPr>
        <w:t>Broadening perspectives on clinical performance assessment: Rethinking the nature of in-training assessme</w:t>
      </w:r>
      <w:r w:rsidR="001B7408">
        <w:rPr>
          <w:rFonts w:ascii="Times New Roman" w:hAnsi="Times New Roman" w:cs="Times New Roman"/>
          <w:noProof/>
          <w:sz w:val="24"/>
          <w:szCs w:val="24"/>
        </w:rPr>
        <w:t xml:space="preserve">nt. </w:t>
      </w:r>
      <w:r w:rsidRPr="00BE3B6C">
        <w:rPr>
          <w:rFonts w:ascii="Times New Roman" w:hAnsi="Times New Roman" w:cs="Times New Roman"/>
          <w:i/>
          <w:iCs/>
          <w:noProof/>
          <w:sz w:val="24"/>
          <w:szCs w:val="24"/>
        </w:rPr>
        <w:t>Advances in Health Sciences Education</w:t>
      </w:r>
      <w:r w:rsidR="001B7408">
        <w:rPr>
          <w:rFonts w:ascii="Times New Roman" w:hAnsi="Times New Roman" w:cs="Times New Roman"/>
          <w:noProof/>
          <w:sz w:val="24"/>
          <w:szCs w:val="24"/>
        </w:rPr>
        <w:t xml:space="preserve">. </w:t>
      </w:r>
      <w:r w:rsidR="001B7408" w:rsidRPr="001B7408">
        <w:rPr>
          <w:rFonts w:ascii="Times New Roman" w:hAnsi="Times New Roman" w:cs="Times New Roman"/>
          <w:b/>
          <w:noProof/>
          <w:sz w:val="24"/>
          <w:szCs w:val="24"/>
        </w:rPr>
        <w:t>12</w:t>
      </w:r>
      <w:r w:rsidR="001B7408">
        <w:rPr>
          <w:rFonts w:ascii="Times New Roman" w:hAnsi="Times New Roman" w:cs="Times New Roman"/>
          <w:noProof/>
          <w:sz w:val="24"/>
          <w:szCs w:val="24"/>
        </w:rPr>
        <w:t xml:space="preserve">(2), 239–260. </w:t>
      </w:r>
    </w:p>
    <w:p w14:paraId="466F5FD1" w14:textId="0D73FB9C" w:rsidR="00DE7C5C" w:rsidRPr="00BE3B6C" w:rsidRDefault="00DE7C5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Govaerts, M.</w:t>
      </w:r>
      <w:r>
        <w:rPr>
          <w:rFonts w:ascii="Times New Roman" w:hAnsi="Times New Roman" w:cs="Times New Roman"/>
          <w:noProof/>
          <w:sz w:val="24"/>
          <w:szCs w:val="24"/>
        </w:rPr>
        <w:t xml:space="preserve">J.B. and Van der Vleuten, C. P. (2013). </w:t>
      </w:r>
      <w:r w:rsidRPr="00BE3B6C">
        <w:rPr>
          <w:rFonts w:ascii="Times New Roman" w:hAnsi="Times New Roman" w:cs="Times New Roman"/>
          <w:noProof/>
          <w:sz w:val="24"/>
          <w:szCs w:val="24"/>
        </w:rPr>
        <w:t>Validity in work-based asses</w:t>
      </w:r>
      <w:r>
        <w:rPr>
          <w:rFonts w:ascii="Times New Roman" w:hAnsi="Times New Roman" w:cs="Times New Roman"/>
          <w:noProof/>
          <w:sz w:val="24"/>
          <w:szCs w:val="24"/>
        </w:rPr>
        <w:t xml:space="preserve">sment: Expanding our horizons. </w:t>
      </w:r>
      <w:r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1B7408">
        <w:rPr>
          <w:rFonts w:ascii="Times New Roman" w:hAnsi="Times New Roman" w:cs="Times New Roman"/>
          <w:b/>
          <w:noProof/>
          <w:sz w:val="24"/>
          <w:szCs w:val="24"/>
        </w:rPr>
        <w:t>47</w:t>
      </w:r>
      <w:r>
        <w:rPr>
          <w:rFonts w:ascii="Times New Roman" w:hAnsi="Times New Roman" w:cs="Times New Roman"/>
          <w:noProof/>
          <w:sz w:val="24"/>
          <w:szCs w:val="24"/>
        </w:rPr>
        <w:t xml:space="preserve">(12), </w:t>
      </w:r>
      <w:r w:rsidRPr="00BE3B6C">
        <w:rPr>
          <w:rFonts w:ascii="Times New Roman" w:hAnsi="Times New Roman" w:cs="Times New Roman"/>
          <w:noProof/>
          <w:sz w:val="24"/>
          <w:szCs w:val="24"/>
        </w:rPr>
        <w:t xml:space="preserve">1164–1174. </w:t>
      </w:r>
    </w:p>
    <w:p w14:paraId="3E20B33D" w14:textId="77F176EF" w:rsidR="00BE3B6C" w:rsidRPr="00BE3B6C" w:rsidRDefault="007B031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Govaerts, M. J. B., v</w:t>
      </w:r>
      <w:r w:rsidR="001B7408">
        <w:rPr>
          <w:rFonts w:ascii="Times New Roman" w:hAnsi="Times New Roman" w:cs="Times New Roman"/>
          <w:noProof/>
          <w:sz w:val="24"/>
          <w:szCs w:val="24"/>
        </w:rPr>
        <w:t>an d</w:t>
      </w:r>
      <w:r w:rsidR="00BE3B6C" w:rsidRPr="00BE3B6C">
        <w:rPr>
          <w:rFonts w:ascii="Times New Roman" w:hAnsi="Times New Roman" w:cs="Times New Roman"/>
          <w:noProof/>
          <w:sz w:val="24"/>
          <w:szCs w:val="24"/>
        </w:rPr>
        <w:t xml:space="preserve">er Vleuten, C. P. M. </w:t>
      </w:r>
      <w:r w:rsidR="001B7408">
        <w:rPr>
          <w:rFonts w:ascii="Times New Roman" w:hAnsi="Times New Roman" w:cs="Times New Roman"/>
          <w:noProof/>
          <w:sz w:val="24"/>
          <w:szCs w:val="24"/>
        </w:rPr>
        <w:t xml:space="preserve">and Schuwirth, L. W. T. (2002) . </w:t>
      </w:r>
      <w:r w:rsidR="00BE3B6C" w:rsidRPr="00BE3B6C">
        <w:rPr>
          <w:rFonts w:ascii="Times New Roman" w:hAnsi="Times New Roman" w:cs="Times New Roman"/>
          <w:noProof/>
          <w:sz w:val="24"/>
          <w:szCs w:val="24"/>
        </w:rPr>
        <w:t>Optimising the reproducibility of a performance-based assessment test in midwifery</w:t>
      </w:r>
      <w:r w:rsidR="001B7408">
        <w:rPr>
          <w:rFonts w:ascii="Times New Roman" w:hAnsi="Times New Roman" w:cs="Times New Roman"/>
          <w:noProof/>
          <w:sz w:val="24"/>
          <w:szCs w:val="24"/>
        </w:rPr>
        <w:t xml:space="preserve"> education. </w:t>
      </w:r>
      <w:r w:rsidR="00BE3B6C" w:rsidRPr="00BE3B6C">
        <w:rPr>
          <w:rFonts w:ascii="Times New Roman" w:hAnsi="Times New Roman" w:cs="Times New Roman"/>
          <w:i/>
          <w:iCs/>
          <w:noProof/>
          <w:sz w:val="24"/>
          <w:szCs w:val="24"/>
        </w:rPr>
        <w:t>Advances in Health Sciences Education</w:t>
      </w:r>
      <w:r w:rsidR="001B7408">
        <w:rPr>
          <w:rFonts w:ascii="Times New Roman" w:hAnsi="Times New Roman" w:cs="Times New Roman"/>
          <w:noProof/>
          <w:sz w:val="24"/>
          <w:szCs w:val="24"/>
        </w:rPr>
        <w:t xml:space="preserve">. </w:t>
      </w:r>
      <w:r w:rsidR="001B7408" w:rsidRPr="001B7408">
        <w:rPr>
          <w:rFonts w:ascii="Times New Roman" w:hAnsi="Times New Roman" w:cs="Times New Roman"/>
          <w:b/>
          <w:noProof/>
          <w:sz w:val="24"/>
          <w:szCs w:val="24"/>
        </w:rPr>
        <w:t>7</w:t>
      </w:r>
      <w:r w:rsidR="001B7408">
        <w:rPr>
          <w:rFonts w:ascii="Times New Roman" w:hAnsi="Times New Roman" w:cs="Times New Roman"/>
          <w:noProof/>
          <w:sz w:val="24"/>
          <w:szCs w:val="24"/>
        </w:rPr>
        <w:t>(2), 133–145.</w:t>
      </w:r>
    </w:p>
    <w:p w14:paraId="2C473D0E" w14:textId="473329D1"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Graber, M., Gord</w:t>
      </w:r>
      <w:r w:rsidR="001B7408">
        <w:rPr>
          <w:rFonts w:ascii="Times New Roman" w:hAnsi="Times New Roman" w:cs="Times New Roman"/>
          <w:noProof/>
          <w:sz w:val="24"/>
          <w:szCs w:val="24"/>
        </w:rPr>
        <w:t xml:space="preserve">on, R. and Franklin, N. (2002). </w:t>
      </w:r>
      <w:r w:rsidRPr="00BE3B6C">
        <w:rPr>
          <w:rFonts w:ascii="Times New Roman" w:hAnsi="Times New Roman" w:cs="Times New Roman"/>
          <w:noProof/>
          <w:sz w:val="24"/>
          <w:szCs w:val="24"/>
        </w:rPr>
        <w:t xml:space="preserve">Reducing diagnostic errors </w:t>
      </w:r>
      <w:r w:rsidR="001B7408">
        <w:rPr>
          <w:rFonts w:ascii="Times New Roman" w:hAnsi="Times New Roman" w:cs="Times New Roman"/>
          <w:noProof/>
          <w:sz w:val="24"/>
          <w:szCs w:val="24"/>
        </w:rPr>
        <w:t xml:space="preserve">in medicine: What’s the goal? </w:t>
      </w:r>
      <w:r w:rsidRPr="00BE3B6C">
        <w:rPr>
          <w:rFonts w:ascii="Times New Roman" w:hAnsi="Times New Roman" w:cs="Times New Roman"/>
          <w:i/>
          <w:iCs/>
          <w:noProof/>
          <w:sz w:val="24"/>
          <w:szCs w:val="24"/>
        </w:rPr>
        <w:t>Academic Medicine</w:t>
      </w:r>
      <w:r w:rsidR="001B7408">
        <w:rPr>
          <w:rFonts w:ascii="Times New Roman" w:hAnsi="Times New Roman" w:cs="Times New Roman"/>
          <w:noProof/>
          <w:sz w:val="24"/>
          <w:szCs w:val="24"/>
        </w:rPr>
        <w:t xml:space="preserve">. </w:t>
      </w:r>
      <w:r w:rsidR="001B7408" w:rsidRPr="001B7408">
        <w:rPr>
          <w:rFonts w:ascii="Times New Roman" w:hAnsi="Times New Roman" w:cs="Times New Roman"/>
          <w:b/>
          <w:noProof/>
          <w:sz w:val="24"/>
          <w:szCs w:val="24"/>
        </w:rPr>
        <w:t>77</w:t>
      </w:r>
      <w:r w:rsidR="001B7408">
        <w:rPr>
          <w:rFonts w:ascii="Times New Roman" w:hAnsi="Times New Roman" w:cs="Times New Roman"/>
          <w:noProof/>
          <w:sz w:val="24"/>
          <w:szCs w:val="24"/>
        </w:rPr>
        <w:t xml:space="preserve">(10), 981–992. </w:t>
      </w:r>
    </w:p>
    <w:p w14:paraId="43FE182E" w14:textId="71CD7D6B" w:rsidR="00BE3B6C" w:rsidRPr="00BE3B6C" w:rsidRDefault="00637E3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v</w:t>
      </w:r>
      <w:r w:rsidR="0012436A">
        <w:rPr>
          <w:rFonts w:ascii="Times New Roman" w:hAnsi="Times New Roman" w:cs="Times New Roman"/>
          <w:noProof/>
          <w:sz w:val="24"/>
          <w:szCs w:val="24"/>
        </w:rPr>
        <w:t xml:space="preserve">on der Gracht, H. A. (2012). </w:t>
      </w:r>
      <w:r w:rsidR="00BE3B6C" w:rsidRPr="00BE3B6C">
        <w:rPr>
          <w:rFonts w:ascii="Times New Roman" w:hAnsi="Times New Roman" w:cs="Times New Roman"/>
          <w:noProof/>
          <w:sz w:val="24"/>
          <w:szCs w:val="24"/>
        </w:rPr>
        <w:t>Consensus measurement in Delphi studies. Review and implications</w:t>
      </w:r>
      <w:r w:rsidR="0012436A">
        <w:rPr>
          <w:rFonts w:ascii="Times New Roman" w:hAnsi="Times New Roman" w:cs="Times New Roman"/>
          <w:noProof/>
          <w:sz w:val="24"/>
          <w:szCs w:val="24"/>
        </w:rPr>
        <w:t xml:space="preserve"> for future quality assurance. </w:t>
      </w:r>
      <w:r w:rsidR="00BE3B6C" w:rsidRPr="00BE3B6C">
        <w:rPr>
          <w:rFonts w:ascii="Times New Roman" w:hAnsi="Times New Roman" w:cs="Times New Roman"/>
          <w:i/>
          <w:iCs/>
          <w:noProof/>
          <w:sz w:val="24"/>
          <w:szCs w:val="24"/>
        </w:rPr>
        <w:t>Technological Forecasting and Social Change</w:t>
      </w:r>
      <w:r w:rsidR="0012436A">
        <w:rPr>
          <w:rFonts w:ascii="Times New Roman" w:hAnsi="Times New Roman" w:cs="Times New Roman"/>
          <w:noProof/>
          <w:sz w:val="24"/>
          <w:szCs w:val="24"/>
        </w:rPr>
        <w:t xml:space="preserve">. </w:t>
      </w:r>
      <w:r w:rsidR="0012436A" w:rsidRPr="0012436A">
        <w:rPr>
          <w:rFonts w:ascii="Times New Roman" w:hAnsi="Times New Roman" w:cs="Times New Roman"/>
          <w:b/>
          <w:noProof/>
          <w:sz w:val="24"/>
          <w:szCs w:val="24"/>
        </w:rPr>
        <w:t>79</w:t>
      </w:r>
      <w:r w:rsidR="0012436A">
        <w:rPr>
          <w:rFonts w:ascii="Times New Roman" w:hAnsi="Times New Roman" w:cs="Times New Roman"/>
          <w:noProof/>
          <w:sz w:val="24"/>
          <w:szCs w:val="24"/>
        </w:rPr>
        <w:t xml:space="preserve">(8), </w:t>
      </w:r>
      <w:r w:rsidR="00BE3B6C" w:rsidRPr="00BE3B6C">
        <w:rPr>
          <w:rFonts w:ascii="Times New Roman" w:hAnsi="Times New Roman" w:cs="Times New Roman"/>
          <w:noProof/>
          <w:sz w:val="24"/>
          <w:szCs w:val="24"/>
        </w:rPr>
        <w:t xml:space="preserve">1525–1536. </w:t>
      </w:r>
    </w:p>
    <w:p w14:paraId="05F26B3D" w14:textId="5B0F1AC6" w:rsidR="00BE3B6C" w:rsidRPr="00BE3B6C" w:rsidRDefault="00637E3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von d</w:t>
      </w:r>
      <w:r w:rsidR="008C0EB3">
        <w:rPr>
          <w:rFonts w:ascii="Times New Roman" w:hAnsi="Times New Roman" w:cs="Times New Roman"/>
          <w:noProof/>
          <w:sz w:val="24"/>
          <w:szCs w:val="24"/>
        </w:rPr>
        <w:t>er Gracht, H. A</w:t>
      </w:r>
      <w:r w:rsidR="00C053CC">
        <w:rPr>
          <w:rFonts w:ascii="Times New Roman" w:hAnsi="Times New Roman" w:cs="Times New Roman"/>
          <w:noProof/>
          <w:sz w:val="24"/>
          <w:szCs w:val="24"/>
        </w:rPr>
        <w:t>.</w:t>
      </w:r>
      <w:r w:rsidR="008C0EB3">
        <w:rPr>
          <w:rFonts w:ascii="Times New Roman" w:hAnsi="Times New Roman" w:cs="Times New Roman"/>
          <w:noProof/>
          <w:sz w:val="24"/>
          <w:szCs w:val="24"/>
        </w:rPr>
        <w:t xml:space="preserve"> and Darkow, I. L. (2010). </w:t>
      </w:r>
      <w:r w:rsidR="00BE3B6C" w:rsidRPr="00BE3B6C">
        <w:rPr>
          <w:rFonts w:ascii="Times New Roman" w:hAnsi="Times New Roman" w:cs="Times New Roman"/>
          <w:noProof/>
          <w:sz w:val="24"/>
          <w:szCs w:val="24"/>
        </w:rPr>
        <w:t xml:space="preserve">Scenarios for the logistics services industry: A </w:t>
      </w:r>
      <w:r w:rsidR="008C0EB3">
        <w:rPr>
          <w:rFonts w:ascii="Times New Roman" w:hAnsi="Times New Roman" w:cs="Times New Roman"/>
          <w:noProof/>
          <w:sz w:val="24"/>
          <w:szCs w:val="24"/>
        </w:rPr>
        <w:t>Delphi-based analysis for 2025.</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International Journal of Production Economics</w:t>
      </w:r>
      <w:r w:rsidR="008C0EB3">
        <w:rPr>
          <w:rFonts w:ascii="Times New Roman" w:hAnsi="Times New Roman" w:cs="Times New Roman"/>
          <w:noProof/>
          <w:sz w:val="24"/>
          <w:szCs w:val="24"/>
        </w:rPr>
        <w:t xml:space="preserve">. </w:t>
      </w:r>
      <w:r w:rsidR="008C0EB3" w:rsidRPr="008C0EB3">
        <w:rPr>
          <w:rFonts w:ascii="Times New Roman" w:hAnsi="Times New Roman" w:cs="Times New Roman"/>
          <w:b/>
          <w:noProof/>
          <w:sz w:val="24"/>
          <w:szCs w:val="24"/>
        </w:rPr>
        <w:t>127</w:t>
      </w:r>
      <w:r w:rsidR="008C0EB3">
        <w:rPr>
          <w:rFonts w:ascii="Times New Roman" w:hAnsi="Times New Roman" w:cs="Times New Roman"/>
          <w:noProof/>
          <w:sz w:val="24"/>
          <w:szCs w:val="24"/>
        </w:rPr>
        <w:t xml:space="preserve">(1), 46–59. </w:t>
      </w:r>
    </w:p>
    <w:p w14:paraId="4008C46C" w14:textId="48C93478"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Graham, M. J. </w:t>
      </w:r>
      <w:r w:rsidRPr="00BE3B6C">
        <w:rPr>
          <w:rFonts w:ascii="Times New Roman" w:hAnsi="Times New Roman" w:cs="Times New Roman"/>
          <w:i/>
          <w:iCs/>
          <w:noProof/>
          <w:sz w:val="24"/>
          <w:szCs w:val="24"/>
        </w:rPr>
        <w:t>et al.</w:t>
      </w:r>
      <w:r w:rsidR="008C0EB3">
        <w:rPr>
          <w:rFonts w:ascii="Times New Roman" w:hAnsi="Times New Roman" w:cs="Times New Roman"/>
          <w:noProof/>
          <w:sz w:val="24"/>
          <w:szCs w:val="24"/>
        </w:rPr>
        <w:t xml:space="preserve"> (2009). </w:t>
      </w:r>
      <w:r w:rsidRPr="00BE3B6C">
        <w:rPr>
          <w:rFonts w:ascii="Times New Roman" w:hAnsi="Times New Roman" w:cs="Times New Roman"/>
          <w:noProof/>
          <w:sz w:val="24"/>
          <w:szCs w:val="24"/>
        </w:rPr>
        <w:t>Systems-Based Practice Defined: Taxonomy Development and Role Identification for Compe</w:t>
      </w:r>
      <w:r w:rsidR="008C0EB3">
        <w:rPr>
          <w:rFonts w:ascii="Times New Roman" w:hAnsi="Times New Roman" w:cs="Times New Roman"/>
          <w:noProof/>
          <w:sz w:val="24"/>
          <w:szCs w:val="24"/>
        </w:rPr>
        <w:t xml:space="preserve">tency Assessment of Residents. </w:t>
      </w:r>
      <w:r w:rsidRPr="00BE3B6C">
        <w:rPr>
          <w:rFonts w:ascii="Times New Roman" w:hAnsi="Times New Roman" w:cs="Times New Roman"/>
          <w:i/>
          <w:iCs/>
          <w:noProof/>
          <w:sz w:val="24"/>
          <w:szCs w:val="24"/>
        </w:rPr>
        <w:t>Journal of Graduate Medical Education</w:t>
      </w:r>
      <w:r w:rsidR="008C0EB3">
        <w:rPr>
          <w:rFonts w:ascii="Times New Roman" w:hAnsi="Times New Roman" w:cs="Times New Roman"/>
          <w:noProof/>
          <w:sz w:val="24"/>
          <w:szCs w:val="24"/>
        </w:rPr>
        <w:t xml:space="preserve">. </w:t>
      </w:r>
      <w:r w:rsidR="008C0EB3" w:rsidRPr="008C0EB3">
        <w:rPr>
          <w:rFonts w:ascii="Times New Roman" w:hAnsi="Times New Roman" w:cs="Times New Roman"/>
          <w:b/>
          <w:noProof/>
          <w:sz w:val="24"/>
          <w:szCs w:val="24"/>
        </w:rPr>
        <w:t>1</w:t>
      </w:r>
      <w:r w:rsidR="008C0EB3">
        <w:rPr>
          <w:rFonts w:ascii="Times New Roman" w:hAnsi="Times New Roman" w:cs="Times New Roman"/>
          <w:noProof/>
          <w:sz w:val="24"/>
          <w:szCs w:val="24"/>
        </w:rPr>
        <w:t xml:space="preserve">(1), 49–60. </w:t>
      </w:r>
    </w:p>
    <w:p w14:paraId="2B644518" w14:textId="45361E02" w:rsidR="00BE3B6C" w:rsidRPr="00BE3B6C" w:rsidRDefault="00C053CC"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Grant</w:t>
      </w:r>
      <w:r w:rsidR="00637E32">
        <w:rPr>
          <w:rFonts w:ascii="Times New Roman" w:hAnsi="Times New Roman" w:cs="Times New Roman"/>
          <w:noProof/>
          <w:sz w:val="24"/>
          <w:szCs w:val="24"/>
        </w:rPr>
        <w:t>.</w:t>
      </w:r>
      <w:r>
        <w:rPr>
          <w:rFonts w:ascii="Times New Roman" w:hAnsi="Times New Roman" w:cs="Times New Roman"/>
          <w:noProof/>
          <w:sz w:val="24"/>
          <w:szCs w:val="24"/>
        </w:rPr>
        <w:t xml:space="preserve"> J</w:t>
      </w:r>
      <w:r w:rsidR="00637E32">
        <w:rPr>
          <w:rFonts w:ascii="Times New Roman" w:hAnsi="Times New Roman" w:cs="Times New Roman"/>
          <w:noProof/>
          <w:sz w:val="24"/>
          <w:szCs w:val="24"/>
        </w:rPr>
        <w:t>.</w:t>
      </w:r>
      <w:r>
        <w:rPr>
          <w:rFonts w:ascii="Times New Roman" w:hAnsi="Times New Roman" w:cs="Times New Roman"/>
          <w:noProof/>
          <w:sz w:val="24"/>
          <w:szCs w:val="24"/>
        </w:rPr>
        <w:t xml:space="preserve"> (1999). </w:t>
      </w:r>
      <w:r w:rsidR="00BE3B6C" w:rsidRPr="00BE3B6C">
        <w:rPr>
          <w:rFonts w:ascii="Times New Roman" w:hAnsi="Times New Roman" w:cs="Times New Roman"/>
          <w:noProof/>
          <w:sz w:val="24"/>
          <w:szCs w:val="24"/>
        </w:rPr>
        <w:t>The incapacitating effec</w:t>
      </w:r>
      <w:r>
        <w:rPr>
          <w:rFonts w:ascii="Times New Roman" w:hAnsi="Times New Roman" w:cs="Times New Roman"/>
          <w:noProof/>
          <w:sz w:val="24"/>
          <w:szCs w:val="24"/>
        </w:rPr>
        <w:t xml:space="preserve">ts of competence: A critique. </w:t>
      </w:r>
      <w:r w:rsidR="00BE3B6C" w:rsidRPr="00BE3B6C">
        <w:rPr>
          <w:rFonts w:ascii="Times New Roman" w:hAnsi="Times New Roman" w:cs="Times New Roman"/>
          <w:i/>
          <w:iCs/>
          <w:noProof/>
          <w:sz w:val="24"/>
          <w:szCs w:val="24"/>
        </w:rPr>
        <w:t>Sciences Education</w:t>
      </w:r>
      <w:r>
        <w:rPr>
          <w:rFonts w:ascii="Times New Roman" w:hAnsi="Times New Roman" w:cs="Times New Roman"/>
          <w:noProof/>
          <w:sz w:val="24"/>
          <w:szCs w:val="24"/>
        </w:rPr>
        <w:t xml:space="preserve">. </w:t>
      </w:r>
      <w:r w:rsidRPr="00C053CC">
        <w:rPr>
          <w:rFonts w:ascii="Times New Roman" w:hAnsi="Times New Roman" w:cs="Times New Roman"/>
          <w:b/>
          <w:noProof/>
          <w:sz w:val="24"/>
          <w:szCs w:val="24"/>
        </w:rPr>
        <w:t>4</w:t>
      </w:r>
      <w:r>
        <w:rPr>
          <w:rFonts w:ascii="Times New Roman" w:hAnsi="Times New Roman" w:cs="Times New Roman"/>
          <w:noProof/>
          <w:sz w:val="24"/>
          <w:szCs w:val="24"/>
        </w:rPr>
        <w:t xml:space="preserve">(3), </w:t>
      </w:r>
      <w:r w:rsidR="00BE3B6C" w:rsidRPr="00BE3B6C">
        <w:rPr>
          <w:rFonts w:ascii="Times New Roman" w:hAnsi="Times New Roman" w:cs="Times New Roman"/>
          <w:noProof/>
          <w:sz w:val="24"/>
          <w:szCs w:val="24"/>
        </w:rPr>
        <w:t>271–277.</w:t>
      </w:r>
    </w:p>
    <w:p w14:paraId="40BB65BD" w14:textId="0EB98417" w:rsidR="00BE3B6C" w:rsidRDefault="00C053CC"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Gray, J. D. (1996). </w:t>
      </w:r>
      <w:r w:rsidR="00BE3B6C" w:rsidRPr="00BE3B6C">
        <w:rPr>
          <w:rFonts w:ascii="Times New Roman" w:hAnsi="Times New Roman" w:cs="Times New Roman"/>
          <w:noProof/>
          <w:sz w:val="24"/>
          <w:szCs w:val="24"/>
        </w:rPr>
        <w:t>Global rating s</w:t>
      </w:r>
      <w:r>
        <w:rPr>
          <w:rFonts w:ascii="Times New Roman" w:hAnsi="Times New Roman" w:cs="Times New Roman"/>
          <w:noProof/>
          <w:sz w:val="24"/>
          <w:szCs w:val="24"/>
        </w:rPr>
        <w:t xml:space="preserve">cales in residency education. </w:t>
      </w:r>
      <w:r w:rsidR="00BE3B6C" w:rsidRPr="00BE3B6C">
        <w:rPr>
          <w:rFonts w:ascii="Times New Roman" w:hAnsi="Times New Roman" w:cs="Times New Roman"/>
          <w:i/>
          <w:iCs/>
          <w:noProof/>
          <w:sz w:val="24"/>
          <w:szCs w:val="24"/>
        </w:rPr>
        <w:t>Ac</w:t>
      </w:r>
      <w:r>
        <w:rPr>
          <w:rFonts w:ascii="Times New Roman" w:hAnsi="Times New Roman" w:cs="Times New Roman"/>
          <w:i/>
          <w:iCs/>
          <w:noProof/>
          <w:sz w:val="24"/>
          <w:szCs w:val="24"/>
        </w:rPr>
        <w:t xml:space="preserve">ademic Medicine. </w:t>
      </w:r>
      <w:r w:rsidRPr="00C053CC">
        <w:rPr>
          <w:rFonts w:ascii="Times New Roman" w:hAnsi="Times New Roman" w:cs="Times New Roman"/>
          <w:b/>
          <w:iCs/>
          <w:noProof/>
          <w:sz w:val="24"/>
          <w:szCs w:val="24"/>
        </w:rPr>
        <w:t>71</w:t>
      </w:r>
      <w:r>
        <w:rPr>
          <w:rFonts w:ascii="Times New Roman" w:hAnsi="Times New Roman" w:cs="Times New Roman"/>
          <w:iCs/>
          <w:noProof/>
          <w:sz w:val="24"/>
          <w:szCs w:val="24"/>
        </w:rPr>
        <w:t>(1 Suppl),</w:t>
      </w:r>
      <w:r w:rsidR="00BE3B6C" w:rsidRPr="00BE3B6C">
        <w:rPr>
          <w:rFonts w:ascii="Times New Roman" w:hAnsi="Times New Roman" w:cs="Times New Roman"/>
          <w:noProof/>
          <w:sz w:val="24"/>
          <w:szCs w:val="24"/>
        </w:rPr>
        <w:t xml:space="preserve"> S55–S63. </w:t>
      </w:r>
    </w:p>
    <w:p w14:paraId="703ACA17" w14:textId="0E1B3654"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lastRenderedPageBreak/>
        <w:t>Great</w:t>
      </w:r>
      <w:r w:rsidR="00C053CC">
        <w:rPr>
          <w:rFonts w:ascii="Times New Roman" w:hAnsi="Times New Roman" w:cs="Times New Roman"/>
          <w:noProof/>
          <w:sz w:val="24"/>
          <w:szCs w:val="24"/>
        </w:rPr>
        <w:t xml:space="preserve">orex, J. and Dexter, T. (2000). </w:t>
      </w:r>
      <w:r w:rsidRPr="00BE3B6C">
        <w:rPr>
          <w:rFonts w:ascii="Times New Roman" w:hAnsi="Times New Roman" w:cs="Times New Roman"/>
          <w:noProof/>
          <w:sz w:val="24"/>
          <w:szCs w:val="24"/>
        </w:rPr>
        <w:t>An accessible analytical approach for investigating what happens between the rounds of a Del</w:t>
      </w:r>
      <w:r w:rsidR="00C053CC">
        <w:rPr>
          <w:rFonts w:ascii="Times New Roman" w:hAnsi="Times New Roman" w:cs="Times New Roman"/>
          <w:noProof/>
          <w:sz w:val="24"/>
          <w:szCs w:val="24"/>
        </w:rPr>
        <w:t xml:space="preserve">phi study. </w:t>
      </w:r>
      <w:r w:rsidRPr="00BE3B6C">
        <w:rPr>
          <w:rFonts w:ascii="Times New Roman" w:hAnsi="Times New Roman" w:cs="Times New Roman"/>
          <w:i/>
          <w:iCs/>
          <w:noProof/>
          <w:sz w:val="24"/>
          <w:szCs w:val="24"/>
        </w:rPr>
        <w:t>Journal of Advanced Nursing</w:t>
      </w:r>
      <w:r w:rsidR="00C053CC">
        <w:rPr>
          <w:rFonts w:ascii="Times New Roman" w:hAnsi="Times New Roman" w:cs="Times New Roman"/>
          <w:noProof/>
          <w:sz w:val="24"/>
          <w:szCs w:val="24"/>
        </w:rPr>
        <w:t xml:space="preserve">. </w:t>
      </w:r>
      <w:r w:rsidR="00C053CC" w:rsidRPr="00C053CC">
        <w:rPr>
          <w:rFonts w:ascii="Times New Roman" w:hAnsi="Times New Roman" w:cs="Times New Roman"/>
          <w:b/>
          <w:noProof/>
          <w:sz w:val="24"/>
          <w:szCs w:val="24"/>
        </w:rPr>
        <w:t>32</w:t>
      </w:r>
      <w:r w:rsidR="00C053CC">
        <w:rPr>
          <w:rFonts w:ascii="Times New Roman" w:hAnsi="Times New Roman" w:cs="Times New Roman"/>
          <w:noProof/>
          <w:sz w:val="24"/>
          <w:szCs w:val="24"/>
        </w:rPr>
        <w:t xml:space="preserve">(4), </w:t>
      </w:r>
      <w:r w:rsidRPr="00BE3B6C">
        <w:rPr>
          <w:rFonts w:ascii="Times New Roman" w:hAnsi="Times New Roman" w:cs="Times New Roman"/>
          <w:noProof/>
          <w:sz w:val="24"/>
          <w:szCs w:val="24"/>
        </w:rPr>
        <w:t>1016–1024.</w:t>
      </w:r>
    </w:p>
    <w:p w14:paraId="1A67CAAB" w14:textId="523E5CAC"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Greenh</w:t>
      </w:r>
      <w:r w:rsidR="00C053CC">
        <w:rPr>
          <w:rFonts w:ascii="Times New Roman" w:hAnsi="Times New Roman" w:cs="Times New Roman"/>
          <w:noProof/>
          <w:sz w:val="24"/>
          <w:szCs w:val="24"/>
        </w:rPr>
        <w:t xml:space="preserve">algh, T. and Taylor, R. (1997). </w:t>
      </w:r>
      <w:r w:rsidRPr="00BE3B6C">
        <w:rPr>
          <w:rFonts w:ascii="Times New Roman" w:hAnsi="Times New Roman" w:cs="Times New Roman"/>
          <w:noProof/>
          <w:sz w:val="24"/>
          <w:szCs w:val="24"/>
        </w:rPr>
        <w:t>How to read a paper: Papers that go beyond</w:t>
      </w:r>
      <w:r w:rsidR="00C053CC">
        <w:rPr>
          <w:rFonts w:ascii="Times New Roman" w:hAnsi="Times New Roman" w:cs="Times New Roman"/>
          <w:noProof/>
          <w:sz w:val="24"/>
          <w:szCs w:val="24"/>
        </w:rPr>
        <w:t xml:space="preserve"> numbers (qualitative research).</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British Medical Journal</w:t>
      </w:r>
      <w:r w:rsidR="00C053CC">
        <w:rPr>
          <w:rFonts w:ascii="Times New Roman" w:hAnsi="Times New Roman" w:cs="Times New Roman"/>
          <w:noProof/>
          <w:sz w:val="24"/>
          <w:szCs w:val="24"/>
        </w:rPr>
        <w:t xml:space="preserve">. </w:t>
      </w:r>
      <w:r w:rsidR="00C053CC" w:rsidRPr="00C053CC">
        <w:rPr>
          <w:rFonts w:ascii="Times New Roman" w:hAnsi="Times New Roman" w:cs="Times New Roman"/>
          <w:b/>
          <w:noProof/>
          <w:sz w:val="24"/>
          <w:szCs w:val="24"/>
        </w:rPr>
        <w:t>315</w:t>
      </w:r>
      <w:r w:rsidR="00C053CC">
        <w:rPr>
          <w:rFonts w:ascii="Times New Roman" w:hAnsi="Times New Roman" w:cs="Times New Roman"/>
          <w:noProof/>
          <w:sz w:val="24"/>
          <w:szCs w:val="24"/>
        </w:rPr>
        <w:t>(7110),</w:t>
      </w:r>
      <w:r w:rsidRPr="00BE3B6C">
        <w:rPr>
          <w:rFonts w:ascii="Times New Roman" w:hAnsi="Times New Roman" w:cs="Times New Roman"/>
          <w:noProof/>
          <w:sz w:val="24"/>
          <w:szCs w:val="24"/>
        </w:rPr>
        <w:t xml:space="preserve"> 740–743. </w:t>
      </w:r>
    </w:p>
    <w:p w14:paraId="1AD6D4C5" w14:textId="5D5925EB"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Grieveson, B. </w:t>
      </w:r>
      <w:r w:rsidRPr="00BE3B6C">
        <w:rPr>
          <w:rFonts w:ascii="Times New Roman" w:hAnsi="Times New Roman" w:cs="Times New Roman"/>
          <w:i/>
          <w:iCs/>
          <w:noProof/>
          <w:sz w:val="24"/>
          <w:szCs w:val="24"/>
        </w:rPr>
        <w:t>et al.</w:t>
      </w:r>
      <w:r w:rsidR="00C053CC">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Evaluation of workplace based assessment tools i</w:t>
      </w:r>
      <w:r w:rsidR="00C053CC">
        <w:rPr>
          <w:rFonts w:ascii="Times New Roman" w:hAnsi="Times New Roman" w:cs="Times New Roman"/>
          <w:noProof/>
          <w:sz w:val="24"/>
          <w:szCs w:val="24"/>
        </w:rPr>
        <w:t xml:space="preserve">n dental foundation training. </w:t>
      </w:r>
      <w:r w:rsidR="00C053CC">
        <w:rPr>
          <w:rFonts w:ascii="Times New Roman" w:hAnsi="Times New Roman" w:cs="Times New Roman"/>
          <w:i/>
          <w:iCs/>
          <w:noProof/>
          <w:sz w:val="24"/>
          <w:szCs w:val="24"/>
        </w:rPr>
        <w:t>British Dental J</w:t>
      </w:r>
      <w:r w:rsidRPr="00BE3B6C">
        <w:rPr>
          <w:rFonts w:ascii="Times New Roman" w:hAnsi="Times New Roman" w:cs="Times New Roman"/>
          <w:i/>
          <w:iCs/>
          <w:noProof/>
          <w:sz w:val="24"/>
          <w:szCs w:val="24"/>
        </w:rPr>
        <w:t>ournal</w:t>
      </w:r>
      <w:r w:rsidR="00C053CC">
        <w:rPr>
          <w:rFonts w:ascii="Times New Roman" w:hAnsi="Times New Roman" w:cs="Times New Roman"/>
          <w:noProof/>
          <w:sz w:val="24"/>
          <w:szCs w:val="24"/>
        </w:rPr>
        <w:t xml:space="preserve">. </w:t>
      </w:r>
      <w:r w:rsidR="00C053CC" w:rsidRPr="00C053CC">
        <w:rPr>
          <w:rFonts w:ascii="Times New Roman" w:hAnsi="Times New Roman" w:cs="Times New Roman"/>
          <w:b/>
          <w:noProof/>
          <w:sz w:val="24"/>
          <w:szCs w:val="24"/>
        </w:rPr>
        <w:t>211</w:t>
      </w:r>
      <w:r w:rsidR="00C053CC">
        <w:rPr>
          <w:rFonts w:ascii="Times New Roman" w:hAnsi="Times New Roman" w:cs="Times New Roman"/>
          <w:noProof/>
          <w:sz w:val="24"/>
          <w:szCs w:val="24"/>
        </w:rPr>
        <w:t xml:space="preserve">(4), E8. </w:t>
      </w:r>
    </w:p>
    <w:p w14:paraId="40F561EB" w14:textId="56BF4C0C" w:rsidR="00512593" w:rsidRPr="00512593" w:rsidRDefault="00512593" w:rsidP="00512593">
      <w:pPr>
        <w:widowControl w:val="0"/>
        <w:autoSpaceDE w:val="0"/>
        <w:autoSpaceDN w:val="0"/>
        <w:adjustRightInd w:val="0"/>
        <w:spacing w:line="480" w:lineRule="auto"/>
        <w:rPr>
          <w:rFonts w:ascii="Times New Roman" w:hAnsi="Times New Roman" w:cs="Times New Roman"/>
          <w:noProof/>
          <w:sz w:val="24"/>
          <w:szCs w:val="24"/>
        </w:rPr>
      </w:pPr>
      <w:r w:rsidRPr="00512593">
        <w:rPr>
          <w:rFonts w:ascii="Times New Roman" w:hAnsi="Times New Roman" w:cs="Times New Roman"/>
          <w:noProof/>
          <w:sz w:val="24"/>
          <w:szCs w:val="24"/>
        </w:rPr>
        <w:t xml:space="preserve">Hambleton, R.K. and Powell, P. (1983). </w:t>
      </w:r>
      <w:r w:rsidRPr="00512593">
        <w:rPr>
          <w:rFonts w:ascii="Times New Roman" w:hAnsi="Times New Roman" w:cs="Times New Roman"/>
          <w:sz w:val="24"/>
          <w:szCs w:val="24"/>
        </w:rPr>
        <w:t xml:space="preserve">A Framework for Viewing the Process of Standard Setting. </w:t>
      </w:r>
      <w:r w:rsidRPr="00512593">
        <w:rPr>
          <w:rFonts w:ascii="Times New Roman" w:hAnsi="Times New Roman" w:cs="Times New Roman"/>
          <w:i/>
          <w:sz w:val="24"/>
          <w:szCs w:val="24"/>
        </w:rPr>
        <w:t>Evaluation and the Health Professions.</w:t>
      </w:r>
      <w:r w:rsidRPr="00512593">
        <w:rPr>
          <w:rFonts w:ascii="Times New Roman" w:hAnsi="Times New Roman" w:cs="Times New Roman"/>
          <w:sz w:val="24"/>
          <w:szCs w:val="24"/>
        </w:rPr>
        <w:t xml:space="preserve"> </w:t>
      </w:r>
      <w:r w:rsidRPr="00512593">
        <w:rPr>
          <w:rFonts w:ascii="Times New Roman" w:hAnsi="Times New Roman" w:cs="Times New Roman"/>
          <w:b/>
          <w:sz w:val="24"/>
          <w:szCs w:val="24"/>
        </w:rPr>
        <w:t>6</w:t>
      </w:r>
      <w:r w:rsidRPr="00512593">
        <w:rPr>
          <w:rFonts w:ascii="Times New Roman" w:hAnsi="Times New Roman" w:cs="Times New Roman"/>
          <w:sz w:val="24"/>
          <w:szCs w:val="24"/>
        </w:rPr>
        <w:t xml:space="preserve">(1), </w:t>
      </w:r>
      <w:r>
        <w:rPr>
          <w:rFonts w:ascii="Times New Roman" w:hAnsi="Times New Roman" w:cs="Times New Roman"/>
          <w:sz w:val="24"/>
          <w:szCs w:val="24"/>
        </w:rPr>
        <w:t>3-24.</w:t>
      </w:r>
    </w:p>
    <w:p w14:paraId="3EAD4A74" w14:textId="63B3C347"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Hamilton, P. W. </w:t>
      </w:r>
      <w:r w:rsidRPr="00BE3B6C">
        <w:rPr>
          <w:rFonts w:ascii="Times New Roman" w:hAnsi="Times New Roman" w:cs="Times New Roman"/>
          <w:i/>
          <w:iCs/>
          <w:noProof/>
          <w:sz w:val="24"/>
          <w:szCs w:val="24"/>
        </w:rPr>
        <w:t>et al.</w:t>
      </w:r>
      <w:r w:rsidR="00C053CC">
        <w:rPr>
          <w:rFonts w:ascii="Times New Roman" w:hAnsi="Times New Roman" w:cs="Times New Roman"/>
          <w:noProof/>
          <w:sz w:val="24"/>
          <w:szCs w:val="24"/>
        </w:rPr>
        <w:t xml:space="preserve"> (2009). </w:t>
      </w:r>
      <w:r w:rsidRPr="00BE3B6C">
        <w:rPr>
          <w:rFonts w:ascii="Times New Roman" w:hAnsi="Times New Roman" w:cs="Times New Roman"/>
          <w:noProof/>
          <w:sz w:val="24"/>
          <w:szCs w:val="24"/>
        </w:rPr>
        <w:t>Do we s</w:t>
      </w:r>
      <w:r w:rsidR="00C053CC">
        <w:rPr>
          <w:rFonts w:ascii="Times New Roman" w:hAnsi="Times New Roman" w:cs="Times New Roman"/>
          <w:noProof/>
          <w:sz w:val="24"/>
          <w:szCs w:val="24"/>
        </w:rPr>
        <w:t xml:space="preserve">ee what we think we see. </w:t>
      </w:r>
      <w:r w:rsidRPr="00BE3B6C">
        <w:rPr>
          <w:rFonts w:ascii="Times New Roman" w:hAnsi="Times New Roman" w:cs="Times New Roman"/>
          <w:noProof/>
          <w:sz w:val="24"/>
          <w:szCs w:val="24"/>
        </w:rPr>
        <w:t>The complexitie</w:t>
      </w:r>
      <w:r w:rsidR="00C053CC">
        <w:rPr>
          <w:rFonts w:ascii="Times New Roman" w:hAnsi="Times New Roman" w:cs="Times New Roman"/>
          <w:noProof/>
          <w:sz w:val="24"/>
          <w:szCs w:val="24"/>
        </w:rPr>
        <w:t xml:space="preserve">s of morphological assessment. </w:t>
      </w:r>
      <w:r w:rsidRPr="00BE3B6C">
        <w:rPr>
          <w:rFonts w:ascii="Times New Roman" w:hAnsi="Times New Roman" w:cs="Times New Roman"/>
          <w:i/>
          <w:iCs/>
          <w:noProof/>
          <w:sz w:val="24"/>
          <w:szCs w:val="24"/>
        </w:rPr>
        <w:t>Journal of Pathology</w:t>
      </w:r>
      <w:r w:rsidR="00C053CC">
        <w:rPr>
          <w:rFonts w:ascii="Times New Roman" w:hAnsi="Times New Roman" w:cs="Times New Roman"/>
          <w:noProof/>
          <w:sz w:val="24"/>
          <w:szCs w:val="24"/>
        </w:rPr>
        <w:t xml:space="preserve">. </w:t>
      </w:r>
      <w:r w:rsidR="00C053CC" w:rsidRPr="00C053CC">
        <w:rPr>
          <w:rFonts w:ascii="Times New Roman" w:hAnsi="Times New Roman" w:cs="Times New Roman"/>
          <w:b/>
          <w:noProof/>
          <w:sz w:val="24"/>
          <w:szCs w:val="24"/>
        </w:rPr>
        <w:t>218</w:t>
      </w:r>
      <w:r w:rsidR="00C053CC">
        <w:rPr>
          <w:rFonts w:ascii="Times New Roman" w:hAnsi="Times New Roman" w:cs="Times New Roman"/>
          <w:noProof/>
          <w:sz w:val="24"/>
          <w:szCs w:val="24"/>
        </w:rPr>
        <w:t xml:space="preserve">(3), 285–291. </w:t>
      </w:r>
    </w:p>
    <w:p w14:paraId="190E2985" w14:textId="2EC4CA01"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Hammond, K. R., Hursch</w:t>
      </w:r>
      <w:r w:rsidR="00C053CC">
        <w:rPr>
          <w:rFonts w:ascii="Times New Roman" w:hAnsi="Times New Roman" w:cs="Times New Roman"/>
          <w:noProof/>
          <w:sz w:val="24"/>
          <w:szCs w:val="24"/>
        </w:rPr>
        <w:t xml:space="preserve">, C. J. and Todd, F. J. (1964). </w:t>
      </w:r>
      <w:r w:rsidRPr="00BE3B6C">
        <w:rPr>
          <w:rFonts w:ascii="Times New Roman" w:hAnsi="Times New Roman" w:cs="Times New Roman"/>
          <w:noProof/>
          <w:sz w:val="24"/>
          <w:szCs w:val="24"/>
        </w:rPr>
        <w:t>Analyzing The Com</w:t>
      </w:r>
      <w:r w:rsidR="00C053CC">
        <w:rPr>
          <w:rFonts w:ascii="Times New Roman" w:hAnsi="Times New Roman" w:cs="Times New Roman"/>
          <w:noProof/>
          <w:sz w:val="24"/>
          <w:szCs w:val="24"/>
        </w:rPr>
        <w:t xml:space="preserve">ponents Of Clinical Inference. </w:t>
      </w:r>
      <w:r w:rsidR="00C053CC">
        <w:rPr>
          <w:rFonts w:ascii="Times New Roman" w:hAnsi="Times New Roman" w:cs="Times New Roman"/>
          <w:i/>
          <w:iCs/>
          <w:noProof/>
          <w:sz w:val="24"/>
          <w:szCs w:val="24"/>
        </w:rPr>
        <w:t>Psycholigcal Review</w:t>
      </w:r>
      <w:r w:rsidR="00C053CC">
        <w:rPr>
          <w:rFonts w:ascii="Times New Roman" w:hAnsi="Times New Roman" w:cs="Times New Roman"/>
          <w:noProof/>
          <w:sz w:val="24"/>
          <w:szCs w:val="24"/>
        </w:rPr>
        <w:t xml:space="preserve">. </w:t>
      </w:r>
      <w:r w:rsidR="00C053CC" w:rsidRPr="00C053CC">
        <w:rPr>
          <w:rFonts w:ascii="Times New Roman" w:hAnsi="Times New Roman" w:cs="Times New Roman"/>
          <w:b/>
          <w:noProof/>
          <w:sz w:val="24"/>
          <w:szCs w:val="24"/>
        </w:rPr>
        <w:t>71</w:t>
      </w:r>
      <w:r w:rsidR="00C053CC">
        <w:rPr>
          <w:rFonts w:ascii="Times New Roman" w:hAnsi="Times New Roman" w:cs="Times New Roman"/>
          <w:noProof/>
          <w:sz w:val="24"/>
          <w:szCs w:val="24"/>
        </w:rPr>
        <w:t xml:space="preserve">(6), </w:t>
      </w:r>
      <w:r w:rsidRPr="00BE3B6C">
        <w:rPr>
          <w:rFonts w:ascii="Times New Roman" w:hAnsi="Times New Roman" w:cs="Times New Roman"/>
          <w:noProof/>
          <w:sz w:val="24"/>
          <w:szCs w:val="24"/>
        </w:rPr>
        <w:t xml:space="preserve">438–456. </w:t>
      </w:r>
    </w:p>
    <w:p w14:paraId="483AEE4E" w14:textId="6ABCFD2E" w:rsidR="00C053C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Harden, </w:t>
      </w:r>
      <w:r w:rsidR="00C053CC">
        <w:rPr>
          <w:rFonts w:ascii="Times New Roman" w:hAnsi="Times New Roman" w:cs="Times New Roman"/>
          <w:noProof/>
          <w:sz w:val="24"/>
          <w:szCs w:val="24"/>
        </w:rPr>
        <w:t xml:space="preserve">R. M. and Crosby, J. R. (1999). </w:t>
      </w:r>
      <w:r w:rsidRPr="00BE3B6C">
        <w:rPr>
          <w:rFonts w:ascii="Times New Roman" w:hAnsi="Times New Roman" w:cs="Times New Roman"/>
          <w:noProof/>
          <w:sz w:val="24"/>
          <w:szCs w:val="24"/>
        </w:rPr>
        <w:t>AMEE Guide No.14: O</w:t>
      </w:r>
      <w:r w:rsidR="00C053CC">
        <w:rPr>
          <w:rFonts w:ascii="Times New Roman" w:hAnsi="Times New Roman" w:cs="Times New Roman"/>
          <w:noProof/>
          <w:sz w:val="24"/>
          <w:szCs w:val="24"/>
        </w:rPr>
        <w:t>utcome-based education: Part 5-</w:t>
      </w:r>
      <w:r w:rsidRPr="00BE3B6C">
        <w:rPr>
          <w:rFonts w:ascii="Times New Roman" w:hAnsi="Times New Roman" w:cs="Times New Roman"/>
          <w:noProof/>
          <w:sz w:val="24"/>
          <w:szCs w:val="24"/>
        </w:rPr>
        <w:t>From compe</w:t>
      </w:r>
      <w:r w:rsidR="00297620">
        <w:rPr>
          <w:rFonts w:ascii="Times New Roman" w:hAnsi="Times New Roman" w:cs="Times New Roman"/>
          <w:noProof/>
          <w:sz w:val="24"/>
          <w:szCs w:val="24"/>
        </w:rPr>
        <w:t>tency to meta-competency: a model for the specification of learning outcomes.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Medical Teacher</w:t>
      </w:r>
      <w:r w:rsidR="00297620">
        <w:rPr>
          <w:rFonts w:ascii="Times New Roman" w:hAnsi="Times New Roman" w:cs="Times New Roman"/>
          <w:noProof/>
          <w:sz w:val="24"/>
          <w:szCs w:val="24"/>
        </w:rPr>
        <w:t>.</w:t>
      </w:r>
      <w:r w:rsidR="00297620" w:rsidRPr="00297620">
        <w:rPr>
          <w:rFonts w:ascii="Times New Roman" w:hAnsi="Times New Roman" w:cs="Times New Roman"/>
          <w:b/>
          <w:noProof/>
          <w:sz w:val="24"/>
          <w:szCs w:val="24"/>
        </w:rPr>
        <w:t xml:space="preserve"> 21</w:t>
      </w:r>
      <w:r w:rsidR="00297620">
        <w:rPr>
          <w:rFonts w:ascii="Times New Roman" w:hAnsi="Times New Roman" w:cs="Times New Roman"/>
          <w:noProof/>
          <w:sz w:val="24"/>
          <w:szCs w:val="24"/>
        </w:rPr>
        <w:t>(6), 546-552.</w:t>
      </w:r>
    </w:p>
    <w:p w14:paraId="09AD191D" w14:textId="0A24711A" w:rsidR="00BE3B6C" w:rsidRDefault="008A0E0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Hargreaves, K. (2016). </w:t>
      </w:r>
      <w:r w:rsidR="00BE3B6C" w:rsidRPr="00BE3B6C">
        <w:rPr>
          <w:rFonts w:ascii="Times New Roman" w:hAnsi="Times New Roman" w:cs="Times New Roman"/>
          <w:noProof/>
          <w:sz w:val="24"/>
          <w:szCs w:val="24"/>
        </w:rPr>
        <w:t>Ref</w:t>
      </w:r>
      <w:r>
        <w:rPr>
          <w:rFonts w:ascii="Times New Roman" w:hAnsi="Times New Roman" w:cs="Times New Roman"/>
          <w:noProof/>
          <w:sz w:val="24"/>
          <w:szCs w:val="24"/>
        </w:rPr>
        <w:t xml:space="preserve">lection in Medical Education. </w:t>
      </w:r>
      <w:r w:rsidR="00BE3B6C" w:rsidRPr="00BE3B6C">
        <w:rPr>
          <w:rFonts w:ascii="Times New Roman" w:hAnsi="Times New Roman" w:cs="Times New Roman"/>
          <w:i/>
          <w:iCs/>
          <w:noProof/>
          <w:sz w:val="24"/>
          <w:szCs w:val="24"/>
        </w:rPr>
        <w:t>Journal of University Teaching and Learning</w:t>
      </w:r>
      <w:r>
        <w:rPr>
          <w:rFonts w:ascii="Times New Roman" w:hAnsi="Times New Roman" w:cs="Times New Roman"/>
          <w:noProof/>
          <w:sz w:val="24"/>
          <w:szCs w:val="24"/>
        </w:rPr>
        <w:t xml:space="preserve">. </w:t>
      </w:r>
      <w:r w:rsidR="00BE3B6C" w:rsidRPr="008A0E0A">
        <w:rPr>
          <w:rFonts w:ascii="Times New Roman" w:hAnsi="Times New Roman" w:cs="Times New Roman"/>
          <w:b/>
          <w:noProof/>
          <w:sz w:val="24"/>
          <w:szCs w:val="24"/>
        </w:rPr>
        <w:t>13</w:t>
      </w:r>
      <w:r w:rsidR="00BE3B6C" w:rsidRPr="00BE3B6C">
        <w:rPr>
          <w:rFonts w:ascii="Times New Roman" w:hAnsi="Times New Roman" w:cs="Times New Roman"/>
          <w:noProof/>
          <w:sz w:val="24"/>
          <w:szCs w:val="24"/>
        </w:rPr>
        <w:t>(2)</w:t>
      </w:r>
      <w:r>
        <w:rPr>
          <w:rFonts w:ascii="Times New Roman" w:hAnsi="Times New Roman" w:cs="Times New Roman"/>
          <w:noProof/>
          <w:sz w:val="24"/>
          <w:szCs w:val="24"/>
        </w:rPr>
        <w:t>, 6.</w:t>
      </w:r>
    </w:p>
    <w:p w14:paraId="50A928BA" w14:textId="536C61AA" w:rsidR="00BE3B6C" w:rsidRPr="00BE3B6C" w:rsidRDefault="008A0E0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Harlen, W. (2007). </w:t>
      </w:r>
      <w:r w:rsidR="00BE3B6C" w:rsidRPr="00BE3B6C">
        <w:rPr>
          <w:rFonts w:ascii="Times New Roman" w:hAnsi="Times New Roman" w:cs="Times New Roman"/>
          <w:noProof/>
          <w:sz w:val="24"/>
          <w:szCs w:val="24"/>
        </w:rPr>
        <w:t>C</w:t>
      </w:r>
      <w:r>
        <w:rPr>
          <w:rFonts w:ascii="Times New Roman" w:hAnsi="Times New Roman" w:cs="Times New Roman"/>
          <w:noProof/>
          <w:sz w:val="24"/>
          <w:szCs w:val="24"/>
        </w:rPr>
        <w:t xml:space="preserve">riteria for evaluating systems for student assessment. </w:t>
      </w:r>
      <w:r w:rsidR="00BE3B6C" w:rsidRPr="00BE3B6C">
        <w:rPr>
          <w:rFonts w:ascii="Times New Roman" w:hAnsi="Times New Roman" w:cs="Times New Roman"/>
          <w:i/>
          <w:iCs/>
          <w:noProof/>
          <w:sz w:val="24"/>
          <w:szCs w:val="24"/>
        </w:rPr>
        <w:t>Studies in Educational Evaluation</w:t>
      </w:r>
      <w:r>
        <w:rPr>
          <w:rFonts w:ascii="Times New Roman" w:hAnsi="Times New Roman" w:cs="Times New Roman"/>
          <w:noProof/>
          <w:sz w:val="24"/>
          <w:szCs w:val="24"/>
        </w:rPr>
        <w:t xml:space="preserve">. </w:t>
      </w:r>
      <w:r w:rsidRPr="008A0E0A">
        <w:rPr>
          <w:rFonts w:ascii="Times New Roman" w:hAnsi="Times New Roman" w:cs="Times New Roman"/>
          <w:b/>
          <w:noProof/>
          <w:sz w:val="24"/>
          <w:szCs w:val="24"/>
        </w:rPr>
        <w:t>33</w:t>
      </w:r>
      <w:r>
        <w:rPr>
          <w:rFonts w:ascii="Times New Roman" w:hAnsi="Times New Roman" w:cs="Times New Roman"/>
          <w:noProof/>
          <w:sz w:val="24"/>
          <w:szCs w:val="24"/>
        </w:rPr>
        <w:t xml:space="preserve">(1), </w:t>
      </w:r>
      <w:r w:rsidR="00BE3B6C" w:rsidRPr="00BE3B6C">
        <w:rPr>
          <w:rFonts w:ascii="Times New Roman" w:hAnsi="Times New Roman" w:cs="Times New Roman"/>
          <w:noProof/>
          <w:sz w:val="24"/>
          <w:szCs w:val="24"/>
        </w:rPr>
        <w:t xml:space="preserve">15–28. </w:t>
      </w:r>
    </w:p>
    <w:p w14:paraId="048C5472" w14:textId="7338C82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Harman, N. L. </w:t>
      </w:r>
      <w:r w:rsidRPr="00BE3B6C">
        <w:rPr>
          <w:rFonts w:ascii="Times New Roman" w:hAnsi="Times New Roman" w:cs="Times New Roman"/>
          <w:i/>
          <w:iCs/>
          <w:noProof/>
          <w:sz w:val="24"/>
          <w:szCs w:val="24"/>
        </w:rPr>
        <w:t>et al.</w:t>
      </w:r>
      <w:r w:rsidR="008A0E0A">
        <w:rPr>
          <w:rFonts w:ascii="Times New Roman" w:hAnsi="Times New Roman" w:cs="Times New Roman"/>
          <w:noProof/>
          <w:sz w:val="24"/>
          <w:szCs w:val="24"/>
        </w:rPr>
        <w:t xml:space="preserve"> (2015). </w:t>
      </w:r>
      <w:r w:rsidRPr="00BE3B6C">
        <w:rPr>
          <w:rFonts w:ascii="Times New Roman" w:hAnsi="Times New Roman" w:cs="Times New Roman"/>
          <w:noProof/>
          <w:sz w:val="24"/>
          <w:szCs w:val="24"/>
        </w:rPr>
        <w:t xml:space="preserve">The importance of integration of stakeholder views in core outcome set development: Otitis Media with Effusion </w:t>
      </w:r>
      <w:r w:rsidR="008A0E0A">
        <w:rPr>
          <w:rFonts w:ascii="Times New Roman" w:hAnsi="Times New Roman" w:cs="Times New Roman"/>
          <w:noProof/>
          <w:sz w:val="24"/>
          <w:szCs w:val="24"/>
        </w:rPr>
        <w:t xml:space="preserve">in children with cleft palate. </w:t>
      </w:r>
      <w:r w:rsidRPr="00BE3B6C">
        <w:rPr>
          <w:rFonts w:ascii="Times New Roman" w:hAnsi="Times New Roman" w:cs="Times New Roman"/>
          <w:i/>
          <w:iCs/>
          <w:noProof/>
          <w:sz w:val="24"/>
          <w:szCs w:val="24"/>
        </w:rPr>
        <w:t xml:space="preserve">PLoS </w:t>
      </w:r>
      <w:r w:rsidR="008A0E0A">
        <w:rPr>
          <w:rFonts w:ascii="Times New Roman" w:hAnsi="Times New Roman" w:cs="Times New Roman"/>
          <w:i/>
          <w:iCs/>
          <w:noProof/>
          <w:sz w:val="24"/>
          <w:szCs w:val="24"/>
        </w:rPr>
        <w:t xml:space="preserve">One. </w:t>
      </w:r>
      <w:r w:rsidR="008A0E0A" w:rsidRPr="008A0E0A">
        <w:rPr>
          <w:rFonts w:ascii="Times New Roman" w:hAnsi="Times New Roman" w:cs="Times New Roman"/>
          <w:b/>
          <w:noProof/>
          <w:sz w:val="24"/>
          <w:szCs w:val="24"/>
        </w:rPr>
        <w:t>10</w:t>
      </w:r>
      <w:r w:rsidR="008A0E0A" w:rsidRPr="008A0E0A">
        <w:rPr>
          <w:rFonts w:ascii="Times New Roman" w:hAnsi="Times New Roman" w:cs="Times New Roman"/>
          <w:noProof/>
          <w:sz w:val="24"/>
          <w:szCs w:val="24"/>
        </w:rPr>
        <w:t xml:space="preserve">(6), </w:t>
      </w:r>
      <w:r w:rsidR="008A0E0A" w:rsidRPr="008A0E0A">
        <w:rPr>
          <w:rFonts w:ascii="Times New Roman" w:hAnsi="Times New Roman" w:cs="Times New Roman"/>
          <w:sz w:val="24"/>
          <w:szCs w:val="24"/>
        </w:rPr>
        <w:t>e0129514</w:t>
      </w:r>
    </w:p>
    <w:p w14:paraId="169049F8" w14:textId="358E4D95" w:rsidR="00BE3B6C" w:rsidRPr="008A0E0A" w:rsidRDefault="008A0E0A" w:rsidP="00BE3B6C">
      <w:pPr>
        <w:widowControl w:val="0"/>
        <w:autoSpaceDE w:val="0"/>
        <w:autoSpaceDN w:val="0"/>
        <w:adjustRightInd w:val="0"/>
        <w:spacing w:line="480" w:lineRule="auto"/>
        <w:rPr>
          <w:rFonts w:ascii="Times New Roman" w:hAnsi="Times New Roman" w:cs="Times New Roman"/>
          <w:noProof/>
          <w:sz w:val="24"/>
          <w:szCs w:val="24"/>
        </w:rPr>
      </w:pPr>
      <w:r w:rsidRPr="008A0E0A">
        <w:rPr>
          <w:rFonts w:ascii="Times New Roman" w:hAnsi="Times New Roman" w:cs="Times New Roman"/>
          <w:noProof/>
          <w:sz w:val="24"/>
          <w:szCs w:val="24"/>
        </w:rPr>
        <w:t xml:space="preserve">Harris, I. (1993). </w:t>
      </w:r>
      <w:r w:rsidR="00BE3B6C" w:rsidRPr="008A0E0A">
        <w:rPr>
          <w:rFonts w:ascii="Times New Roman" w:hAnsi="Times New Roman" w:cs="Times New Roman"/>
          <w:noProof/>
          <w:sz w:val="24"/>
          <w:szCs w:val="24"/>
        </w:rPr>
        <w:t>New expectations</w:t>
      </w:r>
      <w:r w:rsidRPr="008A0E0A">
        <w:rPr>
          <w:rFonts w:ascii="Times New Roman" w:hAnsi="Times New Roman" w:cs="Times New Roman"/>
          <w:noProof/>
          <w:sz w:val="24"/>
          <w:szCs w:val="24"/>
        </w:rPr>
        <w:t xml:space="preserve"> for professional competence. I</w:t>
      </w:r>
      <w:r>
        <w:rPr>
          <w:rFonts w:ascii="Times New Roman" w:hAnsi="Times New Roman" w:cs="Times New Roman"/>
          <w:noProof/>
          <w:sz w:val="24"/>
          <w:szCs w:val="24"/>
        </w:rPr>
        <w:t>n: L. Curry</w:t>
      </w:r>
      <w:r w:rsidRPr="008A0E0A">
        <w:rPr>
          <w:rFonts w:ascii="Times New Roman" w:hAnsi="Times New Roman" w:cs="Times New Roman"/>
          <w:noProof/>
          <w:sz w:val="24"/>
          <w:szCs w:val="24"/>
        </w:rPr>
        <w:t xml:space="preserve"> and</w:t>
      </w:r>
      <w:r>
        <w:rPr>
          <w:rFonts w:ascii="Times New Roman" w:hAnsi="Times New Roman" w:cs="Times New Roman"/>
          <w:noProof/>
          <w:sz w:val="24"/>
          <w:szCs w:val="24"/>
        </w:rPr>
        <w:t xml:space="preserve"> J. F. </w:t>
      </w:r>
      <w:r>
        <w:rPr>
          <w:rFonts w:ascii="Times New Roman" w:hAnsi="Times New Roman" w:cs="Times New Roman"/>
          <w:noProof/>
          <w:sz w:val="24"/>
          <w:szCs w:val="24"/>
        </w:rPr>
        <w:lastRenderedPageBreak/>
        <w:t>Wergin,</w:t>
      </w:r>
      <w:r w:rsidRPr="008A0E0A">
        <w:rPr>
          <w:rFonts w:ascii="Times New Roman" w:hAnsi="Times New Roman" w:cs="Times New Roman"/>
          <w:noProof/>
          <w:sz w:val="24"/>
          <w:szCs w:val="24"/>
        </w:rPr>
        <w:t xml:space="preserve"> </w:t>
      </w:r>
      <w:r w:rsidR="00BE3B6C" w:rsidRPr="008A0E0A">
        <w:rPr>
          <w:rFonts w:ascii="Times New Roman" w:hAnsi="Times New Roman" w:cs="Times New Roman"/>
          <w:noProof/>
          <w:sz w:val="24"/>
          <w:szCs w:val="24"/>
        </w:rPr>
        <w:t>ed</w:t>
      </w:r>
      <w:r w:rsidRPr="008A0E0A">
        <w:rPr>
          <w:rFonts w:ascii="Times New Roman" w:hAnsi="Times New Roman" w:cs="Times New Roman"/>
          <w:noProof/>
          <w:sz w:val="24"/>
          <w:szCs w:val="24"/>
        </w:rPr>
        <w:t>s.</w:t>
      </w:r>
      <w:r w:rsidR="00BE3B6C" w:rsidRPr="008A0E0A">
        <w:rPr>
          <w:rFonts w:ascii="Times New Roman" w:hAnsi="Times New Roman" w:cs="Times New Roman"/>
          <w:noProof/>
          <w:sz w:val="24"/>
          <w:szCs w:val="24"/>
        </w:rPr>
        <w:t xml:space="preserve"> </w:t>
      </w:r>
      <w:r w:rsidR="00BE3B6C" w:rsidRPr="008A0E0A">
        <w:rPr>
          <w:rFonts w:ascii="Times New Roman" w:hAnsi="Times New Roman" w:cs="Times New Roman"/>
          <w:i/>
          <w:iCs/>
          <w:noProof/>
          <w:sz w:val="24"/>
          <w:szCs w:val="24"/>
        </w:rPr>
        <w:t>Educating Professionals</w:t>
      </w:r>
      <w:r w:rsidRPr="008A0E0A">
        <w:rPr>
          <w:rFonts w:ascii="Times New Roman" w:hAnsi="Times New Roman" w:cs="Times New Roman"/>
          <w:i/>
          <w:iCs/>
          <w:noProof/>
          <w:sz w:val="24"/>
          <w:szCs w:val="24"/>
        </w:rPr>
        <w:t xml:space="preserve">: </w:t>
      </w:r>
      <w:r w:rsidRPr="008A0E0A">
        <w:rPr>
          <w:rStyle w:val="st"/>
          <w:rFonts w:ascii="Times New Roman" w:hAnsi="Times New Roman" w:cs="Times New Roman"/>
          <w:i/>
          <w:sz w:val="24"/>
          <w:szCs w:val="24"/>
        </w:rPr>
        <w:t>Responding to new expectations for competence and accountability</w:t>
      </w:r>
      <w:r w:rsidRPr="008A0E0A">
        <w:rPr>
          <w:rFonts w:ascii="Times New Roman" w:hAnsi="Times New Roman" w:cs="Times New Roman"/>
          <w:noProof/>
          <w:sz w:val="24"/>
          <w:szCs w:val="24"/>
        </w:rPr>
        <w:t xml:space="preserve">. San Francisco: Jossey-Bass. </w:t>
      </w:r>
      <w:r w:rsidR="00BE3B6C" w:rsidRPr="008A0E0A">
        <w:rPr>
          <w:rFonts w:ascii="Times New Roman" w:hAnsi="Times New Roman" w:cs="Times New Roman"/>
          <w:noProof/>
          <w:sz w:val="24"/>
          <w:szCs w:val="24"/>
        </w:rPr>
        <w:t>pp. 17–52.</w:t>
      </w:r>
    </w:p>
    <w:p w14:paraId="38727D8B" w14:textId="058850E2"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Harris</w:t>
      </w:r>
      <w:r w:rsidR="008A0E0A">
        <w:rPr>
          <w:rFonts w:ascii="Times New Roman" w:hAnsi="Times New Roman" w:cs="Times New Roman"/>
          <w:noProof/>
          <w:sz w:val="24"/>
          <w:szCs w:val="24"/>
        </w:rPr>
        <w:t xml:space="preserve">, I. B. and Simpson, D. (2005). </w:t>
      </w:r>
      <w:r w:rsidRPr="00BE3B6C">
        <w:rPr>
          <w:rFonts w:ascii="Times New Roman" w:hAnsi="Times New Roman" w:cs="Times New Roman"/>
          <w:noProof/>
          <w:sz w:val="24"/>
          <w:szCs w:val="24"/>
        </w:rPr>
        <w:t>Christine McGuire: At the heart of t</w:t>
      </w:r>
      <w:r w:rsidR="00091D73">
        <w:rPr>
          <w:rFonts w:ascii="Times New Roman" w:hAnsi="Times New Roman" w:cs="Times New Roman"/>
          <w:noProof/>
          <w:sz w:val="24"/>
          <w:szCs w:val="24"/>
        </w:rPr>
        <w:t xml:space="preserve">he maverick measurement maven. </w:t>
      </w:r>
      <w:r w:rsidRPr="00BE3B6C">
        <w:rPr>
          <w:rFonts w:ascii="Times New Roman" w:hAnsi="Times New Roman" w:cs="Times New Roman"/>
          <w:i/>
          <w:iCs/>
          <w:noProof/>
          <w:sz w:val="24"/>
          <w:szCs w:val="24"/>
        </w:rPr>
        <w:t>Advances in Health Sciences Education</w:t>
      </w:r>
      <w:r w:rsidR="00091D73">
        <w:rPr>
          <w:rFonts w:ascii="Times New Roman" w:hAnsi="Times New Roman" w:cs="Times New Roman"/>
          <w:noProof/>
          <w:sz w:val="24"/>
          <w:szCs w:val="24"/>
        </w:rPr>
        <w:t xml:space="preserve">. </w:t>
      </w:r>
      <w:r w:rsidR="00091D73" w:rsidRPr="00091D73">
        <w:rPr>
          <w:rFonts w:ascii="Times New Roman" w:hAnsi="Times New Roman" w:cs="Times New Roman"/>
          <w:b/>
          <w:noProof/>
          <w:sz w:val="24"/>
          <w:szCs w:val="24"/>
        </w:rPr>
        <w:t>10</w:t>
      </w:r>
      <w:r w:rsidR="00091D73">
        <w:rPr>
          <w:rFonts w:ascii="Times New Roman" w:hAnsi="Times New Roman" w:cs="Times New Roman"/>
          <w:noProof/>
          <w:sz w:val="24"/>
          <w:szCs w:val="24"/>
        </w:rPr>
        <w:t xml:space="preserve">(1), 65–80. </w:t>
      </w:r>
    </w:p>
    <w:p w14:paraId="6BB017AA" w14:textId="691C0DC2" w:rsidR="00D873A9" w:rsidRPr="00BE3B6C" w:rsidRDefault="00D873A9"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Hodges, B.</w:t>
      </w:r>
      <w:r>
        <w:rPr>
          <w:rFonts w:ascii="Times New Roman" w:hAnsi="Times New Roman" w:cs="Times New Roman"/>
          <w:noProof/>
          <w:sz w:val="24"/>
          <w:szCs w:val="24"/>
        </w:rPr>
        <w:t>D.</w:t>
      </w:r>
      <w:r w:rsidRPr="00BE3B6C">
        <w:rPr>
          <w:rFonts w:ascii="Times New Roman" w:hAnsi="Times New Roman" w:cs="Times New Roman"/>
          <w:noProof/>
          <w:sz w:val="24"/>
          <w:szCs w:val="24"/>
        </w:rPr>
        <w:t xml:space="preserve"> (201</w:t>
      </w:r>
      <w:r>
        <w:rPr>
          <w:rFonts w:ascii="Times New Roman" w:hAnsi="Times New Roman" w:cs="Times New Roman"/>
          <w:noProof/>
          <w:sz w:val="24"/>
          <w:szCs w:val="24"/>
        </w:rPr>
        <w:t xml:space="preserve">0). </w:t>
      </w:r>
      <w:r w:rsidRPr="00BE3B6C">
        <w:rPr>
          <w:rFonts w:ascii="Times New Roman" w:hAnsi="Times New Roman" w:cs="Times New Roman"/>
          <w:noProof/>
          <w:sz w:val="24"/>
          <w:szCs w:val="24"/>
        </w:rPr>
        <w:t>A tea-steeping or i-Do</w:t>
      </w:r>
      <w:r>
        <w:rPr>
          <w:rFonts w:ascii="Times New Roman" w:hAnsi="Times New Roman" w:cs="Times New Roman"/>
          <w:noProof/>
          <w:sz w:val="24"/>
          <w:szCs w:val="24"/>
        </w:rPr>
        <w:t>c model for medical education?</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Academic Medicine</w:t>
      </w:r>
      <w:r>
        <w:rPr>
          <w:rFonts w:ascii="Times New Roman" w:hAnsi="Times New Roman" w:cs="Times New Roman"/>
          <w:noProof/>
          <w:sz w:val="24"/>
          <w:szCs w:val="24"/>
        </w:rPr>
        <w:t xml:space="preserve">. </w:t>
      </w:r>
      <w:r w:rsidRPr="0073279B">
        <w:rPr>
          <w:rFonts w:ascii="Times New Roman" w:hAnsi="Times New Roman" w:cs="Times New Roman"/>
          <w:b/>
          <w:noProof/>
          <w:sz w:val="24"/>
          <w:szCs w:val="24"/>
        </w:rPr>
        <w:t>85</w:t>
      </w:r>
      <w:r w:rsidR="00091D73">
        <w:rPr>
          <w:rFonts w:ascii="Times New Roman" w:hAnsi="Times New Roman" w:cs="Times New Roman"/>
          <w:noProof/>
          <w:sz w:val="24"/>
          <w:szCs w:val="24"/>
        </w:rPr>
        <w:t>(9 Suppl), S34-44.</w:t>
      </w:r>
    </w:p>
    <w:p w14:paraId="1B471E28" w14:textId="575F13B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Hauer, K. E. </w:t>
      </w:r>
      <w:r w:rsidRPr="00BE3B6C">
        <w:rPr>
          <w:rFonts w:ascii="Times New Roman" w:hAnsi="Times New Roman" w:cs="Times New Roman"/>
          <w:i/>
          <w:iCs/>
          <w:noProof/>
          <w:sz w:val="24"/>
          <w:szCs w:val="24"/>
        </w:rPr>
        <w:t>et al.</w:t>
      </w:r>
      <w:r w:rsidR="00091D73">
        <w:rPr>
          <w:rFonts w:ascii="Times New Roman" w:hAnsi="Times New Roman" w:cs="Times New Roman"/>
          <w:noProof/>
          <w:sz w:val="24"/>
          <w:szCs w:val="24"/>
        </w:rPr>
        <w:t xml:space="preserve"> (2013). </w:t>
      </w:r>
      <w:r w:rsidRPr="00BE3B6C">
        <w:rPr>
          <w:rFonts w:ascii="Times New Roman" w:hAnsi="Times New Roman" w:cs="Times New Roman"/>
          <w:noProof/>
          <w:sz w:val="24"/>
          <w:szCs w:val="24"/>
        </w:rPr>
        <w:t>Identifying entrustable professional activities i</w:t>
      </w:r>
      <w:r w:rsidR="00091D73">
        <w:rPr>
          <w:rFonts w:ascii="Times New Roman" w:hAnsi="Times New Roman" w:cs="Times New Roman"/>
          <w:noProof/>
          <w:sz w:val="24"/>
          <w:szCs w:val="24"/>
        </w:rPr>
        <w:t xml:space="preserve">n internal medicine training. </w:t>
      </w:r>
      <w:r w:rsidR="00091D73">
        <w:rPr>
          <w:rFonts w:ascii="Times New Roman" w:hAnsi="Times New Roman" w:cs="Times New Roman"/>
          <w:i/>
          <w:iCs/>
          <w:noProof/>
          <w:sz w:val="24"/>
          <w:szCs w:val="24"/>
        </w:rPr>
        <w:t>Journal of G</w:t>
      </w:r>
      <w:r w:rsidRPr="00BE3B6C">
        <w:rPr>
          <w:rFonts w:ascii="Times New Roman" w:hAnsi="Times New Roman" w:cs="Times New Roman"/>
          <w:i/>
          <w:iCs/>
          <w:noProof/>
          <w:sz w:val="24"/>
          <w:szCs w:val="24"/>
        </w:rPr>
        <w:t>r</w:t>
      </w:r>
      <w:r w:rsidR="00091D73">
        <w:rPr>
          <w:rFonts w:ascii="Times New Roman" w:hAnsi="Times New Roman" w:cs="Times New Roman"/>
          <w:i/>
          <w:iCs/>
          <w:noProof/>
          <w:sz w:val="24"/>
          <w:szCs w:val="24"/>
        </w:rPr>
        <w:t>aduate Medical E</w:t>
      </w:r>
      <w:r w:rsidRPr="00BE3B6C">
        <w:rPr>
          <w:rFonts w:ascii="Times New Roman" w:hAnsi="Times New Roman" w:cs="Times New Roman"/>
          <w:i/>
          <w:iCs/>
          <w:noProof/>
          <w:sz w:val="24"/>
          <w:szCs w:val="24"/>
        </w:rPr>
        <w:t>ducation</w:t>
      </w:r>
      <w:r w:rsidR="00091D73">
        <w:rPr>
          <w:rFonts w:ascii="Times New Roman" w:hAnsi="Times New Roman" w:cs="Times New Roman"/>
          <w:noProof/>
          <w:sz w:val="24"/>
          <w:szCs w:val="24"/>
        </w:rPr>
        <w:t>.</w:t>
      </w:r>
      <w:r w:rsidR="00091D73" w:rsidRPr="00091D73">
        <w:rPr>
          <w:rFonts w:ascii="Times New Roman" w:hAnsi="Times New Roman" w:cs="Times New Roman"/>
          <w:b/>
          <w:noProof/>
          <w:sz w:val="24"/>
          <w:szCs w:val="24"/>
        </w:rPr>
        <w:t xml:space="preserve"> 5</w:t>
      </w:r>
      <w:r w:rsidR="00091D73">
        <w:rPr>
          <w:rFonts w:ascii="Times New Roman" w:hAnsi="Times New Roman" w:cs="Times New Roman"/>
          <w:noProof/>
          <w:sz w:val="24"/>
          <w:szCs w:val="24"/>
        </w:rPr>
        <w:t xml:space="preserve">(1), 54–9. </w:t>
      </w:r>
    </w:p>
    <w:p w14:paraId="125CA426" w14:textId="3A1C176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Hauer, K. E., Holmboe,</w:t>
      </w:r>
      <w:r w:rsidR="00091D73">
        <w:rPr>
          <w:rFonts w:ascii="Times New Roman" w:hAnsi="Times New Roman" w:cs="Times New Roman"/>
          <w:noProof/>
          <w:sz w:val="24"/>
          <w:szCs w:val="24"/>
        </w:rPr>
        <w:t xml:space="preserve"> E. S. and Kogan, J. R. (2011). </w:t>
      </w:r>
      <w:r w:rsidRPr="00BE3B6C">
        <w:rPr>
          <w:rFonts w:ascii="Times New Roman" w:hAnsi="Times New Roman" w:cs="Times New Roman"/>
          <w:noProof/>
          <w:sz w:val="24"/>
          <w:szCs w:val="24"/>
        </w:rPr>
        <w:t>Twelve tips for implementing tools for direct observation of medical trainees’ clinical ski</w:t>
      </w:r>
      <w:r w:rsidR="00091D73">
        <w:rPr>
          <w:rFonts w:ascii="Times New Roman" w:hAnsi="Times New Roman" w:cs="Times New Roman"/>
          <w:noProof/>
          <w:sz w:val="24"/>
          <w:szCs w:val="24"/>
        </w:rPr>
        <w:t>lls during patient encounters.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w:t>
      </w:r>
      <w:r w:rsidR="00091D73">
        <w:rPr>
          <w:rFonts w:ascii="Times New Roman" w:hAnsi="Times New Roman" w:cs="Times New Roman"/>
          <w:i/>
          <w:iCs/>
          <w:noProof/>
          <w:sz w:val="24"/>
          <w:szCs w:val="24"/>
        </w:rPr>
        <w:t>cal T</w:t>
      </w:r>
      <w:r w:rsidRPr="00BE3B6C">
        <w:rPr>
          <w:rFonts w:ascii="Times New Roman" w:hAnsi="Times New Roman" w:cs="Times New Roman"/>
          <w:i/>
          <w:iCs/>
          <w:noProof/>
          <w:sz w:val="24"/>
          <w:szCs w:val="24"/>
        </w:rPr>
        <w:t>eacher</w:t>
      </w:r>
      <w:r w:rsidR="00091D73">
        <w:rPr>
          <w:rFonts w:ascii="Times New Roman" w:hAnsi="Times New Roman" w:cs="Times New Roman"/>
          <w:noProof/>
          <w:sz w:val="24"/>
          <w:szCs w:val="24"/>
        </w:rPr>
        <w:t xml:space="preserve">. </w:t>
      </w:r>
      <w:r w:rsidR="00091D73" w:rsidRPr="00091D73">
        <w:rPr>
          <w:rFonts w:ascii="Times New Roman" w:hAnsi="Times New Roman" w:cs="Times New Roman"/>
          <w:b/>
          <w:noProof/>
          <w:sz w:val="24"/>
          <w:szCs w:val="24"/>
        </w:rPr>
        <w:t>33</w:t>
      </w:r>
      <w:r w:rsidR="00091D73">
        <w:rPr>
          <w:rFonts w:ascii="Times New Roman" w:hAnsi="Times New Roman" w:cs="Times New Roman"/>
          <w:noProof/>
          <w:sz w:val="24"/>
          <w:szCs w:val="24"/>
        </w:rPr>
        <w:t>(1), 27–33.</w:t>
      </w:r>
    </w:p>
    <w:p w14:paraId="07120174" w14:textId="41A808EB"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Hawkins, R. E. </w:t>
      </w:r>
      <w:r w:rsidRPr="00BE3B6C">
        <w:rPr>
          <w:rFonts w:ascii="Times New Roman" w:hAnsi="Times New Roman" w:cs="Times New Roman"/>
          <w:i/>
          <w:iCs/>
          <w:noProof/>
          <w:sz w:val="24"/>
          <w:szCs w:val="24"/>
        </w:rPr>
        <w:t>et al.</w:t>
      </w:r>
      <w:r w:rsidR="00091D73">
        <w:rPr>
          <w:rFonts w:ascii="Times New Roman" w:hAnsi="Times New Roman" w:cs="Times New Roman"/>
          <w:noProof/>
          <w:sz w:val="24"/>
          <w:szCs w:val="24"/>
        </w:rPr>
        <w:t xml:space="preserve"> (2010). </w:t>
      </w:r>
      <w:r w:rsidRPr="00BE3B6C">
        <w:rPr>
          <w:rFonts w:ascii="Times New Roman" w:hAnsi="Times New Roman" w:cs="Times New Roman"/>
          <w:noProof/>
          <w:sz w:val="24"/>
          <w:szCs w:val="24"/>
        </w:rPr>
        <w:t>Constructing a validity argument for the mini-clinical evaluation exerc</w:t>
      </w:r>
      <w:r w:rsidR="00091D73">
        <w:rPr>
          <w:rFonts w:ascii="Times New Roman" w:hAnsi="Times New Roman" w:cs="Times New Roman"/>
          <w:noProof/>
          <w:sz w:val="24"/>
          <w:szCs w:val="24"/>
        </w:rPr>
        <w:t xml:space="preserve">ise: A review of the research. </w:t>
      </w:r>
      <w:r w:rsidRPr="00BE3B6C">
        <w:rPr>
          <w:rFonts w:ascii="Times New Roman" w:hAnsi="Times New Roman" w:cs="Times New Roman"/>
          <w:i/>
          <w:iCs/>
          <w:noProof/>
          <w:sz w:val="24"/>
          <w:szCs w:val="24"/>
        </w:rPr>
        <w:t>Academic Medicine</w:t>
      </w:r>
      <w:r w:rsidR="00091D73">
        <w:rPr>
          <w:rFonts w:ascii="Times New Roman" w:hAnsi="Times New Roman" w:cs="Times New Roman"/>
          <w:noProof/>
          <w:sz w:val="24"/>
          <w:szCs w:val="24"/>
        </w:rPr>
        <w:t xml:space="preserve">. </w:t>
      </w:r>
      <w:r w:rsidR="00091D73" w:rsidRPr="00091D73">
        <w:rPr>
          <w:rFonts w:ascii="Times New Roman" w:hAnsi="Times New Roman" w:cs="Times New Roman"/>
          <w:b/>
          <w:noProof/>
          <w:sz w:val="24"/>
          <w:szCs w:val="24"/>
        </w:rPr>
        <w:t>85</w:t>
      </w:r>
      <w:r w:rsidR="00091D73">
        <w:rPr>
          <w:rFonts w:ascii="Times New Roman" w:hAnsi="Times New Roman" w:cs="Times New Roman"/>
          <w:noProof/>
          <w:sz w:val="24"/>
          <w:szCs w:val="24"/>
        </w:rPr>
        <w:t>(9),</w:t>
      </w:r>
      <w:r w:rsidRPr="00BE3B6C">
        <w:rPr>
          <w:rFonts w:ascii="Times New Roman" w:hAnsi="Times New Roman" w:cs="Times New Roman"/>
          <w:noProof/>
          <w:sz w:val="24"/>
          <w:szCs w:val="24"/>
        </w:rPr>
        <w:t xml:space="preserve">1453–1461. </w:t>
      </w:r>
    </w:p>
    <w:p w14:paraId="58CE62BB" w14:textId="562B1F6B"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Hejri, S. M. </w:t>
      </w:r>
      <w:r w:rsidRPr="00BE3B6C">
        <w:rPr>
          <w:rFonts w:ascii="Times New Roman" w:hAnsi="Times New Roman" w:cs="Times New Roman"/>
          <w:i/>
          <w:iCs/>
          <w:noProof/>
          <w:sz w:val="24"/>
          <w:szCs w:val="24"/>
        </w:rPr>
        <w:t>et al.</w:t>
      </w:r>
      <w:r w:rsidR="00091D73">
        <w:rPr>
          <w:rFonts w:ascii="Times New Roman" w:hAnsi="Times New Roman" w:cs="Times New Roman"/>
          <w:noProof/>
          <w:sz w:val="24"/>
          <w:szCs w:val="24"/>
        </w:rPr>
        <w:t xml:space="preserve"> (2013). </w:t>
      </w:r>
      <w:r w:rsidRPr="00BE3B6C">
        <w:rPr>
          <w:rFonts w:ascii="Times New Roman" w:hAnsi="Times New Roman" w:cs="Times New Roman"/>
          <w:noProof/>
          <w:sz w:val="24"/>
          <w:szCs w:val="24"/>
        </w:rPr>
        <w:t>Assessing the reliability of the borderline regression method as a standard setting procedure for objective str</w:t>
      </w:r>
      <w:r w:rsidR="00091D73">
        <w:rPr>
          <w:rFonts w:ascii="Times New Roman" w:hAnsi="Times New Roman" w:cs="Times New Roman"/>
          <w:noProof/>
          <w:sz w:val="24"/>
          <w:szCs w:val="24"/>
        </w:rPr>
        <w:t xml:space="preserve">uctured clinical examination. </w:t>
      </w:r>
      <w:r w:rsidR="00091D73">
        <w:rPr>
          <w:rFonts w:ascii="Times New Roman" w:hAnsi="Times New Roman" w:cs="Times New Roman"/>
          <w:i/>
          <w:iCs/>
          <w:noProof/>
          <w:sz w:val="24"/>
          <w:szCs w:val="24"/>
        </w:rPr>
        <w:t>Journal of R</w:t>
      </w:r>
      <w:r w:rsidRPr="00BE3B6C">
        <w:rPr>
          <w:rFonts w:ascii="Times New Roman" w:hAnsi="Times New Roman" w:cs="Times New Roman"/>
          <w:i/>
          <w:iCs/>
          <w:noProof/>
          <w:sz w:val="24"/>
          <w:szCs w:val="24"/>
        </w:rPr>
        <w:t>esearch i</w:t>
      </w:r>
      <w:r w:rsidR="00091D73">
        <w:rPr>
          <w:rFonts w:ascii="Times New Roman" w:hAnsi="Times New Roman" w:cs="Times New Roman"/>
          <w:i/>
          <w:iCs/>
          <w:noProof/>
          <w:sz w:val="24"/>
          <w:szCs w:val="24"/>
        </w:rPr>
        <w:t>n Medical Sciences.</w:t>
      </w:r>
      <w:r w:rsidR="00091D73" w:rsidRPr="00091D73">
        <w:rPr>
          <w:rFonts w:ascii="Times New Roman" w:hAnsi="Times New Roman" w:cs="Times New Roman"/>
          <w:b/>
          <w:noProof/>
          <w:sz w:val="24"/>
          <w:szCs w:val="24"/>
        </w:rPr>
        <w:t>18</w:t>
      </w:r>
      <w:r w:rsidR="00091D73">
        <w:rPr>
          <w:rFonts w:ascii="Times New Roman" w:hAnsi="Times New Roman" w:cs="Times New Roman"/>
          <w:noProof/>
          <w:sz w:val="24"/>
          <w:szCs w:val="24"/>
        </w:rPr>
        <w:t xml:space="preserve">(10), </w:t>
      </w:r>
      <w:r w:rsidRPr="00BE3B6C">
        <w:rPr>
          <w:rFonts w:ascii="Times New Roman" w:hAnsi="Times New Roman" w:cs="Times New Roman"/>
          <w:noProof/>
          <w:sz w:val="24"/>
          <w:szCs w:val="24"/>
        </w:rPr>
        <w:t xml:space="preserve">887–91. </w:t>
      </w:r>
    </w:p>
    <w:p w14:paraId="1FFEB2E7" w14:textId="5417F274" w:rsidR="00556785" w:rsidRDefault="00556785" w:rsidP="00BE3B6C">
      <w:pPr>
        <w:widowControl w:val="0"/>
        <w:autoSpaceDE w:val="0"/>
        <w:autoSpaceDN w:val="0"/>
        <w:adjustRightInd w:val="0"/>
        <w:spacing w:line="480" w:lineRule="auto"/>
        <w:rPr>
          <w:rFonts w:ascii="Times New Roman" w:hAnsi="Times New Roman" w:cs="Times New Roman"/>
          <w:noProof/>
          <w:sz w:val="24"/>
          <w:szCs w:val="24"/>
        </w:rPr>
      </w:pPr>
      <w:r w:rsidRPr="00556785">
        <w:rPr>
          <w:rFonts w:ascii="Times New Roman" w:hAnsi="Times New Roman" w:cs="Times New Roman"/>
          <w:noProof/>
          <w:sz w:val="24"/>
          <w:szCs w:val="24"/>
        </w:rPr>
        <w:t xml:space="preserve">Higgs, J. and Hunt, A. (1999). </w:t>
      </w:r>
      <w:r w:rsidR="00BE3B6C" w:rsidRPr="00556785">
        <w:rPr>
          <w:rFonts w:ascii="Times New Roman" w:hAnsi="Times New Roman" w:cs="Times New Roman"/>
          <w:noProof/>
          <w:sz w:val="24"/>
          <w:szCs w:val="24"/>
        </w:rPr>
        <w:t>Rethinking the beginning practitioner: introducing th</w:t>
      </w:r>
      <w:r w:rsidRPr="00556785">
        <w:rPr>
          <w:rFonts w:ascii="Times New Roman" w:hAnsi="Times New Roman" w:cs="Times New Roman"/>
          <w:noProof/>
          <w:sz w:val="24"/>
          <w:szCs w:val="24"/>
        </w:rPr>
        <w:t>e “Interactional Professional”.  I</w:t>
      </w:r>
      <w:r w:rsidR="00BE3B6C" w:rsidRPr="00556785">
        <w:rPr>
          <w:rFonts w:ascii="Times New Roman" w:hAnsi="Times New Roman" w:cs="Times New Roman"/>
          <w:noProof/>
          <w:sz w:val="24"/>
          <w:szCs w:val="24"/>
        </w:rPr>
        <w:t>n</w:t>
      </w:r>
      <w:r w:rsidRPr="00556785">
        <w:rPr>
          <w:rFonts w:ascii="Times New Roman" w:hAnsi="Times New Roman" w:cs="Times New Roman"/>
          <w:noProof/>
          <w:sz w:val="24"/>
          <w:szCs w:val="24"/>
        </w:rPr>
        <w:t>: J. Higgs and H. Edwards, eds.</w:t>
      </w:r>
      <w:r w:rsidR="00BE3B6C" w:rsidRPr="00556785">
        <w:rPr>
          <w:rFonts w:ascii="Times New Roman" w:hAnsi="Times New Roman" w:cs="Times New Roman"/>
          <w:noProof/>
          <w:sz w:val="24"/>
          <w:szCs w:val="24"/>
        </w:rPr>
        <w:t xml:space="preserve"> </w:t>
      </w:r>
      <w:r w:rsidR="00BE3B6C" w:rsidRPr="00556785">
        <w:rPr>
          <w:rFonts w:ascii="Times New Roman" w:hAnsi="Times New Roman" w:cs="Times New Roman"/>
          <w:i/>
          <w:iCs/>
          <w:noProof/>
          <w:sz w:val="24"/>
          <w:szCs w:val="24"/>
        </w:rPr>
        <w:t>Educating Beginning Practitioners.  Challenges for health professional education</w:t>
      </w:r>
      <w:r w:rsidRPr="00556785">
        <w:rPr>
          <w:rFonts w:ascii="Times New Roman" w:hAnsi="Times New Roman" w:cs="Times New Roman"/>
          <w:noProof/>
          <w:sz w:val="24"/>
          <w:szCs w:val="24"/>
        </w:rPr>
        <w:t xml:space="preserve">. Oxford: </w:t>
      </w:r>
      <w:r w:rsidRPr="00556785">
        <w:rPr>
          <w:rFonts w:ascii="Times New Roman" w:hAnsi="Times New Roman" w:cs="Times New Roman"/>
          <w:sz w:val="24"/>
          <w:szCs w:val="24"/>
        </w:rPr>
        <w:t>Butterworth-Heinemann</w:t>
      </w:r>
      <w:r w:rsidRPr="00556785">
        <w:rPr>
          <w:rFonts w:ascii="Times New Roman" w:hAnsi="Times New Roman" w:cs="Times New Roman"/>
          <w:noProof/>
          <w:sz w:val="24"/>
          <w:szCs w:val="24"/>
        </w:rPr>
        <w:t xml:space="preserve">. </w:t>
      </w:r>
      <w:r>
        <w:rPr>
          <w:rFonts w:ascii="Times New Roman" w:hAnsi="Times New Roman" w:cs="Times New Roman"/>
          <w:noProof/>
          <w:sz w:val="24"/>
          <w:szCs w:val="24"/>
        </w:rPr>
        <w:t>pp. 10–18.</w:t>
      </w:r>
    </w:p>
    <w:p w14:paraId="421D801C" w14:textId="6426C87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Hofer, B.</w:t>
      </w:r>
      <w:r w:rsidR="00B77DB5">
        <w:rPr>
          <w:rFonts w:ascii="Times New Roman" w:hAnsi="Times New Roman" w:cs="Times New Roman"/>
          <w:noProof/>
          <w:sz w:val="24"/>
          <w:szCs w:val="24"/>
        </w:rPr>
        <w:t xml:space="preserve"> K. and Pintrich, P. R. (1997). </w:t>
      </w:r>
      <w:r w:rsidRPr="00BE3B6C">
        <w:rPr>
          <w:rFonts w:ascii="Times New Roman" w:hAnsi="Times New Roman" w:cs="Times New Roman"/>
          <w:noProof/>
          <w:sz w:val="24"/>
          <w:szCs w:val="24"/>
        </w:rPr>
        <w:t>The Development of Epistemological Theories: Beliefs About Knowledge and Knowing a</w:t>
      </w:r>
      <w:r w:rsidR="00B77DB5">
        <w:rPr>
          <w:rFonts w:ascii="Times New Roman" w:hAnsi="Times New Roman" w:cs="Times New Roman"/>
          <w:noProof/>
          <w:sz w:val="24"/>
          <w:szCs w:val="24"/>
        </w:rPr>
        <w:t xml:space="preserve">nd Their Relation to Learning. </w:t>
      </w:r>
      <w:r w:rsidRPr="00BE3B6C">
        <w:rPr>
          <w:rFonts w:ascii="Times New Roman" w:hAnsi="Times New Roman" w:cs="Times New Roman"/>
          <w:i/>
          <w:iCs/>
          <w:noProof/>
          <w:sz w:val="24"/>
          <w:szCs w:val="24"/>
        </w:rPr>
        <w:t>Review of Educational Research</w:t>
      </w:r>
      <w:r w:rsidR="00B77DB5">
        <w:rPr>
          <w:rFonts w:ascii="Times New Roman" w:hAnsi="Times New Roman" w:cs="Times New Roman"/>
          <w:noProof/>
          <w:sz w:val="24"/>
          <w:szCs w:val="24"/>
        </w:rPr>
        <w:t xml:space="preserve">. </w:t>
      </w:r>
      <w:r w:rsidR="00B77DB5" w:rsidRPr="00B77DB5">
        <w:rPr>
          <w:rFonts w:ascii="Times New Roman" w:hAnsi="Times New Roman" w:cs="Times New Roman"/>
          <w:b/>
          <w:noProof/>
          <w:sz w:val="24"/>
          <w:szCs w:val="24"/>
        </w:rPr>
        <w:t>67</w:t>
      </w:r>
      <w:r w:rsidR="00B77DB5">
        <w:rPr>
          <w:rFonts w:ascii="Times New Roman" w:hAnsi="Times New Roman" w:cs="Times New Roman"/>
          <w:noProof/>
          <w:sz w:val="24"/>
          <w:szCs w:val="24"/>
        </w:rPr>
        <w:t xml:space="preserve">(1), 88–140. </w:t>
      </w:r>
    </w:p>
    <w:p w14:paraId="00C87DB4" w14:textId="46999386"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Hojat, M. </w:t>
      </w:r>
      <w:r w:rsidRPr="00BE3B6C">
        <w:rPr>
          <w:rFonts w:ascii="Times New Roman" w:hAnsi="Times New Roman" w:cs="Times New Roman"/>
          <w:i/>
          <w:iCs/>
          <w:noProof/>
          <w:sz w:val="24"/>
          <w:szCs w:val="24"/>
        </w:rPr>
        <w:t>et al.</w:t>
      </w:r>
      <w:r w:rsidR="00B77DB5">
        <w:rPr>
          <w:rFonts w:ascii="Times New Roman" w:hAnsi="Times New Roman" w:cs="Times New Roman"/>
          <w:noProof/>
          <w:sz w:val="24"/>
          <w:szCs w:val="24"/>
        </w:rPr>
        <w:t xml:space="preserve"> (2007). </w:t>
      </w:r>
      <w:r w:rsidRPr="00BE3B6C">
        <w:rPr>
          <w:rFonts w:ascii="Times New Roman" w:hAnsi="Times New Roman" w:cs="Times New Roman"/>
          <w:noProof/>
          <w:sz w:val="24"/>
          <w:szCs w:val="24"/>
        </w:rPr>
        <w:t xml:space="preserve">Components of postgraduate competence: Analyses of thirty </w:t>
      </w:r>
      <w:r w:rsidRPr="00BE3B6C">
        <w:rPr>
          <w:rFonts w:ascii="Times New Roman" w:hAnsi="Times New Roman" w:cs="Times New Roman"/>
          <w:noProof/>
          <w:sz w:val="24"/>
          <w:szCs w:val="24"/>
        </w:rPr>
        <w:lastRenderedPageBreak/>
        <w:t>years of long</w:t>
      </w:r>
      <w:r w:rsidR="00B77DB5">
        <w:rPr>
          <w:rFonts w:ascii="Times New Roman" w:hAnsi="Times New Roman" w:cs="Times New Roman"/>
          <w:noProof/>
          <w:sz w:val="24"/>
          <w:szCs w:val="24"/>
        </w:rPr>
        <w:t xml:space="preserve">itudinal data. </w:t>
      </w:r>
      <w:r w:rsidRPr="00BE3B6C">
        <w:rPr>
          <w:rFonts w:ascii="Times New Roman" w:hAnsi="Times New Roman" w:cs="Times New Roman"/>
          <w:i/>
          <w:iCs/>
          <w:noProof/>
          <w:sz w:val="24"/>
          <w:szCs w:val="24"/>
        </w:rPr>
        <w:t>Medical Education</w:t>
      </w:r>
      <w:r w:rsidR="00B77DB5">
        <w:rPr>
          <w:rFonts w:ascii="Times New Roman" w:hAnsi="Times New Roman" w:cs="Times New Roman"/>
          <w:noProof/>
          <w:sz w:val="24"/>
          <w:szCs w:val="24"/>
        </w:rPr>
        <w:t xml:space="preserve">. </w:t>
      </w:r>
      <w:r w:rsidR="00B77DB5" w:rsidRPr="00B77DB5">
        <w:rPr>
          <w:rFonts w:ascii="Times New Roman" w:hAnsi="Times New Roman" w:cs="Times New Roman"/>
          <w:b/>
          <w:noProof/>
          <w:sz w:val="24"/>
          <w:szCs w:val="24"/>
        </w:rPr>
        <w:t>41</w:t>
      </w:r>
      <w:r w:rsidR="00B77DB5">
        <w:rPr>
          <w:rFonts w:ascii="Times New Roman" w:hAnsi="Times New Roman" w:cs="Times New Roman"/>
          <w:noProof/>
          <w:sz w:val="24"/>
          <w:szCs w:val="24"/>
        </w:rPr>
        <w:t xml:space="preserve">(10), 982–989. </w:t>
      </w:r>
    </w:p>
    <w:p w14:paraId="268B24EE" w14:textId="33D26F02"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Holey, E. A. </w:t>
      </w:r>
      <w:r w:rsidRPr="00BE3B6C">
        <w:rPr>
          <w:rFonts w:ascii="Times New Roman" w:hAnsi="Times New Roman" w:cs="Times New Roman"/>
          <w:i/>
          <w:iCs/>
          <w:noProof/>
          <w:sz w:val="24"/>
          <w:szCs w:val="24"/>
        </w:rPr>
        <w:t>et al.</w:t>
      </w:r>
      <w:r w:rsidR="00B77DB5">
        <w:rPr>
          <w:rFonts w:ascii="Times New Roman" w:hAnsi="Times New Roman" w:cs="Times New Roman"/>
          <w:noProof/>
          <w:sz w:val="24"/>
          <w:szCs w:val="24"/>
        </w:rPr>
        <w:t xml:space="preserve"> (2007). </w:t>
      </w:r>
      <w:r w:rsidRPr="00BE3B6C">
        <w:rPr>
          <w:rFonts w:ascii="Times New Roman" w:hAnsi="Times New Roman" w:cs="Times New Roman"/>
          <w:noProof/>
          <w:sz w:val="24"/>
          <w:szCs w:val="24"/>
        </w:rPr>
        <w:t>An exploration of the use of simple statistics to measure consensus an</w:t>
      </w:r>
      <w:r w:rsidR="00B77DB5">
        <w:rPr>
          <w:rFonts w:ascii="Times New Roman" w:hAnsi="Times New Roman" w:cs="Times New Roman"/>
          <w:noProof/>
          <w:sz w:val="24"/>
          <w:szCs w:val="24"/>
        </w:rPr>
        <w:t xml:space="preserve">d stability in Delphi studies. </w:t>
      </w:r>
      <w:r w:rsidRPr="00BE3B6C">
        <w:rPr>
          <w:rFonts w:ascii="Times New Roman" w:hAnsi="Times New Roman" w:cs="Times New Roman"/>
          <w:i/>
          <w:iCs/>
          <w:noProof/>
          <w:sz w:val="24"/>
          <w:szCs w:val="24"/>
        </w:rPr>
        <w:t>BMC Medical Research Methodology</w:t>
      </w:r>
      <w:r w:rsidR="00B77DB5">
        <w:rPr>
          <w:rFonts w:ascii="Times New Roman" w:hAnsi="Times New Roman" w:cs="Times New Roman"/>
          <w:noProof/>
          <w:sz w:val="24"/>
          <w:szCs w:val="24"/>
        </w:rPr>
        <w:t xml:space="preserve">. </w:t>
      </w:r>
      <w:r w:rsidR="00B77DB5" w:rsidRPr="00B77DB5">
        <w:rPr>
          <w:rFonts w:ascii="Times New Roman" w:hAnsi="Times New Roman" w:cs="Times New Roman"/>
          <w:b/>
          <w:noProof/>
          <w:sz w:val="24"/>
          <w:szCs w:val="24"/>
        </w:rPr>
        <w:t>29</w:t>
      </w:r>
      <w:r w:rsidR="00B77DB5">
        <w:rPr>
          <w:rFonts w:ascii="Times New Roman" w:hAnsi="Times New Roman" w:cs="Times New Roman"/>
          <w:noProof/>
          <w:sz w:val="24"/>
          <w:szCs w:val="24"/>
        </w:rPr>
        <w:t>(7), 52</w:t>
      </w:r>
      <w:r w:rsidR="00DE7C5C">
        <w:rPr>
          <w:rFonts w:ascii="Times New Roman" w:hAnsi="Times New Roman" w:cs="Times New Roman"/>
          <w:noProof/>
          <w:sz w:val="24"/>
          <w:szCs w:val="24"/>
        </w:rPr>
        <w:t>.</w:t>
      </w:r>
    </w:p>
    <w:p w14:paraId="2AF97AEA" w14:textId="0643AF3F" w:rsidR="00DE7C5C" w:rsidRDefault="00DE7C5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Holmboe, E. S., Hawkins</w:t>
      </w:r>
      <w:r>
        <w:rPr>
          <w:rFonts w:ascii="Times New Roman" w:hAnsi="Times New Roman" w:cs="Times New Roman"/>
          <w:noProof/>
          <w:sz w:val="24"/>
          <w:szCs w:val="24"/>
        </w:rPr>
        <w:t xml:space="preserve">, R. E. and Huot, S. J. (2004). </w:t>
      </w:r>
      <w:r w:rsidRPr="00BE3B6C">
        <w:rPr>
          <w:rFonts w:ascii="Times New Roman" w:hAnsi="Times New Roman" w:cs="Times New Roman"/>
          <w:noProof/>
          <w:sz w:val="24"/>
          <w:szCs w:val="24"/>
        </w:rPr>
        <w:t xml:space="preserve">Effects of training in direct observation of medical residents’ clinical </w:t>
      </w:r>
      <w:r>
        <w:rPr>
          <w:rFonts w:ascii="Times New Roman" w:hAnsi="Times New Roman" w:cs="Times New Roman"/>
          <w:noProof/>
          <w:sz w:val="24"/>
          <w:szCs w:val="24"/>
        </w:rPr>
        <w:t xml:space="preserve">competence: a randomized trial.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Ann Intern Med</w:t>
      </w:r>
      <w:r>
        <w:rPr>
          <w:rFonts w:ascii="Times New Roman" w:hAnsi="Times New Roman" w:cs="Times New Roman"/>
          <w:noProof/>
          <w:sz w:val="24"/>
          <w:szCs w:val="24"/>
        </w:rPr>
        <w:t xml:space="preserve">. </w:t>
      </w:r>
      <w:r w:rsidRPr="00E6275C">
        <w:rPr>
          <w:rFonts w:ascii="Times New Roman" w:hAnsi="Times New Roman" w:cs="Times New Roman"/>
          <w:b/>
          <w:noProof/>
          <w:sz w:val="24"/>
          <w:szCs w:val="24"/>
        </w:rPr>
        <w:t>140</w:t>
      </w:r>
      <w:r>
        <w:rPr>
          <w:rFonts w:ascii="Times New Roman" w:hAnsi="Times New Roman" w:cs="Times New Roman"/>
          <w:noProof/>
          <w:sz w:val="24"/>
          <w:szCs w:val="24"/>
        </w:rPr>
        <w:t xml:space="preserve">(11), </w:t>
      </w:r>
      <w:r w:rsidRPr="00BE3B6C">
        <w:rPr>
          <w:rFonts w:ascii="Times New Roman" w:hAnsi="Times New Roman" w:cs="Times New Roman"/>
          <w:noProof/>
          <w:sz w:val="24"/>
          <w:szCs w:val="24"/>
        </w:rPr>
        <w:t xml:space="preserve">874–881. </w:t>
      </w:r>
    </w:p>
    <w:p w14:paraId="43147D54" w14:textId="50152E5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Holmboe, E. S. </w:t>
      </w:r>
      <w:r w:rsidRPr="00BE3B6C">
        <w:rPr>
          <w:rFonts w:ascii="Times New Roman" w:hAnsi="Times New Roman" w:cs="Times New Roman"/>
          <w:i/>
          <w:iCs/>
          <w:noProof/>
          <w:sz w:val="24"/>
          <w:szCs w:val="24"/>
        </w:rPr>
        <w:t>et al.</w:t>
      </w:r>
      <w:r w:rsidR="00E6275C">
        <w:rPr>
          <w:rFonts w:ascii="Times New Roman" w:hAnsi="Times New Roman" w:cs="Times New Roman"/>
          <w:noProof/>
          <w:sz w:val="24"/>
          <w:szCs w:val="24"/>
        </w:rPr>
        <w:t xml:space="preserve"> (2003). </w:t>
      </w:r>
      <w:r w:rsidRPr="00BE3B6C">
        <w:rPr>
          <w:rFonts w:ascii="Times New Roman" w:hAnsi="Times New Roman" w:cs="Times New Roman"/>
          <w:noProof/>
          <w:sz w:val="24"/>
          <w:szCs w:val="24"/>
        </w:rPr>
        <w:t>Construct validity of the miniclinical e</w:t>
      </w:r>
      <w:r w:rsidR="00E6275C">
        <w:rPr>
          <w:rFonts w:ascii="Times New Roman" w:hAnsi="Times New Roman" w:cs="Times New Roman"/>
          <w:noProof/>
          <w:sz w:val="24"/>
          <w:szCs w:val="24"/>
        </w:rPr>
        <w:t xml:space="preserve">valuation exercise (miniCEX). </w:t>
      </w:r>
      <w:r w:rsidR="00E6275C">
        <w:rPr>
          <w:rFonts w:ascii="Times New Roman" w:hAnsi="Times New Roman" w:cs="Times New Roman"/>
          <w:i/>
          <w:iCs/>
          <w:noProof/>
          <w:sz w:val="24"/>
          <w:szCs w:val="24"/>
        </w:rPr>
        <w:t xml:space="preserve">Academic Medicine. </w:t>
      </w:r>
      <w:r w:rsidR="00E6275C" w:rsidRPr="00E6275C">
        <w:rPr>
          <w:rFonts w:ascii="Times New Roman" w:hAnsi="Times New Roman" w:cs="Times New Roman"/>
          <w:b/>
          <w:noProof/>
          <w:sz w:val="24"/>
          <w:szCs w:val="24"/>
        </w:rPr>
        <w:t>78</w:t>
      </w:r>
      <w:r w:rsidR="00E6275C">
        <w:rPr>
          <w:rFonts w:ascii="Times New Roman" w:hAnsi="Times New Roman" w:cs="Times New Roman"/>
          <w:noProof/>
          <w:sz w:val="24"/>
          <w:szCs w:val="24"/>
        </w:rPr>
        <w:t xml:space="preserve">(8), 826–830. </w:t>
      </w:r>
    </w:p>
    <w:p w14:paraId="46984DCE" w14:textId="669B5C0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Humphrey-Murto, S. </w:t>
      </w:r>
      <w:r w:rsidRPr="00BE3B6C">
        <w:rPr>
          <w:rFonts w:ascii="Times New Roman" w:hAnsi="Times New Roman" w:cs="Times New Roman"/>
          <w:i/>
          <w:iCs/>
          <w:noProof/>
          <w:sz w:val="24"/>
          <w:szCs w:val="24"/>
        </w:rPr>
        <w:t>et al.</w:t>
      </w:r>
      <w:r w:rsidR="00E6275C">
        <w:rPr>
          <w:rFonts w:ascii="Times New Roman" w:hAnsi="Times New Roman" w:cs="Times New Roman"/>
          <w:noProof/>
          <w:sz w:val="24"/>
          <w:szCs w:val="24"/>
        </w:rPr>
        <w:t xml:space="preserve"> (2017). </w:t>
      </w:r>
      <w:r w:rsidRPr="00BE3B6C">
        <w:rPr>
          <w:rFonts w:ascii="Times New Roman" w:hAnsi="Times New Roman" w:cs="Times New Roman"/>
          <w:noProof/>
          <w:sz w:val="24"/>
          <w:szCs w:val="24"/>
        </w:rPr>
        <w:t>Using consensus group methods such as Delphi and Nominal Group i</w:t>
      </w:r>
      <w:r w:rsidR="00E6275C">
        <w:rPr>
          <w:rFonts w:ascii="Times New Roman" w:hAnsi="Times New Roman" w:cs="Times New Roman"/>
          <w:noProof/>
          <w:sz w:val="24"/>
          <w:szCs w:val="24"/>
        </w:rPr>
        <w:t xml:space="preserve">n medical education research. </w:t>
      </w:r>
      <w:r w:rsidRPr="00BE3B6C">
        <w:rPr>
          <w:rFonts w:ascii="Times New Roman" w:hAnsi="Times New Roman" w:cs="Times New Roman"/>
          <w:i/>
          <w:iCs/>
          <w:noProof/>
          <w:sz w:val="24"/>
          <w:szCs w:val="24"/>
        </w:rPr>
        <w:t>Medical Teacher</w:t>
      </w:r>
      <w:r w:rsidR="00E6275C">
        <w:rPr>
          <w:rFonts w:ascii="Times New Roman" w:hAnsi="Times New Roman" w:cs="Times New Roman"/>
          <w:noProof/>
          <w:sz w:val="24"/>
          <w:szCs w:val="24"/>
        </w:rPr>
        <w:t xml:space="preserve">. </w:t>
      </w:r>
      <w:r w:rsidRPr="00E6275C">
        <w:rPr>
          <w:rFonts w:ascii="Times New Roman" w:hAnsi="Times New Roman" w:cs="Times New Roman"/>
          <w:b/>
          <w:noProof/>
          <w:sz w:val="24"/>
          <w:szCs w:val="24"/>
        </w:rPr>
        <w:t>39</w:t>
      </w:r>
      <w:r w:rsidRPr="00BE3B6C">
        <w:rPr>
          <w:rFonts w:ascii="Times New Roman" w:hAnsi="Times New Roman" w:cs="Times New Roman"/>
          <w:noProof/>
          <w:sz w:val="24"/>
          <w:szCs w:val="24"/>
        </w:rPr>
        <w:t xml:space="preserve">(1), </w:t>
      </w:r>
      <w:r w:rsidR="00E6275C">
        <w:rPr>
          <w:rFonts w:ascii="Times New Roman" w:hAnsi="Times New Roman" w:cs="Times New Roman"/>
          <w:noProof/>
          <w:sz w:val="24"/>
          <w:szCs w:val="24"/>
        </w:rPr>
        <w:t>14–19.</w:t>
      </w:r>
    </w:p>
    <w:p w14:paraId="5BEDA263" w14:textId="2B7C18FA" w:rsidR="00BE3B6C" w:rsidRPr="00E6275C" w:rsidRDefault="00E6275C" w:rsidP="00E6275C">
      <w:pPr>
        <w:pStyle w:val="Heading1"/>
        <w:spacing w:line="480" w:lineRule="auto"/>
        <w:rPr>
          <w:rFonts w:ascii="Times New Roman" w:hAnsi="Times New Roman" w:cs="Times New Roman"/>
          <w:color w:val="auto"/>
          <w:sz w:val="24"/>
          <w:szCs w:val="24"/>
        </w:rPr>
      </w:pPr>
      <w:bookmarkStart w:id="144" w:name="_Toc17300943"/>
      <w:bookmarkStart w:id="145" w:name="_Toc23243871"/>
      <w:r w:rsidRPr="00E6275C">
        <w:rPr>
          <w:rFonts w:ascii="Times New Roman" w:hAnsi="Times New Roman" w:cs="Times New Roman"/>
          <w:noProof/>
          <w:color w:val="auto"/>
          <w:sz w:val="24"/>
          <w:szCs w:val="24"/>
        </w:rPr>
        <w:t xml:space="preserve">Hunt, A., Adamson, B. and Harris, L. (1999). </w:t>
      </w:r>
      <w:r w:rsidR="00BE3B6C" w:rsidRPr="00E6275C">
        <w:rPr>
          <w:rFonts w:ascii="Times New Roman" w:hAnsi="Times New Roman" w:cs="Times New Roman"/>
          <w:noProof/>
          <w:color w:val="auto"/>
          <w:sz w:val="24"/>
          <w:szCs w:val="24"/>
        </w:rPr>
        <w:t>Community and workplace expectation</w:t>
      </w:r>
      <w:r w:rsidRPr="00E6275C">
        <w:rPr>
          <w:rFonts w:ascii="Times New Roman" w:hAnsi="Times New Roman" w:cs="Times New Roman"/>
          <w:noProof/>
          <w:color w:val="auto"/>
          <w:sz w:val="24"/>
          <w:szCs w:val="24"/>
        </w:rPr>
        <w:t>s of health science graduates. I</w:t>
      </w:r>
      <w:r w:rsidR="00BE3B6C" w:rsidRPr="00E6275C">
        <w:rPr>
          <w:rFonts w:ascii="Times New Roman" w:hAnsi="Times New Roman" w:cs="Times New Roman"/>
          <w:noProof/>
          <w:color w:val="auto"/>
          <w:sz w:val="24"/>
          <w:szCs w:val="24"/>
        </w:rPr>
        <w:t>n</w:t>
      </w:r>
      <w:r w:rsidRPr="00E6275C">
        <w:rPr>
          <w:rFonts w:ascii="Times New Roman" w:hAnsi="Times New Roman" w:cs="Times New Roman"/>
          <w:noProof/>
          <w:color w:val="auto"/>
          <w:sz w:val="24"/>
          <w:szCs w:val="24"/>
        </w:rPr>
        <w:t xml:space="preserve">: </w:t>
      </w:r>
      <w:r>
        <w:rPr>
          <w:rFonts w:ascii="Times New Roman" w:hAnsi="Times New Roman" w:cs="Times New Roman"/>
          <w:noProof/>
          <w:color w:val="auto"/>
          <w:sz w:val="24"/>
          <w:szCs w:val="24"/>
        </w:rPr>
        <w:t>J. Higgs</w:t>
      </w:r>
      <w:r w:rsidRPr="00E6275C">
        <w:rPr>
          <w:rFonts w:ascii="Times New Roman" w:hAnsi="Times New Roman" w:cs="Times New Roman"/>
          <w:noProof/>
          <w:color w:val="auto"/>
          <w:sz w:val="24"/>
          <w:szCs w:val="24"/>
        </w:rPr>
        <w:t xml:space="preserve"> and H.</w:t>
      </w:r>
      <w:r>
        <w:rPr>
          <w:rFonts w:ascii="Times New Roman" w:hAnsi="Times New Roman" w:cs="Times New Roman"/>
          <w:noProof/>
          <w:color w:val="auto"/>
          <w:sz w:val="24"/>
          <w:szCs w:val="24"/>
        </w:rPr>
        <w:t xml:space="preserve"> Edwards</w:t>
      </w:r>
      <w:r w:rsidRPr="00E6275C">
        <w:rPr>
          <w:rFonts w:ascii="Times New Roman" w:hAnsi="Times New Roman" w:cs="Times New Roman"/>
          <w:noProof/>
          <w:color w:val="auto"/>
          <w:sz w:val="24"/>
          <w:szCs w:val="24"/>
        </w:rPr>
        <w:t xml:space="preserve">, </w:t>
      </w:r>
      <w:r w:rsidR="00BE3B6C" w:rsidRPr="00E6275C">
        <w:rPr>
          <w:rFonts w:ascii="Times New Roman" w:hAnsi="Times New Roman" w:cs="Times New Roman"/>
          <w:noProof/>
          <w:color w:val="auto"/>
          <w:sz w:val="24"/>
          <w:szCs w:val="24"/>
        </w:rPr>
        <w:t>ed</w:t>
      </w:r>
      <w:r w:rsidRPr="00E6275C">
        <w:rPr>
          <w:rFonts w:ascii="Times New Roman" w:hAnsi="Times New Roman" w:cs="Times New Roman"/>
          <w:noProof/>
          <w:color w:val="auto"/>
          <w:sz w:val="24"/>
          <w:szCs w:val="24"/>
        </w:rPr>
        <w:t xml:space="preserve">s. </w:t>
      </w:r>
      <w:r>
        <w:rPr>
          <w:rFonts w:ascii="Times New Roman" w:hAnsi="Times New Roman" w:cs="Times New Roman"/>
          <w:i/>
          <w:iCs/>
          <w:noProof/>
          <w:color w:val="auto"/>
          <w:sz w:val="24"/>
          <w:szCs w:val="24"/>
        </w:rPr>
        <w:t xml:space="preserve">Educating Beginning </w:t>
      </w:r>
      <w:r w:rsidR="00BE3B6C" w:rsidRPr="00E6275C">
        <w:rPr>
          <w:rFonts w:ascii="Times New Roman" w:hAnsi="Times New Roman" w:cs="Times New Roman"/>
          <w:i/>
          <w:iCs/>
          <w:noProof/>
          <w:color w:val="auto"/>
          <w:sz w:val="24"/>
          <w:szCs w:val="24"/>
        </w:rPr>
        <w:t>Practitioners</w:t>
      </w:r>
      <w:r w:rsidR="00BE3B6C" w:rsidRPr="00E6275C">
        <w:rPr>
          <w:rFonts w:ascii="Times New Roman" w:hAnsi="Times New Roman" w:cs="Times New Roman"/>
          <w:noProof/>
          <w:color w:val="auto"/>
          <w:sz w:val="24"/>
          <w:szCs w:val="24"/>
        </w:rPr>
        <w:t>.</w:t>
      </w:r>
      <w:r w:rsidRPr="00E6275C">
        <w:rPr>
          <w:rFonts w:ascii="Times New Roman" w:hAnsi="Times New Roman" w:cs="Times New Roman"/>
          <w:color w:val="auto"/>
          <w:sz w:val="24"/>
          <w:szCs w:val="24"/>
        </w:rPr>
        <w:t xml:space="preserve"> Challenges for health professional education</w:t>
      </w:r>
      <w:r>
        <w:rPr>
          <w:rFonts w:ascii="Times New Roman" w:hAnsi="Times New Roman" w:cs="Times New Roman"/>
          <w:color w:val="auto"/>
          <w:sz w:val="24"/>
          <w:szCs w:val="24"/>
        </w:rPr>
        <w:t xml:space="preserve">. </w:t>
      </w:r>
      <w:r w:rsidRPr="00E6275C">
        <w:rPr>
          <w:rFonts w:ascii="Times New Roman" w:hAnsi="Times New Roman" w:cs="Times New Roman"/>
          <w:noProof/>
          <w:color w:val="auto"/>
          <w:sz w:val="24"/>
          <w:szCs w:val="24"/>
        </w:rPr>
        <w:t xml:space="preserve">Oxford: Butterworth-Heinemann. </w:t>
      </w:r>
      <w:r w:rsidR="00BE3B6C" w:rsidRPr="00E6275C">
        <w:rPr>
          <w:rFonts w:ascii="Times New Roman" w:hAnsi="Times New Roman" w:cs="Times New Roman"/>
          <w:noProof/>
          <w:color w:val="auto"/>
          <w:sz w:val="24"/>
          <w:szCs w:val="24"/>
        </w:rPr>
        <w:t>pp. 38–45.</w:t>
      </w:r>
      <w:bookmarkEnd w:id="144"/>
      <w:bookmarkEnd w:id="145"/>
    </w:p>
    <w:p w14:paraId="467BA5E7" w14:textId="493CB825" w:rsidR="00BE3B6C" w:rsidRPr="00BE3B6C" w:rsidRDefault="00342E50"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Iglesias, C. P. (2002). </w:t>
      </w:r>
      <w:r w:rsidR="00BE3B6C" w:rsidRPr="00BE3B6C">
        <w:rPr>
          <w:rFonts w:ascii="Times New Roman" w:hAnsi="Times New Roman" w:cs="Times New Roman"/>
          <w:noProof/>
          <w:sz w:val="24"/>
          <w:szCs w:val="24"/>
        </w:rPr>
        <w:t xml:space="preserve">Increasing response </w:t>
      </w:r>
      <w:r>
        <w:rPr>
          <w:rFonts w:ascii="Times New Roman" w:hAnsi="Times New Roman" w:cs="Times New Roman"/>
          <w:noProof/>
          <w:sz w:val="24"/>
          <w:szCs w:val="24"/>
        </w:rPr>
        <w:t xml:space="preserve">rates to postal questionnaires. </w:t>
      </w:r>
      <w:r w:rsidR="00BE3B6C" w:rsidRPr="00BE3B6C">
        <w:rPr>
          <w:rFonts w:ascii="Times New Roman" w:hAnsi="Times New Roman" w:cs="Times New Roman"/>
          <w:i/>
          <w:iCs/>
          <w:noProof/>
          <w:sz w:val="24"/>
          <w:szCs w:val="24"/>
        </w:rPr>
        <w:t>B</w:t>
      </w:r>
      <w:r>
        <w:rPr>
          <w:rFonts w:ascii="Times New Roman" w:hAnsi="Times New Roman" w:cs="Times New Roman"/>
          <w:i/>
          <w:iCs/>
          <w:noProof/>
          <w:sz w:val="24"/>
          <w:szCs w:val="24"/>
        </w:rPr>
        <w:t xml:space="preserve">ritish </w:t>
      </w:r>
      <w:r w:rsidR="00BE3B6C" w:rsidRPr="00BE3B6C">
        <w:rPr>
          <w:rFonts w:ascii="Times New Roman" w:hAnsi="Times New Roman" w:cs="Times New Roman"/>
          <w:i/>
          <w:iCs/>
          <w:noProof/>
          <w:sz w:val="24"/>
          <w:szCs w:val="24"/>
        </w:rPr>
        <w:t>M</w:t>
      </w:r>
      <w:r>
        <w:rPr>
          <w:rFonts w:ascii="Times New Roman" w:hAnsi="Times New Roman" w:cs="Times New Roman"/>
          <w:i/>
          <w:iCs/>
          <w:noProof/>
          <w:sz w:val="24"/>
          <w:szCs w:val="24"/>
        </w:rPr>
        <w:t xml:space="preserve">edical </w:t>
      </w:r>
      <w:r w:rsidR="00BE3B6C" w:rsidRPr="00BE3B6C">
        <w:rPr>
          <w:rFonts w:ascii="Times New Roman" w:hAnsi="Times New Roman" w:cs="Times New Roman"/>
          <w:i/>
          <w:iCs/>
          <w:noProof/>
          <w:sz w:val="24"/>
          <w:szCs w:val="24"/>
        </w:rPr>
        <w:t>J</w:t>
      </w:r>
      <w:r>
        <w:rPr>
          <w:rFonts w:ascii="Times New Roman" w:hAnsi="Times New Roman" w:cs="Times New Roman"/>
          <w:i/>
          <w:iCs/>
          <w:noProof/>
          <w:sz w:val="24"/>
          <w:szCs w:val="24"/>
        </w:rPr>
        <w:t>ournal</w:t>
      </w:r>
      <w:r>
        <w:rPr>
          <w:rFonts w:ascii="Times New Roman" w:hAnsi="Times New Roman" w:cs="Times New Roman"/>
          <w:noProof/>
          <w:sz w:val="24"/>
          <w:szCs w:val="24"/>
        </w:rPr>
        <w:t xml:space="preserve">. </w:t>
      </w:r>
      <w:r w:rsidRPr="00342E50">
        <w:rPr>
          <w:rFonts w:ascii="Times New Roman" w:hAnsi="Times New Roman" w:cs="Times New Roman"/>
          <w:b/>
          <w:noProof/>
          <w:sz w:val="24"/>
          <w:szCs w:val="24"/>
        </w:rPr>
        <w:t>325</w:t>
      </w:r>
      <w:r>
        <w:rPr>
          <w:rFonts w:ascii="Times New Roman" w:hAnsi="Times New Roman" w:cs="Times New Roman"/>
          <w:noProof/>
          <w:sz w:val="24"/>
          <w:szCs w:val="24"/>
        </w:rPr>
        <w:t xml:space="preserve">(7361), </w:t>
      </w:r>
      <w:r w:rsidR="00BE3B6C" w:rsidRPr="00BE3B6C">
        <w:rPr>
          <w:rFonts w:ascii="Times New Roman" w:hAnsi="Times New Roman" w:cs="Times New Roman"/>
          <w:noProof/>
          <w:sz w:val="24"/>
          <w:szCs w:val="24"/>
        </w:rPr>
        <w:t xml:space="preserve">444–444. </w:t>
      </w:r>
    </w:p>
    <w:p w14:paraId="10986504" w14:textId="26ADA46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I</w:t>
      </w:r>
      <w:r w:rsidR="00342E50">
        <w:rPr>
          <w:rFonts w:ascii="Times New Roman" w:hAnsi="Times New Roman" w:cs="Times New Roman"/>
          <w:noProof/>
          <w:sz w:val="24"/>
          <w:szCs w:val="24"/>
        </w:rPr>
        <w:t xml:space="preserve">lott, I. and Murphy, R. (1997). </w:t>
      </w:r>
      <w:r w:rsidRPr="00BE3B6C">
        <w:rPr>
          <w:rFonts w:ascii="Times New Roman" w:hAnsi="Times New Roman" w:cs="Times New Roman"/>
          <w:noProof/>
          <w:sz w:val="24"/>
          <w:szCs w:val="24"/>
        </w:rPr>
        <w:t>Feelings and Failing in Professional Tr</w:t>
      </w:r>
      <w:r w:rsidR="00342E50">
        <w:rPr>
          <w:rFonts w:ascii="Times New Roman" w:hAnsi="Times New Roman" w:cs="Times New Roman"/>
          <w:noProof/>
          <w:sz w:val="24"/>
          <w:szCs w:val="24"/>
        </w:rPr>
        <w:t xml:space="preserve">aining: the assessor’s dilemma.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Asse</w:t>
      </w:r>
      <w:r w:rsidR="00342E50">
        <w:rPr>
          <w:rFonts w:ascii="Times New Roman" w:hAnsi="Times New Roman" w:cs="Times New Roman"/>
          <w:i/>
          <w:iCs/>
          <w:noProof/>
          <w:sz w:val="24"/>
          <w:szCs w:val="24"/>
        </w:rPr>
        <w:t>ssment and</w:t>
      </w:r>
      <w:r w:rsidRPr="00BE3B6C">
        <w:rPr>
          <w:rFonts w:ascii="Times New Roman" w:hAnsi="Times New Roman" w:cs="Times New Roman"/>
          <w:i/>
          <w:iCs/>
          <w:noProof/>
          <w:sz w:val="24"/>
          <w:szCs w:val="24"/>
        </w:rPr>
        <w:t xml:space="preserve"> Evaluation in Higher Education</w:t>
      </w:r>
      <w:r w:rsidR="00342E50">
        <w:rPr>
          <w:rFonts w:ascii="Times New Roman" w:hAnsi="Times New Roman" w:cs="Times New Roman"/>
          <w:noProof/>
          <w:sz w:val="24"/>
          <w:szCs w:val="24"/>
        </w:rPr>
        <w:t xml:space="preserve">. </w:t>
      </w:r>
      <w:r w:rsidR="00342E50" w:rsidRPr="00342E50">
        <w:rPr>
          <w:rFonts w:ascii="Times New Roman" w:hAnsi="Times New Roman" w:cs="Times New Roman"/>
          <w:b/>
          <w:noProof/>
          <w:sz w:val="24"/>
          <w:szCs w:val="24"/>
        </w:rPr>
        <w:t>22</w:t>
      </w:r>
      <w:r w:rsidR="00342E50">
        <w:rPr>
          <w:rFonts w:ascii="Times New Roman" w:hAnsi="Times New Roman" w:cs="Times New Roman"/>
          <w:noProof/>
          <w:sz w:val="24"/>
          <w:szCs w:val="24"/>
        </w:rPr>
        <w:t xml:space="preserve">(3), 307–316. </w:t>
      </w:r>
    </w:p>
    <w:p w14:paraId="4167F29D" w14:textId="5B127CE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Irvine, D. (1997</w:t>
      </w:r>
      <w:r w:rsidR="00342E50">
        <w:rPr>
          <w:rFonts w:ascii="Times New Roman" w:hAnsi="Times New Roman" w:cs="Times New Roman"/>
          <w:noProof/>
          <w:sz w:val="24"/>
          <w:szCs w:val="24"/>
        </w:rPr>
        <w:t>). The performance of doctors. 1</w:t>
      </w:r>
      <w:r w:rsidRPr="00BE3B6C">
        <w:rPr>
          <w:rFonts w:ascii="Times New Roman" w:hAnsi="Times New Roman" w:cs="Times New Roman"/>
          <w:noProof/>
          <w:sz w:val="24"/>
          <w:szCs w:val="24"/>
        </w:rPr>
        <w:t xml:space="preserve">: Professionalism and self </w:t>
      </w:r>
      <w:r w:rsidR="00342E50">
        <w:rPr>
          <w:rFonts w:ascii="Times New Roman" w:hAnsi="Times New Roman" w:cs="Times New Roman"/>
          <w:noProof/>
          <w:sz w:val="24"/>
          <w:szCs w:val="24"/>
        </w:rPr>
        <w:t xml:space="preserve">regulation in a changing world.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B</w:t>
      </w:r>
      <w:r w:rsidR="00342E50">
        <w:rPr>
          <w:rFonts w:ascii="Times New Roman" w:hAnsi="Times New Roman" w:cs="Times New Roman"/>
          <w:i/>
          <w:iCs/>
          <w:noProof/>
          <w:sz w:val="24"/>
          <w:szCs w:val="24"/>
        </w:rPr>
        <w:t xml:space="preserve">ritish </w:t>
      </w:r>
      <w:r w:rsidRPr="00BE3B6C">
        <w:rPr>
          <w:rFonts w:ascii="Times New Roman" w:hAnsi="Times New Roman" w:cs="Times New Roman"/>
          <w:i/>
          <w:iCs/>
          <w:noProof/>
          <w:sz w:val="24"/>
          <w:szCs w:val="24"/>
        </w:rPr>
        <w:t>M</w:t>
      </w:r>
      <w:r w:rsidR="00342E50">
        <w:rPr>
          <w:rFonts w:ascii="Times New Roman" w:hAnsi="Times New Roman" w:cs="Times New Roman"/>
          <w:i/>
          <w:iCs/>
          <w:noProof/>
          <w:sz w:val="24"/>
          <w:szCs w:val="24"/>
        </w:rPr>
        <w:t xml:space="preserve">edical </w:t>
      </w:r>
      <w:r w:rsidRPr="00BE3B6C">
        <w:rPr>
          <w:rFonts w:ascii="Times New Roman" w:hAnsi="Times New Roman" w:cs="Times New Roman"/>
          <w:i/>
          <w:iCs/>
          <w:noProof/>
          <w:sz w:val="24"/>
          <w:szCs w:val="24"/>
        </w:rPr>
        <w:t>J</w:t>
      </w:r>
      <w:r w:rsidR="00342E50">
        <w:rPr>
          <w:rFonts w:ascii="Times New Roman" w:hAnsi="Times New Roman" w:cs="Times New Roman"/>
          <w:i/>
          <w:iCs/>
          <w:noProof/>
          <w:sz w:val="24"/>
          <w:szCs w:val="24"/>
        </w:rPr>
        <w:t xml:space="preserve">ournal. </w:t>
      </w:r>
      <w:r w:rsidR="00342E50" w:rsidRPr="00342E50">
        <w:rPr>
          <w:rFonts w:ascii="Times New Roman" w:hAnsi="Times New Roman" w:cs="Times New Roman"/>
          <w:b/>
          <w:noProof/>
          <w:sz w:val="24"/>
          <w:szCs w:val="24"/>
        </w:rPr>
        <w:t>314</w:t>
      </w:r>
      <w:r w:rsidR="00342E50">
        <w:rPr>
          <w:rFonts w:ascii="Times New Roman" w:hAnsi="Times New Roman" w:cs="Times New Roman"/>
          <w:noProof/>
          <w:sz w:val="24"/>
          <w:szCs w:val="24"/>
        </w:rPr>
        <w:t xml:space="preserve">(7093), </w:t>
      </w:r>
      <w:r w:rsidRPr="00BE3B6C">
        <w:rPr>
          <w:rFonts w:ascii="Times New Roman" w:hAnsi="Times New Roman" w:cs="Times New Roman"/>
          <w:noProof/>
          <w:sz w:val="24"/>
          <w:szCs w:val="24"/>
        </w:rPr>
        <w:t xml:space="preserve">1540–1542. </w:t>
      </w:r>
    </w:p>
    <w:p w14:paraId="4BD358A9" w14:textId="40F47284" w:rsidR="00BE3B6C" w:rsidRPr="00BE3B6C" w:rsidRDefault="00342E50"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Jones, A. (1999). </w:t>
      </w:r>
      <w:r w:rsidR="00BE3B6C" w:rsidRPr="00BE3B6C">
        <w:rPr>
          <w:rFonts w:ascii="Times New Roman" w:hAnsi="Times New Roman" w:cs="Times New Roman"/>
          <w:noProof/>
          <w:sz w:val="24"/>
          <w:szCs w:val="24"/>
        </w:rPr>
        <w:t>The place of judgement i</w:t>
      </w:r>
      <w:r>
        <w:rPr>
          <w:rFonts w:ascii="Times New Roman" w:hAnsi="Times New Roman" w:cs="Times New Roman"/>
          <w:noProof/>
          <w:sz w:val="24"/>
          <w:szCs w:val="24"/>
        </w:rPr>
        <w:t xml:space="preserve">n competency-based assessment. </w:t>
      </w:r>
      <w:r w:rsidR="00BE3B6C" w:rsidRPr="00BE3B6C">
        <w:rPr>
          <w:rFonts w:ascii="Times New Roman" w:hAnsi="Times New Roman" w:cs="Times New Roman"/>
          <w:i/>
          <w:iCs/>
          <w:noProof/>
          <w:sz w:val="24"/>
          <w:szCs w:val="24"/>
        </w:rPr>
        <w:t xml:space="preserve">Journal of </w:t>
      </w:r>
      <w:r>
        <w:rPr>
          <w:rFonts w:ascii="Times New Roman" w:hAnsi="Times New Roman" w:cs="Times New Roman"/>
          <w:i/>
          <w:iCs/>
          <w:noProof/>
          <w:sz w:val="24"/>
          <w:szCs w:val="24"/>
        </w:rPr>
        <w:t>Vocational Education and</w:t>
      </w:r>
      <w:r w:rsidR="00BE3B6C" w:rsidRPr="00BE3B6C">
        <w:rPr>
          <w:rFonts w:ascii="Times New Roman" w:hAnsi="Times New Roman" w:cs="Times New Roman"/>
          <w:i/>
          <w:iCs/>
          <w:noProof/>
          <w:sz w:val="24"/>
          <w:szCs w:val="24"/>
        </w:rPr>
        <w:t xml:space="preserve"> Training</w:t>
      </w:r>
      <w:r>
        <w:rPr>
          <w:rFonts w:ascii="Times New Roman" w:hAnsi="Times New Roman" w:cs="Times New Roman"/>
          <w:noProof/>
          <w:sz w:val="24"/>
          <w:szCs w:val="24"/>
        </w:rPr>
        <w:t xml:space="preserve">. </w:t>
      </w:r>
      <w:r w:rsidRPr="00342E50">
        <w:rPr>
          <w:rFonts w:ascii="Times New Roman" w:hAnsi="Times New Roman" w:cs="Times New Roman"/>
          <w:b/>
          <w:noProof/>
          <w:sz w:val="24"/>
          <w:szCs w:val="24"/>
        </w:rPr>
        <w:t>51</w:t>
      </w:r>
      <w:r>
        <w:rPr>
          <w:rFonts w:ascii="Times New Roman" w:hAnsi="Times New Roman" w:cs="Times New Roman"/>
          <w:noProof/>
          <w:sz w:val="24"/>
          <w:szCs w:val="24"/>
        </w:rPr>
        <w:t xml:space="preserve">(1), 145–160. </w:t>
      </w:r>
    </w:p>
    <w:p w14:paraId="05FD2D41" w14:textId="4FDB2EFE"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J</w:t>
      </w:r>
      <w:r w:rsidR="00342E50">
        <w:rPr>
          <w:rFonts w:ascii="Times New Roman" w:hAnsi="Times New Roman" w:cs="Times New Roman"/>
          <w:noProof/>
          <w:sz w:val="24"/>
          <w:szCs w:val="24"/>
        </w:rPr>
        <w:t xml:space="preserve">ones, J. and Hunter, D. (1995). </w:t>
      </w:r>
      <w:r w:rsidRPr="00BE3B6C">
        <w:rPr>
          <w:rFonts w:ascii="Times New Roman" w:hAnsi="Times New Roman" w:cs="Times New Roman"/>
          <w:noProof/>
          <w:sz w:val="24"/>
          <w:szCs w:val="24"/>
        </w:rPr>
        <w:t>Qualitative Research: Consensus methods for medical</w:t>
      </w:r>
      <w:r w:rsidR="00342E50">
        <w:rPr>
          <w:rFonts w:ascii="Times New Roman" w:hAnsi="Times New Roman" w:cs="Times New Roman"/>
          <w:noProof/>
          <w:sz w:val="24"/>
          <w:szCs w:val="24"/>
        </w:rPr>
        <w:t xml:space="preserve"> </w:t>
      </w:r>
      <w:r w:rsidR="00342E50">
        <w:rPr>
          <w:rFonts w:ascii="Times New Roman" w:hAnsi="Times New Roman" w:cs="Times New Roman"/>
          <w:noProof/>
          <w:sz w:val="24"/>
          <w:szCs w:val="24"/>
        </w:rPr>
        <w:lastRenderedPageBreak/>
        <w:t xml:space="preserve">and health services research. </w:t>
      </w:r>
      <w:r w:rsidRPr="00BE3B6C">
        <w:rPr>
          <w:rFonts w:ascii="Times New Roman" w:hAnsi="Times New Roman" w:cs="Times New Roman"/>
          <w:i/>
          <w:iCs/>
          <w:noProof/>
          <w:sz w:val="24"/>
          <w:szCs w:val="24"/>
        </w:rPr>
        <w:t>B</w:t>
      </w:r>
      <w:r w:rsidR="00342E50">
        <w:rPr>
          <w:rFonts w:ascii="Times New Roman" w:hAnsi="Times New Roman" w:cs="Times New Roman"/>
          <w:i/>
          <w:iCs/>
          <w:noProof/>
          <w:sz w:val="24"/>
          <w:szCs w:val="24"/>
        </w:rPr>
        <w:t xml:space="preserve">ritish </w:t>
      </w:r>
      <w:r w:rsidRPr="00BE3B6C">
        <w:rPr>
          <w:rFonts w:ascii="Times New Roman" w:hAnsi="Times New Roman" w:cs="Times New Roman"/>
          <w:i/>
          <w:iCs/>
          <w:noProof/>
          <w:sz w:val="24"/>
          <w:szCs w:val="24"/>
        </w:rPr>
        <w:t>M</w:t>
      </w:r>
      <w:r w:rsidR="00342E50">
        <w:rPr>
          <w:rFonts w:ascii="Times New Roman" w:hAnsi="Times New Roman" w:cs="Times New Roman"/>
          <w:i/>
          <w:iCs/>
          <w:noProof/>
          <w:sz w:val="24"/>
          <w:szCs w:val="24"/>
        </w:rPr>
        <w:t xml:space="preserve">edical </w:t>
      </w:r>
      <w:r w:rsidRPr="00BE3B6C">
        <w:rPr>
          <w:rFonts w:ascii="Times New Roman" w:hAnsi="Times New Roman" w:cs="Times New Roman"/>
          <w:i/>
          <w:iCs/>
          <w:noProof/>
          <w:sz w:val="24"/>
          <w:szCs w:val="24"/>
        </w:rPr>
        <w:t>J</w:t>
      </w:r>
      <w:r w:rsidR="00342E50">
        <w:rPr>
          <w:rFonts w:ascii="Times New Roman" w:hAnsi="Times New Roman" w:cs="Times New Roman"/>
          <w:i/>
          <w:iCs/>
          <w:noProof/>
          <w:sz w:val="24"/>
          <w:szCs w:val="24"/>
        </w:rPr>
        <w:t>ournal</w:t>
      </w:r>
      <w:r w:rsidR="00342E50">
        <w:rPr>
          <w:rFonts w:ascii="Times New Roman" w:hAnsi="Times New Roman" w:cs="Times New Roman"/>
          <w:noProof/>
          <w:sz w:val="24"/>
          <w:szCs w:val="24"/>
        </w:rPr>
        <w:t xml:space="preserve">. </w:t>
      </w:r>
      <w:r w:rsidR="00342E50" w:rsidRPr="00342E50">
        <w:rPr>
          <w:rFonts w:ascii="Times New Roman" w:hAnsi="Times New Roman" w:cs="Times New Roman"/>
          <w:b/>
          <w:noProof/>
          <w:sz w:val="24"/>
          <w:szCs w:val="24"/>
        </w:rPr>
        <w:t>311</w:t>
      </w:r>
      <w:r w:rsidR="00342E50">
        <w:rPr>
          <w:rFonts w:ascii="Times New Roman" w:hAnsi="Times New Roman" w:cs="Times New Roman"/>
          <w:noProof/>
          <w:sz w:val="24"/>
          <w:szCs w:val="24"/>
        </w:rPr>
        <w:t xml:space="preserve">(7001), 376-380. </w:t>
      </w:r>
    </w:p>
    <w:p w14:paraId="5CBDD2A1" w14:textId="26BFABBB"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Jones, M. D. </w:t>
      </w:r>
      <w:r w:rsidRPr="00BE3B6C">
        <w:rPr>
          <w:rFonts w:ascii="Times New Roman" w:hAnsi="Times New Roman" w:cs="Times New Roman"/>
          <w:i/>
          <w:iCs/>
          <w:noProof/>
          <w:sz w:val="24"/>
          <w:szCs w:val="24"/>
        </w:rPr>
        <w:t>et al.</w:t>
      </w:r>
      <w:r w:rsidR="00D37298">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Perspective: Competen</w:t>
      </w:r>
      <w:r w:rsidR="00C275D1">
        <w:rPr>
          <w:rFonts w:ascii="Times New Roman" w:hAnsi="Times New Roman" w:cs="Times New Roman"/>
          <w:noProof/>
          <w:sz w:val="24"/>
          <w:szCs w:val="24"/>
        </w:rPr>
        <w:t>cies, outcomes, and controversy</w:t>
      </w:r>
      <w:r w:rsidRPr="00BE3B6C">
        <w:rPr>
          <w:rFonts w:ascii="Times New Roman" w:hAnsi="Times New Roman" w:cs="Times New Roman"/>
          <w:noProof/>
          <w:sz w:val="24"/>
          <w:szCs w:val="24"/>
        </w:rPr>
        <w:t>-linking professional activities to competencies to improve res</w:t>
      </w:r>
      <w:r w:rsidR="00C275D1">
        <w:rPr>
          <w:rFonts w:ascii="Times New Roman" w:hAnsi="Times New Roman" w:cs="Times New Roman"/>
          <w:noProof/>
          <w:sz w:val="24"/>
          <w:szCs w:val="24"/>
        </w:rPr>
        <w:t xml:space="preserve">ident education and practice. </w:t>
      </w:r>
      <w:r w:rsidR="00C275D1">
        <w:rPr>
          <w:rFonts w:ascii="Times New Roman" w:hAnsi="Times New Roman" w:cs="Times New Roman"/>
          <w:i/>
          <w:iCs/>
          <w:noProof/>
          <w:sz w:val="24"/>
          <w:szCs w:val="24"/>
        </w:rPr>
        <w:t xml:space="preserve">Academic Medicine. </w:t>
      </w:r>
      <w:r w:rsidR="00C275D1" w:rsidRPr="00C275D1">
        <w:rPr>
          <w:rFonts w:ascii="Times New Roman" w:hAnsi="Times New Roman" w:cs="Times New Roman"/>
          <w:b/>
          <w:noProof/>
          <w:sz w:val="24"/>
          <w:szCs w:val="24"/>
        </w:rPr>
        <w:t>86</w:t>
      </w:r>
      <w:r w:rsidR="00C275D1">
        <w:rPr>
          <w:rFonts w:ascii="Times New Roman" w:hAnsi="Times New Roman" w:cs="Times New Roman"/>
          <w:noProof/>
          <w:sz w:val="24"/>
          <w:szCs w:val="24"/>
        </w:rPr>
        <w:t xml:space="preserve">(2), 161–165. </w:t>
      </w:r>
    </w:p>
    <w:p w14:paraId="79465748" w14:textId="7C82138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Jons</w:t>
      </w:r>
      <w:r w:rsidR="00C275D1">
        <w:rPr>
          <w:rFonts w:ascii="Times New Roman" w:hAnsi="Times New Roman" w:cs="Times New Roman"/>
          <w:noProof/>
          <w:sz w:val="24"/>
          <w:szCs w:val="24"/>
        </w:rPr>
        <w:t xml:space="preserve">son, A. and Svingby, G. (2007). </w:t>
      </w:r>
      <w:r w:rsidRPr="00BE3B6C">
        <w:rPr>
          <w:rFonts w:ascii="Times New Roman" w:hAnsi="Times New Roman" w:cs="Times New Roman"/>
          <w:noProof/>
          <w:sz w:val="24"/>
          <w:szCs w:val="24"/>
        </w:rPr>
        <w:t>The use of scoring rubrics: Reliability, validity an</w:t>
      </w:r>
      <w:r w:rsidR="00C275D1">
        <w:rPr>
          <w:rFonts w:ascii="Times New Roman" w:hAnsi="Times New Roman" w:cs="Times New Roman"/>
          <w:noProof/>
          <w:sz w:val="24"/>
          <w:szCs w:val="24"/>
        </w:rPr>
        <w:t xml:space="preserve">d educational consequences. </w:t>
      </w:r>
      <w:r w:rsidRPr="00BE3B6C">
        <w:rPr>
          <w:rFonts w:ascii="Times New Roman" w:hAnsi="Times New Roman" w:cs="Times New Roman"/>
          <w:i/>
          <w:iCs/>
          <w:noProof/>
          <w:sz w:val="24"/>
          <w:szCs w:val="24"/>
        </w:rPr>
        <w:t>Educational Research Review</w:t>
      </w:r>
      <w:r w:rsidR="00C275D1">
        <w:rPr>
          <w:rFonts w:ascii="Times New Roman" w:hAnsi="Times New Roman" w:cs="Times New Roman"/>
          <w:noProof/>
          <w:sz w:val="24"/>
          <w:szCs w:val="24"/>
        </w:rPr>
        <w:t xml:space="preserve">. </w:t>
      </w:r>
      <w:r w:rsidR="00C275D1" w:rsidRPr="00C275D1">
        <w:rPr>
          <w:rFonts w:ascii="Times New Roman" w:hAnsi="Times New Roman" w:cs="Times New Roman"/>
          <w:b/>
          <w:noProof/>
          <w:sz w:val="24"/>
          <w:szCs w:val="24"/>
        </w:rPr>
        <w:t>2</w:t>
      </w:r>
      <w:r w:rsidR="00C275D1">
        <w:rPr>
          <w:rFonts w:ascii="Times New Roman" w:hAnsi="Times New Roman" w:cs="Times New Roman"/>
          <w:noProof/>
          <w:sz w:val="24"/>
          <w:szCs w:val="24"/>
        </w:rPr>
        <w:t xml:space="preserve">(2), 130–144. </w:t>
      </w:r>
    </w:p>
    <w:p w14:paraId="1A8F5B78" w14:textId="010EE9E5"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Jünger, S. </w:t>
      </w:r>
      <w:r w:rsidRPr="00BE3B6C">
        <w:rPr>
          <w:rFonts w:ascii="Times New Roman" w:hAnsi="Times New Roman" w:cs="Times New Roman"/>
          <w:i/>
          <w:iCs/>
          <w:noProof/>
          <w:sz w:val="24"/>
          <w:szCs w:val="24"/>
        </w:rPr>
        <w:t>et al.</w:t>
      </w:r>
      <w:r w:rsidR="00C275D1">
        <w:rPr>
          <w:rFonts w:ascii="Times New Roman" w:hAnsi="Times New Roman" w:cs="Times New Roman"/>
          <w:noProof/>
          <w:sz w:val="24"/>
          <w:szCs w:val="24"/>
        </w:rPr>
        <w:t xml:space="preserve"> (2017). </w:t>
      </w:r>
      <w:r w:rsidRPr="00BE3B6C">
        <w:rPr>
          <w:rFonts w:ascii="Times New Roman" w:hAnsi="Times New Roman" w:cs="Times New Roman"/>
          <w:noProof/>
          <w:sz w:val="24"/>
          <w:szCs w:val="24"/>
        </w:rPr>
        <w:t>Guidance on Conducting and REporting DElphi Studies (CREDES) in palliative care: Recommendations based on a methodolog</w:t>
      </w:r>
      <w:r w:rsidR="00C275D1">
        <w:rPr>
          <w:rFonts w:ascii="Times New Roman" w:hAnsi="Times New Roman" w:cs="Times New Roman"/>
          <w:noProof/>
          <w:sz w:val="24"/>
          <w:szCs w:val="24"/>
        </w:rPr>
        <w:t xml:space="preserve">ical systematic review. </w:t>
      </w:r>
      <w:r w:rsidRPr="00BE3B6C">
        <w:rPr>
          <w:rFonts w:ascii="Times New Roman" w:hAnsi="Times New Roman" w:cs="Times New Roman"/>
          <w:i/>
          <w:iCs/>
          <w:noProof/>
          <w:sz w:val="24"/>
          <w:szCs w:val="24"/>
        </w:rPr>
        <w:t>Palliative Medicine</w:t>
      </w:r>
      <w:r w:rsidR="00C275D1">
        <w:rPr>
          <w:rFonts w:ascii="Times New Roman" w:hAnsi="Times New Roman" w:cs="Times New Roman"/>
          <w:noProof/>
          <w:sz w:val="24"/>
          <w:szCs w:val="24"/>
        </w:rPr>
        <w:t xml:space="preserve">. </w:t>
      </w:r>
      <w:r w:rsidR="00C275D1" w:rsidRPr="00C275D1">
        <w:rPr>
          <w:rFonts w:ascii="Times New Roman" w:hAnsi="Times New Roman" w:cs="Times New Roman"/>
          <w:b/>
          <w:noProof/>
          <w:sz w:val="24"/>
          <w:szCs w:val="24"/>
        </w:rPr>
        <w:t>31</w:t>
      </w:r>
      <w:r w:rsidR="00C275D1">
        <w:rPr>
          <w:rFonts w:ascii="Times New Roman" w:hAnsi="Times New Roman" w:cs="Times New Roman"/>
          <w:noProof/>
          <w:sz w:val="24"/>
          <w:szCs w:val="24"/>
        </w:rPr>
        <w:t xml:space="preserve">(8), </w:t>
      </w:r>
      <w:r w:rsidRPr="00BE3B6C">
        <w:rPr>
          <w:rFonts w:ascii="Times New Roman" w:hAnsi="Times New Roman" w:cs="Times New Roman"/>
          <w:noProof/>
          <w:sz w:val="24"/>
          <w:szCs w:val="24"/>
        </w:rPr>
        <w:t>684–706.</w:t>
      </w:r>
    </w:p>
    <w:p w14:paraId="39C86155" w14:textId="28C19957" w:rsidR="00676D98"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Kak, N., Burkh</w:t>
      </w:r>
      <w:r w:rsidR="00676D98">
        <w:rPr>
          <w:rFonts w:ascii="Times New Roman" w:hAnsi="Times New Roman" w:cs="Times New Roman"/>
          <w:noProof/>
          <w:sz w:val="24"/>
          <w:szCs w:val="24"/>
        </w:rPr>
        <w:t xml:space="preserve">alter, B. and Cooper, M. (2001). </w:t>
      </w:r>
      <w:r w:rsidRPr="00676D98">
        <w:rPr>
          <w:rFonts w:ascii="Times New Roman" w:hAnsi="Times New Roman" w:cs="Times New Roman"/>
          <w:iCs/>
          <w:noProof/>
          <w:sz w:val="24"/>
          <w:szCs w:val="24"/>
        </w:rPr>
        <w:t>Measuring the Competence of Healthcare Providers</w:t>
      </w:r>
      <w:r w:rsidR="00676D98">
        <w:rPr>
          <w:rFonts w:ascii="Times New Roman" w:hAnsi="Times New Roman" w:cs="Times New Roman"/>
          <w:noProof/>
          <w:sz w:val="24"/>
          <w:szCs w:val="24"/>
        </w:rPr>
        <w:t xml:space="preserve">. </w:t>
      </w:r>
      <w:r w:rsidR="00676D98">
        <w:rPr>
          <w:rFonts w:ascii="Times New Roman" w:hAnsi="Times New Roman" w:cs="Times New Roman"/>
          <w:i/>
          <w:iCs/>
          <w:noProof/>
          <w:sz w:val="24"/>
          <w:szCs w:val="24"/>
        </w:rPr>
        <w:t>Operations Research.</w:t>
      </w:r>
      <w:r w:rsidRPr="00BE3B6C">
        <w:rPr>
          <w:rFonts w:ascii="Times New Roman" w:hAnsi="Times New Roman" w:cs="Times New Roman"/>
          <w:noProof/>
          <w:sz w:val="24"/>
          <w:szCs w:val="24"/>
        </w:rPr>
        <w:t xml:space="preserve"> </w:t>
      </w:r>
      <w:r w:rsidR="00676D98" w:rsidRPr="00676D98">
        <w:rPr>
          <w:rFonts w:ascii="Times New Roman" w:hAnsi="Times New Roman" w:cs="Times New Roman"/>
          <w:b/>
          <w:noProof/>
          <w:sz w:val="24"/>
          <w:szCs w:val="24"/>
        </w:rPr>
        <w:t>2</w:t>
      </w:r>
      <w:r w:rsidR="00676D98">
        <w:rPr>
          <w:rFonts w:ascii="Times New Roman" w:hAnsi="Times New Roman" w:cs="Times New Roman"/>
          <w:noProof/>
          <w:sz w:val="24"/>
          <w:szCs w:val="24"/>
        </w:rPr>
        <w:t>(1), 1-28.</w:t>
      </w:r>
    </w:p>
    <w:p w14:paraId="1D98546A" w14:textId="2949A047"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Kane, M. (2006)</w:t>
      </w:r>
      <w:r w:rsidR="00676D98">
        <w:rPr>
          <w:rFonts w:ascii="Times New Roman" w:hAnsi="Times New Roman" w:cs="Times New Roman"/>
          <w:noProof/>
          <w:sz w:val="24"/>
          <w:szCs w:val="24"/>
        </w:rPr>
        <w:t>. Validation. I</w:t>
      </w:r>
      <w:r w:rsidRPr="00BE3B6C">
        <w:rPr>
          <w:rFonts w:ascii="Times New Roman" w:hAnsi="Times New Roman" w:cs="Times New Roman"/>
          <w:noProof/>
          <w:sz w:val="24"/>
          <w:szCs w:val="24"/>
        </w:rPr>
        <w:t>n</w:t>
      </w:r>
      <w:r w:rsidR="00676D98">
        <w:rPr>
          <w:rFonts w:ascii="Times New Roman" w:hAnsi="Times New Roman" w:cs="Times New Roman"/>
          <w:noProof/>
          <w:sz w:val="24"/>
          <w:szCs w:val="24"/>
        </w:rPr>
        <w:t>: R. Brennan, ed.</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Educational Measurement</w:t>
      </w:r>
      <w:r w:rsidR="00676D98">
        <w:rPr>
          <w:rFonts w:ascii="Times New Roman" w:hAnsi="Times New Roman" w:cs="Times New Roman"/>
          <w:noProof/>
          <w:sz w:val="24"/>
          <w:szCs w:val="24"/>
        </w:rPr>
        <w:t xml:space="preserve">. 4th ed. Westport, CT: Praeger. </w:t>
      </w:r>
      <w:r w:rsidRPr="00BE3B6C">
        <w:rPr>
          <w:rFonts w:ascii="Times New Roman" w:hAnsi="Times New Roman" w:cs="Times New Roman"/>
          <w:noProof/>
          <w:sz w:val="24"/>
          <w:szCs w:val="24"/>
        </w:rPr>
        <w:t>pp. 17–64.</w:t>
      </w:r>
    </w:p>
    <w:p w14:paraId="08968AAE" w14:textId="53A78F41" w:rsidR="00DE7C5C" w:rsidRPr="00BE3B6C" w:rsidRDefault="00DE7C5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Kaufman, D. M. </w:t>
      </w:r>
      <w:r w:rsidRPr="00BE3B6C">
        <w:rPr>
          <w:rFonts w:ascii="Times New Roman" w:hAnsi="Times New Roman" w:cs="Times New Roman"/>
          <w:i/>
          <w:iCs/>
          <w:noProof/>
          <w:sz w:val="24"/>
          <w:szCs w:val="24"/>
        </w:rPr>
        <w:t>et al.</w:t>
      </w:r>
      <w:r>
        <w:rPr>
          <w:rFonts w:ascii="Times New Roman" w:hAnsi="Times New Roman" w:cs="Times New Roman"/>
          <w:noProof/>
          <w:sz w:val="24"/>
          <w:szCs w:val="24"/>
        </w:rPr>
        <w:t xml:space="preserve"> (2000). </w:t>
      </w:r>
      <w:r w:rsidRPr="00BE3B6C">
        <w:rPr>
          <w:rFonts w:ascii="Times New Roman" w:hAnsi="Times New Roman" w:cs="Times New Roman"/>
          <w:noProof/>
          <w:sz w:val="24"/>
          <w:szCs w:val="24"/>
        </w:rPr>
        <w:t>A comparison of standard-setting procedures for an OSCE in un</w:t>
      </w:r>
      <w:r>
        <w:rPr>
          <w:rFonts w:ascii="Times New Roman" w:hAnsi="Times New Roman" w:cs="Times New Roman"/>
          <w:noProof/>
          <w:sz w:val="24"/>
          <w:szCs w:val="24"/>
        </w:rPr>
        <w:t xml:space="preserve">dergraduate medical education. </w:t>
      </w:r>
      <w:r w:rsidRPr="00BE3B6C">
        <w:rPr>
          <w:rFonts w:ascii="Times New Roman" w:hAnsi="Times New Roman" w:cs="Times New Roman"/>
          <w:i/>
          <w:iCs/>
          <w:noProof/>
          <w:sz w:val="24"/>
          <w:szCs w:val="24"/>
        </w:rPr>
        <w:t>Academic Medicine</w:t>
      </w:r>
      <w:r>
        <w:rPr>
          <w:rFonts w:ascii="Times New Roman" w:hAnsi="Times New Roman" w:cs="Times New Roman"/>
          <w:noProof/>
          <w:sz w:val="24"/>
          <w:szCs w:val="24"/>
        </w:rPr>
        <w:t xml:space="preserve">. </w:t>
      </w:r>
      <w:r w:rsidRPr="00676D98">
        <w:rPr>
          <w:rFonts w:ascii="Times New Roman" w:hAnsi="Times New Roman" w:cs="Times New Roman"/>
          <w:b/>
          <w:noProof/>
          <w:sz w:val="24"/>
          <w:szCs w:val="24"/>
        </w:rPr>
        <w:t>75</w:t>
      </w:r>
      <w:r w:rsidRPr="00676D98">
        <w:rPr>
          <w:rFonts w:ascii="Times New Roman" w:hAnsi="Times New Roman" w:cs="Times New Roman"/>
          <w:noProof/>
          <w:sz w:val="24"/>
          <w:szCs w:val="24"/>
        </w:rPr>
        <w:t>(</w:t>
      </w:r>
      <w:r>
        <w:rPr>
          <w:rFonts w:ascii="Times New Roman" w:hAnsi="Times New Roman" w:cs="Times New Roman"/>
          <w:noProof/>
          <w:sz w:val="24"/>
          <w:szCs w:val="24"/>
        </w:rPr>
        <w:t xml:space="preserve">3), </w:t>
      </w:r>
      <w:r w:rsidRPr="00BE3B6C">
        <w:rPr>
          <w:rFonts w:ascii="Times New Roman" w:hAnsi="Times New Roman" w:cs="Times New Roman"/>
          <w:noProof/>
          <w:sz w:val="24"/>
          <w:szCs w:val="24"/>
        </w:rPr>
        <w:t xml:space="preserve">267–271. </w:t>
      </w:r>
    </w:p>
    <w:p w14:paraId="77EB2585" w14:textId="06B0E6C5" w:rsidR="00BE3B6C" w:rsidRPr="00BE3B6C" w:rsidRDefault="00676D98"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Kaufman, D</w:t>
      </w:r>
      <w:r w:rsidR="00DE7C5C">
        <w:rPr>
          <w:rFonts w:ascii="Times New Roman" w:hAnsi="Times New Roman" w:cs="Times New Roman"/>
          <w:noProof/>
          <w:sz w:val="24"/>
          <w:szCs w:val="24"/>
        </w:rPr>
        <w:t xml:space="preserve">. </w:t>
      </w:r>
      <w:r>
        <w:rPr>
          <w:rFonts w:ascii="Times New Roman" w:hAnsi="Times New Roman" w:cs="Times New Roman"/>
          <w:noProof/>
          <w:sz w:val="24"/>
          <w:szCs w:val="24"/>
        </w:rPr>
        <w:t>M</w:t>
      </w:r>
      <w:r w:rsidR="00DE7C5C">
        <w:rPr>
          <w:rFonts w:ascii="Times New Roman" w:hAnsi="Times New Roman" w:cs="Times New Roman"/>
          <w:noProof/>
          <w:sz w:val="24"/>
          <w:szCs w:val="24"/>
        </w:rPr>
        <w:t>.</w:t>
      </w:r>
      <w:r w:rsidR="00AC0FAA">
        <w:rPr>
          <w:rFonts w:ascii="Times New Roman" w:hAnsi="Times New Roman" w:cs="Times New Roman"/>
          <w:noProof/>
          <w:sz w:val="24"/>
          <w:szCs w:val="24"/>
        </w:rPr>
        <w:t xml:space="preserve"> and</w:t>
      </w:r>
      <w:r>
        <w:rPr>
          <w:rFonts w:ascii="Times New Roman" w:hAnsi="Times New Roman" w:cs="Times New Roman"/>
          <w:noProof/>
          <w:sz w:val="24"/>
          <w:szCs w:val="24"/>
        </w:rPr>
        <w:t xml:space="preserve"> Mann, K. (2010). </w:t>
      </w:r>
      <w:r w:rsidR="00BE3B6C" w:rsidRPr="00BE3B6C">
        <w:rPr>
          <w:rFonts w:ascii="Times New Roman" w:hAnsi="Times New Roman" w:cs="Times New Roman"/>
          <w:noProof/>
          <w:sz w:val="24"/>
          <w:szCs w:val="24"/>
        </w:rPr>
        <w:t>Teaching and learning in medical education: H</w:t>
      </w:r>
      <w:r>
        <w:rPr>
          <w:rFonts w:ascii="Times New Roman" w:hAnsi="Times New Roman" w:cs="Times New Roman"/>
          <w:noProof/>
          <w:sz w:val="24"/>
          <w:szCs w:val="24"/>
        </w:rPr>
        <w:t>ow theory can inform practice. I</w:t>
      </w:r>
      <w:r w:rsidR="00BE3B6C" w:rsidRPr="00BE3B6C">
        <w:rPr>
          <w:rFonts w:ascii="Times New Roman" w:hAnsi="Times New Roman" w:cs="Times New Roman"/>
          <w:noProof/>
          <w:sz w:val="24"/>
          <w:szCs w:val="24"/>
        </w:rPr>
        <w:t>n</w:t>
      </w:r>
      <w:r>
        <w:rPr>
          <w:rFonts w:ascii="Times New Roman" w:hAnsi="Times New Roman" w:cs="Times New Roman"/>
          <w:noProof/>
          <w:sz w:val="24"/>
          <w:szCs w:val="24"/>
        </w:rPr>
        <w:t>: T. Swanwick, ed.</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Understanding Medical Education: Evidence, Theory and Practice</w:t>
      </w:r>
      <w:r>
        <w:rPr>
          <w:rFonts w:ascii="Times New Roman" w:hAnsi="Times New Roman" w:cs="Times New Roman"/>
          <w:noProof/>
          <w:sz w:val="24"/>
          <w:szCs w:val="24"/>
        </w:rPr>
        <w:t xml:space="preserve">. Oxford, UK: Wiley-Blackwell. </w:t>
      </w:r>
      <w:r w:rsidR="00BE3B6C" w:rsidRPr="00BE3B6C">
        <w:rPr>
          <w:rFonts w:ascii="Times New Roman" w:hAnsi="Times New Roman" w:cs="Times New Roman"/>
          <w:noProof/>
          <w:sz w:val="24"/>
          <w:szCs w:val="24"/>
        </w:rPr>
        <w:t>pp. 16–36.</w:t>
      </w:r>
    </w:p>
    <w:p w14:paraId="34FAB2E5" w14:textId="4475ABB7"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Keen, A. J. A., Klein, </w:t>
      </w:r>
      <w:r w:rsidR="00676D98">
        <w:rPr>
          <w:rFonts w:ascii="Times New Roman" w:hAnsi="Times New Roman" w:cs="Times New Roman"/>
          <w:noProof/>
          <w:sz w:val="24"/>
          <w:szCs w:val="24"/>
        </w:rPr>
        <w:t xml:space="preserve">S. and Alexander, D. A. (2003). </w:t>
      </w:r>
      <w:r w:rsidRPr="00BE3B6C">
        <w:rPr>
          <w:rFonts w:ascii="Times New Roman" w:hAnsi="Times New Roman" w:cs="Times New Roman"/>
          <w:noProof/>
          <w:sz w:val="24"/>
          <w:szCs w:val="24"/>
        </w:rPr>
        <w:t>Assessing the communication skills of doctors in training: Rel</w:t>
      </w:r>
      <w:r w:rsidR="00676D98">
        <w:rPr>
          <w:rFonts w:ascii="Times New Roman" w:hAnsi="Times New Roman" w:cs="Times New Roman"/>
          <w:noProof/>
          <w:sz w:val="24"/>
          <w:szCs w:val="24"/>
        </w:rPr>
        <w:t xml:space="preserve">iability and sources of error. </w:t>
      </w:r>
      <w:r w:rsidRPr="00BE3B6C">
        <w:rPr>
          <w:rFonts w:ascii="Times New Roman" w:hAnsi="Times New Roman" w:cs="Times New Roman"/>
          <w:i/>
          <w:iCs/>
          <w:noProof/>
          <w:sz w:val="24"/>
          <w:szCs w:val="24"/>
        </w:rPr>
        <w:t>Advances in Health Sciences Education</w:t>
      </w:r>
      <w:r w:rsidR="00676D98">
        <w:rPr>
          <w:rFonts w:ascii="Times New Roman" w:hAnsi="Times New Roman" w:cs="Times New Roman"/>
          <w:noProof/>
          <w:sz w:val="24"/>
          <w:szCs w:val="24"/>
        </w:rPr>
        <w:t xml:space="preserve">. </w:t>
      </w:r>
      <w:r w:rsidR="00676D98" w:rsidRPr="00676D98">
        <w:rPr>
          <w:rFonts w:ascii="Times New Roman" w:hAnsi="Times New Roman" w:cs="Times New Roman"/>
          <w:b/>
          <w:noProof/>
          <w:sz w:val="24"/>
          <w:szCs w:val="24"/>
        </w:rPr>
        <w:t>8</w:t>
      </w:r>
      <w:r w:rsidR="00676D98">
        <w:rPr>
          <w:rFonts w:ascii="Times New Roman" w:hAnsi="Times New Roman" w:cs="Times New Roman"/>
          <w:noProof/>
          <w:sz w:val="24"/>
          <w:szCs w:val="24"/>
        </w:rPr>
        <w:t xml:space="preserve">(1), 5–16. </w:t>
      </w:r>
    </w:p>
    <w:p w14:paraId="10ADDCC0" w14:textId="7C5C745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Kember, D. </w:t>
      </w:r>
      <w:r w:rsidRPr="00BE3B6C">
        <w:rPr>
          <w:rFonts w:ascii="Times New Roman" w:hAnsi="Times New Roman" w:cs="Times New Roman"/>
          <w:i/>
          <w:iCs/>
          <w:noProof/>
          <w:sz w:val="24"/>
          <w:szCs w:val="24"/>
        </w:rPr>
        <w:t>et al.</w:t>
      </w:r>
      <w:r w:rsidR="001971E8">
        <w:rPr>
          <w:rFonts w:ascii="Times New Roman" w:hAnsi="Times New Roman" w:cs="Times New Roman"/>
          <w:noProof/>
          <w:sz w:val="24"/>
          <w:szCs w:val="24"/>
        </w:rPr>
        <w:t xml:space="preserve"> (2000). </w:t>
      </w:r>
      <w:r w:rsidRPr="00BE3B6C">
        <w:rPr>
          <w:rFonts w:ascii="Times New Roman" w:hAnsi="Times New Roman" w:cs="Times New Roman"/>
          <w:noProof/>
          <w:sz w:val="24"/>
          <w:szCs w:val="24"/>
        </w:rPr>
        <w:t xml:space="preserve">Development of a questionnaire to measure the level of </w:t>
      </w:r>
      <w:r w:rsidR="001971E8">
        <w:rPr>
          <w:rFonts w:ascii="Times New Roman" w:hAnsi="Times New Roman" w:cs="Times New Roman"/>
          <w:noProof/>
          <w:sz w:val="24"/>
          <w:szCs w:val="24"/>
        </w:rPr>
        <w:t xml:space="preserve">reflective thinking. </w:t>
      </w:r>
      <w:r w:rsidRPr="00BE3B6C">
        <w:rPr>
          <w:rFonts w:ascii="Times New Roman" w:hAnsi="Times New Roman" w:cs="Times New Roman"/>
          <w:i/>
          <w:iCs/>
          <w:noProof/>
          <w:sz w:val="24"/>
          <w:szCs w:val="24"/>
        </w:rPr>
        <w:t>Assessment and Evaluation in Higher Education</w:t>
      </w:r>
      <w:r w:rsidR="000173D1">
        <w:rPr>
          <w:rFonts w:ascii="Times New Roman" w:hAnsi="Times New Roman" w:cs="Times New Roman"/>
          <w:noProof/>
          <w:sz w:val="24"/>
          <w:szCs w:val="24"/>
        </w:rPr>
        <w:t xml:space="preserve">. </w:t>
      </w:r>
      <w:r w:rsidR="000173D1" w:rsidRPr="000173D1">
        <w:rPr>
          <w:rFonts w:ascii="Times New Roman" w:hAnsi="Times New Roman" w:cs="Times New Roman"/>
          <w:b/>
          <w:noProof/>
          <w:sz w:val="24"/>
          <w:szCs w:val="24"/>
        </w:rPr>
        <w:t>25</w:t>
      </w:r>
      <w:r w:rsidR="000173D1">
        <w:rPr>
          <w:rFonts w:ascii="Times New Roman" w:hAnsi="Times New Roman" w:cs="Times New Roman"/>
          <w:noProof/>
          <w:sz w:val="24"/>
          <w:szCs w:val="24"/>
        </w:rPr>
        <w:t>(4)</w:t>
      </w:r>
      <w:r w:rsidR="001971E8">
        <w:rPr>
          <w:rFonts w:ascii="Times New Roman" w:hAnsi="Times New Roman" w:cs="Times New Roman"/>
          <w:noProof/>
          <w:sz w:val="24"/>
          <w:szCs w:val="24"/>
        </w:rPr>
        <w:t xml:space="preserve"> 381–395. </w:t>
      </w:r>
    </w:p>
    <w:p w14:paraId="78FA7841" w14:textId="0258E8DE"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Kennedy, T. J. T. </w:t>
      </w:r>
      <w:r w:rsidRPr="00BE3B6C">
        <w:rPr>
          <w:rFonts w:ascii="Times New Roman" w:hAnsi="Times New Roman" w:cs="Times New Roman"/>
          <w:i/>
          <w:iCs/>
          <w:noProof/>
          <w:sz w:val="24"/>
          <w:szCs w:val="24"/>
        </w:rPr>
        <w:t>et al.</w:t>
      </w:r>
      <w:r w:rsidR="000173D1">
        <w:rPr>
          <w:rFonts w:ascii="Times New Roman" w:hAnsi="Times New Roman" w:cs="Times New Roman"/>
          <w:noProof/>
          <w:sz w:val="24"/>
          <w:szCs w:val="24"/>
        </w:rPr>
        <w:t xml:space="preserve"> (2005). </w:t>
      </w:r>
      <w:r w:rsidRPr="00BE3B6C">
        <w:rPr>
          <w:rFonts w:ascii="Times New Roman" w:hAnsi="Times New Roman" w:cs="Times New Roman"/>
          <w:noProof/>
          <w:sz w:val="24"/>
          <w:szCs w:val="24"/>
        </w:rPr>
        <w:t>Progressive independence in clinical training:</w:t>
      </w:r>
      <w:r w:rsidR="000173D1">
        <w:rPr>
          <w:rFonts w:ascii="Times New Roman" w:hAnsi="Times New Roman" w:cs="Times New Roman"/>
          <w:noProof/>
          <w:sz w:val="24"/>
          <w:szCs w:val="24"/>
        </w:rPr>
        <w:t xml:space="preserve"> a tradition </w:t>
      </w:r>
      <w:r w:rsidR="000173D1">
        <w:rPr>
          <w:rFonts w:ascii="Times New Roman" w:hAnsi="Times New Roman" w:cs="Times New Roman"/>
          <w:noProof/>
          <w:sz w:val="24"/>
          <w:szCs w:val="24"/>
        </w:rPr>
        <w:lastRenderedPageBreak/>
        <w:t xml:space="preserve">worth defending? </w:t>
      </w:r>
      <w:r w:rsidR="000173D1">
        <w:rPr>
          <w:rFonts w:ascii="Times New Roman" w:hAnsi="Times New Roman" w:cs="Times New Roman"/>
          <w:i/>
          <w:iCs/>
          <w:noProof/>
          <w:sz w:val="24"/>
          <w:szCs w:val="24"/>
        </w:rPr>
        <w:t>Academic Medicine.</w:t>
      </w:r>
      <w:r w:rsidR="000173D1">
        <w:rPr>
          <w:rFonts w:ascii="Times New Roman" w:hAnsi="Times New Roman" w:cs="Times New Roman"/>
          <w:noProof/>
          <w:sz w:val="24"/>
          <w:szCs w:val="24"/>
        </w:rPr>
        <w:t xml:space="preserve"> </w:t>
      </w:r>
      <w:r w:rsidR="000173D1" w:rsidRPr="000173D1">
        <w:rPr>
          <w:rFonts w:ascii="Times New Roman" w:hAnsi="Times New Roman" w:cs="Times New Roman"/>
          <w:b/>
          <w:noProof/>
          <w:sz w:val="24"/>
          <w:szCs w:val="24"/>
        </w:rPr>
        <w:t>80</w:t>
      </w:r>
      <w:r w:rsidR="000173D1">
        <w:rPr>
          <w:rFonts w:ascii="Times New Roman" w:hAnsi="Times New Roman" w:cs="Times New Roman"/>
          <w:noProof/>
          <w:sz w:val="24"/>
          <w:szCs w:val="24"/>
        </w:rPr>
        <w:t xml:space="preserve">(10 Suppl), S106-11. </w:t>
      </w:r>
    </w:p>
    <w:p w14:paraId="3BE452E5" w14:textId="61C3E6B8"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Kilminster, S. </w:t>
      </w:r>
      <w:r w:rsidRPr="00BE3B6C">
        <w:rPr>
          <w:rFonts w:ascii="Times New Roman" w:hAnsi="Times New Roman" w:cs="Times New Roman"/>
          <w:i/>
          <w:iCs/>
          <w:noProof/>
          <w:sz w:val="24"/>
          <w:szCs w:val="24"/>
        </w:rPr>
        <w:t>et al.</w:t>
      </w:r>
      <w:r w:rsidR="00E67626">
        <w:rPr>
          <w:rFonts w:ascii="Times New Roman" w:hAnsi="Times New Roman" w:cs="Times New Roman"/>
          <w:noProof/>
          <w:sz w:val="24"/>
          <w:szCs w:val="24"/>
        </w:rPr>
        <w:t xml:space="preserve"> (2007). </w:t>
      </w:r>
      <w:r w:rsidRPr="00BE3B6C">
        <w:rPr>
          <w:rFonts w:ascii="Times New Roman" w:hAnsi="Times New Roman" w:cs="Times New Roman"/>
          <w:noProof/>
          <w:sz w:val="24"/>
          <w:szCs w:val="24"/>
        </w:rPr>
        <w:t>AMEE Guide No. 27: Effective educatio</w:t>
      </w:r>
      <w:r w:rsidR="00E67626">
        <w:rPr>
          <w:rFonts w:ascii="Times New Roman" w:hAnsi="Times New Roman" w:cs="Times New Roman"/>
          <w:noProof/>
          <w:sz w:val="24"/>
          <w:szCs w:val="24"/>
        </w:rPr>
        <w:t xml:space="preserve">nal and clinical supervision. </w:t>
      </w:r>
      <w:r w:rsidRPr="00BE3B6C">
        <w:rPr>
          <w:rFonts w:ascii="Times New Roman" w:hAnsi="Times New Roman" w:cs="Times New Roman"/>
          <w:i/>
          <w:iCs/>
          <w:noProof/>
          <w:sz w:val="24"/>
          <w:szCs w:val="24"/>
        </w:rPr>
        <w:t>Medical Teacher</w:t>
      </w:r>
      <w:r w:rsidR="00E67626">
        <w:rPr>
          <w:rFonts w:ascii="Times New Roman" w:hAnsi="Times New Roman" w:cs="Times New Roman"/>
          <w:noProof/>
          <w:sz w:val="24"/>
          <w:szCs w:val="24"/>
        </w:rPr>
        <w:t>.</w:t>
      </w:r>
      <w:r w:rsidR="00E67626" w:rsidRPr="00E67626">
        <w:rPr>
          <w:rFonts w:ascii="Times New Roman" w:hAnsi="Times New Roman" w:cs="Times New Roman"/>
          <w:b/>
          <w:noProof/>
          <w:sz w:val="24"/>
          <w:szCs w:val="24"/>
        </w:rPr>
        <w:t xml:space="preserve"> 29(</w:t>
      </w:r>
      <w:r w:rsidR="00E67626">
        <w:rPr>
          <w:rFonts w:ascii="Times New Roman" w:hAnsi="Times New Roman" w:cs="Times New Roman"/>
          <w:noProof/>
          <w:sz w:val="24"/>
          <w:szCs w:val="24"/>
        </w:rPr>
        <w:t xml:space="preserve">1), 2–19. </w:t>
      </w:r>
    </w:p>
    <w:p w14:paraId="414CE9A4" w14:textId="14C3F29B" w:rsidR="00BE3B6C" w:rsidRPr="00BE3B6C" w:rsidRDefault="007B031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Kirton, J.</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et al.</w:t>
      </w:r>
      <w:r w:rsidR="00E67626">
        <w:rPr>
          <w:rFonts w:ascii="Times New Roman" w:hAnsi="Times New Roman" w:cs="Times New Roman"/>
          <w:noProof/>
          <w:sz w:val="24"/>
          <w:szCs w:val="24"/>
        </w:rPr>
        <w:t xml:space="preserve"> (2013). </w:t>
      </w:r>
      <w:r w:rsidR="00BE3B6C" w:rsidRPr="00BE3B6C">
        <w:rPr>
          <w:rFonts w:ascii="Times New Roman" w:hAnsi="Times New Roman" w:cs="Times New Roman"/>
          <w:noProof/>
          <w:sz w:val="24"/>
          <w:szCs w:val="24"/>
        </w:rPr>
        <w:t xml:space="preserve">A national evaluation of workplace-based assessment tools (WPBAs) in foundation dental training: a UK study. Effective and useful but do they provide an </w:t>
      </w:r>
      <w:r w:rsidR="00E67626">
        <w:rPr>
          <w:rFonts w:ascii="Times New Roman" w:hAnsi="Times New Roman" w:cs="Times New Roman"/>
          <w:noProof/>
          <w:sz w:val="24"/>
          <w:szCs w:val="24"/>
        </w:rPr>
        <w:t>equitable training experience?</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British Dental Journal</w:t>
      </w:r>
      <w:r w:rsidR="00E67626">
        <w:rPr>
          <w:rFonts w:ascii="Times New Roman" w:hAnsi="Times New Roman" w:cs="Times New Roman"/>
          <w:noProof/>
          <w:sz w:val="24"/>
          <w:szCs w:val="24"/>
        </w:rPr>
        <w:t xml:space="preserve">. </w:t>
      </w:r>
      <w:r w:rsidR="00E67626" w:rsidRPr="00E67626">
        <w:rPr>
          <w:rFonts w:ascii="Times New Roman" w:hAnsi="Times New Roman" w:cs="Times New Roman"/>
          <w:b/>
          <w:noProof/>
          <w:sz w:val="24"/>
          <w:szCs w:val="24"/>
        </w:rPr>
        <w:t>214</w:t>
      </w:r>
      <w:r w:rsidR="00E67626">
        <w:rPr>
          <w:rFonts w:ascii="Times New Roman" w:hAnsi="Times New Roman" w:cs="Times New Roman"/>
          <w:noProof/>
          <w:sz w:val="24"/>
          <w:szCs w:val="24"/>
        </w:rPr>
        <w:t>(6), 305–309.</w:t>
      </w:r>
    </w:p>
    <w:p w14:paraId="3EAC193C" w14:textId="50A481E7" w:rsidR="00BE3B6C" w:rsidRDefault="00E67626"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Knight, P. T. (2000). </w:t>
      </w:r>
      <w:r w:rsidR="00BE3B6C" w:rsidRPr="00BE3B6C">
        <w:rPr>
          <w:rFonts w:ascii="Times New Roman" w:hAnsi="Times New Roman" w:cs="Times New Roman"/>
          <w:noProof/>
          <w:sz w:val="24"/>
          <w:szCs w:val="24"/>
        </w:rPr>
        <w:t>The Value of a Program</w:t>
      </w:r>
      <w:r>
        <w:rPr>
          <w:rFonts w:ascii="Times New Roman" w:hAnsi="Times New Roman" w:cs="Times New Roman"/>
          <w:noProof/>
          <w:sz w:val="24"/>
          <w:szCs w:val="24"/>
        </w:rPr>
        <w:t>me-wide Approach to Assessment.</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Assessment &amp; Evaluation in Higher Education</w:t>
      </w:r>
      <w:r>
        <w:rPr>
          <w:rFonts w:ascii="Times New Roman" w:hAnsi="Times New Roman" w:cs="Times New Roman"/>
          <w:noProof/>
          <w:sz w:val="24"/>
          <w:szCs w:val="24"/>
        </w:rPr>
        <w:t xml:space="preserve">. </w:t>
      </w:r>
      <w:r w:rsidR="00BE3B6C" w:rsidRPr="00E67626">
        <w:rPr>
          <w:rFonts w:ascii="Times New Roman" w:hAnsi="Times New Roman" w:cs="Times New Roman"/>
          <w:b/>
          <w:noProof/>
          <w:sz w:val="24"/>
          <w:szCs w:val="24"/>
        </w:rPr>
        <w:t>25</w:t>
      </w:r>
      <w:r>
        <w:rPr>
          <w:rFonts w:ascii="Times New Roman" w:hAnsi="Times New Roman" w:cs="Times New Roman"/>
          <w:noProof/>
          <w:sz w:val="24"/>
          <w:szCs w:val="24"/>
        </w:rPr>
        <w:t xml:space="preserve">(3), 237–251. </w:t>
      </w:r>
    </w:p>
    <w:p w14:paraId="5218531C" w14:textId="5C79E81E" w:rsidR="00DE7C5C" w:rsidRPr="00BE3B6C" w:rsidRDefault="00DE7C5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Kogan, J. R., Holmboe,</w:t>
      </w:r>
      <w:r>
        <w:rPr>
          <w:rFonts w:ascii="Times New Roman" w:hAnsi="Times New Roman" w:cs="Times New Roman"/>
          <w:noProof/>
          <w:sz w:val="24"/>
          <w:szCs w:val="24"/>
        </w:rPr>
        <w:t xml:space="preserve"> E. S. and Hauer, K. E. (2009). </w:t>
      </w:r>
      <w:r w:rsidRPr="00BE3B6C">
        <w:rPr>
          <w:rFonts w:ascii="Times New Roman" w:hAnsi="Times New Roman" w:cs="Times New Roman"/>
          <w:noProof/>
          <w:sz w:val="24"/>
          <w:szCs w:val="24"/>
        </w:rPr>
        <w:t>Tools for direct observation and assessment of clinical skills of medical t</w:t>
      </w:r>
      <w:r>
        <w:rPr>
          <w:rFonts w:ascii="Times New Roman" w:hAnsi="Times New Roman" w:cs="Times New Roman"/>
          <w:noProof/>
          <w:sz w:val="24"/>
          <w:szCs w:val="24"/>
        </w:rPr>
        <w:t xml:space="preserve">rainees: a systematic review. </w:t>
      </w:r>
      <w:r w:rsidRPr="00BE3B6C">
        <w:rPr>
          <w:rFonts w:ascii="Times New Roman" w:hAnsi="Times New Roman" w:cs="Times New Roman"/>
          <w:i/>
          <w:iCs/>
          <w:noProof/>
          <w:sz w:val="24"/>
          <w:szCs w:val="24"/>
        </w:rPr>
        <w:t>JAMA</w:t>
      </w:r>
      <w:r>
        <w:rPr>
          <w:rFonts w:ascii="Times New Roman" w:hAnsi="Times New Roman" w:cs="Times New Roman"/>
          <w:noProof/>
          <w:sz w:val="24"/>
          <w:szCs w:val="24"/>
        </w:rPr>
        <w:t xml:space="preserve">. </w:t>
      </w:r>
      <w:r w:rsidRPr="00E67626">
        <w:rPr>
          <w:rFonts w:ascii="Times New Roman" w:hAnsi="Times New Roman" w:cs="Times New Roman"/>
          <w:b/>
          <w:noProof/>
          <w:sz w:val="24"/>
          <w:szCs w:val="24"/>
        </w:rPr>
        <w:t>302</w:t>
      </w:r>
      <w:r>
        <w:rPr>
          <w:rFonts w:ascii="Times New Roman" w:hAnsi="Times New Roman" w:cs="Times New Roman"/>
          <w:noProof/>
          <w:sz w:val="24"/>
          <w:szCs w:val="24"/>
        </w:rPr>
        <w:t xml:space="preserve">(12), 1316–1326. </w:t>
      </w:r>
    </w:p>
    <w:p w14:paraId="6B50F8C6" w14:textId="37E62F8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Kogan, J. R. </w:t>
      </w:r>
      <w:r w:rsidRPr="00BE3B6C">
        <w:rPr>
          <w:rFonts w:ascii="Times New Roman" w:hAnsi="Times New Roman" w:cs="Times New Roman"/>
          <w:i/>
          <w:iCs/>
          <w:noProof/>
          <w:sz w:val="24"/>
          <w:szCs w:val="24"/>
        </w:rPr>
        <w:t>et al.</w:t>
      </w:r>
      <w:r w:rsidR="00E67626">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Opening the black box of clinical skills assessment via ob</w:t>
      </w:r>
      <w:r w:rsidR="00E67626">
        <w:rPr>
          <w:rFonts w:ascii="Times New Roman" w:hAnsi="Times New Roman" w:cs="Times New Roman"/>
          <w:noProof/>
          <w:sz w:val="24"/>
          <w:szCs w:val="24"/>
        </w:rPr>
        <w:t xml:space="preserve">servation: A conceptual model. </w:t>
      </w:r>
      <w:r w:rsidRPr="00BE3B6C">
        <w:rPr>
          <w:rFonts w:ascii="Times New Roman" w:hAnsi="Times New Roman" w:cs="Times New Roman"/>
          <w:i/>
          <w:iCs/>
          <w:noProof/>
          <w:sz w:val="24"/>
          <w:szCs w:val="24"/>
        </w:rPr>
        <w:t>Medical Education</w:t>
      </w:r>
      <w:r w:rsidR="00E67626">
        <w:rPr>
          <w:rFonts w:ascii="Times New Roman" w:hAnsi="Times New Roman" w:cs="Times New Roman"/>
          <w:noProof/>
          <w:sz w:val="24"/>
          <w:szCs w:val="24"/>
        </w:rPr>
        <w:t xml:space="preserve">. </w:t>
      </w:r>
      <w:r w:rsidR="00E67626" w:rsidRPr="00E67626">
        <w:rPr>
          <w:rFonts w:ascii="Times New Roman" w:hAnsi="Times New Roman" w:cs="Times New Roman"/>
          <w:b/>
          <w:noProof/>
          <w:sz w:val="24"/>
          <w:szCs w:val="24"/>
        </w:rPr>
        <w:t>45</w:t>
      </w:r>
      <w:r w:rsidR="00E67626">
        <w:rPr>
          <w:rFonts w:ascii="Times New Roman" w:hAnsi="Times New Roman" w:cs="Times New Roman"/>
          <w:noProof/>
          <w:sz w:val="24"/>
          <w:szCs w:val="24"/>
        </w:rPr>
        <w:t xml:space="preserve">(10), 1048–1060. </w:t>
      </w:r>
    </w:p>
    <w:p w14:paraId="1C64A5F0" w14:textId="3F681190"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Kogan, J. R.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(201</w:t>
      </w:r>
      <w:r w:rsidR="00E67626">
        <w:rPr>
          <w:rFonts w:ascii="Times New Roman" w:hAnsi="Times New Roman" w:cs="Times New Roman"/>
          <w:noProof/>
          <w:sz w:val="24"/>
          <w:szCs w:val="24"/>
        </w:rPr>
        <w:t xml:space="preserve">2). </w:t>
      </w:r>
      <w:r w:rsidRPr="00BE3B6C">
        <w:rPr>
          <w:rFonts w:ascii="Times New Roman" w:hAnsi="Times New Roman" w:cs="Times New Roman"/>
          <w:noProof/>
          <w:sz w:val="24"/>
          <w:szCs w:val="24"/>
        </w:rPr>
        <w:t>Faculty staff perceptions of feedback to residents after direct o</w:t>
      </w:r>
      <w:r w:rsidR="00E67626">
        <w:rPr>
          <w:rFonts w:ascii="Times New Roman" w:hAnsi="Times New Roman" w:cs="Times New Roman"/>
          <w:noProof/>
          <w:sz w:val="24"/>
          <w:szCs w:val="24"/>
        </w:rPr>
        <w:t xml:space="preserve">bservation of clinical skills. </w:t>
      </w:r>
      <w:r w:rsidRPr="00BE3B6C">
        <w:rPr>
          <w:rFonts w:ascii="Times New Roman" w:hAnsi="Times New Roman" w:cs="Times New Roman"/>
          <w:i/>
          <w:iCs/>
          <w:noProof/>
          <w:sz w:val="24"/>
          <w:szCs w:val="24"/>
        </w:rPr>
        <w:t>Medical Education</w:t>
      </w:r>
      <w:r w:rsidR="00E67626">
        <w:rPr>
          <w:rFonts w:ascii="Times New Roman" w:hAnsi="Times New Roman" w:cs="Times New Roman"/>
          <w:noProof/>
          <w:sz w:val="24"/>
          <w:szCs w:val="24"/>
        </w:rPr>
        <w:t>.</w:t>
      </w:r>
      <w:r w:rsidR="00E67626" w:rsidRPr="00E67626">
        <w:rPr>
          <w:rFonts w:ascii="Times New Roman" w:hAnsi="Times New Roman" w:cs="Times New Roman"/>
          <w:b/>
          <w:noProof/>
          <w:sz w:val="24"/>
          <w:szCs w:val="24"/>
        </w:rPr>
        <w:t xml:space="preserve"> 46(</w:t>
      </w:r>
      <w:r w:rsidR="00E67626">
        <w:rPr>
          <w:rFonts w:ascii="Times New Roman" w:hAnsi="Times New Roman" w:cs="Times New Roman"/>
          <w:noProof/>
          <w:sz w:val="24"/>
          <w:szCs w:val="24"/>
        </w:rPr>
        <w:t xml:space="preserve">2), </w:t>
      </w:r>
      <w:r w:rsidRPr="00BE3B6C">
        <w:rPr>
          <w:rFonts w:ascii="Times New Roman" w:hAnsi="Times New Roman" w:cs="Times New Roman"/>
          <w:noProof/>
          <w:sz w:val="24"/>
          <w:szCs w:val="24"/>
        </w:rPr>
        <w:t xml:space="preserve">201–215. </w:t>
      </w:r>
    </w:p>
    <w:p w14:paraId="6C44F3A1" w14:textId="55429160" w:rsidR="00BE3B6C" w:rsidRPr="00BE3B6C" w:rsidRDefault="00E67626"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Kolb.D (1984). </w:t>
      </w:r>
      <w:r w:rsidR="00BE3B6C" w:rsidRPr="00BE3B6C">
        <w:rPr>
          <w:rFonts w:ascii="Times New Roman" w:hAnsi="Times New Roman" w:cs="Times New Roman"/>
          <w:i/>
          <w:iCs/>
          <w:noProof/>
          <w:sz w:val="24"/>
          <w:szCs w:val="24"/>
        </w:rPr>
        <w:t>Experiential learning</w:t>
      </w:r>
      <w:r w:rsidR="00BE3B6C" w:rsidRPr="00BE3B6C">
        <w:rPr>
          <w:rFonts w:ascii="Times New Roman" w:hAnsi="Times New Roman" w:cs="Times New Roman"/>
          <w:noProof/>
          <w:sz w:val="24"/>
          <w:szCs w:val="24"/>
        </w:rPr>
        <w:t>. Englewood Cliffs, NJ: Prentice-Hall.</w:t>
      </w:r>
    </w:p>
    <w:p w14:paraId="18F27587" w14:textId="6900E75B" w:rsidR="00D054EF" w:rsidRDefault="00D054EF"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Krupinski, E. A., Graham, A. R. and Weins</w:t>
      </w:r>
      <w:r>
        <w:rPr>
          <w:rFonts w:ascii="Times New Roman" w:hAnsi="Times New Roman" w:cs="Times New Roman"/>
          <w:noProof/>
          <w:sz w:val="24"/>
          <w:szCs w:val="24"/>
        </w:rPr>
        <w:t xml:space="preserve">tein, R. S. (2013). </w:t>
      </w:r>
      <w:r w:rsidRPr="00BE3B6C">
        <w:rPr>
          <w:rFonts w:ascii="Times New Roman" w:hAnsi="Times New Roman" w:cs="Times New Roman"/>
          <w:noProof/>
          <w:sz w:val="24"/>
          <w:szCs w:val="24"/>
        </w:rPr>
        <w:t>Characterizing the development of visual search expertise in pathology residen</w:t>
      </w:r>
      <w:r>
        <w:rPr>
          <w:rFonts w:ascii="Times New Roman" w:hAnsi="Times New Roman" w:cs="Times New Roman"/>
          <w:noProof/>
          <w:sz w:val="24"/>
          <w:szCs w:val="24"/>
        </w:rPr>
        <w:t xml:space="preserve">ts viewing whole slide images. </w:t>
      </w:r>
      <w:r w:rsidRPr="00BE3B6C">
        <w:rPr>
          <w:rFonts w:ascii="Times New Roman" w:hAnsi="Times New Roman" w:cs="Times New Roman"/>
          <w:i/>
          <w:iCs/>
          <w:noProof/>
          <w:sz w:val="24"/>
          <w:szCs w:val="24"/>
        </w:rPr>
        <w:t>Human Pathology</w:t>
      </w:r>
      <w:r>
        <w:rPr>
          <w:rFonts w:ascii="Times New Roman" w:hAnsi="Times New Roman" w:cs="Times New Roman"/>
          <w:noProof/>
          <w:sz w:val="24"/>
          <w:szCs w:val="24"/>
        </w:rPr>
        <w:t xml:space="preserve">. </w:t>
      </w:r>
      <w:r w:rsidRPr="00E67626">
        <w:rPr>
          <w:rFonts w:ascii="Times New Roman" w:hAnsi="Times New Roman" w:cs="Times New Roman"/>
          <w:b/>
          <w:noProof/>
          <w:sz w:val="24"/>
          <w:szCs w:val="24"/>
        </w:rPr>
        <w:t>44</w:t>
      </w:r>
      <w:r>
        <w:rPr>
          <w:rFonts w:ascii="Times New Roman" w:hAnsi="Times New Roman" w:cs="Times New Roman"/>
          <w:noProof/>
          <w:sz w:val="24"/>
          <w:szCs w:val="24"/>
        </w:rPr>
        <w:t xml:space="preserve">(3), 357–364. </w:t>
      </w:r>
    </w:p>
    <w:p w14:paraId="2C435E8D" w14:textId="4CE8C5A0"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Krupinski, E. A. </w:t>
      </w:r>
      <w:r w:rsidRPr="00BE3B6C">
        <w:rPr>
          <w:rFonts w:ascii="Times New Roman" w:hAnsi="Times New Roman" w:cs="Times New Roman"/>
          <w:i/>
          <w:iCs/>
          <w:noProof/>
          <w:sz w:val="24"/>
          <w:szCs w:val="24"/>
        </w:rPr>
        <w:t>et al.</w:t>
      </w:r>
      <w:r w:rsidR="00E67626">
        <w:rPr>
          <w:rFonts w:ascii="Times New Roman" w:hAnsi="Times New Roman" w:cs="Times New Roman"/>
          <w:noProof/>
          <w:sz w:val="24"/>
          <w:szCs w:val="24"/>
        </w:rPr>
        <w:t xml:space="preserve"> (2006). </w:t>
      </w:r>
      <w:r w:rsidRPr="00BE3B6C">
        <w:rPr>
          <w:rFonts w:ascii="Times New Roman" w:hAnsi="Times New Roman" w:cs="Times New Roman"/>
          <w:noProof/>
          <w:sz w:val="24"/>
          <w:szCs w:val="24"/>
        </w:rPr>
        <w:t>Eye-movement study and human performance using telepathology virtual slides. Implications for medical education an</w:t>
      </w:r>
      <w:r w:rsidR="00E67626">
        <w:rPr>
          <w:rFonts w:ascii="Times New Roman" w:hAnsi="Times New Roman" w:cs="Times New Roman"/>
          <w:noProof/>
          <w:sz w:val="24"/>
          <w:szCs w:val="24"/>
        </w:rPr>
        <w:t xml:space="preserve">d differences with experience. </w:t>
      </w:r>
      <w:r w:rsidRPr="00BE3B6C">
        <w:rPr>
          <w:rFonts w:ascii="Times New Roman" w:hAnsi="Times New Roman" w:cs="Times New Roman"/>
          <w:i/>
          <w:iCs/>
          <w:noProof/>
          <w:sz w:val="24"/>
          <w:szCs w:val="24"/>
        </w:rPr>
        <w:t>Human Pathology</w:t>
      </w:r>
      <w:r w:rsidR="00E67626">
        <w:rPr>
          <w:rFonts w:ascii="Times New Roman" w:hAnsi="Times New Roman" w:cs="Times New Roman"/>
          <w:noProof/>
          <w:sz w:val="24"/>
          <w:szCs w:val="24"/>
        </w:rPr>
        <w:t xml:space="preserve">. </w:t>
      </w:r>
      <w:r w:rsidRPr="00E67626">
        <w:rPr>
          <w:rFonts w:ascii="Times New Roman" w:hAnsi="Times New Roman" w:cs="Times New Roman"/>
          <w:b/>
          <w:noProof/>
          <w:sz w:val="24"/>
          <w:szCs w:val="24"/>
        </w:rPr>
        <w:t>37</w:t>
      </w:r>
      <w:r w:rsidR="00E67626">
        <w:rPr>
          <w:rFonts w:ascii="Times New Roman" w:hAnsi="Times New Roman" w:cs="Times New Roman"/>
          <w:noProof/>
          <w:sz w:val="24"/>
          <w:szCs w:val="24"/>
        </w:rPr>
        <w:t xml:space="preserve">(12), </w:t>
      </w:r>
      <w:r w:rsidRPr="00BE3B6C">
        <w:rPr>
          <w:rFonts w:ascii="Times New Roman" w:hAnsi="Times New Roman" w:cs="Times New Roman"/>
          <w:noProof/>
          <w:sz w:val="24"/>
          <w:szCs w:val="24"/>
        </w:rPr>
        <w:t xml:space="preserve">1543–1556. </w:t>
      </w:r>
    </w:p>
    <w:p w14:paraId="1ED20D0F" w14:textId="5B59FFDF"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Kusurkar, R. A. </w:t>
      </w:r>
      <w:r w:rsidRPr="00BE3B6C">
        <w:rPr>
          <w:rFonts w:ascii="Times New Roman" w:hAnsi="Times New Roman" w:cs="Times New Roman"/>
          <w:i/>
          <w:iCs/>
          <w:noProof/>
          <w:sz w:val="24"/>
          <w:szCs w:val="24"/>
        </w:rPr>
        <w:t>et al.</w:t>
      </w:r>
      <w:r w:rsidR="00E67626">
        <w:rPr>
          <w:rFonts w:ascii="Times New Roman" w:hAnsi="Times New Roman" w:cs="Times New Roman"/>
          <w:noProof/>
          <w:sz w:val="24"/>
          <w:szCs w:val="24"/>
        </w:rPr>
        <w:t xml:space="preserve"> (2012). </w:t>
      </w:r>
      <w:r w:rsidRPr="00BE3B6C">
        <w:rPr>
          <w:rFonts w:ascii="Times New Roman" w:hAnsi="Times New Roman" w:cs="Times New Roman"/>
          <w:noProof/>
          <w:sz w:val="24"/>
          <w:szCs w:val="24"/>
        </w:rPr>
        <w:t>Have motivation theories guided the development and reform o</w:t>
      </w:r>
      <w:r w:rsidR="00E67626">
        <w:rPr>
          <w:rFonts w:ascii="Times New Roman" w:hAnsi="Times New Roman" w:cs="Times New Roman"/>
          <w:noProof/>
          <w:sz w:val="24"/>
          <w:szCs w:val="24"/>
        </w:rPr>
        <w:t xml:space="preserve">f medical education curricula? A review of the literature. </w:t>
      </w:r>
      <w:r w:rsidRPr="00BE3B6C">
        <w:rPr>
          <w:rFonts w:ascii="Times New Roman" w:hAnsi="Times New Roman" w:cs="Times New Roman"/>
          <w:i/>
          <w:iCs/>
          <w:noProof/>
          <w:sz w:val="24"/>
          <w:szCs w:val="24"/>
        </w:rPr>
        <w:t>Academic Medicine</w:t>
      </w:r>
      <w:r w:rsidR="00E67626">
        <w:rPr>
          <w:rFonts w:ascii="Times New Roman" w:hAnsi="Times New Roman" w:cs="Times New Roman"/>
          <w:noProof/>
          <w:sz w:val="24"/>
          <w:szCs w:val="24"/>
        </w:rPr>
        <w:t xml:space="preserve">. </w:t>
      </w:r>
      <w:r w:rsidR="00E67626" w:rsidRPr="00E67626">
        <w:rPr>
          <w:rFonts w:ascii="Times New Roman" w:hAnsi="Times New Roman" w:cs="Times New Roman"/>
          <w:b/>
          <w:noProof/>
          <w:sz w:val="24"/>
          <w:szCs w:val="24"/>
        </w:rPr>
        <w:lastRenderedPageBreak/>
        <w:t>87</w:t>
      </w:r>
      <w:r w:rsidR="00E67626">
        <w:rPr>
          <w:rFonts w:ascii="Times New Roman" w:hAnsi="Times New Roman" w:cs="Times New Roman"/>
          <w:noProof/>
          <w:sz w:val="24"/>
          <w:szCs w:val="24"/>
        </w:rPr>
        <w:t xml:space="preserve">(6), 735–743. </w:t>
      </w:r>
    </w:p>
    <w:p w14:paraId="7B4BBB35" w14:textId="5C0E54BD" w:rsidR="00BE3B6C" w:rsidRPr="00BE3B6C" w:rsidRDefault="00E67626"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Lave, J. and Wenger, E. (1991). </w:t>
      </w:r>
      <w:r w:rsidR="00BE3B6C" w:rsidRPr="00BE3B6C">
        <w:rPr>
          <w:rFonts w:ascii="Times New Roman" w:hAnsi="Times New Roman" w:cs="Times New Roman"/>
          <w:i/>
          <w:iCs/>
          <w:noProof/>
          <w:sz w:val="24"/>
          <w:szCs w:val="24"/>
        </w:rPr>
        <w:t>Situated Learning. Legitimate peripheral participation</w:t>
      </w:r>
      <w:r w:rsidR="00BE3B6C" w:rsidRPr="00BE3B6C">
        <w:rPr>
          <w:rFonts w:ascii="Times New Roman" w:hAnsi="Times New Roman" w:cs="Times New Roman"/>
          <w:noProof/>
          <w:sz w:val="24"/>
          <w:szCs w:val="24"/>
        </w:rPr>
        <w:t>. Cambri</w:t>
      </w:r>
      <w:r>
        <w:rPr>
          <w:rFonts w:ascii="Times New Roman" w:hAnsi="Times New Roman" w:cs="Times New Roman"/>
          <w:noProof/>
          <w:sz w:val="24"/>
          <w:szCs w:val="24"/>
        </w:rPr>
        <w:t>dge, UK</w:t>
      </w:r>
      <w:r w:rsidR="00BE3B6C" w:rsidRPr="00BE3B6C">
        <w:rPr>
          <w:rFonts w:ascii="Times New Roman" w:hAnsi="Times New Roman" w:cs="Times New Roman"/>
          <w:noProof/>
          <w:sz w:val="24"/>
          <w:szCs w:val="24"/>
        </w:rPr>
        <w:t>: University of Cambridge Press.</w:t>
      </w:r>
    </w:p>
    <w:p w14:paraId="2359DA64" w14:textId="6DF980C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Leach, L., N</w:t>
      </w:r>
      <w:r w:rsidR="00E67626">
        <w:rPr>
          <w:rFonts w:ascii="Times New Roman" w:hAnsi="Times New Roman" w:cs="Times New Roman"/>
          <w:noProof/>
          <w:sz w:val="24"/>
          <w:szCs w:val="24"/>
        </w:rPr>
        <w:t xml:space="preserve">eutze, G. and Zepke, N. (2001). </w:t>
      </w:r>
      <w:r w:rsidRPr="00BE3B6C">
        <w:rPr>
          <w:rFonts w:ascii="Times New Roman" w:hAnsi="Times New Roman" w:cs="Times New Roman"/>
          <w:noProof/>
          <w:sz w:val="24"/>
          <w:szCs w:val="24"/>
        </w:rPr>
        <w:t>Assessment and empower</w:t>
      </w:r>
      <w:r w:rsidR="00E67626">
        <w:rPr>
          <w:rFonts w:ascii="Times New Roman" w:hAnsi="Times New Roman" w:cs="Times New Roman"/>
          <w:noProof/>
          <w:sz w:val="24"/>
          <w:szCs w:val="24"/>
        </w:rPr>
        <w:t xml:space="preserve">ment: Some critical questions. </w:t>
      </w:r>
      <w:r w:rsidRPr="00BE3B6C">
        <w:rPr>
          <w:rFonts w:ascii="Times New Roman" w:hAnsi="Times New Roman" w:cs="Times New Roman"/>
          <w:i/>
          <w:iCs/>
          <w:noProof/>
          <w:sz w:val="24"/>
          <w:szCs w:val="24"/>
        </w:rPr>
        <w:t>Assessment &amp; Evaluation in Higher Education</w:t>
      </w:r>
      <w:r w:rsidR="00E67626">
        <w:rPr>
          <w:rFonts w:ascii="Times New Roman" w:hAnsi="Times New Roman" w:cs="Times New Roman"/>
          <w:noProof/>
          <w:sz w:val="24"/>
          <w:szCs w:val="24"/>
        </w:rPr>
        <w:t xml:space="preserve">. </w:t>
      </w:r>
      <w:r w:rsidR="00E67626" w:rsidRPr="00E67626">
        <w:rPr>
          <w:rFonts w:ascii="Times New Roman" w:hAnsi="Times New Roman" w:cs="Times New Roman"/>
          <w:b/>
          <w:noProof/>
          <w:sz w:val="24"/>
          <w:szCs w:val="24"/>
        </w:rPr>
        <w:t>26</w:t>
      </w:r>
      <w:r w:rsidR="00E67626">
        <w:rPr>
          <w:rFonts w:ascii="Times New Roman" w:hAnsi="Times New Roman" w:cs="Times New Roman"/>
          <w:noProof/>
          <w:sz w:val="24"/>
          <w:szCs w:val="24"/>
        </w:rPr>
        <w:t xml:space="preserve">(4), </w:t>
      </w:r>
      <w:r w:rsidRPr="00BE3B6C">
        <w:rPr>
          <w:rFonts w:ascii="Times New Roman" w:hAnsi="Times New Roman" w:cs="Times New Roman"/>
          <w:noProof/>
          <w:sz w:val="24"/>
          <w:szCs w:val="24"/>
        </w:rPr>
        <w:t xml:space="preserve">293–305. </w:t>
      </w:r>
    </w:p>
    <w:p w14:paraId="491BE4CD" w14:textId="3015BDEA"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Lee, J., Chan, A. C.</w:t>
      </w:r>
      <w:r w:rsidR="00E67626">
        <w:rPr>
          <w:rFonts w:ascii="Times New Roman" w:hAnsi="Times New Roman" w:cs="Times New Roman"/>
          <w:noProof/>
          <w:sz w:val="24"/>
          <w:szCs w:val="24"/>
        </w:rPr>
        <w:t xml:space="preserve"> M. and Phillips, D. R. (2006). </w:t>
      </w:r>
      <w:r w:rsidRPr="00BE3B6C">
        <w:rPr>
          <w:rFonts w:ascii="Times New Roman" w:hAnsi="Times New Roman" w:cs="Times New Roman"/>
          <w:noProof/>
          <w:sz w:val="24"/>
          <w:szCs w:val="24"/>
        </w:rPr>
        <w:t>Diagnostic practise in nursing: A crit</w:t>
      </w:r>
      <w:r w:rsidR="00E67626">
        <w:rPr>
          <w:rFonts w:ascii="Times New Roman" w:hAnsi="Times New Roman" w:cs="Times New Roman"/>
          <w:noProof/>
          <w:sz w:val="24"/>
          <w:szCs w:val="24"/>
        </w:rPr>
        <w:t xml:space="preserve">ical review of the literature. </w:t>
      </w:r>
      <w:r w:rsidRPr="00BE3B6C">
        <w:rPr>
          <w:rFonts w:ascii="Times New Roman" w:hAnsi="Times New Roman" w:cs="Times New Roman"/>
          <w:i/>
          <w:iCs/>
          <w:noProof/>
          <w:sz w:val="24"/>
          <w:szCs w:val="24"/>
        </w:rPr>
        <w:t>Nursing and Health Sciences</w:t>
      </w:r>
      <w:r w:rsidR="00E67626">
        <w:rPr>
          <w:rFonts w:ascii="Times New Roman" w:hAnsi="Times New Roman" w:cs="Times New Roman"/>
          <w:noProof/>
          <w:sz w:val="24"/>
          <w:szCs w:val="24"/>
        </w:rPr>
        <w:t xml:space="preserve">. </w:t>
      </w:r>
      <w:r w:rsidR="00E67626" w:rsidRPr="00E67626">
        <w:rPr>
          <w:rFonts w:ascii="Times New Roman" w:hAnsi="Times New Roman" w:cs="Times New Roman"/>
          <w:b/>
          <w:noProof/>
          <w:sz w:val="24"/>
          <w:szCs w:val="24"/>
        </w:rPr>
        <w:t>8</w:t>
      </w:r>
      <w:r w:rsidR="00E67626">
        <w:rPr>
          <w:rFonts w:ascii="Times New Roman" w:hAnsi="Times New Roman" w:cs="Times New Roman"/>
          <w:noProof/>
          <w:sz w:val="24"/>
          <w:szCs w:val="24"/>
        </w:rPr>
        <w:t xml:space="preserve">(1),57–65. </w:t>
      </w:r>
    </w:p>
    <w:p w14:paraId="4E256856" w14:textId="7FD1A479"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Lee, V., B</w:t>
      </w:r>
      <w:r w:rsidR="00B56D45">
        <w:rPr>
          <w:rFonts w:ascii="Times New Roman" w:hAnsi="Times New Roman" w:cs="Times New Roman"/>
          <w:noProof/>
          <w:sz w:val="24"/>
          <w:szCs w:val="24"/>
        </w:rPr>
        <w:t xml:space="preserve">rain, K. and Martin, J. (2017). </w:t>
      </w:r>
      <w:r w:rsidRPr="00BE3B6C">
        <w:rPr>
          <w:rFonts w:ascii="Times New Roman" w:hAnsi="Times New Roman" w:cs="Times New Roman"/>
          <w:noProof/>
          <w:sz w:val="24"/>
          <w:szCs w:val="24"/>
        </w:rPr>
        <w:t>Factors Influencing Mini-CEX Rater Judgments and Their Practical Implications: A</w:t>
      </w:r>
      <w:r w:rsidR="00B56D45">
        <w:rPr>
          <w:rFonts w:ascii="Times New Roman" w:hAnsi="Times New Roman" w:cs="Times New Roman"/>
          <w:noProof/>
          <w:sz w:val="24"/>
          <w:szCs w:val="24"/>
        </w:rPr>
        <w:t xml:space="preserve"> Systematic Literature Review. </w:t>
      </w:r>
      <w:r w:rsidRPr="00BE3B6C">
        <w:rPr>
          <w:rFonts w:ascii="Times New Roman" w:hAnsi="Times New Roman" w:cs="Times New Roman"/>
          <w:i/>
          <w:iCs/>
          <w:noProof/>
          <w:sz w:val="24"/>
          <w:szCs w:val="24"/>
        </w:rPr>
        <w:t>Academic Medicine</w:t>
      </w:r>
      <w:r w:rsidR="00B56D45">
        <w:rPr>
          <w:rFonts w:ascii="Times New Roman" w:hAnsi="Times New Roman" w:cs="Times New Roman"/>
          <w:noProof/>
          <w:sz w:val="24"/>
          <w:szCs w:val="24"/>
        </w:rPr>
        <w:t>.</w:t>
      </w:r>
      <w:r w:rsidR="00AC1B11">
        <w:rPr>
          <w:rFonts w:ascii="Times New Roman" w:hAnsi="Times New Roman" w:cs="Times New Roman"/>
          <w:noProof/>
          <w:sz w:val="24"/>
          <w:szCs w:val="24"/>
        </w:rPr>
        <w:t xml:space="preserve"> 92(6)</w:t>
      </w:r>
      <w:r w:rsidR="00B56D45">
        <w:rPr>
          <w:rFonts w:ascii="Times New Roman" w:hAnsi="Times New Roman" w:cs="Times New Roman"/>
          <w:noProof/>
          <w:sz w:val="24"/>
          <w:szCs w:val="24"/>
        </w:rPr>
        <w:t>,</w:t>
      </w:r>
      <w:r w:rsidR="00AC1B11">
        <w:rPr>
          <w:rFonts w:ascii="Times New Roman" w:hAnsi="Times New Roman" w:cs="Times New Roman"/>
          <w:noProof/>
          <w:sz w:val="24"/>
          <w:szCs w:val="24"/>
        </w:rPr>
        <w:t xml:space="preserve"> </w:t>
      </w:r>
      <w:r w:rsidR="00B56D45">
        <w:rPr>
          <w:rFonts w:ascii="Times New Roman" w:hAnsi="Times New Roman" w:cs="Times New Roman"/>
          <w:noProof/>
          <w:sz w:val="24"/>
          <w:szCs w:val="24"/>
        </w:rPr>
        <w:t xml:space="preserve">880–887. </w:t>
      </w:r>
    </w:p>
    <w:p w14:paraId="0C20793F" w14:textId="3A6CB552" w:rsidR="00BE3B6C" w:rsidRDefault="00AC1B11"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Leung, W. C. (2002). </w:t>
      </w:r>
      <w:r w:rsidR="00BE3B6C" w:rsidRPr="00BE3B6C">
        <w:rPr>
          <w:rFonts w:ascii="Times New Roman" w:hAnsi="Times New Roman" w:cs="Times New Roman"/>
          <w:noProof/>
          <w:sz w:val="24"/>
          <w:szCs w:val="24"/>
        </w:rPr>
        <w:t>Competency b</w:t>
      </w:r>
      <w:r>
        <w:rPr>
          <w:rFonts w:ascii="Times New Roman" w:hAnsi="Times New Roman" w:cs="Times New Roman"/>
          <w:noProof/>
          <w:sz w:val="24"/>
          <w:szCs w:val="24"/>
        </w:rPr>
        <w:t xml:space="preserve">ased medical training: review. </w:t>
      </w:r>
      <w:r w:rsidR="00BE3B6C" w:rsidRPr="00BE3B6C">
        <w:rPr>
          <w:rFonts w:ascii="Times New Roman" w:hAnsi="Times New Roman" w:cs="Times New Roman"/>
          <w:i/>
          <w:iCs/>
          <w:noProof/>
          <w:sz w:val="24"/>
          <w:szCs w:val="24"/>
        </w:rPr>
        <w:t>B</w:t>
      </w:r>
      <w:r>
        <w:rPr>
          <w:rFonts w:ascii="Times New Roman" w:hAnsi="Times New Roman" w:cs="Times New Roman"/>
          <w:i/>
          <w:iCs/>
          <w:noProof/>
          <w:sz w:val="24"/>
          <w:szCs w:val="24"/>
        </w:rPr>
        <w:t xml:space="preserve">ritish </w:t>
      </w:r>
      <w:r w:rsidR="00BE3B6C" w:rsidRPr="00BE3B6C">
        <w:rPr>
          <w:rFonts w:ascii="Times New Roman" w:hAnsi="Times New Roman" w:cs="Times New Roman"/>
          <w:i/>
          <w:iCs/>
          <w:noProof/>
          <w:sz w:val="24"/>
          <w:szCs w:val="24"/>
        </w:rPr>
        <w:t>M</w:t>
      </w:r>
      <w:r>
        <w:rPr>
          <w:rFonts w:ascii="Times New Roman" w:hAnsi="Times New Roman" w:cs="Times New Roman"/>
          <w:i/>
          <w:iCs/>
          <w:noProof/>
          <w:sz w:val="24"/>
          <w:szCs w:val="24"/>
        </w:rPr>
        <w:t xml:space="preserve">edical </w:t>
      </w:r>
      <w:r w:rsidR="00BE3B6C" w:rsidRPr="00BE3B6C">
        <w:rPr>
          <w:rFonts w:ascii="Times New Roman" w:hAnsi="Times New Roman" w:cs="Times New Roman"/>
          <w:i/>
          <w:iCs/>
          <w:noProof/>
          <w:sz w:val="24"/>
          <w:szCs w:val="24"/>
        </w:rPr>
        <w:t>J</w:t>
      </w:r>
      <w:r>
        <w:rPr>
          <w:rFonts w:ascii="Times New Roman" w:hAnsi="Times New Roman" w:cs="Times New Roman"/>
          <w:i/>
          <w:iCs/>
          <w:noProof/>
          <w:sz w:val="24"/>
          <w:szCs w:val="24"/>
        </w:rPr>
        <w:t xml:space="preserve">ournal. </w:t>
      </w:r>
      <w:r w:rsidRPr="00AC1B11">
        <w:rPr>
          <w:rFonts w:ascii="Times New Roman" w:hAnsi="Times New Roman" w:cs="Times New Roman"/>
          <w:b/>
          <w:noProof/>
          <w:sz w:val="24"/>
          <w:szCs w:val="24"/>
        </w:rPr>
        <w:t>325</w:t>
      </w:r>
      <w:r>
        <w:rPr>
          <w:rFonts w:ascii="Times New Roman" w:hAnsi="Times New Roman" w:cs="Times New Roman"/>
          <w:noProof/>
          <w:sz w:val="24"/>
          <w:szCs w:val="24"/>
        </w:rPr>
        <w:t>(7366), 693-696</w:t>
      </w:r>
    </w:p>
    <w:p w14:paraId="54D81CBC" w14:textId="477A0931" w:rsidR="00BE3B6C" w:rsidRPr="00BE3B6C" w:rsidRDefault="007C6E3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Like</w:t>
      </w:r>
      <w:r w:rsidR="00A112C7">
        <w:rPr>
          <w:rFonts w:ascii="Times New Roman" w:hAnsi="Times New Roman" w:cs="Times New Roman"/>
          <w:noProof/>
          <w:sz w:val="24"/>
          <w:szCs w:val="24"/>
        </w:rPr>
        <w:t xml:space="preserve">rt, R. (1932). </w:t>
      </w:r>
      <w:r w:rsidR="00BE3B6C" w:rsidRPr="00BE3B6C">
        <w:rPr>
          <w:rFonts w:ascii="Times New Roman" w:hAnsi="Times New Roman" w:cs="Times New Roman"/>
          <w:noProof/>
          <w:sz w:val="24"/>
          <w:szCs w:val="24"/>
        </w:rPr>
        <w:t xml:space="preserve">A technique for </w:t>
      </w:r>
      <w:r w:rsidR="00A112C7">
        <w:rPr>
          <w:rFonts w:ascii="Times New Roman" w:hAnsi="Times New Roman" w:cs="Times New Roman"/>
          <w:noProof/>
          <w:sz w:val="24"/>
          <w:szCs w:val="24"/>
        </w:rPr>
        <w:t xml:space="preserve">the measurement of attitudes. </w:t>
      </w:r>
      <w:r w:rsidR="00BE3B6C" w:rsidRPr="00BE3B6C">
        <w:rPr>
          <w:rFonts w:ascii="Times New Roman" w:hAnsi="Times New Roman" w:cs="Times New Roman"/>
          <w:i/>
          <w:iCs/>
          <w:noProof/>
          <w:sz w:val="24"/>
          <w:szCs w:val="24"/>
        </w:rPr>
        <w:t>Archives of Psychology</w:t>
      </w:r>
      <w:r w:rsidR="00A112C7">
        <w:rPr>
          <w:rFonts w:ascii="Times New Roman" w:hAnsi="Times New Roman" w:cs="Times New Roman"/>
          <w:noProof/>
          <w:sz w:val="24"/>
          <w:szCs w:val="24"/>
        </w:rPr>
        <w:t xml:space="preserve">. </w:t>
      </w:r>
      <w:r w:rsidR="00A112C7" w:rsidRPr="00A112C7">
        <w:rPr>
          <w:rFonts w:ascii="Times New Roman" w:hAnsi="Times New Roman" w:cs="Times New Roman"/>
          <w:b/>
          <w:noProof/>
          <w:sz w:val="24"/>
          <w:szCs w:val="24"/>
        </w:rPr>
        <w:t>22</w:t>
      </w:r>
      <w:r w:rsidR="00A112C7">
        <w:rPr>
          <w:rFonts w:ascii="Times New Roman" w:hAnsi="Times New Roman" w:cs="Times New Roman"/>
          <w:noProof/>
          <w:sz w:val="24"/>
          <w:szCs w:val="24"/>
        </w:rPr>
        <w:t xml:space="preserve">(140), </w:t>
      </w:r>
      <w:r w:rsidR="00BE3B6C" w:rsidRPr="00BE3B6C">
        <w:rPr>
          <w:rFonts w:ascii="Times New Roman" w:hAnsi="Times New Roman" w:cs="Times New Roman"/>
          <w:noProof/>
          <w:sz w:val="24"/>
          <w:szCs w:val="24"/>
        </w:rPr>
        <w:t>1–55.</w:t>
      </w:r>
    </w:p>
    <w:p w14:paraId="01D330A4" w14:textId="4D245F3F" w:rsidR="00BE3B6C" w:rsidRPr="006750C9"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Lincol</w:t>
      </w:r>
      <w:r w:rsidR="00A112C7">
        <w:rPr>
          <w:rFonts w:ascii="Times New Roman" w:hAnsi="Times New Roman" w:cs="Times New Roman"/>
          <w:noProof/>
          <w:sz w:val="24"/>
          <w:szCs w:val="24"/>
        </w:rPr>
        <w:t xml:space="preserve">n, Y. S. and Guba, E. G. (1985). </w:t>
      </w:r>
      <w:r w:rsidR="006750C9">
        <w:rPr>
          <w:rFonts w:ascii="Times New Roman" w:hAnsi="Times New Roman" w:cs="Times New Roman"/>
          <w:i/>
          <w:iCs/>
          <w:noProof/>
          <w:sz w:val="24"/>
          <w:szCs w:val="24"/>
        </w:rPr>
        <w:t xml:space="preserve">Naturalistic Inquiry. </w:t>
      </w:r>
      <w:r w:rsidR="006750C9" w:rsidRPr="006750C9">
        <w:rPr>
          <w:rFonts w:ascii="Times New Roman" w:hAnsi="Times New Roman" w:cs="Times New Roman"/>
          <w:iCs/>
          <w:noProof/>
          <w:sz w:val="24"/>
          <w:szCs w:val="24"/>
        </w:rPr>
        <w:t xml:space="preserve">Beverly Hills, California: </w:t>
      </w:r>
      <w:r w:rsidR="006750C9">
        <w:rPr>
          <w:rFonts w:ascii="Times New Roman" w:hAnsi="Times New Roman" w:cs="Times New Roman"/>
          <w:iCs/>
          <w:noProof/>
          <w:sz w:val="24"/>
          <w:szCs w:val="24"/>
        </w:rPr>
        <w:t>Sage Publications Inc</w:t>
      </w:r>
    </w:p>
    <w:p w14:paraId="1DFDBCFA" w14:textId="250A5D6D"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Lind, A. C. </w:t>
      </w:r>
      <w:r w:rsidRPr="00BE3B6C">
        <w:rPr>
          <w:rFonts w:ascii="Times New Roman" w:hAnsi="Times New Roman" w:cs="Times New Roman"/>
          <w:i/>
          <w:iCs/>
          <w:noProof/>
          <w:sz w:val="24"/>
          <w:szCs w:val="24"/>
        </w:rPr>
        <w:t>et al.</w:t>
      </w:r>
      <w:r w:rsidR="006750C9">
        <w:rPr>
          <w:rFonts w:ascii="Times New Roman" w:hAnsi="Times New Roman" w:cs="Times New Roman"/>
          <w:noProof/>
          <w:sz w:val="24"/>
          <w:szCs w:val="24"/>
        </w:rPr>
        <w:t xml:space="preserve"> (1995). </w:t>
      </w:r>
      <w:r w:rsidRPr="00BE3B6C">
        <w:rPr>
          <w:rFonts w:ascii="Times New Roman" w:hAnsi="Times New Roman" w:cs="Times New Roman"/>
          <w:noProof/>
          <w:sz w:val="24"/>
          <w:szCs w:val="24"/>
        </w:rPr>
        <w:t>Prospective Peer</w:t>
      </w:r>
      <w:r w:rsidR="006750C9">
        <w:rPr>
          <w:rFonts w:ascii="Times New Roman" w:hAnsi="Times New Roman" w:cs="Times New Roman"/>
          <w:noProof/>
          <w:sz w:val="24"/>
          <w:szCs w:val="24"/>
        </w:rPr>
        <w:t xml:space="preserve">-Review in Surgical Pathology. </w:t>
      </w:r>
      <w:r w:rsidRPr="00BE3B6C">
        <w:rPr>
          <w:rFonts w:ascii="Times New Roman" w:hAnsi="Times New Roman" w:cs="Times New Roman"/>
          <w:i/>
          <w:iCs/>
          <w:noProof/>
          <w:sz w:val="24"/>
          <w:szCs w:val="24"/>
        </w:rPr>
        <w:t>American Journal of Clinical Pathology</w:t>
      </w:r>
      <w:r w:rsidR="006750C9">
        <w:rPr>
          <w:rFonts w:ascii="Times New Roman" w:hAnsi="Times New Roman" w:cs="Times New Roman"/>
          <w:noProof/>
          <w:sz w:val="24"/>
          <w:szCs w:val="24"/>
        </w:rPr>
        <w:t xml:space="preserve">. </w:t>
      </w:r>
      <w:r w:rsidR="006750C9" w:rsidRPr="006750C9">
        <w:rPr>
          <w:rFonts w:ascii="Times New Roman" w:hAnsi="Times New Roman" w:cs="Times New Roman"/>
          <w:b/>
          <w:noProof/>
          <w:sz w:val="24"/>
          <w:szCs w:val="24"/>
        </w:rPr>
        <w:t>104</w:t>
      </w:r>
      <w:r w:rsidR="006750C9">
        <w:rPr>
          <w:rFonts w:ascii="Times New Roman" w:hAnsi="Times New Roman" w:cs="Times New Roman"/>
          <w:noProof/>
          <w:sz w:val="24"/>
          <w:szCs w:val="24"/>
        </w:rPr>
        <w:t xml:space="preserve">(5), </w:t>
      </w:r>
      <w:r w:rsidRPr="00BE3B6C">
        <w:rPr>
          <w:rFonts w:ascii="Times New Roman" w:hAnsi="Times New Roman" w:cs="Times New Roman"/>
          <w:noProof/>
          <w:sz w:val="24"/>
          <w:szCs w:val="24"/>
        </w:rPr>
        <w:t>560–566.</w:t>
      </w:r>
    </w:p>
    <w:p w14:paraId="2A477B8C" w14:textId="2521C69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Linn, R. L., Baker, E. L. a</w:t>
      </w:r>
      <w:r w:rsidR="006750C9">
        <w:rPr>
          <w:rFonts w:ascii="Times New Roman" w:hAnsi="Times New Roman" w:cs="Times New Roman"/>
          <w:noProof/>
          <w:sz w:val="24"/>
          <w:szCs w:val="24"/>
        </w:rPr>
        <w:t xml:space="preserve">nd Dunbar, S. B. (1991). </w:t>
      </w:r>
      <w:r w:rsidRPr="00BE3B6C">
        <w:rPr>
          <w:rFonts w:ascii="Times New Roman" w:hAnsi="Times New Roman" w:cs="Times New Roman"/>
          <w:noProof/>
          <w:sz w:val="24"/>
          <w:szCs w:val="24"/>
        </w:rPr>
        <w:t>Complex, Performance-Based Assessment: Expecta</w:t>
      </w:r>
      <w:r w:rsidR="006750C9">
        <w:rPr>
          <w:rFonts w:ascii="Times New Roman" w:hAnsi="Times New Roman" w:cs="Times New Roman"/>
          <w:noProof/>
          <w:sz w:val="24"/>
          <w:szCs w:val="24"/>
        </w:rPr>
        <w:t xml:space="preserve">tions and Validation Criteria. </w:t>
      </w:r>
      <w:r w:rsidRPr="00BE3B6C">
        <w:rPr>
          <w:rFonts w:ascii="Times New Roman" w:hAnsi="Times New Roman" w:cs="Times New Roman"/>
          <w:i/>
          <w:iCs/>
          <w:noProof/>
          <w:sz w:val="24"/>
          <w:szCs w:val="24"/>
        </w:rPr>
        <w:t>Educational Researcher</w:t>
      </w:r>
      <w:r w:rsidR="006750C9">
        <w:rPr>
          <w:rFonts w:ascii="Times New Roman" w:hAnsi="Times New Roman" w:cs="Times New Roman"/>
          <w:noProof/>
          <w:sz w:val="24"/>
          <w:szCs w:val="24"/>
        </w:rPr>
        <w:t xml:space="preserve">. </w:t>
      </w:r>
      <w:r w:rsidR="006750C9" w:rsidRPr="006750C9">
        <w:rPr>
          <w:rFonts w:ascii="Times New Roman" w:hAnsi="Times New Roman" w:cs="Times New Roman"/>
          <w:b/>
          <w:noProof/>
          <w:sz w:val="24"/>
          <w:szCs w:val="24"/>
        </w:rPr>
        <w:t>20</w:t>
      </w:r>
      <w:r w:rsidR="006750C9">
        <w:rPr>
          <w:rFonts w:ascii="Times New Roman" w:hAnsi="Times New Roman" w:cs="Times New Roman"/>
          <w:noProof/>
          <w:sz w:val="24"/>
          <w:szCs w:val="24"/>
        </w:rPr>
        <w:t xml:space="preserve">(8), </w:t>
      </w:r>
      <w:r w:rsidRPr="00BE3B6C">
        <w:rPr>
          <w:rFonts w:ascii="Times New Roman" w:hAnsi="Times New Roman" w:cs="Times New Roman"/>
          <w:noProof/>
          <w:sz w:val="24"/>
          <w:szCs w:val="24"/>
        </w:rPr>
        <w:t xml:space="preserve">15–21. </w:t>
      </w:r>
    </w:p>
    <w:p w14:paraId="135B613C" w14:textId="6F852120" w:rsidR="00BE3B6C" w:rsidRPr="00BE3B6C" w:rsidRDefault="001F507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Lockyer, J. (2003). </w:t>
      </w:r>
      <w:r w:rsidR="00BE3B6C" w:rsidRPr="00BE3B6C">
        <w:rPr>
          <w:rFonts w:ascii="Times New Roman" w:hAnsi="Times New Roman" w:cs="Times New Roman"/>
          <w:noProof/>
          <w:sz w:val="24"/>
          <w:szCs w:val="24"/>
        </w:rPr>
        <w:t>Multisource feedback in the assessment of physi</w:t>
      </w:r>
      <w:r>
        <w:rPr>
          <w:rFonts w:ascii="Times New Roman" w:hAnsi="Times New Roman" w:cs="Times New Roman"/>
          <w:noProof/>
          <w:sz w:val="24"/>
          <w:szCs w:val="24"/>
        </w:rPr>
        <w:t>cian competencies.</w:t>
      </w:r>
      <w:r w:rsidR="00BE3B6C" w:rsidRPr="00BE3B6C">
        <w:rPr>
          <w:rFonts w:ascii="Times New Roman" w:hAnsi="Times New Roman" w:cs="Times New Roman"/>
          <w:noProof/>
          <w:sz w:val="24"/>
          <w:szCs w:val="24"/>
        </w:rPr>
        <w:t xml:space="preserve"> </w:t>
      </w:r>
      <w:r>
        <w:rPr>
          <w:rFonts w:ascii="Times New Roman" w:hAnsi="Times New Roman" w:cs="Times New Roman"/>
          <w:i/>
          <w:iCs/>
          <w:noProof/>
          <w:sz w:val="24"/>
          <w:szCs w:val="24"/>
        </w:rPr>
        <w:t>The Journal of Continuing Education in the Health P</w:t>
      </w:r>
      <w:r w:rsidR="00BE3B6C" w:rsidRPr="00BE3B6C">
        <w:rPr>
          <w:rFonts w:ascii="Times New Roman" w:hAnsi="Times New Roman" w:cs="Times New Roman"/>
          <w:i/>
          <w:iCs/>
          <w:noProof/>
          <w:sz w:val="24"/>
          <w:szCs w:val="24"/>
        </w:rPr>
        <w:t>rofessions</w:t>
      </w:r>
      <w:r>
        <w:rPr>
          <w:rFonts w:ascii="Times New Roman" w:hAnsi="Times New Roman" w:cs="Times New Roman"/>
          <w:noProof/>
          <w:sz w:val="24"/>
          <w:szCs w:val="24"/>
        </w:rPr>
        <w:t xml:space="preserve">. </w:t>
      </w:r>
      <w:r w:rsidRPr="001F5072">
        <w:rPr>
          <w:rFonts w:ascii="Times New Roman" w:hAnsi="Times New Roman" w:cs="Times New Roman"/>
          <w:b/>
          <w:noProof/>
          <w:sz w:val="24"/>
          <w:szCs w:val="24"/>
        </w:rPr>
        <w:t>23</w:t>
      </w:r>
      <w:r>
        <w:rPr>
          <w:rFonts w:ascii="Times New Roman" w:hAnsi="Times New Roman" w:cs="Times New Roman"/>
          <w:noProof/>
          <w:sz w:val="24"/>
          <w:szCs w:val="24"/>
        </w:rPr>
        <w:t xml:space="preserve">(1), 4–12. </w:t>
      </w:r>
    </w:p>
    <w:p w14:paraId="33ADF731" w14:textId="6384B6BC" w:rsidR="00BE3B6C" w:rsidRPr="00BE3B6C" w:rsidRDefault="001F507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Long, D. M. (2000). </w:t>
      </w:r>
      <w:r w:rsidR="00BE3B6C" w:rsidRPr="00BE3B6C">
        <w:rPr>
          <w:rFonts w:ascii="Times New Roman" w:hAnsi="Times New Roman" w:cs="Times New Roman"/>
          <w:noProof/>
          <w:sz w:val="24"/>
          <w:szCs w:val="24"/>
        </w:rPr>
        <w:t xml:space="preserve">Competency-based residency training: The next advance </w:t>
      </w:r>
      <w:r>
        <w:rPr>
          <w:rFonts w:ascii="Times New Roman" w:hAnsi="Times New Roman" w:cs="Times New Roman"/>
          <w:noProof/>
          <w:sz w:val="24"/>
          <w:szCs w:val="24"/>
        </w:rPr>
        <w:t xml:space="preserve">in graduate medical education. </w:t>
      </w:r>
      <w:r w:rsidR="00BE3B6C" w:rsidRPr="00BE3B6C">
        <w:rPr>
          <w:rFonts w:ascii="Times New Roman" w:hAnsi="Times New Roman" w:cs="Times New Roman"/>
          <w:i/>
          <w:iCs/>
          <w:noProof/>
          <w:sz w:val="24"/>
          <w:szCs w:val="24"/>
        </w:rPr>
        <w:t>Academic Medicine</w:t>
      </w:r>
      <w:r>
        <w:rPr>
          <w:rFonts w:ascii="Times New Roman" w:hAnsi="Times New Roman" w:cs="Times New Roman"/>
          <w:noProof/>
          <w:sz w:val="24"/>
          <w:szCs w:val="24"/>
        </w:rPr>
        <w:t xml:space="preserve">. </w:t>
      </w:r>
      <w:r w:rsidR="00BE3B6C" w:rsidRPr="001F5072">
        <w:rPr>
          <w:rFonts w:ascii="Times New Roman" w:hAnsi="Times New Roman" w:cs="Times New Roman"/>
          <w:b/>
          <w:noProof/>
          <w:sz w:val="24"/>
          <w:szCs w:val="24"/>
        </w:rPr>
        <w:t>7</w:t>
      </w:r>
      <w:r w:rsidRPr="001F5072">
        <w:rPr>
          <w:rFonts w:ascii="Times New Roman" w:hAnsi="Times New Roman" w:cs="Times New Roman"/>
          <w:b/>
          <w:noProof/>
          <w:sz w:val="24"/>
          <w:szCs w:val="24"/>
        </w:rPr>
        <w:t>5</w:t>
      </w:r>
      <w:r>
        <w:rPr>
          <w:rFonts w:ascii="Times New Roman" w:hAnsi="Times New Roman" w:cs="Times New Roman"/>
          <w:noProof/>
          <w:sz w:val="24"/>
          <w:szCs w:val="24"/>
        </w:rPr>
        <w:t xml:space="preserve">(12), </w:t>
      </w:r>
      <w:r w:rsidR="00BE3B6C" w:rsidRPr="00BE3B6C">
        <w:rPr>
          <w:rFonts w:ascii="Times New Roman" w:hAnsi="Times New Roman" w:cs="Times New Roman"/>
          <w:noProof/>
          <w:sz w:val="24"/>
          <w:szCs w:val="24"/>
        </w:rPr>
        <w:t xml:space="preserve">1178–1183. </w:t>
      </w:r>
    </w:p>
    <w:p w14:paraId="394388D3" w14:textId="2781931C" w:rsidR="00BE3B6C" w:rsidRPr="00BE3B6C" w:rsidRDefault="001F5072"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Lowry, S. (1993). </w:t>
      </w:r>
      <w:r w:rsidRPr="001F5072">
        <w:rPr>
          <w:rFonts w:ascii="Times New Roman" w:hAnsi="Times New Roman" w:cs="Times New Roman"/>
          <w:i/>
          <w:noProof/>
          <w:sz w:val="24"/>
          <w:szCs w:val="24"/>
        </w:rPr>
        <w:t>Medical Education</w:t>
      </w:r>
      <w:r>
        <w:rPr>
          <w:rFonts w:ascii="Times New Roman" w:hAnsi="Times New Roman" w:cs="Times New Roman"/>
          <w:noProof/>
          <w:sz w:val="24"/>
          <w:szCs w:val="24"/>
        </w:rPr>
        <w:t xml:space="preserve">. </w:t>
      </w:r>
      <w:r w:rsidR="00BE3B6C" w:rsidRPr="00BE3B6C">
        <w:rPr>
          <w:rFonts w:ascii="Times New Roman" w:hAnsi="Times New Roman" w:cs="Times New Roman"/>
          <w:noProof/>
          <w:sz w:val="24"/>
          <w:szCs w:val="24"/>
        </w:rPr>
        <w:t>London, UK</w:t>
      </w:r>
      <w:r>
        <w:rPr>
          <w:rFonts w:ascii="Times New Roman" w:hAnsi="Times New Roman" w:cs="Times New Roman"/>
          <w:noProof/>
          <w:sz w:val="24"/>
          <w:szCs w:val="24"/>
        </w:rPr>
        <w:t xml:space="preserve">: BMJ books. </w:t>
      </w:r>
      <w:r w:rsidR="00BE3B6C" w:rsidRPr="00BE3B6C">
        <w:rPr>
          <w:rFonts w:ascii="Times New Roman" w:hAnsi="Times New Roman" w:cs="Times New Roman"/>
          <w:noProof/>
          <w:sz w:val="24"/>
          <w:szCs w:val="24"/>
        </w:rPr>
        <w:t>pp. 46–47.</w:t>
      </w:r>
    </w:p>
    <w:p w14:paraId="6EE4DB18" w14:textId="0A8B71A4"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Luijk, S. J. Van </w:t>
      </w:r>
      <w:r w:rsidRPr="00BE3B6C">
        <w:rPr>
          <w:rFonts w:ascii="Times New Roman" w:hAnsi="Times New Roman" w:cs="Times New Roman"/>
          <w:i/>
          <w:iCs/>
          <w:noProof/>
          <w:sz w:val="24"/>
          <w:szCs w:val="24"/>
        </w:rPr>
        <w:t>et al.</w:t>
      </w:r>
      <w:r w:rsidR="00AF1E88">
        <w:rPr>
          <w:rFonts w:ascii="Times New Roman" w:hAnsi="Times New Roman" w:cs="Times New Roman"/>
          <w:noProof/>
          <w:sz w:val="24"/>
          <w:szCs w:val="24"/>
        </w:rPr>
        <w:t xml:space="preserve"> (2000). </w:t>
      </w:r>
      <w:r w:rsidRPr="00BE3B6C">
        <w:rPr>
          <w:rFonts w:ascii="Times New Roman" w:hAnsi="Times New Roman" w:cs="Times New Roman"/>
          <w:noProof/>
          <w:sz w:val="24"/>
          <w:szCs w:val="24"/>
        </w:rPr>
        <w:t>Assessing professional behaviour and the role of academic advice at t</w:t>
      </w:r>
      <w:r w:rsidR="00AF1E88">
        <w:rPr>
          <w:rFonts w:ascii="Times New Roman" w:hAnsi="Times New Roman" w:cs="Times New Roman"/>
          <w:noProof/>
          <w:sz w:val="24"/>
          <w:szCs w:val="24"/>
        </w:rPr>
        <w:t xml:space="preserve">he Maastricht Medical School. </w:t>
      </w:r>
      <w:r w:rsidRPr="00BE3B6C">
        <w:rPr>
          <w:rFonts w:ascii="Times New Roman" w:hAnsi="Times New Roman" w:cs="Times New Roman"/>
          <w:i/>
          <w:iCs/>
          <w:noProof/>
          <w:sz w:val="24"/>
          <w:szCs w:val="24"/>
        </w:rPr>
        <w:t>Medical Teacher</w:t>
      </w:r>
      <w:r w:rsidR="00AF1E88">
        <w:rPr>
          <w:rFonts w:ascii="Times New Roman" w:hAnsi="Times New Roman" w:cs="Times New Roman"/>
          <w:noProof/>
          <w:sz w:val="24"/>
          <w:szCs w:val="24"/>
        </w:rPr>
        <w:t xml:space="preserve">. </w:t>
      </w:r>
      <w:r w:rsidR="00AF1E88" w:rsidRPr="00AF1E88">
        <w:rPr>
          <w:rFonts w:ascii="Times New Roman" w:hAnsi="Times New Roman" w:cs="Times New Roman"/>
          <w:b/>
          <w:noProof/>
          <w:sz w:val="24"/>
          <w:szCs w:val="24"/>
        </w:rPr>
        <w:t>22</w:t>
      </w:r>
      <w:r w:rsidR="00AF1E88">
        <w:rPr>
          <w:rFonts w:ascii="Times New Roman" w:hAnsi="Times New Roman" w:cs="Times New Roman"/>
          <w:noProof/>
          <w:sz w:val="24"/>
          <w:szCs w:val="24"/>
        </w:rPr>
        <w:t>(2), 168–172.</w:t>
      </w:r>
    </w:p>
    <w:p w14:paraId="5CB61CC1" w14:textId="2EC83B42" w:rsidR="00BE3B6C" w:rsidRDefault="00AF1E88"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MacDougall, M. (2015). </w:t>
      </w:r>
      <w:r w:rsidR="00BE3B6C" w:rsidRPr="00BE3B6C">
        <w:rPr>
          <w:rFonts w:ascii="Times New Roman" w:hAnsi="Times New Roman" w:cs="Times New Roman"/>
          <w:noProof/>
          <w:sz w:val="24"/>
          <w:szCs w:val="24"/>
        </w:rPr>
        <w:t>Variation in assessment and standard setting practices across UK undergraduate medicine</w:t>
      </w:r>
      <w:r>
        <w:rPr>
          <w:rFonts w:ascii="Times New Roman" w:hAnsi="Times New Roman" w:cs="Times New Roman"/>
          <w:noProof/>
          <w:sz w:val="24"/>
          <w:szCs w:val="24"/>
        </w:rPr>
        <w:t xml:space="preserve"> and the need for a benchmark. </w:t>
      </w:r>
      <w:r>
        <w:rPr>
          <w:rFonts w:ascii="Times New Roman" w:hAnsi="Times New Roman" w:cs="Times New Roman"/>
          <w:i/>
          <w:iCs/>
          <w:noProof/>
          <w:sz w:val="24"/>
          <w:szCs w:val="24"/>
        </w:rPr>
        <w:t>International Journal of Medical E</w:t>
      </w:r>
      <w:r w:rsidR="00BE3B6C" w:rsidRPr="00BE3B6C">
        <w:rPr>
          <w:rFonts w:ascii="Times New Roman" w:hAnsi="Times New Roman" w:cs="Times New Roman"/>
          <w:i/>
          <w:iCs/>
          <w:noProof/>
          <w:sz w:val="24"/>
          <w:szCs w:val="24"/>
        </w:rPr>
        <w:t>ducation</w:t>
      </w:r>
      <w:r>
        <w:rPr>
          <w:rFonts w:ascii="Times New Roman" w:hAnsi="Times New Roman" w:cs="Times New Roman"/>
          <w:noProof/>
          <w:sz w:val="24"/>
          <w:szCs w:val="24"/>
        </w:rPr>
        <w:t xml:space="preserve">. 31(6), </w:t>
      </w:r>
      <w:r w:rsidR="00BE3B6C" w:rsidRPr="00BE3B6C">
        <w:rPr>
          <w:rFonts w:ascii="Times New Roman" w:hAnsi="Times New Roman" w:cs="Times New Roman"/>
          <w:noProof/>
          <w:sz w:val="24"/>
          <w:szCs w:val="24"/>
        </w:rPr>
        <w:t xml:space="preserve">125–135. </w:t>
      </w:r>
    </w:p>
    <w:p w14:paraId="517A0DD3" w14:textId="52EB95B4" w:rsidR="00BE3B6C" w:rsidRPr="00BE3B6C" w:rsidRDefault="00AF1E88"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MacLellan, E. (2001). </w:t>
      </w:r>
      <w:r w:rsidR="00BE3B6C" w:rsidRPr="00BE3B6C">
        <w:rPr>
          <w:rFonts w:ascii="Times New Roman" w:hAnsi="Times New Roman" w:cs="Times New Roman"/>
          <w:noProof/>
          <w:sz w:val="24"/>
          <w:szCs w:val="24"/>
        </w:rPr>
        <w:t>Assessment for Learning: the differing perce</w:t>
      </w:r>
      <w:r>
        <w:rPr>
          <w:rFonts w:ascii="Times New Roman" w:hAnsi="Times New Roman" w:cs="Times New Roman"/>
          <w:noProof/>
          <w:sz w:val="24"/>
          <w:szCs w:val="24"/>
        </w:rPr>
        <w:t xml:space="preserve">ptions of tutors and students. </w:t>
      </w:r>
      <w:r>
        <w:rPr>
          <w:rFonts w:ascii="Times New Roman" w:hAnsi="Times New Roman" w:cs="Times New Roman"/>
          <w:i/>
          <w:iCs/>
          <w:noProof/>
          <w:sz w:val="24"/>
          <w:szCs w:val="24"/>
        </w:rPr>
        <w:t>Assessment and</w:t>
      </w:r>
      <w:r w:rsidR="00BE3B6C" w:rsidRPr="00BE3B6C">
        <w:rPr>
          <w:rFonts w:ascii="Times New Roman" w:hAnsi="Times New Roman" w:cs="Times New Roman"/>
          <w:i/>
          <w:iCs/>
          <w:noProof/>
          <w:sz w:val="24"/>
          <w:szCs w:val="24"/>
        </w:rPr>
        <w:t xml:space="preserve"> Evaluation in Higher Education</w:t>
      </w:r>
      <w:r>
        <w:rPr>
          <w:rFonts w:ascii="Times New Roman" w:hAnsi="Times New Roman" w:cs="Times New Roman"/>
          <w:noProof/>
          <w:sz w:val="24"/>
          <w:szCs w:val="24"/>
        </w:rPr>
        <w:t xml:space="preserve">. </w:t>
      </w:r>
      <w:r w:rsidRPr="00AF1E88">
        <w:rPr>
          <w:rFonts w:ascii="Times New Roman" w:hAnsi="Times New Roman" w:cs="Times New Roman"/>
          <w:b/>
          <w:noProof/>
          <w:sz w:val="24"/>
          <w:szCs w:val="24"/>
        </w:rPr>
        <w:t>26</w:t>
      </w:r>
      <w:r>
        <w:rPr>
          <w:rFonts w:ascii="Times New Roman" w:hAnsi="Times New Roman" w:cs="Times New Roman"/>
          <w:noProof/>
          <w:sz w:val="24"/>
          <w:szCs w:val="24"/>
        </w:rPr>
        <w:t xml:space="preserve">(4), 307–318. </w:t>
      </w:r>
    </w:p>
    <w:p w14:paraId="52713F34" w14:textId="7CF38E4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Mann, K., Gor</w:t>
      </w:r>
      <w:r w:rsidR="00AF1E88">
        <w:rPr>
          <w:rFonts w:ascii="Times New Roman" w:hAnsi="Times New Roman" w:cs="Times New Roman"/>
          <w:noProof/>
          <w:sz w:val="24"/>
          <w:szCs w:val="24"/>
        </w:rPr>
        <w:t xml:space="preserve">don, J. and MacLeod, A. (2009). </w:t>
      </w:r>
      <w:r w:rsidRPr="00BE3B6C">
        <w:rPr>
          <w:rFonts w:ascii="Times New Roman" w:hAnsi="Times New Roman" w:cs="Times New Roman"/>
          <w:noProof/>
          <w:sz w:val="24"/>
          <w:szCs w:val="24"/>
        </w:rPr>
        <w:t>Reflection and reflective practice in health professions education: A syst</w:t>
      </w:r>
      <w:r w:rsidR="00AF1E88">
        <w:rPr>
          <w:rFonts w:ascii="Times New Roman" w:hAnsi="Times New Roman" w:cs="Times New Roman"/>
          <w:noProof/>
          <w:sz w:val="24"/>
          <w:szCs w:val="24"/>
        </w:rPr>
        <w:t xml:space="preserve">ematic review. </w:t>
      </w:r>
      <w:r w:rsidRPr="00BE3B6C">
        <w:rPr>
          <w:rFonts w:ascii="Times New Roman" w:hAnsi="Times New Roman" w:cs="Times New Roman"/>
          <w:i/>
          <w:iCs/>
          <w:noProof/>
          <w:sz w:val="24"/>
          <w:szCs w:val="24"/>
        </w:rPr>
        <w:t>Advances in Health Sciences Education</w:t>
      </w:r>
      <w:r w:rsidR="00AF1E88">
        <w:rPr>
          <w:rFonts w:ascii="Times New Roman" w:hAnsi="Times New Roman" w:cs="Times New Roman"/>
          <w:noProof/>
          <w:sz w:val="24"/>
          <w:szCs w:val="24"/>
        </w:rPr>
        <w:t xml:space="preserve">. </w:t>
      </w:r>
      <w:r w:rsidR="00AF1E88" w:rsidRPr="00AF1E88">
        <w:rPr>
          <w:rFonts w:ascii="Times New Roman" w:hAnsi="Times New Roman" w:cs="Times New Roman"/>
          <w:b/>
          <w:noProof/>
          <w:sz w:val="24"/>
          <w:szCs w:val="24"/>
        </w:rPr>
        <w:t>14</w:t>
      </w:r>
      <w:r w:rsidR="00AF1E88">
        <w:rPr>
          <w:rFonts w:ascii="Times New Roman" w:hAnsi="Times New Roman" w:cs="Times New Roman"/>
          <w:noProof/>
          <w:sz w:val="24"/>
          <w:szCs w:val="24"/>
        </w:rPr>
        <w:t xml:space="preserve">(4), </w:t>
      </w:r>
      <w:r w:rsidRPr="00BE3B6C">
        <w:rPr>
          <w:rFonts w:ascii="Times New Roman" w:hAnsi="Times New Roman" w:cs="Times New Roman"/>
          <w:noProof/>
          <w:sz w:val="24"/>
          <w:szCs w:val="24"/>
        </w:rPr>
        <w:t xml:space="preserve">595–621. </w:t>
      </w:r>
    </w:p>
    <w:p w14:paraId="5D9288C7" w14:textId="0F6AE6C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Marriott, J. </w:t>
      </w:r>
      <w:r w:rsidRPr="00BE3B6C">
        <w:rPr>
          <w:rFonts w:ascii="Times New Roman" w:hAnsi="Times New Roman" w:cs="Times New Roman"/>
          <w:i/>
          <w:iCs/>
          <w:noProof/>
          <w:sz w:val="24"/>
          <w:szCs w:val="24"/>
        </w:rPr>
        <w:t>et al.</w:t>
      </w:r>
      <w:r w:rsidR="00AF1E88">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Evaluation of procedure-based assessment for assessing trainees sk</w:t>
      </w:r>
      <w:r w:rsidR="00AF1E88">
        <w:rPr>
          <w:rFonts w:ascii="Times New Roman" w:hAnsi="Times New Roman" w:cs="Times New Roman"/>
          <w:noProof/>
          <w:sz w:val="24"/>
          <w:szCs w:val="24"/>
        </w:rPr>
        <w:t xml:space="preserve">ills in the operating theatre. </w:t>
      </w:r>
      <w:r w:rsidRPr="00BE3B6C">
        <w:rPr>
          <w:rFonts w:ascii="Times New Roman" w:hAnsi="Times New Roman" w:cs="Times New Roman"/>
          <w:i/>
          <w:iCs/>
          <w:noProof/>
          <w:sz w:val="24"/>
          <w:szCs w:val="24"/>
        </w:rPr>
        <w:t>British Journal of Surgery</w:t>
      </w:r>
      <w:r w:rsidR="00AF1E88">
        <w:rPr>
          <w:rFonts w:ascii="Times New Roman" w:hAnsi="Times New Roman" w:cs="Times New Roman"/>
          <w:noProof/>
          <w:sz w:val="24"/>
          <w:szCs w:val="24"/>
        </w:rPr>
        <w:t xml:space="preserve">. </w:t>
      </w:r>
      <w:r w:rsidR="000949AB" w:rsidRPr="000949AB">
        <w:rPr>
          <w:rFonts w:ascii="Times New Roman" w:hAnsi="Times New Roman" w:cs="Times New Roman"/>
          <w:b/>
          <w:noProof/>
          <w:sz w:val="24"/>
          <w:szCs w:val="24"/>
        </w:rPr>
        <w:t>98</w:t>
      </w:r>
      <w:r w:rsidR="000949AB">
        <w:rPr>
          <w:rFonts w:ascii="Times New Roman" w:hAnsi="Times New Roman" w:cs="Times New Roman"/>
          <w:noProof/>
          <w:sz w:val="24"/>
          <w:szCs w:val="24"/>
        </w:rPr>
        <w:t>(3),</w:t>
      </w:r>
      <w:r w:rsidR="00AF1E88">
        <w:rPr>
          <w:rFonts w:ascii="Times New Roman" w:hAnsi="Times New Roman" w:cs="Times New Roman"/>
          <w:noProof/>
          <w:sz w:val="24"/>
          <w:szCs w:val="24"/>
        </w:rPr>
        <w:t xml:space="preserve"> 450–457. </w:t>
      </w:r>
    </w:p>
    <w:p w14:paraId="599620CB" w14:textId="27719403"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Ma</w:t>
      </w:r>
      <w:r w:rsidR="004F1B65">
        <w:rPr>
          <w:rFonts w:ascii="Times New Roman" w:hAnsi="Times New Roman" w:cs="Times New Roman"/>
          <w:noProof/>
          <w:sz w:val="24"/>
          <w:szCs w:val="24"/>
        </w:rPr>
        <w:t xml:space="preserve">ssie, J. and Ali, J. M. (2015). </w:t>
      </w:r>
      <w:r w:rsidRPr="00BE3B6C">
        <w:rPr>
          <w:rFonts w:ascii="Times New Roman" w:hAnsi="Times New Roman" w:cs="Times New Roman"/>
          <w:noProof/>
          <w:sz w:val="24"/>
          <w:szCs w:val="24"/>
        </w:rPr>
        <w:t>Workplace-based assessment: a review of user perceptions and strategies to addres</w:t>
      </w:r>
      <w:r w:rsidR="004F1B65">
        <w:rPr>
          <w:rFonts w:ascii="Times New Roman" w:hAnsi="Times New Roman" w:cs="Times New Roman"/>
          <w:noProof/>
          <w:sz w:val="24"/>
          <w:szCs w:val="24"/>
        </w:rPr>
        <w:t xml:space="preserve">s the identified shortcomings. </w:t>
      </w:r>
      <w:r w:rsidRPr="00BE3B6C">
        <w:rPr>
          <w:rFonts w:ascii="Times New Roman" w:hAnsi="Times New Roman" w:cs="Times New Roman"/>
          <w:i/>
          <w:iCs/>
          <w:noProof/>
          <w:sz w:val="24"/>
          <w:szCs w:val="24"/>
        </w:rPr>
        <w:t>Advances in Health Sciences Education</w:t>
      </w:r>
      <w:r w:rsidR="004F1B65">
        <w:rPr>
          <w:rFonts w:ascii="Times New Roman" w:hAnsi="Times New Roman" w:cs="Times New Roman"/>
          <w:noProof/>
          <w:sz w:val="24"/>
          <w:szCs w:val="24"/>
        </w:rPr>
        <w:t>.</w:t>
      </w:r>
      <w:r w:rsidR="004F1B65" w:rsidRPr="00436EF8">
        <w:rPr>
          <w:rFonts w:ascii="Times New Roman" w:hAnsi="Times New Roman" w:cs="Times New Roman"/>
          <w:b/>
          <w:noProof/>
          <w:sz w:val="24"/>
          <w:szCs w:val="24"/>
        </w:rPr>
        <w:t>21</w:t>
      </w:r>
      <w:r w:rsidR="004F1B65">
        <w:rPr>
          <w:rFonts w:ascii="Times New Roman" w:hAnsi="Times New Roman" w:cs="Times New Roman"/>
          <w:noProof/>
          <w:sz w:val="24"/>
          <w:szCs w:val="24"/>
        </w:rPr>
        <w:t>(2), 455-73.</w:t>
      </w:r>
    </w:p>
    <w:p w14:paraId="6F74F82A" w14:textId="71E12BB1" w:rsidR="00BE3B6C" w:rsidRPr="00BE3B6C" w:rsidRDefault="00436EF8"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Masters, G. N., Adams, R. J. and Wilson, M. (1999). Charting of student progress. I</w:t>
      </w:r>
      <w:r w:rsidR="00BE3B6C" w:rsidRPr="00BE3B6C">
        <w:rPr>
          <w:rFonts w:ascii="Times New Roman" w:hAnsi="Times New Roman" w:cs="Times New Roman"/>
          <w:noProof/>
          <w:sz w:val="24"/>
          <w:szCs w:val="24"/>
        </w:rPr>
        <w:t>n</w:t>
      </w:r>
      <w:r>
        <w:rPr>
          <w:rFonts w:ascii="Times New Roman" w:hAnsi="Times New Roman" w:cs="Times New Roman"/>
          <w:noProof/>
          <w:sz w:val="24"/>
          <w:szCs w:val="24"/>
        </w:rPr>
        <w:t>: G. N. Masters and J. P. Keeves, ed</w:t>
      </w:r>
      <w:r w:rsidR="00DA7E9F">
        <w:rPr>
          <w:rFonts w:ascii="Times New Roman" w:hAnsi="Times New Roman" w:cs="Times New Roman"/>
          <w:noProof/>
          <w:sz w:val="24"/>
          <w:szCs w:val="24"/>
        </w:rPr>
        <w:t>s</w:t>
      </w:r>
      <w:r w:rsidR="00BE3B6C" w:rsidRPr="00BE3B6C">
        <w:rPr>
          <w:rFonts w:ascii="Times New Roman" w:hAnsi="Times New Roman" w:cs="Times New Roman"/>
          <w:noProof/>
          <w:sz w:val="24"/>
          <w:szCs w:val="24"/>
        </w:rPr>
        <w:t>.</w:t>
      </w:r>
      <w:r>
        <w:rPr>
          <w:rFonts w:ascii="Times New Roman" w:hAnsi="Times New Roman" w:cs="Times New Roman"/>
          <w:noProof/>
          <w:sz w:val="24"/>
          <w:szCs w:val="24"/>
        </w:rPr>
        <w:t xml:space="preserve"> </w:t>
      </w:r>
      <w:r w:rsidRPr="00436EF8">
        <w:rPr>
          <w:rFonts w:ascii="Times New Roman" w:hAnsi="Times New Roman" w:cs="Times New Roman"/>
          <w:i/>
          <w:noProof/>
          <w:sz w:val="24"/>
          <w:szCs w:val="24"/>
        </w:rPr>
        <w:t>Advances in Measurement in Educational Research and Assessment</w:t>
      </w:r>
      <w:r>
        <w:rPr>
          <w:rFonts w:ascii="Times New Roman" w:hAnsi="Times New Roman" w:cs="Times New Roman"/>
          <w:noProof/>
          <w:sz w:val="24"/>
          <w:szCs w:val="24"/>
        </w:rPr>
        <w:t xml:space="preserve">. Bingley, UK: Emerald Group Publishing. </w:t>
      </w:r>
      <w:r w:rsidR="00BE3B6C" w:rsidRPr="00BE3B6C">
        <w:rPr>
          <w:rFonts w:ascii="Times New Roman" w:hAnsi="Times New Roman" w:cs="Times New Roman"/>
          <w:noProof/>
          <w:sz w:val="24"/>
          <w:szCs w:val="24"/>
        </w:rPr>
        <w:t xml:space="preserve"> pp. 254–267.</w:t>
      </w:r>
    </w:p>
    <w:p w14:paraId="75615D17" w14:textId="751294A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Matveevskii, A., Moore, D. L. </w:t>
      </w:r>
      <w:r w:rsidR="00DA7E9F">
        <w:rPr>
          <w:rFonts w:ascii="Times New Roman" w:hAnsi="Times New Roman" w:cs="Times New Roman"/>
          <w:noProof/>
          <w:sz w:val="24"/>
          <w:szCs w:val="24"/>
        </w:rPr>
        <w:t xml:space="preserve">and Samuels, P. J. (2012). </w:t>
      </w:r>
      <w:r w:rsidRPr="00BE3B6C">
        <w:rPr>
          <w:rFonts w:ascii="Times New Roman" w:hAnsi="Times New Roman" w:cs="Times New Roman"/>
          <w:noProof/>
          <w:sz w:val="24"/>
          <w:szCs w:val="24"/>
        </w:rPr>
        <w:t>Competency an</w:t>
      </w:r>
      <w:r w:rsidR="00DA7E9F">
        <w:rPr>
          <w:rFonts w:ascii="Times New Roman" w:hAnsi="Times New Roman" w:cs="Times New Roman"/>
          <w:noProof/>
          <w:sz w:val="24"/>
          <w:szCs w:val="24"/>
        </w:rPr>
        <w:t xml:space="preserve">d professionalism in medicine. </w:t>
      </w:r>
      <w:r w:rsidRPr="00BE3B6C">
        <w:rPr>
          <w:rFonts w:ascii="Times New Roman" w:hAnsi="Times New Roman" w:cs="Times New Roman"/>
          <w:i/>
          <w:iCs/>
          <w:noProof/>
          <w:sz w:val="24"/>
          <w:szCs w:val="24"/>
        </w:rPr>
        <w:t>Clinical Teacher</w:t>
      </w:r>
      <w:r w:rsidR="00DA7E9F">
        <w:rPr>
          <w:rFonts w:ascii="Times New Roman" w:hAnsi="Times New Roman" w:cs="Times New Roman"/>
          <w:noProof/>
          <w:sz w:val="24"/>
          <w:szCs w:val="24"/>
        </w:rPr>
        <w:t>.</w:t>
      </w:r>
      <w:r w:rsidR="00DA7E9F" w:rsidRPr="00DA7E9F">
        <w:rPr>
          <w:rFonts w:ascii="Times New Roman" w:hAnsi="Times New Roman" w:cs="Times New Roman"/>
          <w:b/>
          <w:noProof/>
          <w:sz w:val="24"/>
          <w:szCs w:val="24"/>
        </w:rPr>
        <w:t xml:space="preserve"> 9</w:t>
      </w:r>
      <w:r w:rsidR="00DA7E9F">
        <w:rPr>
          <w:rFonts w:ascii="Times New Roman" w:hAnsi="Times New Roman" w:cs="Times New Roman"/>
          <w:noProof/>
          <w:sz w:val="24"/>
          <w:szCs w:val="24"/>
        </w:rPr>
        <w:t xml:space="preserve">(2), 75–79. </w:t>
      </w:r>
    </w:p>
    <w:p w14:paraId="333D22AF" w14:textId="518FB3E4"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Mayer, R.</w:t>
      </w:r>
      <w:r w:rsidR="00E56D87">
        <w:rPr>
          <w:rFonts w:ascii="Times New Roman" w:hAnsi="Times New Roman" w:cs="Times New Roman"/>
          <w:noProof/>
          <w:sz w:val="24"/>
          <w:szCs w:val="24"/>
        </w:rPr>
        <w:t xml:space="preserve"> C.</w:t>
      </w:r>
      <w:r w:rsidRPr="00BE3B6C">
        <w:rPr>
          <w:rFonts w:ascii="Times New Roman" w:hAnsi="Times New Roman" w:cs="Times New Roman"/>
          <w:noProof/>
          <w:sz w:val="24"/>
          <w:szCs w:val="24"/>
        </w:rPr>
        <w:t xml:space="preserve">, Davis, J. </w:t>
      </w:r>
      <w:r w:rsidR="00DA7E9F">
        <w:rPr>
          <w:rFonts w:ascii="Times New Roman" w:hAnsi="Times New Roman" w:cs="Times New Roman"/>
          <w:noProof/>
          <w:sz w:val="24"/>
          <w:szCs w:val="24"/>
        </w:rPr>
        <w:t xml:space="preserve">H. and Schoorman, F. D. (1995). </w:t>
      </w:r>
      <w:r w:rsidRPr="00BE3B6C">
        <w:rPr>
          <w:rFonts w:ascii="Times New Roman" w:hAnsi="Times New Roman" w:cs="Times New Roman"/>
          <w:noProof/>
          <w:sz w:val="24"/>
          <w:szCs w:val="24"/>
        </w:rPr>
        <w:t>An integrative</w:t>
      </w:r>
      <w:r w:rsidR="00E56D87">
        <w:rPr>
          <w:rFonts w:ascii="Times New Roman" w:hAnsi="Times New Roman" w:cs="Times New Roman"/>
          <w:noProof/>
          <w:sz w:val="24"/>
          <w:szCs w:val="24"/>
        </w:rPr>
        <w:t xml:space="preserve"> model of </w:t>
      </w:r>
      <w:r w:rsidR="00E56D87">
        <w:rPr>
          <w:rFonts w:ascii="Times New Roman" w:hAnsi="Times New Roman" w:cs="Times New Roman"/>
          <w:noProof/>
          <w:sz w:val="24"/>
          <w:szCs w:val="24"/>
        </w:rPr>
        <w:lastRenderedPageBreak/>
        <w:t xml:space="preserve">organisational trust. </w:t>
      </w:r>
      <w:r w:rsidR="00E56D87" w:rsidRPr="00E56D87">
        <w:rPr>
          <w:rFonts w:ascii="Times New Roman" w:hAnsi="Times New Roman" w:cs="Times New Roman"/>
          <w:i/>
          <w:noProof/>
          <w:sz w:val="24"/>
          <w:szCs w:val="24"/>
        </w:rPr>
        <w:t xml:space="preserve">The </w:t>
      </w:r>
      <w:r w:rsidRPr="00E56D87">
        <w:rPr>
          <w:rFonts w:ascii="Times New Roman" w:hAnsi="Times New Roman" w:cs="Times New Roman"/>
          <w:i/>
          <w:noProof/>
          <w:sz w:val="24"/>
          <w:szCs w:val="24"/>
        </w:rPr>
        <w:t>Academy of</w:t>
      </w:r>
      <w:r w:rsidR="00E56D87" w:rsidRPr="00E56D87">
        <w:rPr>
          <w:rFonts w:ascii="Times New Roman" w:hAnsi="Times New Roman" w:cs="Times New Roman"/>
          <w:i/>
          <w:noProof/>
          <w:sz w:val="24"/>
          <w:szCs w:val="24"/>
        </w:rPr>
        <w:t xml:space="preserve"> </w:t>
      </w:r>
      <w:r w:rsidRPr="00E56D87">
        <w:rPr>
          <w:rFonts w:ascii="Times New Roman" w:hAnsi="Times New Roman" w:cs="Times New Roman"/>
          <w:i/>
          <w:noProof/>
          <w:sz w:val="24"/>
          <w:szCs w:val="24"/>
        </w:rPr>
        <w:t>M</w:t>
      </w:r>
      <w:r w:rsidR="00E56D87" w:rsidRPr="00E56D87">
        <w:rPr>
          <w:rFonts w:ascii="Times New Roman" w:hAnsi="Times New Roman" w:cs="Times New Roman"/>
          <w:i/>
          <w:noProof/>
          <w:sz w:val="24"/>
          <w:szCs w:val="24"/>
        </w:rPr>
        <w:t>anagement Review</w:t>
      </w:r>
      <w:r w:rsidR="00E56D87">
        <w:rPr>
          <w:rFonts w:ascii="Times New Roman" w:hAnsi="Times New Roman" w:cs="Times New Roman"/>
          <w:noProof/>
          <w:sz w:val="24"/>
          <w:szCs w:val="24"/>
        </w:rPr>
        <w:t xml:space="preserve">. </w:t>
      </w:r>
      <w:r w:rsidR="00DA7E9F" w:rsidRPr="00E56D87">
        <w:rPr>
          <w:rFonts w:ascii="Times New Roman" w:hAnsi="Times New Roman" w:cs="Times New Roman"/>
          <w:b/>
          <w:noProof/>
          <w:sz w:val="24"/>
          <w:szCs w:val="24"/>
        </w:rPr>
        <w:t>20</w:t>
      </w:r>
      <w:r w:rsidR="00E56D87">
        <w:rPr>
          <w:rFonts w:ascii="Times New Roman" w:hAnsi="Times New Roman" w:cs="Times New Roman"/>
          <w:noProof/>
          <w:sz w:val="24"/>
          <w:szCs w:val="24"/>
        </w:rPr>
        <w:t>(3), 709-734</w:t>
      </w:r>
      <w:r w:rsidRPr="00BE3B6C">
        <w:rPr>
          <w:rFonts w:ascii="Times New Roman" w:hAnsi="Times New Roman" w:cs="Times New Roman"/>
          <w:noProof/>
          <w:sz w:val="24"/>
          <w:szCs w:val="24"/>
        </w:rPr>
        <w:t xml:space="preserve">. </w:t>
      </w:r>
    </w:p>
    <w:p w14:paraId="0F0818EE" w14:textId="1A58FC15" w:rsidR="000A7386" w:rsidRPr="000A7386" w:rsidRDefault="000A7386" w:rsidP="00BE3B6C">
      <w:pPr>
        <w:widowControl w:val="0"/>
        <w:autoSpaceDE w:val="0"/>
        <w:autoSpaceDN w:val="0"/>
        <w:adjustRightInd w:val="0"/>
        <w:spacing w:line="480" w:lineRule="auto"/>
        <w:rPr>
          <w:rFonts w:ascii="Times New Roman" w:hAnsi="Times New Roman" w:cs="Times New Roman"/>
          <w:noProof/>
          <w:sz w:val="24"/>
          <w:szCs w:val="24"/>
        </w:rPr>
      </w:pPr>
      <w:r w:rsidRPr="000A7386">
        <w:rPr>
          <w:rFonts w:ascii="Times New Roman" w:hAnsi="Times New Roman" w:cs="Times New Roman"/>
          <w:noProof/>
          <w:sz w:val="24"/>
          <w:szCs w:val="24"/>
        </w:rPr>
        <w:t>McCloskey, C. B.</w:t>
      </w:r>
      <w:r w:rsidRPr="000A7386">
        <w:rPr>
          <w:rFonts w:ascii="Times New Roman" w:hAnsi="Times New Roman" w:cs="Times New Roman"/>
          <w:iCs/>
          <w:noProof/>
          <w:sz w:val="24"/>
          <w:szCs w:val="24"/>
        </w:rPr>
        <w:t>, Dormen, R.E., Conran, R.M.</w:t>
      </w:r>
      <w:r w:rsidRPr="000A7386">
        <w:rPr>
          <w:rFonts w:ascii="Times New Roman" w:hAnsi="Times New Roman" w:cs="Times New Roman"/>
          <w:noProof/>
          <w:sz w:val="24"/>
          <w:szCs w:val="24"/>
        </w:rPr>
        <w:t xml:space="preserve"> (2017). </w:t>
      </w:r>
      <w:r w:rsidR="00BE3B6C" w:rsidRPr="000A7386">
        <w:rPr>
          <w:rFonts w:ascii="Times New Roman" w:hAnsi="Times New Roman" w:cs="Times New Roman"/>
          <w:noProof/>
          <w:sz w:val="24"/>
          <w:szCs w:val="24"/>
        </w:rPr>
        <w:t>Entrustable Profes</w:t>
      </w:r>
      <w:r w:rsidRPr="000A7386">
        <w:rPr>
          <w:rFonts w:ascii="Times New Roman" w:hAnsi="Times New Roman" w:cs="Times New Roman"/>
          <w:noProof/>
          <w:sz w:val="24"/>
          <w:szCs w:val="24"/>
        </w:rPr>
        <w:t>sional Activities for Pathology: recommendations from the College of American Pathologists Graduate Medical Education Committee.</w:t>
      </w:r>
      <w:r w:rsidR="00BE3B6C" w:rsidRPr="000A7386">
        <w:rPr>
          <w:rFonts w:ascii="Times New Roman" w:hAnsi="Times New Roman" w:cs="Times New Roman"/>
          <w:noProof/>
          <w:sz w:val="24"/>
          <w:szCs w:val="24"/>
        </w:rPr>
        <w:t xml:space="preserve"> </w:t>
      </w:r>
      <w:r w:rsidR="00BE3B6C" w:rsidRPr="000A7386">
        <w:rPr>
          <w:rFonts w:ascii="Times New Roman" w:hAnsi="Times New Roman" w:cs="Times New Roman"/>
          <w:i/>
          <w:iCs/>
          <w:noProof/>
          <w:sz w:val="24"/>
          <w:szCs w:val="24"/>
        </w:rPr>
        <w:t>Academic Pathology</w:t>
      </w:r>
      <w:r w:rsidRPr="000A7386">
        <w:rPr>
          <w:rFonts w:ascii="Times New Roman" w:hAnsi="Times New Roman" w:cs="Times New Roman"/>
          <w:noProof/>
          <w:sz w:val="24"/>
          <w:szCs w:val="24"/>
        </w:rPr>
        <w:t>.</w:t>
      </w:r>
      <w:r w:rsidRPr="000A7386">
        <w:rPr>
          <w:rFonts w:ascii="Times New Roman" w:hAnsi="Times New Roman" w:cs="Times New Roman"/>
          <w:b/>
          <w:noProof/>
          <w:sz w:val="24"/>
          <w:szCs w:val="24"/>
        </w:rPr>
        <w:t xml:space="preserve"> 4</w:t>
      </w:r>
      <w:r w:rsidRPr="000A7386">
        <w:rPr>
          <w:rFonts w:ascii="Times New Roman" w:hAnsi="Times New Roman" w:cs="Times New Roman"/>
          <w:noProof/>
          <w:sz w:val="24"/>
          <w:szCs w:val="24"/>
        </w:rPr>
        <w:t xml:space="preserve"> </w:t>
      </w:r>
    </w:p>
    <w:p w14:paraId="7D436F51" w14:textId="3EBE3A25" w:rsidR="00BE3B6C" w:rsidRPr="00BE3B6C" w:rsidRDefault="00D054E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McK</w:t>
      </w:r>
      <w:r w:rsidR="00BE3B6C" w:rsidRPr="00BE3B6C">
        <w:rPr>
          <w:rFonts w:ascii="Times New Roman" w:hAnsi="Times New Roman" w:cs="Times New Roman"/>
          <w:noProof/>
          <w:sz w:val="24"/>
          <w:szCs w:val="24"/>
        </w:rPr>
        <w:t>avanagh, P., Smyt</w:t>
      </w:r>
      <w:r w:rsidR="00F53B9F">
        <w:rPr>
          <w:rFonts w:ascii="Times New Roman" w:hAnsi="Times New Roman" w:cs="Times New Roman"/>
          <w:noProof/>
          <w:sz w:val="24"/>
          <w:szCs w:val="24"/>
        </w:rPr>
        <w:t xml:space="preserve">h, A. and Carragher, A. (2012). </w:t>
      </w:r>
      <w:r w:rsidR="00BE3B6C" w:rsidRPr="00BE3B6C">
        <w:rPr>
          <w:rFonts w:ascii="Times New Roman" w:hAnsi="Times New Roman" w:cs="Times New Roman"/>
          <w:noProof/>
          <w:sz w:val="24"/>
          <w:szCs w:val="24"/>
        </w:rPr>
        <w:t>Hospital consultants and workplace based assessments: How foundation doctors view th</w:t>
      </w:r>
      <w:r w:rsidR="00F53B9F">
        <w:rPr>
          <w:rFonts w:ascii="Times New Roman" w:hAnsi="Times New Roman" w:cs="Times New Roman"/>
          <w:noProof/>
          <w:sz w:val="24"/>
          <w:szCs w:val="24"/>
        </w:rPr>
        <w:t xml:space="preserve">ese educational interactions? </w:t>
      </w:r>
      <w:r w:rsidR="00BE3B6C" w:rsidRPr="00BE3B6C">
        <w:rPr>
          <w:rFonts w:ascii="Times New Roman" w:hAnsi="Times New Roman" w:cs="Times New Roman"/>
          <w:i/>
          <w:iCs/>
          <w:noProof/>
          <w:sz w:val="24"/>
          <w:szCs w:val="24"/>
        </w:rPr>
        <w:t>Postgraduate Medical Journal</w:t>
      </w:r>
      <w:r w:rsidR="00F53B9F">
        <w:rPr>
          <w:rFonts w:ascii="Times New Roman" w:hAnsi="Times New Roman" w:cs="Times New Roman"/>
          <w:noProof/>
          <w:sz w:val="24"/>
          <w:szCs w:val="24"/>
        </w:rPr>
        <w:t xml:space="preserve">. </w:t>
      </w:r>
      <w:r w:rsidR="00F53B9F" w:rsidRPr="00F53B9F">
        <w:rPr>
          <w:rFonts w:ascii="Times New Roman" w:hAnsi="Times New Roman" w:cs="Times New Roman"/>
          <w:b/>
          <w:noProof/>
          <w:sz w:val="24"/>
          <w:szCs w:val="24"/>
        </w:rPr>
        <w:t>88</w:t>
      </w:r>
      <w:r w:rsidR="00F53B9F">
        <w:rPr>
          <w:rFonts w:ascii="Times New Roman" w:hAnsi="Times New Roman" w:cs="Times New Roman"/>
          <w:noProof/>
          <w:sz w:val="24"/>
          <w:szCs w:val="24"/>
        </w:rPr>
        <w:t>(1037), 119–124.</w:t>
      </w:r>
    </w:p>
    <w:p w14:paraId="1F1283F8" w14:textId="516EB5BF" w:rsidR="00BE3B6C" w:rsidRDefault="007472F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McKee, R. F. (2008). </w:t>
      </w:r>
      <w:r w:rsidR="00BE3B6C" w:rsidRPr="00BE3B6C">
        <w:rPr>
          <w:rFonts w:ascii="Times New Roman" w:hAnsi="Times New Roman" w:cs="Times New Roman"/>
          <w:noProof/>
          <w:sz w:val="24"/>
          <w:szCs w:val="24"/>
        </w:rPr>
        <w:t>The Intercollegiate Surgi</w:t>
      </w:r>
      <w:r>
        <w:rPr>
          <w:rFonts w:ascii="Times New Roman" w:hAnsi="Times New Roman" w:cs="Times New Roman"/>
          <w:noProof/>
          <w:sz w:val="24"/>
          <w:szCs w:val="24"/>
        </w:rPr>
        <w:t>cal Curriculum Programme (ISCP).</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Surgery</w:t>
      </w:r>
      <w:r>
        <w:rPr>
          <w:rFonts w:ascii="Times New Roman" w:hAnsi="Times New Roman" w:cs="Times New Roman"/>
          <w:noProof/>
          <w:sz w:val="24"/>
          <w:szCs w:val="24"/>
        </w:rPr>
        <w:t xml:space="preserve">. </w:t>
      </w:r>
      <w:r w:rsidRPr="007472F9">
        <w:rPr>
          <w:rFonts w:ascii="Times New Roman" w:hAnsi="Times New Roman" w:cs="Times New Roman"/>
          <w:b/>
          <w:noProof/>
          <w:sz w:val="24"/>
          <w:szCs w:val="24"/>
        </w:rPr>
        <w:t>26</w:t>
      </w:r>
      <w:r>
        <w:rPr>
          <w:rFonts w:ascii="Times New Roman" w:hAnsi="Times New Roman" w:cs="Times New Roman"/>
          <w:noProof/>
          <w:sz w:val="24"/>
          <w:szCs w:val="24"/>
        </w:rPr>
        <w:t xml:space="preserve">, </w:t>
      </w:r>
      <w:r w:rsidR="00BE3B6C" w:rsidRPr="00BE3B6C">
        <w:rPr>
          <w:rFonts w:ascii="Times New Roman" w:hAnsi="Times New Roman" w:cs="Times New Roman"/>
          <w:noProof/>
          <w:sz w:val="24"/>
          <w:szCs w:val="24"/>
        </w:rPr>
        <w:t xml:space="preserve">411–416. </w:t>
      </w:r>
    </w:p>
    <w:p w14:paraId="245D7938" w14:textId="1191E7F0"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Merlin, L. R. </w:t>
      </w:r>
      <w:r w:rsidRPr="00BE3B6C">
        <w:rPr>
          <w:rFonts w:ascii="Times New Roman" w:hAnsi="Times New Roman" w:cs="Times New Roman"/>
          <w:i/>
          <w:iCs/>
          <w:noProof/>
          <w:sz w:val="24"/>
          <w:szCs w:val="24"/>
        </w:rPr>
        <w:t>et al.</w:t>
      </w:r>
      <w:r w:rsidR="007472F9">
        <w:rPr>
          <w:rFonts w:ascii="Times New Roman" w:hAnsi="Times New Roman" w:cs="Times New Roman"/>
          <w:noProof/>
          <w:sz w:val="24"/>
          <w:szCs w:val="24"/>
        </w:rPr>
        <w:t xml:space="preserve"> (2014). </w:t>
      </w:r>
      <w:r w:rsidRPr="00BE3B6C">
        <w:rPr>
          <w:rFonts w:ascii="Times New Roman" w:hAnsi="Times New Roman" w:cs="Times New Roman"/>
          <w:noProof/>
          <w:sz w:val="24"/>
          <w:szCs w:val="24"/>
        </w:rPr>
        <w:t>A competency-based longitudinal core curri</w:t>
      </w:r>
      <w:r w:rsidR="007472F9">
        <w:rPr>
          <w:rFonts w:ascii="Times New Roman" w:hAnsi="Times New Roman" w:cs="Times New Roman"/>
          <w:noProof/>
          <w:sz w:val="24"/>
          <w:szCs w:val="24"/>
        </w:rPr>
        <w:t xml:space="preserve">culum in medical neuroscience. </w:t>
      </w:r>
      <w:r w:rsidRPr="00BE3B6C">
        <w:rPr>
          <w:rFonts w:ascii="Times New Roman" w:hAnsi="Times New Roman" w:cs="Times New Roman"/>
          <w:i/>
          <w:iCs/>
          <w:noProof/>
          <w:sz w:val="24"/>
          <w:szCs w:val="24"/>
        </w:rPr>
        <w:t>Neurology</w:t>
      </w:r>
      <w:r w:rsidR="007472F9">
        <w:rPr>
          <w:rFonts w:ascii="Times New Roman" w:hAnsi="Times New Roman" w:cs="Times New Roman"/>
          <w:noProof/>
          <w:sz w:val="24"/>
          <w:szCs w:val="24"/>
        </w:rPr>
        <w:t xml:space="preserve">. </w:t>
      </w:r>
      <w:r w:rsidR="007472F9" w:rsidRPr="007472F9">
        <w:rPr>
          <w:rFonts w:ascii="Times New Roman" w:hAnsi="Times New Roman" w:cs="Times New Roman"/>
          <w:b/>
          <w:noProof/>
          <w:sz w:val="24"/>
          <w:szCs w:val="24"/>
        </w:rPr>
        <w:t>83</w:t>
      </w:r>
      <w:r w:rsidR="007472F9">
        <w:rPr>
          <w:rFonts w:ascii="Times New Roman" w:hAnsi="Times New Roman" w:cs="Times New Roman"/>
          <w:noProof/>
          <w:sz w:val="24"/>
          <w:szCs w:val="24"/>
        </w:rPr>
        <w:t xml:space="preserve">(5), 456–462. </w:t>
      </w:r>
    </w:p>
    <w:p w14:paraId="31000EB2" w14:textId="5D6C434E" w:rsidR="00BE3B6C" w:rsidRPr="00BE3B6C" w:rsidRDefault="007472F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Messick, S. (1989). Validity. I</w:t>
      </w:r>
      <w:r w:rsidR="00BE3B6C" w:rsidRPr="00BE3B6C">
        <w:rPr>
          <w:rFonts w:ascii="Times New Roman" w:hAnsi="Times New Roman" w:cs="Times New Roman"/>
          <w:noProof/>
          <w:sz w:val="24"/>
          <w:szCs w:val="24"/>
        </w:rPr>
        <w:t>n</w:t>
      </w:r>
      <w:r>
        <w:rPr>
          <w:rFonts w:ascii="Times New Roman" w:hAnsi="Times New Roman" w:cs="Times New Roman"/>
          <w:noProof/>
          <w:sz w:val="24"/>
          <w:szCs w:val="24"/>
        </w:rPr>
        <w:t>: R. Linn, ed.</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Educational Measurement</w:t>
      </w:r>
      <w:r>
        <w:rPr>
          <w:rFonts w:ascii="Times New Roman" w:hAnsi="Times New Roman" w:cs="Times New Roman"/>
          <w:noProof/>
          <w:sz w:val="24"/>
          <w:szCs w:val="24"/>
        </w:rPr>
        <w:t>. 3rd ed</w:t>
      </w:r>
      <w:r w:rsidR="00BE3B6C" w:rsidRPr="00BE3B6C">
        <w:rPr>
          <w:rFonts w:ascii="Times New Roman" w:hAnsi="Times New Roman" w:cs="Times New Roman"/>
          <w:noProof/>
          <w:sz w:val="24"/>
          <w:szCs w:val="24"/>
        </w:rPr>
        <w:t>. New York, NY: American Council on Education a</w:t>
      </w:r>
      <w:r>
        <w:rPr>
          <w:rFonts w:ascii="Times New Roman" w:hAnsi="Times New Roman" w:cs="Times New Roman"/>
          <w:noProof/>
          <w:sz w:val="24"/>
          <w:szCs w:val="24"/>
        </w:rPr>
        <w:t xml:space="preserve">nd Macmillan. </w:t>
      </w:r>
      <w:r w:rsidR="00BE3B6C" w:rsidRPr="00BE3B6C">
        <w:rPr>
          <w:rFonts w:ascii="Times New Roman" w:hAnsi="Times New Roman" w:cs="Times New Roman"/>
          <w:noProof/>
          <w:sz w:val="24"/>
          <w:szCs w:val="24"/>
        </w:rPr>
        <w:t>pp. 13–103.</w:t>
      </w:r>
    </w:p>
    <w:p w14:paraId="47E3FF06" w14:textId="66F59B12" w:rsidR="00BE3B6C" w:rsidRDefault="007472F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Messick, S. (1994). </w:t>
      </w:r>
      <w:r w:rsidR="00BE3B6C" w:rsidRPr="00BE3B6C">
        <w:rPr>
          <w:rFonts w:ascii="Times New Roman" w:hAnsi="Times New Roman" w:cs="Times New Roman"/>
          <w:noProof/>
          <w:sz w:val="24"/>
          <w:szCs w:val="24"/>
        </w:rPr>
        <w:t>The Interplay of Evidence and Consequences in the Validati</w:t>
      </w:r>
      <w:r>
        <w:rPr>
          <w:rFonts w:ascii="Times New Roman" w:hAnsi="Times New Roman" w:cs="Times New Roman"/>
          <w:noProof/>
          <w:sz w:val="24"/>
          <w:szCs w:val="24"/>
        </w:rPr>
        <w:t xml:space="preserve">on of Performance Assessments. </w:t>
      </w:r>
      <w:r w:rsidR="00BE3B6C" w:rsidRPr="00BE3B6C">
        <w:rPr>
          <w:rFonts w:ascii="Times New Roman" w:hAnsi="Times New Roman" w:cs="Times New Roman"/>
          <w:i/>
          <w:iCs/>
          <w:noProof/>
          <w:sz w:val="24"/>
          <w:szCs w:val="24"/>
        </w:rPr>
        <w:t>Educational Researcher</w:t>
      </w:r>
      <w:r>
        <w:rPr>
          <w:rFonts w:ascii="Times New Roman" w:hAnsi="Times New Roman" w:cs="Times New Roman"/>
          <w:noProof/>
          <w:sz w:val="24"/>
          <w:szCs w:val="24"/>
        </w:rPr>
        <w:t xml:space="preserve">. </w:t>
      </w:r>
      <w:r w:rsidRPr="007472F9">
        <w:rPr>
          <w:rFonts w:ascii="Times New Roman" w:hAnsi="Times New Roman" w:cs="Times New Roman"/>
          <w:b/>
          <w:noProof/>
          <w:sz w:val="24"/>
          <w:szCs w:val="24"/>
        </w:rPr>
        <w:t>23</w:t>
      </w:r>
      <w:r>
        <w:rPr>
          <w:rFonts w:ascii="Times New Roman" w:hAnsi="Times New Roman" w:cs="Times New Roman"/>
          <w:noProof/>
          <w:sz w:val="24"/>
          <w:szCs w:val="24"/>
        </w:rPr>
        <w:t xml:space="preserve">(2), 13–23. </w:t>
      </w:r>
    </w:p>
    <w:p w14:paraId="774AED82" w14:textId="76F4FD03" w:rsidR="00F038EC" w:rsidRPr="00BE3B6C" w:rsidRDefault="00F038EC"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Miller, G. E. (1990). </w:t>
      </w:r>
      <w:r w:rsidRPr="00BE3B6C">
        <w:rPr>
          <w:rFonts w:ascii="Times New Roman" w:hAnsi="Times New Roman" w:cs="Times New Roman"/>
          <w:noProof/>
          <w:sz w:val="24"/>
          <w:szCs w:val="24"/>
        </w:rPr>
        <w:t xml:space="preserve">The assessment of clinical </w:t>
      </w:r>
      <w:r>
        <w:rPr>
          <w:rFonts w:ascii="Times New Roman" w:hAnsi="Times New Roman" w:cs="Times New Roman"/>
          <w:noProof/>
          <w:sz w:val="24"/>
          <w:szCs w:val="24"/>
        </w:rPr>
        <w:t>skills/competence/performance.</w:t>
      </w:r>
      <w:r w:rsidRPr="00BE3B6C">
        <w:rPr>
          <w:rFonts w:ascii="Times New Roman" w:hAnsi="Times New Roman" w:cs="Times New Roman"/>
          <w:noProof/>
          <w:sz w:val="24"/>
          <w:szCs w:val="24"/>
        </w:rPr>
        <w:t xml:space="preserve"> </w:t>
      </w:r>
      <w:r>
        <w:rPr>
          <w:rFonts w:ascii="Times New Roman" w:hAnsi="Times New Roman" w:cs="Times New Roman"/>
          <w:i/>
          <w:iCs/>
          <w:noProof/>
          <w:sz w:val="24"/>
          <w:szCs w:val="24"/>
        </w:rPr>
        <w:t>Academic M</w:t>
      </w:r>
      <w:r w:rsidRPr="00BE3B6C">
        <w:rPr>
          <w:rFonts w:ascii="Times New Roman" w:hAnsi="Times New Roman" w:cs="Times New Roman"/>
          <w:i/>
          <w:iCs/>
          <w:noProof/>
          <w:sz w:val="24"/>
          <w:szCs w:val="24"/>
        </w:rPr>
        <w:t>ed</w:t>
      </w:r>
      <w:r>
        <w:rPr>
          <w:rFonts w:ascii="Times New Roman" w:hAnsi="Times New Roman" w:cs="Times New Roman"/>
          <w:i/>
          <w:iCs/>
          <w:noProof/>
          <w:sz w:val="24"/>
          <w:szCs w:val="24"/>
        </w:rPr>
        <w:t>icine.</w:t>
      </w:r>
      <w:r>
        <w:rPr>
          <w:rFonts w:ascii="Times New Roman" w:hAnsi="Times New Roman" w:cs="Times New Roman"/>
          <w:noProof/>
          <w:sz w:val="24"/>
          <w:szCs w:val="24"/>
        </w:rPr>
        <w:t xml:space="preserve"> </w:t>
      </w:r>
      <w:r w:rsidRPr="00054085">
        <w:rPr>
          <w:rFonts w:ascii="Times New Roman" w:hAnsi="Times New Roman" w:cs="Times New Roman"/>
          <w:b/>
          <w:noProof/>
          <w:sz w:val="24"/>
          <w:szCs w:val="24"/>
        </w:rPr>
        <w:t>65</w:t>
      </w:r>
      <w:r>
        <w:rPr>
          <w:rFonts w:ascii="Times New Roman" w:hAnsi="Times New Roman" w:cs="Times New Roman"/>
          <w:noProof/>
          <w:sz w:val="24"/>
          <w:szCs w:val="24"/>
        </w:rPr>
        <w:t xml:space="preserve">(9 Suppl), S63–S67. </w:t>
      </w:r>
    </w:p>
    <w:p w14:paraId="7F7C4C5D" w14:textId="0AF3724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Miller, A. and Ar</w:t>
      </w:r>
      <w:r w:rsidR="00FE5539">
        <w:rPr>
          <w:rFonts w:ascii="Times New Roman" w:hAnsi="Times New Roman" w:cs="Times New Roman"/>
          <w:noProof/>
          <w:sz w:val="24"/>
          <w:szCs w:val="24"/>
        </w:rPr>
        <w:t xml:space="preserve">cher, J. (2010). </w:t>
      </w:r>
      <w:r w:rsidRPr="00BE3B6C">
        <w:rPr>
          <w:rFonts w:ascii="Times New Roman" w:hAnsi="Times New Roman" w:cs="Times New Roman"/>
          <w:noProof/>
          <w:sz w:val="24"/>
          <w:szCs w:val="24"/>
        </w:rPr>
        <w:t>Impact of workplace bas</w:t>
      </w:r>
      <w:r w:rsidRPr="00FE5539">
        <w:rPr>
          <w:rFonts w:ascii="Times New Roman" w:hAnsi="Times New Roman" w:cs="Times New Roman"/>
          <w:noProof/>
          <w:sz w:val="24"/>
          <w:szCs w:val="24"/>
        </w:rPr>
        <w:t>ed assessment on doctors’ education and perf</w:t>
      </w:r>
      <w:r w:rsidR="00FE5539" w:rsidRPr="00FE5539">
        <w:rPr>
          <w:rFonts w:ascii="Times New Roman" w:hAnsi="Times New Roman" w:cs="Times New Roman"/>
          <w:noProof/>
          <w:sz w:val="24"/>
          <w:szCs w:val="24"/>
        </w:rPr>
        <w:t xml:space="preserve">ormance: a systematic review. </w:t>
      </w:r>
      <w:r w:rsidRPr="00FE5539">
        <w:rPr>
          <w:rFonts w:ascii="Times New Roman" w:hAnsi="Times New Roman" w:cs="Times New Roman"/>
          <w:i/>
          <w:iCs/>
          <w:noProof/>
          <w:sz w:val="24"/>
          <w:szCs w:val="24"/>
        </w:rPr>
        <w:t>B</w:t>
      </w:r>
      <w:r w:rsidR="00FE5539" w:rsidRPr="00FE5539">
        <w:rPr>
          <w:rFonts w:ascii="Times New Roman" w:hAnsi="Times New Roman" w:cs="Times New Roman"/>
          <w:i/>
          <w:iCs/>
          <w:noProof/>
          <w:sz w:val="24"/>
          <w:szCs w:val="24"/>
        </w:rPr>
        <w:t xml:space="preserve">ritish </w:t>
      </w:r>
      <w:r w:rsidRPr="00FE5539">
        <w:rPr>
          <w:rFonts w:ascii="Times New Roman" w:hAnsi="Times New Roman" w:cs="Times New Roman"/>
          <w:i/>
          <w:iCs/>
          <w:noProof/>
          <w:sz w:val="24"/>
          <w:szCs w:val="24"/>
        </w:rPr>
        <w:t>M</w:t>
      </w:r>
      <w:r w:rsidR="00FE5539" w:rsidRPr="00FE5539">
        <w:rPr>
          <w:rFonts w:ascii="Times New Roman" w:hAnsi="Times New Roman" w:cs="Times New Roman"/>
          <w:i/>
          <w:iCs/>
          <w:noProof/>
          <w:sz w:val="24"/>
          <w:szCs w:val="24"/>
        </w:rPr>
        <w:t xml:space="preserve">edical </w:t>
      </w:r>
      <w:r w:rsidRPr="00FE5539">
        <w:rPr>
          <w:rFonts w:ascii="Times New Roman" w:hAnsi="Times New Roman" w:cs="Times New Roman"/>
          <w:i/>
          <w:iCs/>
          <w:noProof/>
          <w:sz w:val="24"/>
          <w:szCs w:val="24"/>
        </w:rPr>
        <w:t>J</w:t>
      </w:r>
      <w:r w:rsidR="00FE5539" w:rsidRPr="00FE5539">
        <w:rPr>
          <w:rFonts w:ascii="Times New Roman" w:hAnsi="Times New Roman" w:cs="Times New Roman"/>
          <w:i/>
          <w:iCs/>
          <w:noProof/>
          <w:sz w:val="24"/>
          <w:szCs w:val="24"/>
        </w:rPr>
        <w:t xml:space="preserve">ournal. </w:t>
      </w:r>
      <w:r w:rsidR="00FE5539" w:rsidRPr="00FE5539">
        <w:rPr>
          <w:rFonts w:ascii="Times New Roman" w:hAnsi="Times New Roman" w:cs="Times New Roman"/>
          <w:b/>
          <w:noProof/>
          <w:sz w:val="24"/>
          <w:szCs w:val="24"/>
        </w:rPr>
        <w:t>341</w:t>
      </w:r>
      <w:r w:rsidR="00FE5539" w:rsidRPr="00FE5539">
        <w:rPr>
          <w:rFonts w:ascii="Times New Roman" w:hAnsi="Times New Roman" w:cs="Times New Roman"/>
          <w:noProof/>
          <w:sz w:val="24"/>
          <w:szCs w:val="24"/>
        </w:rPr>
        <w:t xml:space="preserve">, </w:t>
      </w:r>
      <w:r w:rsidR="00FE5539" w:rsidRPr="00FE5539">
        <w:rPr>
          <w:rStyle w:val="pagefirst"/>
          <w:rFonts w:ascii="Times New Roman" w:hAnsi="Times New Roman" w:cs="Times New Roman"/>
          <w:sz w:val="24"/>
          <w:szCs w:val="24"/>
        </w:rPr>
        <w:t>c5064</w:t>
      </w:r>
      <w:r w:rsidR="00FE5539" w:rsidRPr="00FE5539">
        <w:rPr>
          <w:rFonts w:ascii="Times New Roman" w:hAnsi="Times New Roman" w:cs="Times New Roman"/>
          <w:sz w:val="24"/>
          <w:szCs w:val="24"/>
        </w:rPr>
        <w:t>.</w:t>
      </w:r>
    </w:p>
    <w:p w14:paraId="5E8A9414" w14:textId="48FB06ED"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Miller, A. H., I</w:t>
      </w:r>
      <w:r w:rsidR="00054085">
        <w:rPr>
          <w:rFonts w:ascii="Times New Roman" w:hAnsi="Times New Roman" w:cs="Times New Roman"/>
          <w:noProof/>
          <w:sz w:val="24"/>
          <w:szCs w:val="24"/>
        </w:rPr>
        <w:t xml:space="preserve">mrie, B. W. and Cox, K. (1998). </w:t>
      </w:r>
      <w:r w:rsidRPr="00054085">
        <w:rPr>
          <w:rFonts w:ascii="Times New Roman" w:hAnsi="Times New Roman" w:cs="Times New Roman"/>
          <w:i/>
          <w:noProof/>
          <w:sz w:val="24"/>
          <w:szCs w:val="24"/>
        </w:rPr>
        <w:t>Student assessment in higher education: a handbook for as</w:t>
      </w:r>
      <w:r w:rsidR="00054085" w:rsidRPr="00054085">
        <w:rPr>
          <w:rFonts w:ascii="Times New Roman" w:hAnsi="Times New Roman" w:cs="Times New Roman"/>
          <w:i/>
          <w:noProof/>
          <w:sz w:val="24"/>
          <w:szCs w:val="24"/>
        </w:rPr>
        <w:t>sessing performance.</w:t>
      </w:r>
      <w:r w:rsidR="00054085">
        <w:rPr>
          <w:rFonts w:ascii="Times New Roman" w:hAnsi="Times New Roman" w:cs="Times New Roman"/>
          <w:noProof/>
          <w:sz w:val="24"/>
          <w:szCs w:val="24"/>
        </w:rPr>
        <w:t xml:space="preserve"> London: Kogan Page Limited.</w:t>
      </w:r>
    </w:p>
    <w:p w14:paraId="4270CB95" w14:textId="0569DBF6" w:rsidR="00BE3B6C" w:rsidRPr="00BE3B6C" w:rsidRDefault="00054085"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Mislevy, R. J. (1996). Test Theory Reconceived. </w:t>
      </w:r>
      <w:r w:rsidR="00BE3B6C" w:rsidRPr="00BE3B6C">
        <w:rPr>
          <w:rFonts w:ascii="Times New Roman" w:hAnsi="Times New Roman" w:cs="Times New Roman"/>
          <w:i/>
          <w:iCs/>
          <w:noProof/>
          <w:sz w:val="24"/>
          <w:szCs w:val="24"/>
        </w:rPr>
        <w:t>Journal of Educational Measurement</w:t>
      </w:r>
      <w:r>
        <w:rPr>
          <w:rFonts w:ascii="Times New Roman" w:hAnsi="Times New Roman" w:cs="Times New Roman"/>
          <w:noProof/>
          <w:sz w:val="24"/>
          <w:szCs w:val="24"/>
        </w:rPr>
        <w:t xml:space="preserve">. </w:t>
      </w:r>
      <w:r w:rsidRPr="00054085">
        <w:rPr>
          <w:rFonts w:ascii="Times New Roman" w:hAnsi="Times New Roman" w:cs="Times New Roman"/>
          <w:b/>
          <w:noProof/>
          <w:sz w:val="24"/>
          <w:szCs w:val="24"/>
        </w:rPr>
        <w:t>33</w:t>
      </w:r>
      <w:r>
        <w:rPr>
          <w:rFonts w:ascii="Times New Roman" w:hAnsi="Times New Roman" w:cs="Times New Roman"/>
          <w:noProof/>
          <w:sz w:val="24"/>
          <w:szCs w:val="24"/>
        </w:rPr>
        <w:t xml:space="preserve">(4), 379–416. </w:t>
      </w:r>
    </w:p>
    <w:p w14:paraId="7C3EDF54" w14:textId="71127C4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lastRenderedPageBreak/>
        <w:t xml:space="preserve">Mitchell, C. </w:t>
      </w:r>
      <w:r w:rsidRPr="00BE3B6C">
        <w:rPr>
          <w:rFonts w:ascii="Times New Roman" w:hAnsi="Times New Roman" w:cs="Times New Roman"/>
          <w:i/>
          <w:iCs/>
          <w:noProof/>
          <w:sz w:val="24"/>
          <w:szCs w:val="24"/>
        </w:rPr>
        <w:t>et al.</w:t>
      </w:r>
      <w:r w:rsidR="00054085">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Workplace-based assessments of junior doctors: Do scores p</w:t>
      </w:r>
      <w:r w:rsidR="00054085">
        <w:rPr>
          <w:rFonts w:ascii="Times New Roman" w:hAnsi="Times New Roman" w:cs="Times New Roman"/>
          <w:noProof/>
          <w:sz w:val="24"/>
          <w:szCs w:val="24"/>
        </w:rPr>
        <w:t xml:space="preserve">redict training difficulties? </w:t>
      </w:r>
      <w:r w:rsidRPr="00BE3B6C">
        <w:rPr>
          <w:rFonts w:ascii="Times New Roman" w:hAnsi="Times New Roman" w:cs="Times New Roman"/>
          <w:i/>
          <w:iCs/>
          <w:noProof/>
          <w:sz w:val="24"/>
          <w:szCs w:val="24"/>
        </w:rPr>
        <w:t>Medical Education</w:t>
      </w:r>
      <w:r w:rsidR="00054085">
        <w:rPr>
          <w:rFonts w:ascii="Times New Roman" w:hAnsi="Times New Roman" w:cs="Times New Roman"/>
          <w:noProof/>
          <w:sz w:val="24"/>
          <w:szCs w:val="24"/>
        </w:rPr>
        <w:t xml:space="preserve">. </w:t>
      </w:r>
      <w:r w:rsidR="00054085" w:rsidRPr="00054085">
        <w:rPr>
          <w:rFonts w:ascii="Times New Roman" w:hAnsi="Times New Roman" w:cs="Times New Roman"/>
          <w:b/>
          <w:noProof/>
          <w:sz w:val="24"/>
          <w:szCs w:val="24"/>
        </w:rPr>
        <w:t>45</w:t>
      </w:r>
      <w:r w:rsidR="00054085">
        <w:rPr>
          <w:rFonts w:ascii="Times New Roman" w:hAnsi="Times New Roman" w:cs="Times New Roman"/>
          <w:noProof/>
          <w:sz w:val="24"/>
          <w:szCs w:val="24"/>
        </w:rPr>
        <w:t xml:space="preserve">(12), 1190–1198. </w:t>
      </w:r>
    </w:p>
    <w:p w14:paraId="130A8F4E" w14:textId="0ADDF25F"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Mitchell, C. </w:t>
      </w:r>
      <w:r w:rsidRPr="00BE3B6C">
        <w:rPr>
          <w:rFonts w:ascii="Times New Roman" w:hAnsi="Times New Roman" w:cs="Times New Roman"/>
          <w:i/>
          <w:iCs/>
          <w:noProof/>
          <w:sz w:val="24"/>
          <w:szCs w:val="24"/>
        </w:rPr>
        <w:t>et al.</w:t>
      </w:r>
      <w:r w:rsidR="00054085">
        <w:rPr>
          <w:rFonts w:ascii="Times New Roman" w:hAnsi="Times New Roman" w:cs="Times New Roman"/>
          <w:noProof/>
          <w:sz w:val="24"/>
          <w:szCs w:val="24"/>
        </w:rPr>
        <w:t xml:space="preserve"> (2013). </w:t>
      </w:r>
      <w:r w:rsidRPr="00BE3B6C">
        <w:rPr>
          <w:rFonts w:ascii="Times New Roman" w:hAnsi="Times New Roman" w:cs="Times New Roman"/>
          <w:noProof/>
          <w:sz w:val="24"/>
          <w:szCs w:val="24"/>
        </w:rPr>
        <w:t>Workplace-based assessments in Foundation Programme training: Do trainees in dif</w:t>
      </w:r>
      <w:r w:rsidR="00054085">
        <w:rPr>
          <w:rFonts w:ascii="Times New Roman" w:hAnsi="Times New Roman" w:cs="Times New Roman"/>
          <w:noProof/>
          <w:sz w:val="24"/>
          <w:szCs w:val="24"/>
        </w:rPr>
        <w:t xml:space="preserve">ficulty use them differently? </w:t>
      </w:r>
      <w:r w:rsidRPr="00BE3B6C">
        <w:rPr>
          <w:rFonts w:ascii="Times New Roman" w:hAnsi="Times New Roman" w:cs="Times New Roman"/>
          <w:i/>
          <w:iCs/>
          <w:noProof/>
          <w:sz w:val="24"/>
          <w:szCs w:val="24"/>
        </w:rPr>
        <w:t>Medical Education</w:t>
      </w:r>
      <w:r w:rsidR="00054085">
        <w:rPr>
          <w:rFonts w:ascii="Times New Roman" w:hAnsi="Times New Roman" w:cs="Times New Roman"/>
          <w:noProof/>
          <w:sz w:val="24"/>
          <w:szCs w:val="24"/>
        </w:rPr>
        <w:t xml:space="preserve">. 47(3), 292–300. </w:t>
      </w:r>
    </w:p>
    <w:p w14:paraId="7FA7CC1F" w14:textId="2348D4DB" w:rsidR="00D054EF" w:rsidRPr="00BE3B6C" w:rsidRDefault="007B031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v</w:t>
      </w:r>
      <w:r w:rsidR="00D054EF" w:rsidRPr="00BE3B6C">
        <w:rPr>
          <w:rFonts w:ascii="Times New Roman" w:hAnsi="Times New Roman" w:cs="Times New Roman"/>
          <w:noProof/>
          <w:sz w:val="24"/>
          <w:szCs w:val="24"/>
        </w:rPr>
        <w:t xml:space="preserve">an Mook, W. N. K. A. </w:t>
      </w:r>
      <w:r w:rsidR="00D054EF" w:rsidRPr="00BE3B6C">
        <w:rPr>
          <w:rFonts w:ascii="Times New Roman" w:hAnsi="Times New Roman" w:cs="Times New Roman"/>
          <w:i/>
          <w:iCs/>
          <w:noProof/>
          <w:sz w:val="24"/>
          <w:szCs w:val="24"/>
        </w:rPr>
        <w:t>et al.</w:t>
      </w:r>
      <w:r w:rsidR="00D054EF">
        <w:rPr>
          <w:rFonts w:ascii="Times New Roman" w:hAnsi="Times New Roman" w:cs="Times New Roman"/>
          <w:noProof/>
          <w:sz w:val="24"/>
          <w:szCs w:val="24"/>
        </w:rPr>
        <w:t xml:space="preserve"> (2007). </w:t>
      </w:r>
      <w:r w:rsidR="00D054EF" w:rsidRPr="00BE3B6C">
        <w:rPr>
          <w:rFonts w:ascii="Times New Roman" w:hAnsi="Times New Roman" w:cs="Times New Roman"/>
          <w:noProof/>
          <w:sz w:val="24"/>
          <w:szCs w:val="24"/>
        </w:rPr>
        <w:t xml:space="preserve">Factors inhibiting assessment of students’ professional behaviour in the tutorial group </w:t>
      </w:r>
      <w:r w:rsidR="00D054EF">
        <w:rPr>
          <w:rFonts w:ascii="Times New Roman" w:hAnsi="Times New Roman" w:cs="Times New Roman"/>
          <w:noProof/>
          <w:sz w:val="24"/>
          <w:szCs w:val="24"/>
        </w:rPr>
        <w:t xml:space="preserve">during problem-based learning. </w:t>
      </w:r>
      <w:r w:rsidR="00D054EF" w:rsidRPr="00BE3B6C">
        <w:rPr>
          <w:rFonts w:ascii="Times New Roman" w:hAnsi="Times New Roman" w:cs="Times New Roman"/>
          <w:i/>
          <w:iCs/>
          <w:noProof/>
          <w:sz w:val="24"/>
          <w:szCs w:val="24"/>
        </w:rPr>
        <w:t>Medical Education</w:t>
      </w:r>
      <w:r w:rsidR="00D054EF">
        <w:rPr>
          <w:rFonts w:ascii="Times New Roman" w:hAnsi="Times New Roman" w:cs="Times New Roman"/>
          <w:noProof/>
          <w:sz w:val="24"/>
          <w:szCs w:val="24"/>
        </w:rPr>
        <w:t xml:space="preserve">. </w:t>
      </w:r>
      <w:r w:rsidR="00D054EF" w:rsidRPr="000225CC">
        <w:rPr>
          <w:rFonts w:ascii="Times New Roman" w:hAnsi="Times New Roman" w:cs="Times New Roman"/>
          <w:b/>
          <w:noProof/>
          <w:sz w:val="24"/>
          <w:szCs w:val="24"/>
        </w:rPr>
        <w:t>41</w:t>
      </w:r>
      <w:r w:rsidR="00D054EF">
        <w:rPr>
          <w:rFonts w:ascii="Times New Roman" w:hAnsi="Times New Roman" w:cs="Times New Roman"/>
          <w:noProof/>
          <w:sz w:val="24"/>
          <w:szCs w:val="24"/>
        </w:rPr>
        <w:t xml:space="preserve">(9), 849–856. </w:t>
      </w:r>
    </w:p>
    <w:p w14:paraId="49CA3E9A" w14:textId="0D291D2E" w:rsidR="000225CC" w:rsidRDefault="007B031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v</w:t>
      </w:r>
      <w:r w:rsidR="00BE3B6C" w:rsidRPr="00BE3B6C">
        <w:rPr>
          <w:rFonts w:ascii="Times New Roman" w:hAnsi="Times New Roman" w:cs="Times New Roman"/>
          <w:noProof/>
          <w:sz w:val="24"/>
          <w:szCs w:val="24"/>
        </w:rPr>
        <w:t xml:space="preserve">an Mook, W. N. K. A. </w:t>
      </w:r>
      <w:r w:rsidR="00BE3B6C" w:rsidRPr="00BE3B6C">
        <w:rPr>
          <w:rFonts w:ascii="Times New Roman" w:hAnsi="Times New Roman" w:cs="Times New Roman"/>
          <w:i/>
          <w:iCs/>
          <w:noProof/>
          <w:sz w:val="24"/>
          <w:szCs w:val="24"/>
        </w:rPr>
        <w:t>et al.</w:t>
      </w:r>
      <w:r w:rsidR="00054085">
        <w:rPr>
          <w:rFonts w:ascii="Times New Roman" w:hAnsi="Times New Roman" w:cs="Times New Roman"/>
          <w:noProof/>
          <w:sz w:val="24"/>
          <w:szCs w:val="24"/>
        </w:rPr>
        <w:t xml:space="preserve"> (2009). </w:t>
      </w:r>
      <w:r w:rsidR="00BE3B6C" w:rsidRPr="00BE3B6C">
        <w:rPr>
          <w:rFonts w:ascii="Times New Roman" w:hAnsi="Times New Roman" w:cs="Times New Roman"/>
          <w:noProof/>
          <w:sz w:val="24"/>
          <w:szCs w:val="24"/>
        </w:rPr>
        <w:t>Profession</w:t>
      </w:r>
      <w:r w:rsidR="00054085">
        <w:rPr>
          <w:rFonts w:ascii="Times New Roman" w:hAnsi="Times New Roman" w:cs="Times New Roman"/>
          <w:noProof/>
          <w:sz w:val="24"/>
          <w:szCs w:val="24"/>
        </w:rPr>
        <w:t>alism: Evolution of the concept.</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European Journal of Internal Medicine</w:t>
      </w:r>
      <w:r w:rsidR="00054085">
        <w:rPr>
          <w:rFonts w:ascii="Times New Roman" w:hAnsi="Times New Roman" w:cs="Times New Roman"/>
          <w:noProof/>
          <w:sz w:val="24"/>
          <w:szCs w:val="24"/>
        </w:rPr>
        <w:t xml:space="preserve">. </w:t>
      </w:r>
      <w:r w:rsidR="00054085" w:rsidRPr="00054085">
        <w:rPr>
          <w:rFonts w:ascii="Times New Roman" w:hAnsi="Times New Roman" w:cs="Times New Roman"/>
          <w:b/>
          <w:noProof/>
          <w:sz w:val="24"/>
          <w:szCs w:val="24"/>
        </w:rPr>
        <w:t>20</w:t>
      </w:r>
      <w:r w:rsidR="00054085">
        <w:rPr>
          <w:rFonts w:ascii="Times New Roman" w:hAnsi="Times New Roman" w:cs="Times New Roman"/>
          <w:noProof/>
          <w:sz w:val="24"/>
          <w:szCs w:val="24"/>
        </w:rPr>
        <w:t>(4)</w:t>
      </w:r>
      <w:r w:rsidR="000225CC">
        <w:rPr>
          <w:rFonts w:ascii="Times New Roman" w:hAnsi="Times New Roman" w:cs="Times New Roman"/>
          <w:noProof/>
          <w:sz w:val="24"/>
          <w:szCs w:val="24"/>
        </w:rPr>
        <w:t>, 81-84.</w:t>
      </w:r>
    </w:p>
    <w:p w14:paraId="05B27003" w14:textId="7EA148D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Morrison, M. L. </w:t>
      </w:r>
      <w:r w:rsidRPr="00BE3B6C">
        <w:rPr>
          <w:rFonts w:ascii="Times New Roman" w:hAnsi="Times New Roman" w:cs="Times New Roman"/>
          <w:i/>
          <w:iCs/>
          <w:noProof/>
          <w:sz w:val="24"/>
          <w:szCs w:val="24"/>
        </w:rPr>
        <w:t>et al.</w:t>
      </w:r>
      <w:r w:rsidR="000225CC">
        <w:rPr>
          <w:rFonts w:ascii="Times New Roman" w:hAnsi="Times New Roman" w:cs="Times New Roman"/>
          <w:noProof/>
          <w:sz w:val="24"/>
          <w:szCs w:val="24"/>
        </w:rPr>
        <w:t xml:space="preserve"> (2002). </w:t>
      </w:r>
      <w:r w:rsidRPr="00BE3B6C">
        <w:rPr>
          <w:rFonts w:ascii="Times New Roman" w:hAnsi="Times New Roman" w:cs="Times New Roman"/>
          <w:noProof/>
          <w:sz w:val="24"/>
          <w:szCs w:val="24"/>
        </w:rPr>
        <w:t>Expert system support using a Bayesian belief network for the classificatio</w:t>
      </w:r>
      <w:r w:rsidR="000225CC">
        <w:rPr>
          <w:rFonts w:ascii="Times New Roman" w:hAnsi="Times New Roman" w:cs="Times New Roman"/>
          <w:noProof/>
          <w:sz w:val="24"/>
          <w:szCs w:val="24"/>
        </w:rPr>
        <w:t xml:space="preserve">n of endometrial hyperplasia. </w:t>
      </w:r>
      <w:r w:rsidR="000225CC">
        <w:rPr>
          <w:rFonts w:ascii="Times New Roman" w:hAnsi="Times New Roman" w:cs="Times New Roman"/>
          <w:i/>
          <w:iCs/>
          <w:noProof/>
          <w:sz w:val="24"/>
          <w:szCs w:val="24"/>
        </w:rPr>
        <w:t>The Journal of P</w:t>
      </w:r>
      <w:r w:rsidRPr="00BE3B6C">
        <w:rPr>
          <w:rFonts w:ascii="Times New Roman" w:hAnsi="Times New Roman" w:cs="Times New Roman"/>
          <w:i/>
          <w:iCs/>
          <w:noProof/>
          <w:sz w:val="24"/>
          <w:szCs w:val="24"/>
        </w:rPr>
        <w:t>athology</w:t>
      </w:r>
      <w:r w:rsidR="000225CC">
        <w:rPr>
          <w:rFonts w:ascii="Times New Roman" w:hAnsi="Times New Roman" w:cs="Times New Roman"/>
          <w:noProof/>
          <w:sz w:val="24"/>
          <w:szCs w:val="24"/>
        </w:rPr>
        <w:t xml:space="preserve">. </w:t>
      </w:r>
      <w:r w:rsidR="000225CC" w:rsidRPr="000225CC">
        <w:rPr>
          <w:rFonts w:ascii="Times New Roman" w:hAnsi="Times New Roman" w:cs="Times New Roman"/>
          <w:b/>
          <w:noProof/>
          <w:sz w:val="24"/>
          <w:szCs w:val="24"/>
        </w:rPr>
        <w:t>197</w:t>
      </w:r>
      <w:r w:rsidR="000225CC">
        <w:rPr>
          <w:rFonts w:ascii="Times New Roman" w:hAnsi="Times New Roman" w:cs="Times New Roman"/>
          <w:noProof/>
          <w:sz w:val="24"/>
          <w:szCs w:val="24"/>
        </w:rPr>
        <w:t xml:space="preserve">(3), </w:t>
      </w:r>
      <w:r w:rsidRPr="00BE3B6C">
        <w:rPr>
          <w:rFonts w:ascii="Times New Roman" w:hAnsi="Times New Roman" w:cs="Times New Roman"/>
          <w:noProof/>
          <w:sz w:val="24"/>
          <w:szCs w:val="24"/>
        </w:rPr>
        <w:t xml:space="preserve">403–14. </w:t>
      </w:r>
    </w:p>
    <w:p w14:paraId="297FE5A1" w14:textId="76C9614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Moskal, B</w:t>
      </w:r>
      <w:r w:rsidR="000225CC">
        <w:rPr>
          <w:rFonts w:ascii="Times New Roman" w:hAnsi="Times New Roman" w:cs="Times New Roman"/>
          <w:noProof/>
          <w:sz w:val="24"/>
          <w:szCs w:val="24"/>
        </w:rPr>
        <w:t xml:space="preserve">. M. and Leydens, J. A. (2000). </w:t>
      </w:r>
      <w:r w:rsidRPr="00BE3B6C">
        <w:rPr>
          <w:rFonts w:ascii="Times New Roman" w:hAnsi="Times New Roman" w:cs="Times New Roman"/>
          <w:noProof/>
          <w:sz w:val="24"/>
          <w:szCs w:val="24"/>
        </w:rPr>
        <w:t>Scoring rubric developm</w:t>
      </w:r>
      <w:r w:rsidR="000225CC">
        <w:rPr>
          <w:rFonts w:ascii="Times New Roman" w:hAnsi="Times New Roman" w:cs="Times New Roman"/>
          <w:noProof/>
          <w:sz w:val="24"/>
          <w:szCs w:val="24"/>
        </w:rPr>
        <w:t xml:space="preserve">ent: validity and reliability. </w:t>
      </w:r>
      <w:r w:rsidRPr="00BE3B6C">
        <w:rPr>
          <w:rFonts w:ascii="Times New Roman" w:hAnsi="Times New Roman" w:cs="Times New Roman"/>
          <w:i/>
          <w:iCs/>
          <w:noProof/>
          <w:sz w:val="24"/>
          <w:szCs w:val="24"/>
        </w:rPr>
        <w:t>Practical Assessment, Research &amp; Evaluation</w:t>
      </w:r>
      <w:r w:rsidR="000225CC">
        <w:rPr>
          <w:rFonts w:ascii="Times New Roman" w:hAnsi="Times New Roman" w:cs="Times New Roman"/>
          <w:noProof/>
          <w:sz w:val="24"/>
          <w:szCs w:val="24"/>
        </w:rPr>
        <w:t xml:space="preserve">. </w:t>
      </w:r>
      <w:r w:rsidR="000225CC" w:rsidRPr="000225CC">
        <w:rPr>
          <w:rFonts w:ascii="Times New Roman" w:hAnsi="Times New Roman" w:cs="Times New Roman"/>
          <w:b/>
          <w:noProof/>
          <w:sz w:val="24"/>
          <w:szCs w:val="24"/>
        </w:rPr>
        <w:t>7</w:t>
      </w:r>
      <w:r w:rsidR="000225CC">
        <w:rPr>
          <w:rFonts w:ascii="Times New Roman" w:hAnsi="Times New Roman" w:cs="Times New Roman"/>
          <w:noProof/>
          <w:sz w:val="24"/>
          <w:szCs w:val="24"/>
        </w:rPr>
        <w:t xml:space="preserve">(10), </w:t>
      </w:r>
      <w:r w:rsidRPr="00BE3B6C">
        <w:rPr>
          <w:rFonts w:ascii="Times New Roman" w:hAnsi="Times New Roman" w:cs="Times New Roman"/>
          <w:noProof/>
          <w:sz w:val="24"/>
          <w:szCs w:val="24"/>
        </w:rPr>
        <w:t xml:space="preserve">1–10. </w:t>
      </w:r>
    </w:p>
    <w:p w14:paraId="2A99105B" w14:textId="46088634"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Mullin, M. H., Brierley, D. J. and</w:t>
      </w:r>
      <w:r w:rsidR="000225CC">
        <w:rPr>
          <w:rFonts w:ascii="Times New Roman" w:hAnsi="Times New Roman" w:cs="Times New Roman"/>
          <w:noProof/>
          <w:sz w:val="24"/>
          <w:szCs w:val="24"/>
        </w:rPr>
        <w:t xml:space="preserve"> Speight, P. M. (2015). </w:t>
      </w:r>
      <w:r w:rsidRPr="00BE3B6C">
        <w:rPr>
          <w:rFonts w:ascii="Times New Roman" w:hAnsi="Times New Roman" w:cs="Times New Roman"/>
          <w:noProof/>
          <w:sz w:val="24"/>
          <w:szCs w:val="24"/>
        </w:rPr>
        <w:t xml:space="preserve">Second opinion reporting in head and neck pathology: the pattern of referrals </w:t>
      </w:r>
      <w:r w:rsidR="000225CC">
        <w:rPr>
          <w:rFonts w:ascii="Times New Roman" w:hAnsi="Times New Roman" w:cs="Times New Roman"/>
          <w:noProof/>
          <w:sz w:val="24"/>
          <w:szCs w:val="24"/>
        </w:rPr>
        <w:t xml:space="preserve">and impact on final diagnosis. </w:t>
      </w:r>
      <w:r w:rsidRPr="00BE3B6C">
        <w:rPr>
          <w:rFonts w:ascii="Times New Roman" w:hAnsi="Times New Roman" w:cs="Times New Roman"/>
          <w:i/>
          <w:iCs/>
          <w:noProof/>
          <w:sz w:val="24"/>
          <w:szCs w:val="24"/>
        </w:rPr>
        <w:t>Oral Surgery, Oral Medicine, Oral Pathology and Oral Radiology</w:t>
      </w:r>
      <w:r w:rsidR="000225CC">
        <w:rPr>
          <w:rFonts w:ascii="Times New Roman" w:hAnsi="Times New Roman" w:cs="Times New Roman"/>
          <w:noProof/>
          <w:sz w:val="24"/>
          <w:szCs w:val="24"/>
        </w:rPr>
        <w:t xml:space="preserve">. </w:t>
      </w:r>
      <w:r w:rsidR="000225CC" w:rsidRPr="000225CC">
        <w:rPr>
          <w:rFonts w:ascii="Times New Roman" w:hAnsi="Times New Roman" w:cs="Times New Roman"/>
          <w:b/>
          <w:noProof/>
          <w:sz w:val="24"/>
          <w:szCs w:val="24"/>
        </w:rPr>
        <w:t>119</w:t>
      </w:r>
      <w:r w:rsidR="000225CC">
        <w:rPr>
          <w:rFonts w:ascii="Times New Roman" w:hAnsi="Times New Roman" w:cs="Times New Roman"/>
          <w:noProof/>
          <w:sz w:val="24"/>
          <w:szCs w:val="24"/>
        </w:rPr>
        <w:t xml:space="preserve">(6), 656–660. </w:t>
      </w:r>
    </w:p>
    <w:p w14:paraId="4D1535BF" w14:textId="6AC4B327"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Murphy DJ </w:t>
      </w:r>
      <w:r w:rsidRPr="00BE3B6C">
        <w:rPr>
          <w:rFonts w:ascii="Times New Roman" w:hAnsi="Times New Roman" w:cs="Times New Roman"/>
          <w:i/>
          <w:iCs/>
          <w:noProof/>
          <w:sz w:val="24"/>
          <w:szCs w:val="24"/>
        </w:rPr>
        <w:t>et al.</w:t>
      </w:r>
      <w:r w:rsidR="000225CC">
        <w:rPr>
          <w:rFonts w:ascii="Times New Roman" w:hAnsi="Times New Roman" w:cs="Times New Roman"/>
          <w:noProof/>
          <w:sz w:val="24"/>
          <w:szCs w:val="24"/>
        </w:rPr>
        <w:t xml:space="preserve"> (2009). </w:t>
      </w:r>
      <w:r w:rsidRPr="00BE3B6C">
        <w:rPr>
          <w:rFonts w:ascii="Times New Roman" w:hAnsi="Times New Roman" w:cs="Times New Roman"/>
          <w:noProof/>
          <w:sz w:val="24"/>
          <w:szCs w:val="24"/>
        </w:rPr>
        <w:t>The reliability of workplace-based assessment in postgraduate medical education and training: A national evaluation in general p</w:t>
      </w:r>
      <w:r w:rsidR="000225CC">
        <w:rPr>
          <w:rFonts w:ascii="Times New Roman" w:hAnsi="Times New Roman" w:cs="Times New Roman"/>
          <w:noProof/>
          <w:sz w:val="24"/>
          <w:szCs w:val="24"/>
        </w:rPr>
        <w:t xml:space="preserve">ractice in the United Kingdom. </w:t>
      </w:r>
      <w:r w:rsidRPr="00BE3B6C">
        <w:rPr>
          <w:rFonts w:ascii="Times New Roman" w:hAnsi="Times New Roman" w:cs="Times New Roman"/>
          <w:i/>
          <w:iCs/>
          <w:noProof/>
          <w:sz w:val="24"/>
          <w:szCs w:val="24"/>
        </w:rPr>
        <w:t>Advances in Health Sciences Education</w:t>
      </w:r>
      <w:r w:rsidR="000225CC">
        <w:rPr>
          <w:rFonts w:ascii="Times New Roman" w:hAnsi="Times New Roman" w:cs="Times New Roman"/>
          <w:noProof/>
          <w:sz w:val="24"/>
          <w:szCs w:val="24"/>
        </w:rPr>
        <w:t xml:space="preserve">. </w:t>
      </w:r>
      <w:r w:rsidR="000225CC" w:rsidRPr="000225CC">
        <w:rPr>
          <w:rFonts w:ascii="Times New Roman" w:hAnsi="Times New Roman" w:cs="Times New Roman"/>
          <w:b/>
          <w:noProof/>
          <w:sz w:val="24"/>
          <w:szCs w:val="24"/>
        </w:rPr>
        <w:t>14</w:t>
      </w:r>
      <w:r w:rsidR="000225CC">
        <w:rPr>
          <w:rFonts w:ascii="Times New Roman" w:hAnsi="Times New Roman" w:cs="Times New Roman"/>
          <w:noProof/>
          <w:sz w:val="24"/>
          <w:szCs w:val="24"/>
        </w:rPr>
        <w:t xml:space="preserve">(2), 219–232. </w:t>
      </w:r>
    </w:p>
    <w:p w14:paraId="41BBAD30" w14:textId="15AED6E4"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Murphy, E.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(1998</w:t>
      </w:r>
      <w:r w:rsidR="0042453E">
        <w:rPr>
          <w:rFonts w:ascii="Times New Roman" w:hAnsi="Times New Roman" w:cs="Times New Roman"/>
          <w:noProof/>
          <w:sz w:val="24"/>
          <w:szCs w:val="24"/>
        </w:rPr>
        <w:t>a</w:t>
      </w:r>
      <w:r w:rsidRPr="00BE3B6C">
        <w:rPr>
          <w:rFonts w:ascii="Times New Roman" w:hAnsi="Times New Roman" w:cs="Times New Roman"/>
          <w:noProof/>
          <w:sz w:val="24"/>
          <w:szCs w:val="24"/>
        </w:rPr>
        <w:t>) ‘Qualitative research methods in health technology assessme</w:t>
      </w:r>
      <w:r w:rsidR="006C54A5">
        <w:rPr>
          <w:rFonts w:ascii="Times New Roman" w:hAnsi="Times New Roman" w:cs="Times New Roman"/>
          <w:noProof/>
          <w:sz w:val="24"/>
          <w:szCs w:val="24"/>
        </w:rPr>
        <w:t xml:space="preserve">nt: A review of the literature.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Health Technology Assessme</w:t>
      </w:r>
      <w:r w:rsidRPr="006C54A5">
        <w:rPr>
          <w:rFonts w:ascii="Times New Roman" w:hAnsi="Times New Roman" w:cs="Times New Roman"/>
          <w:i/>
          <w:iCs/>
          <w:noProof/>
          <w:sz w:val="24"/>
          <w:szCs w:val="24"/>
        </w:rPr>
        <w:t>nt</w:t>
      </w:r>
      <w:r w:rsidR="006C54A5" w:rsidRPr="006C54A5">
        <w:rPr>
          <w:rFonts w:ascii="Times New Roman" w:hAnsi="Times New Roman" w:cs="Times New Roman"/>
          <w:noProof/>
          <w:sz w:val="24"/>
          <w:szCs w:val="24"/>
        </w:rPr>
        <w:t>.</w:t>
      </w:r>
      <w:r w:rsidR="006C54A5" w:rsidRPr="006C54A5">
        <w:rPr>
          <w:rFonts w:ascii="Times New Roman" w:hAnsi="Times New Roman" w:cs="Times New Roman"/>
          <w:b/>
          <w:noProof/>
          <w:sz w:val="24"/>
          <w:szCs w:val="24"/>
        </w:rPr>
        <w:t xml:space="preserve"> 2</w:t>
      </w:r>
      <w:r w:rsidR="006C54A5" w:rsidRPr="006C54A5">
        <w:rPr>
          <w:rFonts w:ascii="Times New Roman" w:hAnsi="Times New Roman" w:cs="Times New Roman"/>
          <w:noProof/>
          <w:sz w:val="24"/>
          <w:szCs w:val="24"/>
        </w:rPr>
        <w:t>(16),</w:t>
      </w:r>
      <w:r w:rsidR="006C54A5" w:rsidRPr="006C54A5">
        <w:rPr>
          <w:rFonts w:ascii="Times New Roman" w:hAnsi="Times New Roman" w:cs="Times New Roman"/>
          <w:sz w:val="24"/>
          <w:szCs w:val="24"/>
        </w:rPr>
        <w:t xml:space="preserve"> iii-ix,</w:t>
      </w:r>
      <w:r w:rsidR="006C54A5" w:rsidRPr="006C54A5">
        <w:rPr>
          <w:rFonts w:ascii="Times New Roman" w:hAnsi="Times New Roman" w:cs="Times New Roman"/>
          <w:noProof/>
          <w:sz w:val="24"/>
          <w:szCs w:val="24"/>
        </w:rPr>
        <w:t xml:space="preserve"> 1-274</w:t>
      </w:r>
      <w:r w:rsidR="006C54A5">
        <w:rPr>
          <w:rFonts w:ascii="Times New Roman" w:hAnsi="Times New Roman" w:cs="Times New Roman"/>
          <w:noProof/>
          <w:sz w:val="24"/>
          <w:szCs w:val="24"/>
        </w:rPr>
        <w:t>.</w:t>
      </w:r>
    </w:p>
    <w:p w14:paraId="57EFEB3E" w14:textId="5A579006"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Murphy, M. K.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(1998</w:t>
      </w:r>
      <w:r w:rsidR="0042453E">
        <w:rPr>
          <w:rFonts w:ascii="Times New Roman" w:hAnsi="Times New Roman" w:cs="Times New Roman"/>
          <w:noProof/>
          <w:sz w:val="24"/>
          <w:szCs w:val="24"/>
        </w:rPr>
        <w:t>b</w:t>
      </w:r>
      <w:r w:rsidRPr="00BE3B6C">
        <w:rPr>
          <w:rFonts w:ascii="Times New Roman" w:hAnsi="Times New Roman" w:cs="Times New Roman"/>
          <w:noProof/>
          <w:sz w:val="24"/>
          <w:szCs w:val="24"/>
        </w:rPr>
        <w:t>) ‘Consensus development metho</w:t>
      </w:r>
      <w:r w:rsidR="006C54A5">
        <w:rPr>
          <w:rFonts w:ascii="Times New Roman" w:hAnsi="Times New Roman" w:cs="Times New Roman"/>
          <w:noProof/>
          <w:sz w:val="24"/>
          <w:szCs w:val="24"/>
        </w:rPr>
        <w:t>ds</w:t>
      </w:r>
      <w:r w:rsidRPr="00BE3B6C">
        <w:rPr>
          <w:rFonts w:ascii="Times New Roman" w:hAnsi="Times New Roman" w:cs="Times New Roman"/>
          <w:noProof/>
          <w:sz w:val="24"/>
          <w:szCs w:val="24"/>
        </w:rPr>
        <w:t xml:space="preserve"> and their use in cl</w:t>
      </w:r>
      <w:r w:rsidR="006C54A5">
        <w:rPr>
          <w:rFonts w:ascii="Times New Roman" w:hAnsi="Times New Roman" w:cs="Times New Roman"/>
          <w:noProof/>
          <w:sz w:val="24"/>
          <w:szCs w:val="24"/>
        </w:rPr>
        <w:t xml:space="preserve">inical </w:t>
      </w:r>
      <w:r w:rsidR="006C54A5">
        <w:rPr>
          <w:rFonts w:ascii="Times New Roman" w:hAnsi="Times New Roman" w:cs="Times New Roman"/>
          <w:noProof/>
          <w:sz w:val="24"/>
          <w:szCs w:val="24"/>
        </w:rPr>
        <w:lastRenderedPageBreak/>
        <w:t xml:space="preserve">guideline development. </w:t>
      </w:r>
      <w:r w:rsidR="006C54A5">
        <w:rPr>
          <w:rFonts w:ascii="Times New Roman" w:hAnsi="Times New Roman" w:cs="Times New Roman"/>
          <w:i/>
          <w:iCs/>
          <w:noProof/>
          <w:sz w:val="24"/>
          <w:szCs w:val="24"/>
        </w:rPr>
        <w:t xml:space="preserve">Health Technology Assessment. </w:t>
      </w:r>
      <w:r w:rsidRPr="006C54A5">
        <w:rPr>
          <w:rFonts w:ascii="Times New Roman" w:hAnsi="Times New Roman" w:cs="Times New Roman"/>
          <w:b/>
          <w:noProof/>
          <w:sz w:val="24"/>
          <w:szCs w:val="24"/>
        </w:rPr>
        <w:t>2</w:t>
      </w:r>
      <w:r w:rsidR="006C54A5">
        <w:rPr>
          <w:rFonts w:ascii="Times New Roman" w:hAnsi="Times New Roman" w:cs="Times New Roman"/>
          <w:noProof/>
          <w:sz w:val="24"/>
          <w:szCs w:val="24"/>
        </w:rPr>
        <w:t xml:space="preserve">(3), </w:t>
      </w:r>
      <w:r w:rsidRPr="00BE3B6C">
        <w:rPr>
          <w:rFonts w:ascii="Times New Roman" w:hAnsi="Times New Roman" w:cs="Times New Roman"/>
          <w:noProof/>
          <w:sz w:val="24"/>
          <w:szCs w:val="24"/>
        </w:rPr>
        <w:t xml:space="preserve"> i–iv, 1–88. </w:t>
      </w:r>
    </w:p>
    <w:p w14:paraId="2A209D70" w14:textId="1A02760E"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Murray, E.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(2000) ‘The accountability of clinical education: Its</w:t>
      </w:r>
      <w:r w:rsidR="006C54A5">
        <w:rPr>
          <w:rFonts w:ascii="Times New Roman" w:hAnsi="Times New Roman" w:cs="Times New Roman"/>
          <w:noProof/>
          <w:sz w:val="24"/>
          <w:szCs w:val="24"/>
        </w:rPr>
        <w:t xml:space="preserve"> definition and assessment. </w:t>
      </w:r>
      <w:r w:rsidRPr="00BE3B6C">
        <w:rPr>
          <w:rFonts w:ascii="Times New Roman" w:hAnsi="Times New Roman" w:cs="Times New Roman"/>
          <w:i/>
          <w:iCs/>
          <w:noProof/>
          <w:sz w:val="24"/>
          <w:szCs w:val="24"/>
        </w:rPr>
        <w:t>Medical Education</w:t>
      </w:r>
      <w:r w:rsidR="006C54A5">
        <w:rPr>
          <w:rFonts w:ascii="Times New Roman" w:hAnsi="Times New Roman" w:cs="Times New Roman"/>
          <w:noProof/>
          <w:sz w:val="24"/>
          <w:szCs w:val="24"/>
        </w:rPr>
        <w:t xml:space="preserve">, </w:t>
      </w:r>
      <w:r w:rsidR="006C54A5" w:rsidRPr="006C54A5">
        <w:rPr>
          <w:rFonts w:ascii="Times New Roman" w:hAnsi="Times New Roman" w:cs="Times New Roman"/>
          <w:b/>
          <w:noProof/>
          <w:sz w:val="24"/>
          <w:szCs w:val="24"/>
        </w:rPr>
        <w:t>34</w:t>
      </w:r>
      <w:r w:rsidR="006C54A5">
        <w:rPr>
          <w:rFonts w:ascii="Times New Roman" w:hAnsi="Times New Roman" w:cs="Times New Roman"/>
          <w:noProof/>
          <w:sz w:val="24"/>
          <w:szCs w:val="24"/>
        </w:rPr>
        <w:t>(10), 871–879.</w:t>
      </w:r>
    </w:p>
    <w:p w14:paraId="4044AB74" w14:textId="20DFE97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Naritoku, W. Y.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(2014) ‘The pathology milestones and </w:t>
      </w:r>
      <w:r w:rsidR="006C54A5">
        <w:rPr>
          <w:rFonts w:ascii="Times New Roman" w:hAnsi="Times New Roman" w:cs="Times New Roman"/>
          <w:noProof/>
          <w:sz w:val="24"/>
          <w:szCs w:val="24"/>
        </w:rPr>
        <w:t xml:space="preserve">the next accreditation system. </w:t>
      </w:r>
      <w:r w:rsidRPr="00BE3B6C">
        <w:rPr>
          <w:rFonts w:ascii="Times New Roman" w:hAnsi="Times New Roman" w:cs="Times New Roman"/>
          <w:i/>
          <w:iCs/>
          <w:noProof/>
          <w:sz w:val="24"/>
          <w:szCs w:val="24"/>
        </w:rPr>
        <w:t>Archives of Pathology and Laboratory Medicine</w:t>
      </w:r>
      <w:r w:rsidR="006C54A5">
        <w:rPr>
          <w:rFonts w:ascii="Times New Roman" w:hAnsi="Times New Roman" w:cs="Times New Roman"/>
          <w:noProof/>
          <w:sz w:val="24"/>
          <w:szCs w:val="24"/>
        </w:rPr>
        <w:t xml:space="preserve">. </w:t>
      </w:r>
      <w:r w:rsidR="006C54A5" w:rsidRPr="006C54A5">
        <w:rPr>
          <w:rFonts w:ascii="Times New Roman" w:hAnsi="Times New Roman" w:cs="Times New Roman"/>
          <w:b/>
          <w:noProof/>
          <w:sz w:val="24"/>
          <w:szCs w:val="24"/>
        </w:rPr>
        <w:t>138</w:t>
      </w:r>
      <w:r w:rsidR="006C54A5">
        <w:rPr>
          <w:rFonts w:ascii="Times New Roman" w:hAnsi="Times New Roman" w:cs="Times New Roman"/>
          <w:noProof/>
          <w:sz w:val="24"/>
          <w:szCs w:val="24"/>
        </w:rPr>
        <w:t xml:space="preserve">(3), 307–315. </w:t>
      </w:r>
    </w:p>
    <w:p w14:paraId="21B57352" w14:textId="01246694" w:rsidR="006C54A5"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National Council On </w:t>
      </w:r>
      <w:r w:rsidR="006C54A5">
        <w:rPr>
          <w:rFonts w:ascii="Times New Roman" w:hAnsi="Times New Roman" w:cs="Times New Roman"/>
          <w:noProof/>
          <w:sz w:val="24"/>
          <w:szCs w:val="24"/>
        </w:rPr>
        <w:t xml:space="preserve">Measurement In Education (1999). </w:t>
      </w:r>
      <w:r w:rsidRPr="00BE3B6C">
        <w:rPr>
          <w:rFonts w:ascii="Times New Roman" w:hAnsi="Times New Roman" w:cs="Times New Roman"/>
          <w:i/>
          <w:iCs/>
          <w:noProof/>
          <w:sz w:val="24"/>
          <w:szCs w:val="24"/>
        </w:rPr>
        <w:t>Standards for educational and psychological testing</w:t>
      </w:r>
      <w:r w:rsidR="006F039F">
        <w:rPr>
          <w:rFonts w:ascii="Times New Roman" w:hAnsi="Times New Roman" w:cs="Times New Roman"/>
          <w:noProof/>
          <w:sz w:val="24"/>
          <w:szCs w:val="24"/>
        </w:rPr>
        <w:t xml:space="preserve">. </w:t>
      </w:r>
      <w:r w:rsidR="006F039F" w:rsidRPr="006F039F">
        <w:rPr>
          <w:rFonts w:ascii="Times New Roman" w:hAnsi="Times New Roman" w:cs="Times New Roman"/>
          <w:iCs/>
          <w:noProof/>
          <w:sz w:val="24"/>
          <w:szCs w:val="24"/>
        </w:rPr>
        <w:t xml:space="preserve">Washington DC: </w:t>
      </w:r>
      <w:r w:rsidRPr="006F039F">
        <w:rPr>
          <w:rFonts w:ascii="Times New Roman" w:hAnsi="Times New Roman" w:cs="Times New Roman"/>
          <w:iCs/>
          <w:noProof/>
          <w:sz w:val="24"/>
          <w:szCs w:val="24"/>
        </w:rPr>
        <w:t>American Psychological Association</w:t>
      </w:r>
      <w:r w:rsidR="006F039F" w:rsidRPr="006F039F">
        <w:rPr>
          <w:rFonts w:ascii="Times New Roman" w:hAnsi="Times New Roman" w:cs="Times New Roman"/>
          <w:iCs/>
          <w:noProof/>
          <w:sz w:val="24"/>
          <w:szCs w:val="24"/>
        </w:rPr>
        <w:t>,</w:t>
      </w:r>
      <w:r w:rsidRPr="006F039F">
        <w:rPr>
          <w:rFonts w:ascii="Times New Roman" w:hAnsi="Times New Roman" w:cs="Times New Roman"/>
          <w:iCs/>
          <w:noProof/>
          <w:sz w:val="24"/>
          <w:szCs w:val="24"/>
        </w:rPr>
        <w:t xml:space="preserve"> American Education</w:t>
      </w:r>
      <w:r w:rsidR="006F039F" w:rsidRPr="006F039F">
        <w:rPr>
          <w:rFonts w:ascii="Times New Roman" w:hAnsi="Times New Roman" w:cs="Times New Roman"/>
          <w:iCs/>
          <w:noProof/>
          <w:sz w:val="24"/>
          <w:szCs w:val="24"/>
        </w:rPr>
        <w:t>al Research Association, American</w:t>
      </w:r>
      <w:r w:rsidRPr="006F039F">
        <w:rPr>
          <w:rFonts w:ascii="Times New Roman" w:hAnsi="Times New Roman" w:cs="Times New Roman"/>
          <w:iCs/>
          <w:noProof/>
          <w:sz w:val="24"/>
          <w:szCs w:val="24"/>
        </w:rPr>
        <w:t xml:space="preserve"> Council on Measurement in Education</w:t>
      </w:r>
      <w:r w:rsidRPr="006F039F">
        <w:rPr>
          <w:rFonts w:ascii="Times New Roman" w:hAnsi="Times New Roman" w:cs="Times New Roman"/>
          <w:noProof/>
          <w:sz w:val="24"/>
          <w:szCs w:val="24"/>
        </w:rPr>
        <w:t xml:space="preserve">. </w:t>
      </w:r>
    </w:p>
    <w:p w14:paraId="2CD47AFB" w14:textId="363F9EF9" w:rsidR="00BE3B6C" w:rsidRPr="00BE3B6C" w:rsidRDefault="006F039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Neary, M. (2000). </w:t>
      </w:r>
      <w:r w:rsidR="00BE3B6C" w:rsidRPr="00BE3B6C">
        <w:rPr>
          <w:rFonts w:ascii="Times New Roman" w:hAnsi="Times New Roman" w:cs="Times New Roman"/>
          <w:noProof/>
          <w:sz w:val="24"/>
          <w:szCs w:val="24"/>
        </w:rPr>
        <w:t>Supporting students’ learning and professional development through the process of continuous assessment and mentorsh</w:t>
      </w:r>
      <w:r>
        <w:rPr>
          <w:rFonts w:ascii="Times New Roman" w:hAnsi="Times New Roman" w:cs="Times New Roman"/>
          <w:noProof/>
          <w:sz w:val="24"/>
          <w:szCs w:val="24"/>
        </w:rPr>
        <w:t xml:space="preserve">ip. </w:t>
      </w:r>
      <w:r w:rsidR="00BE3B6C" w:rsidRPr="00BE3B6C">
        <w:rPr>
          <w:rFonts w:ascii="Times New Roman" w:hAnsi="Times New Roman" w:cs="Times New Roman"/>
          <w:i/>
          <w:iCs/>
          <w:noProof/>
          <w:sz w:val="24"/>
          <w:szCs w:val="24"/>
        </w:rPr>
        <w:t>Nurse Educ Today</w:t>
      </w:r>
      <w:r>
        <w:rPr>
          <w:rFonts w:ascii="Times New Roman" w:hAnsi="Times New Roman" w:cs="Times New Roman"/>
          <w:noProof/>
          <w:sz w:val="24"/>
          <w:szCs w:val="24"/>
        </w:rPr>
        <w:t xml:space="preserve">. </w:t>
      </w:r>
      <w:r w:rsidRPr="006F039F">
        <w:rPr>
          <w:rFonts w:ascii="Times New Roman" w:hAnsi="Times New Roman" w:cs="Times New Roman"/>
          <w:b/>
          <w:noProof/>
          <w:sz w:val="24"/>
          <w:szCs w:val="24"/>
        </w:rPr>
        <w:t>20</w:t>
      </w:r>
      <w:r>
        <w:rPr>
          <w:rFonts w:ascii="Times New Roman" w:hAnsi="Times New Roman" w:cs="Times New Roman"/>
          <w:noProof/>
          <w:sz w:val="24"/>
          <w:szCs w:val="24"/>
        </w:rPr>
        <w:t xml:space="preserve">(6), 463–474. </w:t>
      </w:r>
    </w:p>
    <w:p w14:paraId="6E7EBD08" w14:textId="1AB9260D"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Nicol, D. </w:t>
      </w:r>
      <w:r w:rsidR="006F039F">
        <w:rPr>
          <w:rFonts w:ascii="Times New Roman" w:hAnsi="Times New Roman" w:cs="Times New Roman"/>
          <w:noProof/>
          <w:sz w:val="24"/>
          <w:szCs w:val="24"/>
        </w:rPr>
        <w:t xml:space="preserve">and Macfarlane‐Dick, D. (2006). </w:t>
      </w:r>
      <w:r w:rsidRPr="00BE3B6C">
        <w:rPr>
          <w:rFonts w:ascii="Times New Roman" w:hAnsi="Times New Roman" w:cs="Times New Roman"/>
          <w:noProof/>
          <w:sz w:val="24"/>
          <w:szCs w:val="24"/>
        </w:rPr>
        <w:t>Formative assessment and self-regulated learning : A model and seven principl</w:t>
      </w:r>
      <w:r w:rsidR="006F039F">
        <w:rPr>
          <w:rFonts w:ascii="Times New Roman" w:hAnsi="Times New Roman" w:cs="Times New Roman"/>
          <w:noProof/>
          <w:sz w:val="24"/>
          <w:szCs w:val="24"/>
        </w:rPr>
        <w:t xml:space="preserve">es of good feedback practice. </w:t>
      </w:r>
      <w:r w:rsidR="006F039F">
        <w:rPr>
          <w:rFonts w:ascii="Times New Roman" w:hAnsi="Times New Roman" w:cs="Times New Roman"/>
          <w:i/>
          <w:iCs/>
          <w:noProof/>
          <w:sz w:val="24"/>
          <w:szCs w:val="24"/>
        </w:rPr>
        <w:t>Studies in Higher E</w:t>
      </w:r>
      <w:r w:rsidRPr="00BE3B6C">
        <w:rPr>
          <w:rFonts w:ascii="Times New Roman" w:hAnsi="Times New Roman" w:cs="Times New Roman"/>
          <w:i/>
          <w:iCs/>
          <w:noProof/>
          <w:sz w:val="24"/>
          <w:szCs w:val="24"/>
        </w:rPr>
        <w:t>ducation</w:t>
      </w:r>
      <w:r w:rsidR="006F039F">
        <w:rPr>
          <w:rFonts w:ascii="Times New Roman" w:hAnsi="Times New Roman" w:cs="Times New Roman"/>
          <w:noProof/>
          <w:sz w:val="24"/>
          <w:szCs w:val="24"/>
        </w:rPr>
        <w:t xml:space="preserve">. </w:t>
      </w:r>
      <w:r w:rsidRPr="006F039F">
        <w:rPr>
          <w:rFonts w:ascii="Times New Roman" w:hAnsi="Times New Roman" w:cs="Times New Roman"/>
          <w:b/>
          <w:noProof/>
          <w:sz w:val="24"/>
          <w:szCs w:val="24"/>
        </w:rPr>
        <w:t>31</w:t>
      </w:r>
      <w:r w:rsidRPr="00BE3B6C">
        <w:rPr>
          <w:rFonts w:ascii="Times New Roman" w:hAnsi="Times New Roman" w:cs="Times New Roman"/>
          <w:noProof/>
          <w:sz w:val="24"/>
          <w:szCs w:val="24"/>
        </w:rPr>
        <w:t>(2</w:t>
      </w:r>
      <w:r w:rsidR="006F039F">
        <w:rPr>
          <w:rFonts w:ascii="Times New Roman" w:hAnsi="Times New Roman" w:cs="Times New Roman"/>
          <w:noProof/>
          <w:sz w:val="24"/>
          <w:szCs w:val="24"/>
        </w:rPr>
        <w:t xml:space="preserve">), </w:t>
      </w:r>
      <w:r w:rsidRPr="00BE3B6C">
        <w:rPr>
          <w:rFonts w:ascii="Times New Roman" w:hAnsi="Times New Roman" w:cs="Times New Roman"/>
          <w:noProof/>
          <w:sz w:val="24"/>
          <w:szCs w:val="24"/>
        </w:rPr>
        <w:t>199–218.</w:t>
      </w:r>
    </w:p>
    <w:p w14:paraId="4BF577B8" w14:textId="3DF2D79A" w:rsidR="00D054EF" w:rsidRPr="00BE3B6C" w:rsidRDefault="00D054E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Norcini, J. J. (2003). </w:t>
      </w:r>
      <w:r w:rsidRPr="00BE3B6C">
        <w:rPr>
          <w:rFonts w:ascii="Times New Roman" w:hAnsi="Times New Roman" w:cs="Times New Roman"/>
          <w:noProof/>
          <w:sz w:val="24"/>
          <w:szCs w:val="24"/>
        </w:rPr>
        <w:t>Setting s</w:t>
      </w:r>
      <w:r>
        <w:rPr>
          <w:rFonts w:ascii="Times New Roman" w:hAnsi="Times New Roman" w:cs="Times New Roman"/>
          <w:noProof/>
          <w:sz w:val="24"/>
          <w:szCs w:val="24"/>
        </w:rPr>
        <w:t xml:space="preserve">tandards on educational tests. </w:t>
      </w:r>
      <w:r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6F039F">
        <w:rPr>
          <w:rFonts w:ascii="Times New Roman" w:hAnsi="Times New Roman" w:cs="Times New Roman"/>
          <w:b/>
          <w:noProof/>
          <w:sz w:val="24"/>
          <w:szCs w:val="24"/>
        </w:rPr>
        <w:t>37</w:t>
      </w:r>
      <w:r>
        <w:rPr>
          <w:rFonts w:ascii="Times New Roman" w:hAnsi="Times New Roman" w:cs="Times New Roman"/>
          <w:noProof/>
          <w:sz w:val="24"/>
          <w:szCs w:val="24"/>
        </w:rPr>
        <w:t xml:space="preserve">(5), 464–469. </w:t>
      </w:r>
    </w:p>
    <w:p w14:paraId="0F26D18C" w14:textId="295219B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Norcini, J. J. </w:t>
      </w:r>
      <w:r w:rsidRPr="00BE3B6C">
        <w:rPr>
          <w:rFonts w:ascii="Times New Roman" w:hAnsi="Times New Roman" w:cs="Times New Roman"/>
          <w:i/>
          <w:iCs/>
          <w:noProof/>
          <w:sz w:val="24"/>
          <w:szCs w:val="24"/>
        </w:rPr>
        <w:t>et al.</w:t>
      </w:r>
      <w:r w:rsidR="006F039F">
        <w:rPr>
          <w:rFonts w:ascii="Times New Roman" w:hAnsi="Times New Roman" w:cs="Times New Roman"/>
          <w:noProof/>
          <w:sz w:val="24"/>
          <w:szCs w:val="24"/>
        </w:rPr>
        <w:t xml:space="preserve"> (1997). </w:t>
      </w:r>
      <w:r w:rsidRPr="00BE3B6C">
        <w:rPr>
          <w:rFonts w:ascii="Times New Roman" w:hAnsi="Times New Roman" w:cs="Times New Roman"/>
          <w:noProof/>
          <w:sz w:val="24"/>
          <w:szCs w:val="24"/>
        </w:rPr>
        <w:t>Examiner</w:t>
      </w:r>
      <w:r w:rsidR="006F039F">
        <w:rPr>
          <w:rFonts w:ascii="Times New Roman" w:hAnsi="Times New Roman" w:cs="Times New Roman"/>
          <w:noProof/>
          <w:sz w:val="24"/>
          <w:szCs w:val="24"/>
        </w:rPr>
        <w:t xml:space="preserve"> differences in the mini-CEX. </w:t>
      </w:r>
      <w:r w:rsidR="006F039F">
        <w:rPr>
          <w:rFonts w:ascii="Times New Roman" w:hAnsi="Times New Roman" w:cs="Times New Roman"/>
          <w:i/>
          <w:iCs/>
          <w:noProof/>
          <w:sz w:val="24"/>
          <w:szCs w:val="24"/>
        </w:rPr>
        <w:t>Advances in Health Sciences Education: Theory and P</w:t>
      </w:r>
      <w:r w:rsidRPr="00BE3B6C">
        <w:rPr>
          <w:rFonts w:ascii="Times New Roman" w:hAnsi="Times New Roman" w:cs="Times New Roman"/>
          <w:i/>
          <w:iCs/>
          <w:noProof/>
          <w:sz w:val="24"/>
          <w:szCs w:val="24"/>
        </w:rPr>
        <w:t>ractice</w:t>
      </w:r>
      <w:r w:rsidR="006F039F">
        <w:rPr>
          <w:rFonts w:ascii="Times New Roman" w:hAnsi="Times New Roman" w:cs="Times New Roman"/>
          <w:noProof/>
          <w:sz w:val="24"/>
          <w:szCs w:val="24"/>
        </w:rPr>
        <w:t xml:space="preserve">. </w:t>
      </w:r>
      <w:r w:rsidR="006F039F" w:rsidRPr="006F039F">
        <w:rPr>
          <w:rFonts w:ascii="Times New Roman" w:hAnsi="Times New Roman" w:cs="Times New Roman"/>
          <w:b/>
          <w:noProof/>
          <w:sz w:val="24"/>
          <w:szCs w:val="24"/>
        </w:rPr>
        <w:t>2</w:t>
      </w:r>
      <w:r w:rsidR="006F039F">
        <w:rPr>
          <w:rFonts w:ascii="Times New Roman" w:hAnsi="Times New Roman" w:cs="Times New Roman"/>
          <w:noProof/>
          <w:sz w:val="24"/>
          <w:szCs w:val="24"/>
        </w:rPr>
        <w:t xml:space="preserve">(1), 27–33. </w:t>
      </w:r>
    </w:p>
    <w:p w14:paraId="73F97803" w14:textId="03E26BC3"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Norcini, J. J. </w:t>
      </w:r>
      <w:r w:rsidRPr="00BE3B6C">
        <w:rPr>
          <w:rFonts w:ascii="Times New Roman" w:hAnsi="Times New Roman" w:cs="Times New Roman"/>
          <w:i/>
          <w:iCs/>
          <w:noProof/>
          <w:sz w:val="24"/>
          <w:szCs w:val="24"/>
        </w:rPr>
        <w:t>et al.</w:t>
      </w:r>
      <w:r w:rsidR="006F039F">
        <w:rPr>
          <w:rFonts w:ascii="Times New Roman" w:hAnsi="Times New Roman" w:cs="Times New Roman"/>
          <w:noProof/>
          <w:sz w:val="24"/>
          <w:szCs w:val="24"/>
        </w:rPr>
        <w:t xml:space="preserve"> (2003). </w:t>
      </w:r>
      <w:r w:rsidRPr="00BE3B6C">
        <w:rPr>
          <w:rFonts w:ascii="Times New Roman" w:hAnsi="Times New Roman" w:cs="Times New Roman"/>
          <w:noProof/>
          <w:sz w:val="24"/>
          <w:szCs w:val="24"/>
        </w:rPr>
        <w:t>The Mini-CEX: A Method</w:t>
      </w:r>
      <w:r w:rsidR="006F039F">
        <w:rPr>
          <w:rFonts w:ascii="Times New Roman" w:hAnsi="Times New Roman" w:cs="Times New Roman"/>
          <w:noProof/>
          <w:sz w:val="24"/>
          <w:szCs w:val="24"/>
        </w:rPr>
        <w:t xml:space="preserve"> for Assessing Clinical Skills.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Annals of Internal Medicine</w:t>
      </w:r>
      <w:r w:rsidR="006F039F">
        <w:rPr>
          <w:rFonts w:ascii="Times New Roman" w:hAnsi="Times New Roman" w:cs="Times New Roman"/>
          <w:noProof/>
          <w:sz w:val="24"/>
          <w:szCs w:val="24"/>
        </w:rPr>
        <w:t xml:space="preserve">. </w:t>
      </w:r>
      <w:r w:rsidR="006F039F" w:rsidRPr="006F039F">
        <w:rPr>
          <w:rFonts w:ascii="Times New Roman" w:hAnsi="Times New Roman" w:cs="Times New Roman"/>
          <w:b/>
          <w:noProof/>
          <w:sz w:val="24"/>
          <w:szCs w:val="24"/>
        </w:rPr>
        <w:t>138</w:t>
      </w:r>
      <w:r w:rsidR="006F039F">
        <w:rPr>
          <w:rFonts w:ascii="Times New Roman" w:hAnsi="Times New Roman" w:cs="Times New Roman"/>
          <w:noProof/>
          <w:sz w:val="24"/>
          <w:szCs w:val="24"/>
        </w:rPr>
        <w:t xml:space="preserve">(6), 476–481. </w:t>
      </w:r>
    </w:p>
    <w:p w14:paraId="447E0F57" w14:textId="51D0DA1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O’Cathain</w:t>
      </w:r>
      <w:r w:rsidR="006F039F">
        <w:rPr>
          <w:rFonts w:ascii="Times New Roman" w:hAnsi="Times New Roman" w:cs="Times New Roman"/>
          <w:noProof/>
          <w:sz w:val="24"/>
          <w:szCs w:val="24"/>
        </w:rPr>
        <w:t>, A. and Thomas, K. J. (2004). "Any other comments?"</w:t>
      </w:r>
      <w:r w:rsidRPr="00BE3B6C">
        <w:rPr>
          <w:rFonts w:ascii="Times New Roman" w:hAnsi="Times New Roman" w:cs="Times New Roman"/>
          <w:noProof/>
          <w:sz w:val="24"/>
          <w:szCs w:val="24"/>
        </w:rPr>
        <w:t xml:space="preserve"> Open questions on questionnaires – a</w:t>
      </w:r>
      <w:r w:rsidR="006F039F">
        <w:rPr>
          <w:rFonts w:ascii="Times New Roman" w:hAnsi="Times New Roman" w:cs="Times New Roman"/>
          <w:noProof/>
          <w:sz w:val="24"/>
          <w:szCs w:val="24"/>
        </w:rPr>
        <w:t xml:space="preserve"> bane or a bonus to research? </w:t>
      </w:r>
      <w:r w:rsidRPr="00BE3B6C">
        <w:rPr>
          <w:rFonts w:ascii="Times New Roman" w:hAnsi="Times New Roman" w:cs="Times New Roman"/>
          <w:i/>
          <w:iCs/>
          <w:noProof/>
          <w:sz w:val="24"/>
          <w:szCs w:val="24"/>
        </w:rPr>
        <w:t>BMC Medical Research Methodology</w:t>
      </w:r>
      <w:r w:rsidR="006F039F">
        <w:rPr>
          <w:rFonts w:ascii="Times New Roman" w:hAnsi="Times New Roman" w:cs="Times New Roman"/>
          <w:noProof/>
          <w:sz w:val="24"/>
          <w:szCs w:val="24"/>
        </w:rPr>
        <w:t xml:space="preserve">. </w:t>
      </w:r>
      <w:r w:rsidR="006F039F" w:rsidRPr="006F039F">
        <w:rPr>
          <w:rFonts w:ascii="Times New Roman" w:hAnsi="Times New Roman" w:cs="Times New Roman"/>
          <w:b/>
          <w:noProof/>
          <w:sz w:val="24"/>
          <w:szCs w:val="24"/>
        </w:rPr>
        <w:t>4</w:t>
      </w:r>
      <w:r w:rsidR="006F039F">
        <w:rPr>
          <w:rFonts w:ascii="Times New Roman" w:hAnsi="Times New Roman" w:cs="Times New Roman"/>
          <w:noProof/>
          <w:sz w:val="24"/>
          <w:szCs w:val="24"/>
        </w:rPr>
        <w:t xml:space="preserve">(1), 25. </w:t>
      </w:r>
    </w:p>
    <w:p w14:paraId="331F4703" w14:textId="3AD9E0B5"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Oerlemans, M. </w:t>
      </w:r>
      <w:r w:rsidRPr="00BE3B6C">
        <w:rPr>
          <w:rFonts w:ascii="Times New Roman" w:hAnsi="Times New Roman" w:cs="Times New Roman"/>
          <w:i/>
          <w:iCs/>
          <w:noProof/>
          <w:sz w:val="24"/>
          <w:szCs w:val="24"/>
        </w:rPr>
        <w:t>et al.</w:t>
      </w:r>
      <w:r w:rsidR="00001B4D">
        <w:rPr>
          <w:rFonts w:ascii="Times New Roman" w:hAnsi="Times New Roman" w:cs="Times New Roman"/>
          <w:noProof/>
          <w:sz w:val="24"/>
          <w:szCs w:val="24"/>
        </w:rPr>
        <w:t xml:space="preserve"> (2017). </w:t>
      </w:r>
      <w:r w:rsidRPr="00BE3B6C">
        <w:rPr>
          <w:rFonts w:ascii="Times New Roman" w:hAnsi="Times New Roman" w:cs="Times New Roman"/>
          <w:noProof/>
          <w:sz w:val="24"/>
          <w:szCs w:val="24"/>
        </w:rPr>
        <w:t xml:space="preserve">Should we assess clinical performance in single patient </w:t>
      </w:r>
      <w:r w:rsidRPr="00BE3B6C">
        <w:rPr>
          <w:rFonts w:ascii="Times New Roman" w:hAnsi="Times New Roman" w:cs="Times New Roman"/>
          <w:noProof/>
          <w:sz w:val="24"/>
          <w:szCs w:val="24"/>
        </w:rPr>
        <w:lastRenderedPageBreak/>
        <w:t xml:space="preserve">encounters or consistent behaviors of clinical performance over a series of encounters? A qualitative exploration </w:t>
      </w:r>
      <w:r w:rsidR="00001B4D">
        <w:rPr>
          <w:rFonts w:ascii="Times New Roman" w:hAnsi="Times New Roman" w:cs="Times New Roman"/>
          <w:noProof/>
          <w:sz w:val="24"/>
          <w:szCs w:val="24"/>
        </w:rPr>
        <w:t xml:space="preserve">of narrative trainee profiles. </w:t>
      </w:r>
      <w:r w:rsidRPr="00BE3B6C">
        <w:rPr>
          <w:rFonts w:ascii="Times New Roman" w:hAnsi="Times New Roman" w:cs="Times New Roman"/>
          <w:i/>
          <w:iCs/>
          <w:noProof/>
          <w:sz w:val="24"/>
          <w:szCs w:val="24"/>
        </w:rPr>
        <w:t>Medical Teacher</w:t>
      </w:r>
      <w:r w:rsidR="00001B4D">
        <w:rPr>
          <w:rFonts w:ascii="Times New Roman" w:hAnsi="Times New Roman" w:cs="Times New Roman"/>
          <w:noProof/>
          <w:sz w:val="24"/>
          <w:szCs w:val="24"/>
        </w:rPr>
        <w:t xml:space="preserve">. </w:t>
      </w:r>
      <w:r w:rsidR="00001B4D" w:rsidRPr="00001B4D">
        <w:rPr>
          <w:rFonts w:ascii="Times New Roman" w:hAnsi="Times New Roman" w:cs="Times New Roman"/>
          <w:b/>
          <w:noProof/>
          <w:sz w:val="24"/>
          <w:szCs w:val="24"/>
        </w:rPr>
        <w:t>39</w:t>
      </w:r>
      <w:r w:rsidR="00001B4D">
        <w:rPr>
          <w:rFonts w:ascii="Times New Roman" w:hAnsi="Times New Roman" w:cs="Times New Roman"/>
          <w:noProof/>
          <w:sz w:val="24"/>
          <w:szCs w:val="24"/>
        </w:rPr>
        <w:t xml:space="preserve">(3), </w:t>
      </w:r>
      <w:r w:rsidRPr="00BE3B6C">
        <w:rPr>
          <w:rFonts w:ascii="Times New Roman" w:hAnsi="Times New Roman" w:cs="Times New Roman"/>
          <w:noProof/>
          <w:sz w:val="24"/>
          <w:szCs w:val="24"/>
        </w:rPr>
        <w:t xml:space="preserve">300–307. </w:t>
      </w:r>
    </w:p>
    <w:p w14:paraId="538E436A" w14:textId="35F208EF" w:rsidR="00666DB0" w:rsidRPr="00BE3B6C" w:rsidRDefault="00666DB0" w:rsidP="00BE3B6C">
      <w:pPr>
        <w:widowControl w:val="0"/>
        <w:autoSpaceDE w:val="0"/>
        <w:autoSpaceDN w:val="0"/>
        <w:adjustRightInd w:val="0"/>
        <w:spacing w:line="480" w:lineRule="auto"/>
        <w:rPr>
          <w:rFonts w:ascii="Times New Roman" w:hAnsi="Times New Roman" w:cs="Times New Roman"/>
          <w:noProof/>
          <w:sz w:val="24"/>
          <w:szCs w:val="24"/>
        </w:rPr>
      </w:pPr>
      <w:r w:rsidRPr="00E36FD2">
        <w:rPr>
          <w:rFonts w:ascii="Times New Roman" w:hAnsi="Times New Roman" w:cs="Times New Roman"/>
          <w:sz w:val="24"/>
          <w:szCs w:val="24"/>
        </w:rPr>
        <w:t>Oliver C.W. (E</w:t>
      </w:r>
      <w:r>
        <w:rPr>
          <w:rFonts w:ascii="Times New Roman" w:hAnsi="Times New Roman" w:cs="Times New Roman"/>
          <w:sz w:val="24"/>
          <w:szCs w:val="24"/>
        </w:rPr>
        <w:t>d.)</w:t>
      </w:r>
      <w:r w:rsidRPr="00E36FD2">
        <w:rPr>
          <w:rFonts w:ascii="Times New Roman" w:hAnsi="Times New Roman" w:cs="Times New Roman"/>
          <w:sz w:val="24"/>
          <w:szCs w:val="24"/>
        </w:rPr>
        <w:t xml:space="preserve"> </w:t>
      </w:r>
      <w:r>
        <w:rPr>
          <w:rFonts w:ascii="Times New Roman" w:hAnsi="Times New Roman" w:cs="Times New Roman"/>
          <w:sz w:val="24"/>
          <w:szCs w:val="24"/>
        </w:rPr>
        <w:t xml:space="preserve">(2007). </w:t>
      </w:r>
      <w:r w:rsidRPr="00E36FD2">
        <w:rPr>
          <w:rStyle w:val="Title1"/>
          <w:rFonts w:ascii="Times New Roman" w:hAnsi="Times New Roman" w:cs="Times New Roman"/>
          <w:sz w:val="24"/>
          <w:szCs w:val="24"/>
        </w:rPr>
        <w:t xml:space="preserve">Developing and maintaining an assessment system: </w:t>
      </w:r>
      <w:r w:rsidRPr="00E36FD2">
        <w:rPr>
          <w:rStyle w:val="Subtitle1"/>
          <w:rFonts w:ascii="Times New Roman" w:hAnsi="Times New Roman" w:cs="Times New Roman"/>
          <w:sz w:val="24"/>
          <w:szCs w:val="24"/>
        </w:rPr>
        <w:t>A PMETB guide to good practice</w:t>
      </w:r>
      <w:r w:rsidRPr="00E36FD2">
        <w:rPr>
          <w:rFonts w:ascii="Times New Roman" w:hAnsi="Times New Roman" w:cs="Times New Roman"/>
          <w:sz w:val="24"/>
          <w:szCs w:val="24"/>
        </w:rPr>
        <w:t>. London, UK: PMETB. 50 p.</w:t>
      </w:r>
    </w:p>
    <w:p w14:paraId="51F3FFBA" w14:textId="67FFD7B4" w:rsidR="00BE3B6C" w:rsidRPr="00BE3B6C" w:rsidRDefault="00001B4D"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Owen, D. (2007). </w:t>
      </w:r>
      <w:r w:rsidR="00BE3B6C" w:rsidRPr="00BE3B6C">
        <w:rPr>
          <w:rFonts w:ascii="Times New Roman" w:hAnsi="Times New Roman" w:cs="Times New Roman"/>
          <w:noProof/>
          <w:sz w:val="24"/>
          <w:szCs w:val="24"/>
        </w:rPr>
        <w:t>Th</w:t>
      </w:r>
      <w:r>
        <w:rPr>
          <w:rFonts w:ascii="Times New Roman" w:hAnsi="Times New Roman" w:cs="Times New Roman"/>
          <w:noProof/>
          <w:sz w:val="24"/>
          <w:szCs w:val="24"/>
        </w:rPr>
        <w:t xml:space="preserve">e Five Elements of Negligence. </w:t>
      </w:r>
      <w:r w:rsidR="00BE3B6C" w:rsidRPr="00BE3B6C">
        <w:rPr>
          <w:rFonts w:ascii="Times New Roman" w:hAnsi="Times New Roman" w:cs="Times New Roman"/>
          <w:i/>
          <w:iCs/>
          <w:noProof/>
          <w:sz w:val="24"/>
          <w:szCs w:val="24"/>
        </w:rPr>
        <w:t>Hofstra Law Review</w:t>
      </w:r>
      <w:r>
        <w:rPr>
          <w:rFonts w:ascii="Times New Roman" w:hAnsi="Times New Roman" w:cs="Times New Roman"/>
          <w:noProof/>
          <w:sz w:val="24"/>
          <w:szCs w:val="24"/>
        </w:rPr>
        <w:t>.</w:t>
      </w:r>
      <w:r w:rsidR="00BE3B6C" w:rsidRPr="00BE3B6C">
        <w:rPr>
          <w:rFonts w:ascii="Times New Roman" w:hAnsi="Times New Roman" w:cs="Times New Roman"/>
          <w:noProof/>
          <w:sz w:val="24"/>
          <w:szCs w:val="24"/>
        </w:rPr>
        <w:t xml:space="preserve"> </w:t>
      </w:r>
      <w:r w:rsidR="00BE3B6C" w:rsidRPr="00001B4D">
        <w:rPr>
          <w:rFonts w:ascii="Times New Roman" w:hAnsi="Times New Roman" w:cs="Times New Roman"/>
          <w:b/>
          <w:noProof/>
          <w:sz w:val="24"/>
          <w:szCs w:val="24"/>
        </w:rPr>
        <w:t>35</w:t>
      </w:r>
      <w:r>
        <w:rPr>
          <w:rFonts w:ascii="Times New Roman" w:hAnsi="Times New Roman" w:cs="Times New Roman"/>
          <w:noProof/>
          <w:sz w:val="24"/>
          <w:szCs w:val="24"/>
        </w:rPr>
        <w:t>(4), 1671-1686.</w:t>
      </w:r>
    </w:p>
    <w:p w14:paraId="18A660E8" w14:textId="47B435DD"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Parham, D. M. </w:t>
      </w:r>
      <w:r w:rsidRPr="00BE3B6C">
        <w:rPr>
          <w:rFonts w:ascii="Times New Roman" w:hAnsi="Times New Roman" w:cs="Times New Roman"/>
          <w:i/>
          <w:iCs/>
          <w:noProof/>
          <w:sz w:val="24"/>
          <w:szCs w:val="24"/>
        </w:rPr>
        <w:t>et al.</w:t>
      </w:r>
      <w:r w:rsidR="00B1052F">
        <w:rPr>
          <w:rFonts w:ascii="Times New Roman" w:hAnsi="Times New Roman" w:cs="Times New Roman"/>
          <w:noProof/>
          <w:sz w:val="24"/>
          <w:szCs w:val="24"/>
        </w:rPr>
        <w:t xml:space="preserve"> (2010). </w:t>
      </w:r>
      <w:r w:rsidRPr="00BE3B6C">
        <w:rPr>
          <w:rFonts w:ascii="Times New Roman" w:hAnsi="Times New Roman" w:cs="Times New Roman"/>
          <w:noProof/>
          <w:sz w:val="24"/>
          <w:szCs w:val="24"/>
        </w:rPr>
        <w:t>Experts an</w:t>
      </w:r>
      <w:r w:rsidR="00B1052F">
        <w:rPr>
          <w:rFonts w:ascii="Times New Roman" w:hAnsi="Times New Roman" w:cs="Times New Roman"/>
          <w:noProof/>
          <w:sz w:val="24"/>
          <w:szCs w:val="24"/>
        </w:rPr>
        <w:t xml:space="preserve">d performance in histopathology-a study in breast pathology. </w:t>
      </w:r>
      <w:r w:rsidR="00B1052F">
        <w:rPr>
          <w:rFonts w:ascii="Times New Roman" w:hAnsi="Times New Roman" w:cs="Times New Roman"/>
          <w:i/>
          <w:iCs/>
          <w:noProof/>
          <w:sz w:val="24"/>
          <w:szCs w:val="24"/>
        </w:rPr>
        <w:t>Pathology, Research and P</w:t>
      </w:r>
      <w:r w:rsidRPr="00BE3B6C">
        <w:rPr>
          <w:rFonts w:ascii="Times New Roman" w:hAnsi="Times New Roman" w:cs="Times New Roman"/>
          <w:i/>
          <w:iCs/>
          <w:noProof/>
          <w:sz w:val="24"/>
          <w:szCs w:val="24"/>
        </w:rPr>
        <w:t>ractice</w:t>
      </w:r>
      <w:r w:rsidR="00B1052F">
        <w:rPr>
          <w:rFonts w:ascii="Times New Roman" w:hAnsi="Times New Roman" w:cs="Times New Roman"/>
          <w:noProof/>
          <w:sz w:val="24"/>
          <w:szCs w:val="24"/>
        </w:rPr>
        <w:t xml:space="preserve">. </w:t>
      </w:r>
      <w:r w:rsidRPr="00B1052F">
        <w:rPr>
          <w:rFonts w:ascii="Times New Roman" w:hAnsi="Times New Roman" w:cs="Times New Roman"/>
          <w:b/>
          <w:noProof/>
          <w:sz w:val="24"/>
          <w:szCs w:val="24"/>
        </w:rPr>
        <w:t>206</w:t>
      </w:r>
      <w:r w:rsidRPr="00BE3B6C">
        <w:rPr>
          <w:rFonts w:ascii="Times New Roman" w:hAnsi="Times New Roman" w:cs="Times New Roman"/>
          <w:noProof/>
          <w:sz w:val="24"/>
          <w:szCs w:val="24"/>
        </w:rPr>
        <w:t>(1</w:t>
      </w:r>
      <w:r w:rsidR="00B1052F">
        <w:rPr>
          <w:rFonts w:ascii="Times New Roman" w:hAnsi="Times New Roman" w:cs="Times New Roman"/>
          <w:noProof/>
          <w:sz w:val="24"/>
          <w:szCs w:val="24"/>
        </w:rPr>
        <w:t xml:space="preserve">1), 749–52. </w:t>
      </w:r>
    </w:p>
    <w:p w14:paraId="5A8471C1" w14:textId="13B9A279"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Pascal, R. (1993)</w:t>
      </w:r>
      <w:r w:rsidR="00B1052F">
        <w:rPr>
          <w:rFonts w:ascii="Times New Roman" w:hAnsi="Times New Roman" w:cs="Times New Roman"/>
          <w:noProof/>
          <w:sz w:val="24"/>
          <w:szCs w:val="24"/>
        </w:rPr>
        <w:t xml:space="preserve">. </w:t>
      </w:r>
      <w:r w:rsidRPr="00BE3B6C">
        <w:rPr>
          <w:rFonts w:ascii="Times New Roman" w:hAnsi="Times New Roman" w:cs="Times New Roman"/>
          <w:noProof/>
          <w:sz w:val="24"/>
          <w:szCs w:val="24"/>
        </w:rPr>
        <w:t>Graded responsibility of residents in anatomic path</w:t>
      </w:r>
      <w:r w:rsidR="00B1052F">
        <w:rPr>
          <w:rFonts w:ascii="Times New Roman" w:hAnsi="Times New Roman" w:cs="Times New Roman"/>
          <w:noProof/>
          <w:sz w:val="24"/>
          <w:szCs w:val="24"/>
        </w:rPr>
        <w:t xml:space="preserve">ology: a survey and commentry. </w:t>
      </w:r>
      <w:r w:rsidRPr="00BE3B6C">
        <w:rPr>
          <w:rFonts w:ascii="Times New Roman" w:hAnsi="Times New Roman" w:cs="Times New Roman"/>
          <w:i/>
          <w:iCs/>
          <w:noProof/>
          <w:sz w:val="24"/>
          <w:szCs w:val="24"/>
        </w:rPr>
        <w:t>Am J Clin Pathol</w:t>
      </w:r>
      <w:r w:rsidR="00B1052F">
        <w:rPr>
          <w:rFonts w:ascii="Times New Roman" w:hAnsi="Times New Roman" w:cs="Times New Roman"/>
          <w:noProof/>
          <w:sz w:val="24"/>
          <w:szCs w:val="24"/>
        </w:rPr>
        <w:t xml:space="preserve">. </w:t>
      </w:r>
      <w:r w:rsidR="00B1052F" w:rsidRPr="00B1052F">
        <w:rPr>
          <w:rFonts w:ascii="Times New Roman" w:hAnsi="Times New Roman" w:cs="Times New Roman"/>
          <w:b/>
          <w:noProof/>
          <w:sz w:val="24"/>
          <w:szCs w:val="24"/>
        </w:rPr>
        <w:t>100</w:t>
      </w:r>
      <w:r w:rsidR="00B1052F">
        <w:rPr>
          <w:rFonts w:ascii="Times New Roman" w:hAnsi="Times New Roman" w:cs="Times New Roman"/>
          <w:noProof/>
          <w:sz w:val="24"/>
          <w:szCs w:val="24"/>
        </w:rPr>
        <w:t xml:space="preserve">(4 Suppl), </w:t>
      </w:r>
      <w:r w:rsidRPr="00BE3B6C">
        <w:rPr>
          <w:rFonts w:ascii="Times New Roman" w:hAnsi="Times New Roman" w:cs="Times New Roman"/>
          <w:noProof/>
          <w:sz w:val="24"/>
          <w:szCs w:val="24"/>
        </w:rPr>
        <w:t>S41-3.</w:t>
      </w:r>
    </w:p>
    <w:p w14:paraId="469167C4" w14:textId="6D6367C3" w:rsidR="00BE3B6C" w:rsidRPr="00BE3B6C" w:rsidRDefault="00FF2BB3"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Patton, M. Q. (1990). Designing qualitative studies. I</w:t>
      </w:r>
      <w:r w:rsidR="00BE3B6C" w:rsidRPr="00BE3B6C">
        <w:rPr>
          <w:rFonts w:ascii="Times New Roman" w:hAnsi="Times New Roman" w:cs="Times New Roman"/>
          <w:noProof/>
          <w:sz w:val="24"/>
          <w:szCs w:val="24"/>
        </w:rPr>
        <w:t>n</w:t>
      </w:r>
      <w:r>
        <w:rPr>
          <w:rFonts w:ascii="Times New Roman" w:hAnsi="Times New Roman" w:cs="Times New Roman"/>
          <w:noProof/>
          <w:sz w:val="24"/>
          <w:szCs w:val="24"/>
        </w:rPr>
        <w:t>: M. Q. Patton, ed.</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Qualitative evaluation and research methods</w:t>
      </w:r>
      <w:r>
        <w:rPr>
          <w:rFonts w:ascii="Times New Roman" w:hAnsi="Times New Roman" w:cs="Times New Roman"/>
          <w:noProof/>
          <w:sz w:val="24"/>
          <w:szCs w:val="24"/>
        </w:rPr>
        <w:t xml:space="preserve">. Thousand Oaks, California: Sage Publications. pp. 169–186. </w:t>
      </w:r>
    </w:p>
    <w:p w14:paraId="5346B068" w14:textId="451D6DE1"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Pelgrim, E. A. M. </w:t>
      </w:r>
      <w:r w:rsidRPr="00BE3B6C">
        <w:rPr>
          <w:rFonts w:ascii="Times New Roman" w:hAnsi="Times New Roman" w:cs="Times New Roman"/>
          <w:i/>
          <w:iCs/>
          <w:noProof/>
          <w:sz w:val="24"/>
          <w:szCs w:val="24"/>
        </w:rPr>
        <w:t>et al.</w:t>
      </w:r>
      <w:r w:rsidR="00FF2BB3">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In-training assessment using direct observation of single-patient e</w:t>
      </w:r>
      <w:r w:rsidR="00FF2BB3">
        <w:rPr>
          <w:rFonts w:ascii="Times New Roman" w:hAnsi="Times New Roman" w:cs="Times New Roman"/>
          <w:noProof/>
          <w:sz w:val="24"/>
          <w:szCs w:val="24"/>
        </w:rPr>
        <w:t>ncounters: A literature review.</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Advances in Health Sciences Educati</w:t>
      </w:r>
      <w:r w:rsidRPr="00FF2BB3">
        <w:rPr>
          <w:rFonts w:ascii="Times New Roman" w:hAnsi="Times New Roman" w:cs="Times New Roman"/>
          <w:i/>
          <w:iCs/>
          <w:noProof/>
          <w:sz w:val="24"/>
          <w:szCs w:val="24"/>
        </w:rPr>
        <w:t>on</w:t>
      </w:r>
      <w:r w:rsidR="00FF2BB3" w:rsidRPr="00FF2BB3">
        <w:rPr>
          <w:rFonts w:ascii="Times New Roman" w:hAnsi="Times New Roman" w:cs="Times New Roman"/>
          <w:i/>
          <w:noProof/>
          <w:sz w:val="24"/>
          <w:szCs w:val="24"/>
        </w:rPr>
        <w:t>: Theory and Practice.</w:t>
      </w:r>
      <w:r w:rsidR="00FF2BB3">
        <w:rPr>
          <w:rFonts w:ascii="Times New Roman" w:hAnsi="Times New Roman" w:cs="Times New Roman"/>
          <w:noProof/>
          <w:sz w:val="24"/>
          <w:szCs w:val="24"/>
        </w:rPr>
        <w:t xml:space="preserve"> </w:t>
      </w:r>
      <w:r w:rsidR="00FF2BB3" w:rsidRPr="00FF2BB3">
        <w:rPr>
          <w:rFonts w:ascii="Times New Roman" w:hAnsi="Times New Roman" w:cs="Times New Roman"/>
          <w:b/>
          <w:noProof/>
          <w:sz w:val="24"/>
          <w:szCs w:val="24"/>
        </w:rPr>
        <w:t>16</w:t>
      </w:r>
      <w:r w:rsidR="00FF2BB3">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131–142. </w:t>
      </w:r>
    </w:p>
    <w:p w14:paraId="59EA5654" w14:textId="150C049F" w:rsidR="00BE3B6C" w:rsidRPr="00BE3B6C" w:rsidRDefault="00D054E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Pelgrim, E. A.</w:t>
      </w:r>
      <w:r w:rsidR="00BE3B6C" w:rsidRPr="00BE3B6C">
        <w:rPr>
          <w:rFonts w:ascii="Times New Roman" w:hAnsi="Times New Roman" w:cs="Times New Roman"/>
          <w:noProof/>
          <w:sz w:val="24"/>
          <w:szCs w:val="24"/>
        </w:rPr>
        <w:t xml:space="preserve"> M. </w:t>
      </w:r>
      <w:r w:rsidR="00BE3B6C" w:rsidRPr="00BE3B6C">
        <w:rPr>
          <w:rFonts w:ascii="Times New Roman" w:hAnsi="Times New Roman" w:cs="Times New Roman"/>
          <w:i/>
          <w:iCs/>
          <w:noProof/>
          <w:sz w:val="24"/>
          <w:szCs w:val="24"/>
        </w:rPr>
        <w:t>et al.</w:t>
      </w:r>
      <w:r w:rsidR="00FF2BB3">
        <w:rPr>
          <w:rFonts w:ascii="Times New Roman" w:hAnsi="Times New Roman" w:cs="Times New Roman"/>
          <w:noProof/>
          <w:sz w:val="24"/>
          <w:szCs w:val="24"/>
        </w:rPr>
        <w:t xml:space="preserve"> (2012). </w:t>
      </w:r>
      <w:r w:rsidR="00BE3B6C" w:rsidRPr="00BE3B6C">
        <w:rPr>
          <w:rFonts w:ascii="Times New Roman" w:hAnsi="Times New Roman" w:cs="Times New Roman"/>
          <w:noProof/>
          <w:sz w:val="24"/>
          <w:szCs w:val="24"/>
        </w:rPr>
        <w:t>The process of feedback in workplace-based assessment: Organ</w:t>
      </w:r>
      <w:r w:rsidR="00FF2BB3">
        <w:rPr>
          <w:rFonts w:ascii="Times New Roman" w:hAnsi="Times New Roman" w:cs="Times New Roman"/>
          <w:noProof/>
          <w:sz w:val="24"/>
          <w:szCs w:val="24"/>
        </w:rPr>
        <w:t xml:space="preserve">isation, delivery, continuity. </w:t>
      </w:r>
      <w:r w:rsidR="00BE3B6C" w:rsidRPr="00BE3B6C">
        <w:rPr>
          <w:rFonts w:ascii="Times New Roman" w:hAnsi="Times New Roman" w:cs="Times New Roman"/>
          <w:i/>
          <w:iCs/>
          <w:noProof/>
          <w:sz w:val="24"/>
          <w:szCs w:val="24"/>
        </w:rPr>
        <w:t>Medical Education</w:t>
      </w:r>
      <w:r w:rsidR="00FF2BB3">
        <w:rPr>
          <w:rFonts w:ascii="Times New Roman" w:hAnsi="Times New Roman" w:cs="Times New Roman"/>
          <w:noProof/>
          <w:sz w:val="24"/>
          <w:szCs w:val="24"/>
        </w:rPr>
        <w:t xml:space="preserve">. </w:t>
      </w:r>
      <w:r w:rsidR="00FF2BB3" w:rsidRPr="00FF2BB3">
        <w:rPr>
          <w:rFonts w:ascii="Times New Roman" w:hAnsi="Times New Roman" w:cs="Times New Roman"/>
          <w:b/>
          <w:noProof/>
          <w:sz w:val="24"/>
          <w:szCs w:val="24"/>
        </w:rPr>
        <w:t>46</w:t>
      </w:r>
      <w:r w:rsidR="00FF2BB3">
        <w:rPr>
          <w:rFonts w:ascii="Times New Roman" w:hAnsi="Times New Roman" w:cs="Times New Roman"/>
          <w:noProof/>
          <w:sz w:val="24"/>
          <w:szCs w:val="24"/>
        </w:rPr>
        <w:t xml:space="preserve">(6), 604–612. </w:t>
      </w:r>
    </w:p>
    <w:p w14:paraId="0DFEB879" w14:textId="45954077"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Pena, G. P. and </w:t>
      </w:r>
      <w:r w:rsidR="00FF2BB3">
        <w:rPr>
          <w:rFonts w:ascii="Times New Roman" w:hAnsi="Times New Roman" w:cs="Times New Roman"/>
          <w:noProof/>
          <w:sz w:val="24"/>
          <w:szCs w:val="24"/>
        </w:rPr>
        <w:t xml:space="preserve">De Andrade-Filho, J. S. (2009). </w:t>
      </w:r>
      <w:r w:rsidRPr="00BE3B6C">
        <w:rPr>
          <w:rFonts w:ascii="Times New Roman" w:hAnsi="Times New Roman" w:cs="Times New Roman"/>
          <w:noProof/>
          <w:sz w:val="24"/>
          <w:szCs w:val="24"/>
        </w:rPr>
        <w:t>How does a</w:t>
      </w:r>
      <w:r w:rsidR="00FF2BB3">
        <w:rPr>
          <w:rFonts w:ascii="Times New Roman" w:hAnsi="Times New Roman" w:cs="Times New Roman"/>
          <w:noProof/>
          <w:sz w:val="24"/>
          <w:szCs w:val="24"/>
        </w:rPr>
        <w:t xml:space="preserve"> pathologist make a diagnosis?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Archives of Pathology and Laboratory Medicine</w:t>
      </w:r>
      <w:r w:rsidR="00FF2BB3">
        <w:rPr>
          <w:rFonts w:ascii="Times New Roman" w:hAnsi="Times New Roman" w:cs="Times New Roman"/>
          <w:noProof/>
          <w:sz w:val="24"/>
          <w:szCs w:val="24"/>
        </w:rPr>
        <w:t xml:space="preserve">. </w:t>
      </w:r>
      <w:r w:rsidR="00FF2BB3" w:rsidRPr="00FF2BB3">
        <w:rPr>
          <w:rFonts w:ascii="Times New Roman" w:hAnsi="Times New Roman" w:cs="Times New Roman"/>
          <w:b/>
          <w:noProof/>
          <w:sz w:val="24"/>
          <w:szCs w:val="24"/>
        </w:rPr>
        <w:t>133</w:t>
      </w:r>
      <w:r w:rsidR="00FF2BB3">
        <w:rPr>
          <w:rFonts w:ascii="Times New Roman" w:hAnsi="Times New Roman" w:cs="Times New Roman"/>
          <w:noProof/>
          <w:sz w:val="24"/>
          <w:szCs w:val="24"/>
        </w:rPr>
        <w:t xml:space="preserve">(1), </w:t>
      </w:r>
      <w:r w:rsidRPr="00BE3B6C">
        <w:rPr>
          <w:rFonts w:ascii="Times New Roman" w:hAnsi="Times New Roman" w:cs="Times New Roman"/>
          <w:noProof/>
          <w:sz w:val="24"/>
          <w:szCs w:val="24"/>
        </w:rPr>
        <w:t>124–132.</w:t>
      </w:r>
    </w:p>
    <w:p w14:paraId="7FF7B945" w14:textId="399E4576"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Pereira</w:t>
      </w:r>
      <w:r w:rsidR="00F5192D">
        <w:rPr>
          <w:rFonts w:ascii="Times New Roman" w:hAnsi="Times New Roman" w:cs="Times New Roman"/>
          <w:noProof/>
          <w:sz w:val="24"/>
          <w:szCs w:val="24"/>
        </w:rPr>
        <w:t xml:space="preserve">, E. A. and Dean, B. J. (2009). </w:t>
      </w:r>
      <w:r w:rsidRPr="00BE3B6C">
        <w:rPr>
          <w:rFonts w:ascii="Times New Roman" w:hAnsi="Times New Roman" w:cs="Times New Roman"/>
          <w:noProof/>
          <w:sz w:val="24"/>
          <w:szCs w:val="24"/>
        </w:rPr>
        <w:t>British surgeons’ experiences of mandatory on</w:t>
      </w:r>
      <w:r w:rsidR="00F5192D">
        <w:rPr>
          <w:rFonts w:ascii="Times New Roman" w:hAnsi="Times New Roman" w:cs="Times New Roman"/>
          <w:noProof/>
          <w:sz w:val="24"/>
          <w:szCs w:val="24"/>
        </w:rPr>
        <w:t xml:space="preserve">line workplace-based assessment-reply to authors. </w:t>
      </w:r>
      <w:r w:rsidRPr="00BE3B6C">
        <w:rPr>
          <w:rFonts w:ascii="Times New Roman" w:hAnsi="Times New Roman" w:cs="Times New Roman"/>
          <w:i/>
          <w:iCs/>
          <w:noProof/>
          <w:sz w:val="24"/>
          <w:szCs w:val="24"/>
        </w:rPr>
        <w:t>Journal of the Royal Society of Medicine</w:t>
      </w:r>
      <w:r w:rsidR="00F5192D">
        <w:rPr>
          <w:rFonts w:ascii="Times New Roman" w:hAnsi="Times New Roman" w:cs="Times New Roman"/>
          <w:noProof/>
          <w:sz w:val="24"/>
          <w:szCs w:val="24"/>
        </w:rPr>
        <w:t xml:space="preserve">. </w:t>
      </w:r>
      <w:r w:rsidR="00F5192D" w:rsidRPr="00F5192D">
        <w:rPr>
          <w:rFonts w:ascii="Times New Roman" w:hAnsi="Times New Roman" w:cs="Times New Roman"/>
          <w:b/>
          <w:noProof/>
          <w:sz w:val="24"/>
          <w:szCs w:val="24"/>
        </w:rPr>
        <w:t>102</w:t>
      </w:r>
      <w:r w:rsidR="00F5192D">
        <w:rPr>
          <w:rFonts w:ascii="Times New Roman" w:hAnsi="Times New Roman" w:cs="Times New Roman"/>
          <w:noProof/>
          <w:sz w:val="24"/>
          <w:szCs w:val="24"/>
        </w:rPr>
        <w:t xml:space="preserve">(9), 357–358. </w:t>
      </w:r>
    </w:p>
    <w:p w14:paraId="0518D6CF" w14:textId="6239523B"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Pittenger, A. L. </w:t>
      </w:r>
      <w:r w:rsidRPr="00BE3B6C">
        <w:rPr>
          <w:rFonts w:ascii="Times New Roman" w:hAnsi="Times New Roman" w:cs="Times New Roman"/>
          <w:i/>
          <w:iCs/>
          <w:noProof/>
          <w:sz w:val="24"/>
          <w:szCs w:val="24"/>
        </w:rPr>
        <w:t>et al.</w:t>
      </w:r>
      <w:r w:rsidR="00932707">
        <w:rPr>
          <w:rFonts w:ascii="Times New Roman" w:hAnsi="Times New Roman" w:cs="Times New Roman"/>
          <w:noProof/>
          <w:sz w:val="24"/>
          <w:szCs w:val="24"/>
        </w:rPr>
        <w:t xml:space="preserve"> (2016). </w:t>
      </w:r>
      <w:r w:rsidRPr="00BE3B6C">
        <w:rPr>
          <w:rFonts w:ascii="Times New Roman" w:hAnsi="Times New Roman" w:cs="Times New Roman"/>
          <w:noProof/>
          <w:sz w:val="24"/>
          <w:szCs w:val="24"/>
        </w:rPr>
        <w:t>Entrustable professional ac</w:t>
      </w:r>
      <w:r w:rsidR="00932707">
        <w:rPr>
          <w:rFonts w:ascii="Times New Roman" w:hAnsi="Times New Roman" w:cs="Times New Roman"/>
          <w:noProof/>
          <w:sz w:val="24"/>
          <w:szCs w:val="24"/>
        </w:rPr>
        <w:t>tivities for pharmacy practice.</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lastRenderedPageBreak/>
        <w:t>American Journal of Pharmaceutical Education</w:t>
      </w:r>
      <w:r w:rsidR="00932707">
        <w:rPr>
          <w:rFonts w:ascii="Times New Roman" w:hAnsi="Times New Roman" w:cs="Times New Roman"/>
          <w:noProof/>
          <w:sz w:val="24"/>
          <w:szCs w:val="24"/>
        </w:rPr>
        <w:t xml:space="preserve">. </w:t>
      </w:r>
      <w:r w:rsidR="00932707" w:rsidRPr="00932707">
        <w:rPr>
          <w:rFonts w:ascii="Times New Roman" w:hAnsi="Times New Roman" w:cs="Times New Roman"/>
          <w:b/>
          <w:noProof/>
          <w:sz w:val="24"/>
          <w:szCs w:val="24"/>
        </w:rPr>
        <w:t>80</w:t>
      </w:r>
      <w:r w:rsidR="00932707">
        <w:rPr>
          <w:rFonts w:ascii="Times New Roman" w:hAnsi="Times New Roman" w:cs="Times New Roman"/>
          <w:noProof/>
          <w:sz w:val="24"/>
          <w:szCs w:val="24"/>
        </w:rPr>
        <w:t>(4), 57.</w:t>
      </w:r>
    </w:p>
    <w:p w14:paraId="789453FB" w14:textId="3ACE1F5A"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Pope, C., Zi</w:t>
      </w:r>
      <w:r w:rsidR="00666DB0">
        <w:rPr>
          <w:rFonts w:ascii="Times New Roman" w:hAnsi="Times New Roman" w:cs="Times New Roman"/>
          <w:noProof/>
          <w:sz w:val="24"/>
          <w:szCs w:val="24"/>
        </w:rPr>
        <w:t xml:space="preserve">ebland, S. and Mays, N. (2000). Analysing qualitative data. </w:t>
      </w:r>
      <w:r w:rsidRPr="00BE3B6C">
        <w:rPr>
          <w:rFonts w:ascii="Times New Roman" w:hAnsi="Times New Roman" w:cs="Times New Roman"/>
          <w:i/>
          <w:iCs/>
          <w:noProof/>
          <w:sz w:val="24"/>
          <w:szCs w:val="24"/>
        </w:rPr>
        <w:t>B</w:t>
      </w:r>
      <w:r w:rsidR="00666DB0">
        <w:rPr>
          <w:rFonts w:ascii="Times New Roman" w:hAnsi="Times New Roman" w:cs="Times New Roman"/>
          <w:i/>
          <w:iCs/>
          <w:noProof/>
          <w:sz w:val="24"/>
          <w:szCs w:val="24"/>
        </w:rPr>
        <w:t xml:space="preserve">ritish </w:t>
      </w:r>
      <w:r w:rsidRPr="00BE3B6C">
        <w:rPr>
          <w:rFonts w:ascii="Times New Roman" w:hAnsi="Times New Roman" w:cs="Times New Roman"/>
          <w:i/>
          <w:iCs/>
          <w:noProof/>
          <w:sz w:val="24"/>
          <w:szCs w:val="24"/>
        </w:rPr>
        <w:t>M</w:t>
      </w:r>
      <w:r w:rsidR="00666DB0">
        <w:rPr>
          <w:rFonts w:ascii="Times New Roman" w:hAnsi="Times New Roman" w:cs="Times New Roman"/>
          <w:i/>
          <w:iCs/>
          <w:noProof/>
          <w:sz w:val="24"/>
          <w:szCs w:val="24"/>
        </w:rPr>
        <w:t xml:space="preserve">edical </w:t>
      </w:r>
      <w:r w:rsidRPr="00BE3B6C">
        <w:rPr>
          <w:rFonts w:ascii="Times New Roman" w:hAnsi="Times New Roman" w:cs="Times New Roman"/>
          <w:i/>
          <w:iCs/>
          <w:noProof/>
          <w:sz w:val="24"/>
          <w:szCs w:val="24"/>
        </w:rPr>
        <w:t>J</w:t>
      </w:r>
      <w:r w:rsidR="00666DB0">
        <w:rPr>
          <w:rFonts w:ascii="Times New Roman" w:hAnsi="Times New Roman" w:cs="Times New Roman"/>
          <w:i/>
          <w:iCs/>
          <w:noProof/>
          <w:sz w:val="24"/>
          <w:szCs w:val="24"/>
        </w:rPr>
        <w:t>ournal</w:t>
      </w:r>
      <w:r w:rsidR="00144166">
        <w:rPr>
          <w:rFonts w:ascii="Times New Roman" w:hAnsi="Times New Roman" w:cs="Times New Roman"/>
          <w:noProof/>
          <w:sz w:val="24"/>
          <w:szCs w:val="24"/>
        </w:rPr>
        <w:t xml:space="preserve">. </w:t>
      </w:r>
      <w:r w:rsidR="00666DB0" w:rsidRPr="00666DB0">
        <w:rPr>
          <w:rFonts w:ascii="Times New Roman" w:hAnsi="Times New Roman" w:cs="Times New Roman"/>
          <w:b/>
          <w:noProof/>
          <w:sz w:val="24"/>
          <w:szCs w:val="24"/>
        </w:rPr>
        <w:t>320</w:t>
      </w:r>
      <w:r w:rsidR="00666DB0">
        <w:rPr>
          <w:rFonts w:ascii="Times New Roman" w:hAnsi="Times New Roman" w:cs="Times New Roman"/>
          <w:noProof/>
          <w:sz w:val="24"/>
          <w:szCs w:val="24"/>
        </w:rPr>
        <w:t xml:space="preserve">, 114–6. </w:t>
      </w:r>
    </w:p>
    <w:p w14:paraId="6D66C07D" w14:textId="659CBDEB"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Powell, H., Di</w:t>
      </w:r>
      <w:r w:rsidR="00144166">
        <w:rPr>
          <w:rFonts w:ascii="Times New Roman" w:hAnsi="Times New Roman" w:cs="Times New Roman"/>
          <w:noProof/>
          <w:sz w:val="24"/>
          <w:szCs w:val="24"/>
        </w:rPr>
        <w:t xml:space="preserve">Marco, A. and Saeed, S. (2014). </w:t>
      </w:r>
      <w:r w:rsidRPr="00BE3B6C">
        <w:rPr>
          <w:rFonts w:ascii="Times New Roman" w:hAnsi="Times New Roman" w:cs="Times New Roman"/>
          <w:noProof/>
          <w:sz w:val="24"/>
          <w:szCs w:val="24"/>
        </w:rPr>
        <w:t>Trainee and trainer opinion on increasing numbers o</w:t>
      </w:r>
      <w:r w:rsidR="00144166">
        <w:rPr>
          <w:rFonts w:ascii="Times New Roman" w:hAnsi="Times New Roman" w:cs="Times New Roman"/>
          <w:noProof/>
          <w:sz w:val="24"/>
          <w:szCs w:val="24"/>
        </w:rPr>
        <w:t xml:space="preserve">f workplace-based assessments. </w:t>
      </w:r>
      <w:r w:rsidRPr="00BE3B6C">
        <w:rPr>
          <w:rFonts w:ascii="Times New Roman" w:hAnsi="Times New Roman" w:cs="Times New Roman"/>
          <w:i/>
          <w:iCs/>
          <w:noProof/>
          <w:sz w:val="24"/>
          <w:szCs w:val="24"/>
        </w:rPr>
        <w:t>Bulletin of The Royal College of Surgeons of England</w:t>
      </w:r>
      <w:r w:rsidR="00144166">
        <w:rPr>
          <w:rFonts w:ascii="Times New Roman" w:hAnsi="Times New Roman" w:cs="Times New Roman"/>
          <w:noProof/>
          <w:sz w:val="24"/>
          <w:szCs w:val="24"/>
        </w:rPr>
        <w:t xml:space="preserve">. </w:t>
      </w:r>
      <w:r w:rsidR="00144166" w:rsidRPr="00144166">
        <w:rPr>
          <w:rFonts w:ascii="Times New Roman" w:hAnsi="Times New Roman" w:cs="Times New Roman"/>
          <w:b/>
          <w:noProof/>
          <w:sz w:val="24"/>
          <w:szCs w:val="24"/>
        </w:rPr>
        <w:t>96</w:t>
      </w:r>
      <w:r w:rsidR="00144166">
        <w:rPr>
          <w:rFonts w:ascii="Times New Roman" w:hAnsi="Times New Roman" w:cs="Times New Roman"/>
          <w:noProof/>
          <w:sz w:val="24"/>
          <w:szCs w:val="24"/>
        </w:rPr>
        <w:t xml:space="preserve">(5), </w:t>
      </w:r>
      <w:r w:rsidRPr="00BE3B6C">
        <w:rPr>
          <w:rFonts w:ascii="Times New Roman" w:hAnsi="Times New Roman" w:cs="Times New Roman"/>
          <w:noProof/>
          <w:sz w:val="24"/>
          <w:szCs w:val="24"/>
        </w:rPr>
        <w:t xml:space="preserve">160–162. </w:t>
      </w:r>
    </w:p>
    <w:p w14:paraId="19F36270" w14:textId="3C811662" w:rsidR="00BE3B6C" w:rsidRDefault="00DE342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Pratt, J. W. (1959). </w:t>
      </w:r>
      <w:r w:rsidR="00BE3B6C" w:rsidRPr="00BE3B6C">
        <w:rPr>
          <w:rFonts w:ascii="Times New Roman" w:hAnsi="Times New Roman" w:cs="Times New Roman"/>
          <w:noProof/>
          <w:sz w:val="24"/>
          <w:szCs w:val="24"/>
        </w:rPr>
        <w:t>Remarks on Zeros and Ties in the Wi</w:t>
      </w:r>
      <w:r>
        <w:rPr>
          <w:rFonts w:ascii="Times New Roman" w:hAnsi="Times New Roman" w:cs="Times New Roman"/>
          <w:noProof/>
          <w:sz w:val="24"/>
          <w:szCs w:val="24"/>
        </w:rPr>
        <w:t xml:space="preserve">lcoxon Signed Rank Procedures. </w:t>
      </w:r>
      <w:r w:rsidR="00BE3B6C" w:rsidRPr="00BE3B6C">
        <w:rPr>
          <w:rFonts w:ascii="Times New Roman" w:hAnsi="Times New Roman" w:cs="Times New Roman"/>
          <w:i/>
          <w:iCs/>
          <w:noProof/>
          <w:sz w:val="24"/>
          <w:szCs w:val="24"/>
        </w:rPr>
        <w:t>Journal of the American Statistical Association</w:t>
      </w:r>
      <w:r>
        <w:rPr>
          <w:rFonts w:ascii="Times New Roman" w:hAnsi="Times New Roman" w:cs="Times New Roman"/>
          <w:noProof/>
          <w:sz w:val="24"/>
          <w:szCs w:val="24"/>
        </w:rPr>
        <w:t xml:space="preserve">. </w:t>
      </w:r>
      <w:r w:rsidRPr="00DE342A">
        <w:rPr>
          <w:rFonts w:ascii="Times New Roman" w:hAnsi="Times New Roman" w:cs="Times New Roman"/>
          <w:b/>
          <w:noProof/>
          <w:sz w:val="24"/>
          <w:szCs w:val="24"/>
        </w:rPr>
        <w:t>54</w:t>
      </w:r>
      <w:r>
        <w:rPr>
          <w:rFonts w:ascii="Times New Roman" w:hAnsi="Times New Roman" w:cs="Times New Roman"/>
          <w:noProof/>
          <w:sz w:val="24"/>
          <w:szCs w:val="24"/>
        </w:rPr>
        <w:t xml:space="preserve">(287), 655–667. </w:t>
      </w:r>
    </w:p>
    <w:p w14:paraId="3F448259" w14:textId="0588F5E3" w:rsidR="00D054EF" w:rsidRPr="00BE3B6C" w:rsidRDefault="00D054EF"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Prescott, L. E. </w:t>
      </w:r>
      <w:r w:rsidRPr="00BE3B6C">
        <w:rPr>
          <w:rFonts w:ascii="Times New Roman" w:hAnsi="Times New Roman" w:cs="Times New Roman"/>
          <w:i/>
          <w:iCs/>
          <w:noProof/>
          <w:sz w:val="24"/>
          <w:szCs w:val="24"/>
        </w:rPr>
        <w:t>et al.</w:t>
      </w:r>
      <w:r>
        <w:rPr>
          <w:rFonts w:ascii="Times New Roman" w:hAnsi="Times New Roman" w:cs="Times New Roman"/>
          <w:noProof/>
          <w:sz w:val="24"/>
          <w:szCs w:val="24"/>
        </w:rPr>
        <w:t xml:space="preserve"> (2002). </w:t>
      </w:r>
      <w:r w:rsidRPr="00BE3B6C">
        <w:rPr>
          <w:rFonts w:ascii="Times New Roman" w:hAnsi="Times New Roman" w:cs="Times New Roman"/>
          <w:noProof/>
          <w:sz w:val="24"/>
          <w:szCs w:val="24"/>
        </w:rPr>
        <w:t>Facing the challenges of competency-based assessment of postgraduate dental training: Longitudinal E</w:t>
      </w:r>
      <w:r>
        <w:rPr>
          <w:rFonts w:ascii="Times New Roman" w:hAnsi="Times New Roman" w:cs="Times New Roman"/>
          <w:noProof/>
          <w:sz w:val="24"/>
          <w:szCs w:val="24"/>
        </w:rPr>
        <w:t xml:space="preserve">valuation of Performance (LEP). </w:t>
      </w:r>
      <w:r>
        <w:rPr>
          <w:rFonts w:ascii="Times New Roman" w:hAnsi="Times New Roman" w:cs="Times New Roman"/>
          <w:i/>
          <w:iCs/>
          <w:noProof/>
          <w:sz w:val="24"/>
          <w:szCs w:val="24"/>
        </w:rPr>
        <w:t>Medical E</w:t>
      </w:r>
      <w:r w:rsidRPr="00BE3B6C">
        <w:rPr>
          <w:rFonts w:ascii="Times New Roman" w:hAnsi="Times New Roman" w:cs="Times New Roman"/>
          <w:i/>
          <w:iCs/>
          <w:noProof/>
          <w:sz w:val="24"/>
          <w:szCs w:val="24"/>
        </w:rPr>
        <w:t>ducation</w:t>
      </w:r>
      <w:r>
        <w:rPr>
          <w:rFonts w:ascii="Times New Roman" w:hAnsi="Times New Roman" w:cs="Times New Roman"/>
          <w:noProof/>
          <w:sz w:val="24"/>
          <w:szCs w:val="24"/>
        </w:rPr>
        <w:t xml:space="preserve">. </w:t>
      </w:r>
      <w:r w:rsidRPr="00DE342A">
        <w:rPr>
          <w:rFonts w:ascii="Times New Roman" w:hAnsi="Times New Roman" w:cs="Times New Roman"/>
          <w:b/>
          <w:noProof/>
          <w:sz w:val="24"/>
          <w:szCs w:val="24"/>
        </w:rPr>
        <w:t>36</w:t>
      </w:r>
      <w:r>
        <w:rPr>
          <w:rFonts w:ascii="Times New Roman" w:hAnsi="Times New Roman" w:cs="Times New Roman"/>
          <w:noProof/>
          <w:sz w:val="24"/>
          <w:szCs w:val="24"/>
        </w:rPr>
        <w:t xml:space="preserve">(1), 92–7. </w:t>
      </w:r>
    </w:p>
    <w:p w14:paraId="2914333D" w14:textId="209B905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Prescott-Clements, L. E. </w:t>
      </w:r>
      <w:r w:rsidRPr="00BE3B6C">
        <w:rPr>
          <w:rFonts w:ascii="Times New Roman" w:hAnsi="Times New Roman" w:cs="Times New Roman"/>
          <w:i/>
          <w:iCs/>
          <w:noProof/>
          <w:sz w:val="24"/>
          <w:szCs w:val="24"/>
        </w:rPr>
        <w:t>et al.</w:t>
      </w:r>
      <w:r w:rsidR="00DE342A">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Measuring the development of insight by dental health professionals in training usin</w:t>
      </w:r>
      <w:r w:rsidR="00DE342A">
        <w:rPr>
          <w:rFonts w:ascii="Times New Roman" w:hAnsi="Times New Roman" w:cs="Times New Roman"/>
          <w:noProof/>
          <w:sz w:val="24"/>
          <w:szCs w:val="24"/>
        </w:rPr>
        <w:t xml:space="preserve">g workplace-based assessment. </w:t>
      </w:r>
      <w:r w:rsidR="00DE342A">
        <w:rPr>
          <w:rFonts w:ascii="Times New Roman" w:hAnsi="Times New Roman" w:cs="Times New Roman"/>
          <w:i/>
          <w:iCs/>
          <w:noProof/>
          <w:sz w:val="24"/>
          <w:szCs w:val="24"/>
        </w:rPr>
        <w:t>European J</w:t>
      </w:r>
      <w:r w:rsidRPr="00BE3B6C">
        <w:rPr>
          <w:rFonts w:ascii="Times New Roman" w:hAnsi="Times New Roman" w:cs="Times New Roman"/>
          <w:i/>
          <w:iCs/>
          <w:noProof/>
          <w:sz w:val="24"/>
          <w:szCs w:val="24"/>
        </w:rPr>
        <w:t>our</w:t>
      </w:r>
      <w:r w:rsidR="00DE342A">
        <w:rPr>
          <w:rFonts w:ascii="Times New Roman" w:hAnsi="Times New Roman" w:cs="Times New Roman"/>
          <w:i/>
          <w:iCs/>
          <w:noProof/>
          <w:sz w:val="24"/>
          <w:szCs w:val="24"/>
        </w:rPr>
        <w:t>nal of Dental Education.</w:t>
      </w:r>
      <w:r w:rsidR="00DE342A">
        <w:rPr>
          <w:rFonts w:ascii="Times New Roman" w:hAnsi="Times New Roman" w:cs="Times New Roman"/>
          <w:noProof/>
          <w:sz w:val="24"/>
          <w:szCs w:val="24"/>
        </w:rPr>
        <w:t xml:space="preserve"> </w:t>
      </w:r>
      <w:r w:rsidR="00DE342A" w:rsidRPr="00DE342A">
        <w:rPr>
          <w:rFonts w:ascii="Times New Roman" w:hAnsi="Times New Roman" w:cs="Times New Roman"/>
          <w:b/>
          <w:noProof/>
          <w:sz w:val="24"/>
          <w:szCs w:val="24"/>
        </w:rPr>
        <w:t>15</w:t>
      </w:r>
      <w:r w:rsidR="00DE342A">
        <w:rPr>
          <w:rFonts w:ascii="Times New Roman" w:hAnsi="Times New Roman" w:cs="Times New Roman"/>
          <w:noProof/>
          <w:sz w:val="24"/>
          <w:szCs w:val="24"/>
        </w:rPr>
        <w:t xml:space="preserve">(3), 159–64. </w:t>
      </w:r>
    </w:p>
    <w:p w14:paraId="6905736D" w14:textId="223A9ADD" w:rsidR="00BE3B6C" w:rsidRPr="00BE3B6C" w:rsidRDefault="00093CE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Ramsay, A.D. (1999). </w:t>
      </w:r>
      <w:r w:rsidR="00BE3B6C" w:rsidRPr="00BE3B6C">
        <w:rPr>
          <w:rFonts w:ascii="Times New Roman" w:hAnsi="Times New Roman" w:cs="Times New Roman"/>
          <w:noProof/>
          <w:sz w:val="24"/>
          <w:szCs w:val="24"/>
        </w:rPr>
        <w:t>Errors in histopathology repo</w:t>
      </w:r>
      <w:r>
        <w:rPr>
          <w:rFonts w:ascii="Times New Roman" w:hAnsi="Times New Roman" w:cs="Times New Roman"/>
          <w:noProof/>
          <w:sz w:val="24"/>
          <w:szCs w:val="24"/>
        </w:rPr>
        <w:t>rting: Detection and avoidance.</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Histopathology</w:t>
      </w:r>
      <w:r>
        <w:rPr>
          <w:rFonts w:ascii="Times New Roman" w:hAnsi="Times New Roman" w:cs="Times New Roman"/>
          <w:noProof/>
          <w:sz w:val="24"/>
          <w:szCs w:val="24"/>
        </w:rPr>
        <w:t xml:space="preserve">. </w:t>
      </w:r>
      <w:r w:rsidRPr="00093CEB">
        <w:rPr>
          <w:rFonts w:ascii="Times New Roman" w:hAnsi="Times New Roman" w:cs="Times New Roman"/>
          <w:b/>
          <w:noProof/>
          <w:sz w:val="24"/>
          <w:szCs w:val="24"/>
        </w:rPr>
        <w:t>34</w:t>
      </w:r>
      <w:r>
        <w:rPr>
          <w:rFonts w:ascii="Times New Roman" w:hAnsi="Times New Roman" w:cs="Times New Roman"/>
          <w:noProof/>
          <w:sz w:val="24"/>
          <w:szCs w:val="24"/>
        </w:rPr>
        <w:t xml:space="preserve">(6), </w:t>
      </w:r>
      <w:r w:rsidR="00BE3B6C" w:rsidRPr="00BE3B6C">
        <w:rPr>
          <w:rFonts w:ascii="Times New Roman" w:hAnsi="Times New Roman" w:cs="Times New Roman"/>
          <w:noProof/>
          <w:sz w:val="24"/>
          <w:szCs w:val="24"/>
        </w:rPr>
        <w:t>481–490.</w:t>
      </w:r>
      <w:r>
        <w:rPr>
          <w:rFonts w:ascii="Times New Roman" w:hAnsi="Times New Roman" w:cs="Times New Roman"/>
          <w:noProof/>
          <w:sz w:val="24"/>
          <w:szCs w:val="24"/>
        </w:rPr>
        <w:t xml:space="preserve"> </w:t>
      </w:r>
    </w:p>
    <w:p w14:paraId="112A0919" w14:textId="47C924A9" w:rsidR="00BE3B6C" w:rsidRPr="00BE3B6C" w:rsidRDefault="00D750C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Rasmussen, J. (1983). </w:t>
      </w:r>
      <w:r w:rsidR="00BE3B6C" w:rsidRPr="00BE3B6C">
        <w:rPr>
          <w:rFonts w:ascii="Times New Roman" w:hAnsi="Times New Roman" w:cs="Times New Roman"/>
          <w:noProof/>
          <w:sz w:val="24"/>
          <w:szCs w:val="24"/>
        </w:rPr>
        <w:t>Skills, Rules, and Knowledge; Signals, Signs, and Symbols, and Other Distinction</w:t>
      </w:r>
      <w:r>
        <w:rPr>
          <w:rFonts w:ascii="Times New Roman" w:hAnsi="Times New Roman" w:cs="Times New Roman"/>
          <w:noProof/>
          <w:sz w:val="24"/>
          <w:szCs w:val="24"/>
        </w:rPr>
        <w:t xml:space="preserve">s in Human Performance Models. </w:t>
      </w:r>
      <w:r w:rsidR="00BE3B6C" w:rsidRPr="00BE3B6C">
        <w:rPr>
          <w:rFonts w:ascii="Times New Roman" w:hAnsi="Times New Roman" w:cs="Times New Roman"/>
          <w:i/>
          <w:iCs/>
          <w:noProof/>
          <w:sz w:val="24"/>
          <w:szCs w:val="24"/>
        </w:rPr>
        <w:t>IEEE Transactions on Systems, Man and Cybernetics</w:t>
      </w:r>
      <w:r>
        <w:rPr>
          <w:rFonts w:ascii="Times New Roman" w:hAnsi="Times New Roman" w:cs="Times New Roman"/>
          <w:noProof/>
          <w:sz w:val="24"/>
          <w:szCs w:val="24"/>
        </w:rPr>
        <w:t xml:space="preserve">. </w:t>
      </w:r>
      <w:r w:rsidRPr="00D750CB">
        <w:rPr>
          <w:rFonts w:ascii="Times New Roman" w:hAnsi="Times New Roman" w:cs="Times New Roman"/>
          <w:b/>
          <w:noProof/>
          <w:sz w:val="24"/>
          <w:szCs w:val="24"/>
        </w:rPr>
        <w:t>13</w:t>
      </w:r>
      <w:r>
        <w:rPr>
          <w:rFonts w:ascii="Times New Roman" w:hAnsi="Times New Roman" w:cs="Times New Roman"/>
          <w:noProof/>
          <w:sz w:val="24"/>
          <w:szCs w:val="24"/>
        </w:rPr>
        <w:t xml:space="preserve">(3), 257–266. </w:t>
      </w:r>
    </w:p>
    <w:p w14:paraId="02C8A13E" w14:textId="069E37AA" w:rsidR="00D054EF" w:rsidRDefault="00D054EF"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Re</w:t>
      </w:r>
      <w:r>
        <w:rPr>
          <w:rFonts w:ascii="Times New Roman" w:hAnsi="Times New Roman" w:cs="Times New Roman"/>
          <w:noProof/>
          <w:sz w:val="24"/>
          <w:szCs w:val="24"/>
        </w:rPr>
        <w:t xml:space="preserve">es, C. and Shepherd, M. (2005). </w:t>
      </w:r>
      <w:r w:rsidRPr="00BE3B6C">
        <w:rPr>
          <w:rFonts w:ascii="Times New Roman" w:hAnsi="Times New Roman" w:cs="Times New Roman"/>
          <w:noProof/>
          <w:sz w:val="24"/>
          <w:szCs w:val="24"/>
        </w:rPr>
        <w:t>Students’ and assessors’ attitudes towards students’ self-assessment of their persona</w:t>
      </w:r>
      <w:r>
        <w:rPr>
          <w:rFonts w:ascii="Times New Roman" w:hAnsi="Times New Roman" w:cs="Times New Roman"/>
          <w:noProof/>
          <w:sz w:val="24"/>
          <w:szCs w:val="24"/>
        </w:rPr>
        <w:t xml:space="preserve">l and professional behaviours. </w:t>
      </w:r>
      <w:r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D750CB">
        <w:rPr>
          <w:rFonts w:ascii="Times New Roman" w:hAnsi="Times New Roman" w:cs="Times New Roman"/>
          <w:b/>
          <w:noProof/>
          <w:sz w:val="24"/>
          <w:szCs w:val="24"/>
        </w:rPr>
        <w:t>39</w:t>
      </w:r>
      <w:r>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30–39. </w:t>
      </w:r>
    </w:p>
    <w:p w14:paraId="14ABB829" w14:textId="21F6593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Rees, C. E. </w:t>
      </w:r>
      <w:r w:rsidRPr="00BE3B6C">
        <w:rPr>
          <w:rFonts w:ascii="Times New Roman" w:hAnsi="Times New Roman" w:cs="Times New Roman"/>
          <w:i/>
          <w:iCs/>
          <w:noProof/>
          <w:sz w:val="24"/>
          <w:szCs w:val="24"/>
        </w:rPr>
        <w:t>et al.</w:t>
      </w:r>
      <w:r w:rsidR="00D750CB">
        <w:rPr>
          <w:rFonts w:ascii="Times New Roman" w:hAnsi="Times New Roman" w:cs="Times New Roman"/>
          <w:noProof/>
          <w:sz w:val="24"/>
          <w:szCs w:val="24"/>
        </w:rPr>
        <w:t xml:space="preserve"> (2014). </w:t>
      </w:r>
      <w:r w:rsidRPr="00BE3B6C">
        <w:rPr>
          <w:rFonts w:ascii="Times New Roman" w:hAnsi="Times New Roman" w:cs="Times New Roman"/>
          <w:noProof/>
          <w:sz w:val="24"/>
          <w:szCs w:val="24"/>
        </w:rPr>
        <w:t>Supervised learning events in the foundation programme: a UK-wi</w:t>
      </w:r>
      <w:r w:rsidR="00D750CB">
        <w:rPr>
          <w:rFonts w:ascii="Times New Roman" w:hAnsi="Times New Roman" w:cs="Times New Roman"/>
          <w:noProof/>
          <w:sz w:val="24"/>
          <w:szCs w:val="24"/>
        </w:rPr>
        <w:t xml:space="preserve">de narrative interview study. </w:t>
      </w:r>
      <w:r w:rsidRPr="00BE3B6C">
        <w:rPr>
          <w:rFonts w:ascii="Times New Roman" w:hAnsi="Times New Roman" w:cs="Times New Roman"/>
          <w:i/>
          <w:iCs/>
          <w:noProof/>
          <w:sz w:val="24"/>
          <w:szCs w:val="24"/>
        </w:rPr>
        <w:t>B</w:t>
      </w:r>
      <w:r w:rsidR="00D750CB">
        <w:rPr>
          <w:rFonts w:ascii="Times New Roman" w:hAnsi="Times New Roman" w:cs="Times New Roman"/>
          <w:i/>
          <w:iCs/>
          <w:noProof/>
          <w:sz w:val="24"/>
          <w:szCs w:val="24"/>
        </w:rPr>
        <w:t xml:space="preserve">ritish </w:t>
      </w:r>
      <w:r w:rsidRPr="00BE3B6C">
        <w:rPr>
          <w:rFonts w:ascii="Times New Roman" w:hAnsi="Times New Roman" w:cs="Times New Roman"/>
          <w:i/>
          <w:iCs/>
          <w:noProof/>
          <w:sz w:val="24"/>
          <w:szCs w:val="24"/>
        </w:rPr>
        <w:t>M</w:t>
      </w:r>
      <w:r w:rsidR="00D750CB">
        <w:rPr>
          <w:rFonts w:ascii="Times New Roman" w:hAnsi="Times New Roman" w:cs="Times New Roman"/>
          <w:i/>
          <w:iCs/>
          <w:noProof/>
          <w:sz w:val="24"/>
          <w:szCs w:val="24"/>
        </w:rPr>
        <w:t xml:space="preserve">edical </w:t>
      </w:r>
      <w:r w:rsidRPr="00BE3B6C">
        <w:rPr>
          <w:rFonts w:ascii="Times New Roman" w:hAnsi="Times New Roman" w:cs="Times New Roman"/>
          <w:i/>
          <w:iCs/>
          <w:noProof/>
          <w:sz w:val="24"/>
          <w:szCs w:val="24"/>
        </w:rPr>
        <w:t>J</w:t>
      </w:r>
      <w:r w:rsidR="00D750CB">
        <w:rPr>
          <w:rFonts w:ascii="Times New Roman" w:hAnsi="Times New Roman" w:cs="Times New Roman"/>
          <w:i/>
          <w:iCs/>
          <w:noProof/>
          <w:sz w:val="24"/>
          <w:szCs w:val="24"/>
        </w:rPr>
        <w:t>ournal O</w:t>
      </w:r>
      <w:r w:rsidRPr="00BE3B6C">
        <w:rPr>
          <w:rFonts w:ascii="Times New Roman" w:hAnsi="Times New Roman" w:cs="Times New Roman"/>
          <w:i/>
          <w:iCs/>
          <w:noProof/>
          <w:sz w:val="24"/>
          <w:szCs w:val="24"/>
        </w:rPr>
        <w:t>pen</w:t>
      </w:r>
      <w:r w:rsidR="00D750CB">
        <w:rPr>
          <w:rFonts w:ascii="Times New Roman" w:hAnsi="Times New Roman" w:cs="Times New Roman"/>
          <w:noProof/>
          <w:sz w:val="24"/>
          <w:szCs w:val="24"/>
        </w:rPr>
        <w:t xml:space="preserve">. </w:t>
      </w:r>
      <w:r w:rsidR="00D750CB" w:rsidRPr="00D750CB">
        <w:rPr>
          <w:rFonts w:ascii="Times New Roman" w:hAnsi="Times New Roman" w:cs="Times New Roman"/>
          <w:b/>
          <w:noProof/>
          <w:sz w:val="24"/>
          <w:szCs w:val="24"/>
        </w:rPr>
        <w:t>4</w:t>
      </w:r>
      <w:r w:rsidR="00D750CB">
        <w:rPr>
          <w:rFonts w:ascii="Times New Roman" w:hAnsi="Times New Roman" w:cs="Times New Roman"/>
          <w:noProof/>
          <w:sz w:val="24"/>
          <w:szCs w:val="24"/>
        </w:rPr>
        <w:t xml:space="preserve">(10), e005980. </w:t>
      </w:r>
    </w:p>
    <w:p w14:paraId="08108E48" w14:textId="1C710631"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lastRenderedPageBreak/>
        <w:t xml:space="preserve">Regehr, G. </w:t>
      </w:r>
      <w:r w:rsidRPr="00BE3B6C">
        <w:rPr>
          <w:rFonts w:ascii="Times New Roman" w:hAnsi="Times New Roman" w:cs="Times New Roman"/>
          <w:i/>
          <w:iCs/>
          <w:noProof/>
          <w:sz w:val="24"/>
          <w:szCs w:val="24"/>
        </w:rPr>
        <w:t>et al.</w:t>
      </w:r>
      <w:r w:rsidR="00D750CB">
        <w:rPr>
          <w:rFonts w:ascii="Times New Roman" w:hAnsi="Times New Roman" w:cs="Times New Roman"/>
          <w:noProof/>
          <w:sz w:val="24"/>
          <w:szCs w:val="24"/>
        </w:rPr>
        <w:t xml:space="preserve"> (1998). </w:t>
      </w:r>
      <w:r w:rsidRPr="00BE3B6C">
        <w:rPr>
          <w:rFonts w:ascii="Times New Roman" w:hAnsi="Times New Roman" w:cs="Times New Roman"/>
          <w:noProof/>
          <w:sz w:val="24"/>
          <w:szCs w:val="24"/>
        </w:rPr>
        <w:t>Comparing the psychometric properties of checklists and global rating scales for assessing performance o</w:t>
      </w:r>
      <w:r w:rsidR="00D750CB">
        <w:rPr>
          <w:rFonts w:ascii="Times New Roman" w:hAnsi="Times New Roman" w:cs="Times New Roman"/>
          <w:noProof/>
          <w:sz w:val="24"/>
          <w:szCs w:val="24"/>
        </w:rPr>
        <w:t xml:space="preserve">n an OSCE-format examination. </w:t>
      </w:r>
      <w:r w:rsidR="00D750CB">
        <w:rPr>
          <w:rFonts w:ascii="Times New Roman" w:hAnsi="Times New Roman" w:cs="Times New Roman"/>
          <w:i/>
          <w:iCs/>
          <w:noProof/>
          <w:sz w:val="24"/>
          <w:szCs w:val="24"/>
        </w:rPr>
        <w:t xml:space="preserve">Academic Medicine. </w:t>
      </w:r>
      <w:r w:rsidR="00D750CB" w:rsidRPr="00D750CB">
        <w:rPr>
          <w:rFonts w:ascii="Times New Roman" w:hAnsi="Times New Roman" w:cs="Times New Roman"/>
          <w:b/>
          <w:iCs/>
          <w:noProof/>
          <w:sz w:val="24"/>
          <w:szCs w:val="24"/>
        </w:rPr>
        <w:t>73</w:t>
      </w:r>
      <w:r w:rsidR="00D750CB" w:rsidRPr="00D750CB">
        <w:rPr>
          <w:rFonts w:ascii="Times New Roman" w:hAnsi="Times New Roman" w:cs="Times New Roman"/>
          <w:iCs/>
          <w:noProof/>
          <w:sz w:val="24"/>
          <w:szCs w:val="24"/>
        </w:rPr>
        <w:t xml:space="preserve">(9), </w:t>
      </w:r>
      <w:r w:rsidRPr="00D750CB">
        <w:rPr>
          <w:rFonts w:ascii="Times New Roman" w:hAnsi="Times New Roman" w:cs="Times New Roman"/>
          <w:noProof/>
          <w:sz w:val="24"/>
          <w:szCs w:val="24"/>
        </w:rPr>
        <w:t>993–997.</w:t>
      </w:r>
    </w:p>
    <w:p w14:paraId="7E2F0B03" w14:textId="5A015F6C"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Rekman, J. </w:t>
      </w:r>
      <w:r w:rsidRPr="00BE3B6C">
        <w:rPr>
          <w:rFonts w:ascii="Times New Roman" w:hAnsi="Times New Roman" w:cs="Times New Roman"/>
          <w:i/>
          <w:iCs/>
          <w:noProof/>
          <w:sz w:val="24"/>
          <w:szCs w:val="24"/>
        </w:rPr>
        <w:t>et al.</w:t>
      </w:r>
      <w:r w:rsidR="00D62F3F">
        <w:rPr>
          <w:rFonts w:ascii="Times New Roman" w:hAnsi="Times New Roman" w:cs="Times New Roman"/>
          <w:noProof/>
          <w:sz w:val="24"/>
          <w:szCs w:val="24"/>
        </w:rPr>
        <w:t xml:space="preserve"> (2016). </w:t>
      </w:r>
      <w:r w:rsidRPr="00BE3B6C">
        <w:rPr>
          <w:rFonts w:ascii="Times New Roman" w:hAnsi="Times New Roman" w:cs="Times New Roman"/>
          <w:noProof/>
          <w:sz w:val="24"/>
          <w:szCs w:val="24"/>
        </w:rPr>
        <w:t>A New Instrument for Assessing Resident Competence in Surgical Clinic: The O</w:t>
      </w:r>
      <w:r w:rsidR="00D62F3F">
        <w:rPr>
          <w:rFonts w:ascii="Times New Roman" w:hAnsi="Times New Roman" w:cs="Times New Roman"/>
          <w:noProof/>
          <w:sz w:val="24"/>
          <w:szCs w:val="24"/>
        </w:rPr>
        <w:t xml:space="preserve">ttawa Clinic Assessment Tool. </w:t>
      </w:r>
      <w:r w:rsidR="00D62F3F">
        <w:rPr>
          <w:rFonts w:ascii="Times New Roman" w:hAnsi="Times New Roman" w:cs="Times New Roman"/>
          <w:i/>
          <w:iCs/>
          <w:noProof/>
          <w:sz w:val="24"/>
          <w:szCs w:val="24"/>
        </w:rPr>
        <w:t>Journal of Surgical E</w:t>
      </w:r>
      <w:r w:rsidRPr="00BE3B6C">
        <w:rPr>
          <w:rFonts w:ascii="Times New Roman" w:hAnsi="Times New Roman" w:cs="Times New Roman"/>
          <w:i/>
          <w:iCs/>
          <w:noProof/>
          <w:sz w:val="24"/>
          <w:szCs w:val="24"/>
        </w:rPr>
        <w:t>ducation</w:t>
      </w:r>
      <w:r w:rsidRPr="00BE3B6C">
        <w:rPr>
          <w:rFonts w:ascii="Times New Roman" w:hAnsi="Times New Roman" w:cs="Times New Roman"/>
          <w:noProof/>
          <w:sz w:val="24"/>
          <w:szCs w:val="24"/>
        </w:rPr>
        <w:t>.</w:t>
      </w:r>
      <w:r w:rsidR="007C1774">
        <w:rPr>
          <w:rFonts w:ascii="Times New Roman" w:hAnsi="Times New Roman" w:cs="Times New Roman"/>
          <w:noProof/>
          <w:sz w:val="24"/>
          <w:szCs w:val="24"/>
        </w:rPr>
        <w:t xml:space="preserve"> </w:t>
      </w:r>
      <w:r w:rsidR="007C1774" w:rsidRPr="007C1774">
        <w:rPr>
          <w:rFonts w:ascii="Times New Roman" w:hAnsi="Times New Roman" w:cs="Times New Roman"/>
          <w:b/>
          <w:noProof/>
          <w:sz w:val="24"/>
          <w:szCs w:val="24"/>
        </w:rPr>
        <w:t>73</w:t>
      </w:r>
      <w:r w:rsidR="007C1774">
        <w:rPr>
          <w:rFonts w:ascii="Times New Roman" w:hAnsi="Times New Roman" w:cs="Times New Roman"/>
          <w:noProof/>
          <w:sz w:val="24"/>
          <w:szCs w:val="24"/>
        </w:rPr>
        <w:t>(4), 575-582.</w:t>
      </w:r>
      <w:r w:rsidRPr="00BE3B6C">
        <w:rPr>
          <w:rFonts w:ascii="Times New Roman" w:hAnsi="Times New Roman" w:cs="Times New Roman"/>
          <w:noProof/>
          <w:sz w:val="24"/>
          <w:szCs w:val="24"/>
        </w:rPr>
        <w:t xml:space="preserve"> </w:t>
      </w:r>
    </w:p>
    <w:p w14:paraId="6DC66E65" w14:textId="2E67D06E" w:rsidR="00BE3B6C" w:rsidRPr="00BE3B6C" w:rsidRDefault="007C1774"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Rest, J. R. (1984). </w:t>
      </w:r>
      <w:r w:rsidR="00BE3B6C" w:rsidRPr="00BE3B6C">
        <w:rPr>
          <w:rFonts w:ascii="Times New Roman" w:hAnsi="Times New Roman" w:cs="Times New Roman"/>
          <w:noProof/>
          <w:sz w:val="24"/>
          <w:szCs w:val="24"/>
        </w:rPr>
        <w:t>Research on Moral Development: Implications for Training Counseling Psycholog</w:t>
      </w:r>
      <w:r>
        <w:rPr>
          <w:rFonts w:ascii="Times New Roman" w:hAnsi="Times New Roman" w:cs="Times New Roman"/>
          <w:noProof/>
          <w:sz w:val="24"/>
          <w:szCs w:val="24"/>
        </w:rPr>
        <w:t xml:space="preserve">ists. </w:t>
      </w:r>
      <w:r w:rsidR="00BE3B6C" w:rsidRPr="00BE3B6C">
        <w:rPr>
          <w:rFonts w:ascii="Times New Roman" w:hAnsi="Times New Roman" w:cs="Times New Roman"/>
          <w:i/>
          <w:iCs/>
          <w:noProof/>
          <w:sz w:val="24"/>
          <w:szCs w:val="24"/>
        </w:rPr>
        <w:t>The Counseling Psychologist</w:t>
      </w:r>
      <w:r>
        <w:rPr>
          <w:rFonts w:ascii="Times New Roman" w:hAnsi="Times New Roman" w:cs="Times New Roman"/>
          <w:noProof/>
          <w:sz w:val="24"/>
          <w:szCs w:val="24"/>
        </w:rPr>
        <w:t xml:space="preserve">. </w:t>
      </w:r>
      <w:r w:rsidRPr="007C1774">
        <w:rPr>
          <w:rFonts w:ascii="Times New Roman" w:hAnsi="Times New Roman" w:cs="Times New Roman"/>
          <w:b/>
          <w:noProof/>
          <w:sz w:val="24"/>
          <w:szCs w:val="24"/>
        </w:rPr>
        <w:t>12</w:t>
      </w:r>
      <w:r>
        <w:rPr>
          <w:rFonts w:ascii="Times New Roman" w:hAnsi="Times New Roman" w:cs="Times New Roman"/>
          <w:noProof/>
          <w:sz w:val="24"/>
          <w:szCs w:val="24"/>
        </w:rPr>
        <w:t>(3), 19–29.</w:t>
      </w:r>
    </w:p>
    <w:p w14:paraId="7085FFB7" w14:textId="3695957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Rethans, J. J. </w:t>
      </w:r>
      <w:r w:rsidRPr="00BE3B6C">
        <w:rPr>
          <w:rFonts w:ascii="Times New Roman" w:hAnsi="Times New Roman" w:cs="Times New Roman"/>
          <w:i/>
          <w:iCs/>
          <w:noProof/>
          <w:sz w:val="24"/>
          <w:szCs w:val="24"/>
        </w:rPr>
        <w:t>et al.</w:t>
      </w:r>
      <w:r w:rsidR="007C1774">
        <w:rPr>
          <w:rFonts w:ascii="Times New Roman" w:hAnsi="Times New Roman" w:cs="Times New Roman"/>
          <w:noProof/>
          <w:sz w:val="24"/>
          <w:szCs w:val="24"/>
        </w:rPr>
        <w:t xml:space="preserve"> (2002). </w:t>
      </w:r>
      <w:r w:rsidRPr="00BE3B6C">
        <w:rPr>
          <w:rFonts w:ascii="Times New Roman" w:hAnsi="Times New Roman" w:cs="Times New Roman"/>
          <w:noProof/>
          <w:sz w:val="24"/>
          <w:szCs w:val="24"/>
        </w:rPr>
        <w:t>The relationship between competence and performance: Implications for a</w:t>
      </w:r>
      <w:r w:rsidR="007C1774">
        <w:rPr>
          <w:rFonts w:ascii="Times New Roman" w:hAnsi="Times New Roman" w:cs="Times New Roman"/>
          <w:noProof/>
          <w:sz w:val="24"/>
          <w:szCs w:val="24"/>
        </w:rPr>
        <w:t xml:space="preserve">ssessing practice performance. </w:t>
      </w:r>
      <w:r w:rsidRPr="00BE3B6C">
        <w:rPr>
          <w:rFonts w:ascii="Times New Roman" w:hAnsi="Times New Roman" w:cs="Times New Roman"/>
          <w:i/>
          <w:iCs/>
          <w:noProof/>
          <w:sz w:val="24"/>
          <w:szCs w:val="24"/>
        </w:rPr>
        <w:t>Medical Education</w:t>
      </w:r>
      <w:r w:rsidR="007C1774">
        <w:rPr>
          <w:rFonts w:ascii="Times New Roman" w:hAnsi="Times New Roman" w:cs="Times New Roman"/>
          <w:noProof/>
          <w:sz w:val="24"/>
          <w:szCs w:val="24"/>
        </w:rPr>
        <w:t xml:space="preserve">. </w:t>
      </w:r>
      <w:r w:rsidR="007C1774" w:rsidRPr="007C1774">
        <w:rPr>
          <w:rFonts w:ascii="Times New Roman" w:hAnsi="Times New Roman" w:cs="Times New Roman"/>
          <w:b/>
          <w:noProof/>
          <w:sz w:val="24"/>
          <w:szCs w:val="24"/>
        </w:rPr>
        <w:t>36</w:t>
      </w:r>
      <w:r w:rsidR="007C1774">
        <w:rPr>
          <w:rFonts w:ascii="Times New Roman" w:hAnsi="Times New Roman" w:cs="Times New Roman"/>
          <w:noProof/>
          <w:sz w:val="24"/>
          <w:szCs w:val="24"/>
        </w:rPr>
        <w:t xml:space="preserve">(10), </w:t>
      </w:r>
      <w:r w:rsidRPr="00BE3B6C">
        <w:rPr>
          <w:rFonts w:ascii="Times New Roman" w:hAnsi="Times New Roman" w:cs="Times New Roman"/>
          <w:noProof/>
          <w:sz w:val="24"/>
          <w:szCs w:val="24"/>
        </w:rPr>
        <w:t xml:space="preserve">901–909. </w:t>
      </w:r>
    </w:p>
    <w:p w14:paraId="7EF20E5B" w14:textId="459E9A08" w:rsidR="00BE3B6C" w:rsidRDefault="00BE3B6C" w:rsidP="00BE3B6C">
      <w:pPr>
        <w:widowControl w:val="0"/>
        <w:autoSpaceDE w:val="0"/>
        <w:autoSpaceDN w:val="0"/>
        <w:adjustRightInd w:val="0"/>
        <w:spacing w:line="480" w:lineRule="auto"/>
        <w:rPr>
          <w:rStyle w:val="highwire-cite-metadata-volume"/>
          <w:rFonts w:ascii="Times New Roman" w:hAnsi="Times New Roman" w:cs="Times New Roman"/>
          <w:sz w:val="24"/>
          <w:szCs w:val="24"/>
        </w:rPr>
      </w:pPr>
      <w:r w:rsidRPr="00BE3B6C">
        <w:rPr>
          <w:rFonts w:ascii="Times New Roman" w:hAnsi="Times New Roman" w:cs="Times New Roman"/>
          <w:noProof/>
          <w:sz w:val="24"/>
          <w:szCs w:val="24"/>
        </w:rPr>
        <w:t>Rimmer</w:t>
      </w:r>
      <w:r w:rsidR="00FC61EB">
        <w:rPr>
          <w:rFonts w:ascii="Times New Roman" w:hAnsi="Times New Roman" w:cs="Times New Roman"/>
          <w:noProof/>
          <w:sz w:val="24"/>
          <w:szCs w:val="24"/>
        </w:rPr>
        <w:t>, A. (2016). J</w:t>
      </w:r>
      <w:r w:rsidRPr="00BE3B6C">
        <w:rPr>
          <w:rFonts w:ascii="Times New Roman" w:hAnsi="Times New Roman" w:cs="Times New Roman"/>
          <w:noProof/>
          <w:sz w:val="24"/>
          <w:szCs w:val="24"/>
        </w:rPr>
        <w:t>unior doctors’ low morale is putting patients at risk, Roya</w:t>
      </w:r>
      <w:r w:rsidR="00FC61EB">
        <w:rPr>
          <w:rFonts w:ascii="Times New Roman" w:hAnsi="Times New Roman" w:cs="Times New Roman"/>
          <w:noProof/>
          <w:sz w:val="24"/>
          <w:szCs w:val="24"/>
        </w:rPr>
        <w:t xml:space="preserve">l College of Physicians warns. </w:t>
      </w:r>
      <w:r w:rsidRPr="00BE3B6C">
        <w:rPr>
          <w:rFonts w:ascii="Times New Roman" w:hAnsi="Times New Roman" w:cs="Times New Roman"/>
          <w:i/>
          <w:iCs/>
          <w:noProof/>
          <w:sz w:val="24"/>
          <w:szCs w:val="24"/>
        </w:rPr>
        <w:t>B</w:t>
      </w:r>
      <w:r w:rsidR="00FC61EB">
        <w:rPr>
          <w:rFonts w:ascii="Times New Roman" w:hAnsi="Times New Roman" w:cs="Times New Roman"/>
          <w:i/>
          <w:iCs/>
          <w:noProof/>
          <w:sz w:val="24"/>
          <w:szCs w:val="24"/>
        </w:rPr>
        <w:t xml:space="preserve">ritish </w:t>
      </w:r>
      <w:r w:rsidRPr="00BE3B6C">
        <w:rPr>
          <w:rFonts w:ascii="Times New Roman" w:hAnsi="Times New Roman" w:cs="Times New Roman"/>
          <w:i/>
          <w:iCs/>
          <w:noProof/>
          <w:sz w:val="24"/>
          <w:szCs w:val="24"/>
        </w:rPr>
        <w:t>M</w:t>
      </w:r>
      <w:r w:rsidR="00FC61EB">
        <w:rPr>
          <w:rFonts w:ascii="Times New Roman" w:hAnsi="Times New Roman" w:cs="Times New Roman"/>
          <w:i/>
          <w:iCs/>
          <w:noProof/>
          <w:sz w:val="24"/>
          <w:szCs w:val="24"/>
        </w:rPr>
        <w:t xml:space="preserve">edical </w:t>
      </w:r>
      <w:r w:rsidRPr="00BE3B6C">
        <w:rPr>
          <w:rFonts w:ascii="Times New Roman" w:hAnsi="Times New Roman" w:cs="Times New Roman"/>
          <w:i/>
          <w:iCs/>
          <w:noProof/>
          <w:sz w:val="24"/>
          <w:szCs w:val="24"/>
        </w:rPr>
        <w:t>J</w:t>
      </w:r>
      <w:r w:rsidR="00FC61EB">
        <w:rPr>
          <w:rFonts w:ascii="Times New Roman" w:hAnsi="Times New Roman" w:cs="Times New Roman"/>
          <w:i/>
          <w:iCs/>
          <w:noProof/>
          <w:sz w:val="24"/>
          <w:szCs w:val="24"/>
        </w:rPr>
        <w:t>ourna</w:t>
      </w:r>
      <w:r w:rsidR="00FC61EB" w:rsidRPr="00FC61EB">
        <w:rPr>
          <w:rFonts w:ascii="Times New Roman" w:hAnsi="Times New Roman" w:cs="Times New Roman"/>
          <w:i/>
          <w:iCs/>
          <w:noProof/>
          <w:sz w:val="24"/>
          <w:szCs w:val="24"/>
        </w:rPr>
        <w:t xml:space="preserve">l. </w:t>
      </w:r>
      <w:r w:rsidR="00FC61EB" w:rsidRPr="00FC61EB">
        <w:rPr>
          <w:rFonts w:ascii="Times New Roman" w:hAnsi="Times New Roman" w:cs="Times New Roman"/>
          <w:b/>
          <w:i/>
          <w:iCs/>
          <w:noProof/>
          <w:sz w:val="24"/>
          <w:szCs w:val="24"/>
        </w:rPr>
        <w:t>355</w:t>
      </w:r>
      <w:r w:rsidR="00FC61EB" w:rsidRPr="00FC61EB">
        <w:rPr>
          <w:rFonts w:ascii="Times New Roman" w:hAnsi="Times New Roman" w:cs="Times New Roman"/>
          <w:i/>
          <w:iCs/>
          <w:noProof/>
          <w:sz w:val="24"/>
          <w:szCs w:val="24"/>
        </w:rPr>
        <w:t xml:space="preserve">, </w:t>
      </w:r>
      <w:r w:rsidR="00FC61EB" w:rsidRPr="00FC61EB">
        <w:rPr>
          <w:rStyle w:val="highwire-cite-metadata-volume"/>
          <w:rFonts w:ascii="Times New Roman" w:hAnsi="Times New Roman" w:cs="Times New Roman"/>
          <w:sz w:val="24"/>
          <w:szCs w:val="24"/>
        </w:rPr>
        <w:t>i6493</w:t>
      </w:r>
      <w:r w:rsidR="007B031A">
        <w:rPr>
          <w:rStyle w:val="highwire-cite-metadata-volume"/>
          <w:rFonts w:ascii="Times New Roman" w:hAnsi="Times New Roman" w:cs="Times New Roman"/>
          <w:sz w:val="24"/>
          <w:szCs w:val="24"/>
        </w:rPr>
        <w:t>.</w:t>
      </w:r>
    </w:p>
    <w:p w14:paraId="7087F6F3" w14:textId="2EBE3F53" w:rsidR="007B031A" w:rsidRPr="00BE3B6C" w:rsidRDefault="007B031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Ritchie, J. S. L. (1994). </w:t>
      </w:r>
      <w:r w:rsidRPr="00BE3B6C">
        <w:rPr>
          <w:rFonts w:ascii="Times New Roman" w:hAnsi="Times New Roman" w:cs="Times New Roman"/>
          <w:noProof/>
          <w:sz w:val="24"/>
          <w:szCs w:val="24"/>
        </w:rPr>
        <w:t>Qualitative data analysi</w:t>
      </w:r>
      <w:r>
        <w:rPr>
          <w:rFonts w:ascii="Times New Roman" w:hAnsi="Times New Roman" w:cs="Times New Roman"/>
          <w:noProof/>
          <w:sz w:val="24"/>
          <w:szCs w:val="24"/>
        </w:rPr>
        <w:t>s for applied policy research. I</w:t>
      </w:r>
      <w:r w:rsidRPr="00BE3B6C">
        <w:rPr>
          <w:rFonts w:ascii="Times New Roman" w:hAnsi="Times New Roman" w:cs="Times New Roman"/>
          <w:noProof/>
          <w:sz w:val="24"/>
          <w:szCs w:val="24"/>
        </w:rPr>
        <w:t>n</w:t>
      </w:r>
      <w:r>
        <w:rPr>
          <w:rFonts w:ascii="Times New Roman" w:hAnsi="Times New Roman" w:cs="Times New Roman"/>
          <w:noProof/>
          <w:sz w:val="24"/>
          <w:szCs w:val="24"/>
        </w:rPr>
        <w:t>: A. Bryman an R.G. Burgess, eds.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Analyzing qualitative data</w:t>
      </w:r>
      <w:r>
        <w:rPr>
          <w:rFonts w:ascii="Times New Roman" w:hAnsi="Times New Roman" w:cs="Times New Roman"/>
          <w:noProof/>
          <w:sz w:val="24"/>
          <w:szCs w:val="24"/>
        </w:rPr>
        <w:t>. London: Routledge.  pp. 173–194.</w:t>
      </w:r>
    </w:p>
    <w:p w14:paraId="271DA5B5" w14:textId="44DE4EF4"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R</w:t>
      </w:r>
      <w:r w:rsidR="00FC61EB">
        <w:rPr>
          <w:rFonts w:ascii="Times New Roman" w:hAnsi="Times New Roman" w:cs="Times New Roman"/>
          <w:noProof/>
          <w:sz w:val="24"/>
          <w:szCs w:val="24"/>
        </w:rPr>
        <w:t xml:space="preserve">itchie, J. and Lewis, J. (2003). </w:t>
      </w:r>
      <w:r w:rsidRPr="00BE3B6C">
        <w:rPr>
          <w:rFonts w:ascii="Times New Roman" w:hAnsi="Times New Roman" w:cs="Times New Roman"/>
          <w:i/>
          <w:iCs/>
          <w:noProof/>
          <w:sz w:val="24"/>
          <w:szCs w:val="24"/>
        </w:rPr>
        <w:t>Qualitative Research Practice: A Guide for Social Science Students and Researchers</w:t>
      </w:r>
      <w:r w:rsidR="00FC61EB">
        <w:rPr>
          <w:rFonts w:ascii="Times New Roman" w:hAnsi="Times New Roman" w:cs="Times New Roman"/>
          <w:noProof/>
          <w:sz w:val="24"/>
          <w:szCs w:val="24"/>
        </w:rPr>
        <w:t xml:space="preserve">. London: </w:t>
      </w:r>
      <w:r w:rsidR="00FC61EB" w:rsidRPr="00FC61EB">
        <w:rPr>
          <w:rFonts w:ascii="Times New Roman" w:hAnsi="Times New Roman" w:cs="Times New Roman"/>
          <w:iCs/>
          <w:noProof/>
          <w:sz w:val="24"/>
          <w:szCs w:val="24"/>
        </w:rPr>
        <w:t>Sage</w:t>
      </w:r>
      <w:r w:rsidRPr="00FC61EB">
        <w:rPr>
          <w:rFonts w:ascii="Times New Roman" w:hAnsi="Times New Roman" w:cs="Times New Roman"/>
          <w:iCs/>
          <w:noProof/>
          <w:sz w:val="24"/>
          <w:szCs w:val="24"/>
        </w:rPr>
        <w:t xml:space="preserve"> Publications</w:t>
      </w:r>
      <w:r w:rsidRPr="00FC61EB">
        <w:rPr>
          <w:rFonts w:ascii="Times New Roman" w:hAnsi="Times New Roman" w:cs="Times New Roman"/>
          <w:noProof/>
          <w:sz w:val="24"/>
          <w:szCs w:val="24"/>
        </w:rPr>
        <w:t>.</w:t>
      </w:r>
    </w:p>
    <w:p w14:paraId="182A43C3" w14:textId="0CE3672D"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Roa-Peña, L., </w:t>
      </w:r>
      <w:r w:rsidR="00C43852">
        <w:rPr>
          <w:rFonts w:ascii="Times New Roman" w:hAnsi="Times New Roman" w:cs="Times New Roman"/>
          <w:noProof/>
          <w:sz w:val="24"/>
          <w:szCs w:val="24"/>
        </w:rPr>
        <w:t xml:space="preserve">Gómez, F. and Romero, E. (2010). </w:t>
      </w:r>
      <w:r w:rsidRPr="00BE3B6C">
        <w:rPr>
          <w:rFonts w:ascii="Times New Roman" w:hAnsi="Times New Roman" w:cs="Times New Roman"/>
          <w:noProof/>
          <w:sz w:val="24"/>
          <w:szCs w:val="24"/>
        </w:rPr>
        <w:t>An experimental study of pathologist’s navigation p</w:t>
      </w:r>
      <w:r w:rsidR="00C43852">
        <w:rPr>
          <w:rFonts w:ascii="Times New Roman" w:hAnsi="Times New Roman" w:cs="Times New Roman"/>
          <w:noProof/>
          <w:sz w:val="24"/>
          <w:szCs w:val="24"/>
        </w:rPr>
        <w:t xml:space="preserve">atterns in virtual microscopy. </w:t>
      </w:r>
      <w:r w:rsidRPr="00BE3B6C">
        <w:rPr>
          <w:rFonts w:ascii="Times New Roman" w:hAnsi="Times New Roman" w:cs="Times New Roman"/>
          <w:i/>
          <w:iCs/>
          <w:noProof/>
          <w:sz w:val="24"/>
          <w:szCs w:val="24"/>
        </w:rPr>
        <w:t>Diagnostic Pathology</w:t>
      </w:r>
      <w:r w:rsidR="00C43852">
        <w:rPr>
          <w:rFonts w:ascii="Times New Roman" w:hAnsi="Times New Roman" w:cs="Times New Roman"/>
          <w:noProof/>
          <w:sz w:val="24"/>
          <w:szCs w:val="24"/>
        </w:rPr>
        <w:t xml:space="preserve">. </w:t>
      </w:r>
      <w:r w:rsidR="00C43852" w:rsidRPr="00C43852">
        <w:rPr>
          <w:rFonts w:ascii="Times New Roman" w:hAnsi="Times New Roman" w:cs="Times New Roman"/>
          <w:b/>
          <w:noProof/>
          <w:sz w:val="24"/>
          <w:szCs w:val="24"/>
        </w:rPr>
        <w:t>5</w:t>
      </w:r>
      <w:r w:rsidR="00C43852">
        <w:rPr>
          <w:rFonts w:ascii="Times New Roman" w:hAnsi="Times New Roman" w:cs="Times New Roman"/>
          <w:noProof/>
          <w:sz w:val="24"/>
          <w:szCs w:val="24"/>
        </w:rPr>
        <w:t>, 71.</w:t>
      </w:r>
    </w:p>
    <w:p w14:paraId="2F17B133" w14:textId="0D6393FF" w:rsidR="00C43852" w:rsidRDefault="00C43852" w:rsidP="00BE3B6C">
      <w:pPr>
        <w:widowControl w:val="0"/>
        <w:autoSpaceDE w:val="0"/>
        <w:autoSpaceDN w:val="0"/>
        <w:adjustRightInd w:val="0"/>
        <w:spacing w:line="480" w:lineRule="auto"/>
        <w:rPr>
          <w:rFonts w:ascii="Times New Roman" w:hAnsi="Times New Roman" w:cs="Times New Roman"/>
          <w:noProof/>
          <w:sz w:val="24"/>
          <w:szCs w:val="24"/>
        </w:rPr>
      </w:pPr>
      <w:r w:rsidRPr="00C43852">
        <w:rPr>
          <w:rFonts w:ascii="Times New Roman" w:hAnsi="Times New Roman" w:cs="Times New Roman"/>
          <w:noProof/>
          <w:sz w:val="24"/>
          <w:szCs w:val="24"/>
        </w:rPr>
        <w:t xml:space="preserve">Robertson, S., Rosenthal, J. and Dawson, V. (1997). </w:t>
      </w:r>
      <w:r w:rsidR="00BE3B6C" w:rsidRPr="00C43852">
        <w:rPr>
          <w:rFonts w:ascii="Times New Roman" w:hAnsi="Times New Roman" w:cs="Times New Roman"/>
          <w:iCs/>
          <w:noProof/>
          <w:sz w:val="24"/>
          <w:szCs w:val="24"/>
        </w:rPr>
        <w:t>Using assessment to promote student learning, facilitating Learning in Clinical Settings</w:t>
      </w:r>
      <w:r w:rsidR="00BE3B6C" w:rsidRPr="00C43852">
        <w:rPr>
          <w:rFonts w:ascii="Times New Roman" w:hAnsi="Times New Roman" w:cs="Times New Roman"/>
          <w:noProof/>
          <w:sz w:val="24"/>
          <w:szCs w:val="24"/>
        </w:rPr>
        <w:t>.</w:t>
      </w:r>
      <w:r w:rsidRPr="00C43852">
        <w:rPr>
          <w:rFonts w:ascii="Times New Roman" w:hAnsi="Times New Roman" w:cs="Times New Roman"/>
          <w:noProof/>
          <w:sz w:val="24"/>
          <w:szCs w:val="24"/>
        </w:rPr>
        <w:t xml:space="preserve"> </w:t>
      </w:r>
      <w:r w:rsidRPr="00C43852">
        <w:rPr>
          <w:rFonts w:ascii="Times New Roman" w:hAnsi="Times New Roman" w:cs="Times New Roman"/>
          <w:sz w:val="24"/>
          <w:szCs w:val="24"/>
        </w:rPr>
        <w:t>In: L. McAllister, S. McLeod, M. Lincoln and D. Maloney, eds. Facilitating Learning in Clinical Settings. London: Stanley Thornes.</w:t>
      </w:r>
    </w:p>
    <w:p w14:paraId="5B9F907E" w14:textId="40B9BFB9" w:rsidR="00BE3B6C" w:rsidRPr="00BE3B6C" w:rsidRDefault="00FC270E"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Romagnano, L. (2001). </w:t>
      </w:r>
      <w:r w:rsidR="00BE3B6C" w:rsidRPr="00BE3B6C">
        <w:rPr>
          <w:rFonts w:ascii="Times New Roman" w:hAnsi="Times New Roman" w:cs="Times New Roman"/>
          <w:noProof/>
          <w:sz w:val="24"/>
          <w:szCs w:val="24"/>
        </w:rPr>
        <w:t>The myth of objecti</w:t>
      </w:r>
      <w:r>
        <w:rPr>
          <w:rFonts w:ascii="Times New Roman" w:hAnsi="Times New Roman" w:cs="Times New Roman"/>
          <w:noProof/>
          <w:sz w:val="24"/>
          <w:szCs w:val="24"/>
        </w:rPr>
        <w:t>vity in mathematics assessment.</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 xml:space="preserve">Mathematics </w:t>
      </w:r>
      <w:r w:rsidR="00BE3B6C" w:rsidRPr="00BE3B6C">
        <w:rPr>
          <w:rFonts w:ascii="Times New Roman" w:hAnsi="Times New Roman" w:cs="Times New Roman"/>
          <w:i/>
          <w:iCs/>
          <w:noProof/>
          <w:sz w:val="24"/>
          <w:szCs w:val="24"/>
        </w:rPr>
        <w:lastRenderedPageBreak/>
        <w:t>Teacher</w:t>
      </w:r>
      <w:r>
        <w:rPr>
          <w:rFonts w:ascii="Times New Roman" w:hAnsi="Times New Roman" w:cs="Times New Roman"/>
          <w:noProof/>
          <w:sz w:val="24"/>
          <w:szCs w:val="24"/>
        </w:rPr>
        <w:t xml:space="preserve">. </w:t>
      </w:r>
      <w:r w:rsidRPr="00FC270E">
        <w:rPr>
          <w:rFonts w:ascii="Times New Roman" w:hAnsi="Times New Roman" w:cs="Times New Roman"/>
          <w:b/>
          <w:noProof/>
          <w:sz w:val="24"/>
          <w:szCs w:val="24"/>
        </w:rPr>
        <w:t>94</w:t>
      </w:r>
      <w:r>
        <w:rPr>
          <w:rFonts w:ascii="Times New Roman" w:hAnsi="Times New Roman" w:cs="Times New Roman"/>
          <w:noProof/>
          <w:sz w:val="24"/>
          <w:szCs w:val="24"/>
        </w:rPr>
        <w:t>(1), 31–37.</w:t>
      </w:r>
    </w:p>
    <w:p w14:paraId="13772431" w14:textId="707B7757"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Rose, S. H. </w:t>
      </w:r>
      <w:r w:rsidRPr="00BE3B6C">
        <w:rPr>
          <w:rFonts w:ascii="Times New Roman" w:hAnsi="Times New Roman" w:cs="Times New Roman"/>
          <w:i/>
          <w:iCs/>
          <w:noProof/>
          <w:sz w:val="24"/>
          <w:szCs w:val="24"/>
        </w:rPr>
        <w:t>et al.</w:t>
      </w:r>
      <w:r w:rsidR="00FC270E">
        <w:rPr>
          <w:rFonts w:ascii="Times New Roman" w:hAnsi="Times New Roman" w:cs="Times New Roman"/>
          <w:noProof/>
          <w:sz w:val="24"/>
          <w:szCs w:val="24"/>
        </w:rPr>
        <w:t xml:space="preserve"> (2009). </w:t>
      </w:r>
      <w:r w:rsidRPr="00BE3B6C">
        <w:rPr>
          <w:rFonts w:ascii="Times New Roman" w:hAnsi="Times New Roman" w:cs="Times New Roman"/>
          <w:noProof/>
          <w:sz w:val="24"/>
          <w:szCs w:val="24"/>
        </w:rPr>
        <w:t>A historical perspective on resident evaluation, the accreditation council for graduate medical education outcome project and accreditation council for graduate medical ed</w:t>
      </w:r>
      <w:r w:rsidR="00FC270E">
        <w:rPr>
          <w:rFonts w:ascii="Times New Roman" w:hAnsi="Times New Roman" w:cs="Times New Roman"/>
          <w:noProof/>
          <w:sz w:val="24"/>
          <w:szCs w:val="24"/>
        </w:rPr>
        <w:t xml:space="preserve">ucation duty hour requirement. </w:t>
      </w:r>
      <w:r w:rsidRPr="00BE3B6C">
        <w:rPr>
          <w:rFonts w:ascii="Times New Roman" w:hAnsi="Times New Roman" w:cs="Times New Roman"/>
          <w:i/>
          <w:iCs/>
          <w:noProof/>
          <w:sz w:val="24"/>
          <w:szCs w:val="24"/>
        </w:rPr>
        <w:t>Anesthesia and Analgesia</w:t>
      </w:r>
      <w:r w:rsidR="00FC270E">
        <w:rPr>
          <w:rFonts w:ascii="Times New Roman" w:hAnsi="Times New Roman" w:cs="Times New Roman"/>
          <w:noProof/>
          <w:sz w:val="24"/>
          <w:szCs w:val="24"/>
        </w:rPr>
        <w:t xml:space="preserve">. </w:t>
      </w:r>
      <w:r w:rsidR="00FC270E" w:rsidRPr="00FC270E">
        <w:rPr>
          <w:rFonts w:ascii="Times New Roman" w:hAnsi="Times New Roman" w:cs="Times New Roman"/>
          <w:b/>
          <w:noProof/>
          <w:sz w:val="24"/>
          <w:szCs w:val="24"/>
        </w:rPr>
        <w:t>109</w:t>
      </w:r>
      <w:r w:rsidR="00FC270E">
        <w:rPr>
          <w:rFonts w:ascii="Times New Roman" w:hAnsi="Times New Roman" w:cs="Times New Roman"/>
          <w:noProof/>
          <w:sz w:val="24"/>
          <w:szCs w:val="24"/>
        </w:rPr>
        <w:t xml:space="preserve">(1), 190–193. </w:t>
      </w:r>
    </w:p>
    <w:p w14:paraId="073A4049" w14:textId="744F979E"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Ryland, I. </w:t>
      </w:r>
      <w:r w:rsidRPr="00BE3B6C">
        <w:rPr>
          <w:rFonts w:ascii="Times New Roman" w:hAnsi="Times New Roman" w:cs="Times New Roman"/>
          <w:i/>
          <w:iCs/>
          <w:noProof/>
          <w:sz w:val="24"/>
          <w:szCs w:val="24"/>
        </w:rPr>
        <w:t>et al.</w:t>
      </w:r>
      <w:r w:rsidRPr="00BE3B6C">
        <w:rPr>
          <w:rFonts w:ascii="Times New Roman" w:hAnsi="Times New Roman" w:cs="Times New Roman"/>
          <w:noProof/>
          <w:sz w:val="24"/>
          <w:szCs w:val="24"/>
        </w:rPr>
        <w:t xml:space="preserve"> (2006)</w:t>
      </w:r>
      <w:r w:rsidR="00052CAB">
        <w:rPr>
          <w:rFonts w:ascii="Times New Roman" w:hAnsi="Times New Roman" w:cs="Times New Roman"/>
          <w:noProof/>
          <w:sz w:val="24"/>
          <w:szCs w:val="24"/>
        </w:rPr>
        <w:t xml:space="preserve">. </w:t>
      </w:r>
      <w:r w:rsidRPr="00BE3B6C">
        <w:rPr>
          <w:rFonts w:ascii="Times New Roman" w:hAnsi="Times New Roman" w:cs="Times New Roman"/>
          <w:noProof/>
          <w:sz w:val="24"/>
          <w:szCs w:val="24"/>
        </w:rPr>
        <w:t>The portfolio: how was it for you? Views of F2 doctors from the Mer</w:t>
      </w:r>
      <w:r w:rsidR="00052CAB">
        <w:rPr>
          <w:rFonts w:ascii="Times New Roman" w:hAnsi="Times New Roman" w:cs="Times New Roman"/>
          <w:noProof/>
          <w:sz w:val="24"/>
          <w:szCs w:val="24"/>
        </w:rPr>
        <w:t xml:space="preserve">sey Deanery Foundation Pilot. </w:t>
      </w:r>
      <w:r w:rsidR="00052CAB">
        <w:rPr>
          <w:rFonts w:ascii="Times New Roman" w:hAnsi="Times New Roman" w:cs="Times New Roman"/>
          <w:i/>
          <w:iCs/>
          <w:noProof/>
          <w:sz w:val="24"/>
          <w:szCs w:val="24"/>
        </w:rPr>
        <w:t>Clinical Medicine.</w:t>
      </w:r>
      <w:r w:rsidR="00052CAB">
        <w:rPr>
          <w:rFonts w:ascii="Times New Roman" w:hAnsi="Times New Roman" w:cs="Times New Roman"/>
          <w:noProof/>
          <w:sz w:val="24"/>
          <w:szCs w:val="24"/>
        </w:rPr>
        <w:t xml:space="preserve"> </w:t>
      </w:r>
      <w:r w:rsidR="00052CAB" w:rsidRPr="00052CAB">
        <w:rPr>
          <w:rFonts w:ascii="Times New Roman" w:hAnsi="Times New Roman" w:cs="Times New Roman"/>
          <w:b/>
          <w:noProof/>
          <w:sz w:val="24"/>
          <w:szCs w:val="24"/>
        </w:rPr>
        <w:t>6</w:t>
      </w:r>
      <w:r w:rsidR="00052CAB">
        <w:rPr>
          <w:rFonts w:ascii="Times New Roman" w:hAnsi="Times New Roman" w:cs="Times New Roman"/>
          <w:noProof/>
          <w:sz w:val="24"/>
          <w:szCs w:val="24"/>
        </w:rPr>
        <w:t xml:space="preserve">(4), 378–80. </w:t>
      </w:r>
    </w:p>
    <w:p w14:paraId="6264E5E7" w14:textId="16395896" w:rsidR="00BE3B6C" w:rsidRPr="00BE3B6C" w:rsidRDefault="002D0F33"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Sachdev, S. B and Verma, H. V. (2004). Relative importance of service quality dimensions: a multisectorial study.</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Journal of Services Research</w:t>
      </w:r>
      <w:r>
        <w:rPr>
          <w:rFonts w:ascii="Times New Roman" w:hAnsi="Times New Roman" w:cs="Times New Roman"/>
          <w:noProof/>
          <w:sz w:val="24"/>
          <w:szCs w:val="24"/>
        </w:rPr>
        <w:t xml:space="preserve">. </w:t>
      </w:r>
      <w:r w:rsidRPr="002D0F33">
        <w:rPr>
          <w:rFonts w:ascii="Times New Roman" w:hAnsi="Times New Roman" w:cs="Times New Roman"/>
          <w:b/>
          <w:noProof/>
          <w:sz w:val="24"/>
          <w:szCs w:val="24"/>
        </w:rPr>
        <w:t>4</w:t>
      </w:r>
      <w:r>
        <w:rPr>
          <w:rFonts w:ascii="Times New Roman" w:hAnsi="Times New Roman" w:cs="Times New Roman"/>
          <w:noProof/>
          <w:sz w:val="24"/>
          <w:szCs w:val="24"/>
        </w:rPr>
        <w:t xml:space="preserve">(1), 93-116. </w:t>
      </w:r>
    </w:p>
    <w:p w14:paraId="53D4BAAA" w14:textId="28684D3D"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Safrin</w:t>
      </w:r>
      <w:r w:rsidR="002D0F33">
        <w:rPr>
          <w:rFonts w:ascii="Times New Roman" w:hAnsi="Times New Roman" w:cs="Times New Roman"/>
          <w:noProof/>
          <w:sz w:val="24"/>
          <w:szCs w:val="24"/>
        </w:rPr>
        <w:t xml:space="preserve">, R. E. and Bark, C. J. (1993). </w:t>
      </w:r>
      <w:r w:rsidRPr="00BE3B6C">
        <w:rPr>
          <w:rFonts w:ascii="Times New Roman" w:hAnsi="Times New Roman" w:cs="Times New Roman"/>
          <w:noProof/>
          <w:sz w:val="24"/>
          <w:szCs w:val="24"/>
        </w:rPr>
        <w:t xml:space="preserve">Surgical Pathology Signout - Routine Review of </w:t>
      </w:r>
      <w:r w:rsidR="002D0F33">
        <w:rPr>
          <w:rFonts w:ascii="Times New Roman" w:hAnsi="Times New Roman" w:cs="Times New Roman"/>
          <w:noProof/>
          <w:sz w:val="24"/>
          <w:szCs w:val="24"/>
        </w:rPr>
        <w:t xml:space="preserve">Every Case by a 2nd Pathologist. </w:t>
      </w:r>
      <w:r w:rsidRPr="00BE3B6C">
        <w:rPr>
          <w:rFonts w:ascii="Times New Roman" w:hAnsi="Times New Roman" w:cs="Times New Roman"/>
          <w:i/>
          <w:iCs/>
          <w:noProof/>
          <w:sz w:val="24"/>
          <w:szCs w:val="24"/>
        </w:rPr>
        <w:t>American Journal of Surgical Pathology</w:t>
      </w:r>
      <w:r w:rsidR="002D0F33">
        <w:rPr>
          <w:rFonts w:ascii="Times New Roman" w:hAnsi="Times New Roman" w:cs="Times New Roman"/>
          <w:noProof/>
          <w:sz w:val="24"/>
          <w:szCs w:val="24"/>
        </w:rPr>
        <w:t xml:space="preserve">. </w:t>
      </w:r>
      <w:r w:rsidR="002D0F33" w:rsidRPr="002D0F33">
        <w:rPr>
          <w:rFonts w:ascii="Times New Roman" w:hAnsi="Times New Roman" w:cs="Times New Roman"/>
          <w:b/>
          <w:noProof/>
          <w:sz w:val="24"/>
          <w:szCs w:val="24"/>
        </w:rPr>
        <w:t>17</w:t>
      </w:r>
      <w:r w:rsidR="002D0F33">
        <w:rPr>
          <w:rFonts w:ascii="Times New Roman" w:hAnsi="Times New Roman" w:cs="Times New Roman"/>
          <w:noProof/>
          <w:sz w:val="24"/>
          <w:szCs w:val="24"/>
        </w:rPr>
        <w:t xml:space="preserve">(11), 1190–1192. </w:t>
      </w:r>
    </w:p>
    <w:p w14:paraId="2309ED3E" w14:textId="17D2A04D"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Sale, J. E. M., Lohfel</w:t>
      </w:r>
      <w:r w:rsidR="002D0F33">
        <w:rPr>
          <w:rFonts w:ascii="Times New Roman" w:hAnsi="Times New Roman" w:cs="Times New Roman"/>
          <w:noProof/>
          <w:sz w:val="24"/>
          <w:szCs w:val="24"/>
        </w:rPr>
        <w:t xml:space="preserve">d, L. H. and Brazil, K. (2002). </w:t>
      </w:r>
      <w:r w:rsidRPr="00BE3B6C">
        <w:rPr>
          <w:rFonts w:ascii="Times New Roman" w:hAnsi="Times New Roman" w:cs="Times New Roman"/>
          <w:noProof/>
          <w:sz w:val="24"/>
          <w:szCs w:val="24"/>
        </w:rPr>
        <w:t>Revisiting the quantitative-qualitative debate: Implicatio</w:t>
      </w:r>
      <w:r w:rsidR="002D0F33">
        <w:rPr>
          <w:rFonts w:ascii="Times New Roman" w:hAnsi="Times New Roman" w:cs="Times New Roman"/>
          <w:noProof/>
          <w:sz w:val="24"/>
          <w:szCs w:val="24"/>
        </w:rPr>
        <w:t xml:space="preserve">ns for mixed-methods research. </w:t>
      </w:r>
      <w:r w:rsidRPr="00BE3B6C">
        <w:rPr>
          <w:rFonts w:ascii="Times New Roman" w:hAnsi="Times New Roman" w:cs="Times New Roman"/>
          <w:i/>
          <w:iCs/>
          <w:noProof/>
          <w:sz w:val="24"/>
          <w:szCs w:val="24"/>
        </w:rPr>
        <w:t>Quality and Quantity</w:t>
      </w:r>
      <w:r w:rsidR="002D0F33">
        <w:rPr>
          <w:rFonts w:ascii="Times New Roman" w:hAnsi="Times New Roman" w:cs="Times New Roman"/>
          <w:noProof/>
          <w:sz w:val="24"/>
          <w:szCs w:val="24"/>
        </w:rPr>
        <w:t xml:space="preserve">. </w:t>
      </w:r>
      <w:r w:rsidR="002D0F33" w:rsidRPr="002D0F33">
        <w:rPr>
          <w:rFonts w:ascii="Times New Roman" w:hAnsi="Times New Roman" w:cs="Times New Roman"/>
          <w:b/>
          <w:noProof/>
          <w:sz w:val="24"/>
          <w:szCs w:val="24"/>
        </w:rPr>
        <w:t>36</w:t>
      </w:r>
      <w:r w:rsidR="002D0F33">
        <w:rPr>
          <w:rFonts w:ascii="Times New Roman" w:hAnsi="Times New Roman" w:cs="Times New Roman"/>
          <w:noProof/>
          <w:sz w:val="24"/>
          <w:szCs w:val="24"/>
        </w:rPr>
        <w:t>(1), 43–53.</w:t>
      </w:r>
    </w:p>
    <w:p w14:paraId="4EDF2310" w14:textId="20EE29B7" w:rsidR="00BE3B6C" w:rsidRPr="00BE3B6C" w:rsidRDefault="002D0F33"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Sandars, J. (2009). </w:t>
      </w:r>
      <w:r w:rsidR="00BE3B6C" w:rsidRPr="00BE3B6C">
        <w:rPr>
          <w:rFonts w:ascii="Times New Roman" w:hAnsi="Times New Roman" w:cs="Times New Roman"/>
          <w:noProof/>
          <w:sz w:val="24"/>
          <w:szCs w:val="24"/>
        </w:rPr>
        <w:t>The use of reflection in medica</w:t>
      </w:r>
      <w:r>
        <w:rPr>
          <w:rFonts w:ascii="Times New Roman" w:hAnsi="Times New Roman" w:cs="Times New Roman"/>
          <w:noProof/>
          <w:sz w:val="24"/>
          <w:szCs w:val="24"/>
        </w:rPr>
        <w:t>l education: AMEE Guide No. 44.</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Medical Teacher</w:t>
      </w:r>
      <w:r>
        <w:rPr>
          <w:rFonts w:ascii="Times New Roman" w:hAnsi="Times New Roman" w:cs="Times New Roman"/>
          <w:noProof/>
          <w:sz w:val="24"/>
          <w:szCs w:val="24"/>
        </w:rPr>
        <w:t xml:space="preserve">. </w:t>
      </w:r>
      <w:r w:rsidRPr="002D0F33">
        <w:rPr>
          <w:rFonts w:ascii="Times New Roman" w:hAnsi="Times New Roman" w:cs="Times New Roman"/>
          <w:b/>
          <w:noProof/>
          <w:sz w:val="24"/>
          <w:szCs w:val="24"/>
        </w:rPr>
        <w:t>31</w:t>
      </w:r>
      <w:r>
        <w:rPr>
          <w:rFonts w:ascii="Times New Roman" w:hAnsi="Times New Roman" w:cs="Times New Roman"/>
          <w:noProof/>
          <w:sz w:val="24"/>
          <w:szCs w:val="24"/>
        </w:rPr>
        <w:t xml:space="preserve">(8), </w:t>
      </w:r>
      <w:r w:rsidR="00BE3B6C" w:rsidRPr="00BE3B6C">
        <w:rPr>
          <w:rFonts w:ascii="Times New Roman" w:hAnsi="Times New Roman" w:cs="Times New Roman"/>
          <w:noProof/>
          <w:sz w:val="24"/>
          <w:szCs w:val="24"/>
        </w:rPr>
        <w:t xml:space="preserve">685–695. </w:t>
      </w:r>
    </w:p>
    <w:p w14:paraId="6150F7D9" w14:textId="0197031A"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Sandar</w:t>
      </w:r>
      <w:r w:rsidR="002D0F33">
        <w:rPr>
          <w:rFonts w:ascii="Times New Roman" w:hAnsi="Times New Roman" w:cs="Times New Roman"/>
          <w:noProof/>
          <w:sz w:val="24"/>
          <w:szCs w:val="24"/>
        </w:rPr>
        <w:t xml:space="preserve">s, J. and Cleary, T. J. (2011). </w:t>
      </w:r>
      <w:r w:rsidRPr="00BE3B6C">
        <w:rPr>
          <w:rFonts w:ascii="Times New Roman" w:hAnsi="Times New Roman" w:cs="Times New Roman"/>
          <w:noProof/>
          <w:sz w:val="24"/>
          <w:szCs w:val="24"/>
        </w:rPr>
        <w:t>Self-regulation theory: Applications to medical</w:t>
      </w:r>
      <w:r w:rsidR="002D0F33">
        <w:rPr>
          <w:rFonts w:ascii="Times New Roman" w:hAnsi="Times New Roman" w:cs="Times New Roman"/>
          <w:noProof/>
          <w:sz w:val="24"/>
          <w:szCs w:val="24"/>
        </w:rPr>
        <w:t xml:space="preserve"> education: AMEE Guide No. 58. </w:t>
      </w:r>
      <w:r w:rsidRPr="00BE3B6C">
        <w:rPr>
          <w:rFonts w:ascii="Times New Roman" w:hAnsi="Times New Roman" w:cs="Times New Roman"/>
          <w:i/>
          <w:iCs/>
          <w:noProof/>
          <w:sz w:val="24"/>
          <w:szCs w:val="24"/>
        </w:rPr>
        <w:t>Medical Teacher</w:t>
      </w:r>
      <w:r w:rsidR="002D0F33">
        <w:rPr>
          <w:rFonts w:ascii="Times New Roman" w:hAnsi="Times New Roman" w:cs="Times New Roman"/>
          <w:noProof/>
          <w:sz w:val="24"/>
          <w:szCs w:val="24"/>
        </w:rPr>
        <w:t xml:space="preserve">. </w:t>
      </w:r>
      <w:r w:rsidR="002D0F33" w:rsidRPr="002D0F33">
        <w:rPr>
          <w:rFonts w:ascii="Times New Roman" w:hAnsi="Times New Roman" w:cs="Times New Roman"/>
          <w:b/>
          <w:noProof/>
          <w:sz w:val="24"/>
          <w:szCs w:val="24"/>
        </w:rPr>
        <w:t>33</w:t>
      </w:r>
      <w:r w:rsidR="002D0F33">
        <w:rPr>
          <w:rFonts w:ascii="Times New Roman" w:hAnsi="Times New Roman" w:cs="Times New Roman"/>
          <w:noProof/>
          <w:sz w:val="24"/>
          <w:szCs w:val="24"/>
        </w:rPr>
        <w:t xml:space="preserve">(11), 875–886. </w:t>
      </w:r>
    </w:p>
    <w:p w14:paraId="7A413444" w14:textId="739EE35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Sargeant, J. M. </w:t>
      </w:r>
      <w:r w:rsidRPr="00BE3B6C">
        <w:rPr>
          <w:rFonts w:ascii="Times New Roman" w:hAnsi="Times New Roman" w:cs="Times New Roman"/>
          <w:i/>
          <w:iCs/>
          <w:noProof/>
          <w:sz w:val="24"/>
          <w:szCs w:val="24"/>
        </w:rPr>
        <w:t>et al.</w:t>
      </w:r>
      <w:r w:rsidR="00BD78CB">
        <w:rPr>
          <w:rFonts w:ascii="Times New Roman" w:hAnsi="Times New Roman" w:cs="Times New Roman"/>
          <w:noProof/>
          <w:sz w:val="24"/>
          <w:szCs w:val="24"/>
        </w:rPr>
        <w:t xml:space="preserve"> (2003). </w:t>
      </w:r>
      <w:r w:rsidRPr="00BE3B6C">
        <w:rPr>
          <w:rFonts w:ascii="Times New Roman" w:hAnsi="Times New Roman" w:cs="Times New Roman"/>
          <w:noProof/>
          <w:sz w:val="24"/>
          <w:szCs w:val="24"/>
        </w:rPr>
        <w:t>Responses of rural family physicians and their colleague and coworker raters to a multi-source fe</w:t>
      </w:r>
      <w:r w:rsidR="00BD78CB">
        <w:rPr>
          <w:rFonts w:ascii="Times New Roman" w:hAnsi="Times New Roman" w:cs="Times New Roman"/>
          <w:noProof/>
          <w:sz w:val="24"/>
          <w:szCs w:val="24"/>
        </w:rPr>
        <w:t xml:space="preserve">edback process: a pilot study. </w:t>
      </w:r>
      <w:r w:rsidRPr="00BE3B6C">
        <w:rPr>
          <w:rFonts w:ascii="Times New Roman" w:hAnsi="Times New Roman" w:cs="Times New Roman"/>
          <w:i/>
          <w:iCs/>
          <w:noProof/>
          <w:sz w:val="24"/>
          <w:szCs w:val="24"/>
        </w:rPr>
        <w:t>Academic Medicine</w:t>
      </w:r>
      <w:r w:rsidR="00BD78CB">
        <w:rPr>
          <w:rFonts w:ascii="Times New Roman" w:hAnsi="Times New Roman" w:cs="Times New Roman"/>
          <w:noProof/>
          <w:sz w:val="24"/>
          <w:szCs w:val="24"/>
        </w:rPr>
        <w:t xml:space="preserve">. </w:t>
      </w:r>
      <w:r w:rsidR="00BD78CB" w:rsidRPr="00BD78CB">
        <w:rPr>
          <w:rFonts w:ascii="Times New Roman" w:hAnsi="Times New Roman" w:cs="Times New Roman"/>
          <w:b/>
          <w:noProof/>
          <w:sz w:val="24"/>
          <w:szCs w:val="24"/>
        </w:rPr>
        <w:t>78</w:t>
      </w:r>
      <w:r w:rsidR="00BD78CB">
        <w:rPr>
          <w:rFonts w:ascii="Times New Roman" w:hAnsi="Times New Roman" w:cs="Times New Roman"/>
          <w:noProof/>
          <w:sz w:val="24"/>
          <w:szCs w:val="24"/>
        </w:rPr>
        <w:t xml:space="preserve">(10 Suppl), </w:t>
      </w:r>
      <w:r w:rsidRPr="00BE3B6C">
        <w:rPr>
          <w:rFonts w:ascii="Times New Roman" w:hAnsi="Times New Roman" w:cs="Times New Roman"/>
          <w:noProof/>
          <w:sz w:val="24"/>
          <w:szCs w:val="24"/>
        </w:rPr>
        <w:t xml:space="preserve">S42-4. </w:t>
      </w:r>
    </w:p>
    <w:p w14:paraId="671C8D08" w14:textId="23A18471" w:rsidR="00BD78CB" w:rsidRPr="00BD78CB" w:rsidRDefault="00BE3B6C" w:rsidP="00BD78CB">
      <w:pPr>
        <w:pStyle w:val="Heading2"/>
        <w:spacing w:line="480" w:lineRule="auto"/>
        <w:rPr>
          <w:rFonts w:ascii="Times New Roman" w:hAnsi="Times New Roman" w:cs="Times New Roman"/>
          <w:b w:val="0"/>
          <w:noProof/>
          <w:color w:val="auto"/>
          <w:sz w:val="24"/>
          <w:szCs w:val="24"/>
        </w:rPr>
      </w:pPr>
      <w:bookmarkStart w:id="146" w:name="_Toc17300944"/>
      <w:bookmarkStart w:id="147" w:name="_Toc23243872"/>
      <w:r w:rsidRPr="00BD78CB">
        <w:rPr>
          <w:rFonts w:ascii="Times New Roman" w:hAnsi="Times New Roman" w:cs="Times New Roman"/>
          <w:b w:val="0"/>
          <w:noProof/>
          <w:color w:val="auto"/>
          <w:sz w:val="24"/>
          <w:szCs w:val="24"/>
        </w:rPr>
        <w:lastRenderedPageBreak/>
        <w:t>Scheibe, M., Sku</w:t>
      </w:r>
      <w:r w:rsidR="00BD78CB" w:rsidRPr="00BD78CB">
        <w:rPr>
          <w:rFonts w:ascii="Times New Roman" w:hAnsi="Times New Roman" w:cs="Times New Roman"/>
          <w:b w:val="0"/>
          <w:noProof/>
          <w:color w:val="auto"/>
          <w:sz w:val="24"/>
          <w:szCs w:val="24"/>
        </w:rPr>
        <w:t xml:space="preserve">tch, M. and Schofer, J. (1975). </w:t>
      </w:r>
      <w:r w:rsidRPr="00BD78CB">
        <w:rPr>
          <w:rFonts w:ascii="Times New Roman" w:hAnsi="Times New Roman" w:cs="Times New Roman"/>
          <w:b w:val="0"/>
          <w:noProof/>
          <w:color w:val="auto"/>
          <w:sz w:val="24"/>
          <w:szCs w:val="24"/>
        </w:rPr>
        <w:t>Expe</w:t>
      </w:r>
      <w:r w:rsidR="00BD78CB" w:rsidRPr="00BD78CB">
        <w:rPr>
          <w:rFonts w:ascii="Times New Roman" w:hAnsi="Times New Roman" w:cs="Times New Roman"/>
          <w:b w:val="0"/>
          <w:noProof/>
          <w:color w:val="auto"/>
          <w:sz w:val="24"/>
          <w:szCs w:val="24"/>
        </w:rPr>
        <w:t>riments in Delphi Methodology. I</w:t>
      </w:r>
      <w:r w:rsidRPr="00BD78CB">
        <w:rPr>
          <w:rFonts w:ascii="Times New Roman" w:hAnsi="Times New Roman" w:cs="Times New Roman"/>
          <w:b w:val="0"/>
          <w:noProof/>
          <w:color w:val="auto"/>
          <w:sz w:val="24"/>
          <w:szCs w:val="24"/>
        </w:rPr>
        <w:t>n</w:t>
      </w:r>
      <w:r w:rsidR="00BD78CB" w:rsidRPr="00BD78CB">
        <w:rPr>
          <w:rFonts w:ascii="Times New Roman" w:hAnsi="Times New Roman" w:cs="Times New Roman"/>
          <w:b w:val="0"/>
          <w:noProof/>
          <w:color w:val="auto"/>
          <w:sz w:val="24"/>
          <w:szCs w:val="24"/>
        </w:rPr>
        <w:t>:</w:t>
      </w:r>
      <w:r w:rsidRPr="00BD78CB">
        <w:rPr>
          <w:rFonts w:ascii="Times New Roman" w:hAnsi="Times New Roman" w:cs="Times New Roman"/>
          <w:b w:val="0"/>
          <w:noProof/>
          <w:color w:val="auto"/>
          <w:sz w:val="24"/>
          <w:szCs w:val="24"/>
        </w:rPr>
        <w:t xml:space="preserve"> </w:t>
      </w:r>
      <w:r w:rsidR="00BD78CB" w:rsidRPr="00BD78CB">
        <w:rPr>
          <w:rFonts w:ascii="Times New Roman" w:hAnsi="Times New Roman" w:cs="Times New Roman"/>
          <w:b w:val="0"/>
          <w:noProof/>
          <w:color w:val="auto"/>
          <w:sz w:val="24"/>
          <w:szCs w:val="24"/>
        </w:rPr>
        <w:t xml:space="preserve">H. A. Linstone and M. Turoff, eds. </w:t>
      </w:r>
      <w:r w:rsidRPr="00BD78CB">
        <w:rPr>
          <w:rFonts w:ascii="Times New Roman" w:hAnsi="Times New Roman" w:cs="Times New Roman"/>
          <w:b w:val="0"/>
          <w:i/>
          <w:iCs/>
          <w:noProof/>
          <w:color w:val="auto"/>
          <w:sz w:val="24"/>
          <w:szCs w:val="24"/>
        </w:rPr>
        <w:t>The Delphi Method Techniques and Application</w:t>
      </w:r>
      <w:r w:rsidRPr="00BD78CB">
        <w:rPr>
          <w:rFonts w:ascii="Times New Roman" w:hAnsi="Times New Roman" w:cs="Times New Roman"/>
          <w:b w:val="0"/>
          <w:noProof/>
          <w:color w:val="auto"/>
          <w:sz w:val="24"/>
          <w:szCs w:val="24"/>
        </w:rPr>
        <w:t xml:space="preserve">. </w:t>
      </w:r>
      <w:r w:rsidR="00BD78CB">
        <w:rPr>
          <w:rFonts w:ascii="Times New Roman" w:hAnsi="Times New Roman" w:cs="Times New Roman"/>
          <w:b w:val="0"/>
          <w:noProof/>
          <w:color w:val="auto"/>
          <w:sz w:val="24"/>
          <w:szCs w:val="24"/>
        </w:rPr>
        <w:t xml:space="preserve">Newark, NJ: </w:t>
      </w:r>
      <w:r w:rsidR="00BD78CB" w:rsidRPr="00BD78CB">
        <w:rPr>
          <w:rFonts w:ascii="Times New Roman" w:hAnsi="Times New Roman" w:cs="Times New Roman"/>
          <w:b w:val="0"/>
          <w:color w:val="auto"/>
          <w:sz w:val="24"/>
          <w:szCs w:val="24"/>
        </w:rPr>
        <w:t>Murray Turoff and</w:t>
      </w:r>
      <w:r w:rsidR="00BD78CB">
        <w:rPr>
          <w:rFonts w:ascii="Times New Roman" w:hAnsi="Times New Roman" w:cs="Times New Roman"/>
          <w:b w:val="0"/>
          <w:color w:val="auto"/>
          <w:sz w:val="24"/>
          <w:szCs w:val="24"/>
        </w:rPr>
        <w:t xml:space="preserve"> </w:t>
      </w:r>
      <w:r w:rsidR="00BD78CB" w:rsidRPr="00BD78CB">
        <w:rPr>
          <w:rFonts w:ascii="Times New Roman" w:hAnsi="Times New Roman" w:cs="Times New Roman"/>
          <w:b w:val="0"/>
          <w:color w:val="auto"/>
          <w:sz w:val="24"/>
          <w:szCs w:val="24"/>
        </w:rPr>
        <w:t xml:space="preserve">Harold A. Linstone. </w:t>
      </w:r>
      <w:r w:rsidR="00BD78CB" w:rsidRPr="00BD78CB">
        <w:rPr>
          <w:rFonts w:ascii="Times New Roman" w:hAnsi="Times New Roman" w:cs="Times New Roman"/>
          <w:b w:val="0"/>
          <w:noProof/>
          <w:color w:val="auto"/>
          <w:sz w:val="24"/>
          <w:szCs w:val="24"/>
        </w:rPr>
        <w:t>pp</w:t>
      </w:r>
      <w:r w:rsidR="00BD78CB">
        <w:rPr>
          <w:rFonts w:ascii="Times New Roman" w:hAnsi="Times New Roman" w:cs="Times New Roman"/>
          <w:b w:val="0"/>
          <w:noProof/>
          <w:color w:val="auto"/>
          <w:sz w:val="24"/>
          <w:szCs w:val="24"/>
        </w:rPr>
        <w:t>.</w:t>
      </w:r>
      <w:r w:rsidR="00BD78CB" w:rsidRPr="00BD78CB">
        <w:rPr>
          <w:rFonts w:ascii="Times New Roman" w:hAnsi="Times New Roman" w:cs="Times New Roman"/>
          <w:b w:val="0"/>
          <w:noProof/>
          <w:color w:val="auto"/>
          <w:sz w:val="24"/>
          <w:szCs w:val="24"/>
        </w:rPr>
        <w:t xml:space="preserve"> 257-281</w:t>
      </w:r>
      <w:bookmarkEnd w:id="146"/>
      <w:bookmarkEnd w:id="147"/>
    </w:p>
    <w:p w14:paraId="74F58B40" w14:textId="77777777" w:rsidR="00BD78CB" w:rsidRPr="00BD78CB" w:rsidRDefault="00BD78CB" w:rsidP="00BD78CB">
      <w:pPr>
        <w:rPr>
          <w:lang w:val="en-GB"/>
        </w:rPr>
      </w:pPr>
    </w:p>
    <w:p w14:paraId="51DE882E" w14:textId="61679964"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Schmittdiel, J. </w:t>
      </w:r>
      <w:r w:rsidRPr="00BE3B6C">
        <w:rPr>
          <w:rFonts w:ascii="Times New Roman" w:hAnsi="Times New Roman" w:cs="Times New Roman"/>
          <w:i/>
          <w:iCs/>
          <w:noProof/>
          <w:sz w:val="24"/>
          <w:szCs w:val="24"/>
        </w:rPr>
        <w:t>et al.</w:t>
      </w:r>
      <w:r w:rsidR="006C1C82">
        <w:rPr>
          <w:rFonts w:ascii="Times New Roman" w:hAnsi="Times New Roman" w:cs="Times New Roman"/>
          <w:noProof/>
          <w:sz w:val="24"/>
          <w:szCs w:val="24"/>
        </w:rPr>
        <w:t xml:space="preserve"> (2000). </w:t>
      </w:r>
      <w:r w:rsidRPr="00BE3B6C">
        <w:rPr>
          <w:rFonts w:ascii="Times New Roman" w:hAnsi="Times New Roman" w:cs="Times New Roman"/>
          <w:noProof/>
          <w:sz w:val="24"/>
          <w:szCs w:val="24"/>
        </w:rPr>
        <w:t xml:space="preserve">Effect of physician and patient gender concordance on patient satisfaction </w:t>
      </w:r>
      <w:r w:rsidR="006C1C82">
        <w:rPr>
          <w:rFonts w:ascii="Times New Roman" w:hAnsi="Times New Roman" w:cs="Times New Roman"/>
          <w:noProof/>
          <w:sz w:val="24"/>
          <w:szCs w:val="24"/>
        </w:rPr>
        <w:t xml:space="preserve">and preventive care practices. </w:t>
      </w:r>
      <w:r w:rsidRPr="00BE3B6C">
        <w:rPr>
          <w:rFonts w:ascii="Times New Roman" w:hAnsi="Times New Roman" w:cs="Times New Roman"/>
          <w:i/>
          <w:iCs/>
          <w:noProof/>
          <w:sz w:val="24"/>
          <w:szCs w:val="24"/>
        </w:rPr>
        <w:t>Journal of General Internal Medicine</w:t>
      </w:r>
      <w:r w:rsidR="00AC004D">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6C1C82">
        <w:rPr>
          <w:rFonts w:ascii="Times New Roman" w:hAnsi="Times New Roman" w:cs="Times New Roman"/>
          <w:b/>
          <w:noProof/>
          <w:sz w:val="24"/>
          <w:szCs w:val="24"/>
        </w:rPr>
        <w:t>15</w:t>
      </w:r>
      <w:r w:rsidR="006C1C82">
        <w:rPr>
          <w:rFonts w:ascii="Times New Roman" w:hAnsi="Times New Roman" w:cs="Times New Roman"/>
          <w:noProof/>
          <w:sz w:val="24"/>
          <w:szCs w:val="24"/>
        </w:rPr>
        <w:t xml:space="preserve">(11), </w:t>
      </w:r>
      <w:r w:rsidRPr="00BE3B6C">
        <w:rPr>
          <w:rFonts w:ascii="Times New Roman" w:hAnsi="Times New Roman" w:cs="Times New Roman"/>
          <w:noProof/>
          <w:sz w:val="24"/>
          <w:szCs w:val="24"/>
        </w:rPr>
        <w:t xml:space="preserve">761–769. </w:t>
      </w:r>
    </w:p>
    <w:p w14:paraId="611B33D0" w14:textId="1C878057" w:rsidR="00BE3B6C" w:rsidRPr="00BE3B6C" w:rsidRDefault="001778F4"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Schon, D.A. (1983). </w:t>
      </w:r>
      <w:r w:rsidR="00BE3B6C" w:rsidRPr="00BE3B6C">
        <w:rPr>
          <w:rFonts w:ascii="Times New Roman" w:hAnsi="Times New Roman" w:cs="Times New Roman"/>
          <w:i/>
          <w:iCs/>
          <w:noProof/>
          <w:sz w:val="24"/>
          <w:szCs w:val="24"/>
        </w:rPr>
        <w:t>The reflective practitioner: how professionals think in action</w:t>
      </w:r>
      <w:r w:rsidR="00BE3B6C" w:rsidRPr="00BE3B6C">
        <w:rPr>
          <w:rFonts w:ascii="Times New Roman" w:hAnsi="Times New Roman" w:cs="Times New Roman"/>
          <w:noProof/>
          <w:sz w:val="24"/>
          <w:szCs w:val="24"/>
        </w:rPr>
        <w:t>. New York: Basic Books.</w:t>
      </w:r>
    </w:p>
    <w:p w14:paraId="627E213A" w14:textId="218E6B54"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Sc</w:t>
      </w:r>
      <w:r w:rsidR="001778F4">
        <w:rPr>
          <w:rFonts w:ascii="Times New Roman" w:hAnsi="Times New Roman" w:cs="Times New Roman"/>
          <w:noProof/>
          <w:sz w:val="24"/>
          <w:szCs w:val="24"/>
        </w:rPr>
        <w:t xml:space="preserve">huwirth, L. and Ash, J. (2013). </w:t>
      </w:r>
      <w:r w:rsidRPr="00BE3B6C">
        <w:rPr>
          <w:rFonts w:ascii="Times New Roman" w:hAnsi="Times New Roman" w:cs="Times New Roman"/>
          <w:noProof/>
          <w:sz w:val="24"/>
          <w:szCs w:val="24"/>
        </w:rPr>
        <w:t>A</w:t>
      </w:r>
      <w:r w:rsidR="001778F4">
        <w:rPr>
          <w:rFonts w:ascii="Times New Roman" w:hAnsi="Times New Roman" w:cs="Times New Roman"/>
          <w:noProof/>
          <w:sz w:val="24"/>
          <w:szCs w:val="24"/>
        </w:rPr>
        <w:t>ssessing tomorrow’s learners: in c</w:t>
      </w:r>
      <w:r w:rsidRPr="00BE3B6C">
        <w:rPr>
          <w:rFonts w:ascii="Times New Roman" w:hAnsi="Times New Roman" w:cs="Times New Roman"/>
          <w:noProof/>
          <w:sz w:val="24"/>
          <w:szCs w:val="24"/>
        </w:rPr>
        <w:t>ompetency-based education only a radically different holistic method of assessment will w</w:t>
      </w:r>
      <w:r w:rsidR="001778F4">
        <w:rPr>
          <w:rFonts w:ascii="Times New Roman" w:hAnsi="Times New Roman" w:cs="Times New Roman"/>
          <w:noProof/>
          <w:sz w:val="24"/>
          <w:szCs w:val="24"/>
        </w:rPr>
        <w:t xml:space="preserve">ork. Six things we could forget. </w:t>
      </w:r>
      <w:r w:rsidRPr="00BE3B6C">
        <w:rPr>
          <w:rFonts w:ascii="Times New Roman" w:hAnsi="Times New Roman" w:cs="Times New Roman"/>
          <w:i/>
          <w:iCs/>
          <w:noProof/>
          <w:sz w:val="24"/>
          <w:szCs w:val="24"/>
        </w:rPr>
        <w:t>Medical Teacher</w:t>
      </w:r>
      <w:r w:rsidR="001778F4">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1778F4">
        <w:rPr>
          <w:rFonts w:ascii="Times New Roman" w:hAnsi="Times New Roman" w:cs="Times New Roman"/>
          <w:b/>
          <w:noProof/>
          <w:sz w:val="24"/>
          <w:szCs w:val="24"/>
        </w:rPr>
        <w:t>35</w:t>
      </w:r>
      <w:r w:rsidRPr="001778F4">
        <w:rPr>
          <w:rFonts w:ascii="Times New Roman" w:hAnsi="Times New Roman" w:cs="Times New Roman"/>
          <w:noProof/>
          <w:sz w:val="24"/>
          <w:szCs w:val="24"/>
        </w:rPr>
        <w:t>(7),</w:t>
      </w:r>
      <w:r w:rsidR="001778F4" w:rsidRPr="001778F4">
        <w:rPr>
          <w:rFonts w:ascii="Times New Roman" w:hAnsi="Times New Roman" w:cs="Times New Roman"/>
          <w:noProof/>
          <w:sz w:val="24"/>
          <w:szCs w:val="24"/>
        </w:rPr>
        <w:t>555-559.</w:t>
      </w:r>
    </w:p>
    <w:p w14:paraId="6FB84024" w14:textId="3F1F0EDC" w:rsidR="00D054EF" w:rsidRDefault="00D054EF"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Schuwirth L</w:t>
      </w:r>
      <w:r w:rsidR="007B031A">
        <w:rPr>
          <w:rFonts w:ascii="Times New Roman" w:hAnsi="Times New Roman" w:cs="Times New Roman"/>
          <w:noProof/>
          <w:sz w:val="24"/>
          <w:szCs w:val="24"/>
        </w:rPr>
        <w:t>. W. and van d</w:t>
      </w:r>
      <w:r>
        <w:rPr>
          <w:rFonts w:ascii="Times New Roman" w:hAnsi="Times New Roman" w:cs="Times New Roman"/>
          <w:noProof/>
          <w:sz w:val="24"/>
          <w:szCs w:val="24"/>
        </w:rPr>
        <w:t xml:space="preserve">er Vleuten, C. P. M. (2013). </w:t>
      </w:r>
      <w:r w:rsidRPr="00BE3B6C">
        <w:rPr>
          <w:rFonts w:ascii="Times New Roman" w:hAnsi="Times New Roman" w:cs="Times New Roman"/>
          <w:noProof/>
          <w:sz w:val="24"/>
          <w:szCs w:val="24"/>
        </w:rPr>
        <w:t>How to Design a Useful Test: T</w:t>
      </w:r>
      <w:r>
        <w:rPr>
          <w:rFonts w:ascii="Times New Roman" w:hAnsi="Times New Roman" w:cs="Times New Roman"/>
          <w:noProof/>
          <w:sz w:val="24"/>
          <w:szCs w:val="24"/>
        </w:rPr>
        <w:t>he Principles of Assessment. In:  T. Swanwick, ed.</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Understanding Medical Education</w:t>
      </w:r>
      <w:r w:rsidRPr="00BE3B6C">
        <w:rPr>
          <w:rFonts w:ascii="Times New Roman" w:hAnsi="Times New Roman" w:cs="Times New Roman"/>
          <w:noProof/>
          <w:sz w:val="24"/>
          <w:szCs w:val="24"/>
        </w:rPr>
        <w:t>. Oxfo</w:t>
      </w:r>
      <w:r>
        <w:rPr>
          <w:rFonts w:ascii="Times New Roman" w:hAnsi="Times New Roman" w:cs="Times New Roman"/>
          <w:noProof/>
          <w:sz w:val="24"/>
          <w:szCs w:val="24"/>
        </w:rPr>
        <w:t xml:space="preserve">rd, UK: John Wiley &amp; Sons, Ltd. </w:t>
      </w:r>
      <w:r w:rsidRPr="00BE3B6C">
        <w:rPr>
          <w:rFonts w:ascii="Times New Roman" w:hAnsi="Times New Roman" w:cs="Times New Roman"/>
          <w:noProof/>
          <w:sz w:val="24"/>
          <w:szCs w:val="24"/>
        </w:rPr>
        <w:t>pp. 241–</w:t>
      </w:r>
      <w:r>
        <w:rPr>
          <w:rFonts w:ascii="Times New Roman" w:hAnsi="Times New Roman" w:cs="Times New Roman"/>
          <w:noProof/>
          <w:sz w:val="24"/>
          <w:szCs w:val="24"/>
        </w:rPr>
        <w:t>2</w:t>
      </w:r>
      <w:r w:rsidRPr="00BE3B6C">
        <w:rPr>
          <w:rFonts w:ascii="Times New Roman" w:hAnsi="Times New Roman" w:cs="Times New Roman"/>
          <w:noProof/>
          <w:sz w:val="24"/>
          <w:szCs w:val="24"/>
        </w:rPr>
        <w:t>54.</w:t>
      </w:r>
    </w:p>
    <w:p w14:paraId="62DB5A51" w14:textId="0B268133" w:rsidR="001778F4" w:rsidRDefault="001778F4"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Schuwirth, L. W.</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et al.</w:t>
      </w:r>
      <w:r>
        <w:rPr>
          <w:rFonts w:ascii="Times New Roman" w:hAnsi="Times New Roman" w:cs="Times New Roman"/>
          <w:noProof/>
          <w:sz w:val="24"/>
          <w:szCs w:val="24"/>
        </w:rPr>
        <w:t xml:space="preserve"> (2002). </w:t>
      </w:r>
      <w:r w:rsidR="00BE3B6C" w:rsidRPr="00BE3B6C">
        <w:rPr>
          <w:rFonts w:ascii="Times New Roman" w:hAnsi="Times New Roman" w:cs="Times New Roman"/>
          <w:noProof/>
          <w:sz w:val="24"/>
          <w:szCs w:val="24"/>
        </w:rPr>
        <w:t xml:space="preserve">When enough is enough: A conceptual basis for fair and </w:t>
      </w:r>
      <w:r>
        <w:rPr>
          <w:rFonts w:ascii="Times New Roman" w:hAnsi="Times New Roman" w:cs="Times New Roman"/>
          <w:noProof/>
          <w:sz w:val="24"/>
          <w:szCs w:val="24"/>
        </w:rPr>
        <w:t xml:space="preserve">defensible practice performance assessment. </w:t>
      </w:r>
      <w:r w:rsidRPr="001778F4">
        <w:rPr>
          <w:rFonts w:ascii="Times New Roman" w:hAnsi="Times New Roman" w:cs="Times New Roman"/>
          <w:i/>
          <w:noProof/>
          <w:sz w:val="24"/>
          <w:szCs w:val="24"/>
        </w:rPr>
        <w:t>Medical Education</w:t>
      </w:r>
      <w:r>
        <w:rPr>
          <w:rFonts w:ascii="Times New Roman" w:hAnsi="Times New Roman" w:cs="Times New Roman"/>
          <w:noProof/>
          <w:sz w:val="24"/>
          <w:szCs w:val="24"/>
        </w:rPr>
        <w:t xml:space="preserve">. </w:t>
      </w:r>
      <w:r w:rsidRPr="001778F4">
        <w:rPr>
          <w:rFonts w:ascii="Times New Roman" w:hAnsi="Times New Roman" w:cs="Times New Roman"/>
          <w:b/>
          <w:noProof/>
          <w:sz w:val="24"/>
          <w:szCs w:val="24"/>
        </w:rPr>
        <w:t>36</w:t>
      </w:r>
      <w:r>
        <w:rPr>
          <w:rFonts w:ascii="Times New Roman" w:hAnsi="Times New Roman" w:cs="Times New Roman"/>
          <w:noProof/>
          <w:sz w:val="24"/>
          <w:szCs w:val="24"/>
        </w:rPr>
        <w:t>(10), 925-30.</w:t>
      </w:r>
    </w:p>
    <w:p w14:paraId="1FE547C3" w14:textId="1F1A9845"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Shalhoub, J., Marshall,</w:t>
      </w:r>
      <w:r w:rsidR="005B44F8">
        <w:rPr>
          <w:rFonts w:ascii="Times New Roman" w:hAnsi="Times New Roman" w:cs="Times New Roman"/>
          <w:noProof/>
          <w:sz w:val="24"/>
          <w:szCs w:val="24"/>
        </w:rPr>
        <w:t xml:space="preserve"> D. C. and Ippolito, K. (2017). </w:t>
      </w:r>
      <w:r w:rsidRPr="00BE3B6C">
        <w:rPr>
          <w:rFonts w:ascii="Times New Roman" w:hAnsi="Times New Roman" w:cs="Times New Roman"/>
          <w:noProof/>
          <w:sz w:val="24"/>
          <w:szCs w:val="24"/>
        </w:rPr>
        <w:t>Perspectives on procedure-based assessments: A thematic analysis of semistructured interviews</w:t>
      </w:r>
      <w:r w:rsidR="005B44F8">
        <w:rPr>
          <w:rFonts w:ascii="Times New Roman" w:hAnsi="Times New Roman" w:cs="Times New Roman"/>
          <w:noProof/>
          <w:sz w:val="24"/>
          <w:szCs w:val="24"/>
        </w:rPr>
        <w:t xml:space="preserve"> with 10 UK surgical trainees. </w:t>
      </w:r>
      <w:r w:rsidRPr="00BE3B6C">
        <w:rPr>
          <w:rFonts w:ascii="Times New Roman" w:hAnsi="Times New Roman" w:cs="Times New Roman"/>
          <w:i/>
          <w:iCs/>
          <w:noProof/>
          <w:sz w:val="24"/>
          <w:szCs w:val="24"/>
        </w:rPr>
        <w:t>B</w:t>
      </w:r>
      <w:r w:rsidR="005B44F8">
        <w:rPr>
          <w:rFonts w:ascii="Times New Roman" w:hAnsi="Times New Roman" w:cs="Times New Roman"/>
          <w:i/>
          <w:iCs/>
          <w:noProof/>
          <w:sz w:val="24"/>
          <w:szCs w:val="24"/>
        </w:rPr>
        <w:t xml:space="preserve">ritish </w:t>
      </w:r>
      <w:r w:rsidRPr="00BE3B6C">
        <w:rPr>
          <w:rFonts w:ascii="Times New Roman" w:hAnsi="Times New Roman" w:cs="Times New Roman"/>
          <w:i/>
          <w:iCs/>
          <w:noProof/>
          <w:sz w:val="24"/>
          <w:szCs w:val="24"/>
        </w:rPr>
        <w:t>M</w:t>
      </w:r>
      <w:r w:rsidR="005B44F8">
        <w:rPr>
          <w:rFonts w:ascii="Times New Roman" w:hAnsi="Times New Roman" w:cs="Times New Roman"/>
          <w:i/>
          <w:iCs/>
          <w:noProof/>
          <w:sz w:val="24"/>
          <w:szCs w:val="24"/>
        </w:rPr>
        <w:t xml:space="preserve">edical </w:t>
      </w:r>
      <w:r w:rsidRPr="00BE3B6C">
        <w:rPr>
          <w:rFonts w:ascii="Times New Roman" w:hAnsi="Times New Roman" w:cs="Times New Roman"/>
          <w:i/>
          <w:iCs/>
          <w:noProof/>
          <w:sz w:val="24"/>
          <w:szCs w:val="24"/>
        </w:rPr>
        <w:t>J</w:t>
      </w:r>
      <w:r w:rsidR="005B44F8">
        <w:rPr>
          <w:rFonts w:ascii="Times New Roman" w:hAnsi="Times New Roman" w:cs="Times New Roman"/>
          <w:i/>
          <w:iCs/>
          <w:noProof/>
          <w:sz w:val="24"/>
          <w:szCs w:val="24"/>
        </w:rPr>
        <w:t>ournal</w:t>
      </w:r>
      <w:r w:rsidRPr="00BE3B6C">
        <w:rPr>
          <w:rFonts w:ascii="Times New Roman" w:hAnsi="Times New Roman" w:cs="Times New Roman"/>
          <w:i/>
          <w:iCs/>
          <w:noProof/>
          <w:sz w:val="24"/>
          <w:szCs w:val="24"/>
        </w:rPr>
        <w:t xml:space="preserve"> Open</w:t>
      </w:r>
      <w:r w:rsidR="005B44F8">
        <w:rPr>
          <w:rFonts w:ascii="Times New Roman" w:hAnsi="Times New Roman" w:cs="Times New Roman"/>
          <w:noProof/>
          <w:sz w:val="24"/>
          <w:szCs w:val="24"/>
        </w:rPr>
        <w:t xml:space="preserve">. </w:t>
      </w:r>
      <w:r w:rsidR="005B44F8" w:rsidRPr="005B44F8">
        <w:rPr>
          <w:rFonts w:ascii="Times New Roman" w:hAnsi="Times New Roman" w:cs="Times New Roman"/>
          <w:b/>
          <w:noProof/>
          <w:sz w:val="24"/>
          <w:szCs w:val="24"/>
        </w:rPr>
        <w:t>7</w:t>
      </w:r>
      <w:r w:rsidR="005B44F8" w:rsidRPr="005B44F8">
        <w:rPr>
          <w:rFonts w:ascii="Times New Roman" w:hAnsi="Times New Roman" w:cs="Times New Roman"/>
          <w:noProof/>
          <w:sz w:val="24"/>
          <w:szCs w:val="24"/>
        </w:rPr>
        <w:t xml:space="preserve">, </w:t>
      </w:r>
      <w:r w:rsidR="005B44F8" w:rsidRPr="005B44F8">
        <w:rPr>
          <w:rStyle w:val="highwire-cite-metadata-elocation-id"/>
          <w:rFonts w:ascii="Times New Roman" w:hAnsi="Times New Roman" w:cs="Times New Roman"/>
          <w:sz w:val="24"/>
          <w:szCs w:val="24"/>
        </w:rPr>
        <w:t>e013417.</w:t>
      </w:r>
    </w:p>
    <w:p w14:paraId="39FED7C3" w14:textId="77AAD898"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Shanteau, J. </w:t>
      </w:r>
      <w:r w:rsidRPr="00BE3B6C">
        <w:rPr>
          <w:rFonts w:ascii="Times New Roman" w:hAnsi="Times New Roman" w:cs="Times New Roman"/>
          <w:i/>
          <w:iCs/>
          <w:noProof/>
          <w:sz w:val="24"/>
          <w:szCs w:val="24"/>
        </w:rPr>
        <w:t>et al.</w:t>
      </w:r>
      <w:r w:rsidR="005B44F8">
        <w:rPr>
          <w:rFonts w:ascii="Times New Roman" w:hAnsi="Times New Roman" w:cs="Times New Roman"/>
          <w:noProof/>
          <w:sz w:val="24"/>
          <w:szCs w:val="24"/>
        </w:rPr>
        <w:t xml:space="preserve"> (2002). </w:t>
      </w:r>
      <w:r w:rsidRPr="00BE3B6C">
        <w:rPr>
          <w:rFonts w:ascii="Times New Roman" w:hAnsi="Times New Roman" w:cs="Times New Roman"/>
          <w:noProof/>
          <w:sz w:val="24"/>
          <w:szCs w:val="24"/>
        </w:rPr>
        <w:t>Performance-based assessment of expertise: How to decide i</w:t>
      </w:r>
      <w:r w:rsidR="005B44F8">
        <w:rPr>
          <w:rFonts w:ascii="Times New Roman" w:hAnsi="Times New Roman" w:cs="Times New Roman"/>
          <w:noProof/>
          <w:sz w:val="24"/>
          <w:szCs w:val="24"/>
        </w:rPr>
        <w:t xml:space="preserve">f someone is an expert or not. </w:t>
      </w:r>
      <w:r w:rsidRPr="00BE3B6C">
        <w:rPr>
          <w:rFonts w:ascii="Times New Roman" w:hAnsi="Times New Roman" w:cs="Times New Roman"/>
          <w:i/>
          <w:iCs/>
          <w:noProof/>
          <w:sz w:val="24"/>
          <w:szCs w:val="24"/>
        </w:rPr>
        <w:t>European Journal of Operational Research</w:t>
      </w:r>
      <w:r w:rsidR="005B44F8">
        <w:rPr>
          <w:rFonts w:ascii="Times New Roman" w:hAnsi="Times New Roman" w:cs="Times New Roman"/>
          <w:noProof/>
          <w:sz w:val="24"/>
          <w:szCs w:val="24"/>
        </w:rPr>
        <w:t xml:space="preserve">. </w:t>
      </w:r>
      <w:r w:rsidR="005B44F8" w:rsidRPr="005B44F8">
        <w:rPr>
          <w:rFonts w:ascii="Times New Roman" w:hAnsi="Times New Roman" w:cs="Times New Roman"/>
          <w:b/>
          <w:noProof/>
          <w:sz w:val="24"/>
          <w:szCs w:val="24"/>
        </w:rPr>
        <w:t>136</w:t>
      </w:r>
      <w:r w:rsidR="005B44F8">
        <w:rPr>
          <w:rFonts w:ascii="Times New Roman" w:hAnsi="Times New Roman" w:cs="Times New Roman"/>
          <w:noProof/>
          <w:sz w:val="24"/>
          <w:szCs w:val="24"/>
        </w:rPr>
        <w:t>(2),</w:t>
      </w:r>
      <w:r w:rsidRPr="00BE3B6C">
        <w:rPr>
          <w:rFonts w:ascii="Times New Roman" w:hAnsi="Times New Roman" w:cs="Times New Roman"/>
          <w:noProof/>
          <w:sz w:val="24"/>
          <w:szCs w:val="24"/>
        </w:rPr>
        <w:t xml:space="preserve"> 253–263. </w:t>
      </w:r>
    </w:p>
    <w:p w14:paraId="00A8181B" w14:textId="0CDB2C1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Shaughnessy, A. F. </w:t>
      </w:r>
      <w:r w:rsidRPr="00BE3B6C">
        <w:rPr>
          <w:rFonts w:ascii="Times New Roman" w:hAnsi="Times New Roman" w:cs="Times New Roman"/>
          <w:i/>
          <w:iCs/>
          <w:noProof/>
          <w:sz w:val="24"/>
          <w:szCs w:val="24"/>
        </w:rPr>
        <w:t>et al.</w:t>
      </w:r>
      <w:r w:rsidR="005B44F8">
        <w:rPr>
          <w:rFonts w:ascii="Times New Roman" w:hAnsi="Times New Roman" w:cs="Times New Roman"/>
          <w:noProof/>
          <w:sz w:val="24"/>
          <w:szCs w:val="24"/>
        </w:rPr>
        <w:t xml:space="preserve"> (2013). </w:t>
      </w:r>
      <w:r w:rsidRPr="00BE3B6C">
        <w:rPr>
          <w:rFonts w:ascii="Times New Roman" w:hAnsi="Times New Roman" w:cs="Times New Roman"/>
          <w:noProof/>
          <w:sz w:val="24"/>
          <w:szCs w:val="24"/>
        </w:rPr>
        <w:t xml:space="preserve">Entrustable Professional </w:t>
      </w:r>
      <w:r w:rsidR="005B44F8">
        <w:rPr>
          <w:rFonts w:ascii="Times New Roman" w:hAnsi="Times New Roman" w:cs="Times New Roman"/>
          <w:noProof/>
          <w:sz w:val="24"/>
          <w:szCs w:val="24"/>
        </w:rPr>
        <w:t xml:space="preserve">Activities in Family Medicine. </w:t>
      </w:r>
      <w:r w:rsidRPr="00BE3B6C">
        <w:rPr>
          <w:rFonts w:ascii="Times New Roman" w:hAnsi="Times New Roman" w:cs="Times New Roman"/>
          <w:i/>
          <w:iCs/>
          <w:noProof/>
          <w:sz w:val="24"/>
          <w:szCs w:val="24"/>
        </w:rPr>
        <w:t>Journal of Graduate Medical Education</w:t>
      </w:r>
      <w:r w:rsidR="005B44F8">
        <w:rPr>
          <w:rFonts w:ascii="Times New Roman" w:hAnsi="Times New Roman" w:cs="Times New Roman"/>
          <w:noProof/>
          <w:sz w:val="24"/>
          <w:szCs w:val="24"/>
        </w:rPr>
        <w:t xml:space="preserve">. </w:t>
      </w:r>
      <w:r w:rsidR="005B44F8" w:rsidRPr="005B44F8">
        <w:rPr>
          <w:rFonts w:ascii="Times New Roman" w:hAnsi="Times New Roman" w:cs="Times New Roman"/>
          <w:b/>
          <w:noProof/>
          <w:sz w:val="24"/>
          <w:szCs w:val="24"/>
        </w:rPr>
        <w:t>5</w:t>
      </w:r>
      <w:r w:rsidR="005B44F8">
        <w:rPr>
          <w:rFonts w:ascii="Times New Roman" w:hAnsi="Times New Roman" w:cs="Times New Roman"/>
          <w:noProof/>
          <w:sz w:val="24"/>
          <w:szCs w:val="24"/>
        </w:rPr>
        <w:t xml:space="preserve">(1), 112–118. </w:t>
      </w:r>
    </w:p>
    <w:p w14:paraId="4BB16321" w14:textId="6730A16E" w:rsidR="00BE3B6C" w:rsidRPr="00BE3B6C" w:rsidRDefault="00A2172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Shepard, L. A. (2000). </w:t>
      </w:r>
      <w:r w:rsidR="00BE3B6C" w:rsidRPr="00BE3B6C">
        <w:rPr>
          <w:rFonts w:ascii="Times New Roman" w:hAnsi="Times New Roman" w:cs="Times New Roman"/>
          <w:noProof/>
          <w:sz w:val="24"/>
          <w:szCs w:val="24"/>
        </w:rPr>
        <w:t>The Role of As</w:t>
      </w:r>
      <w:r>
        <w:rPr>
          <w:rFonts w:ascii="Times New Roman" w:hAnsi="Times New Roman" w:cs="Times New Roman"/>
          <w:noProof/>
          <w:sz w:val="24"/>
          <w:szCs w:val="24"/>
        </w:rPr>
        <w:t>sessment in a Learning Culture.</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Educational Researcher</w:t>
      </w:r>
      <w:r>
        <w:rPr>
          <w:rFonts w:ascii="Times New Roman" w:hAnsi="Times New Roman" w:cs="Times New Roman"/>
          <w:noProof/>
          <w:sz w:val="24"/>
          <w:szCs w:val="24"/>
        </w:rPr>
        <w:t xml:space="preserve">. </w:t>
      </w:r>
      <w:r w:rsidRPr="00A21729">
        <w:rPr>
          <w:rFonts w:ascii="Times New Roman" w:hAnsi="Times New Roman" w:cs="Times New Roman"/>
          <w:b/>
          <w:noProof/>
          <w:sz w:val="24"/>
          <w:szCs w:val="24"/>
        </w:rPr>
        <w:t>29</w:t>
      </w:r>
      <w:r>
        <w:rPr>
          <w:rFonts w:ascii="Times New Roman" w:hAnsi="Times New Roman" w:cs="Times New Roman"/>
          <w:noProof/>
          <w:sz w:val="24"/>
          <w:szCs w:val="24"/>
        </w:rPr>
        <w:t xml:space="preserve">(7), </w:t>
      </w:r>
      <w:r w:rsidR="00BE3B6C" w:rsidRPr="00BE3B6C">
        <w:rPr>
          <w:rFonts w:ascii="Times New Roman" w:hAnsi="Times New Roman" w:cs="Times New Roman"/>
          <w:noProof/>
          <w:sz w:val="24"/>
          <w:szCs w:val="24"/>
        </w:rPr>
        <w:t>4–14.</w:t>
      </w:r>
    </w:p>
    <w:p w14:paraId="6F34BFFB" w14:textId="79150910" w:rsidR="00BE3B6C" w:rsidRPr="00BE3B6C" w:rsidRDefault="00A2172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Sia, JY, Harrison, J. (2015). </w:t>
      </w:r>
      <w:r w:rsidR="00BE3B6C" w:rsidRPr="00BE3B6C">
        <w:rPr>
          <w:rFonts w:ascii="Times New Roman" w:hAnsi="Times New Roman" w:cs="Times New Roman"/>
          <w:noProof/>
          <w:sz w:val="24"/>
          <w:szCs w:val="24"/>
        </w:rPr>
        <w:t>Trainers’ and trainees’ perceptions of workplace-bas</w:t>
      </w:r>
      <w:r>
        <w:rPr>
          <w:rFonts w:ascii="Times New Roman" w:hAnsi="Times New Roman" w:cs="Times New Roman"/>
          <w:noProof/>
          <w:sz w:val="24"/>
          <w:szCs w:val="24"/>
        </w:rPr>
        <w:t>ed assessment in orthodontics.</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J</w:t>
      </w:r>
      <w:r>
        <w:rPr>
          <w:rFonts w:ascii="Times New Roman" w:hAnsi="Times New Roman" w:cs="Times New Roman"/>
          <w:i/>
          <w:iCs/>
          <w:noProof/>
          <w:sz w:val="24"/>
          <w:szCs w:val="24"/>
        </w:rPr>
        <w:t>ournal of</w:t>
      </w:r>
      <w:r w:rsidR="00BE3B6C" w:rsidRPr="00BE3B6C">
        <w:rPr>
          <w:rFonts w:ascii="Times New Roman" w:hAnsi="Times New Roman" w:cs="Times New Roman"/>
          <w:i/>
          <w:iCs/>
          <w:noProof/>
          <w:sz w:val="24"/>
          <w:szCs w:val="24"/>
        </w:rPr>
        <w:t xml:space="preserve"> Orthod</w:t>
      </w:r>
      <w:r>
        <w:rPr>
          <w:rFonts w:ascii="Times New Roman" w:hAnsi="Times New Roman" w:cs="Times New Roman"/>
          <w:i/>
          <w:iCs/>
          <w:noProof/>
          <w:sz w:val="24"/>
          <w:szCs w:val="24"/>
        </w:rPr>
        <w:t>ontics</w:t>
      </w:r>
      <w:r w:rsidR="00BE3B6C" w:rsidRPr="00BE3B6C">
        <w:rPr>
          <w:rFonts w:ascii="Times New Roman" w:hAnsi="Times New Roman" w:cs="Times New Roman"/>
          <w:i/>
          <w:iCs/>
          <w:noProof/>
          <w:sz w:val="24"/>
          <w:szCs w:val="24"/>
        </w:rPr>
        <w:t>.</w:t>
      </w:r>
      <w:r w:rsidRPr="00A21729">
        <w:rPr>
          <w:rFonts w:ascii="Times New Roman" w:hAnsi="Times New Roman" w:cs="Times New Roman"/>
          <w:b/>
          <w:noProof/>
          <w:sz w:val="24"/>
          <w:szCs w:val="24"/>
        </w:rPr>
        <w:t>42</w:t>
      </w:r>
      <w:r>
        <w:rPr>
          <w:rFonts w:ascii="Times New Roman" w:hAnsi="Times New Roman" w:cs="Times New Roman"/>
          <w:noProof/>
          <w:sz w:val="24"/>
          <w:szCs w:val="24"/>
        </w:rPr>
        <w:t xml:space="preserve">(4), </w:t>
      </w:r>
      <w:r w:rsidR="00BE3B6C" w:rsidRPr="00BE3B6C">
        <w:rPr>
          <w:rFonts w:ascii="Times New Roman" w:hAnsi="Times New Roman" w:cs="Times New Roman"/>
          <w:noProof/>
          <w:sz w:val="24"/>
          <w:szCs w:val="24"/>
        </w:rPr>
        <w:t>284–300.</w:t>
      </w:r>
    </w:p>
    <w:p w14:paraId="55B5E111" w14:textId="34A7F8B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Silber, C. G. </w:t>
      </w:r>
      <w:r w:rsidRPr="00BE3B6C">
        <w:rPr>
          <w:rFonts w:ascii="Times New Roman" w:hAnsi="Times New Roman" w:cs="Times New Roman"/>
          <w:i/>
          <w:iCs/>
          <w:noProof/>
          <w:sz w:val="24"/>
          <w:szCs w:val="24"/>
        </w:rPr>
        <w:t>et al.</w:t>
      </w:r>
      <w:r w:rsidR="00A21729">
        <w:rPr>
          <w:rFonts w:ascii="Times New Roman" w:hAnsi="Times New Roman" w:cs="Times New Roman"/>
          <w:noProof/>
          <w:sz w:val="24"/>
          <w:szCs w:val="24"/>
        </w:rPr>
        <w:t xml:space="preserve"> (2004). </w:t>
      </w:r>
      <w:r w:rsidRPr="00BE3B6C">
        <w:rPr>
          <w:rFonts w:ascii="Times New Roman" w:hAnsi="Times New Roman" w:cs="Times New Roman"/>
          <w:noProof/>
          <w:sz w:val="24"/>
          <w:szCs w:val="24"/>
        </w:rPr>
        <w:t>Do global rating forms enable program directors to assess the ACGME comp</w:t>
      </w:r>
      <w:r w:rsidR="00A21729">
        <w:rPr>
          <w:rFonts w:ascii="Times New Roman" w:hAnsi="Times New Roman" w:cs="Times New Roman"/>
          <w:noProof/>
          <w:sz w:val="24"/>
          <w:szCs w:val="24"/>
        </w:rPr>
        <w:t xml:space="preserve">etencies? </w:t>
      </w:r>
      <w:r w:rsidRPr="00BE3B6C">
        <w:rPr>
          <w:rFonts w:ascii="Times New Roman" w:hAnsi="Times New Roman" w:cs="Times New Roman"/>
          <w:i/>
          <w:iCs/>
          <w:noProof/>
          <w:sz w:val="24"/>
          <w:szCs w:val="24"/>
        </w:rPr>
        <w:t>Academic Medicine</w:t>
      </w:r>
      <w:r w:rsidR="00A21729">
        <w:rPr>
          <w:rFonts w:ascii="Times New Roman" w:hAnsi="Times New Roman" w:cs="Times New Roman"/>
          <w:noProof/>
          <w:sz w:val="24"/>
          <w:szCs w:val="24"/>
        </w:rPr>
        <w:t>.</w:t>
      </w:r>
      <w:r w:rsidR="00A21729" w:rsidRPr="00A21729">
        <w:rPr>
          <w:rFonts w:ascii="Times New Roman" w:hAnsi="Times New Roman" w:cs="Times New Roman"/>
          <w:b/>
          <w:noProof/>
          <w:sz w:val="24"/>
          <w:szCs w:val="24"/>
        </w:rPr>
        <w:t xml:space="preserve"> 79</w:t>
      </w:r>
      <w:r w:rsidR="00A21729">
        <w:rPr>
          <w:rFonts w:ascii="Times New Roman" w:hAnsi="Times New Roman" w:cs="Times New Roman"/>
          <w:noProof/>
          <w:sz w:val="24"/>
          <w:szCs w:val="24"/>
        </w:rPr>
        <w:t xml:space="preserve">(6), 549–556. </w:t>
      </w:r>
    </w:p>
    <w:p w14:paraId="3D881DC5" w14:textId="279E214C" w:rsidR="00BE3B6C" w:rsidRDefault="00A2172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Silverman, D. (2006). What is Qualitative Research? I</w:t>
      </w:r>
      <w:r w:rsidR="00BE3B6C" w:rsidRPr="00BE3B6C">
        <w:rPr>
          <w:rFonts w:ascii="Times New Roman" w:hAnsi="Times New Roman" w:cs="Times New Roman"/>
          <w:noProof/>
          <w:sz w:val="24"/>
          <w:szCs w:val="24"/>
        </w:rPr>
        <w:t>n</w:t>
      </w:r>
      <w:r>
        <w:rPr>
          <w:rFonts w:ascii="Times New Roman" w:hAnsi="Times New Roman" w:cs="Times New Roman"/>
          <w:noProof/>
          <w:sz w:val="24"/>
          <w:szCs w:val="24"/>
        </w:rPr>
        <w:t>:</w:t>
      </w:r>
      <w:r w:rsidR="00CC6C78">
        <w:rPr>
          <w:rFonts w:ascii="Times New Roman" w:hAnsi="Times New Roman" w:cs="Times New Roman"/>
          <w:noProof/>
          <w:sz w:val="24"/>
          <w:szCs w:val="24"/>
        </w:rPr>
        <w:t xml:space="preserve"> D. Silverman, ed.</w:t>
      </w:r>
      <w:r w:rsidR="00BE3B6C" w:rsidRPr="00BE3B6C">
        <w:rPr>
          <w:rFonts w:ascii="Times New Roman" w:hAnsi="Times New Roman" w:cs="Times New Roman"/>
          <w:noProof/>
          <w:sz w:val="24"/>
          <w:szCs w:val="24"/>
        </w:rPr>
        <w:t xml:space="preserve"> </w:t>
      </w:r>
      <w:r w:rsidR="00CC6C78">
        <w:rPr>
          <w:rFonts w:ascii="Times New Roman" w:hAnsi="Times New Roman" w:cs="Times New Roman"/>
          <w:i/>
          <w:iCs/>
          <w:noProof/>
          <w:sz w:val="24"/>
          <w:szCs w:val="24"/>
        </w:rPr>
        <w:t xml:space="preserve">Interpreting Qualitative Data. </w:t>
      </w:r>
      <w:r w:rsidR="00CC6C78" w:rsidRPr="00CC6C78">
        <w:rPr>
          <w:rFonts w:ascii="Times New Roman" w:hAnsi="Times New Roman" w:cs="Times New Roman"/>
          <w:iCs/>
          <w:noProof/>
          <w:sz w:val="24"/>
          <w:szCs w:val="24"/>
        </w:rPr>
        <w:t>3</w:t>
      </w:r>
      <w:r w:rsidR="00CC6C78" w:rsidRPr="00CC6C78">
        <w:rPr>
          <w:rFonts w:ascii="Times New Roman" w:hAnsi="Times New Roman" w:cs="Times New Roman"/>
          <w:iCs/>
          <w:noProof/>
          <w:sz w:val="24"/>
          <w:szCs w:val="24"/>
          <w:vertAlign w:val="superscript"/>
        </w:rPr>
        <w:t>rd</w:t>
      </w:r>
      <w:r w:rsidR="00CC6C78" w:rsidRPr="00CC6C78">
        <w:rPr>
          <w:rFonts w:ascii="Times New Roman" w:hAnsi="Times New Roman" w:cs="Times New Roman"/>
          <w:iCs/>
          <w:noProof/>
          <w:sz w:val="24"/>
          <w:szCs w:val="24"/>
        </w:rPr>
        <w:t xml:space="preserve"> ed.</w:t>
      </w:r>
      <w:r w:rsidR="00CC6C78">
        <w:rPr>
          <w:rFonts w:ascii="Times New Roman" w:hAnsi="Times New Roman" w:cs="Times New Roman"/>
          <w:iCs/>
          <w:noProof/>
          <w:sz w:val="24"/>
          <w:szCs w:val="24"/>
        </w:rPr>
        <w:t xml:space="preserve"> London: Sage. pp. 33-61.</w:t>
      </w:r>
    </w:p>
    <w:p w14:paraId="29EAEB2E" w14:textId="05028BA7"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Sloan, D. A. </w:t>
      </w:r>
      <w:r w:rsidRPr="00BE3B6C">
        <w:rPr>
          <w:rFonts w:ascii="Times New Roman" w:hAnsi="Times New Roman" w:cs="Times New Roman"/>
          <w:i/>
          <w:iCs/>
          <w:noProof/>
          <w:sz w:val="24"/>
          <w:szCs w:val="24"/>
        </w:rPr>
        <w:t>et al.</w:t>
      </w:r>
      <w:r w:rsidR="0029662B">
        <w:rPr>
          <w:rFonts w:ascii="Times New Roman" w:hAnsi="Times New Roman" w:cs="Times New Roman"/>
          <w:noProof/>
          <w:sz w:val="24"/>
          <w:szCs w:val="24"/>
        </w:rPr>
        <w:t xml:space="preserve"> (1993). </w:t>
      </w:r>
      <w:r w:rsidRPr="00BE3B6C">
        <w:rPr>
          <w:rFonts w:ascii="Times New Roman" w:hAnsi="Times New Roman" w:cs="Times New Roman"/>
          <w:noProof/>
          <w:sz w:val="24"/>
          <w:szCs w:val="24"/>
        </w:rPr>
        <w:t xml:space="preserve">Use of an Objective Structured Clinical Examination (OSCE) to measure improvement in clinical competence </w:t>
      </w:r>
      <w:r w:rsidR="0029662B">
        <w:rPr>
          <w:rFonts w:ascii="Times New Roman" w:hAnsi="Times New Roman" w:cs="Times New Roman"/>
          <w:noProof/>
          <w:sz w:val="24"/>
          <w:szCs w:val="24"/>
        </w:rPr>
        <w:t>during the surgical internship.</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Surgery</w:t>
      </w:r>
      <w:r w:rsidR="0029662B">
        <w:rPr>
          <w:rFonts w:ascii="Times New Roman" w:hAnsi="Times New Roman" w:cs="Times New Roman"/>
          <w:noProof/>
          <w:sz w:val="24"/>
          <w:szCs w:val="24"/>
        </w:rPr>
        <w:t xml:space="preserve">. </w:t>
      </w:r>
      <w:r w:rsidR="0029662B" w:rsidRPr="0029662B">
        <w:rPr>
          <w:rFonts w:ascii="Times New Roman" w:hAnsi="Times New Roman" w:cs="Times New Roman"/>
          <w:b/>
          <w:noProof/>
          <w:sz w:val="24"/>
          <w:szCs w:val="24"/>
        </w:rPr>
        <w:t>114</w:t>
      </w:r>
      <w:r w:rsidR="0029662B">
        <w:rPr>
          <w:rFonts w:ascii="Times New Roman" w:hAnsi="Times New Roman" w:cs="Times New Roman"/>
          <w:noProof/>
          <w:sz w:val="24"/>
          <w:szCs w:val="24"/>
        </w:rPr>
        <w:t xml:space="preserve">(2), </w:t>
      </w:r>
      <w:r w:rsidRPr="00BE3B6C">
        <w:rPr>
          <w:rFonts w:ascii="Times New Roman" w:hAnsi="Times New Roman" w:cs="Times New Roman"/>
          <w:noProof/>
          <w:sz w:val="24"/>
          <w:szCs w:val="24"/>
        </w:rPr>
        <w:t>343–350.</w:t>
      </w:r>
    </w:p>
    <w:p w14:paraId="344D0AAB" w14:textId="4598F79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Smith</w:t>
      </w:r>
      <w:r w:rsidR="0029662B">
        <w:rPr>
          <w:rFonts w:ascii="Times New Roman" w:hAnsi="Times New Roman" w:cs="Times New Roman"/>
          <w:noProof/>
          <w:sz w:val="24"/>
          <w:szCs w:val="24"/>
        </w:rPr>
        <w:t xml:space="preserve">, S. R. and Dollase, R. (1999). </w:t>
      </w:r>
      <w:r w:rsidRPr="00BE3B6C">
        <w:rPr>
          <w:rFonts w:ascii="Times New Roman" w:hAnsi="Times New Roman" w:cs="Times New Roman"/>
          <w:noProof/>
          <w:sz w:val="24"/>
          <w:szCs w:val="24"/>
        </w:rPr>
        <w:t>AMEE guide No. 14: Outcome-based education: Part 2 - Planning, implementing and evaluating</w:t>
      </w:r>
      <w:r w:rsidR="0029662B">
        <w:rPr>
          <w:rFonts w:ascii="Times New Roman" w:hAnsi="Times New Roman" w:cs="Times New Roman"/>
          <w:noProof/>
          <w:sz w:val="24"/>
          <w:szCs w:val="24"/>
        </w:rPr>
        <w:t xml:space="preserve"> a competency-based curriculum.</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Medical Teacher</w:t>
      </w:r>
      <w:r w:rsidR="0029662B">
        <w:rPr>
          <w:rFonts w:ascii="Times New Roman" w:hAnsi="Times New Roman" w:cs="Times New Roman"/>
          <w:noProof/>
          <w:sz w:val="24"/>
          <w:szCs w:val="24"/>
        </w:rPr>
        <w:t xml:space="preserve">. </w:t>
      </w:r>
      <w:r w:rsidR="0029662B" w:rsidRPr="0029662B">
        <w:rPr>
          <w:rFonts w:ascii="Times New Roman" w:hAnsi="Times New Roman" w:cs="Times New Roman"/>
          <w:b/>
          <w:noProof/>
          <w:sz w:val="24"/>
          <w:szCs w:val="24"/>
        </w:rPr>
        <w:t>21</w:t>
      </w:r>
      <w:r w:rsidR="0029662B">
        <w:rPr>
          <w:rFonts w:ascii="Times New Roman" w:hAnsi="Times New Roman" w:cs="Times New Roman"/>
          <w:noProof/>
          <w:sz w:val="24"/>
          <w:szCs w:val="24"/>
        </w:rPr>
        <w:t xml:space="preserve">(1), 15–22. </w:t>
      </w:r>
    </w:p>
    <w:p w14:paraId="0A9F1C7D" w14:textId="679AC58F" w:rsidR="00BE3B6C" w:rsidRPr="00BE3B6C" w:rsidRDefault="0029662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Snadden, D. (1999). </w:t>
      </w:r>
      <w:r w:rsidR="00BE3B6C" w:rsidRPr="00BE3B6C">
        <w:rPr>
          <w:rFonts w:ascii="Times New Roman" w:hAnsi="Times New Roman" w:cs="Times New Roman"/>
          <w:noProof/>
          <w:sz w:val="24"/>
          <w:szCs w:val="24"/>
        </w:rPr>
        <w:t>Portfolios–attempting</w:t>
      </w:r>
      <w:r>
        <w:rPr>
          <w:rFonts w:ascii="Times New Roman" w:hAnsi="Times New Roman" w:cs="Times New Roman"/>
          <w:noProof/>
          <w:sz w:val="24"/>
          <w:szCs w:val="24"/>
        </w:rPr>
        <w:t xml:space="preserve"> to measure the unmeasurable. </w:t>
      </w:r>
      <w:r w:rsidR="00BE3B6C" w:rsidRPr="00BE3B6C">
        <w:rPr>
          <w:rFonts w:ascii="Times New Roman" w:hAnsi="Times New Roman" w:cs="Times New Roman"/>
          <w:i/>
          <w:iCs/>
          <w:noProof/>
          <w:sz w:val="24"/>
          <w:szCs w:val="24"/>
        </w:rPr>
        <w:t>Medical Education</w:t>
      </w:r>
      <w:r>
        <w:rPr>
          <w:rFonts w:ascii="Times New Roman" w:hAnsi="Times New Roman" w:cs="Times New Roman"/>
          <w:noProof/>
          <w:sz w:val="24"/>
          <w:szCs w:val="24"/>
        </w:rPr>
        <w:t xml:space="preserve">. </w:t>
      </w:r>
      <w:r w:rsidRPr="0029662B">
        <w:rPr>
          <w:rFonts w:ascii="Times New Roman" w:hAnsi="Times New Roman" w:cs="Times New Roman"/>
          <w:b/>
          <w:noProof/>
          <w:sz w:val="24"/>
          <w:szCs w:val="24"/>
        </w:rPr>
        <w:t>33</w:t>
      </w:r>
      <w:r>
        <w:rPr>
          <w:rFonts w:ascii="Times New Roman" w:hAnsi="Times New Roman" w:cs="Times New Roman"/>
          <w:noProof/>
          <w:sz w:val="24"/>
          <w:szCs w:val="24"/>
        </w:rPr>
        <w:t xml:space="preserve">(7), </w:t>
      </w:r>
      <w:r w:rsidR="00BE3B6C" w:rsidRPr="00BE3B6C">
        <w:rPr>
          <w:rFonts w:ascii="Times New Roman" w:hAnsi="Times New Roman" w:cs="Times New Roman"/>
          <w:noProof/>
          <w:sz w:val="24"/>
          <w:szCs w:val="24"/>
        </w:rPr>
        <w:t>478–479.</w:t>
      </w:r>
    </w:p>
    <w:p w14:paraId="15149D23" w14:textId="631901F4" w:rsidR="00BE3B6C" w:rsidRDefault="0029662B"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Southgate, L. (1999). </w:t>
      </w:r>
      <w:r w:rsidR="00BE3B6C" w:rsidRPr="00BE3B6C">
        <w:rPr>
          <w:rFonts w:ascii="Times New Roman" w:hAnsi="Times New Roman" w:cs="Times New Roman"/>
          <w:noProof/>
          <w:sz w:val="24"/>
          <w:szCs w:val="24"/>
        </w:rPr>
        <w:t>Professi</w:t>
      </w:r>
      <w:r>
        <w:rPr>
          <w:rFonts w:ascii="Times New Roman" w:hAnsi="Times New Roman" w:cs="Times New Roman"/>
          <w:noProof/>
          <w:sz w:val="24"/>
          <w:szCs w:val="24"/>
        </w:rPr>
        <w:t>onal competence in medicine.</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Hosp</w:t>
      </w:r>
      <w:r>
        <w:rPr>
          <w:rFonts w:ascii="Times New Roman" w:hAnsi="Times New Roman" w:cs="Times New Roman"/>
          <w:i/>
          <w:iCs/>
          <w:noProof/>
          <w:sz w:val="24"/>
          <w:szCs w:val="24"/>
        </w:rPr>
        <w:t>ital</w:t>
      </w:r>
      <w:r w:rsidR="00BE3B6C" w:rsidRPr="00BE3B6C">
        <w:rPr>
          <w:rFonts w:ascii="Times New Roman" w:hAnsi="Times New Roman" w:cs="Times New Roman"/>
          <w:i/>
          <w:iCs/>
          <w:noProof/>
          <w:sz w:val="24"/>
          <w:szCs w:val="24"/>
        </w:rPr>
        <w:t>.Med</w:t>
      </w:r>
      <w:r>
        <w:rPr>
          <w:rFonts w:ascii="Times New Roman" w:hAnsi="Times New Roman" w:cs="Times New Roman"/>
          <w:i/>
          <w:iCs/>
          <w:noProof/>
          <w:sz w:val="24"/>
          <w:szCs w:val="24"/>
        </w:rPr>
        <w:t>icine</w:t>
      </w:r>
      <w:r w:rsidR="00BE3B6C" w:rsidRPr="00BE3B6C">
        <w:rPr>
          <w:rFonts w:ascii="Times New Roman" w:hAnsi="Times New Roman" w:cs="Times New Roman"/>
          <w:i/>
          <w:iCs/>
          <w:noProof/>
          <w:sz w:val="24"/>
          <w:szCs w:val="24"/>
        </w:rPr>
        <w:t>.</w:t>
      </w:r>
      <w:r>
        <w:rPr>
          <w:rFonts w:ascii="Times New Roman" w:hAnsi="Times New Roman" w:cs="Times New Roman"/>
          <w:i/>
          <w:iCs/>
          <w:noProof/>
          <w:sz w:val="24"/>
          <w:szCs w:val="24"/>
        </w:rPr>
        <w:t xml:space="preserve"> </w:t>
      </w:r>
      <w:r w:rsidRPr="0029662B">
        <w:rPr>
          <w:rFonts w:ascii="Times New Roman" w:hAnsi="Times New Roman" w:cs="Times New Roman"/>
          <w:b/>
          <w:noProof/>
          <w:sz w:val="24"/>
          <w:szCs w:val="24"/>
        </w:rPr>
        <w:t>60</w:t>
      </w:r>
      <w:r>
        <w:rPr>
          <w:rFonts w:ascii="Times New Roman" w:hAnsi="Times New Roman" w:cs="Times New Roman"/>
          <w:noProof/>
          <w:sz w:val="24"/>
          <w:szCs w:val="24"/>
        </w:rPr>
        <w:t xml:space="preserve">(3), </w:t>
      </w:r>
      <w:r w:rsidR="00BE3B6C" w:rsidRPr="00BE3B6C">
        <w:rPr>
          <w:rFonts w:ascii="Times New Roman" w:hAnsi="Times New Roman" w:cs="Times New Roman"/>
          <w:noProof/>
          <w:sz w:val="24"/>
          <w:szCs w:val="24"/>
        </w:rPr>
        <w:t>203–205.</w:t>
      </w:r>
    </w:p>
    <w:p w14:paraId="52DD0442" w14:textId="20B1544E"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Studdert, D. M. </w:t>
      </w:r>
      <w:r w:rsidRPr="00BE3B6C">
        <w:rPr>
          <w:rFonts w:ascii="Times New Roman" w:hAnsi="Times New Roman" w:cs="Times New Roman"/>
          <w:i/>
          <w:iCs/>
          <w:noProof/>
          <w:sz w:val="24"/>
          <w:szCs w:val="24"/>
        </w:rPr>
        <w:t>et al.</w:t>
      </w:r>
      <w:r w:rsidR="00B1672F">
        <w:rPr>
          <w:rFonts w:ascii="Times New Roman" w:hAnsi="Times New Roman" w:cs="Times New Roman"/>
          <w:noProof/>
          <w:sz w:val="24"/>
          <w:szCs w:val="24"/>
        </w:rPr>
        <w:t xml:space="preserve"> (2006). </w:t>
      </w:r>
      <w:r w:rsidRPr="00BE3B6C">
        <w:rPr>
          <w:rFonts w:ascii="Times New Roman" w:hAnsi="Times New Roman" w:cs="Times New Roman"/>
          <w:noProof/>
          <w:sz w:val="24"/>
          <w:szCs w:val="24"/>
        </w:rPr>
        <w:t>Claims, Errors, and Compensation Payments in M</w:t>
      </w:r>
      <w:r w:rsidR="00B1672F">
        <w:rPr>
          <w:rFonts w:ascii="Times New Roman" w:hAnsi="Times New Roman" w:cs="Times New Roman"/>
          <w:noProof/>
          <w:sz w:val="24"/>
          <w:szCs w:val="24"/>
        </w:rPr>
        <w:t xml:space="preserve">edical Malpractice Litigation. </w:t>
      </w:r>
      <w:r w:rsidRPr="00BE3B6C">
        <w:rPr>
          <w:rFonts w:ascii="Times New Roman" w:hAnsi="Times New Roman" w:cs="Times New Roman"/>
          <w:i/>
          <w:iCs/>
          <w:noProof/>
          <w:sz w:val="24"/>
          <w:szCs w:val="24"/>
        </w:rPr>
        <w:t>New England Journal of Medicine</w:t>
      </w:r>
      <w:r w:rsidR="00B1672F">
        <w:rPr>
          <w:rFonts w:ascii="Times New Roman" w:hAnsi="Times New Roman" w:cs="Times New Roman"/>
          <w:noProof/>
          <w:sz w:val="24"/>
          <w:szCs w:val="24"/>
        </w:rPr>
        <w:t xml:space="preserve">. </w:t>
      </w:r>
      <w:r w:rsidR="00B1672F" w:rsidRPr="00B1672F">
        <w:rPr>
          <w:rFonts w:ascii="Times New Roman" w:hAnsi="Times New Roman" w:cs="Times New Roman"/>
          <w:b/>
          <w:noProof/>
          <w:sz w:val="24"/>
          <w:szCs w:val="24"/>
        </w:rPr>
        <w:t>354</w:t>
      </w:r>
      <w:r w:rsidR="00B1672F">
        <w:rPr>
          <w:rFonts w:ascii="Times New Roman" w:hAnsi="Times New Roman" w:cs="Times New Roman"/>
          <w:noProof/>
          <w:sz w:val="24"/>
          <w:szCs w:val="24"/>
        </w:rPr>
        <w:t xml:space="preserve">(19), 2024–2033. </w:t>
      </w:r>
    </w:p>
    <w:p w14:paraId="03F928D4" w14:textId="345E2E9B" w:rsidR="00BE3B6C" w:rsidRPr="00BE3B6C" w:rsidRDefault="00B1672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Swaffield, S. (2011). </w:t>
      </w:r>
      <w:r w:rsidR="00BE3B6C" w:rsidRPr="00BE3B6C">
        <w:rPr>
          <w:rFonts w:ascii="Times New Roman" w:hAnsi="Times New Roman" w:cs="Times New Roman"/>
          <w:noProof/>
          <w:sz w:val="24"/>
          <w:szCs w:val="24"/>
        </w:rPr>
        <w:t>Getting to the heart of aut</w:t>
      </w:r>
      <w:r>
        <w:rPr>
          <w:rFonts w:ascii="Times New Roman" w:hAnsi="Times New Roman" w:cs="Times New Roman"/>
          <w:noProof/>
          <w:sz w:val="24"/>
          <w:szCs w:val="24"/>
        </w:rPr>
        <w:t>hentic Assessment for Learning.</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Assessment in Education: Principles, Policy &amp; Practice</w:t>
      </w:r>
      <w:r>
        <w:rPr>
          <w:rFonts w:ascii="Times New Roman" w:hAnsi="Times New Roman" w:cs="Times New Roman"/>
          <w:noProof/>
          <w:sz w:val="24"/>
          <w:szCs w:val="24"/>
        </w:rPr>
        <w:t xml:space="preserve">. </w:t>
      </w:r>
      <w:r w:rsidRPr="00B1672F">
        <w:rPr>
          <w:rFonts w:ascii="Times New Roman" w:hAnsi="Times New Roman" w:cs="Times New Roman"/>
          <w:b/>
          <w:noProof/>
          <w:sz w:val="24"/>
          <w:szCs w:val="24"/>
        </w:rPr>
        <w:t>18</w:t>
      </w:r>
      <w:r>
        <w:rPr>
          <w:rFonts w:ascii="Times New Roman" w:hAnsi="Times New Roman" w:cs="Times New Roman"/>
          <w:noProof/>
          <w:sz w:val="24"/>
          <w:szCs w:val="24"/>
        </w:rPr>
        <w:t xml:space="preserve">(4), 433–449. </w:t>
      </w:r>
    </w:p>
    <w:p w14:paraId="08A0001F" w14:textId="753A435F" w:rsidR="00BE3B6C" w:rsidRPr="00BE3B6C" w:rsidRDefault="00B1672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Swing, S. R. (2007). </w:t>
      </w:r>
      <w:r w:rsidR="00BE3B6C" w:rsidRPr="00BE3B6C">
        <w:rPr>
          <w:rFonts w:ascii="Times New Roman" w:hAnsi="Times New Roman" w:cs="Times New Roman"/>
          <w:noProof/>
          <w:sz w:val="24"/>
          <w:szCs w:val="24"/>
        </w:rPr>
        <w:t>The ACGME outcome project: Retrospec</w:t>
      </w:r>
      <w:r>
        <w:rPr>
          <w:rFonts w:ascii="Times New Roman" w:hAnsi="Times New Roman" w:cs="Times New Roman"/>
          <w:noProof/>
          <w:sz w:val="24"/>
          <w:szCs w:val="24"/>
        </w:rPr>
        <w:t>tive and prospective.</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Medical Teacher</w:t>
      </w:r>
      <w:r>
        <w:rPr>
          <w:rFonts w:ascii="Times New Roman" w:hAnsi="Times New Roman" w:cs="Times New Roman"/>
          <w:noProof/>
          <w:sz w:val="24"/>
          <w:szCs w:val="24"/>
        </w:rPr>
        <w:t xml:space="preserve">. 29(7), </w:t>
      </w:r>
      <w:r w:rsidR="00BE3B6C" w:rsidRPr="00BE3B6C">
        <w:rPr>
          <w:rFonts w:ascii="Times New Roman" w:hAnsi="Times New Roman" w:cs="Times New Roman"/>
          <w:noProof/>
          <w:sz w:val="24"/>
          <w:szCs w:val="24"/>
        </w:rPr>
        <w:t xml:space="preserve">648–654. </w:t>
      </w:r>
    </w:p>
    <w:p w14:paraId="7D315417" w14:textId="202F8760" w:rsidR="00BE3B6C" w:rsidRPr="00BE3B6C" w:rsidRDefault="00B1672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Tammela, O. (2013). </w:t>
      </w:r>
      <w:r w:rsidR="00BE3B6C" w:rsidRPr="00BE3B6C">
        <w:rPr>
          <w:rFonts w:ascii="Times New Roman" w:hAnsi="Times New Roman" w:cs="Times New Roman"/>
          <w:noProof/>
          <w:sz w:val="24"/>
          <w:szCs w:val="24"/>
        </w:rPr>
        <w:t>Applications of consensus methods in the improvement of care of paediatric patients: A ste</w:t>
      </w:r>
      <w:r>
        <w:rPr>
          <w:rFonts w:ascii="Times New Roman" w:hAnsi="Times New Roman" w:cs="Times New Roman"/>
          <w:noProof/>
          <w:sz w:val="24"/>
          <w:szCs w:val="24"/>
        </w:rPr>
        <w:t xml:space="preserve">p forward from a “good guess”. </w:t>
      </w:r>
      <w:r w:rsidR="00BE3B6C" w:rsidRPr="00BE3B6C">
        <w:rPr>
          <w:rFonts w:ascii="Times New Roman" w:hAnsi="Times New Roman" w:cs="Times New Roman"/>
          <w:i/>
          <w:iCs/>
          <w:noProof/>
          <w:sz w:val="24"/>
          <w:szCs w:val="24"/>
        </w:rPr>
        <w:t>Acta Paediatrica, International Journal of Paediatrics</w:t>
      </w:r>
      <w:r>
        <w:rPr>
          <w:rFonts w:ascii="Times New Roman" w:hAnsi="Times New Roman" w:cs="Times New Roman"/>
          <w:noProof/>
          <w:sz w:val="24"/>
          <w:szCs w:val="24"/>
        </w:rPr>
        <w:t xml:space="preserve">. </w:t>
      </w:r>
      <w:r>
        <w:rPr>
          <w:rFonts w:ascii="Times New Roman" w:hAnsi="Times New Roman" w:cs="Times New Roman"/>
          <w:b/>
          <w:noProof/>
          <w:sz w:val="24"/>
          <w:szCs w:val="24"/>
        </w:rPr>
        <w:t>102</w:t>
      </w:r>
      <w:r>
        <w:rPr>
          <w:rFonts w:ascii="Times New Roman" w:hAnsi="Times New Roman" w:cs="Times New Roman"/>
          <w:noProof/>
          <w:sz w:val="24"/>
          <w:szCs w:val="24"/>
        </w:rPr>
        <w:t>(2),</w:t>
      </w:r>
      <w:r w:rsidR="00BE3B6C" w:rsidRPr="00BE3B6C">
        <w:rPr>
          <w:rFonts w:ascii="Times New Roman" w:hAnsi="Times New Roman" w:cs="Times New Roman"/>
          <w:noProof/>
          <w:sz w:val="24"/>
          <w:szCs w:val="24"/>
        </w:rPr>
        <w:t xml:space="preserve"> 111–115. </w:t>
      </w:r>
    </w:p>
    <w:p w14:paraId="6873E459" w14:textId="3BEDB195" w:rsidR="00BE3B6C" w:rsidRDefault="00B1672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Teasdale, G. M. (2002). </w:t>
      </w:r>
      <w:r w:rsidR="00BE3B6C" w:rsidRPr="00BE3B6C">
        <w:rPr>
          <w:rFonts w:ascii="Times New Roman" w:hAnsi="Times New Roman" w:cs="Times New Roman"/>
          <w:noProof/>
          <w:sz w:val="24"/>
          <w:szCs w:val="24"/>
        </w:rPr>
        <w:t>Learning from Bristol: report of the public inquiry into children’s heart surgery at Brist</w:t>
      </w:r>
      <w:r>
        <w:rPr>
          <w:rFonts w:ascii="Times New Roman" w:hAnsi="Times New Roman" w:cs="Times New Roman"/>
          <w:noProof/>
          <w:sz w:val="24"/>
          <w:szCs w:val="24"/>
        </w:rPr>
        <w:t xml:space="preserve">ol Royal Infirmary 1984-1995. </w:t>
      </w:r>
      <w:r>
        <w:rPr>
          <w:rFonts w:ascii="Times New Roman" w:hAnsi="Times New Roman" w:cs="Times New Roman"/>
          <w:i/>
          <w:iCs/>
          <w:noProof/>
          <w:sz w:val="24"/>
          <w:szCs w:val="24"/>
        </w:rPr>
        <w:t>British Journal of N</w:t>
      </w:r>
      <w:r w:rsidR="00BE3B6C" w:rsidRPr="00BE3B6C">
        <w:rPr>
          <w:rFonts w:ascii="Times New Roman" w:hAnsi="Times New Roman" w:cs="Times New Roman"/>
          <w:i/>
          <w:iCs/>
          <w:noProof/>
          <w:sz w:val="24"/>
          <w:szCs w:val="24"/>
        </w:rPr>
        <w:t>eurosurgery</w:t>
      </w:r>
      <w:r>
        <w:rPr>
          <w:rFonts w:ascii="Times New Roman" w:hAnsi="Times New Roman" w:cs="Times New Roman"/>
          <w:noProof/>
          <w:sz w:val="24"/>
          <w:szCs w:val="24"/>
        </w:rPr>
        <w:t xml:space="preserve">, </w:t>
      </w:r>
      <w:r w:rsidRPr="00B1672F">
        <w:rPr>
          <w:rFonts w:ascii="Times New Roman" w:hAnsi="Times New Roman" w:cs="Times New Roman"/>
          <w:b/>
          <w:noProof/>
          <w:sz w:val="24"/>
          <w:szCs w:val="24"/>
        </w:rPr>
        <w:t>16</w:t>
      </w:r>
      <w:r>
        <w:rPr>
          <w:rFonts w:ascii="Times New Roman" w:hAnsi="Times New Roman" w:cs="Times New Roman"/>
          <w:noProof/>
          <w:sz w:val="24"/>
          <w:szCs w:val="24"/>
        </w:rPr>
        <w:t xml:space="preserve">(3), </w:t>
      </w:r>
      <w:r w:rsidR="00BE3B6C" w:rsidRPr="00BE3B6C">
        <w:rPr>
          <w:rFonts w:ascii="Times New Roman" w:hAnsi="Times New Roman" w:cs="Times New Roman"/>
          <w:noProof/>
          <w:sz w:val="24"/>
          <w:szCs w:val="24"/>
        </w:rPr>
        <w:t xml:space="preserve">211–216. </w:t>
      </w:r>
    </w:p>
    <w:p w14:paraId="410C1D0C" w14:textId="2352B377"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Teman, N. R. </w:t>
      </w:r>
      <w:r w:rsidRPr="00BE3B6C">
        <w:rPr>
          <w:rFonts w:ascii="Times New Roman" w:hAnsi="Times New Roman" w:cs="Times New Roman"/>
          <w:i/>
          <w:iCs/>
          <w:noProof/>
          <w:sz w:val="24"/>
          <w:szCs w:val="24"/>
        </w:rPr>
        <w:t>et al.</w:t>
      </w:r>
      <w:r w:rsidR="00B1672F">
        <w:rPr>
          <w:rFonts w:ascii="Times New Roman" w:hAnsi="Times New Roman" w:cs="Times New Roman"/>
          <w:noProof/>
          <w:sz w:val="24"/>
          <w:szCs w:val="24"/>
        </w:rPr>
        <w:t xml:space="preserve"> (2014). </w:t>
      </w:r>
      <w:r w:rsidRPr="00BE3B6C">
        <w:rPr>
          <w:rFonts w:ascii="Times New Roman" w:hAnsi="Times New Roman" w:cs="Times New Roman"/>
          <w:noProof/>
          <w:sz w:val="24"/>
          <w:szCs w:val="24"/>
        </w:rPr>
        <w:t>Entrustment of General Surgery Residents in the Operating Room: Factors Contributing to P</w:t>
      </w:r>
      <w:r w:rsidR="00B1672F">
        <w:rPr>
          <w:rFonts w:ascii="Times New Roman" w:hAnsi="Times New Roman" w:cs="Times New Roman"/>
          <w:noProof/>
          <w:sz w:val="24"/>
          <w:szCs w:val="24"/>
        </w:rPr>
        <w:t xml:space="preserve">rovision of Resident Autonomy. </w:t>
      </w:r>
      <w:r w:rsidRPr="00BE3B6C">
        <w:rPr>
          <w:rFonts w:ascii="Times New Roman" w:hAnsi="Times New Roman" w:cs="Times New Roman"/>
          <w:i/>
          <w:iCs/>
          <w:noProof/>
          <w:sz w:val="24"/>
          <w:szCs w:val="24"/>
        </w:rPr>
        <w:t>Journal of the American College of Surgeons</w:t>
      </w:r>
      <w:r w:rsidR="00B1672F">
        <w:rPr>
          <w:rFonts w:ascii="Times New Roman" w:hAnsi="Times New Roman" w:cs="Times New Roman"/>
          <w:noProof/>
          <w:sz w:val="24"/>
          <w:szCs w:val="24"/>
        </w:rPr>
        <w:t xml:space="preserve">. </w:t>
      </w:r>
      <w:r w:rsidR="00B1672F" w:rsidRPr="00B1672F">
        <w:rPr>
          <w:rFonts w:ascii="Times New Roman" w:hAnsi="Times New Roman" w:cs="Times New Roman"/>
          <w:b/>
          <w:noProof/>
          <w:sz w:val="24"/>
          <w:szCs w:val="24"/>
        </w:rPr>
        <w:t>219</w:t>
      </w:r>
      <w:r w:rsidR="00B1672F">
        <w:rPr>
          <w:rFonts w:ascii="Times New Roman" w:hAnsi="Times New Roman" w:cs="Times New Roman"/>
          <w:noProof/>
          <w:sz w:val="24"/>
          <w:szCs w:val="24"/>
        </w:rPr>
        <w:t xml:space="preserve">(4), </w:t>
      </w:r>
      <w:r w:rsidRPr="00BE3B6C">
        <w:rPr>
          <w:rFonts w:ascii="Times New Roman" w:hAnsi="Times New Roman" w:cs="Times New Roman"/>
          <w:noProof/>
          <w:sz w:val="24"/>
          <w:szCs w:val="24"/>
        </w:rPr>
        <w:t>778–787</w:t>
      </w:r>
      <w:r w:rsidR="00B1672F">
        <w:rPr>
          <w:rFonts w:ascii="Times New Roman" w:hAnsi="Times New Roman" w:cs="Times New Roman"/>
          <w:noProof/>
          <w:sz w:val="24"/>
          <w:szCs w:val="24"/>
        </w:rPr>
        <w:t xml:space="preserve">. </w:t>
      </w:r>
    </w:p>
    <w:p w14:paraId="155091BC" w14:textId="6E3C91F5" w:rsidR="00FC270E" w:rsidRPr="00BE3B6C" w:rsidRDefault="00666DB0" w:rsidP="00666DB0">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The Royal College of Pathologists.</w:t>
      </w:r>
      <w:r w:rsidRPr="00BE3B6C">
        <w:rPr>
          <w:rFonts w:ascii="Times New Roman" w:hAnsi="Times New Roman" w:cs="Times New Roman"/>
          <w:noProof/>
          <w:sz w:val="24"/>
          <w:szCs w:val="24"/>
        </w:rPr>
        <w:t xml:space="preserve"> (2009)</w:t>
      </w:r>
      <w:r>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 Competency Based Framework for Graded Responsibility for Specialist Registrar and Specialty Registrars in Histopathology and Cytopathology</w:t>
      </w:r>
      <w:r>
        <w:rPr>
          <w:rFonts w:ascii="Times New Roman" w:hAnsi="Times New Roman" w:cs="Times New Roman"/>
          <w:noProof/>
          <w:sz w:val="24"/>
          <w:szCs w:val="24"/>
        </w:rPr>
        <w:t>. (Online). The Royal College of Pathologists. (Viewed 20</w:t>
      </w:r>
      <w:r w:rsidRPr="00B1052F">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August 2019). Available from: </w:t>
      </w:r>
      <w:r w:rsidRPr="004A314D">
        <w:rPr>
          <w:rFonts w:ascii="Times New Roman" w:hAnsi="Times New Roman" w:cs="Times New Roman"/>
          <w:noProof/>
          <w:sz w:val="24"/>
          <w:szCs w:val="24"/>
        </w:rPr>
        <w:t>https://www.rcpath.org/uploads/assets/b0908b3c-aa01-479c-b4db45358cd8da25/competency-based-framework-for-graded-responsibility-arranged-by-level-of-competence.pdf</w:t>
      </w:r>
    </w:p>
    <w:p w14:paraId="11CB86CE" w14:textId="77777777" w:rsidR="00666DB0" w:rsidRPr="00BE3B6C" w:rsidRDefault="00666DB0" w:rsidP="00666DB0">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The Royal College of Pathologists.</w:t>
      </w:r>
      <w:r w:rsidRPr="00BE3B6C">
        <w:rPr>
          <w:rFonts w:ascii="Times New Roman" w:hAnsi="Times New Roman" w:cs="Times New Roman"/>
          <w:noProof/>
          <w:sz w:val="24"/>
          <w:szCs w:val="24"/>
        </w:rPr>
        <w:t xml:space="preserve"> (2010)</w:t>
      </w:r>
      <w:r>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Blueprints for the pathology assessment sys</w:t>
      </w:r>
      <w:r>
        <w:rPr>
          <w:rFonts w:ascii="Times New Roman" w:hAnsi="Times New Roman" w:cs="Times New Roman"/>
          <w:i/>
          <w:iCs/>
          <w:noProof/>
          <w:sz w:val="24"/>
          <w:szCs w:val="24"/>
        </w:rPr>
        <w:t>tem: Histopathology</w:t>
      </w:r>
      <w:r w:rsidRPr="00BE3B6C">
        <w:rPr>
          <w:rFonts w:ascii="Times New Roman" w:hAnsi="Times New Roman" w:cs="Times New Roman"/>
          <w:noProof/>
          <w:sz w:val="24"/>
          <w:szCs w:val="24"/>
        </w:rPr>
        <w:t>.</w:t>
      </w:r>
      <w:r>
        <w:rPr>
          <w:rFonts w:ascii="Times New Roman" w:hAnsi="Times New Roman" w:cs="Times New Roman"/>
          <w:noProof/>
          <w:sz w:val="24"/>
          <w:szCs w:val="24"/>
        </w:rPr>
        <w:t xml:space="preserve"> (Online). The Royal College of Pathologists. (Viewed 20</w:t>
      </w:r>
      <w:r w:rsidRPr="00B1052F">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August 2019). Available from: </w:t>
      </w:r>
      <w:r w:rsidRPr="004A314D">
        <w:rPr>
          <w:rFonts w:ascii="Times New Roman" w:hAnsi="Times New Roman" w:cs="Times New Roman"/>
          <w:noProof/>
          <w:sz w:val="24"/>
          <w:szCs w:val="24"/>
        </w:rPr>
        <w:t>https://www.rcpath.org/uploads/assets/c6b83853-df18-4374-b5b6728731e24efa/histopathology-blueprint.pdf</w:t>
      </w:r>
    </w:p>
    <w:p w14:paraId="47FF53DE" w14:textId="08ECA69B" w:rsidR="00666DB0" w:rsidRDefault="00666DB0" w:rsidP="00666DB0">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The Royal College of Pathologists.</w:t>
      </w:r>
      <w:r w:rsidRPr="00BE3B6C">
        <w:rPr>
          <w:rFonts w:ascii="Times New Roman" w:hAnsi="Times New Roman" w:cs="Times New Roman"/>
          <w:noProof/>
          <w:sz w:val="24"/>
          <w:szCs w:val="24"/>
        </w:rPr>
        <w:t xml:space="preserve"> (2015)</w:t>
      </w:r>
      <w:r>
        <w:rPr>
          <w:rFonts w:ascii="Times New Roman" w:hAnsi="Times New Roman" w:cs="Times New Roman"/>
          <w:noProof/>
          <w:sz w:val="24"/>
          <w:szCs w:val="24"/>
        </w:rPr>
        <w:t xml:space="preserve">. </w:t>
      </w:r>
      <w:r w:rsidRPr="00FC270E">
        <w:rPr>
          <w:rFonts w:ascii="Times New Roman" w:hAnsi="Times New Roman" w:cs="Times New Roman"/>
          <w:i/>
          <w:noProof/>
          <w:sz w:val="24"/>
          <w:szCs w:val="24"/>
        </w:rPr>
        <w:t>Curriculum for specialty training in histopathology</w:t>
      </w:r>
      <w:r>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Pr>
          <w:rFonts w:ascii="Times New Roman" w:hAnsi="Times New Roman" w:cs="Times New Roman"/>
          <w:noProof/>
          <w:sz w:val="24"/>
          <w:szCs w:val="24"/>
        </w:rPr>
        <w:t>(Online). The Royal College of Pathologists. (Viewed 20</w:t>
      </w:r>
      <w:r w:rsidRPr="00B1052F">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August 2019). Available from:</w:t>
      </w:r>
      <w:r>
        <w:rPr>
          <w:rFonts w:ascii="Times New Roman" w:hAnsi="Times New Roman" w:cs="Times New Roman"/>
          <w:i/>
          <w:iCs/>
          <w:noProof/>
          <w:sz w:val="24"/>
          <w:szCs w:val="24"/>
        </w:rPr>
        <w:t xml:space="preserve"> </w:t>
      </w:r>
      <w:r w:rsidRPr="00BE3B6C">
        <w:rPr>
          <w:rFonts w:ascii="Times New Roman" w:hAnsi="Times New Roman" w:cs="Times New Roman"/>
          <w:noProof/>
          <w:sz w:val="24"/>
          <w:szCs w:val="24"/>
        </w:rPr>
        <w:t>https://www.rcpath.org/uploads/assets/uploaded/f8695439-</w:t>
      </w:r>
      <w:r>
        <w:rPr>
          <w:rFonts w:ascii="Times New Roman" w:hAnsi="Times New Roman" w:cs="Times New Roman"/>
          <w:noProof/>
          <w:sz w:val="24"/>
          <w:szCs w:val="24"/>
        </w:rPr>
        <w:t xml:space="preserve">ce47-4046-b13c1f6202fd8468.pdf </w:t>
      </w:r>
    </w:p>
    <w:p w14:paraId="79C02BF9" w14:textId="4F851A1D" w:rsidR="00FC270E" w:rsidRDefault="00FC270E" w:rsidP="00666DB0">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The </w:t>
      </w:r>
      <w:r w:rsidRPr="00BE3B6C">
        <w:rPr>
          <w:rFonts w:ascii="Times New Roman" w:hAnsi="Times New Roman" w:cs="Times New Roman"/>
          <w:noProof/>
          <w:sz w:val="24"/>
          <w:szCs w:val="24"/>
        </w:rPr>
        <w:t>Royal College of Pathologists</w:t>
      </w:r>
      <w:r>
        <w:rPr>
          <w:rFonts w:ascii="Times New Roman" w:hAnsi="Times New Roman" w:cs="Times New Roman"/>
          <w:noProof/>
          <w:sz w:val="24"/>
          <w:szCs w:val="24"/>
        </w:rPr>
        <w:t>.</w:t>
      </w:r>
      <w:r w:rsidRPr="00BE3B6C">
        <w:rPr>
          <w:rFonts w:ascii="Times New Roman" w:hAnsi="Times New Roman" w:cs="Times New Roman"/>
          <w:noProof/>
          <w:sz w:val="24"/>
          <w:szCs w:val="24"/>
        </w:rPr>
        <w:t xml:space="preserve"> (2018)</w:t>
      </w:r>
      <w:r>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Workplace-based Assessment</w:t>
      </w:r>
      <w:r>
        <w:rPr>
          <w:rFonts w:ascii="Times New Roman" w:hAnsi="Times New Roman" w:cs="Times New Roman"/>
          <w:noProof/>
          <w:sz w:val="24"/>
          <w:szCs w:val="24"/>
        </w:rPr>
        <w:t>. The Royal College of Pathologists. (Viewed 20</w:t>
      </w:r>
      <w:r w:rsidRPr="00B1052F">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August 2019). Available from: </w:t>
      </w:r>
      <w:r w:rsidRPr="00BE3B6C">
        <w:rPr>
          <w:rFonts w:ascii="Times New Roman" w:hAnsi="Times New Roman" w:cs="Times New Roman"/>
          <w:noProof/>
          <w:sz w:val="24"/>
          <w:szCs w:val="24"/>
        </w:rPr>
        <w:lastRenderedPageBreak/>
        <w:t>https://www.rcpath.org/trainees/assessment/workplace-based-assessment-wpb</w:t>
      </w:r>
      <w:r>
        <w:rPr>
          <w:rFonts w:ascii="Times New Roman" w:hAnsi="Times New Roman" w:cs="Times New Roman"/>
          <w:noProof/>
          <w:sz w:val="24"/>
          <w:szCs w:val="24"/>
        </w:rPr>
        <w:t xml:space="preserve">a.html </w:t>
      </w:r>
    </w:p>
    <w:p w14:paraId="6B2A141E" w14:textId="2CEAB530" w:rsidR="00666DB0" w:rsidRDefault="00666DB0"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The Royal College of Physicians. (2005). Doctors in society: m</w:t>
      </w:r>
      <w:r w:rsidRPr="00BE3B6C">
        <w:rPr>
          <w:rFonts w:ascii="Times New Roman" w:hAnsi="Times New Roman" w:cs="Times New Roman"/>
          <w:noProof/>
          <w:sz w:val="24"/>
          <w:szCs w:val="24"/>
        </w:rPr>
        <w:t>edical profe</w:t>
      </w:r>
      <w:r>
        <w:rPr>
          <w:rFonts w:ascii="Times New Roman" w:hAnsi="Times New Roman" w:cs="Times New Roman"/>
          <w:noProof/>
          <w:sz w:val="24"/>
          <w:szCs w:val="24"/>
        </w:rPr>
        <w:t>ssionalism in a changing world.</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 xml:space="preserve"> Report of a Working Party of the Royal College of Physicians of London</w:t>
      </w:r>
      <w:r>
        <w:rPr>
          <w:rFonts w:ascii="Times New Roman" w:hAnsi="Times New Roman" w:cs="Times New Roman"/>
          <w:noProof/>
          <w:sz w:val="24"/>
          <w:szCs w:val="24"/>
        </w:rPr>
        <w:t>. London: Royal College of Physicians.</w:t>
      </w:r>
    </w:p>
    <w:p w14:paraId="4335C9BB" w14:textId="5FF299C4" w:rsidR="00741AB4" w:rsidRPr="00BE3B6C" w:rsidRDefault="00741AB4"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The Royal College of Physicians.</w:t>
      </w:r>
      <w:r w:rsidRPr="00BE3B6C">
        <w:rPr>
          <w:rFonts w:ascii="Times New Roman" w:hAnsi="Times New Roman" w:cs="Times New Roman"/>
          <w:noProof/>
          <w:sz w:val="24"/>
          <w:szCs w:val="24"/>
        </w:rPr>
        <w:t>(2018)</w:t>
      </w:r>
      <w:r>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Never too busy to learn.</w:t>
      </w:r>
      <w:r>
        <w:rPr>
          <w:rFonts w:ascii="Times New Roman" w:hAnsi="Times New Roman" w:cs="Times New Roman"/>
          <w:noProof/>
          <w:sz w:val="24"/>
          <w:szCs w:val="24"/>
        </w:rPr>
        <w:t xml:space="preserve"> London: Royal College of Physicians.</w:t>
      </w:r>
    </w:p>
    <w:p w14:paraId="437DA31F" w14:textId="2D5C36C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Thompson, C. A. </w:t>
      </w:r>
      <w:r w:rsidRPr="00BE3B6C">
        <w:rPr>
          <w:rFonts w:ascii="Times New Roman" w:hAnsi="Times New Roman" w:cs="Times New Roman"/>
          <w:i/>
          <w:iCs/>
          <w:noProof/>
          <w:sz w:val="24"/>
          <w:szCs w:val="24"/>
        </w:rPr>
        <w:t>et al.</w:t>
      </w:r>
      <w:r w:rsidR="000A5186">
        <w:rPr>
          <w:rFonts w:ascii="Times New Roman" w:hAnsi="Times New Roman" w:cs="Times New Roman"/>
          <w:noProof/>
          <w:sz w:val="24"/>
          <w:szCs w:val="24"/>
        </w:rPr>
        <w:t xml:space="preserve"> (2005). </w:t>
      </w:r>
      <w:r w:rsidRPr="00BE3B6C">
        <w:rPr>
          <w:rFonts w:ascii="Times New Roman" w:hAnsi="Times New Roman" w:cs="Times New Roman"/>
          <w:noProof/>
          <w:sz w:val="24"/>
          <w:szCs w:val="24"/>
        </w:rPr>
        <w:t>Using social judgement theory to model nurses’ use of clinical information in crit</w:t>
      </w:r>
      <w:r w:rsidR="000A5186">
        <w:rPr>
          <w:rFonts w:ascii="Times New Roman" w:hAnsi="Times New Roman" w:cs="Times New Roman"/>
          <w:noProof/>
          <w:sz w:val="24"/>
          <w:szCs w:val="24"/>
        </w:rPr>
        <w:t xml:space="preserve">ical care education. </w:t>
      </w:r>
      <w:r w:rsidRPr="00BE3B6C">
        <w:rPr>
          <w:rFonts w:ascii="Times New Roman" w:hAnsi="Times New Roman" w:cs="Times New Roman"/>
          <w:i/>
          <w:iCs/>
          <w:noProof/>
          <w:sz w:val="24"/>
          <w:szCs w:val="24"/>
        </w:rPr>
        <w:t>Nurse Education Today</w:t>
      </w:r>
      <w:r w:rsidR="000A5186">
        <w:rPr>
          <w:rFonts w:ascii="Times New Roman" w:hAnsi="Times New Roman" w:cs="Times New Roman"/>
          <w:noProof/>
          <w:sz w:val="24"/>
          <w:szCs w:val="24"/>
        </w:rPr>
        <w:t xml:space="preserve">. </w:t>
      </w:r>
      <w:r w:rsidR="000A5186" w:rsidRPr="000A5186">
        <w:rPr>
          <w:rFonts w:ascii="Times New Roman" w:hAnsi="Times New Roman" w:cs="Times New Roman"/>
          <w:b/>
          <w:noProof/>
          <w:sz w:val="24"/>
          <w:szCs w:val="24"/>
        </w:rPr>
        <w:t>25</w:t>
      </w:r>
      <w:r w:rsidR="000A5186">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68–77. </w:t>
      </w:r>
    </w:p>
    <w:p w14:paraId="45E7B3C7" w14:textId="6C57572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Tiersma, E. S. M. </w:t>
      </w:r>
      <w:r w:rsidRPr="00BE3B6C">
        <w:rPr>
          <w:rFonts w:ascii="Times New Roman" w:hAnsi="Times New Roman" w:cs="Times New Roman"/>
          <w:i/>
          <w:iCs/>
          <w:noProof/>
          <w:sz w:val="24"/>
          <w:szCs w:val="24"/>
        </w:rPr>
        <w:t>et al.</w:t>
      </w:r>
      <w:r w:rsidR="000A5186">
        <w:rPr>
          <w:rFonts w:ascii="Times New Roman" w:hAnsi="Times New Roman" w:cs="Times New Roman"/>
          <w:noProof/>
          <w:sz w:val="24"/>
          <w:szCs w:val="24"/>
        </w:rPr>
        <w:t xml:space="preserve"> (2003). </w:t>
      </w:r>
      <w:r w:rsidRPr="00BE3B6C">
        <w:rPr>
          <w:rFonts w:ascii="Times New Roman" w:hAnsi="Times New Roman" w:cs="Times New Roman"/>
          <w:noProof/>
          <w:sz w:val="24"/>
          <w:szCs w:val="24"/>
        </w:rPr>
        <w:t>Visualising scanning patterns of pathologists in the grading of cervi</w:t>
      </w:r>
      <w:r w:rsidR="000A5186">
        <w:rPr>
          <w:rFonts w:ascii="Times New Roman" w:hAnsi="Times New Roman" w:cs="Times New Roman"/>
          <w:noProof/>
          <w:sz w:val="24"/>
          <w:szCs w:val="24"/>
        </w:rPr>
        <w:t xml:space="preserve">cal intraepithelial neoplasia. </w:t>
      </w:r>
      <w:r w:rsidRPr="00BE3B6C">
        <w:rPr>
          <w:rFonts w:ascii="Times New Roman" w:hAnsi="Times New Roman" w:cs="Times New Roman"/>
          <w:i/>
          <w:iCs/>
          <w:noProof/>
          <w:sz w:val="24"/>
          <w:szCs w:val="24"/>
        </w:rPr>
        <w:t>Journal of Clinical Pathology</w:t>
      </w:r>
      <w:r w:rsidR="000A5186">
        <w:rPr>
          <w:rFonts w:ascii="Times New Roman" w:hAnsi="Times New Roman" w:cs="Times New Roman"/>
          <w:noProof/>
          <w:sz w:val="24"/>
          <w:szCs w:val="24"/>
        </w:rPr>
        <w:t xml:space="preserve">. </w:t>
      </w:r>
      <w:r w:rsidR="000A5186" w:rsidRPr="00AF796F">
        <w:rPr>
          <w:rFonts w:ascii="Times New Roman" w:hAnsi="Times New Roman" w:cs="Times New Roman"/>
          <w:b/>
          <w:noProof/>
          <w:sz w:val="24"/>
          <w:szCs w:val="24"/>
        </w:rPr>
        <w:t>56</w:t>
      </w:r>
      <w:r w:rsidR="000A5186">
        <w:rPr>
          <w:rFonts w:ascii="Times New Roman" w:hAnsi="Times New Roman" w:cs="Times New Roman"/>
          <w:noProof/>
          <w:sz w:val="24"/>
          <w:szCs w:val="24"/>
        </w:rPr>
        <w:t xml:space="preserve">(9), </w:t>
      </w:r>
      <w:r w:rsidRPr="00BE3B6C">
        <w:rPr>
          <w:rFonts w:ascii="Times New Roman" w:hAnsi="Times New Roman" w:cs="Times New Roman"/>
          <w:noProof/>
          <w:sz w:val="24"/>
          <w:szCs w:val="24"/>
        </w:rPr>
        <w:t xml:space="preserve">677–680. </w:t>
      </w:r>
    </w:p>
    <w:p w14:paraId="1DD4595F" w14:textId="1F5977A4" w:rsidR="000A5186" w:rsidRDefault="000A5186"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Tooke, J. (2008). </w:t>
      </w:r>
      <w:r w:rsidR="00BE3B6C" w:rsidRPr="00BE3B6C">
        <w:rPr>
          <w:rFonts w:ascii="Times New Roman" w:hAnsi="Times New Roman" w:cs="Times New Roman"/>
          <w:noProof/>
          <w:sz w:val="24"/>
          <w:szCs w:val="24"/>
        </w:rPr>
        <w:t>Aspiring to excellence: final report of the independent inquiry int</w:t>
      </w:r>
      <w:r>
        <w:rPr>
          <w:rFonts w:ascii="Times New Roman" w:hAnsi="Times New Roman" w:cs="Times New Roman"/>
          <w:noProof/>
          <w:sz w:val="24"/>
          <w:szCs w:val="24"/>
        </w:rPr>
        <w:t>o Modernising Medical Careers.</w:t>
      </w:r>
      <w:r w:rsidR="00AF796F">
        <w:rPr>
          <w:rFonts w:ascii="Times New Roman" w:hAnsi="Times New Roman" w:cs="Times New Roman"/>
          <w:noProof/>
          <w:sz w:val="24"/>
          <w:szCs w:val="24"/>
        </w:rPr>
        <w:t xml:space="preserve"> London: MMC Inquiry.</w:t>
      </w:r>
    </w:p>
    <w:p w14:paraId="4F12E6AD" w14:textId="78903D8F" w:rsidR="00BE3B6C" w:rsidRDefault="00AF796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Tormey, W. (2014). </w:t>
      </w:r>
      <w:r w:rsidR="00BE3B6C" w:rsidRPr="00BE3B6C">
        <w:rPr>
          <w:rFonts w:ascii="Times New Roman" w:hAnsi="Times New Roman" w:cs="Times New Roman"/>
          <w:noProof/>
          <w:sz w:val="24"/>
          <w:szCs w:val="24"/>
        </w:rPr>
        <w:t>Education, learning and assessment: current trends and best p</w:t>
      </w:r>
      <w:r>
        <w:rPr>
          <w:rFonts w:ascii="Times New Roman" w:hAnsi="Times New Roman" w:cs="Times New Roman"/>
          <w:noProof/>
          <w:sz w:val="24"/>
          <w:szCs w:val="24"/>
        </w:rPr>
        <w:t xml:space="preserve">ractice for medical educators. </w:t>
      </w:r>
      <w:r w:rsidR="00BE3B6C" w:rsidRPr="00BE3B6C">
        <w:rPr>
          <w:rFonts w:ascii="Times New Roman" w:hAnsi="Times New Roman" w:cs="Times New Roman"/>
          <w:i/>
          <w:iCs/>
          <w:noProof/>
          <w:sz w:val="24"/>
          <w:szCs w:val="24"/>
        </w:rPr>
        <w:t>Irish Journal of Medical Science</w:t>
      </w:r>
      <w:r>
        <w:rPr>
          <w:rFonts w:ascii="Times New Roman" w:hAnsi="Times New Roman" w:cs="Times New Roman"/>
          <w:noProof/>
          <w:sz w:val="24"/>
          <w:szCs w:val="24"/>
        </w:rPr>
        <w:t xml:space="preserve">. </w:t>
      </w:r>
      <w:r w:rsidRPr="00AF796F">
        <w:rPr>
          <w:rFonts w:ascii="Times New Roman" w:hAnsi="Times New Roman" w:cs="Times New Roman"/>
          <w:b/>
          <w:noProof/>
          <w:sz w:val="24"/>
          <w:szCs w:val="24"/>
        </w:rPr>
        <w:t>84</w:t>
      </w:r>
      <w:r>
        <w:rPr>
          <w:rFonts w:ascii="Times New Roman" w:hAnsi="Times New Roman" w:cs="Times New Roman"/>
          <w:noProof/>
          <w:sz w:val="24"/>
          <w:szCs w:val="24"/>
        </w:rPr>
        <w:t xml:space="preserve">(1), </w:t>
      </w:r>
      <w:r w:rsidR="00BE3B6C" w:rsidRPr="00BE3B6C">
        <w:rPr>
          <w:rFonts w:ascii="Times New Roman" w:hAnsi="Times New Roman" w:cs="Times New Roman"/>
          <w:noProof/>
          <w:sz w:val="24"/>
          <w:szCs w:val="24"/>
        </w:rPr>
        <w:t xml:space="preserve">1–12. </w:t>
      </w:r>
    </w:p>
    <w:p w14:paraId="232863D3" w14:textId="1F939E1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Torsney, K. M., Cocker, D. M</w:t>
      </w:r>
      <w:r w:rsidR="00AF796F">
        <w:rPr>
          <w:rFonts w:ascii="Times New Roman" w:hAnsi="Times New Roman" w:cs="Times New Roman"/>
          <w:noProof/>
          <w:sz w:val="24"/>
          <w:szCs w:val="24"/>
        </w:rPr>
        <w:t xml:space="preserve">. and Slesser, A. A. P. (2015). </w:t>
      </w:r>
      <w:r w:rsidRPr="00BE3B6C">
        <w:rPr>
          <w:rFonts w:ascii="Times New Roman" w:hAnsi="Times New Roman" w:cs="Times New Roman"/>
          <w:noProof/>
          <w:sz w:val="24"/>
          <w:szCs w:val="24"/>
        </w:rPr>
        <w:t>The modern surgeon and competency assessment: Are the workplace-base</w:t>
      </w:r>
      <w:r w:rsidR="00AF796F">
        <w:rPr>
          <w:rFonts w:ascii="Times New Roman" w:hAnsi="Times New Roman" w:cs="Times New Roman"/>
          <w:noProof/>
          <w:sz w:val="24"/>
          <w:szCs w:val="24"/>
        </w:rPr>
        <w:t xml:space="preserve">d assessments evidence-based? </w:t>
      </w:r>
      <w:r w:rsidRPr="00BE3B6C">
        <w:rPr>
          <w:rFonts w:ascii="Times New Roman" w:hAnsi="Times New Roman" w:cs="Times New Roman"/>
          <w:i/>
          <w:iCs/>
          <w:noProof/>
          <w:sz w:val="24"/>
          <w:szCs w:val="24"/>
        </w:rPr>
        <w:t>World Journal of Surgery</w:t>
      </w:r>
      <w:r w:rsidR="00AF796F">
        <w:rPr>
          <w:rFonts w:ascii="Times New Roman" w:hAnsi="Times New Roman" w:cs="Times New Roman"/>
          <w:noProof/>
          <w:sz w:val="24"/>
          <w:szCs w:val="24"/>
        </w:rPr>
        <w:t xml:space="preserve">. </w:t>
      </w:r>
      <w:r w:rsidR="00AF796F" w:rsidRPr="00AF796F">
        <w:rPr>
          <w:rFonts w:ascii="Times New Roman" w:hAnsi="Times New Roman" w:cs="Times New Roman"/>
          <w:b/>
          <w:noProof/>
          <w:sz w:val="24"/>
          <w:szCs w:val="24"/>
        </w:rPr>
        <w:t>39</w:t>
      </w:r>
      <w:r w:rsidR="00AF796F">
        <w:rPr>
          <w:rFonts w:ascii="Times New Roman" w:hAnsi="Times New Roman" w:cs="Times New Roman"/>
          <w:noProof/>
          <w:sz w:val="24"/>
          <w:szCs w:val="24"/>
        </w:rPr>
        <w:t xml:space="preserve">(3), 623–633. </w:t>
      </w:r>
    </w:p>
    <w:p w14:paraId="5F8A5B7C" w14:textId="23F10D72" w:rsidR="00BE3B6C" w:rsidRDefault="00AF796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Trathen, A and Gallagher, J. E. (2009). </w:t>
      </w:r>
      <w:r w:rsidR="00BE3B6C" w:rsidRPr="00BE3B6C">
        <w:rPr>
          <w:rFonts w:ascii="Times New Roman" w:hAnsi="Times New Roman" w:cs="Times New Roman"/>
          <w:noProof/>
          <w:sz w:val="24"/>
          <w:szCs w:val="24"/>
        </w:rPr>
        <w:t>Dental professio</w:t>
      </w:r>
      <w:r>
        <w:rPr>
          <w:rFonts w:ascii="Times New Roman" w:hAnsi="Times New Roman" w:cs="Times New Roman"/>
          <w:noProof/>
          <w:sz w:val="24"/>
          <w:szCs w:val="24"/>
        </w:rPr>
        <w:t>nalism: Definitions and debate.</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British Dental Journal</w:t>
      </w:r>
      <w:r>
        <w:rPr>
          <w:rFonts w:ascii="Times New Roman" w:hAnsi="Times New Roman" w:cs="Times New Roman"/>
          <w:noProof/>
          <w:sz w:val="24"/>
          <w:szCs w:val="24"/>
        </w:rPr>
        <w:t xml:space="preserve">. </w:t>
      </w:r>
      <w:r w:rsidRPr="00AF796F">
        <w:rPr>
          <w:rFonts w:ascii="Times New Roman" w:hAnsi="Times New Roman" w:cs="Times New Roman"/>
          <w:b/>
          <w:noProof/>
          <w:sz w:val="24"/>
          <w:szCs w:val="24"/>
        </w:rPr>
        <w:t>206</w:t>
      </w:r>
      <w:r>
        <w:rPr>
          <w:rFonts w:ascii="Times New Roman" w:hAnsi="Times New Roman" w:cs="Times New Roman"/>
          <w:noProof/>
          <w:sz w:val="24"/>
          <w:szCs w:val="24"/>
        </w:rPr>
        <w:t xml:space="preserve">(5), </w:t>
      </w:r>
      <w:r w:rsidR="00BE3B6C" w:rsidRPr="00BE3B6C">
        <w:rPr>
          <w:rFonts w:ascii="Times New Roman" w:hAnsi="Times New Roman" w:cs="Times New Roman"/>
          <w:noProof/>
          <w:sz w:val="24"/>
          <w:szCs w:val="24"/>
        </w:rPr>
        <w:t xml:space="preserve">249–253. </w:t>
      </w:r>
    </w:p>
    <w:p w14:paraId="59E488F9" w14:textId="3B716DA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Tsichlaki, A. </w:t>
      </w:r>
      <w:r w:rsidRPr="00BE3B6C">
        <w:rPr>
          <w:rFonts w:ascii="Times New Roman" w:hAnsi="Times New Roman" w:cs="Times New Roman"/>
          <w:i/>
          <w:iCs/>
          <w:noProof/>
          <w:sz w:val="24"/>
          <w:szCs w:val="24"/>
        </w:rPr>
        <w:t>et al.</w:t>
      </w:r>
      <w:r w:rsidR="00AF796F">
        <w:rPr>
          <w:rFonts w:ascii="Times New Roman" w:hAnsi="Times New Roman" w:cs="Times New Roman"/>
          <w:noProof/>
          <w:sz w:val="24"/>
          <w:szCs w:val="24"/>
        </w:rPr>
        <w:t xml:space="preserve"> (2017). </w:t>
      </w:r>
      <w:r w:rsidRPr="00BE3B6C">
        <w:rPr>
          <w:rFonts w:ascii="Times New Roman" w:hAnsi="Times New Roman" w:cs="Times New Roman"/>
          <w:noProof/>
          <w:sz w:val="24"/>
          <w:szCs w:val="24"/>
        </w:rPr>
        <w:t>Development of a core outcome set for orthodontic trials using a mixed-methods approach: Pro</w:t>
      </w:r>
      <w:r w:rsidR="00AF796F">
        <w:rPr>
          <w:rFonts w:ascii="Times New Roman" w:hAnsi="Times New Roman" w:cs="Times New Roman"/>
          <w:noProof/>
          <w:sz w:val="24"/>
          <w:szCs w:val="24"/>
        </w:rPr>
        <w:t xml:space="preserve">tocol for a multicentre study. </w:t>
      </w:r>
      <w:r w:rsidRPr="00BE3B6C">
        <w:rPr>
          <w:rFonts w:ascii="Times New Roman" w:hAnsi="Times New Roman" w:cs="Times New Roman"/>
          <w:i/>
          <w:iCs/>
          <w:noProof/>
          <w:sz w:val="24"/>
          <w:szCs w:val="24"/>
        </w:rPr>
        <w:t>Trials</w:t>
      </w:r>
      <w:r w:rsidR="00AF796F">
        <w:rPr>
          <w:rFonts w:ascii="Times New Roman" w:hAnsi="Times New Roman" w:cs="Times New Roman"/>
          <w:noProof/>
          <w:sz w:val="24"/>
          <w:szCs w:val="24"/>
        </w:rPr>
        <w:t xml:space="preserve">. </w:t>
      </w:r>
      <w:r w:rsidR="00AF796F" w:rsidRPr="00AF796F">
        <w:rPr>
          <w:rFonts w:ascii="Times New Roman" w:hAnsi="Times New Roman" w:cs="Times New Roman"/>
          <w:b/>
          <w:noProof/>
          <w:sz w:val="24"/>
          <w:szCs w:val="24"/>
        </w:rPr>
        <w:t>18</w:t>
      </w:r>
      <w:r w:rsidR="00AF796F">
        <w:rPr>
          <w:rFonts w:ascii="Times New Roman" w:hAnsi="Times New Roman" w:cs="Times New Roman"/>
          <w:noProof/>
          <w:sz w:val="24"/>
          <w:szCs w:val="24"/>
        </w:rPr>
        <w:t>(1), 366.</w:t>
      </w:r>
    </w:p>
    <w:p w14:paraId="2F67ABFF" w14:textId="5E3E0A39"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Tyson, L. (2006</w:t>
      </w:r>
      <w:r w:rsidR="00AF796F">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Critical Theory Today: A User-Friendly Guide</w:t>
      </w:r>
      <w:r w:rsidR="00AF796F">
        <w:rPr>
          <w:rFonts w:ascii="Times New Roman" w:hAnsi="Times New Roman" w:cs="Times New Roman"/>
          <w:noProof/>
          <w:sz w:val="24"/>
          <w:szCs w:val="24"/>
        </w:rPr>
        <w:t xml:space="preserve">. London: </w:t>
      </w:r>
      <w:r w:rsidRPr="00AF796F">
        <w:rPr>
          <w:rFonts w:ascii="Times New Roman" w:hAnsi="Times New Roman" w:cs="Times New Roman"/>
          <w:iCs/>
          <w:noProof/>
          <w:sz w:val="24"/>
          <w:szCs w:val="24"/>
        </w:rPr>
        <w:t>Routledge</w:t>
      </w:r>
      <w:r w:rsidR="00AF796F" w:rsidRPr="00AF796F">
        <w:rPr>
          <w:rFonts w:ascii="Times New Roman" w:hAnsi="Times New Roman" w:cs="Times New Roman"/>
          <w:noProof/>
          <w:sz w:val="24"/>
          <w:szCs w:val="24"/>
        </w:rPr>
        <w:t xml:space="preserve">. </w:t>
      </w:r>
    </w:p>
    <w:p w14:paraId="373E32EC" w14:textId="021FA361"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lastRenderedPageBreak/>
        <w:t>Unsworth, C., Har</w:t>
      </w:r>
      <w:r w:rsidR="00AF796F">
        <w:rPr>
          <w:rFonts w:ascii="Times New Roman" w:hAnsi="Times New Roman" w:cs="Times New Roman"/>
          <w:noProof/>
          <w:sz w:val="24"/>
          <w:szCs w:val="24"/>
        </w:rPr>
        <w:t xml:space="preserve">ries, P. and Davies, M. (2015). </w:t>
      </w:r>
      <w:r w:rsidRPr="00BE3B6C">
        <w:rPr>
          <w:rFonts w:ascii="Times New Roman" w:hAnsi="Times New Roman" w:cs="Times New Roman"/>
          <w:noProof/>
          <w:sz w:val="24"/>
          <w:szCs w:val="24"/>
        </w:rPr>
        <w:t>Using social judgment theory method to examine how experienced occupational therapy driver assessors use information to make fit</w:t>
      </w:r>
      <w:r w:rsidR="00AF796F">
        <w:rPr>
          <w:rFonts w:ascii="Times New Roman" w:hAnsi="Times New Roman" w:cs="Times New Roman"/>
          <w:noProof/>
          <w:sz w:val="24"/>
          <w:szCs w:val="24"/>
        </w:rPr>
        <w:t xml:space="preserve">ness-to-drive recommendations. </w:t>
      </w:r>
      <w:r w:rsidRPr="00BE3B6C">
        <w:rPr>
          <w:rFonts w:ascii="Times New Roman" w:hAnsi="Times New Roman" w:cs="Times New Roman"/>
          <w:i/>
          <w:iCs/>
          <w:noProof/>
          <w:sz w:val="24"/>
          <w:szCs w:val="24"/>
        </w:rPr>
        <w:t>British Journal of Occupational Therapy</w:t>
      </w:r>
      <w:r w:rsidR="00AF796F">
        <w:rPr>
          <w:rFonts w:ascii="Times New Roman" w:hAnsi="Times New Roman" w:cs="Times New Roman"/>
          <w:noProof/>
          <w:sz w:val="24"/>
          <w:szCs w:val="24"/>
        </w:rPr>
        <w:t xml:space="preserve">. </w:t>
      </w:r>
      <w:r w:rsidR="00AF796F" w:rsidRPr="00AF796F">
        <w:rPr>
          <w:rFonts w:ascii="Times New Roman" w:hAnsi="Times New Roman" w:cs="Times New Roman"/>
          <w:b/>
          <w:noProof/>
          <w:sz w:val="24"/>
          <w:szCs w:val="24"/>
        </w:rPr>
        <w:t>78</w:t>
      </w:r>
      <w:r w:rsidR="00AF796F">
        <w:rPr>
          <w:rFonts w:ascii="Times New Roman" w:hAnsi="Times New Roman" w:cs="Times New Roman"/>
          <w:noProof/>
          <w:sz w:val="24"/>
          <w:szCs w:val="24"/>
        </w:rPr>
        <w:t xml:space="preserve">(2), </w:t>
      </w:r>
      <w:r w:rsidRPr="00BE3B6C">
        <w:rPr>
          <w:rFonts w:ascii="Times New Roman" w:hAnsi="Times New Roman" w:cs="Times New Roman"/>
          <w:noProof/>
          <w:sz w:val="24"/>
          <w:szCs w:val="24"/>
        </w:rPr>
        <w:t>109–120</w:t>
      </w:r>
      <w:r w:rsidR="00AF796F">
        <w:rPr>
          <w:rFonts w:ascii="Times New Roman" w:hAnsi="Times New Roman" w:cs="Times New Roman"/>
          <w:noProof/>
          <w:sz w:val="24"/>
          <w:szCs w:val="24"/>
        </w:rPr>
        <w:t>.</w:t>
      </w:r>
    </w:p>
    <w:p w14:paraId="6834670B" w14:textId="298913BD" w:rsidR="00BE3B6C" w:rsidRPr="00BE3B6C" w:rsidRDefault="000B393F"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Veloski J. J.</w:t>
      </w:r>
      <w:r w:rsidR="00A111A4">
        <w:rPr>
          <w:rFonts w:ascii="Times New Roman" w:hAnsi="Times New Roman" w:cs="Times New Roman"/>
          <w:noProof/>
          <w:sz w:val="24"/>
          <w:szCs w:val="24"/>
        </w:rPr>
        <w:t xml:space="preserve"> (2006). </w:t>
      </w:r>
      <w:r w:rsidR="00BE3B6C" w:rsidRPr="00BE3B6C">
        <w:rPr>
          <w:rFonts w:ascii="Times New Roman" w:hAnsi="Times New Roman" w:cs="Times New Roman"/>
          <w:noProof/>
          <w:sz w:val="24"/>
          <w:szCs w:val="24"/>
        </w:rPr>
        <w:t>Measuring specific elements of professionalism: empathy, te</w:t>
      </w:r>
      <w:r w:rsidR="00A111A4">
        <w:rPr>
          <w:rFonts w:ascii="Times New Roman" w:hAnsi="Times New Roman" w:cs="Times New Roman"/>
          <w:noProof/>
          <w:sz w:val="24"/>
          <w:szCs w:val="24"/>
        </w:rPr>
        <w:t>amwork and lifelong learning. In: D.T. Stern, ed.</w:t>
      </w:r>
      <w:r w:rsidR="00BE3B6C" w:rsidRPr="00BE3B6C">
        <w:rPr>
          <w:rFonts w:ascii="Times New Roman" w:hAnsi="Times New Roman" w:cs="Times New Roman"/>
          <w:noProof/>
          <w:sz w:val="24"/>
          <w:szCs w:val="24"/>
        </w:rPr>
        <w:t xml:space="preserve"> </w:t>
      </w:r>
      <w:r w:rsidR="00BE3B6C" w:rsidRPr="00BE3B6C">
        <w:rPr>
          <w:rFonts w:ascii="Times New Roman" w:hAnsi="Times New Roman" w:cs="Times New Roman"/>
          <w:i/>
          <w:iCs/>
          <w:noProof/>
          <w:sz w:val="24"/>
          <w:szCs w:val="24"/>
        </w:rPr>
        <w:t>Measurement of Professionalism in Medicine.</w:t>
      </w:r>
      <w:r w:rsidR="00BE3B6C" w:rsidRPr="00BE3B6C">
        <w:rPr>
          <w:rFonts w:ascii="Times New Roman" w:hAnsi="Times New Roman" w:cs="Times New Roman"/>
          <w:noProof/>
          <w:sz w:val="24"/>
          <w:szCs w:val="24"/>
        </w:rPr>
        <w:t xml:space="preserve"> Oxfor</w:t>
      </w:r>
      <w:r w:rsidR="00A111A4">
        <w:rPr>
          <w:rFonts w:ascii="Times New Roman" w:hAnsi="Times New Roman" w:cs="Times New Roman"/>
          <w:noProof/>
          <w:sz w:val="24"/>
          <w:szCs w:val="24"/>
        </w:rPr>
        <w:t xml:space="preserve">d, UK: Oxford University Press. </w:t>
      </w:r>
      <w:r w:rsidR="00BE3B6C" w:rsidRPr="00BE3B6C">
        <w:rPr>
          <w:rFonts w:ascii="Times New Roman" w:hAnsi="Times New Roman" w:cs="Times New Roman"/>
          <w:noProof/>
          <w:sz w:val="24"/>
          <w:szCs w:val="24"/>
        </w:rPr>
        <w:t>pp. 117–45.</w:t>
      </w:r>
    </w:p>
    <w:p w14:paraId="3D61ECA2" w14:textId="77A0EB6C"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Verkerk, M. A., de Bree, M. J</w:t>
      </w:r>
      <w:r w:rsidR="00A111A4">
        <w:rPr>
          <w:rFonts w:ascii="Times New Roman" w:hAnsi="Times New Roman" w:cs="Times New Roman"/>
          <w:noProof/>
          <w:sz w:val="24"/>
          <w:szCs w:val="24"/>
        </w:rPr>
        <w:t xml:space="preserve">. and Mourits, M. J. E. (2007). </w:t>
      </w:r>
      <w:r w:rsidRPr="00BE3B6C">
        <w:rPr>
          <w:rFonts w:ascii="Times New Roman" w:hAnsi="Times New Roman" w:cs="Times New Roman"/>
          <w:noProof/>
          <w:sz w:val="24"/>
          <w:szCs w:val="24"/>
        </w:rPr>
        <w:t>Reflective professionalism: Interpret</w:t>
      </w:r>
      <w:r w:rsidR="00A4438E">
        <w:rPr>
          <w:rFonts w:ascii="Times New Roman" w:hAnsi="Times New Roman" w:cs="Times New Roman"/>
          <w:noProof/>
          <w:sz w:val="24"/>
          <w:szCs w:val="24"/>
        </w:rPr>
        <w:t xml:space="preserve">ing CanMEDS’ “professionalism”. </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Journal of Medical Ethics</w:t>
      </w:r>
      <w:r w:rsidR="00A4438E">
        <w:rPr>
          <w:rFonts w:ascii="Times New Roman" w:hAnsi="Times New Roman" w:cs="Times New Roman"/>
          <w:noProof/>
          <w:sz w:val="24"/>
          <w:szCs w:val="24"/>
        </w:rPr>
        <w:t xml:space="preserve">. </w:t>
      </w:r>
      <w:r w:rsidR="00A4438E" w:rsidRPr="00A4438E">
        <w:rPr>
          <w:rFonts w:ascii="Times New Roman" w:hAnsi="Times New Roman" w:cs="Times New Roman"/>
          <w:b/>
          <w:noProof/>
          <w:sz w:val="24"/>
          <w:szCs w:val="24"/>
        </w:rPr>
        <w:t>33</w:t>
      </w:r>
      <w:r w:rsidR="00A4438E">
        <w:rPr>
          <w:rFonts w:ascii="Times New Roman" w:hAnsi="Times New Roman" w:cs="Times New Roman"/>
          <w:noProof/>
          <w:sz w:val="24"/>
          <w:szCs w:val="24"/>
        </w:rPr>
        <w:t xml:space="preserve">(11), </w:t>
      </w:r>
      <w:r w:rsidRPr="00BE3B6C">
        <w:rPr>
          <w:rFonts w:ascii="Times New Roman" w:hAnsi="Times New Roman" w:cs="Times New Roman"/>
          <w:noProof/>
          <w:sz w:val="24"/>
          <w:szCs w:val="24"/>
        </w:rPr>
        <w:t xml:space="preserve">663–666. </w:t>
      </w:r>
    </w:p>
    <w:p w14:paraId="70BFE24F" w14:textId="1365FD28"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de Villiers, M. R., de Villiers, P</w:t>
      </w:r>
      <w:r w:rsidR="00A4438E">
        <w:rPr>
          <w:rFonts w:ascii="Times New Roman" w:hAnsi="Times New Roman" w:cs="Times New Roman"/>
          <w:noProof/>
          <w:sz w:val="24"/>
          <w:szCs w:val="24"/>
        </w:rPr>
        <w:t xml:space="preserve">. J. T. and Kent, A. P. (2005). </w:t>
      </w:r>
      <w:r w:rsidRPr="00BE3B6C">
        <w:rPr>
          <w:rFonts w:ascii="Times New Roman" w:hAnsi="Times New Roman" w:cs="Times New Roman"/>
          <w:noProof/>
          <w:sz w:val="24"/>
          <w:szCs w:val="24"/>
        </w:rPr>
        <w:t>The Delphi technique in healt</w:t>
      </w:r>
      <w:r w:rsidR="00A4438E">
        <w:rPr>
          <w:rFonts w:ascii="Times New Roman" w:hAnsi="Times New Roman" w:cs="Times New Roman"/>
          <w:noProof/>
          <w:sz w:val="24"/>
          <w:szCs w:val="24"/>
        </w:rPr>
        <w:t xml:space="preserve">h sciences education research. </w:t>
      </w:r>
      <w:r w:rsidRPr="00BE3B6C">
        <w:rPr>
          <w:rFonts w:ascii="Times New Roman" w:hAnsi="Times New Roman" w:cs="Times New Roman"/>
          <w:i/>
          <w:iCs/>
          <w:noProof/>
          <w:sz w:val="24"/>
          <w:szCs w:val="24"/>
        </w:rPr>
        <w:t>Medical Teacher</w:t>
      </w:r>
      <w:r w:rsidR="00A4438E">
        <w:rPr>
          <w:rFonts w:ascii="Times New Roman" w:hAnsi="Times New Roman" w:cs="Times New Roman"/>
          <w:noProof/>
          <w:sz w:val="24"/>
          <w:szCs w:val="24"/>
        </w:rPr>
        <w:t xml:space="preserve">. </w:t>
      </w:r>
      <w:r w:rsidR="00A4438E" w:rsidRPr="00A4438E">
        <w:rPr>
          <w:rFonts w:ascii="Times New Roman" w:hAnsi="Times New Roman" w:cs="Times New Roman"/>
          <w:b/>
          <w:noProof/>
          <w:sz w:val="24"/>
          <w:szCs w:val="24"/>
        </w:rPr>
        <w:t>27</w:t>
      </w:r>
      <w:r w:rsidR="00A4438E">
        <w:rPr>
          <w:rFonts w:ascii="Times New Roman" w:hAnsi="Times New Roman" w:cs="Times New Roman"/>
          <w:noProof/>
          <w:sz w:val="24"/>
          <w:szCs w:val="24"/>
        </w:rPr>
        <w:t xml:space="preserve">(7), </w:t>
      </w:r>
      <w:r w:rsidRPr="00BE3B6C">
        <w:rPr>
          <w:rFonts w:ascii="Times New Roman" w:hAnsi="Times New Roman" w:cs="Times New Roman"/>
          <w:noProof/>
          <w:sz w:val="24"/>
          <w:szCs w:val="24"/>
        </w:rPr>
        <w:t>639–643.</w:t>
      </w:r>
    </w:p>
    <w:p w14:paraId="0C59DA47" w14:textId="53301DA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Vitek, C. R. </w:t>
      </w:r>
      <w:r w:rsidRPr="00BE3B6C">
        <w:rPr>
          <w:rFonts w:ascii="Times New Roman" w:hAnsi="Times New Roman" w:cs="Times New Roman"/>
          <w:i/>
          <w:iCs/>
          <w:noProof/>
          <w:sz w:val="24"/>
          <w:szCs w:val="24"/>
        </w:rPr>
        <w:t>et al.</w:t>
      </w:r>
      <w:r w:rsidR="00A4438E">
        <w:rPr>
          <w:rFonts w:ascii="Times New Roman" w:hAnsi="Times New Roman" w:cs="Times New Roman"/>
          <w:noProof/>
          <w:sz w:val="24"/>
          <w:szCs w:val="24"/>
        </w:rPr>
        <w:t xml:space="preserve"> (2014). </w:t>
      </w:r>
      <w:r w:rsidRPr="00BE3B6C">
        <w:rPr>
          <w:rFonts w:ascii="Times New Roman" w:hAnsi="Times New Roman" w:cs="Times New Roman"/>
          <w:noProof/>
          <w:sz w:val="24"/>
          <w:szCs w:val="24"/>
        </w:rPr>
        <w:t>Development and initial validation of a project-based rubric to assess the systems-based practice competency of residents in the clinical chemistry rotat</w:t>
      </w:r>
      <w:r w:rsidR="00A4438E">
        <w:rPr>
          <w:rFonts w:ascii="Times New Roman" w:hAnsi="Times New Roman" w:cs="Times New Roman"/>
          <w:noProof/>
          <w:sz w:val="24"/>
          <w:szCs w:val="24"/>
        </w:rPr>
        <w:t xml:space="preserve">ion of a pathology residency. </w:t>
      </w:r>
      <w:r w:rsidRPr="00BE3B6C">
        <w:rPr>
          <w:rFonts w:ascii="Times New Roman" w:hAnsi="Times New Roman" w:cs="Times New Roman"/>
          <w:i/>
          <w:iCs/>
          <w:noProof/>
          <w:sz w:val="24"/>
          <w:szCs w:val="24"/>
        </w:rPr>
        <w:t>Archives of pathology &amp; laboratory medicine</w:t>
      </w:r>
      <w:r w:rsidR="00A4438E">
        <w:rPr>
          <w:rFonts w:ascii="Times New Roman" w:hAnsi="Times New Roman" w:cs="Times New Roman"/>
          <w:noProof/>
          <w:sz w:val="24"/>
          <w:szCs w:val="24"/>
        </w:rPr>
        <w:t xml:space="preserve">. </w:t>
      </w:r>
      <w:r w:rsidR="00A4438E" w:rsidRPr="00A4438E">
        <w:rPr>
          <w:rFonts w:ascii="Times New Roman" w:hAnsi="Times New Roman" w:cs="Times New Roman"/>
          <w:b/>
          <w:noProof/>
          <w:sz w:val="24"/>
          <w:szCs w:val="24"/>
        </w:rPr>
        <w:t>138</w:t>
      </w:r>
      <w:r w:rsidR="00A4438E">
        <w:rPr>
          <w:rFonts w:ascii="Times New Roman" w:hAnsi="Times New Roman" w:cs="Times New Roman"/>
          <w:noProof/>
          <w:sz w:val="24"/>
          <w:szCs w:val="24"/>
        </w:rPr>
        <w:t>(6), 809-8</w:t>
      </w:r>
      <w:r w:rsidRPr="00BE3B6C">
        <w:rPr>
          <w:rFonts w:ascii="Times New Roman" w:hAnsi="Times New Roman" w:cs="Times New Roman"/>
          <w:noProof/>
          <w:sz w:val="24"/>
          <w:szCs w:val="24"/>
        </w:rPr>
        <w:t>13</w:t>
      </w:r>
      <w:r w:rsidR="00A4438E">
        <w:rPr>
          <w:rFonts w:ascii="Times New Roman" w:hAnsi="Times New Roman" w:cs="Times New Roman"/>
          <w:noProof/>
          <w:sz w:val="24"/>
          <w:szCs w:val="24"/>
        </w:rPr>
        <w:t>.</w:t>
      </w:r>
    </w:p>
    <w:p w14:paraId="6E1786B8" w14:textId="4A7E5916" w:rsidR="00BE3B6C" w:rsidRPr="00BE3B6C" w:rsidRDefault="007B031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van d</w:t>
      </w:r>
      <w:r w:rsidR="00236A89">
        <w:rPr>
          <w:rFonts w:ascii="Times New Roman" w:hAnsi="Times New Roman" w:cs="Times New Roman"/>
          <w:noProof/>
          <w:sz w:val="24"/>
          <w:szCs w:val="24"/>
        </w:rPr>
        <w:t xml:space="preserve">er Vleuten, C. P. M. (1996). </w:t>
      </w:r>
      <w:r w:rsidR="00BE3B6C" w:rsidRPr="00BE3B6C">
        <w:rPr>
          <w:rFonts w:ascii="Times New Roman" w:hAnsi="Times New Roman" w:cs="Times New Roman"/>
          <w:noProof/>
          <w:sz w:val="24"/>
          <w:szCs w:val="24"/>
        </w:rPr>
        <w:t>The assessment of professional competence: Developments, resear</w:t>
      </w:r>
      <w:r w:rsidR="00236A89">
        <w:rPr>
          <w:rFonts w:ascii="Times New Roman" w:hAnsi="Times New Roman" w:cs="Times New Roman"/>
          <w:noProof/>
          <w:sz w:val="24"/>
          <w:szCs w:val="24"/>
        </w:rPr>
        <w:t xml:space="preserve">ch and practical implications. </w:t>
      </w:r>
      <w:r w:rsidR="00BE3B6C" w:rsidRPr="00BE3B6C">
        <w:rPr>
          <w:rFonts w:ascii="Times New Roman" w:hAnsi="Times New Roman" w:cs="Times New Roman"/>
          <w:i/>
          <w:iCs/>
          <w:noProof/>
          <w:sz w:val="24"/>
          <w:szCs w:val="24"/>
        </w:rPr>
        <w:t>Advances in Health Sciences Education</w:t>
      </w:r>
      <w:r w:rsidR="00236A89">
        <w:rPr>
          <w:rFonts w:ascii="Times New Roman" w:hAnsi="Times New Roman" w:cs="Times New Roman"/>
          <w:noProof/>
          <w:sz w:val="24"/>
          <w:szCs w:val="24"/>
        </w:rPr>
        <w:t xml:space="preserve">. </w:t>
      </w:r>
      <w:r w:rsidR="00236A89" w:rsidRPr="00236A89">
        <w:rPr>
          <w:rFonts w:ascii="Times New Roman" w:hAnsi="Times New Roman" w:cs="Times New Roman"/>
          <w:b/>
          <w:noProof/>
          <w:sz w:val="24"/>
          <w:szCs w:val="24"/>
        </w:rPr>
        <w:t>1</w:t>
      </w:r>
      <w:r w:rsidR="00236A89">
        <w:rPr>
          <w:rFonts w:ascii="Times New Roman" w:hAnsi="Times New Roman" w:cs="Times New Roman"/>
          <w:noProof/>
          <w:sz w:val="24"/>
          <w:szCs w:val="24"/>
        </w:rPr>
        <w:t xml:space="preserve">(1), </w:t>
      </w:r>
      <w:r w:rsidR="00BE3B6C" w:rsidRPr="00BE3B6C">
        <w:rPr>
          <w:rFonts w:ascii="Times New Roman" w:hAnsi="Times New Roman" w:cs="Times New Roman"/>
          <w:noProof/>
          <w:sz w:val="24"/>
          <w:szCs w:val="24"/>
        </w:rPr>
        <w:t xml:space="preserve">41–67. </w:t>
      </w:r>
    </w:p>
    <w:p w14:paraId="17983223" w14:textId="7E7AC692" w:rsidR="00BE3B6C" w:rsidRPr="00BE3B6C" w:rsidRDefault="007B031A"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van d</w:t>
      </w:r>
      <w:r w:rsidR="00BE3B6C" w:rsidRPr="00BE3B6C">
        <w:rPr>
          <w:rFonts w:ascii="Times New Roman" w:hAnsi="Times New Roman" w:cs="Times New Roman"/>
          <w:noProof/>
          <w:sz w:val="24"/>
          <w:szCs w:val="24"/>
        </w:rPr>
        <w:t xml:space="preserve">er Vleuten, C. P. M. </w:t>
      </w:r>
      <w:r w:rsidR="00236A89">
        <w:rPr>
          <w:rFonts w:ascii="Times New Roman" w:hAnsi="Times New Roman" w:cs="Times New Roman"/>
          <w:noProof/>
          <w:sz w:val="24"/>
          <w:szCs w:val="24"/>
        </w:rPr>
        <w:t xml:space="preserve">and Schuwirth, L. W. T. (2005). </w:t>
      </w:r>
      <w:r w:rsidR="00BE3B6C" w:rsidRPr="00BE3B6C">
        <w:rPr>
          <w:rFonts w:ascii="Times New Roman" w:hAnsi="Times New Roman" w:cs="Times New Roman"/>
          <w:noProof/>
          <w:sz w:val="24"/>
          <w:szCs w:val="24"/>
        </w:rPr>
        <w:t>Assessing professional competenc</w:t>
      </w:r>
      <w:r w:rsidR="00236A89">
        <w:rPr>
          <w:rFonts w:ascii="Times New Roman" w:hAnsi="Times New Roman" w:cs="Times New Roman"/>
          <w:noProof/>
          <w:sz w:val="24"/>
          <w:szCs w:val="24"/>
        </w:rPr>
        <w:t xml:space="preserve">e: From methods to programmes. </w:t>
      </w:r>
      <w:r w:rsidR="00BE3B6C" w:rsidRPr="00BE3B6C">
        <w:rPr>
          <w:rFonts w:ascii="Times New Roman" w:hAnsi="Times New Roman" w:cs="Times New Roman"/>
          <w:i/>
          <w:iCs/>
          <w:noProof/>
          <w:sz w:val="24"/>
          <w:szCs w:val="24"/>
        </w:rPr>
        <w:t>Medical Education</w:t>
      </w:r>
      <w:r w:rsidR="00236A89">
        <w:rPr>
          <w:rFonts w:ascii="Times New Roman" w:hAnsi="Times New Roman" w:cs="Times New Roman"/>
          <w:noProof/>
          <w:sz w:val="24"/>
          <w:szCs w:val="24"/>
        </w:rPr>
        <w:t xml:space="preserve">. </w:t>
      </w:r>
      <w:r w:rsidR="00236A89" w:rsidRPr="00236A89">
        <w:rPr>
          <w:rFonts w:ascii="Times New Roman" w:hAnsi="Times New Roman" w:cs="Times New Roman"/>
          <w:b/>
          <w:noProof/>
          <w:sz w:val="24"/>
          <w:szCs w:val="24"/>
        </w:rPr>
        <w:t>39</w:t>
      </w:r>
      <w:r w:rsidR="00236A89">
        <w:rPr>
          <w:rFonts w:ascii="Times New Roman" w:hAnsi="Times New Roman" w:cs="Times New Roman"/>
          <w:noProof/>
          <w:sz w:val="24"/>
          <w:szCs w:val="24"/>
        </w:rPr>
        <w:t xml:space="preserve">(3), 309–317. </w:t>
      </w:r>
    </w:p>
    <w:p w14:paraId="44C834C4" w14:textId="71D7649D"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Wakeling, J. </w:t>
      </w:r>
      <w:r w:rsidRPr="00BE3B6C">
        <w:rPr>
          <w:rFonts w:ascii="Times New Roman" w:hAnsi="Times New Roman" w:cs="Times New Roman"/>
          <w:i/>
          <w:iCs/>
          <w:noProof/>
          <w:sz w:val="24"/>
          <w:szCs w:val="24"/>
        </w:rPr>
        <w:t>et al.</w:t>
      </w:r>
      <w:r w:rsidR="00236A89">
        <w:rPr>
          <w:rFonts w:ascii="Times New Roman" w:hAnsi="Times New Roman" w:cs="Times New Roman"/>
          <w:noProof/>
          <w:sz w:val="24"/>
          <w:szCs w:val="24"/>
        </w:rPr>
        <w:t xml:space="preserve"> (2011). </w:t>
      </w:r>
      <w:r w:rsidRPr="00BE3B6C">
        <w:rPr>
          <w:rFonts w:ascii="Times New Roman" w:hAnsi="Times New Roman" w:cs="Times New Roman"/>
          <w:noProof/>
          <w:sz w:val="24"/>
          <w:szCs w:val="24"/>
        </w:rPr>
        <w:t>Is foundation trainin</w:t>
      </w:r>
      <w:r w:rsidR="00236A89">
        <w:rPr>
          <w:rFonts w:ascii="Times New Roman" w:hAnsi="Times New Roman" w:cs="Times New Roman"/>
          <w:noProof/>
          <w:sz w:val="24"/>
          <w:szCs w:val="24"/>
        </w:rPr>
        <w:t>g producing competent doctors? W</w:t>
      </w:r>
      <w:r w:rsidRPr="00BE3B6C">
        <w:rPr>
          <w:rFonts w:ascii="Times New Roman" w:hAnsi="Times New Roman" w:cs="Times New Roman"/>
          <w:noProof/>
          <w:sz w:val="24"/>
          <w:szCs w:val="24"/>
        </w:rPr>
        <w:t>hat do foundation trainees, educational supervisors and n</w:t>
      </w:r>
      <w:r w:rsidR="00236A89">
        <w:rPr>
          <w:rFonts w:ascii="Times New Roman" w:hAnsi="Times New Roman" w:cs="Times New Roman"/>
          <w:noProof/>
          <w:sz w:val="24"/>
          <w:szCs w:val="24"/>
        </w:rPr>
        <w:t>urses in scotland have to say?</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Scottish Medical Journal</w:t>
      </w:r>
      <w:r w:rsidR="00236A89">
        <w:rPr>
          <w:rFonts w:ascii="Times New Roman" w:hAnsi="Times New Roman" w:cs="Times New Roman"/>
          <w:noProof/>
          <w:sz w:val="24"/>
          <w:szCs w:val="24"/>
        </w:rPr>
        <w:t xml:space="preserve">. </w:t>
      </w:r>
      <w:r w:rsidR="00236A89" w:rsidRPr="00236A89">
        <w:rPr>
          <w:rFonts w:ascii="Times New Roman" w:hAnsi="Times New Roman" w:cs="Times New Roman"/>
          <w:b/>
          <w:noProof/>
          <w:sz w:val="24"/>
          <w:szCs w:val="24"/>
        </w:rPr>
        <w:t>56(</w:t>
      </w:r>
      <w:r w:rsidR="00236A89">
        <w:rPr>
          <w:rFonts w:ascii="Times New Roman" w:hAnsi="Times New Roman" w:cs="Times New Roman"/>
          <w:noProof/>
          <w:sz w:val="24"/>
          <w:szCs w:val="24"/>
        </w:rPr>
        <w:t xml:space="preserve">2), 87–93. </w:t>
      </w:r>
    </w:p>
    <w:p w14:paraId="4F9D2B0E" w14:textId="6934986C" w:rsidR="00BE3B6C" w:rsidRPr="00BE3B6C" w:rsidRDefault="0098467E"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Walsh, A. (2007). </w:t>
      </w:r>
      <w:r w:rsidR="00BE3B6C" w:rsidRPr="00BE3B6C">
        <w:rPr>
          <w:rFonts w:ascii="Times New Roman" w:hAnsi="Times New Roman" w:cs="Times New Roman"/>
          <w:noProof/>
          <w:sz w:val="24"/>
          <w:szCs w:val="24"/>
        </w:rPr>
        <w:t>An exploration of Biggs’ constructive alignment in the c</w:t>
      </w:r>
      <w:r>
        <w:rPr>
          <w:rFonts w:ascii="Times New Roman" w:hAnsi="Times New Roman" w:cs="Times New Roman"/>
          <w:noProof/>
          <w:sz w:val="24"/>
          <w:szCs w:val="24"/>
        </w:rPr>
        <w:t xml:space="preserve">ontext of </w:t>
      </w:r>
      <w:r>
        <w:rPr>
          <w:rFonts w:ascii="Times New Roman" w:hAnsi="Times New Roman" w:cs="Times New Roman"/>
          <w:noProof/>
          <w:sz w:val="24"/>
          <w:szCs w:val="24"/>
        </w:rPr>
        <w:lastRenderedPageBreak/>
        <w:t xml:space="preserve">work‐based learning. </w:t>
      </w:r>
      <w:r w:rsidR="00BE3B6C" w:rsidRPr="00BE3B6C">
        <w:rPr>
          <w:rFonts w:ascii="Times New Roman" w:hAnsi="Times New Roman" w:cs="Times New Roman"/>
          <w:i/>
          <w:iCs/>
          <w:noProof/>
          <w:sz w:val="24"/>
          <w:szCs w:val="24"/>
        </w:rPr>
        <w:t>Assessment &amp; Evaluation in Higher Education</w:t>
      </w:r>
      <w:r>
        <w:rPr>
          <w:rFonts w:ascii="Times New Roman" w:hAnsi="Times New Roman" w:cs="Times New Roman"/>
          <w:noProof/>
          <w:sz w:val="24"/>
          <w:szCs w:val="24"/>
        </w:rPr>
        <w:t xml:space="preserve">. </w:t>
      </w:r>
      <w:r w:rsidRPr="0098467E">
        <w:rPr>
          <w:rFonts w:ascii="Times New Roman" w:hAnsi="Times New Roman" w:cs="Times New Roman"/>
          <w:b/>
          <w:noProof/>
          <w:sz w:val="24"/>
          <w:szCs w:val="24"/>
        </w:rPr>
        <w:t>32</w:t>
      </w:r>
      <w:r>
        <w:rPr>
          <w:rFonts w:ascii="Times New Roman" w:hAnsi="Times New Roman" w:cs="Times New Roman"/>
          <w:noProof/>
          <w:sz w:val="24"/>
          <w:szCs w:val="24"/>
        </w:rPr>
        <w:t xml:space="preserve">(1), 79–87. </w:t>
      </w:r>
    </w:p>
    <w:p w14:paraId="5B89887C" w14:textId="0012140B"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Wass, V. </w:t>
      </w:r>
      <w:r w:rsidRPr="00BE3B6C">
        <w:rPr>
          <w:rFonts w:ascii="Times New Roman" w:hAnsi="Times New Roman" w:cs="Times New Roman"/>
          <w:i/>
          <w:iCs/>
          <w:noProof/>
          <w:sz w:val="24"/>
          <w:szCs w:val="24"/>
        </w:rPr>
        <w:t>et al.</w:t>
      </w:r>
      <w:r w:rsidR="0098467E">
        <w:rPr>
          <w:rFonts w:ascii="Times New Roman" w:hAnsi="Times New Roman" w:cs="Times New Roman"/>
          <w:noProof/>
          <w:sz w:val="24"/>
          <w:szCs w:val="24"/>
        </w:rPr>
        <w:t xml:space="preserve"> (2001). </w:t>
      </w:r>
      <w:r w:rsidRPr="00BE3B6C">
        <w:rPr>
          <w:rFonts w:ascii="Times New Roman" w:hAnsi="Times New Roman" w:cs="Times New Roman"/>
          <w:noProof/>
          <w:sz w:val="24"/>
          <w:szCs w:val="24"/>
        </w:rPr>
        <w:t>Asses</w:t>
      </w:r>
      <w:r w:rsidR="0098467E">
        <w:rPr>
          <w:rFonts w:ascii="Times New Roman" w:hAnsi="Times New Roman" w:cs="Times New Roman"/>
          <w:noProof/>
          <w:sz w:val="24"/>
          <w:szCs w:val="24"/>
        </w:rPr>
        <w:t xml:space="preserve">sment of clinical competence. </w:t>
      </w:r>
      <w:r w:rsidRPr="00BE3B6C">
        <w:rPr>
          <w:rFonts w:ascii="Times New Roman" w:hAnsi="Times New Roman" w:cs="Times New Roman"/>
          <w:i/>
          <w:iCs/>
          <w:noProof/>
          <w:sz w:val="24"/>
          <w:szCs w:val="24"/>
        </w:rPr>
        <w:t>Lancet</w:t>
      </w:r>
      <w:r w:rsidR="0098467E">
        <w:rPr>
          <w:rFonts w:ascii="Times New Roman" w:hAnsi="Times New Roman" w:cs="Times New Roman"/>
          <w:noProof/>
          <w:sz w:val="24"/>
          <w:szCs w:val="24"/>
        </w:rPr>
        <w:t xml:space="preserve">. </w:t>
      </w:r>
      <w:r w:rsidR="0098467E" w:rsidRPr="0098467E">
        <w:rPr>
          <w:rFonts w:ascii="Times New Roman" w:hAnsi="Times New Roman" w:cs="Times New Roman"/>
          <w:b/>
          <w:noProof/>
          <w:sz w:val="24"/>
          <w:szCs w:val="24"/>
        </w:rPr>
        <w:t>357</w:t>
      </w:r>
      <w:r w:rsidR="0098467E">
        <w:rPr>
          <w:rFonts w:ascii="Times New Roman" w:hAnsi="Times New Roman" w:cs="Times New Roman"/>
          <w:noProof/>
          <w:sz w:val="24"/>
          <w:szCs w:val="24"/>
        </w:rPr>
        <w:t xml:space="preserve">(9260), 945–9. </w:t>
      </w:r>
    </w:p>
    <w:p w14:paraId="4645D311" w14:textId="2EA46C1E"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Wigton, R. S., Hoellerich,</w:t>
      </w:r>
      <w:r w:rsidR="0098467E">
        <w:rPr>
          <w:rFonts w:ascii="Times New Roman" w:hAnsi="Times New Roman" w:cs="Times New Roman"/>
          <w:noProof/>
          <w:sz w:val="24"/>
          <w:szCs w:val="24"/>
        </w:rPr>
        <w:t xml:space="preserve"> V. L. and Patil, K. D. (1986). </w:t>
      </w:r>
      <w:r w:rsidRPr="00BE3B6C">
        <w:rPr>
          <w:rFonts w:ascii="Times New Roman" w:hAnsi="Times New Roman" w:cs="Times New Roman"/>
          <w:noProof/>
          <w:sz w:val="24"/>
          <w:szCs w:val="24"/>
        </w:rPr>
        <w:t>How Physicians Use Clinical Information in Diagnosing Pulmonary Embolism: An Ap</w:t>
      </w:r>
      <w:r w:rsidR="0098467E">
        <w:rPr>
          <w:rFonts w:ascii="Times New Roman" w:hAnsi="Times New Roman" w:cs="Times New Roman"/>
          <w:noProof/>
          <w:sz w:val="24"/>
          <w:szCs w:val="24"/>
        </w:rPr>
        <w:t>plication of Conjoint Analysis.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Medical Decision Making</w:t>
      </w:r>
      <w:r w:rsidR="0098467E">
        <w:rPr>
          <w:rFonts w:ascii="Times New Roman" w:hAnsi="Times New Roman" w:cs="Times New Roman"/>
          <w:noProof/>
          <w:sz w:val="24"/>
          <w:szCs w:val="24"/>
        </w:rPr>
        <w:t xml:space="preserve">. </w:t>
      </w:r>
      <w:r w:rsidR="0098467E" w:rsidRPr="0098467E">
        <w:rPr>
          <w:rFonts w:ascii="Times New Roman" w:hAnsi="Times New Roman" w:cs="Times New Roman"/>
          <w:b/>
          <w:noProof/>
          <w:sz w:val="24"/>
          <w:szCs w:val="24"/>
        </w:rPr>
        <w:t>6</w:t>
      </w:r>
      <w:r w:rsidR="0098467E">
        <w:rPr>
          <w:rFonts w:ascii="Times New Roman" w:hAnsi="Times New Roman" w:cs="Times New Roman"/>
          <w:noProof/>
          <w:sz w:val="24"/>
          <w:szCs w:val="24"/>
        </w:rPr>
        <w:t xml:space="preserve">(1), </w:t>
      </w:r>
      <w:r w:rsidRPr="00BE3B6C">
        <w:rPr>
          <w:rFonts w:ascii="Times New Roman" w:hAnsi="Times New Roman" w:cs="Times New Roman"/>
          <w:noProof/>
          <w:sz w:val="24"/>
          <w:szCs w:val="24"/>
        </w:rPr>
        <w:t xml:space="preserve">2–11. </w:t>
      </w:r>
    </w:p>
    <w:p w14:paraId="7FBEFABB" w14:textId="0821E7CB"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Wilkinson, J. R. </w:t>
      </w:r>
      <w:r w:rsidRPr="00BE3B6C">
        <w:rPr>
          <w:rFonts w:ascii="Times New Roman" w:hAnsi="Times New Roman" w:cs="Times New Roman"/>
          <w:i/>
          <w:iCs/>
          <w:noProof/>
          <w:sz w:val="24"/>
          <w:szCs w:val="24"/>
        </w:rPr>
        <w:t>et al.</w:t>
      </w:r>
      <w:r w:rsidR="00DE3719">
        <w:rPr>
          <w:rFonts w:ascii="Times New Roman" w:hAnsi="Times New Roman" w:cs="Times New Roman"/>
          <w:noProof/>
          <w:sz w:val="24"/>
          <w:szCs w:val="24"/>
        </w:rPr>
        <w:t xml:space="preserve"> (2008). </w:t>
      </w:r>
      <w:r w:rsidRPr="00BE3B6C">
        <w:rPr>
          <w:rFonts w:ascii="Times New Roman" w:hAnsi="Times New Roman" w:cs="Times New Roman"/>
          <w:noProof/>
          <w:sz w:val="24"/>
          <w:szCs w:val="24"/>
        </w:rPr>
        <w:t>Implementing workplace-based assessment across the medical speci</w:t>
      </w:r>
      <w:r w:rsidR="00DE3719">
        <w:rPr>
          <w:rFonts w:ascii="Times New Roman" w:hAnsi="Times New Roman" w:cs="Times New Roman"/>
          <w:noProof/>
          <w:sz w:val="24"/>
          <w:szCs w:val="24"/>
        </w:rPr>
        <w:t xml:space="preserve">alties in the United Kingdom. </w:t>
      </w:r>
      <w:r w:rsidRPr="00BE3B6C">
        <w:rPr>
          <w:rFonts w:ascii="Times New Roman" w:hAnsi="Times New Roman" w:cs="Times New Roman"/>
          <w:i/>
          <w:iCs/>
          <w:noProof/>
          <w:sz w:val="24"/>
          <w:szCs w:val="24"/>
        </w:rPr>
        <w:t>Medical education</w:t>
      </w:r>
      <w:r w:rsidR="00DE3719">
        <w:rPr>
          <w:rFonts w:ascii="Times New Roman" w:hAnsi="Times New Roman" w:cs="Times New Roman"/>
          <w:noProof/>
          <w:sz w:val="24"/>
          <w:szCs w:val="24"/>
        </w:rPr>
        <w:t xml:space="preserve">. </w:t>
      </w:r>
      <w:r w:rsidR="00DE3719" w:rsidRPr="00DE3719">
        <w:rPr>
          <w:rFonts w:ascii="Times New Roman" w:hAnsi="Times New Roman" w:cs="Times New Roman"/>
          <w:b/>
          <w:noProof/>
          <w:sz w:val="24"/>
          <w:szCs w:val="24"/>
        </w:rPr>
        <w:t>42</w:t>
      </w:r>
      <w:r w:rsidR="00DE3719">
        <w:rPr>
          <w:rFonts w:ascii="Times New Roman" w:hAnsi="Times New Roman" w:cs="Times New Roman"/>
          <w:noProof/>
          <w:sz w:val="24"/>
          <w:szCs w:val="24"/>
        </w:rPr>
        <w:t xml:space="preserve">(4), 364–73. </w:t>
      </w:r>
    </w:p>
    <w:p w14:paraId="5CA5C3AE" w14:textId="7CD67D33" w:rsidR="00BE3B6C" w:rsidRPr="00BE3B6C" w:rsidRDefault="00DE371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Winter, G. (2000). </w:t>
      </w:r>
      <w:r w:rsidR="00BE3B6C" w:rsidRPr="00BE3B6C">
        <w:rPr>
          <w:rFonts w:ascii="Times New Roman" w:hAnsi="Times New Roman" w:cs="Times New Roman"/>
          <w:noProof/>
          <w:sz w:val="24"/>
          <w:szCs w:val="24"/>
        </w:rPr>
        <w:t>A comparative discussions of the Notion of “validity” in Qualitat</w:t>
      </w:r>
      <w:r>
        <w:rPr>
          <w:rFonts w:ascii="Times New Roman" w:hAnsi="Times New Roman" w:cs="Times New Roman"/>
          <w:noProof/>
          <w:sz w:val="24"/>
          <w:szCs w:val="24"/>
        </w:rPr>
        <w:t xml:space="preserve">ive and Quantitative Research. </w:t>
      </w:r>
      <w:r w:rsidR="00BE3B6C" w:rsidRPr="00BE3B6C">
        <w:rPr>
          <w:rFonts w:ascii="Times New Roman" w:hAnsi="Times New Roman" w:cs="Times New Roman"/>
          <w:i/>
          <w:iCs/>
          <w:noProof/>
          <w:sz w:val="24"/>
          <w:szCs w:val="24"/>
        </w:rPr>
        <w:t>The Qualitative Report</w:t>
      </w:r>
      <w:r>
        <w:rPr>
          <w:rFonts w:ascii="Times New Roman" w:hAnsi="Times New Roman" w:cs="Times New Roman"/>
          <w:noProof/>
          <w:sz w:val="24"/>
          <w:szCs w:val="24"/>
        </w:rPr>
        <w:t xml:space="preserve">. </w:t>
      </w:r>
      <w:r w:rsidRPr="00DE3719">
        <w:rPr>
          <w:rFonts w:ascii="Times New Roman" w:hAnsi="Times New Roman" w:cs="Times New Roman"/>
          <w:b/>
          <w:noProof/>
          <w:sz w:val="24"/>
          <w:szCs w:val="24"/>
        </w:rPr>
        <w:t>4(</w:t>
      </w:r>
      <w:r>
        <w:rPr>
          <w:rFonts w:ascii="Times New Roman" w:hAnsi="Times New Roman" w:cs="Times New Roman"/>
          <w:noProof/>
          <w:sz w:val="24"/>
          <w:szCs w:val="24"/>
        </w:rPr>
        <w:t>3), 1–14.</w:t>
      </w:r>
    </w:p>
    <w:p w14:paraId="5E50CBD7" w14:textId="641EA474"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de Winter,</w:t>
      </w:r>
      <w:r w:rsidR="00DE3719">
        <w:rPr>
          <w:rFonts w:ascii="Times New Roman" w:hAnsi="Times New Roman" w:cs="Times New Roman"/>
          <w:noProof/>
          <w:sz w:val="24"/>
          <w:szCs w:val="24"/>
        </w:rPr>
        <w:t xml:space="preserve"> J. C. F. and Dodou, D. (2010). Five-Point Likert Items</w:t>
      </w:r>
      <w:r w:rsidRPr="00BE3B6C">
        <w:rPr>
          <w:rFonts w:ascii="Times New Roman" w:hAnsi="Times New Roman" w:cs="Times New Roman"/>
          <w:noProof/>
          <w:sz w:val="24"/>
          <w:szCs w:val="24"/>
        </w:rPr>
        <w:t>: t test versus</w:t>
      </w:r>
      <w:r w:rsidR="00DE3719">
        <w:rPr>
          <w:rFonts w:ascii="Times New Roman" w:hAnsi="Times New Roman" w:cs="Times New Roman"/>
          <w:noProof/>
          <w:sz w:val="24"/>
          <w:szCs w:val="24"/>
        </w:rPr>
        <w:t xml:space="preserve"> Mann-Whitney-Wilcoxon. </w:t>
      </w:r>
      <w:r w:rsidRPr="00BE3B6C">
        <w:rPr>
          <w:rFonts w:ascii="Times New Roman" w:hAnsi="Times New Roman" w:cs="Times New Roman"/>
          <w:i/>
          <w:iCs/>
          <w:noProof/>
          <w:sz w:val="24"/>
          <w:szCs w:val="24"/>
        </w:rPr>
        <w:t>Practical Assessment, Research &amp; Evaluation</w:t>
      </w:r>
      <w:r w:rsidR="00DE3719">
        <w:rPr>
          <w:rFonts w:ascii="Times New Roman" w:hAnsi="Times New Roman" w:cs="Times New Roman"/>
          <w:noProof/>
          <w:sz w:val="24"/>
          <w:szCs w:val="24"/>
        </w:rPr>
        <w:t xml:space="preserve">. </w:t>
      </w:r>
      <w:r w:rsidR="00DE3719" w:rsidRPr="00DE3719">
        <w:rPr>
          <w:rFonts w:ascii="Times New Roman" w:hAnsi="Times New Roman" w:cs="Times New Roman"/>
          <w:b/>
          <w:noProof/>
          <w:sz w:val="24"/>
          <w:szCs w:val="24"/>
        </w:rPr>
        <w:t>15</w:t>
      </w:r>
      <w:r w:rsidR="00DE3719">
        <w:rPr>
          <w:rFonts w:ascii="Times New Roman" w:hAnsi="Times New Roman" w:cs="Times New Roman"/>
          <w:noProof/>
          <w:sz w:val="24"/>
          <w:szCs w:val="24"/>
        </w:rPr>
        <w:t>(11), 1–16.</w:t>
      </w:r>
    </w:p>
    <w:p w14:paraId="5CA8EAF1" w14:textId="28739C34" w:rsidR="00BE3B6C" w:rsidRDefault="00DE3719" w:rsidP="00BE3B6C">
      <w:pPr>
        <w:widowControl w:val="0"/>
        <w:autoSpaceDE w:val="0"/>
        <w:autoSpaceDN w:val="0"/>
        <w:adjustRightInd w:val="0"/>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Wood, D. F. (2010). Formative Assessment. </w:t>
      </w:r>
      <w:r w:rsidR="00803ED2">
        <w:rPr>
          <w:rFonts w:ascii="Times New Roman" w:hAnsi="Times New Roman" w:cs="Times New Roman"/>
          <w:noProof/>
          <w:sz w:val="24"/>
          <w:szCs w:val="24"/>
        </w:rPr>
        <w:t>I</w:t>
      </w:r>
      <w:r w:rsidR="00803ED2" w:rsidRPr="00BE3B6C">
        <w:rPr>
          <w:rFonts w:ascii="Times New Roman" w:hAnsi="Times New Roman" w:cs="Times New Roman"/>
          <w:noProof/>
          <w:sz w:val="24"/>
          <w:szCs w:val="24"/>
        </w:rPr>
        <w:t>n</w:t>
      </w:r>
      <w:r w:rsidR="00803ED2">
        <w:rPr>
          <w:rFonts w:ascii="Times New Roman" w:hAnsi="Times New Roman" w:cs="Times New Roman"/>
          <w:noProof/>
          <w:sz w:val="24"/>
          <w:szCs w:val="24"/>
        </w:rPr>
        <w:t>: T. Swanwick, ed.</w:t>
      </w:r>
      <w:r w:rsidR="00803ED2" w:rsidRPr="00BE3B6C">
        <w:rPr>
          <w:rFonts w:ascii="Times New Roman" w:hAnsi="Times New Roman" w:cs="Times New Roman"/>
          <w:noProof/>
          <w:sz w:val="24"/>
          <w:szCs w:val="24"/>
        </w:rPr>
        <w:t xml:space="preserve"> </w:t>
      </w:r>
      <w:r w:rsidR="00803ED2" w:rsidRPr="00BE3B6C">
        <w:rPr>
          <w:rFonts w:ascii="Times New Roman" w:hAnsi="Times New Roman" w:cs="Times New Roman"/>
          <w:i/>
          <w:iCs/>
          <w:noProof/>
          <w:sz w:val="24"/>
          <w:szCs w:val="24"/>
        </w:rPr>
        <w:t>Understanding Medical Education: Evidence, Theory and Practice</w:t>
      </w:r>
      <w:r w:rsidR="00803ED2">
        <w:rPr>
          <w:rFonts w:ascii="Times New Roman" w:hAnsi="Times New Roman" w:cs="Times New Roman"/>
          <w:noProof/>
          <w:sz w:val="24"/>
          <w:szCs w:val="24"/>
        </w:rPr>
        <w:t xml:space="preserve">. Oxford, UK: Wiley-Blackwell. </w:t>
      </w:r>
      <w:r w:rsidR="00BE3B6C" w:rsidRPr="00BE3B6C">
        <w:rPr>
          <w:rFonts w:ascii="Times New Roman" w:hAnsi="Times New Roman" w:cs="Times New Roman"/>
          <w:noProof/>
          <w:sz w:val="24"/>
          <w:szCs w:val="24"/>
        </w:rPr>
        <w:t>pp. 259–270.</w:t>
      </w:r>
    </w:p>
    <w:p w14:paraId="574A18B5" w14:textId="3B6A7976" w:rsid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Wood, T</w:t>
      </w:r>
      <w:r w:rsidR="00803ED2">
        <w:rPr>
          <w:rFonts w:ascii="Times New Roman" w:hAnsi="Times New Roman" w:cs="Times New Roman"/>
          <w:noProof/>
          <w:sz w:val="24"/>
          <w:szCs w:val="24"/>
        </w:rPr>
        <w:t xml:space="preserve">. J. (2014). </w:t>
      </w:r>
      <w:r w:rsidRPr="00BE3B6C">
        <w:rPr>
          <w:rFonts w:ascii="Times New Roman" w:hAnsi="Times New Roman" w:cs="Times New Roman"/>
          <w:noProof/>
          <w:sz w:val="24"/>
          <w:szCs w:val="24"/>
        </w:rPr>
        <w:t>Exploring the role of first impressi</w:t>
      </w:r>
      <w:r w:rsidR="00803ED2">
        <w:rPr>
          <w:rFonts w:ascii="Times New Roman" w:hAnsi="Times New Roman" w:cs="Times New Roman"/>
          <w:noProof/>
          <w:sz w:val="24"/>
          <w:szCs w:val="24"/>
        </w:rPr>
        <w:t>ons in rater-based assessments.</w:t>
      </w:r>
      <w:r w:rsidRPr="00BE3B6C">
        <w:rPr>
          <w:rFonts w:ascii="Times New Roman" w:hAnsi="Times New Roman" w:cs="Times New Roman"/>
          <w:noProof/>
          <w:sz w:val="24"/>
          <w:szCs w:val="24"/>
        </w:rPr>
        <w:t xml:space="preserve"> </w:t>
      </w:r>
      <w:r w:rsidRPr="00BE3B6C">
        <w:rPr>
          <w:rFonts w:ascii="Times New Roman" w:hAnsi="Times New Roman" w:cs="Times New Roman"/>
          <w:i/>
          <w:iCs/>
          <w:noProof/>
          <w:sz w:val="24"/>
          <w:szCs w:val="24"/>
        </w:rPr>
        <w:t>Advances in Health Sciences Education</w:t>
      </w:r>
      <w:r w:rsidR="00803ED2">
        <w:rPr>
          <w:rFonts w:ascii="Times New Roman" w:hAnsi="Times New Roman" w:cs="Times New Roman"/>
          <w:noProof/>
          <w:sz w:val="24"/>
          <w:szCs w:val="24"/>
        </w:rPr>
        <w:t xml:space="preserve">. </w:t>
      </w:r>
      <w:r w:rsidR="00803ED2" w:rsidRPr="00803ED2">
        <w:rPr>
          <w:rFonts w:ascii="Times New Roman" w:hAnsi="Times New Roman" w:cs="Times New Roman"/>
          <w:b/>
          <w:noProof/>
          <w:sz w:val="24"/>
          <w:szCs w:val="24"/>
        </w:rPr>
        <w:t>3</w:t>
      </w:r>
      <w:r w:rsidR="00803ED2">
        <w:rPr>
          <w:rFonts w:ascii="Times New Roman" w:hAnsi="Times New Roman" w:cs="Times New Roman"/>
          <w:noProof/>
          <w:sz w:val="24"/>
          <w:szCs w:val="24"/>
        </w:rPr>
        <w:t>, 409-427.</w:t>
      </w:r>
    </w:p>
    <w:p w14:paraId="50A2CCF1" w14:textId="782B67BA"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 xml:space="preserve">Wragg, A. </w:t>
      </w:r>
      <w:r w:rsidRPr="00BE3B6C">
        <w:rPr>
          <w:rFonts w:ascii="Times New Roman" w:hAnsi="Times New Roman" w:cs="Times New Roman"/>
          <w:i/>
          <w:iCs/>
          <w:noProof/>
          <w:sz w:val="24"/>
          <w:szCs w:val="24"/>
        </w:rPr>
        <w:t>et al.</w:t>
      </w:r>
      <w:r w:rsidR="00803ED2">
        <w:rPr>
          <w:rFonts w:ascii="Times New Roman" w:hAnsi="Times New Roman" w:cs="Times New Roman"/>
          <w:noProof/>
          <w:sz w:val="24"/>
          <w:szCs w:val="24"/>
        </w:rPr>
        <w:t xml:space="preserve"> (2003). </w:t>
      </w:r>
      <w:r w:rsidRPr="00BE3B6C">
        <w:rPr>
          <w:rFonts w:ascii="Times New Roman" w:hAnsi="Times New Roman" w:cs="Times New Roman"/>
          <w:noProof/>
          <w:sz w:val="24"/>
          <w:szCs w:val="24"/>
        </w:rPr>
        <w:t>Assessing the perform</w:t>
      </w:r>
      <w:r w:rsidR="00803ED2">
        <w:rPr>
          <w:rFonts w:ascii="Times New Roman" w:hAnsi="Times New Roman" w:cs="Times New Roman"/>
          <w:noProof/>
          <w:sz w:val="24"/>
          <w:szCs w:val="24"/>
        </w:rPr>
        <w:t xml:space="preserve">ance of specialist registrars. </w:t>
      </w:r>
      <w:r w:rsidRPr="00BE3B6C">
        <w:rPr>
          <w:rFonts w:ascii="Times New Roman" w:hAnsi="Times New Roman" w:cs="Times New Roman"/>
          <w:i/>
          <w:iCs/>
          <w:noProof/>
          <w:sz w:val="24"/>
          <w:szCs w:val="24"/>
        </w:rPr>
        <w:t>Clinical Med</w:t>
      </w:r>
      <w:r w:rsidR="00803ED2">
        <w:rPr>
          <w:rFonts w:ascii="Times New Roman" w:hAnsi="Times New Roman" w:cs="Times New Roman"/>
          <w:i/>
          <w:iCs/>
          <w:noProof/>
          <w:sz w:val="24"/>
          <w:szCs w:val="24"/>
        </w:rPr>
        <w:t>icine.</w:t>
      </w:r>
      <w:r w:rsidR="00803ED2" w:rsidRPr="00803ED2">
        <w:rPr>
          <w:rFonts w:ascii="Times New Roman" w:hAnsi="Times New Roman" w:cs="Times New Roman"/>
          <w:b/>
          <w:i/>
          <w:iCs/>
          <w:noProof/>
          <w:sz w:val="24"/>
          <w:szCs w:val="24"/>
        </w:rPr>
        <w:t xml:space="preserve"> </w:t>
      </w:r>
      <w:r w:rsidR="00803ED2" w:rsidRPr="00803ED2">
        <w:rPr>
          <w:rFonts w:ascii="Times New Roman" w:hAnsi="Times New Roman" w:cs="Times New Roman"/>
          <w:b/>
          <w:noProof/>
          <w:sz w:val="24"/>
          <w:szCs w:val="24"/>
        </w:rPr>
        <w:t>3</w:t>
      </w:r>
      <w:r w:rsidR="00803ED2">
        <w:rPr>
          <w:rFonts w:ascii="Times New Roman" w:hAnsi="Times New Roman" w:cs="Times New Roman"/>
          <w:noProof/>
          <w:sz w:val="24"/>
          <w:szCs w:val="24"/>
        </w:rPr>
        <w:t xml:space="preserve">(2), 131–134. </w:t>
      </w:r>
    </w:p>
    <w:p w14:paraId="109D16B1" w14:textId="4AB56C42"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Yorke, M., Br</w:t>
      </w:r>
      <w:r w:rsidR="00803ED2">
        <w:rPr>
          <w:rFonts w:ascii="Times New Roman" w:hAnsi="Times New Roman" w:cs="Times New Roman"/>
          <w:noProof/>
          <w:sz w:val="24"/>
          <w:szCs w:val="24"/>
        </w:rPr>
        <w:t xml:space="preserve">idges, P. and Woolf, H. (2000). </w:t>
      </w:r>
      <w:r w:rsidRPr="00BE3B6C">
        <w:rPr>
          <w:rFonts w:ascii="Times New Roman" w:hAnsi="Times New Roman" w:cs="Times New Roman"/>
          <w:noProof/>
          <w:sz w:val="24"/>
          <w:szCs w:val="24"/>
        </w:rPr>
        <w:t>Mark Distributions and Marking Practices in UK Higher Educa</w:t>
      </w:r>
      <w:r w:rsidR="00803ED2">
        <w:rPr>
          <w:rFonts w:ascii="Times New Roman" w:hAnsi="Times New Roman" w:cs="Times New Roman"/>
          <w:noProof/>
          <w:sz w:val="24"/>
          <w:szCs w:val="24"/>
        </w:rPr>
        <w:t xml:space="preserve">tion: Some Challenging Issues. </w:t>
      </w:r>
      <w:r w:rsidRPr="00BE3B6C">
        <w:rPr>
          <w:rFonts w:ascii="Times New Roman" w:hAnsi="Times New Roman" w:cs="Times New Roman"/>
          <w:i/>
          <w:iCs/>
          <w:noProof/>
          <w:sz w:val="24"/>
          <w:szCs w:val="24"/>
        </w:rPr>
        <w:t>Active Learning in Higher Education</w:t>
      </w:r>
      <w:r w:rsidR="00803ED2">
        <w:rPr>
          <w:rFonts w:ascii="Times New Roman" w:hAnsi="Times New Roman" w:cs="Times New Roman"/>
          <w:noProof/>
          <w:sz w:val="24"/>
          <w:szCs w:val="24"/>
        </w:rPr>
        <w:t>.</w:t>
      </w:r>
      <w:r w:rsidRPr="00BE3B6C">
        <w:rPr>
          <w:rFonts w:ascii="Times New Roman" w:hAnsi="Times New Roman" w:cs="Times New Roman"/>
          <w:noProof/>
          <w:sz w:val="24"/>
          <w:szCs w:val="24"/>
        </w:rPr>
        <w:t xml:space="preserve"> </w:t>
      </w:r>
      <w:r w:rsidRPr="00803ED2">
        <w:rPr>
          <w:rFonts w:ascii="Times New Roman" w:hAnsi="Times New Roman" w:cs="Times New Roman"/>
          <w:b/>
          <w:noProof/>
          <w:sz w:val="24"/>
          <w:szCs w:val="24"/>
        </w:rPr>
        <w:t>1</w:t>
      </w:r>
      <w:r w:rsidRPr="00BE3B6C">
        <w:rPr>
          <w:rFonts w:ascii="Times New Roman" w:hAnsi="Times New Roman" w:cs="Times New Roman"/>
          <w:noProof/>
          <w:sz w:val="24"/>
          <w:szCs w:val="24"/>
        </w:rPr>
        <w:t>(1)</w:t>
      </w:r>
      <w:r w:rsidR="00803ED2">
        <w:rPr>
          <w:rFonts w:ascii="Times New Roman" w:hAnsi="Times New Roman" w:cs="Times New Roman"/>
          <w:noProof/>
          <w:sz w:val="24"/>
          <w:szCs w:val="24"/>
        </w:rPr>
        <w:t xml:space="preserve">, </w:t>
      </w:r>
      <w:r w:rsidRPr="00BE3B6C">
        <w:rPr>
          <w:rFonts w:ascii="Times New Roman" w:hAnsi="Times New Roman" w:cs="Times New Roman"/>
          <w:noProof/>
          <w:sz w:val="24"/>
          <w:szCs w:val="24"/>
        </w:rPr>
        <w:t xml:space="preserve">7–27. </w:t>
      </w:r>
    </w:p>
    <w:p w14:paraId="757C2F4F" w14:textId="3DB27DF6"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szCs w:val="24"/>
        </w:rPr>
      </w:pPr>
      <w:r w:rsidRPr="00BE3B6C">
        <w:rPr>
          <w:rFonts w:ascii="Times New Roman" w:hAnsi="Times New Roman" w:cs="Times New Roman"/>
          <w:noProof/>
          <w:sz w:val="24"/>
          <w:szCs w:val="24"/>
        </w:rPr>
        <w:t>Zijlstra-Shaw, S., Roberts, T.</w:t>
      </w:r>
      <w:r w:rsidR="00803ED2">
        <w:rPr>
          <w:rFonts w:ascii="Times New Roman" w:hAnsi="Times New Roman" w:cs="Times New Roman"/>
          <w:noProof/>
          <w:sz w:val="24"/>
          <w:szCs w:val="24"/>
        </w:rPr>
        <w:t xml:space="preserve"> E. and Robinson, P. G. (2013). </w:t>
      </w:r>
      <w:r w:rsidRPr="00BE3B6C">
        <w:rPr>
          <w:rFonts w:ascii="Times New Roman" w:hAnsi="Times New Roman" w:cs="Times New Roman"/>
          <w:noProof/>
          <w:sz w:val="24"/>
          <w:szCs w:val="24"/>
        </w:rPr>
        <w:t>Perceptions o</w:t>
      </w:r>
      <w:r w:rsidR="00803ED2">
        <w:rPr>
          <w:rFonts w:ascii="Times New Roman" w:hAnsi="Times New Roman" w:cs="Times New Roman"/>
          <w:noProof/>
          <w:sz w:val="24"/>
          <w:szCs w:val="24"/>
        </w:rPr>
        <w:t xml:space="preserve">f professionalism in dentistry-a qualitative study. </w:t>
      </w:r>
      <w:r w:rsidRPr="00BE3B6C">
        <w:rPr>
          <w:rFonts w:ascii="Times New Roman" w:hAnsi="Times New Roman" w:cs="Times New Roman"/>
          <w:i/>
          <w:iCs/>
          <w:noProof/>
          <w:sz w:val="24"/>
          <w:szCs w:val="24"/>
        </w:rPr>
        <w:t>British Dental Journal</w:t>
      </w:r>
      <w:r w:rsidR="00803ED2">
        <w:rPr>
          <w:rFonts w:ascii="Times New Roman" w:hAnsi="Times New Roman" w:cs="Times New Roman"/>
          <w:noProof/>
          <w:sz w:val="24"/>
          <w:szCs w:val="24"/>
        </w:rPr>
        <w:t xml:space="preserve">. </w:t>
      </w:r>
      <w:r w:rsidR="00803ED2" w:rsidRPr="00803ED2">
        <w:rPr>
          <w:rFonts w:ascii="Times New Roman" w:hAnsi="Times New Roman" w:cs="Times New Roman"/>
          <w:b/>
          <w:noProof/>
          <w:sz w:val="24"/>
          <w:szCs w:val="24"/>
        </w:rPr>
        <w:t>215</w:t>
      </w:r>
      <w:r w:rsidR="00803ED2">
        <w:rPr>
          <w:rFonts w:ascii="Times New Roman" w:hAnsi="Times New Roman" w:cs="Times New Roman"/>
          <w:noProof/>
          <w:sz w:val="24"/>
          <w:szCs w:val="24"/>
        </w:rPr>
        <w:t>(9), E18-</w:t>
      </w:r>
      <w:r w:rsidRPr="00BE3B6C">
        <w:rPr>
          <w:rFonts w:ascii="Times New Roman" w:hAnsi="Times New Roman" w:cs="Times New Roman"/>
          <w:noProof/>
          <w:sz w:val="24"/>
          <w:szCs w:val="24"/>
        </w:rPr>
        <w:t>E18.</w:t>
      </w:r>
    </w:p>
    <w:p w14:paraId="382FCD94" w14:textId="5E36D6B0" w:rsidR="00BE3B6C" w:rsidRPr="00BE3B6C" w:rsidRDefault="00BE3B6C" w:rsidP="00BE3B6C">
      <w:pPr>
        <w:widowControl w:val="0"/>
        <w:autoSpaceDE w:val="0"/>
        <w:autoSpaceDN w:val="0"/>
        <w:adjustRightInd w:val="0"/>
        <w:spacing w:line="480" w:lineRule="auto"/>
        <w:rPr>
          <w:rFonts w:ascii="Times New Roman" w:hAnsi="Times New Roman" w:cs="Times New Roman"/>
          <w:noProof/>
          <w:sz w:val="24"/>
        </w:rPr>
      </w:pPr>
      <w:r w:rsidRPr="00BE3B6C">
        <w:rPr>
          <w:rFonts w:ascii="Times New Roman" w:hAnsi="Times New Roman" w:cs="Times New Roman"/>
          <w:noProof/>
          <w:sz w:val="24"/>
          <w:szCs w:val="24"/>
        </w:rPr>
        <w:lastRenderedPageBreak/>
        <w:t>Zijlstra-Shaw, S., Robinson</w:t>
      </w:r>
      <w:r w:rsidR="00803ED2">
        <w:rPr>
          <w:rFonts w:ascii="Times New Roman" w:hAnsi="Times New Roman" w:cs="Times New Roman"/>
          <w:noProof/>
          <w:sz w:val="24"/>
          <w:szCs w:val="24"/>
        </w:rPr>
        <w:t xml:space="preserve">, P. G. and Roberts, T. (2012). </w:t>
      </w:r>
      <w:r w:rsidRPr="00BE3B6C">
        <w:rPr>
          <w:rFonts w:ascii="Times New Roman" w:hAnsi="Times New Roman" w:cs="Times New Roman"/>
          <w:noProof/>
          <w:sz w:val="24"/>
          <w:szCs w:val="24"/>
        </w:rPr>
        <w:t>Assessing professionalism within dental educati</w:t>
      </w:r>
      <w:r w:rsidR="00803ED2">
        <w:rPr>
          <w:rFonts w:ascii="Times New Roman" w:hAnsi="Times New Roman" w:cs="Times New Roman"/>
          <w:noProof/>
          <w:sz w:val="24"/>
          <w:szCs w:val="24"/>
        </w:rPr>
        <w:t xml:space="preserve">on; the need for a definition. </w:t>
      </w:r>
      <w:r w:rsidRPr="00BE3B6C">
        <w:rPr>
          <w:rFonts w:ascii="Times New Roman" w:hAnsi="Times New Roman" w:cs="Times New Roman"/>
          <w:i/>
          <w:iCs/>
          <w:noProof/>
          <w:sz w:val="24"/>
          <w:szCs w:val="24"/>
        </w:rPr>
        <w:t>European Journal of Dental Education</w:t>
      </w:r>
      <w:r w:rsidR="00803ED2">
        <w:rPr>
          <w:rFonts w:ascii="Times New Roman" w:hAnsi="Times New Roman" w:cs="Times New Roman"/>
          <w:noProof/>
          <w:sz w:val="24"/>
          <w:szCs w:val="24"/>
        </w:rPr>
        <w:t xml:space="preserve">. </w:t>
      </w:r>
      <w:r w:rsidR="00803ED2" w:rsidRPr="00803ED2">
        <w:rPr>
          <w:rFonts w:ascii="Times New Roman" w:hAnsi="Times New Roman" w:cs="Times New Roman"/>
          <w:b/>
          <w:noProof/>
          <w:sz w:val="24"/>
          <w:szCs w:val="24"/>
        </w:rPr>
        <w:t>16</w:t>
      </w:r>
      <w:r w:rsidR="00803ED2" w:rsidRPr="00803ED2">
        <w:rPr>
          <w:rFonts w:ascii="Times New Roman" w:hAnsi="Times New Roman" w:cs="Times New Roman"/>
          <w:noProof/>
          <w:sz w:val="24"/>
          <w:szCs w:val="24"/>
        </w:rPr>
        <w:t xml:space="preserve">(1), </w:t>
      </w:r>
      <w:r w:rsidR="00803ED2" w:rsidRPr="00803ED2">
        <w:rPr>
          <w:rFonts w:ascii="Times New Roman" w:hAnsi="Times New Roman" w:cs="Times New Roman"/>
          <w:sz w:val="24"/>
          <w:szCs w:val="24"/>
        </w:rPr>
        <w:t>e128-36.</w:t>
      </w:r>
    </w:p>
    <w:p w14:paraId="7F2E3C87" w14:textId="77777777" w:rsidR="00EF6235" w:rsidRPr="006F3B00" w:rsidRDefault="00EF6235" w:rsidP="00863DF5">
      <w:pPr>
        <w:spacing w:line="480" w:lineRule="auto"/>
        <w:rPr>
          <w:rFonts w:ascii="Times New Roman" w:hAnsi="Times New Roman" w:cs="Times New Roman"/>
          <w:sz w:val="24"/>
          <w:szCs w:val="24"/>
        </w:rPr>
      </w:pPr>
      <w:r w:rsidRPr="006F3B00">
        <w:rPr>
          <w:rFonts w:ascii="Times New Roman" w:hAnsi="Times New Roman" w:cs="Times New Roman"/>
          <w:sz w:val="24"/>
          <w:szCs w:val="24"/>
        </w:rPr>
        <w:fldChar w:fldCharType="end"/>
      </w:r>
    </w:p>
    <w:p w14:paraId="2BD4FF28" w14:textId="77777777" w:rsidR="00EF6235" w:rsidRPr="006F3B00" w:rsidRDefault="00EF6235" w:rsidP="00863DF5">
      <w:pPr>
        <w:spacing w:line="480" w:lineRule="auto"/>
        <w:rPr>
          <w:rFonts w:ascii="Times New Roman" w:hAnsi="Times New Roman" w:cs="Times New Roman"/>
          <w:sz w:val="24"/>
          <w:szCs w:val="24"/>
        </w:rPr>
      </w:pPr>
    </w:p>
    <w:p w14:paraId="254D5B9A" w14:textId="77777777" w:rsidR="00863DF5" w:rsidRPr="006F3B00" w:rsidRDefault="00863DF5" w:rsidP="00863DF5">
      <w:pPr>
        <w:spacing w:line="480" w:lineRule="auto"/>
        <w:rPr>
          <w:rFonts w:ascii="Times New Roman" w:hAnsi="Times New Roman" w:cs="Times New Roman"/>
          <w:sz w:val="24"/>
          <w:szCs w:val="24"/>
        </w:rPr>
      </w:pPr>
    </w:p>
    <w:p w14:paraId="23BFF405" w14:textId="77777777" w:rsidR="00863DF5" w:rsidRPr="006F3B00" w:rsidRDefault="00863DF5" w:rsidP="00863DF5">
      <w:pPr>
        <w:spacing w:line="480" w:lineRule="auto"/>
        <w:jc w:val="both"/>
        <w:rPr>
          <w:rFonts w:ascii="Times New Roman" w:hAnsi="Times New Roman" w:cs="Times New Roman"/>
          <w:sz w:val="24"/>
          <w:szCs w:val="24"/>
        </w:rPr>
      </w:pPr>
    </w:p>
    <w:p w14:paraId="16012BD3" w14:textId="77777777" w:rsidR="00863DF5" w:rsidRPr="006F3B00" w:rsidRDefault="00863DF5" w:rsidP="00863DF5">
      <w:pPr>
        <w:rPr>
          <w:rFonts w:ascii="Times New Roman" w:hAnsi="Times New Roman" w:cs="Times New Roman"/>
          <w:sz w:val="24"/>
          <w:szCs w:val="24"/>
        </w:rPr>
      </w:pPr>
    </w:p>
    <w:p w14:paraId="45FB067C" w14:textId="77777777" w:rsidR="00863DF5" w:rsidRPr="006F3B00" w:rsidRDefault="00863DF5">
      <w:pPr>
        <w:rPr>
          <w:rFonts w:ascii="Times New Roman" w:hAnsi="Times New Roman" w:cs="Times New Roman"/>
          <w:sz w:val="24"/>
          <w:szCs w:val="24"/>
        </w:rPr>
      </w:pPr>
    </w:p>
    <w:sectPr w:rsidR="00863DF5" w:rsidRPr="006F3B00" w:rsidSect="00602D3C">
      <w:pgSz w:w="11906" w:h="16838" w:code="9"/>
      <w:pgMar w:top="1080" w:right="1152" w:bottom="108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74655" w14:textId="77777777" w:rsidR="00200483" w:rsidRDefault="00200483">
      <w:pPr>
        <w:spacing w:after="0" w:line="240" w:lineRule="auto"/>
      </w:pPr>
      <w:r>
        <w:separator/>
      </w:r>
    </w:p>
  </w:endnote>
  <w:endnote w:type="continuationSeparator" w:id="0">
    <w:p w14:paraId="0854F483" w14:textId="77777777" w:rsidR="00200483" w:rsidRDefault="0020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318307"/>
      <w:docPartObj>
        <w:docPartGallery w:val="Page Numbers (Bottom of Page)"/>
        <w:docPartUnique/>
      </w:docPartObj>
    </w:sdtPr>
    <w:sdtEndPr>
      <w:rPr>
        <w:noProof/>
      </w:rPr>
    </w:sdtEndPr>
    <w:sdtContent>
      <w:p w14:paraId="42F46CAB" w14:textId="5FBBD79A" w:rsidR="00D35C1E" w:rsidRDefault="00D35C1E">
        <w:pPr>
          <w:pStyle w:val="Footer"/>
          <w:jc w:val="center"/>
        </w:pPr>
        <w:r>
          <w:fldChar w:fldCharType="begin"/>
        </w:r>
        <w:r>
          <w:instrText xml:space="preserve"> PAGE   \* MERGEFORMAT </w:instrText>
        </w:r>
        <w:r>
          <w:fldChar w:fldCharType="separate"/>
        </w:r>
        <w:r w:rsidR="009F7DC5">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32DC2" w14:textId="3687E176" w:rsidR="00D35C1E" w:rsidRDefault="00D35C1E" w:rsidP="00595755">
    <w:pPr>
      <w:pStyle w:val="Footer"/>
      <w:jc w:val="center"/>
    </w:pPr>
    <w:proofErr w:type="gramStart"/>
    <w:r>
      <w:t>i</w:t>
    </w:r>
    <w:proofErr w:type="gramEnd"/>
  </w:p>
  <w:p w14:paraId="660112CB" w14:textId="77777777" w:rsidR="00D35C1E" w:rsidRDefault="00D35C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967397"/>
      <w:docPartObj>
        <w:docPartGallery w:val="Page Numbers (Bottom of Page)"/>
        <w:docPartUnique/>
      </w:docPartObj>
    </w:sdtPr>
    <w:sdtEndPr>
      <w:rPr>
        <w:noProof/>
      </w:rPr>
    </w:sdtEndPr>
    <w:sdtContent>
      <w:p w14:paraId="11842450" w14:textId="38EF2F27" w:rsidR="00D35C1E" w:rsidRDefault="00D35C1E">
        <w:pPr>
          <w:pStyle w:val="Footer"/>
          <w:jc w:val="center"/>
        </w:pPr>
        <w:r>
          <w:fldChar w:fldCharType="begin"/>
        </w:r>
        <w:r>
          <w:instrText xml:space="preserve"> PAGE   \* MERGEFORMAT </w:instrText>
        </w:r>
        <w:r>
          <w:fldChar w:fldCharType="separate"/>
        </w:r>
        <w:r w:rsidR="009F7DC5">
          <w:rPr>
            <w:noProof/>
          </w:rPr>
          <w:t>1</w:t>
        </w:r>
        <w:r>
          <w:rPr>
            <w:noProof/>
          </w:rPr>
          <w:fldChar w:fldCharType="end"/>
        </w:r>
      </w:p>
    </w:sdtContent>
  </w:sdt>
  <w:p w14:paraId="7567F76A" w14:textId="77777777" w:rsidR="00D35C1E" w:rsidRDefault="00D35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F0E43" w14:textId="77777777" w:rsidR="00200483" w:rsidRDefault="00200483">
      <w:pPr>
        <w:spacing w:after="0" w:line="240" w:lineRule="auto"/>
      </w:pPr>
      <w:r>
        <w:separator/>
      </w:r>
    </w:p>
  </w:footnote>
  <w:footnote w:type="continuationSeparator" w:id="0">
    <w:p w14:paraId="1A084C35" w14:textId="77777777" w:rsidR="00200483" w:rsidRDefault="00200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75001"/>
    <w:multiLevelType w:val="hybridMultilevel"/>
    <w:tmpl w:val="E7D2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C2806"/>
    <w:multiLevelType w:val="hybridMultilevel"/>
    <w:tmpl w:val="332E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708DC"/>
    <w:multiLevelType w:val="hybridMultilevel"/>
    <w:tmpl w:val="40D2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3247A"/>
    <w:multiLevelType w:val="hybridMultilevel"/>
    <w:tmpl w:val="3A22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C6EE5"/>
    <w:multiLevelType w:val="hybridMultilevel"/>
    <w:tmpl w:val="1DAA6F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FE495B"/>
    <w:multiLevelType w:val="hybridMultilevel"/>
    <w:tmpl w:val="C61A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24031"/>
    <w:multiLevelType w:val="hybridMultilevel"/>
    <w:tmpl w:val="ABF8D3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10FE0"/>
    <w:multiLevelType w:val="hybridMultilevel"/>
    <w:tmpl w:val="1910C1A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F5BF1"/>
    <w:multiLevelType w:val="hybridMultilevel"/>
    <w:tmpl w:val="FD9E2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BF36A1"/>
    <w:multiLevelType w:val="hybridMultilevel"/>
    <w:tmpl w:val="ED80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70DE6"/>
    <w:multiLevelType w:val="hybridMultilevel"/>
    <w:tmpl w:val="9D0A2E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87C7D4E"/>
    <w:multiLevelType w:val="hybridMultilevel"/>
    <w:tmpl w:val="FAB8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6952B9"/>
    <w:multiLevelType w:val="hybridMultilevel"/>
    <w:tmpl w:val="A7121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A323C9"/>
    <w:multiLevelType w:val="multilevel"/>
    <w:tmpl w:val="03B0D9D8"/>
    <w:lvl w:ilvl="0">
      <w:start w:val="1"/>
      <w:numFmt w:val="decimal"/>
      <w:lvlText w:val="%1."/>
      <w:lvlJc w:val="left"/>
      <w:pPr>
        <w:ind w:left="720" w:hanging="360"/>
      </w:pPr>
    </w:lvl>
    <w:lvl w:ilvl="1">
      <w:start w:val="4"/>
      <w:numFmt w:val="decimal"/>
      <w:isLgl/>
      <w:lvlText w:val="%1.%2."/>
      <w:lvlJc w:val="left"/>
      <w:pPr>
        <w:ind w:left="1080" w:hanging="720"/>
      </w:pPr>
      <w:rPr>
        <w:rFonts w:hint="default"/>
        <w:b/>
      </w:rPr>
    </w:lvl>
    <w:lvl w:ilvl="2">
      <w:start w:val="2"/>
      <w:numFmt w:val="decimal"/>
      <w:isLgl/>
      <w:lvlText w:val="%1.%2.%3."/>
      <w:lvlJc w:val="left"/>
      <w:pPr>
        <w:ind w:left="1080" w:hanging="720"/>
      </w:pPr>
      <w:rPr>
        <w:rFonts w:hint="default"/>
        <w:b/>
      </w:rPr>
    </w:lvl>
    <w:lvl w:ilvl="3">
      <w:start w:val="2"/>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209071AD"/>
    <w:multiLevelType w:val="hybridMultilevel"/>
    <w:tmpl w:val="980E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965B54"/>
    <w:multiLevelType w:val="hybridMultilevel"/>
    <w:tmpl w:val="CBE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220BF"/>
    <w:multiLevelType w:val="hybridMultilevel"/>
    <w:tmpl w:val="D6C2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6C31AB"/>
    <w:multiLevelType w:val="multilevel"/>
    <w:tmpl w:val="218C3A9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7787250"/>
    <w:multiLevelType w:val="hybridMultilevel"/>
    <w:tmpl w:val="4A2A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276F3A"/>
    <w:multiLevelType w:val="hybridMultilevel"/>
    <w:tmpl w:val="AEFC6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8F161B"/>
    <w:multiLevelType w:val="hybridMultilevel"/>
    <w:tmpl w:val="94F6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45D4C"/>
    <w:multiLevelType w:val="hybridMultilevel"/>
    <w:tmpl w:val="CB8AE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E5579A"/>
    <w:multiLevelType w:val="hybridMultilevel"/>
    <w:tmpl w:val="0D8A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2A74D7"/>
    <w:multiLevelType w:val="hybridMultilevel"/>
    <w:tmpl w:val="45C04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A435E32"/>
    <w:multiLevelType w:val="hybridMultilevel"/>
    <w:tmpl w:val="FC4A2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1684"/>
    <w:multiLevelType w:val="hybridMultilevel"/>
    <w:tmpl w:val="DB58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CD4C32"/>
    <w:multiLevelType w:val="hybridMultilevel"/>
    <w:tmpl w:val="AA5C0F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C313FB"/>
    <w:multiLevelType w:val="hybridMultilevel"/>
    <w:tmpl w:val="28826CFA"/>
    <w:lvl w:ilvl="0" w:tplc="1086611E">
      <w:start w:val="1"/>
      <w:numFmt w:val="lowerLetter"/>
      <w:lvlText w:val="%1)"/>
      <w:lvlJc w:val="left"/>
      <w:pPr>
        <w:ind w:left="786"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C76D86"/>
    <w:multiLevelType w:val="hybridMultilevel"/>
    <w:tmpl w:val="F3824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050D48"/>
    <w:multiLevelType w:val="hybridMultilevel"/>
    <w:tmpl w:val="A75AABAA"/>
    <w:lvl w:ilvl="0" w:tplc="4254FB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42487517"/>
    <w:multiLevelType w:val="hybridMultilevel"/>
    <w:tmpl w:val="D502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5673A6"/>
    <w:multiLevelType w:val="hybridMultilevel"/>
    <w:tmpl w:val="0900A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0E2C0E"/>
    <w:multiLevelType w:val="hybridMultilevel"/>
    <w:tmpl w:val="AEA2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8A2DA2"/>
    <w:multiLevelType w:val="hybridMultilevel"/>
    <w:tmpl w:val="DC6C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4C334C"/>
    <w:multiLevelType w:val="hybridMultilevel"/>
    <w:tmpl w:val="3284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8C4BD5"/>
    <w:multiLevelType w:val="hybridMultilevel"/>
    <w:tmpl w:val="9A30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8E1222"/>
    <w:multiLevelType w:val="hybridMultilevel"/>
    <w:tmpl w:val="90DC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6B30BA"/>
    <w:multiLevelType w:val="hybridMultilevel"/>
    <w:tmpl w:val="25B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325518"/>
    <w:multiLevelType w:val="hybridMultilevel"/>
    <w:tmpl w:val="9DF8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CD6405"/>
    <w:multiLevelType w:val="hybridMultilevel"/>
    <w:tmpl w:val="F1F86CD0"/>
    <w:lvl w:ilvl="0" w:tplc="FB4661B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105187"/>
    <w:multiLevelType w:val="hybridMultilevel"/>
    <w:tmpl w:val="D6E0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B033C2"/>
    <w:multiLevelType w:val="hybridMultilevel"/>
    <w:tmpl w:val="BAE4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962A8A"/>
    <w:multiLevelType w:val="hybridMultilevel"/>
    <w:tmpl w:val="632C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4B3653"/>
    <w:multiLevelType w:val="hybridMultilevel"/>
    <w:tmpl w:val="A5EA9ED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F97C5E"/>
    <w:multiLevelType w:val="hybridMultilevel"/>
    <w:tmpl w:val="0D7A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066D10"/>
    <w:multiLevelType w:val="hybridMultilevel"/>
    <w:tmpl w:val="2CAA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B4394C"/>
    <w:multiLevelType w:val="hybridMultilevel"/>
    <w:tmpl w:val="BC605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BA3262"/>
    <w:multiLevelType w:val="hybridMultilevel"/>
    <w:tmpl w:val="BC605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4D1F66"/>
    <w:multiLevelType w:val="hybridMultilevel"/>
    <w:tmpl w:val="ABCC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CB4758"/>
    <w:multiLevelType w:val="hybridMultilevel"/>
    <w:tmpl w:val="8BE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480C3B"/>
    <w:multiLevelType w:val="hybridMultilevel"/>
    <w:tmpl w:val="3398D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9A5F06"/>
    <w:multiLevelType w:val="hybridMultilevel"/>
    <w:tmpl w:val="5C8E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500F3B"/>
    <w:multiLevelType w:val="hybridMultilevel"/>
    <w:tmpl w:val="71DC63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ED2E52"/>
    <w:multiLevelType w:val="hybridMultilevel"/>
    <w:tmpl w:val="7102E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0A27AF"/>
    <w:multiLevelType w:val="hybridMultilevel"/>
    <w:tmpl w:val="231A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403391"/>
    <w:multiLevelType w:val="hybridMultilevel"/>
    <w:tmpl w:val="0D8C061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5"/>
  </w:num>
  <w:num w:numId="3">
    <w:abstractNumId w:val="2"/>
  </w:num>
  <w:num w:numId="4">
    <w:abstractNumId w:val="27"/>
  </w:num>
  <w:num w:numId="5">
    <w:abstractNumId w:val="16"/>
  </w:num>
  <w:num w:numId="6">
    <w:abstractNumId w:val="21"/>
  </w:num>
  <w:num w:numId="7">
    <w:abstractNumId w:val="32"/>
  </w:num>
  <w:num w:numId="8">
    <w:abstractNumId w:val="36"/>
  </w:num>
  <w:num w:numId="9">
    <w:abstractNumId w:val="22"/>
  </w:num>
  <w:num w:numId="10">
    <w:abstractNumId w:val="54"/>
  </w:num>
  <w:num w:numId="11">
    <w:abstractNumId w:val="48"/>
  </w:num>
  <w:num w:numId="12">
    <w:abstractNumId w:val="33"/>
  </w:num>
  <w:num w:numId="13">
    <w:abstractNumId w:val="37"/>
  </w:num>
  <w:num w:numId="14">
    <w:abstractNumId w:val="12"/>
  </w:num>
  <w:num w:numId="15">
    <w:abstractNumId w:val="17"/>
  </w:num>
  <w:num w:numId="16">
    <w:abstractNumId w:val="18"/>
  </w:num>
  <w:num w:numId="17">
    <w:abstractNumId w:val="50"/>
  </w:num>
  <w:num w:numId="18">
    <w:abstractNumId w:val="45"/>
  </w:num>
  <w:num w:numId="19">
    <w:abstractNumId w:val="34"/>
  </w:num>
  <w:num w:numId="20">
    <w:abstractNumId w:val="4"/>
  </w:num>
  <w:num w:numId="21">
    <w:abstractNumId w:val="25"/>
  </w:num>
  <w:num w:numId="22">
    <w:abstractNumId w:val="30"/>
  </w:num>
  <w:num w:numId="23">
    <w:abstractNumId w:val="53"/>
  </w:num>
  <w:num w:numId="24">
    <w:abstractNumId w:val="46"/>
  </w:num>
  <w:num w:numId="25">
    <w:abstractNumId w:val="23"/>
  </w:num>
  <w:num w:numId="26">
    <w:abstractNumId w:val="55"/>
  </w:num>
  <w:num w:numId="27">
    <w:abstractNumId w:val="15"/>
  </w:num>
  <w:num w:numId="28">
    <w:abstractNumId w:val="41"/>
  </w:num>
  <w:num w:numId="29">
    <w:abstractNumId w:val="38"/>
  </w:num>
  <w:num w:numId="30">
    <w:abstractNumId w:val="42"/>
  </w:num>
  <w:num w:numId="31">
    <w:abstractNumId w:val="19"/>
  </w:num>
  <w:num w:numId="32">
    <w:abstractNumId w:val="24"/>
  </w:num>
  <w:num w:numId="33">
    <w:abstractNumId w:val="11"/>
  </w:num>
  <w:num w:numId="34">
    <w:abstractNumId w:val="20"/>
  </w:num>
  <w:num w:numId="35">
    <w:abstractNumId w:val="14"/>
  </w:num>
  <w:num w:numId="36">
    <w:abstractNumId w:val="3"/>
  </w:num>
  <w:num w:numId="37">
    <w:abstractNumId w:val="51"/>
  </w:num>
  <w:num w:numId="38">
    <w:abstractNumId w:val="35"/>
  </w:num>
  <w:num w:numId="39">
    <w:abstractNumId w:val="10"/>
  </w:num>
  <w:num w:numId="40">
    <w:abstractNumId w:val="49"/>
  </w:num>
  <w:num w:numId="41">
    <w:abstractNumId w:val="9"/>
  </w:num>
  <w:num w:numId="42">
    <w:abstractNumId w:val="1"/>
  </w:num>
  <w:num w:numId="43">
    <w:abstractNumId w:val="40"/>
  </w:num>
  <w:num w:numId="44">
    <w:abstractNumId w:val="28"/>
  </w:num>
  <w:num w:numId="45">
    <w:abstractNumId w:val="47"/>
  </w:num>
  <w:num w:numId="46">
    <w:abstractNumId w:val="31"/>
  </w:num>
  <w:num w:numId="47">
    <w:abstractNumId w:val="0"/>
  </w:num>
  <w:num w:numId="48">
    <w:abstractNumId w:val="44"/>
  </w:num>
  <w:num w:numId="49">
    <w:abstractNumId w:val="7"/>
  </w:num>
  <w:num w:numId="50">
    <w:abstractNumId w:val="39"/>
  </w:num>
  <w:num w:numId="51">
    <w:abstractNumId w:val="43"/>
  </w:num>
  <w:num w:numId="52">
    <w:abstractNumId w:val="8"/>
  </w:num>
  <w:num w:numId="53">
    <w:abstractNumId w:val="26"/>
  </w:num>
  <w:num w:numId="54">
    <w:abstractNumId w:val="52"/>
  </w:num>
  <w:num w:numId="55">
    <w:abstractNumId w:val="6"/>
  </w:num>
  <w:num w:numId="56">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DF5"/>
    <w:rsid w:val="00001B4D"/>
    <w:rsid w:val="00001E90"/>
    <w:rsid w:val="00005BAD"/>
    <w:rsid w:val="00005CAC"/>
    <w:rsid w:val="0001001F"/>
    <w:rsid w:val="00010E8C"/>
    <w:rsid w:val="00011AD2"/>
    <w:rsid w:val="00013C1C"/>
    <w:rsid w:val="0001645A"/>
    <w:rsid w:val="000173D1"/>
    <w:rsid w:val="00017E5B"/>
    <w:rsid w:val="0002014E"/>
    <w:rsid w:val="000225CC"/>
    <w:rsid w:val="000269F5"/>
    <w:rsid w:val="0003024B"/>
    <w:rsid w:val="00031DB4"/>
    <w:rsid w:val="00044AFF"/>
    <w:rsid w:val="000515EA"/>
    <w:rsid w:val="0005168E"/>
    <w:rsid w:val="00052CAB"/>
    <w:rsid w:val="00054085"/>
    <w:rsid w:val="00063238"/>
    <w:rsid w:val="000660BE"/>
    <w:rsid w:val="00070E35"/>
    <w:rsid w:val="000779BC"/>
    <w:rsid w:val="00081219"/>
    <w:rsid w:val="00081B7D"/>
    <w:rsid w:val="00084153"/>
    <w:rsid w:val="0008532C"/>
    <w:rsid w:val="000854B6"/>
    <w:rsid w:val="0008625E"/>
    <w:rsid w:val="00090E5D"/>
    <w:rsid w:val="00091D73"/>
    <w:rsid w:val="00093CEB"/>
    <w:rsid w:val="000949AB"/>
    <w:rsid w:val="000977E7"/>
    <w:rsid w:val="000A5186"/>
    <w:rsid w:val="000A5350"/>
    <w:rsid w:val="000A7386"/>
    <w:rsid w:val="000A7A7C"/>
    <w:rsid w:val="000B0725"/>
    <w:rsid w:val="000B3530"/>
    <w:rsid w:val="000B393F"/>
    <w:rsid w:val="000B541A"/>
    <w:rsid w:val="000B6CB8"/>
    <w:rsid w:val="000D27BB"/>
    <w:rsid w:val="000D294F"/>
    <w:rsid w:val="000D2D6E"/>
    <w:rsid w:val="000D77F0"/>
    <w:rsid w:val="000D7D05"/>
    <w:rsid w:val="000E3660"/>
    <w:rsid w:val="000E66CF"/>
    <w:rsid w:val="000F1153"/>
    <w:rsid w:val="00100552"/>
    <w:rsid w:val="001005AC"/>
    <w:rsid w:val="001021DA"/>
    <w:rsid w:val="00102777"/>
    <w:rsid w:val="00105FC1"/>
    <w:rsid w:val="0011218C"/>
    <w:rsid w:val="0011232C"/>
    <w:rsid w:val="0011441C"/>
    <w:rsid w:val="0011455C"/>
    <w:rsid w:val="001161E5"/>
    <w:rsid w:val="00116848"/>
    <w:rsid w:val="0012436A"/>
    <w:rsid w:val="0013289A"/>
    <w:rsid w:val="00135047"/>
    <w:rsid w:val="00135528"/>
    <w:rsid w:val="00140AD5"/>
    <w:rsid w:val="001417BE"/>
    <w:rsid w:val="00143135"/>
    <w:rsid w:val="00143350"/>
    <w:rsid w:val="00144166"/>
    <w:rsid w:val="001445B6"/>
    <w:rsid w:val="001454C7"/>
    <w:rsid w:val="001465AC"/>
    <w:rsid w:val="00146F51"/>
    <w:rsid w:val="001477BD"/>
    <w:rsid w:val="00155295"/>
    <w:rsid w:val="00167E65"/>
    <w:rsid w:val="001778F4"/>
    <w:rsid w:val="00184470"/>
    <w:rsid w:val="00186275"/>
    <w:rsid w:val="00187DD2"/>
    <w:rsid w:val="001904EB"/>
    <w:rsid w:val="00194E76"/>
    <w:rsid w:val="00196275"/>
    <w:rsid w:val="001970A4"/>
    <w:rsid w:val="001971E8"/>
    <w:rsid w:val="001A0474"/>
    <w:rsid w:val="001A1B84"/>
    <w:rsid w:val="001A1FF3"/>
    <w:rsid w:val="001A36E6"/>
    <w:rsid w:val="001A4133"/>
    <w:rsid w:val="001B0EF6"/>
    <w:rsid w:val="001B18AD"/>
    <w:rsid w:val="001B7408"/>
    <w:rsid w:val="001B7984"/>
    <w:rsid w:val="001C3710"/>
    <w:rsid w:val="001C50AF"/>
    <w:rsid w:val="001C6526"/>
    <w:rsid w:val="001D1400"/>
    <w:rsid w:val="001D3151"/>
    <w:rsid w:val="001D7146"/>
    <w:rsid w:val="001E1A25"/>
    <w:rsid w:val="001E4832"/>
    <w:rsid w:val="001E510D"/>
    <w:rsid w:val="001E57BC"/>
    <w:rsid w:val="001E57D8"/>
    <w:rsid w:val="001E5DEF"/>
    <w:rsid w:val="001F173A"/>
    <w:rsid w:val="001F2DFF"/>
    <w:rsid w:val="001F5072"/>
    <w:rsid w:val="001F799B"/>
    <w:rsid w:val="002001AB"/>
    <w:rsid w:val="0020029A"/>
    <w:rsid w:val="00200483"/>
    <w:rsid w:val="0021526D"/>
    <w:rsid w:val="002164C0"/>
    <w:rsid w:val="00224512"/>
    <w:rsid w:val="00224FC2"/>
    <w:rsid w:val="00226F2C"/>
    <w:rsid w:val="002301DC"/>
    <w:rsid w:val="002349DF"/>
    <w:rsid w:val="00236A89"/>
    <w:rsid w:val="00240736"/>
    <w:rsid w:val="0024083B"/>
    <w:rsid w:val="0024309F"/>
    <w:rsid w:val="00247752"/>
    <w:rsid w:val="00250904"/>
    <w:rsid w:val="0025279A"/>
    <w:rsid w:val="0025315F"/>
    <w:rsid w:val="00257554"/>
    <w:rsid w:val="002577DE"/>
    <w:rsid w:val="00263E47"/>
    <w:rsid w:val="00264E87"/>
    <w:rsid w:val="00271411"/>
    <w:rsid w:val="00273951"/>
    <w:rsid w:val="002747F5"/>
    <w:rsid w:val="00275368"/>
    <w:rsid w:val="002765F3"/>
    <w:rsid w:val="002807CD"/>
    <w:rsid w:val="00281D8C"/>
    <w:rsid w:val="0028474B"/>
    <w:rsid w:val="00284E2F"/>
    <w:rsid w:val="002879AC"/>
    <w:rsid w:val="002904AF"/>
    <w:rsid w:val="00293975"/>
    <w:rsid w:val="00293A68"/>
    <w:rsid w:val="002955ED"/>
    <w:rsid w:val="002961E5"/>
    <w:rsid w:val="00296369"/>
    <w:rsid w:val="0029662B"/>
    <w:rsid w:val="00297620"/>
    <w:rsid w:val="002A25F8"/>
    <w:rsid w:val="002A2BB2"/>
    <w:rsid w:val="002A5572"/>
    <w:rsid w:val="002B1984"/>
    <w:rsid w:val="002B2EF6"/>
    <w:rsid w:val="002B63D7"/>
    <w:rsid w:val="002C17BA"/>
    <w:rsid w:val="002C1C04"/>
    <w:rsid w:val="002C2BBB"/>
    <w:rsid w:val="002C3D04"/>
    <w:rsid w:val="002C7B14"/>
    <w:rsid w:val="002D0F33"/>
    <w:rsid w:val="002D1609"/>
    <w:rsid w:val="002D7B4C"/>
    <w:rsid w:val="002E1831"/>
    <w:rsid w:val="002E1C88"/>
    <w:rsid w:val="002E2FD7"/>
    <w:rsid w:val="002E341B"/>
    <w:rsid w:val="002E75CB"/>
    <w:rsid w:val="002F1F09"/>
    <w:rsid w:val="002F36A9"/>
    <w:rsid w:val="002F5191"/>
    <w:rsid w:val="002F7D49"/>
    <w:rsid w:val="003031EF"/>
    <w:rsid w:val="00303276"/>
    <w:rsid w:val="00304EB8"/>
    <w:rsid w:val="003057CC"/>
    <w:rsid w:val="003148DE"/>
    <w:rsid w:val="00317B75"/>
    <w:rsid w:val="003225A2"/>
    <w:rsid w:val="003228AA"/>
    <w:rsid w:val="003268B3"/>
    <w:rsid w:val="0034154D"/>
    <w:rsid w:val="00342E50"/>
    <w:rsid w:val="00354FE9"/>
    <w:rsid w:val="00355323"/>
    <w:rsid w:val="003622E6"/>
    <w:rsid w:val="00364A91"/>
    <w:rsid w:val="00367AEF"/>
    <w:rsid w:val="00373028"/>
    <w:rsid w:val="003762ED"/>
    <w:rsid w:val="00382A81"/>
    <w:rsid w:val="00382D63"/>
    <w:rsid w:val="003848D2"/>
    <w:rsid w:val="00384BF0"/>
    <w:rsid w:val="00392677"/>
    <w:rsid w:val="00396E8F"/>
    <w:rsid w:val="003A1EBD"/>
    <w:rsid w:val="003A3ACC"/>
    <w:rsid w:val="003B2814"/>
    <w:rsid w:val="003C37F8"/>
    <w:rsid w:val="003D6123"/>
    <w:rsid w:val="003D6EBC"/>
    <w:rsid w:val="003E178E"/>
    <w:rsid w:val="003E37FA"/>
    <w:rsid w:val="003E3DB6"/>
    <w:rsid w:val="003E5C0E"/>
    <w:rsid w:val="003E5D05"/>
    <w:rsid w:val="0040032B"/>
    <w:rsid w:val="00402004"/>
    <w:rsid w:val="00403E2A"/>
    <w:rsid w:val="00404439"/>
    <w:rsid w:val="004057FC"/>
    <w:rsid w:val="004139B4"/>
    <w:rsid w:val="004143E0"/>
    <w:rsid w:val="00416BD6"/>
    <w:rsid w:val="00420BD3"/>
    <w:rsid w:val="00421128"/>
    <w:rsid w:val="00421389"/>
    <w:rsid w:val="0042453E"/>
    <w:rsid w:val="00433653"/>
    <w:rsid w:val="004337E3"/>
    <w:rsid w:val="00436EF8"/>
    <w:rsid w:val="0043753D"/>
    <w:rsid w:val="00437C2D"/>
    <w:rsid w:val="00444FF2"/>
    <w:rsid w:val="00446CE4"/>
    <w:rsid w:val="004528D8"/>
    <w:rsid w:val="00456AF8"/>
    <w:rsid w:val="004606B5"/>
    <w:rsid w:val="00460763"/>
    <w:rsid w:val="00465FE7"/>
    <w:rsid w:val="004757ED"/>
    <w:rsid w:val="00480A38"/>
    <w:rsid w:val="00485EFB"/>
    <w:rsid w:val="00487338"/>
    <w:rsid w:val="0049140F"/>
    <w:rsid w:val="00494018"/>
    <w:rsid w:val="004967E1"/>
    <w:rsid w:val="00497E48"/>
    <w:rsid w:val="004A1E4C"/>
    <w:rsid w:val="004A307C"/>
    <w:rsid w:val="004A314D"/>
    <w:rsid w:val="004A3B6F"/>
    <w:rsid w:val="004A582B"/>
    <w:rsid w:val="004B0D1B"/>
    <w:rsid w:val="004B24B7"/>
    <w:rsid w:val="004B2DA0"/>
    <w:rsid w:val="004B71BE"/>
    <w:rsid w:val="004C034D"/>
    <w:rsid w:val="004C0C85"/>
    <w:rsid w:val="004C31E4"/>
    <w:rsid w:val="004C33E3"/>
    <w:rsid w:val="004C5E3D"/>
    <w:rsid w:val="004D443E"/>
    <w:rsid w:val="004D6E7D"/>
    <w:rsid w:val="004E1258"/>
    <w:rsid w:val="004E283C"/>
    <w:rsid w:val="004E3CAB"/>
    <w:rsid w:val="004E4460"/>
    <w:rsid w:val="004F1B65"/>
    <w:rsid w:val="004F1D10"/>
    <w:rsid w:val="004F229C"/>
    <w:rsid w:val="004F3F6F"/>
    <w:rsid w:val="004F70BC"/>
    <w:rsid w:val="005073E7"/>
    <w:rsid w:val="00512593"/>
    <w:rsid w:val="00514B6B"/>
    <w:rsid w:val="00524350"/>
    <w:rsid w:val="0052717B"/>
    <w:rsid w:val="00532530"/>
    <w:rsid w:val="00533A9E"/>
    <w:rsid w:val="005423CF"/>
    <w:rsid w:val="005458C0"/>
    <w:rsid w:val="00554C73"/>
    <w:rsid w:val="00556785"/>
    <w:rsid w:val="005642BD"/>
    <w:rsid w:val="00564573"/>
    <w:rsid w:val="0056592D"/>
    <w:rsid w:val="00570856"/>
    <w:rsid w:val="00572BAD"/>
    <w:rsid w:val="005731CA"/>
    <w:rsid w:val="00583735"/>
    <w:rsid w:val="00585F88"/>
    <w:rsid w:val="005915B1"/>
    <w:rsid w:val="00595755"/>
    <w:rsid w:val="00596B56"/>
    <w:rsid w:val="00597DF6"/>
    <w:rsid w:val="005A0905"/>
    <w:rsid w:val="005A21ED"/>
    <w:rsid w:val="005A2253"/>
    <w:rsid w:val="005A60B5"/>
    <w:rsid w:val="005B0C17"/>
    <w:rsid w:val="005B2717"/>
    <w:rsid w:val="005B2A78"/>
    <w:rsid w:val="005B3B0C"/>
    <w:rsid w:val="005B44F8"/>
    <w:rsid w:val="005B6303"/>
    <w:rsid w:val="005B72DD"/>
    <w:rsid w:val="005C0898"/>
    <w:rsid w:val="005C18AD"/>
    <w:rsid w:val="005D5E5A"/>
    <w:rsid w:val="005E5816"/>
    <w:rsid w:val="005E7689"/>
    <w:rsid w:val="005F316B"/>
    <w:rsid w:val="005F6190"/>
    <w:rsid w:val="005F78F7"/>
    <w:rsid w:val="00600016"/>
    <w:rsid w:val="00600E1A"/>
    <w:rsid w:val="00602D3C"/>
    <w:rsid w:val="00604B5E"/>
    <w:rsid w:val="00607ADD"/>
    <w:rsid w:val="006121BA"/>
    <w:rsid w:val="00613779"/>
    <w:rsid w:val="00616573"/>
    <w:rsid w:val="00616B5F"/>
    <w:rsid w:val="00621BC3"/>
    <w:rsid w:val="0062263B"/>
    <w:rsid w:val="0062499B"/>
    <w:rsid w:val="0062633C"/>
    <w:rsid w:val="0063197C"/>
    <w:rsid w:val="00637866"/>
    <w:rsid w:val="00637E32"/>
    <w:rsid w:val="00645066"/>
    <w:rsid w:val="0064667D"/>
    <w:rsid w:val="0066017E"/>
    <w:rsid w:val="006624F4"/>
    <w:rsid w:val="00662FE7"/>
    <w:rsid w:val="00663624"/>
    <w:rsid w:val="00666B10"/>
    <w:rsid w:val="00666DB0"/>
    <w:rsid w:val="006673EC"/>
    <w:rsid w:val="0066773B"/>
    <w:rsid w:val="00670157"/>
    <w:rsid w:val="006750C9"/>
    <w:rsid w:val="0067541B"/>
    <w:rsid w:val="00675C24"/>
    <w:rsid w:val="00676D98"/>
    <w:rsid w:val="00677D77"/>
    <w:rsid w:val="006814A2"/>
    <w:rsid w:val="00682629"/>
    <w:rsid w:val="00682A79"/>
    <w:rsid w:val="00686222"/>
    <w:rsid w:val="00690489"/>
    <w:rsid w:val="0069707D"/>
    <w:rsid w:val="006A39F4"/>
    <w:rsid w:val="006A43B1"/>
    <w:rsid w:val="006B1962"/>
    <w:rsid w:val="006B6DBE"/>
    <w:rsid w:val="006B6E6B"/>
    <w:rsid w:val="006C05F4"/>
    <w:rsid w:val="006C1C82"/>
    <w:rsid w:val="006C54A5"/>
    <w:rsid w:val="006C7FDD"/>
    <w:rsid w:val="006D52B2"/>
    <w:rsid w:val="006D5A80"/>
    <w:rsid w:val="006E0435"/>
    <w:rsid w:val="006E282B"/>
    <w:rsid w:val="006E44EF"/>
    <w:rsid w:val="006E4A82"/>
    <w:rsid w:val="006E7DE6"/>
    <w:rsid w:val="006F039F"/>
    <w:rsid w:val="006F0704"/>
    <w:rsid w:val="006F3539"/>
    <w:rsid w:val="006F3B00"/>
    <w:rsid w:val="006F7276"/>
    <w:rsid w:val="006F7447"/>
    <w:rsid w:val="007031B8"/>
    <w:rsid w:val="0070345B"/>
    <w:rsid w:val="00713DE5"/>
    <w:rsid w:val="00715632"/>
    <w:rsid w:val="007169A7"/>
    <w:rsid w:val="00720D92"/>
    <w:rsid w:val="0073279B"/>
    <w:rsid w:val="007341B8"/>
    <w:rsid w:val="0073511C"/>
    <w:rsid w:val="00741AB4"/>
    <w:rsid w:val="00742C69"/>
    <w:rsid w:val="00742E51"/>
    <w:rsid w:val="007472F9"/>
    <w:rsid w:val="0075152B"/>
    <w:rsid w:val="00751FB4"/>
    <w:rsid w:val="007535B8"/>
    <w:rsid w:val="00754786"/>
    <w:rsid w:val="00756CB1"/>
    <w:rsid w:val="007608FD"/>
    <w:rsid w:val="00762519"/>
    <w:rsid w:val="007645D5"/>
    <w:rsid w:val="0076659A"/>
    <w:rsid w:val="00766AED"/>
    <w:rsid w:val="00774D46"/>
    <w:rsid w:val="0078140B"/>
    <w:rsid w:val="00782F3A"/>
    <w:rsid w:val="00784A5C"/>
    <w:rsid w:val="0079303E"/>
    <w:rsid w:val="00794A99"/>
    <w:rsid w:val="007A0757"/>
    <w:rsid w:val="007A712D"/>
    <w:rsid w:val="007B031A"/>
    <w:rsid w:val="007B08C5"/>
    <w:rsid w:val="007B4ADF"/>
    <w:rsid w:val="007B62CB"/>
    <w:rsid w:val="007B6573"/>
    <w:rsid w:val="007C1774"/>
    <w:rsid w:val="007C1C43"/>
    <w:rsid w:val="007C23E0"/>
    <w:rsid w:val="007C4CD8"/>
    <w:rsid w:val="007C4DD9"/>
    <w:rsid w:val="007C6E3B"/>
    <w:rsid w:val="007D08FE"/>
    <w:rsid w:val="007D30DF"/>
    <w:rsid w:val="007D3649"/>
    <w:rsid w:val="007D4061"/>
    <w:rsid w:val="007E3EBD"/>
    <w:rsid w:val="007F4BD3"/>
    <w:rsid w:val="007F7F3E"/>
    <w:rsid w:val="00802F83"/>
    <w:rsid w:val="0080382F"/>
    <w:rsid w:val="00803ED2"/>
    <w:rsid w:val="00810505"/>
    <w:rsid w:val="008177BF"/>
    <w:rsid w:val="00820566"/>
    <w:rsid w:val="008229CF"/>
    <w:rsid w:val="00832913"/>
    <w:rsid w:val="0083455B"/>
    <w:rsid w:val="00834D19"/>
    <w:rsid w:val="00836D5B"/>
    <w:rsid w:val="00840A11"/>
    <w:rsid w:val="00844C12"/>
    <w:rsid w:val="00844EB1"/>
    <w:rsid w:val="00850F7D"/>
    <w:rsid w:val="0085219A"/>
    <w:rsid w:val="008614B6"/>
    <w:rsid w:val="00861658"/>
    <w:rsid w:val="00862691"/>
    <w:rsid w:val="00863717"/>
    <w:rsid w:val="00863DF5"/>
    <w:rsid w:val="00864ED0"/>
    <w:rsid w:val="0087119D"/>
    <w:rsid w:val="0087298E"/>
    <w:rsid w:val="008730CF"/>
    <w:rsid w:val="0087352C"/>
    <w:rsid w:val="00874E87"/>
    <w:rsid w:val="00884116"/>
    <w:rsid w:val="00884B1D"/>
    <w:rsid w:val="00885596"/>
    <w:rsid w:val="00885C7A"/>
    <w:rsid w:val="008917A8"/>
    <w:rsid w:val="00893076"/>
    <w:rsid w:val="00895929"/>
    <w:rsid w:val="008A0E0A"/>
    <w:rsid w:val="008B2647"/>
    <w:rsid w:val="008B3E6C"/>
    <w:rsid w:val="008B4D3F"/>
    <w:rsid w:val="008C0EB3"/>
    <w:rsid w:val="008C27CC"/>
    <w:rsid w:val="008C32A1"/>
    <w:rsid w:val="008C3867"/>
    <w:rsid w:val="008C4B3D"/>
    <w:rsid w:val="008C5CDA"/>
    <w:rsid w:val="008D0521"/>
    <w:rsid w:val="008D4186"/>
    <w:rsid w:val="008D6EE9"/>
    <w:rsid w:val="008E36A5"/>
    <w:rsid w:val="008E627F"/>
    <w:rsid w:val="008E686A"/>
    <w:rsid w:val="008F458F"/>
    <w:rsid w:val="008F5F6E"/>
    <w:rsid w:val="008F726F"/>
    <w:rsid w:val="009114C0"/>
    <w:rsid w:val="0091329D"/>
    <w:rsid w:val="00913EF2"/>
    <w:rsid w:val="00922E2D"/>
    <w:rsid w:val="00924448"/>
    <w:rsid w:val="00924711"/>
    <w:rsid w:val="00926E09"/>
    <w:rsid w:val="0092730B"/>
    <w:rsid w:val="00931939"/>
    <w:rsid w:val="00932707"/>
    <w:rsid w:val="00933DD9"/>
    <w:rsid w:val="00935DDF"/>
    <w:rsid w:val="00940F75"/>
    <w:rsid w:val="00941830"/>
    <w:rsid w:val="00947085"/>
    <w:rsid w:val="00947E3D"/>
    <w:rsid w:val="00951FB0"/>
    <w:rsid w:val="009523E9"/>
    <w:rsid w:val="00954311"/>
    <w:rsid w:val="00956F99"/>
    <w:rsid w:val="0096505D"/>
    <w:rsid w:val="00966082"/>
    <w:rsid w:val="009668C3"/>
    <w:rsid w:val="009778CD"/>
    <w:rsid w:val="00981659"/>
    <w:rsid w:val="00982F6E"/>
    <w:rsid w:val="00983635"/>
    <w:rsid w:val="0098467E"/>
    <w:rsid w:val="009907E5"/>
    <w:rsid w:val="00991D72"/>
    <w:rsid w:val="00992406"/>
    <w:rsid w:val="00995756"/>
    <w:rsid w:val="00996B7A"/>
    <w:rsid w:val="00997CB7"/>
    <w:rsid w:val="009B7251"/>
    <w:rsid w:val="009C100B"/>
    <w:rsid w:val="009C574B"/>
    <w:rsid w:val="009C7169"/>
    <w:rsid w:val="009D1AB1"/>
    <w:rsid w:val="009D46ED"/>
    <w:rsid w:val="009D54A5"/>
    <w:rsid w:val="009E1917"/>
    <w:rsid w:val="009E3D7D"/>
    <w:rsid w:val="009E41D6"/>
    <w:rsid w:val="009E47CB"/>
    <w:rsid w:val="009F3D3D"/>
    <w:rsid w:val="009F403B"/>
    <w:rsid w:val="009F54F9"/>
    <w:rsid w:val="009F72BE"/>
    <w:rsid w:val="009F7866"/>
    <w:rsid w:val="009F7DC5"/>
    <w:rsid w:val="00A00786"/>
    <w:rsid w:val="00A111A4"/>
    <w:rsid w:val="00A112C7"/>
    <w:rsid w:val="00A20009"/>
    <w:rsid w:val="00A21729"/>
    <w:rsid w:val="00A2254E"/>
    <w:rsid w:val="00A22721"/>
    <w:rsid w:val="00A26DBA"/>
    <w:rsid w:val="00A330B5"/>
    <w:rsid w:val="00A33C99"/>
    <w:rsid w:val="00A351D1"/>
    <w:rsid w:val="00A359C0"/>
    <w:rsid w:val="00A37A54"/>
    <w:rsid w:val="00A37B72"/>
    <w:rsid w:val="00A40270"/>
    <w:rsid w:val="00A4438E"/>
    <w:rsid w:val="00A46613"/>
    <w:rsid w:val="00A47921"/>
    <w:rsid w:val="00A50523"/>
    <w:rsid w:val="00A5727F"/>
    <w:rsid w:val="00A576F7"/>
    <w:rsid w:val="00A57F83"/>
    <w:rsid w:val="00A6095B"/>
    <w:rsid w:val="00A62ABC"/>
    <w:rsid w:val="00A71314"/>
    <w:rsid w:val="00A75D52"/>
    <w:rsid w:val="00A851BA"/>
    <w:rsid w:val="00A85239"/>
    <w:rsid w:val="00A856D9"/>
    <w:rsid w:val="00A87367"/>
    <w:rsid w:val="00A92DD3"/>
    <w:rsid w:val="00A94E9F"/>
    <w:rsid w:val="00A96094"/>
    <w:rsid w:val="00AA1495"/>
    <w:rsid w:val="00AB7286"/>
    <w:rsid w:val="00AC004D"/>
    <w:rsid w:val="00AC0FAA"/>
    <w:rsid w:val="00AC1B11"/>
    <w:rsid w:val="00AC1C34"/>
    <w:rsid w:val="00AC1E0E"/>
    <w:rsid w:val="00AC5760"/>
    <w:rsid w:val="00AD0203"/>
    <w:rsid w:val="00AD077D"/>
    <w:rsid w:val="00AD0EA8"/>
    <w:rsid w:val="00AD2984"/>
    <w:rsid w:val="00AD3734"/>
    <w:rsid w:val="00AD4244"/>
    <w:rsid w:val="00AD426A"/>
    <w:rsid w:val="00AD5B55"/>
    <w:rsid w:val="00AE147E"/>
    <w:rsid w:val="00AE61EB"/>
    <w:rsid w:val="00AE6EB7"/>
    <w:rsid w:val="00AF0335"/>
    <w:rsid w:val="00AF08B8"/>
    <w:rsid w:val="00AF1E88"/>
    <w:rsid w:val="00AF3286"/>
    <w:rsid w:val="00AF48FE"/>
    <w:rsid w:val="00AF5FF1"/>
    <w:rsid w:val="00AF6599"/>
    <w:rsid w:val="00AF78D1"/>
    <w:rsid w:val="00AF796F"/>
    <w:rsid w:val="00B009A6"/>
    <w:rsid w:val="00B05378"/>
    <w:rsid w:val="00B1052F"/>
    <w:rsid w:val="00B10C6B"/>
    <w:rsid w:val="00B127C7"/>
    <w:rsid w:val="00B15AF4"/>
    <w:rsid w:val="00B1672F"/>
    <w:rsid w:val="00B207B5"/>
    <w:rsid w:val="00B21184"/>
    <w:rsid w:val="00B2148E"/>
    <w:rsid w:val="00B24F58"/>
    <w:rsid w:val="00B33FF1"/>
    <w:rsid w:val="00B3410C"/>
    <w:rsid w:val="00B34A00"/>
    <w:rsid w:val="00B37BB4"/>
    <w:rsid w:val="00B40127"/>
    <w:rsid w:val="00B46D53"/>
    <w:rsid w:val="00B46E57"/>
    <w:rsid w:val="00B4782B"/>
    <w:rsid w:val="00B47A3C"/>
    <w:rsid w:val="00B5073A"/>
    <w:rsid w:val="00B517E8"/>
    <w:rsid w:val="00B51DBC"/>
    <w:rsid w:val="00B55416"/>
    <w:rsid w:val="00B5690C"/>
    <w:rsid w:val="00B56D45"/>
    <w:rsid w:val="00B57B8A"/>
    <w:rsid w:val="00B6247F"/>
    <w:rsid w:val="00B65602"/>
    <w:rsid w:val="00B65B60"/>
    <w:rsid w:val="00B66FBF"/>
    <w:rsid w:val="00B708D5"/>
    <w:rsid w:val="00B71C41"/>
    <w:rsid w:val="00B75D52"/>
    <w:rsid w:val="00B76F91"/>
    <w:rsid w:val="00B77285"/>
    <w:rsid w:val="00B77DB5"/>
    <w:rsid w:val="00B9675C"/>
    <w:rsid w:val="00B97E97"/>
    <w:rsid w:val="00BA15D3"/>
    <w:rsid w:val="00BA5222"/>
    <w:rsid w:val="00BA644F"/>
    <w:rsid w:val="00BA7E91"/>
    <w:rsid w:val="00BB489A"/>
    <w:rsid w:val="00BB5080"/>
    <w:rsid w:val="00BC00BF"/>
    <w:rsid w:val="00BC04B0"/>
    <w:rsid w:val="00BC24A3"/>
    <w:rsid w:val="00BD040B"/>
    <w:rsid w:val="00BD0453"/>
    <w:rsid w:val="00BD11F4"/>
    <w:rsid w:val="00BD3A5D"/>
    <w:rsid w:val="00BD78CB"/>
    <w:rsid w:val="00BE35A3"/>
    <w:rsid w:val="00BE3B59"/>
    <w:rsid w:val="00BE3B6C"/>
    <w:rsid w:val="00BE4939"/>
    <w:rsid w:val="00BF1FDC"/>
    <w:rsid w:val="00C04945"/>
    <w:rsid w:val="00C053CC"/>
    <w:rsid w:val="00C12405"/>
    <w:rsid w:val="00C13259"/>
    <w:rsid w:val="00C17247"/>
    <w:rsid w:val="00C21082"/>
    <w:rsid w:val="00C2177B"/>
    <w:rsid w:val="00C22352"/>
    <w:rsid w:val="00C238D4"/>
    <w:rsid w:val="00C275D1"/>
    <w:rsid w:val="00C3022D"/>
    <w:rsid w:val="00C32EA6"/>
    <w:rsid w:val="00C33B1B"/>
    <w:rsid w:val="00C35940"/>
    <w:rsid w:val="00C36677"/>
    <w:rsid w:val="00C43852"/>
    <w:rsid w:val="00C44793"/>
    <w:rsid w:val="00C4508F"/>
    <w:rsid w:val="00C45249"/>
    <w:rsid w:val="00C5196A"/>
    <w:rsid w:val="00C52045"/>
    <w:rsid w:val="00C54442"/>
    <w:rsid w:val="00C57DBF"/>
    <w:rsid w:val="00C60BD6"/>
    <w:rsid w:val="00C644FC"/>
    <w:rsid w:val="00C700F2"/>
    <w:rsid w:val="00C76B21"/>
    <w:rsid w:val="00C775E2"/>
    <w:rsid w:val="00C85758"/>
    <w:rsid w:val="00C9031D"/>
    <w:rsid w:val="00C93B85"/>
    <w:rsid w:val="00C95627"/>
    <w:rsid w:val="00C95A94"/>
    <w:rsid w:val="00C9729E"/>
    <w:rsid w:val="00CA077B"/>
    <w:rsid w:val="00CA4D9B"/>
    <w:rsid w:val="00CB026B"/>
    <w:rsid w:val="00CB0AFD"/>
    <w:rsid w:val="00CB263F"/>
    <w:rsid w:val="00CC58FD"/>
    <w:rsid w:val="00CC6C78"/>
    <w:rsid w:val="00CD12E8"/>
    <w:rsid w:val="00CD3C38"/>
    <w:rsid w:val="00CE02A1"/>
    <w:rsid w:val="00CF5F83"/>
    <w:rsid w:val="00D00882"/>
    <w:rsid w:val="00D054EF"/>
    <w:rsid w:val="00D05DD3"/>
    <w:rsid w:val="00D07682"/>
    <w:rsid w:val="00D16237"/>
    <w:rsid w:val="00D21F2D"/>
    <w:rsid w:val="00D24EA0"/>
    <w:rsid w:val="00D2514B"/>
    <w:rsid w:val="00D30272"/>
    <w:rsid w:val="00D35782"/>
    <w:rsid w:val="00D35C1E"/>
    <w:rsid w:val="00D35E79"/>
    <w:rsid w:val="00D37298"/>
    <w:rsid w:val="00D408AA"/>
    <w:rsid w:val="00D41AB1"/>
    <w:rsid w:val="00D451B0"/>
    <w:rsid w:val="00D50D44"/>
    <w:rsid w:val="00D5243C"/>
    <w:rsid w:val="00D54833"/>
    <w:rsid w:val="00D557CF"/>
    <w:rsid w:val="00D5721C"/>
    <w:rsid w:val="00D57E4F"/>
    <w:rsid w:val="00D60436"/>
    <w:rsid w:val="00D60DF1"/>
    <w:rsid w:val="00D6233B"/>
    <w:rsid w:val="00D62F3F"/>
    <w:rsid w:val="00D63708"/>
    <w:rsid w:val="00D63A81"/>
    <w:rsid w:val="00D7231E"/>
    <w:rsid w:val="00D73070"/>
    <w:rsid w:val="00D74263"/>
    <w:rsid w:val="00D74C61"/>
    <w:rsid w:val="00D75032"/>
    <w:rsid w:val="00D750CB"/>
    <w:rsid w:val="00D75904"/>
    <w:rsid w:val="00D77757"/>
    <w:rsid w:val="00D77BD4"/>
    <w:rsid w:val="00D831E9"/>
    <w:rsid w:val="00D84531"/>
    <w:rsid w:val="00D8646A"/>
    <w:rsid w:val="00D873A9"/>
    <w:rsid w:val="00D8795E"/>
    <w:rsid w:val="00D9063F"/>
    <w:rsid w:val="00D90C59"/>
    <w:rsid w:val="00D943FB"/>
    <w:rsid w:val="00D944D5"/>
    <w:rsid w:val="00D96256"/>
    <w:rsid w:val="00DA0C47"/>
    <w:rsid w:val="00DA7E9F"/>
    <w:rsid w:val="00DB0BC8"/>
    <w:rsid w:val="00DB3EF0"/>
    <w:rsid w:val="00DB4E45"/>
    <w:rsid w:val="00DB4F9F"/>
    <w:rsid w:val="00DB73DE"/>
    <w:rsid w:val="00DB7E3B"/>
    <w:rsid w:val="00DC4289"/>
    <w:rsid w:val="00DD267D"/>
    <w:rsid w:val="00DD6E8B"/>
    <w:rsid w:val="00DE342A"/>
    <w:rsid w:val="00DE3719"/>
    <w:rsid w:val="00DE5DFE"/>
    <w:rsid w:val="00DE62D9"/>
    <w:rsid w:val="00DE6486"/>
    <w:rsid w:val="00DE66C5"/>
    <w:rsid w:val="00DE6741"/>
    <w:rsid w:val="00DE71AB"/>
    <w:rsid w:val="00DE7C5C"/>
    <w:rsid w:val="00DF2209"/>
    <w:rsid w:val="00DF4E0C"/>
    <w:rsid w:val="00E00D48"/>
    <w:rsid w:val="00E02B53"/>
    <w:rsid w:val="00E0575D"/>
    <w:rsid w:val="00E07F81"/>
    <w:rsid w:val="00E11F7B"/>
    <w:rsid w:val="00E14CAF"/>
    <w:rsid w:val="00E1524D"/>
    <w:rsid w:val="00E1668B"/>
    <w:rsid w:val="00E17402"/>
    <w:rsid w:val="00E362D2"/>
    <w:rsid w:val="00E36FD2"/>
    <w:rsid w:val="00E40D33"/>
    <w:rsid w:val="00E41ED0"/>
    <w:rsid w:val="00E44609"/>
    <w:rsid w:val="00E45D19"/>
    <w:rsid w:val="00E47D60"/>
    <w:rsid w:val="00E56D87"/>
    <w:rsid w:val="00E6275C"/>
    <w:rsid w:val="00E63736"/>
    <w:rsid w:val="00E67626"/>
    <w:rsid w:val="00E67F78"/>
    <w:rsid w:val="00E73A22"/>
    <w:rsid w:val="00E74DCC"/>
    <w:rsid w:val="00E77872"/>
    <w:rsid w:val="00E81393"/>
    <w:rsid w:val="00E82741"/>
    <w:rsid w:val="00E84976"/>
    <w:rsid w:val="00E904E8"/>
    <w:rsid w:val="00E9144C"/>
    <w:rsid w:val="00E92A51"/>
    <w:rsid w:val="00E9322C"/>
    <w:rsid w:val="00E93FBA"/>
    <w:rsid w:val="00E95F0A"/>
    <w:rsid w:val="00EA0AF7"/>
    <w:rsid w:val="00EA0BBC"/>
    <w:rsid w:val="00EB5B0E"/>
    <w:rsid w:val="00EB7813"/>
    <w:rsid w:val="00EC13DC"/>
    <w:rsid w:val="00EC3AAE"/>
    <w:rsid w:val="00EC5D5C"/>
    <w:rsid w:val="00EC647D"/>
    <w:rsid w:val="00EC7C2C"/>
    <w:rsid w:val="00ED2BE5"/>
    <w:rsid w:val="00ED64CA"/>
    <w:rsid w:val="00ED6756"/>
    <w:rsid w:val="00ED7C9E"/>
    <w:rsid w:val="00EE3C98"/>
    <w:rsid w:val="00EE7383"/>
    <w:rsid w:val="00EF1171"/>
    <w:rsid w:val="00EF20AD"/>
    <w:rsid w:val="00EF6235"/>
    <w:rsid w:val="00F038EC"/>
    <w:rsid w:val="00F03D7D"/>
    <w:rsid w:val="00F043C1"/>
    <w:rsid w:val="00F123DD"/>
    <w:rsid w:val="00F12CB7"/>
    <w:rsid w:val="00F12E15"/>
    <w:rsid w:val="00F268A4"/>
    <w:rsid w:val="00F277C6"/>
    <w:rsid w:val="00F32EE4"/>
    <w:rsid w:val="00F357D1"/>
    <w:rsid w:val="00F40391"/>
    <w:rsid w:val="00F51625"/>
    <w:rsid w:val="00F5192D"/>
    <w:rsid w:val="00F53B9F"/>
    <w:rsid w:val="00F56BC8"/>
    <w:rsid w:val="00F60210"/>
    <w:rsid w:val="00F624F8"/>
    <w:rsid w:val="00F66954"/>
    <w:rsid w:val="00F711E6"/>
    <w:rsid w:val="00F7156E"/>
    <w:rsid w:val="00F772B5"/>
    <w:rsid w:val="00F80E59"/>
    <w:rsid w:val="00F91872"/>
    <w:rsid w:val="00F9574D"/>
    <w:rsid w:val="00F96622"/>
    <w:rsid w:val="00F96819"/>
    <w:rsid w:val="00FA3293"/>
    <w:rsid w:val="00FB10F9"/>
    <w:rsid w:val="00FB1880"/>
    <w:rsid w:val="00FB35B8"/>
    <w:rsid w:val="00FB558D"/>
    <w:rsid w:val="00FC270E"/>
    <w:rsid w:val="00FC5222"/>
    <w:rsid w:val="00FC61EB"/>
    <w:rsid w:val="00FC6304"/>
    <w:rsid w:val="00FC6D06"/>
    <w:rsid w:val="00FC7862"/>
    <w:rsid w:val="00FD325E"/>
    <w:rsid w:val="00FD4928"/>
    <w:rsid w:val="00FD4D8B"/>
    <w:rsid w:val="00FD51A3"/>
    <w:rsid w:val="00FD59D0"/>
    <w:rsid w:val="00FD5ADC"/>
    <w:rsid w:val="00FE25E6"/>
    <w:rsid w:val="00FE410F"/>
    <w:rsid w:val="00FE509F"/>
    <w:rsid w:val="00FE5539"/>
    <w:rsid w:val="00FF047F"/>
    <w:rsid w:val="00FF1AE5"/>
    <w:rsid w:val="00FF2BB3"/>
    <w:rsid w:val="00FF5302"/>
    <w:rsid w:val="00FF6F4F"/>
    <w:rsid w:val="00FF7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6C840"/>
  <w15:chartTrackingRefBased/>
  <w15:docId w15:val="{083608F4-C9AF-4D5C-9A25-CE4791820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DF5"/>
  </w:style>
  <w:style w:type="paragraph" w:styleId="Heading1">
    <w:name w:val="heading 1"/>
    <w:basedOn w:val="Normal"/>
    <w:next w:val="Normal"/>
    <w:link w:val="Heading1Char"/>
    <w:uiPriority w:val="9"/>
    <w:qFormat/>
    <w:rsid w:val="00863D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63DF5"/>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GB"/>
    </w:rPr>
  </w:style>
  <w:style w:type="paragraph" w:styleId="Heading3">
    <w:name w:val="heading 3"/>
    <w:basedOn w:val="Normal"/>
    <w:next w:val="Normal"/>
    <w:link w:val="Heading3Char"/>
    <w:uiPriority w:val="9"/>
    <w:unhideWhenUsed/>
    <w:qFormat/>
    <w:rsid w:val="00863DF5"/>
    <w:pPr>
      <w:keepNext/>
      <w:keepLines/>
      <w:spacing w:before="200" w:after="0" w:line="276" w:lineRule="auto"/>
      <w:outlineLvl w:val="2"/>
    </w:pPr>
    <w:rPr>
      <w:rFonts w:asciiTheme="majorHAnsi" w:eastAsiaTheme="majorEastAsia" w:hAnsiTheme="majorHAnsi" w:cstheme="majorBidi"/>
      <w:b/>
      <w:bCs/>
      <w:color w:val="5B9BD5" w:themeColor="accent1"/>
      <w:lang w:val="en-GB"/>
    </w:rPr>
  </w:style>
  <w:style w:type="paragraph" w:styleId="Heading4">
    <w:name w:val="heading 4"/>
    <w:basedOn w:val="Normal"/>
    <w:next w:val="Normal"/>
    <w:link w:val="Heading4Char"/>
    <w:uiPriority w:val="9"/>
    <w:unhideWhenUsed/>
    <w:qFormat/>
    <w:rsid w:val="00863DF5"/>
    <w:pPr>
      <w:keepNext/>
      <w:keepLines/>
      <w:spacing w:before="200" w:after="0" w:line="276" w:lineRule="auto"/>
      <w:outlineLvl w:val="3"/>
    </w:pPr>
    <w:rPr>
      <w:rFonts w:asciiTheme="majorHAnsi" w:eastAsiaTheme="majorEastAsia" w:hAnsiTheme="majorHAnsi" w:cstheme="majorBidi"/>
      <w:b/>
      <w:bCs/>
      <w:i/>
      <w:iCs/>
      <w:color w:val="5B9BD5" w:themeColor="accent1"/>
      <w:lang w:val="en-GB"/>
    </w:rPr>
  </w:style>
  <w:style w:type="paragraph" w:styleId="Heading5">
    <w:name w:val="heading 5"/>
    <w:basedOn w:val="Normal"/>
    <w:next w:val="Normal"/>
    <w:link w:val="Heading5Char"/>
    <w:uiPriority w:val="9"/>
    <w:unhideWhenUsed/>
    <w:qFormat/>
    <w:rsid w:val="00863DF5"/>
    <w:pPr>
      <w:keepNext/>
      <w:keepLines/>
      <w:spacing w:before="200" w:after="0" w:line="276" w:lineRule="auto"/>
      <w:outlineLvl w:val="4"/>
    </w:pPr>
    <w:rPr>
      <w:rFonts w:asciiTheme="majorHAnsi" w:eastAsiaTheme="majorEastAsia" w:hAnsiTheme="majorHAnsi" w:cstheme="majorBidi"/>
      <w:color w:val="1F4D78" w:themeColor="accent1" w:themeShade="7F"/>
      <w:lang w:val="en-GB"/>
    </w:rPr>
  </w:style>
  <w:style w:type="paragraph" w:styleId="Heading6">
    <w:name w:val="heading 6"/>
    <w:basedOn w:val="Normal"/>
    <w:next w:val="Normal"/>
    <w:link w:val="Heading6Char"/>
    <w:uiPriority w:val="9"/>
    <w:unhideWhenUsed/>
    <w:qFormat/>
    <w:rsid w:val="00863DF5"/>
    <w:pPr>
      <w:keepNext/>
      <w:keepLines/>
      <w:spacing w:before="200" w:after="0" w:line="276" w:lineRule="auto"/>
      <w:outlineLvl w:val="5"/>
    </w:pPr>
    <w:rPr>
      <w:rFonts w:asciiTheme="majorHAnsi" w:eastAsiaTheme="majorEastAsia" w:hAnsiTheme="majorHAnsi" w:cstheme="majorBidi"/>
      <w:i/>
      <w:iCs/>
      <w:color w:val="1F4D78" w:themeColor="accent1" w:themeShade="7F"/>
      <w:lang w:val="en-GB"/>
    </w:rPr>
  </w:style>
  <w:style w:type="paragraph" w:styleId="Heading7">
    <w:name w:val="heading 7"/>
    <w:basedOn w:val="Normal"/>
    <w:next w:val="Normal"/>
    <w:link w:val="Heading7Char"/>
    <w:uiPriority w:val="9"/>
    <w:unhideWhenUsed/>
    <w:qFormat/>
    <w:rsid w:val="00863DF5"/>
    <w:pPr>
      <w:keepNext/>
      <w:keepLines/>
      <w:spacing w:before="200" w:after="0" w:line="276" w:lineRule="auto"/>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unhideWhenUsed/>
    <w:qFormat/>
    <w:rsid w:val="00863DF5"/>
    <w:pPr>
      <w:keepNext/>
      <w:keepLines/>
      <w:spacing w:before="200" w:after="0" w:line="276" w:lineRule="auto"/>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unhideWhenUsed/>
    <w:qFormat/>
    <w:rsid w:val="00863DF5"/>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D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63DF5"/>
    <w:rPr>
      <w:rFonts w:asciiTheme="majorHAnsi" w:eastAsiaTheme="majorEastAsia" w:hAnsiTheme="majorHAnsi" w:cstheme="majorBidi"/>
      <w:b/>
      <w:bCs/>
      <w:color w:val="5B9BD5" w:themeColor="accent1"/>
      <w:sz w:val="26"/>
      <w:szCs w:val="26"/>
      <w:lang w:val="en-GB"/>
    </w:rPr>
  </w:style>
  <w:style w:type="character" w:customStyle="1" w:styleId="Heading3Char">
    <w:name w:val="Heading 3 Char"/>
    <w:basedOn w:val="DefaultParagraphFont"/>
    <w:link w:val="Heading3"/>
    <w:uiPriority w:val="9"/>
    <w:rsid w:val="00863DF5"/>
    <w:rPr>
      <w:rFonts w:asciiTheme="majorHAnsi" w:eastAsiaTheme="majorEastAsia" w:hAnsiTheme="majorHAnsi" w:cstheme="majorBidi"/>
      <w:b/>
      <w:bCs/>
      <w:color w:val="5B9BD5" w:themeColor="accent1"/>
      <w:lang w:val="en-GB"/>
    </w:rPr>
  </w:style>
  <w:style w:type="character" w:customStyle="1" w:styleId="Heading4Char">
    <w:name w:val="Heading 4 Char"/>
    <w:basedOn w:val="DefaultParagraphFont"/>
    <w:link w:val="Heading4"/>
    <w:uiPriority w:val="9"/>
    <w:rsid w:val="00863DF5"/>
    <w:rPr>
      <w:rFonts w:asciiTheme="majorHAnsi" w:eastAsiaTheme="majorEastAsia" w:hAnsiTheme="majorHAnsi" w:cstheme="majorBidi"/>
      <w:b/>
      <w:bCs/>
      <w:i/>
      <w:iCs/>
      <w:color w:val="5B9BD5" w:themeColor="accent1"/>
      <w:lang w:val="en-GB"/>
    </w:rPr>
  </w:style>
  <w:style w:type="character" w:customStyle="1" w:styleId="Heading5Char">
    <w:name w:val="Heading 5 Char"/>
    <w:basedOn w:val="DefaultParagraphFont"/>
    <w:link w:val="Heading5"/>
    <w:uiPriority w:val="9"/>
    <w:rsid w:val="00863DF5"/>
    <w:rPr>
      <w:rFonts w:asciiTheme="majorHAnsi" w:eastAsiaTheme="majorEastAsia" w:hAnsiTheme="majorHAnsi" w:cstheme="majorBidi"/>
      <w:color w:val="1F4D78" w:themeColor="accent1" w:themeShade="7F"/>
      <w:lang w:val="en-GB"/>
    </w:rPr>
  </w:style>
  <w:style w:type="character" w:customStyle="1" w:styleId="Heading6Char">
    <w:name w:val="Heading 6 Char"/>
    <w:basedOn w:val="DefaultParagraphFont"/>
    <w:link w:val="Heading6"/>
    <w:uiPriority w:val="9"/>
    <w:rsid w:val="00863DF5"/>
    <w:rPr>
      <w:rFonts w:asciiTheme="majorHAnsi" w:eastAsiaTheme="majorEastAsia" w:hAnsiTheme="majorHAnsi" w:cstheme="majorBidi"/>
      <w:i/>
      <w:iCs/>
      <w:color w:val="1F4D78" w:themeColor="accent1" w:themeShade="7F"/>
      <w:lang w:val="en-GB"/>
    </w:rPr>
  </w:style>
  <w:style w:type="character" w:customStyle="1" w:styleId="Heading7Char">
    <w:name w:val="Heading 7 Char"/>
    <w:basedOn w:val="DefaultParagraphFont"/>
    <w:link w:val="Heading7"/>
    <w:uiPriority w:val="9"/>
    <w:rsid w:val="00863DF5"/>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863DF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rsid w:val="00863DF5"/>
    <w:rPr>
      <w:rFonts w:asciiTheme="majorHAnsi" w:eastAsiaTheme="majorEastAsia" w:hAnsiTheme="majorHAnsi" w:cstheme="majorBidi"/>
      <w:i/>
      <w:iCs/>
      <w:color w:val="404040" w:themeColor="text1" w:themeTint="BF"/>
      <w:sz w:val="20"/>
      <w:szCs w:val="20"/>
      <w:lang w:val="en-GB"/>
    </w:rPr>
  </w:style>
  <w:style w:type="paragraph" w:customStyle="1" w:styleId="Default">
    <w:name w:val="Default"/>
    <w:rsid w:val="00863DF5"/>
    <w:pPr>
      <w:autoSpaceDE w:val="0"/>
      <w:autoSpaceDN w:val="0"/>
      <w:adjustRightInd w:val="0"/>
      <w:spacing w:after="0" w:line="240" w:lineRule="auto"/>
    </w:pPr>
    <w:rPr>
      <w:rFonts w:ascii="Arial" w:hAnsi="Arial" w:cs="Arial"/>
      <w:color w:val="000000"/>
      <w:sz w:val="24"/>
      <w:szCs w:val="24"/>
    </w:rPr>
  </w:style>
  <w:style w:type="paragraph" w:customStyle="1" w:styleId="USBtitlepage">
    <w:name w:val="USB title page"/>
    <w:basedOn w:val="Normal"/>
    <w:rsid w:val="00863DF5"/>
    <w:pPr>
      <w:spacing w:after="120" w:line="480" w:lineRule="auto"/>
      <w:jc w:val="center"/>
    </w:pPr>
    <w:rPr>
      <w:rFonts w:ascii="Arial" w:eastAsia="Times New Roman" w:hAnsi="Arial" w:cs="Arial"/>
      <w:sz w:val="24"/>
      <w:szCs w:val="24"/>
      <w:lang w:val="en-GB"/>
    </w:rPr>
  </w:style>
  <w:style w:type="paragraph" w:styleId="TOCHeading">
    <w:name w:val="TOC Heading"/>
    <w:basedOn w:val="Heading1"/>
    <w:next w:val="Normal"/>
    <w:uiPriority w:val="39"/>
    <w:unhideWhenUsed/>
    <w:qFormat/>
    <w:rsid w:val="00863DF5"/>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863DF5"/>
    <w:pPr>
      <w:tabs>
        <w:tab w:val="right" w:leader="dot" w:pos="9016"/>
      </w:tabs>
      <w:spacing w:after="100" w:line="276" w:lineRule="auto"/>
    </w:pPr>
    <w:rPr>
      <w:rFonts w:ascii="Times New Roman" w:hAnsi="Times New Roman" w:cs="Times New Roman"/>
      <w:noProof/>
      <w:sz w:val="28"/>
      <w:szCs w:val="28"/>
      <w:lang w:val="en-GB"/>
    </w:rPr>
  </w:style>
  <w:style w:type="character" w:styleId="Hyperlink">
    <w:name w:val="Hyperlink"/>
    <w:basedOn w:val="DefaultParagraphFont"/>
    <w:uiPriority w:val="99"/>
    <w:unhideWhenUsed/>
    <w:rsid w:val="00863DF5"/>
    <w:rPr>
      <w:color w:val="0563C1" w:themeColor="hyperlink"/>
      <w:u w:val="single"/>
    </w:rPr>
  </w:style>
  <w:style w:type="paragraph" w:styleId="TOC2">
    <w:name w:val="toc 2"/>
    <w:basedOn w:val="Normal"/>
    <w:next w:val="Normal"/>
    <w:autoRedefine/>
    <w:uiPriority w:val="39"/>
    <w:unhideWhenUsed/>
    <w:qFormat/>
    <w:rsid w:val="00BE3B6C"/>
    <w:pPr>
      <w:tabs>
        <w:tab w:val="right" w:leader="dot" w:pos="9016"/>
      </w:tabs>
      <w:spacing w:after="100" w:line="276" w:lineRule="auto"/>
      <w:ind w:left="220"/>
    </w:pPr>
    <w:rPr>
      <w:rFonts w:ascii="Times New Roman" w:hAnsi="Times New Roman" w:cs="Times New Roman"/>
      <w:noProof/>
      <w:lang w:val="en-GB"/>
    </w:rPr>
  </w:style>
  <w:style w:type="paragraph" w:styleId="TOC3">
    <w:name w:val="toc 3"/>
    <w:basedOn w:val="Normal"/>
    <w:next w:val="Normal"/>
    <w:autoRedefine/>
    <w:uiPriority w:val="39"/>
    <w:unhideWhenUsed/>
    <w:qFormat/>
    <w:rsid w:val="001E1A25"/>
    <w:pPr>
      <w:tabs>
        <w:tab w:val="right" w:leader="dot" w:pos="9736"/>
      </w:tabs>
      <w:spacing w:after="100" w:line="276" w:lineRule="auto"/>
      <w:ind w:left="440"/>
    </w:pPr>
    <w:rPr>
      <w:rFonts w:eastAsiaTheme="minorEastAsia"/>
      <w:noProof/>
      <w:lang w:eastAsia="ja-JP"/>
    </w:rPr>
  </w:style>
  <w:style w:type="character" w:styleId="Strong">
    <w:name w:val="Strong"/>
    <w:basedOn w:val="DefaultParagraphFont"/>
    <w:uiPriority w:val="22"/>
    <w:qFormat/>
    <w:rsid w:val="00863DF5"/>
    <w:rPr>
      <w:b/>
      <w:bCs/>
    </w:rPr>
  </w:style>
  <w:style w:type="paragraph" w:styleId="NormalWeb">
    <w:name w:val="Normal (Web)"/>
    <w:basedOn w:val="Normal"/>
    <w:uiPriority w:val="99"/>
    <w:unhideWhenUsed/>
    <w:rsid w:val="00863DF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863DF5"/>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863DF5"/>
    <w:rPr>
      <w:rFonts w:ascii="Tahoma" w:hAnsi="Tahoma" w:cs="Tahoma"/>
      <w:sz w:val="16"/>
      <w:szCs w:val="16"/>
      <w:lang w:val="en-GB"/>
    </w:rPr>
  </w:style>
  <w:style w:type="paragraph" w:styleId="ListParagraph">
    <w:name w:val="List Paragraph"/>
    <w:basedOn w:val="Normal"/>
    <w:uiPriority w:val="34"/>
    <w:qFormat/>
    <w:rsid w:val="00863DF5"/>
    <w:pPr>
      <w:spacing w:after="200" w:line="276" w:lineRule="auto"/>
      <w:ind w:left="720"/>
      <w:contextualSpacing/>
    </w:pPr>
    <w:rPr>
      <w:lang w:val="en-GB"/>
    </w:rPr>
  </w:style>
  <w:style w:type="paragraph" w:styleId="FootnoteText">
    <w:name w:val="footnote text"/>
    <w:basedOn w:val="Normal"/>
    <w:link w:val="FootnoteTextChar"/>
    <w:semiHidden/>
    <w:unhideWhenUsed/>
    <w:rsid w:val="00863DF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63DF5"/>
    <w:rPr>
      <w:rFonts w:ascii="Times New Roman" w:eastAsia="Times New Roman" w:hAnsi="Times New Roman" w:cs="Times New Roman"/>
      <w:sz w:val="20"/>
      <w:szCs w:val="20"/>
    </w:rPr>
  </w:style>
  <w:style w:type="character" w:customStyle="1" w:styleId="gd">
    <w:name w:val="gd"/>
    <w:basedOn w:val="DefaultParagraphFont"/>
    <w:rsid w:val="00863DF5"/>
  </w:style>
  <w:style w:type="paragraph" w:styleId="Header">
    <w:name w:val="header"/>
    <w:basedOn w:val="Normal"/>
    <w:link w:val="HeaderChar"/>
    <w:unhideWhenUsed/>
    <w:rsid w:val="00863DF5"/>
    <w:pPr>
      <w:tabs>
        <w:tab w:val="center" w:pos="4513"/>
        <w:tab w:val="right" w:pos="9026"/>
      </w:tabs>
      <w:spacing w:after="0" w:line="240" w:lineRule="auto"/>
    </w:pPr>
    <w:rPr>
      <w:lang w:val="en-GB"/>
    </w:rPr>
  </w:style>
  <w:style w:type="character" w:customStyle="1" w:styleId="HeaderChar">
    <w:name w:val="Header Char"/>
    <w:basedOn w:val="DefaultParagraphFont"/>
    <w:link w:val="Header"/>
    <w:rsid w:val="00863DF5"/>
    <w:rPr>
      <w:lang w:val="en-GB"/>
    </w:rPr>
  </w:style>
  <w:style w:type="paragraph" w:styleId="Footer">
    <w:name w:val="footer"/>
    <w:basedOn w:val="Normal"/>
    <w:link w:val="FooterChar"/>
    <w:uiPriority w:val="99"/>
    <w:unhideWhenUsed/>
    <w:rsid w:val="00863DF5"/>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863DF5"/>
    <w:rPr>
      <w:lang w:val="en-GB"/>
    </w:rPr>
  </w:style>
  <w:style w:type="character" w:customStyle="1" w:styleId="highlight">
    <w:name w:val="highlight"/>
    <w:basedOn w:val="DefaultParagraphFont"/>
    <w:rsid w:val="00863DF5"/>
  </w:style>
  <w:style w:type="character" w:customStyle="1" w:styleId="ui-ncbitoggler-master-text">
    <w:name w:val="ui-ncbitoggler-master-text"/>
    <w:basedOn w:val="DefaultParagraphFont"/>
    <w:rsid w:val="00863DF5"/>
  </w:style>
  <w:style w:type="character" w:customStyle="1" w:styleId="current-selection">
    <w:name w:val="current-selection"/>
    <w:basedOn w:val="DefaultParagraphFont"/>
    <w:rsid w:val="00863DF5"/>
  </w:style>
  <w:style w:type="character" w:customStyle="1" w:styleId="a">
    <w:name w:val="_"/>
    <w:basedOn w:val="DefaultParagraphFont"/>
    <w:rsid w:val="00863DF5"/>
  </w:style>
  <w:style w:type="character" w:customStyle="1" w:styleId="enhanced-reference">
    <w:name w:val="enhanced-reference"/>
    <w:basedOn w:val="DefaultParagraphFont"/>
    <w:rsid w:val="00863DF5"/>
  </w:style>
  <w:style w:type="character" w:styleId="CommentReference">
    <w:name w:val="annotation reference"/>
    <w:basedOn w:val="DefaultParagraphFont"/>
    <w:uiPriority w:val="99"/>
    <w:semiHidden/>
    <w:unhideWhenUsed/>
    <w:rsid w:val="00863DF5"/>
    <w:rPr>
      <w:sz w:val="16"/>
      <w:szCs w:val="16"/>
    </w:rPr>
  </w:style>
  <w:style w:type="paragraph" w:styleId="CommentText">
    <w:name w:val="annotation text"/>
    <w:basedOn w:val="Normal"/>
    <w:link w:val="CommentTextChar"/>
    <w:uiPriority w:val="99"/>
    <w:semiHidden/>
    <w:unhideWhenUsed/>
    <w:rsid w:val="00863DF5"/>
    <w:pPr>
      <w:spacing w:after="200" w:line="240" w:lineRule="auto"/>
    </w:pPr>
    <w:rPr>
      <w:sz w:val="20"/>
      <w:szCs w:val="20"/>
      <w:lang w:val="en-GB"/>
    </w:rPr>
  </w:style>
  <w:style w:type="character" w:customStyle="1" w:styleId="CommentTextChar">
    <w:name w:val="Comment Text Char"/>
    <w:basedOn w:val="DefaultParagraphFont"/>
    <w:link w:val="CommentText"/>
    <w:uiPriority w:val="99"/>
    <w:semiHidden/>
    <w:rsid w:val="00863DF5"/>
    <w:rPr>
      <w:sz w:val="20"/>
      <w:szCs w:val="20"/>
      <w:lang w:val="en-GB"/>
    </w:rPr>
  </w:style>
  <w:style w:type="paragraph" w:styleId="CommentSubject">
    <w:name w:val="annotation subject"/>
    <w:basedOn w:val="CommentText"/>
    <w:next w:val="CommentText"/>
    <w:link w:val="CommentSubjectChar"/>
    <w:uiPriority w:val="99"/>
    <w:semiHidden/>
    <w:unhideWhenUsed/>
    <w:rsid w:val="00863DF5"/>
    <w:rPr>
      <w:b/>
      <w:bCs/>
    </w:rPr>
  </w:style>
  <w:style w:type="character" w:customStyle="1" w:styleId="CommentSubjectChar">
    <w:name w:val="Comment Subject Char"/>
    <w:basedOn w:val="CommentTextChar"/>
    <w:link w:val="CommentSubject"/>
    <w:uiPriority w:val="99"/>
    <w:semiHidden/>
    <w:rsid w:val="00863DF5"/>
    <w:rPr>
      <w:b/>
      <w:bCs/>
      <w:sz w:val="20"/>
      <w:szCs w:val="20"/>
      <w:lang w:val="en-GB"/>
    </w:rPr>
  </w:style>
  <w:style w:type="character" w:customStyle="1" w:styleId="mw-headline">
    <w:name w:val="mw-headline"/>
    <w:basedOn w:val="DefaultParagraphFont"/>
    <w:rsid w:val="00863DF5"/>
  </w:style>
  <w:style w:type="character" w:customStyle="1" w:styleId="tocnumber">
    <w:name w:val="tocnumber"/>
    <w:basedOn w:val="DefaultParagraphFont"/>
    <w:rsid w:val="00863DF5"/>
  </w:style>
  <w:style w:type="character" w:customStyle="1" w:styleId="toctext">
    <w:name w:val="toctext"/>
    <w:basedOn w:val="DefaultParagraphFont"/>
    <w:rsid w:val="00863DF5"/>
  </w:style>
  <w:style w:type="character" w:customStyle="1" w:styleId="reference-text">
    <w:name w:val="reference-text"/>
    <w:basedOn w:val="DefaultParagraphFont"/>
    <w:rsid w:val="00863DF5"/>
  </w:style>
  <w:style w:type="character" w:customStyle="1" w:styleId="reference-accessdate">
    <w:name w:val="reference-accessdate"/>
    <w:basedOn w:val="DefaultParagraphFont"/>
    <w:rsid w:val="00863DF5"/>
  </w:style>
  <w:style w:type="character" w:customStyle="1" w:styleId="nowrap">
    <w:name w:val="nowrap"/>
    <w:basedOn w:val="DefaultParagraphFont"/>
    <w:rsid w:val="00863DF5"/>
  </w:style>
  <w:style w:type="paragraph" w:customStyle="1" w:styleId="li-txtcontent">
    <w:name w:val="li-txtcontent"/>
    <w:basedOn w:val="Normal"/>
    <w:rsid w:val="00863DF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863DF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txt2">
    <w:name w:val="ntxt2"/>
    <w:basedOn w:val="DefaultParagraphFont"/>
    <w:rsid w:val="00863DF5"/>
  </w:style>
  <w:style w:type="character" w:customStyle="1" w:styleId="apple-converted-space">
    <w:name w:val="apple-converted-space"/>
    <w:basedOn w:val="DefaultParagraphFont"/>
    <w:rsid w:val="00863DF5"/>
  </w:style>
  <w:style w:type="paragraph" w:customStyle="1" w:styleId="para">
    <w:name w:val="para"/>
    <w:basedOn w:val="Normal"/>
    <w:rsid w:val="00863DF5"/>
    <w:pPr>
      <w:spacing w:before="100" w:beforeAutospacing="1" w:after="100" w:afterAutospacing="1" w:line="240" w:lineRule="auto"/>
    </w:pPr>
    <w:rPr>
      <w:rFonts w:ascii="Times New Roman" w:eastAsiaTheme="minorEastAsia" w:hAnsi="Times New Roman" w:cs="Times New Roman"/>
      <w:sz w:val="20"/>
      <w:szCs w:val="20"/>
      <w:lang w:val="en-GB"/>
    </w:rPr>
  </w:style>
  <w:style w:type="character" w:customStyle="1" w:styleId="mcesubheading">
    <w:name w:val="mce_sub_heading"/>
    <w:basedOn w:val="DefaultParagraphFont"/>
    <w:rsid w:val="00863DF5"/>
  </w:style>
  <w:style w:type="character" w:customStyle="1" w:styleId="linkify">
    <w:name w:val="linkify"/>
    <w:basedOn w:val="DefaultParagraphFont"/>
    <w:rsid w:val="00863DF5"/>
  </w:style>
  <w:style w:type="character" w:customStyle="1" w:styleId="citationref">
    <w:name w:val="citationref"/>
    <w:basedOn w:val="DefaultParagraphFont"/>
    <w:rsid w:val="00863DF5"/>
  </w:style>
  <w:style w:type="character" w:customStyle="1" w:styleId="ref-lnk">
    <w:name w:val="ref-lnk"/>
    <w:basedOn w:val="DefaultParagraphFont"/>
    <w:rsid w:val="00863DF5"/>
  </w:style>
  <w:style w:type="character" w:customStyle="1" w:styleId="ref-overlay2">
    <w:name w:val="ref-overlay2"/>
    <w:basedOn w:val="DefaultParagraphFont"/>
    <w:rsid w:val="00863DF5"/>
    <w:rPr>
      <w:shd w:val="clear" w:color="auto" w:fill="FFFFFF"/>
    </w:rPr>
  </w:style>
  <w:style w:type="character" w:customStyle="1" w:styleId="hlfld-contribauthor">
    <w:name w:val="hlfld-contribauthor"/>
    <w:basedOn w:val="DefaultParagraphFont"/>
    <w:rsid w:val="00863DF5"/>
  </w:style>
  <w:style w:type="character" w:customStyle="1" w:styleId="nlmgiven-names">
    <w:name w:val="nlm_given-names"/>
    <w:basedOn w:val="DefaultParagraphFont"/>
    <w:rsid w:val="00863DF5"/>
  </w:style>
  <w:style w:type="character" w:customStyle="1" w:styleId="nlmyear">
    <w:name w:val="nlm_year"/>
    <w:basedOn w:val="DefaultParagraphFont"/>
    <w:rsid w:val="00863DF5"/>
  </w:style>
  <w:style w:type="character" w:customStyle="1" w:styleId="nlmchapter-title">
    <w:name w:val="nlm_chapter-title"/>
    <w:basedOn w:val="DefaultParagraphFont"/>
    <w:rsid w:val="00863DF5"/>
  </w:style>
  <w:style w:type="character" w:customStyle="1" w:styleId="nlmpublisher-name">
    <w:name w:val="nlm_publisher-name"/>
    <w:basedOn w:val="DefaultParagraphFont"/>
    <w:rsid w:val="00863DF5"/>
  </w:style>
  <w:style w:type="character" w:customStyle="1" w:styleId="nlmpublisher-loc">
    <w:name w:val="nlm_publisher-loc"/>
    <w:basedOn w:val="DefaultParagraphFont"/>
    <w:rsid w:val="00863DF5"/>
  </w:style>
  <w:style w:type="character" w:customStyle="1" w:styleId="nlmfpage">
    <w:name w:val="nlm_fpage"/>
    <w:basedOn w:val="DefaultParagraphFont"/>
    <w:rsid w:val="00863DF5"/>
  </w:style>
  <w:style w:type="character" w:customStyle="1" w:styleId="nlmlpage">
    <w:name w:val="nlm_lpage"/>
    <w:basedOn w:val="DefaultParagraphFont"/>
    <w:rsid w:val="00863DF5"/>
  </w:style>
  <w:style w:type="character" w:customStyle="1" w:styleId="ref-links2">
    <w:name w:val="ref-links2"/>
    <w:basedOn w:val="DefaultParagraphFont"/>
    <w:rsid w:val="00863DF5"/>
  </w:style>
  <w:style w:type="character" w:customStyle="1" w:styleId="xlinks-container">
    <w:name w:val="xlinks-container"/>
    <w:basedOn w:val="DefaultParagraphFont"/>
    <w:rsid w:val="00863DF5"/>
  </w:style>
  <w:style w:type="character" w:customStyle="1" w:styleId="googlescholar-container">
    <w:name w:val="googlescholar-container"/>
    <w:basedOn w:val="DefaultParagraphFont"/>
    <w:rsid w:val="00863DF5"/>
  </w:style>
  <w:style w:type="character" w:customStyle="1" w:styleId="title-text">
    <w:name w:val="title-text"/>
    <w:basedOn w:val="DefaultParagraphFont"/>
    <w:rsid w:val="00863DF5"/>
  </w:style>
  <w:style w:type="character" w:customStyle="1" w:styleId="ref-overlay">
    <w:name w:val="ref-overlay"/>
    <w:basedOn w:val="DefaultParagraphFont"/>
    <w:rsid w:val="00863DF5"/>
  </w:style>
  <w:style w:type="character" w:customStyle="1" w:styleId="nlmarticle-title">
    <w:name w:val="nlm_article-title"/>
    <w:basedOn w:val="DefaultParagraphFont"/>
    <w:rsid w:val="00863DF5"/>
  </w:style>
  <w:style w:type="character" w:customStyle="1" w:styleId="ref-links">
    <w:name w:val="ref-links"/>
    <w:basedOn w:val="DefaultParagraphFont"/>
    <w:rsid w:val="00863DF5"/>
  </w:style>
  <w:style w:type="character" w:customStyle="1" w:styleId="fmainbody">
    <w:name w:val="f_mainbody"/>
    <w:basedOn w:val="DefaultParagraphFont"/>
    <w:rsid w:val="00863DF5"/>
  </w:style>
  <w:style w:type="paragraph" w:styleId="TOC4">
    <w:name w:val="toc 4"/>
    <w:basedOn w:val="Normal"/>
    <w:next w:val="Normal"/>
    <w:autoRedefine/>
    <w:uiPriority w:val="39"/>
    <w:unhideWhenUsed/>
    <w:rsid w:val="001E1A25"/>
    <w:pPr>
      <w:spacing w:after="100"/>
      <w:ind w:left="660"/>
    </w:pPr>
    <w:rPr>
      <w:rFonts w:eastAsiaTheme="minorEastAsia"/>
    </w:rPr>
  </w:style>
  <w:style w:type="paragraph" w:styleId="TOC5">
    <w:name w:val="toc 5"/>
    <w:basedOn w:val="Normal"/>
    <w:next w:val="Normal"/>
    <w:autoRedefine/>
    <w:uiPriority w:val="39"/>
    <w:unhideWhenUsed/>
    <w:rsid w:val="001E1A25"/>
    <w:pPr>
      <w:spacing w:after="100"/>
      <w:ind w:left="880"/>
    </w:pPr>
    <w:rPr>
      <w:rFonts w:eastAsiaTheme="minorEastAsia"/>
    </w:rPr>
  </w:style>
  <w:style w:type="paragraph" w:styleId="TOC6">
    <w:name w:val="toc 6"/>
    <w:basedOn w:val="Normal"/>
    <w:next w:val="Normal"/>
    <w:autoRedefine/>
    <w:uiPriority w:val="39"/>
    <w:unhideWhenUsed/>
    <w:rsid w:val="001E1A25"/>
    <w:pPr>
      <w:spacing w:after="100"/>
      <w:ind w:left="1100"/>
    </w:pPr>
    <w:rPr>
      <w:rFonts w:eastAsiaTheme="minorEastAsia"/>
    </w:rPr>
  </w:style>
  <w:style w:type="paragraph" w:styleId="TOC7">
    <w:name w:val="toc 7"/>
    <w:basedOn w:val="Normal"/>
    <w:next w:val="Normal"/>
    <w:autoRedefine/>
    <w:uiPriority w:val="39"/>
    <w:unhideWhenUsed/>
    <w:rsid w:val="001E1A25"/>
    <w:pPr>
      <w:spacing w:after="100"/>
      <w:ind w:left="1320"/>
    </w:pPr>
    <w:rPr>
      <w:rFonts w:eastAsiaTheme="minorEastAsia"/>
    </w:rPr>
  </w:style>
  <w:style w:type="paragraph" w:styleId="TOC8">
    <w:name w:val="toc 8"/>
    <w:basedOn w:val="Normal"/>
    <w:next w:val="Normal"/>
    <w:autoRedefine/>
    <w:uiPriority w:val="39"/>
    <w:unhideWhenUsed/>
    <w:rsid w:val="001E1A25"/>
    <w:pPr>
      <w:spacing w:after="100"/>
      <w:ind w:left="1540"/>
    </w:pPr>
    <w:rPr>
      <w:rFonts w:eastAsiaTheme="minorEastAsia"/>
    </w:rPr>
  </w:style>
  <w:style w:type="paragraph" w:styleId="TOC9">
    <w:name w:val="toc 9"/>
    <w:basedOn w:val="Normal"/>
    <w:next w:val="Normal"/>
    <w:autoRedefine/>
    <w:uiPriority w:val="39"/>
    <w:unhideWhenUsed/>
    <w:rsid w:val="001E1A25"/>
    <w:pPr>
      <w:spacing w:after="100"/>
      <w:ind w:left="1760"/>
    </w:pPr>
    <w:rPr>
      <w:rFonts w:eastAsiaTheme="minorEastAsia"/>
    </w:rPr>
  </w:style>
  <w:style w:type="paragraph" w:styleId="BodyText2">
    <w:name w:val="Body Text 2"/>
    <w:basedOn w:val="Normal"/>
    <w:link w:val="BodyText2Char"/>
    <w:rsid w:val="00BE4939"/>
    <w:pPr>
      <w:spacing w:after="0" w:line="240" w:lineRule="auto"/>
    </w:pPr>
    <w:rPr>
      <w:rFonts w:ascii="Times New Roman" w:eastAsia="Times New Roman" w:hAnsi="Times New Roman" w:cs="Times New Roman"/>
      <w:b/>
      <w:bCs/>
      <w:sz w:val="24"/>
      <w:szCs w:val="24"/>
      <w:lang w:val="en-GB"/>
    </w:rPr>
  </w:style>
  <w:style w:type="character" w:customStyle="1" w:styleId="BodyText2Char">
    <w:name w:val="Body Text 2 Char"/>
    <w:basedOn w:val="DefaultParagraphFont"/>
    <w:link w:val="BodyText2"/>
    <w:rsid w:val="00BE4939"/>
    <w:rPr>
      <w:rFonts w:ascii="Times New Roman" w:eastAsia="Times New Roman" w:hAnsi="Times New Roman" w:cs="Times New Roman"/>
      <w:b/>
      <w:bCs/>
      <w:sz w:val="24"/>
      <w:szCs w:val="24"/>
      <w:lang w:val="en-GB"/>
    </w:rPr>
  </w:style>
  <w:style w:type="character" w:styleId="FollowedHyperlink">
    <w:name w:val="FollowedHyperlink"/>
    <w:basedOn w:val="DefaultParagraphFont"/>
    <w:uiPriority w:val="99"/>
    <w:semiHidden/>
    <w:unhideWhenUsed/>
    <w:rsid w:val="00DB7E3B"/>
    <w:rPr>
      <w:color w:val="954F72" w:themeColor="followedHyperlink"/>
      <w:u w:val="single"/>
    </w:rPr>
  </w:style>
  <w:style w:type="character" w:styleId="Emphasis">
    <w:name w:val="Emphasis"/>
    <w:basedOn w:val="DefaultParagraphFont"/>
    <w:uiPriority w:val="20"/>
    <w:qFormat/>
    <w:rsid w:val="009E47CB"/>
    <w:rPr>
      <w:i/>
      <w:iCs/>
    </w:rPr>
  </w:style>
  <w:style w:type="paragraph" w:customStyle="1" w:styleId="example">
    <w:name w:val="example"/>
    <w:basedOn w:val="Normal"/>
    <w:rsid w:val="009E47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e-metadata-elocation-id">
    <w:name w:val="highwire-cite-metadata-elocation-id"/>
    <w:basedOn w:val="DefaultParagraphFont"/>
    <w:rsid w:val="00A94E9F"/>
  </w:style>
  <w:style w:type="character" w:customStyle="1" w:styleId="highwire-cite-metadata-doi">
    <w:name w:val="highwire-cite-metadata-doi"/>
    <w:basedOn w:val="DefaultParagraphFont"/>
    <w:rsid w:val="00A94E9F"/>
  </w:style>
  <w:style w:type="character" w:customStyle="1" w:styleId="label">
    <w:name w:val="label"/>
    <w:basedOn w:val="DefaultParagraphFont"/>
    <w:rsid w:val="00A94E9F"/>
  </w:style>
  <w:style w:type="character" w:customStyle="1" w:styleId="highwire-cite-article-as">
    <w:name w:val="highwire-cite-article-as"/>
    <w:basedOn w:val="DefaultParagraphFont"/>
    <w:rsid w:val="002F5191"/>
  </w:style>
  <w:style w:type="character" w:customStyle="1" w:styleId="italic">
    <w:name w:val="italic"/>
    <w:basedOn w:val="DefaultParagraphFont"/>
    <w:rsid w:val="002F5191"/>
  </w:style>
  <w:style w:type="paragraph" w:customStyle="1" w:styleId="volume-issue">
    <w:name w:val="volume-issue"/>
    <w:basedOn w:val="Normal"/>
    <w:rsid w:val="00732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73279B"/>
  </w:style>
  <w:style w:type="paragraph" w:customStyle="1" w:styleId="page-range">
    <w:name w:val="page-range"/>
    <w:basedOn w:val="Normal"/>
    <w:rsid w:val="00732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
    <w:name w:val="cit"/>
    <w:basedOn w:val="DefaultParagraphFont"/>
    <w:rsid w:val="00616B5F"/>
  </w:style>
  <w:style w:type="character" w:customStyle="1" w:styleId="st">
    <w:name w:val="st"/>
    <w:basedOn w:val="DefaultParagraphFont"/>
    <w:rsid w:val="008A0E0A"/>
  </w:style>
  <w:style w:type="character" w:customStyle="1" w:styleId="articlecitationyear">
    <w:name w:val="articlecitation_year"/>
    <w:basedOn w:val="DefaultParagraphFont"/>
    <w:rsid w:val="00091D73"/>
  </w:style>
  <w:style w:type="character" w:customStyle="1" w:styleId="articlecitationvolume">
    <w:name w:val="articlecitation_volume"/>
    <w:basedOn w:val="DefaultParagraphFont"/>
    <w:rsid w:val="00091D73"/>
  </w:style>
  <w:style w:type="character" w:customStyle="1" w:styleId="articlecitationpages">
    <w:name w:val="articlecitation_pages"/>
    <w:basedOn w:val="DefaultParagraphFont"/>
    <w:rsid w:val="00091D73"/>
  </w:style>
  <w:style w:type="character" w:customStyle="1" w:styleId="u-inline-block">
    <w:name w:val="u-inline-block"/>
    <w:basedOn w:val="DefaultParagraphFont"/>
    <w:rsid w:val="00091D73"/>
  </w:style>
  <w:style w:type="character" w:customStyle="1" w:styleId="element-citation">
    <w:name w:val="element-citation"/>
    <w:basedOn w:val="DefaultParagraphFont"/>
    <w:rsid w:val="007472F9"/>
  </w:style>
  <w:style w:type="character" w:customStyle="1" w:styleId="ref-journal">
    <w:name w:val="ref-journal"/>
    <w:basedOn w:val="DefaultParagraphFont"/>
    <w:rsid w:val="007472F9"/>
  </w:style>
  <w:style w:type="character" w:customStyle="1" w:styleId="ref-vol">
    <w:name w:val="ref-vol"/>
    <w:basedOn w:val="DefaultParagraphFont"/>
    <w:rsid w:val="007472F9"/>
  </w:style>
  <w:style w:type="character" w:customStyle="1" w:styleId="pagefirst">
    <w:name w:val="pagefirst"/>
    <w:basedOn w:val="DefaultParagraphFont"/>
    <w:rsid w:val="00FE5539"/>
  </w:style>
  <w:style w:type="character" w:customStyle="1" w:styleId="Title1">
    <w:name w:val="Title1"/>
    <w:basedOn w:val="DefaultParagraphFont"/>
    <w:rsid w:val="00E36FD2"/>
  </w:style>
  <w:style w:type="character" w:customStyle="1" w:styleId="Subtitle1">
    <w:name w:val="Subtitle1"/>
    <w:basedOn w:val="DefaultParagraphFont"/>
    <w:rsid w:val="00E36FD2"/>
  </w:style>
  <w:style w:type="character" w:customStyle="1" w:styleId="highwire-cite-metadata-volume">
    <w:name w:val="highwire-cite-metadata-volume"/>
    <w:basedOn w:val="DefaultParagraphFont"/>
    <w:rsid w:val="00FC61EB"/>
  </w:style>
  <w:style w:type="character" w:customStyle="1" w:styleId="fqsothertitle">
    <w:name w:val="fqsothertitle"/>
    <w:basedOn w:val="DefaultParagraphFont"/>
    <w:rsid w:val="00A21729"/>
  </w:style>
  <w:style w:type="character" w:customStyle="1" w:styleId="mixed-citation">
    <w:name w:val="mixed-citation"/>
    <w:basedOn w:val="DefaultParagraphFont"/>
    <w:rsid w:val="000A5186"/>
  </w:style>
  <w:style w:type="character" w:customStyle="1" w:styleId="collab">
    <w:name w:val="collab"/>
    <w:basedOn w:val="DefaultParagraphFont"/>
    <w:rsid w:val="000A5186"/>
  </w:style>
  <w:style w:type="character" w:customStyle="1" w:styleId="source">
    <w:name w:val="source"/>
    <w:basedOn w:val="DefaultParagraphFont"/>
    <w:rsid w:val="000A5186"/>
  </w:style>
  <w:style w:type="character" w:customStyle="1" w:styleId="publisher-name">
    <w:name w:val="publisher-name"/>
    <w:basedOn w:val="DefaultParagraphFont"/>
    <w:rsid w:val="000A5186"/>
  </w:style>
  <w:style w:type="character" w:customStyle="1" w:styleId="year">
    <w:name w:val="year"/>
    <w:basedOn w:val="DefaultParagraphFont"/>
    <w:rsid w:val="000A5186"/>
  </w:style>
  <w:style w:type="character" w:customStyle="1" w:styleId="citation">
    <w:name w:val="citation"/>
    <w:basedOn w:val="DefaultParagraphFont"/>
    <w:rsid w:val="00DD6E8B"/>
  </w:style>
  <w:style w:type="character" w:customStyle="1" w:styleId="contribdegrees">
    <w:name w:val="contribdegrees"/>
    <w:basedOn w:val="DefaultParagraphFont"/>
    <w:rsid w:val="00512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6906">
      <w:bodyDiv w:val="1"/>
      <w:marLeft w:val="0"/>
      <w:marRight w:val="0"/>
      <w:marTop w:val="0"/>
      <w:marBottom w:val="0"/>
      <w:divBdr>
        <w:top w:val="none" w:sz="0" w:space="0" w:color="auto"/>
        <w:left w:val="none" w:sz="0" w:space="0" w:color="auto"/>
        <w:bottom w:val="none" w:sz="0" w:space="0" w:color="auto"/>
        <w:right w:val="none" w:sz="0" w:space="0" w:color="auto"/>
      </w:divBdr>
    </w:div>
    <w:div w:id="103035141">
      <w:bodyDiv w:val="1"/>
      <w:marLeft w:val="0"/>
      <w:marRight w:val="0"/>
      <w:marTop w:val="0"/>
      <w:marBottom w:val="0"/>
      <w:divBdr>
        <w:top w:val="none" w:sz="0" w:space="0" w:color="auto"/>
        <w:left w:val="none" w:sz="0" w:space="0" w:color="auto"/>
        <w:bottom w:val="none" w:sz="0" w:space="0" w:color="auto"/>
        <w:right w:val="none" w:sz="0" w:space="0" w:color="auto"/>
      </w:divBdr>
      <w:divsChild>
        <w:div w:id="1465082503">
          <w:marLeft w:val="0"/>
          <w:marRight w:val="0"/>
          <w:marTop w:val="0"/>
          <w:marBottom w:val="0"/>
          <w:divBdr>
            <w:top w:val="none" w:sz="0" w:space="0" w:color="auto"/>
            <w:left w:val="none" w:sz="0" w:space="0" w:color="auto"/>
            <w:bottom w:val="none" w:sz="0" w:space="0" w:color="auto"/>
            <w:right w:val="none" w:sz="0" w:space="0" w:color="auto"/>
          </w:divBdr>
        </w:div>
      </w:divsChild>
    </w:div>
    <w:div w:id="104346128">
      <w:bodyDiv w:val="1"/>
      <w:marLeft w:val="0"/>
      <w:marRight w:val="0"/>
      <w:marTop w:val="0"/>
      <w:marBottom w:val="0"/>
      <w:divBdr>
        <w:top w:val="none" w:sz="0" w:space="0" w:color="auto"/>
        <w:left w:val="none" w:sz="0" w:space="0" w:color="auto"/>
        <w:bottom w:val="none" w:sz="0" w:space="0" w:color="auto"/>
        <w:right w:val="none" w:sz="0" w:space="0" w:color="auto"/>
      </w:divBdr>
    </w:div>
    <w:div w:id="169686536">
      <w:bodyDiv w:val="1"/>
      <w:marLeft w:val="0"/>
      <w:marRight w:val="0"/>
      <w:marTop w:val="0"/>
      <w:marBottom w:val="0"/>
      <w:divBdr>
        <w:top w:val="none" w:sz="0" w:space="0" w:color="auto"/>
        <w:left w:val="none" w:sz="0" w:space="0" w:color="auto"/>
        <w:bottom w:val="none" w:sz="0" w:space="0" w:color="auto"/>
        <w:right w:val="none" w:sz="0" w:space="0" w:color="auto"/>
      </w:divBdr>
    </w:div>
    <w:div w:id="234781619">
      <w:bodyDiv w:val="1"/>
      <w:marLeft w:val="0"/>
      <w:marRight w:val="0"/>
      <w:marTop w:val="0"/>
      <w:marBottom w:val="0"/>
      <w:divBdr>
        <w:top w:val="none" w:sz="0" w:space="0" w:color="auto"/>
        <w:left w:val="none" w:sz="0" w:space="0" w:color="auto"/>
        <w:bottom w:val="none" w:sz="0" w:space="0" w:color="auto"/>
        <w:right w:val="none" w:sz="0" w:space="0" w:color="auto"/>
      </w:divBdr>
    </w:div>
    <w:div w:id="365103689">
      <w:bodyDiv w:val="1"/>
      <w:marLeft w:val="0"/>
      <w:marRight w:val="0"/>
      <w:marTop w:val="0"/>
      <w:marBottom w:val="0"/>
      <w:divBdr>
        <w:top w:val="none" w:sz="0" w:space="0" w:color="auto"/>
        <w:left w:val="none" w:sz="0" w:space="0" w:color="auto"/>
        <w:bottom w:val="none" w:sz="0" w:space="0" w:color="auto"/>
        <w:right w:val="none" w:sz="0" w:space="0" w:color="auto"/>
      </w:divBdr>
      <w:divsChild>
        <w:div w:id="1867715609">
          <w:marLeft w:val="0"/>
          <w:marRight w:val="0"/>
          <w:marTop w:val="0"/>
          <w:marBottom w:val="0"/>
          <w:divBdr>
            <w:top w:val="none" w:sz="0" w:space="0" w:color="auto"/>
            <w:left w:val="none" w:sz="0" w:space="0" w:color="auto"/>
            <w:bottom w:val="none" w:sz="0" w:space="0" w:color="auto"/>
            <w:right w:val="none" w:sz="0" w:space="0" w:color="auto"/>
          </w:divBdr>
        </w:div>
        <w:div w:id="1941647456">
          <w:marLeft w:val="0"/>
          <w:marRight w:val="0"/>
          <w:marTop w:val="0"/>
          <w:marBottom w:val="0"/>
          <w:divBdr>
            <w:top w:val="none" w:sz="0" w:space="0" w:color="auto"/>
            <w:left w:val="none" w:sz="0" w:space="0" w:color="auto"/>
            <w:bottom w:val="none" w:sz="0" w:space="0" w:color="auto"/>
            <w:right w:val="none" w:sz="0" w:space="0" w:color="auto"/>
          </w:divBdr>
        </w:div>
      </w:divsChild>
    </w:div>
    <w:div w:id="407507644">
      <w:bodyDiv w:val="1"/>
      <w:marLeft w:val="0"/>
      <w:marRight w:val="0"/>
      <w:marTop w:val="0"/>
      <w:marBottom w:val="0"/>
      <w:divBdr>
        <w:top w:val="none" w:sz="0" w:space="0" w:color="auto"/>
        <w:left w:val="none" w:sz="0" w:space="0" w:color="auto"/>
        <w:bottom w:val="none" w:sz="0" w:space="0" w:color="auto"/>
        <w:right w:val="none" w:sz="0" w:space="0" w:color="auto"/>
      </w:divBdr>
    </w:div>
    <w:div w:id="414672640">
      <w:bodyDiv w:val="1"/>
      <w:marLeft w:val="0"/>
      <w:marRight w:val="0"/>
      <w:marTop w:val="0"/>
      <w:marBottom w:val="0"/>
      <w:divBdr>
        <w:top w:val="none" w:sz="0" w:space="0" w:color="auto"/>
        <w:left w:val="none" w:sz="0" w:space="0" w:color="auto"/>
        <w:bottom w:val="none" w:sz="0" w:space="0" w:color="auto"/>
        <w:right w:val="none" w:sz="0" w:space="0" w:color="auto"/>
      </w:divBdr>
      <w:divsChild>
        <w:div w:id="773403295">
          <w:marLeft w:val="0"/>
          <w:marRight w:val="0"/>
          <w:marTop w:val="0"/>
          <w:marBottom w:val="0"/>
          <w:divBdr>
            <w:top w:val="none" w:sz="0" w:space="0" w:color="auto"/>
            <w:left w:val="none" w:sz="0" w:space="0" w:color="auto"/>
            <w:bottom w:val="none" w:sz="0" w:space="0" w:color="auto"/>
            <w:right w:val="none" w:sz="0" w:space="0" w:color="auto"/>
          </w:divBdr>
          <w:divsChild>
            <w:div w:id="1411388268">
              <w:marLeft w:val="0"/>
              <w:marRight w:val="0"/>
              <w:marTop w:val="0"/>
              <w:marBottom w:val="0"/>
              <w:divBdr>
                <w:top w:val="none" w:sz="0" w:space="0" w:color="auto"/>
                <w:left w:val="none" w:sz="0" w:space="0" w:color="auto"/>
                <w:bottom w:val="none" w:sz="0" w:space="0" w:color="auto"/>
                <w:right w:val="none" w:sz="0" w:space="0" w:color="auto"/>
              </w:divBdr>
            </w:div>
          </w:divsChild>
        </w:div>
        <w:div w:id="386421997">
          <w:marLeft w:val="0"/>
          <w:marRight w:val="0"/>
          <w:marTop w:val="0"/>
          <w:marBottom w:val="0"/>
          <w:divBdr>
            <w:top w:val="none" w:sz="0" w:space="0" w:color="auto"/>
            <w:left w:val="none" w:sz="0" w:space="0" w:color="auto"/>
            <w:bottom w:val="none" w:sz="0" w:space="0" w:color="auto"/>
            <w:right w:val="none" w:sz="0" w:space="0" w:color="auto"/>
          </w:divBdr>
          <w:divsChild>
            <w:div w:id="842747503">
              <w:marLeft w:val="0"/>
              <w:marRight w:val="0"/>
              <w:marTop w:val="0"/>
              <w:marBottom w:val="0"/>
              <w:divBdr>
                <w:top w:val="none" w:sz="0" w:space="0" w:color="auto"/>
                <w:left w:val="none" w:sz="0" w:space="0" w:color="auto"/>
                <w:bottom w:val="none" w:sz="0" w:space="0" w:color="auto"/>
                <w:right w:val="none" w:sz="0" w:space="0" w:color="auto"/>
              </w:divBdr>
              <w:divsChild>
                <w:div w:id="1787121380">
                  <w:marLeft w:val="0"/>
                  <w:marRight w:val="0"/>
                  <w:marTop w:val="0"/>
                  <w:marBottom w:val="0"/>
                  <w:divBdr>
                    <w:top w:val="none" w:sz="0" w:space="0" w:color="auto"/>
                    <w:left w:val="none" w:sz="0" w:space="0" w:color="auto"/>
                    <w:bottom w:val="none" w:sz="0" w:space="0" w:color="auto"/>
                    <w:right w:val="none" w:sz="0" w:space="0" w:color="auto"/>
                  </w:divBdr>
                  <w:divsChild>
                    <w:div w:id="4796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93882">
      <w:bodyDiv w:val="1"/>
      <w:marLeft w:val="0"/>
      <w:marRight w:val="0"/>
      <w:marTop w:val="0"/>
      <w:marBottom w:val="0"/>
      <w:divBdr>
        <w:top w:val="none" w:sz="0" w:space="0" w:color="auto"/>
        <w:left w:val="none" w:sz="0" w:space="0" w:color="auto"/>
        <w:bottom w:val="none" w:sz="0" w:space="0" w:color="auto"/>
        <w:right w:val="none" w:sz="0" w:space="0" w:color="auto"/>
      </w:divBdr>
    </w:div>
    <w:div w:id="539055843">
      <w:bodyDiv w:val="1"/>
      <w:marLeft w:val="0"/>
      <w:marRight w:val="0"/>
      <w:marTop w:val="0"/>
      <w:marBottom w:val="0"/>
      <w:divBdr>
        <w:top w:val="none" w:sz="0" w:space="0" w:color="auto"/>
        <w:left w:val="none" w:sz="0" w:space="0" w:color="auto"/>
        <w:bottom w:val="none" w:sz="0" w:space="0" w:color="auto"/>
        <w:right w:val="none" w:sz="0" w:space="0" w:color="auto"/>
      </w:divBdr>
      <w:divsChild>
        <w:div w:id="1500464727">
          <w:marLeft w:val="0"/>
          <w:marRight w:val="0"/>
          <w:marTop w:val="0"/>
          <w:marBottom w:val="0"/>
          <w:divBdr>
            <w:top w:val="none" w:sz="0" w:space="0" w:color="auto"/>
            <w:left w:val="none" w:sz="0" w:space="0" w:color="auto"/>
            <w:bottom w:val="none" w:sz="0" w:space="0" w:color="auto"/>
            <w:right w:val="none" w:sz="0" w:space="0" w:color="auto"/>
          </w:divBdr>
        </w:div>
      </w:divsChild>
    </w:div>
    <w:div w:id="599487579">
      <w:bodyDiv w:val="1"/>
      <w:marLeft w:val="0"/>
      <w:marRight w:val="0"/>
      <w:marTop w:val="0"/>
      <w:marBottom w:val="0"/>
      <w:divBdr>
        <w:top w:val="none" w:sz="0" w:space="0" w:color="auto"/>
        <w:left w:val="none" w:sz="0" w:space="0" w:color="auto"/>
        <w:bottom w:val="none" w:sz="0" w:space="0" w:color="auto"/>
        <w:right w:val="none" w:sz="0" w:space="0" w:color="auto"/>
      </w:divBdr>
    </w:div>
    <w:div w:id="963460476">
      <w:bodyDiv w:val="1"/>
      <w:marLeft w:val="0"/>
      <w:marRight w:val="0"/>
      <w:marTop w:val="0"/>
      <w:marBottom w:val="0"/>
      <w:divBdr>
        <w:top w:val="none" w:sz="0" w:space="0" w:color="auto"/>
        <w:left w:val="none" w:sz="0" w:space="0" w:color="auto"/>
        <w:bottom w:val="none" w:sz="0" w:space="0" w:color="auto"/>
        <w:right w:val="none" w:sz="0" w:space="0" w:color="auto"/>
      </w:divBdr>
    </w:div>
    <w:div w:id="1010790581">
      <w:bodyDiv w:val="1"/>
      <w:marLeft w:val="0"/>
      <w:marRight w:val="0"/>
      <w:marTop w:val="0"/>
      <w:marBottom w:val="0"/>
      <w:divBdr>
        <w:top w:val="none" w:sz="0" w:space="0" w:color="auto"/>
        <w:left w:val="none" w:sz="0" w:space="0" w:color="auto"/>
        <w:bottom w:val="none" w:sz="0" w:space="0" w:color="auto"/>
        <w:right w:val="none" w:sz="0" w:space="0" w:color="auto"/>
      </w:divBdr>
    </w:div>
    <w:div w:id="1128353906">
      <w:bodyDiv w:val="1"/>
      <w:marLeft w:val="0"/>
      <w:marRight w:val="0"/>
      <w:marTop w:val="0"/>
      <w:marBottom w:val="0"/>
      <w:divBdr>
        <w:top w:val="none" w:sz="0" w:space="0" w:color="auto"/>
        <w:left w:val="none" w:sz="0" w:space="0" w:color="auto"/>
        <w:bottom w:val="none" w:sz="0" w:space="0" w:color="auto"/>
        <w:right w:val="none" w:sz="0" w:space="0" w:color="auto"/>
      </w:divBdr>
    </w:div>
    <w:div w:id="1190148196">
      <w:bodyDiv w:val="1"/>
      <w:marLeft w:val="0"/>
      <w:marRight w:val="0"/>
      <w:marTop w:val="0"/>
      <w:marBottom w:val="0"/>
      <w:divBdr>
        <w:top w:val="none" w:sz="0" w:space="0" w:color="auto"/>
        <w:left w:val="none" w:sz="0" w:space="0" w:color="auto"/>
        <w:bottom w:val="none" w:sz="0" w:space="0" w:color="auto"/>
        <w:right w:val="none" w:sz="0" w:space="0" w:color="auto"/>
      </w:divBdr>
    </w:div>
    <w:div w:id="1212883054">
      <w:bodyDiv w:val="1"/>
      <w:marLeft w:val="0"/>
      <w:marRight w:val="0"/>
      <w:marTop w:val="0"/>
      <w:marBottom w:val="0"/>
      <w:divBdr>
        <w:top w:val="none" w:sz="0" w:space="0" w:color="auto"/>
        <w:left w:val="none" w:sz="0" w:space="0" w:color="auto"/>
        <w:bottom w:val="none" w:sz="0" w:space="0" w:color="auto"/>
        <w:right w:val="none" w:sz="0" w:space="0" w:color="auto"/>
      </w:divBdr>
    </w:div>
    <w:div w:id="1271818851">
      <w:bodyDiv w:val="1"/>
      <w:marLeft w:val="0"/>
      <w:marRight w:val="0"/>
      <w:marTop w:val="0"/>
      <w:marBottom w:val="0"/>
      <w:divBdr>
        <w:top w:val="none" w:sz="0" w:space="0" w:color="auto"/>
        <w:left w:val="none" w:sz="0" w:space="0" w:color="auto"/>
        <w:bottom w:val="none" w:sz="0" w:space="0" w:color="auto"/>
        <w:right w:val="none" w:sz="0" w:space="0" w:color="auto"/>
      </w:divBdr>
      <w:divsChild>
        <w:div w:id="1294485057">
          <w:marLeft w:val="0"/>
          <w:marRight w:val="0"/>
          <w:marTop w:val="0"/>
          <w:marBottom w:val="0"/>
          <w:divBdr>
            <w:top w:val="none" w:sz="0" w:space="0" w:color="auto"/>
            <w:left w:val="none" w:sz="0" w:space="0" w:color="auto"/>
            <w:bottom w:val="none" w:sz="0" w:space="0" w:color="auto"/>
            <w:right w:val="none" w:sz="0" w:space="0" w:color="auto"/>
          </w:divBdr>
          <w:divsChild>
            <w:div w:id="19173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34855">
      <w:bodyDiv w:val="1"/>
      <w:marLeft w:val="0"/>
      <w:marRight w:val="0"/>
      <w:marTop w:val="0"/>
      <w:marBottom w:val="0"/>
      <w:divBdr>
        <w:top w:val="none" w:sz="0" w:space="0" w:color="auto"/>
        <w:left w:val="none" w:sz="0" w:space="0" w:color="auto"/>
        <w:bottom w:val="none" w:sz="0" w:space="0" w:color="auto"/>
        <w:right w:val="none" w:sz="0" w:space="0" w:color="auto"/>
      </w:divBdr>
      <w:divsChild>
        <w:div w:id="908268317">
          <w:marLeft w:val="547"/>
          <w:marRight w:val="0"/>
          <w:marTop w:val="0"/>
          <w:marBottom w:val="0"/>
          <w:divBdr>
            <w:top w:val="none" w:sz="0" w:space="0" w:color="auto"/>
            <w:left w:val="none" w:sz="0" w:space="0" w:color="auto"/>
            <w:bottom w:val="none" w:sz="0" w:space="0" w:color="auto"/>
            <w:right w:val="none" w:sz="0" w:space="0" w:color="auto"/>
          </w:divBdr>
        </w:div>
      </w:divsChild>
    </w:div>
    <w:div w:id="1578982177">
      <w:bodyDiv w:val="1"/>
      <w:marLeft w:val="0"/>
      <w:marRight w:val="0"/>
      <w:marTop w:val="0"/>
      <w:marBottom w:val="0"/>
      <w:divBdr>
        <w:top w:val="none" w:sz="0" w:space="0" w:color="auto"/>
        <w:left w:val="none" w:sz="0" w:space="0" w:color="auto"/>
        <w:bottom w:val="none" w:sz="0" w:space="0" w:color="auto"/>
        <w:right w:val="none" w:sz="0" w:space="0" w:color="auto"/>
      </w:divBdr>
    </w:div>
    <w:div w:id="1712221224">
      <w:bodyDiv w:val="1"/>
      <w:marLeft w:val="0"/>
      <w:marRight w:val="0"/>
      <w:marTop w:val="0"/>
      <w:marBottom w:val="0"/>
      <w:divBdr>
        <w:top w:val="none" w:sz="0" w:space="0" w:color="auto"/>
        <w:left w:val="none" w:sz="0" w:space="0" w:color="auto"/>
        <w:bottom w:val="none" w:sz="0" w:space="0" w:color="auto"/>
        <w:right w:val="none" w:sz="0" w:space="0" w:color="auto"/>
      </w:divBdr>
      <w:divsChild>
        <w:div w:id="934677247">
          <w:marLeft w:val="0"/>
          <w:marRight w:val="0"/>
          <w:marTop w:val="0"/>
          <w:marBottom w:val="0"/>
          <w:divBdr>
            <w:top w:val="none" w:sz="0" w:space="0" w:color="auto"/>
            <w:left w:val="none" w:sz="0" w:space="0" w:color="auto"/>
            <w:bottom w:val="none" w:sz="0" w:space="0" w:color="auto"/>
            <w:right w:val="none" w:sz="0" w:space="0" w:color="auto"/>
          </w:divBdr>
        </w:div>
        <w:div w:id="1427843504">
          <w:marLeft w:val="0"/>
          <w:marRight w:val="0"/>
          <w:marTop w:val="0"/>
          <w:marBottom w:val="0"/>
          <w:divBdr>
            <w:top w:val="none" w:sz="0" w:space="0" w:color="auto"/>
            <w:left w:val="none" w:sz="0" w:space="0" w:color="auto"/>
            <w:bottom w:val="none" w:sz="0" w:space="0" w:color="auto"/>
            <w:right w:val="none" w:sz="0" w:space="0" w:color="auto"/>
          </w:divBdr>
        </w:div>
      </w:divsChild>
    </w:div>
    <w:div w:id="1727364935">
      <w:bodyDiv w:val="1"/>
      <w:marLeft w:val="0"/>
      <w:marRight w:val="0"/>
      <w:marTop w:val="0"/>
      <w:marBottom w:val="0"/>
      <w:divBdr>
        <w:top w:val="none" w:sz="0" w:space="0" w:color="auto"/>
        <w:left w:val="none" w:sz="0" w:space="0" w:color="auto"/>
        <w:bottom w:val="none" w:sz="0" w:space="0" w:color="auto"/>
        <w:right w:val="none" w:sz="0" w:space="0" w:color="auto"/>
      </w:divBdr>
    </w:div>
    <w:div w:id="1767069997">
      <w:bodyDiv w:val="1"/>
      <w:marLeft w:val="0"/>
      <w:marRight w:val="0"/>
      <w:marTop w:val="0"/>
      <w:marBottom w:val="0"/>
      <w:divBdr>
        <w:top w:val="none" w:sz="0" w:space="0" w:color="auto"/>
        <w:left w:val="none" w:sz="0" w:space="0" w:color="auto"/>
        <w:bottom w:val="none" w:sz="0" w:space="0" w:color="auto"/>
        <w:right w:val="none" w:sz="0" w:space="0" w:color="auto"/>
      </w:divBdr>
    </w:div>
    <w:div w:id="1901549756">
      <w:bodyDiv w:val="1"/>
      <w:marLeft w:val="0"/>
      <w:marRight w:val="0"/>
      <w:marTop w:val="0"/>
      <w:marBottom w:val="0"/>
      <w:divBdr>
        <w:top w:val="none" w:sz="0" w:space="0" w:color="auto"/>
        <w:left w:val="none" w:sz="0" w:space="0" w:color="auto"/>
        <w:bottom w:val="none" w:sz="0" w:space="0" w:color="auto"/>
        <w:right w:val="none" w:sz="0" w:space="0" w:color="auto"/>
      </w:divBdr>
    </w:div>
    <w:div w:id="193581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6.emf"/><Relationship Id="rId47" Type="http://schemas.openxmlformats.org/officeDocument/2006/relationships/hyperlink" Target="https://www.surveymonkey.co.uk/r/26RYXMC" TargetMode="External"/><Relationship Id="rId50" Type="http://schemas.openxmlformats.org/officeDocument/2006/relationships/hyperlink" Target="mailto:d.j.brierley@sheffield.ac.uk"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d.j.brierley@sheffield.ac.uk"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yperlink" Target="http://www.graphpa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www.surveymonkey.co.uk/r/257MXBY"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Daniel.brierley@sth.nhs.uk" TargetMode="External"/><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hyperlink" Target="mailto:d.j.brierley@sheffield.ac.uk" TargetMode="External"/><Relationship Id="rId8" Type="http://schemas.openxmlformats.org/officeDocument/2006/relationships/footer" Target="footer1.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C71894-C4D3-4195-A159-B0D43DF855C6}" type="doc">
      <dgm:prSet loTypeId="urn:microsoft.com/office/officeart/2005/8/layout/pyramid1" loCatId="pyramid" qsTypeId="urn:microsoft.com/office/officeart/2005/8/quickstyle/simple1" qsCatId="simple" csTypeId="urn:microsoft.com/office/officeart/2005/8/colors/accent1_2" csCatId="accent1" phldr="1"/>
      <dgm:spPr/>
    </dgm:pt>
    <dgm:pt modelId="{B7EFC9B9-D8D1-42A7-AAE0-E67B9D139F3A}">
      <dgm:prSet phldrT="[Text]" custT="1"/>
      <dgm:spPr>
        <a:solidFill>
          <a:srgbClr val="FF0000"/>
        </a:solidFill>
      </dgm:spPr>
      <dgm:t>
        <a:bodyPr/>
        <a:lstStyle/>
        <a:p>
          <a:r>
            <a:rPr lang="en-GB" sz="2000"/>
            <a:t>Does</a:t>
          </a:r>
        </a:p>
      </dgm:t>
    </dgm:pt>
    <dgm:pt modelId="{FCC1ED71-3F10-409C-9559-5382AA6803B2}" type="parTrans" cxnId="{96E36284-F595-4881-A812-2F855397E9AD}">
      <dgm:prSet/>
      <dgm:spPr/>
      <dgm:t>
        <a:bodyPr/>
        <a:lstStyle/>
        <a:p>
          <a:endParaRPr lang="en-GB"/>
        </a:p>
      </dgm:t>
    </dgm:pt>
    <dgm:pt modelId="{411E6C7E-2F5D-474A-96CF-1228B8CC0E23}" type="sibTrans" cxnId="{96E36284-F595-4881-A812-2F855397E9AD}">
      <dgm:prSet/>
      <dgm:spPr/>
      <dgm:t>
        <a:bodyPr/>
        <a:lstStyle/>
        <a:p>
          <a:endParaRPr lang="en-GB"/>
        </a:p>
      </dgm:t>
    </dgm:pt>
    <dgm:pt modelId="{DB84D6C9-D402-4A4B-B9D4-B2F3E42D5211}">
      <dgm:prSet phldrT="[Text]" custT="1"/>
      <dgm:spPr>
        <a:solidFill>
          <a:srgbClr val="00B050"/>
        </a:solidFill>
      </dgm:spPr>
      <dgm:t>
        <a:bodyPr/>
        <a:lstStyle/>
        <a:p>
          <a:r>
            <a:rPr lang="en-GB" sz="2000"/>
            <a:t>Knows how</a:t>
          </a:r>
        </a:p>
      </dgm:t>
    </dgm:pt>
    <dgm:pt modelId="{3CDAFF48-5E4F-4FCC-9E31-BFDEFDA9F276}" type="parTrans" cxnId="{C746FC5D-54AA-4C6A-AB6C-DB9293717D2C}">
      <dgm:prSet/>
      <dgm:spPr/>
      <dgm:t>
        <a:bodyPr/>
        <a:lstStyle/>
        <a:p>
          <a:endParaRPr lang="en-GB"/>
        </a:p>
      </dgm:t>
    </dgm:pt>
    <dgm:pt modelId="{693C8861-AAC1-4998-B6F4-4E4A2BA439C1}" type="sibTrans" cxnId="{C746FC5D-54AA-4C6A-AB6C-DB9293717D2C}">
      <dgm:prSet/>
      <dgm:spPr/>
      <dgm:t>
        <a:bodyPr/>
        <a:lstStyle/>
        <a:p>
          <a:endParaRPr lang="en-GB"/>
        </a:p>
      </dgm:t>
    </dgm:pt>
    <dgm:pt modelId="{BD806A0A-0CB6-450D-937D-302832B6EFEA}">
      <dgm:prSet phldrT="[Text]" custT="1"/>
      <dgm:spPr/>
      <dgm:t>
        <a:bodyPr/>
        <a:lstStyle/>
        <a:p>
          <a:r>
            <a:rPr lang="en-GB" sz="2000"/>
            <a:t>Knows</a:t>
          </a:r>
        </a:p>
      </dgm:t>
    </dgm:pt>
    <dgm:pt modelId="{4BD568E1-0C2A-421B-AB54-F0F31BBB0F34}" type="parTrans" cxnId="{87E68B94-2F69-4163-8EF6-27BEE8DA14E7}">
      <dgm:prSet/>
      <dgm:spPr/>
      <dgm:t>
        <a:bodyPr/>
        <a:lstStyle/>
        <a:p>
          <a:endParaRPr lang="en-GB"/>
        </a:p>
      </dgm:t>
    </dgm:pt>
    <dgm:pt modelId="{97A472E9-1144-4102-ABD8-319F4B578BA8}" type="sibTrans" cxnId="{87E68B94-2F69-4163-8EF6-27BEE8DA14E7}">
      <dgm:prSet/>
      <dgm:spPr/>
      <dgm:t>
        <a:bodyPr/>
        <a:lstStyle/>
        <a:p>
          <a:endParaRPr lang="en-GB"/>
        </a:p>
      </dgm:t>
    </dgm:pt>
    <dgm:pt modelId="{BB85570F-94AC-4B48-9226-8874E62A6300}">
      <dgm:prSet custT="1"/>
      <dgm:spPr>
        <a:solidFill>
          <a:srgbClr val="FFFF00"/>
        </a:solidFill>
      </dgm:spPr>
      <dgm:t>
        <a:bodyPr/>
        <a:lstStyle/>
        <a:p>
          <a:r>
            <a:rPr lang="en-GB" sz="2000"/>
            <a:t>Shows </a:t>
          </a:r>
        </a:p>
      </dgm:t>
    </dgm:pt>
    <dgm:pt modelId="{FAF6FAB5-4EBC-4834-9753-9CFC2238AF4A}" type="parTrans" cxnId="{F1BE57B5-3FCD-42BB-82CB-76F1DA64BC96}">
      <dgm:prSet/>
      <dgm:spPr/>
      <dgm:t>
        <a:bodyPr/>
        <a:lstStyle/>
        <a:p>
          <a:endParaRPr lang="en-GB"/>
        </a:p>
      </dgm:t>
    </dgm:pt>
    <dgm:pt modelId="{768E3BB2-329A-4BD1-93E5-00C05F624B51}" type="sibTrans" cxnId="{F1BE57B5-3FCD-42BB-82CB-76F1DA64BC96}">
      <dgm:prSet/>
      <dgm:spPr/>
      <dgm:t>
        <a:bodyPr/>
        <a:lstStyle/>
        <a:p>
          <a:endParaRPr lang="en-GB"/>
        </a:p>
      </dgm:t>
    </dgm:pt>
    <dgm:pt modelId="{67A0FD9C-2687-4B17-9E99-1BD43A3AC17F}" type="pres">
      <dgm:prSet presAssocID="{0BC71894-C4D3-4195-A159-B0D43DF855C6}" presName="Name0" presStyleCnt="0">
        <dgm:presLayoutVars>
          <dgm:dir/>
          <dgm:animLvl val="lvl"/>
          <dgm:resizeHandles val="exact"/>
        </dgm:presLayoutVars>
      </dgm:prSet>
      <dgm:spPr/>
    </dgm:pt>
    <dgm:pt modelId="{2EECFC58-2A7A-411C-8A83-F68C6A13FCDC}" type="pres">
      <dgm:prSet presAssocID="{B7EFC9B9-D8D1-42A7-AAE0-E67B9D139F3A}" presName="Name8" presStyleCnt="0"/>
      <dgm:spPr/>
    </dgm:pt>
    <dgm:pt modelId="{EDF51F73-6DC7-4358-BF19-8654EE13E2DD}" type="pres">
      <dgm:prSet presAssocID="{B7EFC9B9-D8D1-42A7-AAE0-E67B9D139F3A}" presName="level" presStyleLbl="node1" presStyleIdx="0" presStyleCnt="4">
        <dgm:presLayoutVars>
          <dgm:chMax val="1"/>
          <dgm:bulletEnabled val="1"/>
        </dgm:presLayoutVars>
      </dgm:prSet>
      <dgm:spPr/>
      <dgm:t>
        <a:bodyPr/>
        <a:lstStyle/>
        <a:p>
          <a:endParaRPr lang="en-US"/>
        </a:p>
      </dgm:t>
    </dgm:pt>
    <dgm:pt modelId="{18DB36CF-C80C-4D99-80B5-3BC0863AC1E4}" type="pres">
      <dgm:prSet presAssocID="{B7EFC9B9-D8D1-42A7-AAE0-E67B9D139F3A}" presName="levelTx" presStyleLbl="revTx" presStyleIdx="0" presStyleCnt="0">
        <dgm:presLayoutVars>
          <dgm:chMax val="1"/>
          <dgm:bulletEnabled val="1"/>
        </dgm:presLayoutVars>
      </dgm:prSet>
      <dgm:spPr/>
      <dgm:t>
        <a:bodyPr/>
        <a:lstStyle/>
        <a:p>
          <a:endParaRPr lang="en-US"/>
        </a:p>
      </dgm:t>
    </dgm:pt>
    <dgm:pt modelId="{46EE9370-503F-4142-AB44-CE3ED6635159}" type="pres">
      <dgm:prSet presAssocID="{BB85570F-94AC-4B48-9226-8874E62A6300}" presName="Name8" presStyleCnt="0"/>
      <dgm:spPr/>
    </dgm:pt>
    <dgm:pt modelId="{1749E067-6238-4A6D-A7C4-F2FE51BF8012}" type="pres">
      <dgm:prSet presAssocID="{BB85570F-94AC-4B48-9226-8874E62A6300}" presName="level" presStyleLbl="node1" presStyleIdx="1" presStyleCnt="4">
        <dgm:presLayoutVars>
          <dgm:chMax val="1"/>
          <dgm:bulletEnabled val="1"/>
        </dgm:presLayoutVars>
      </dgm:prSet>
      <dgm:spPr/>
      <dgm:t>
        <a:bodyPr/>
        <a:lstStyle/>
        <a:p>
          <a:endParaRPr lang="en-GB"/>
        </a:p>
      </dgm:t>
    </dgm:pt>
    <dgm:pt modelId="{995E2BFF-20FD-4B3C-8365-E5A93DA9CAC9}" type="pres">
      <dgm:prSet presAssocID="{BB85570F-94AC-4B48-9226-8874E62A6300}" presName="levelTx" presStyleLbl="revTx" presStyleIdx="0" presStyleCnt="0">
        <dgm:presLayoutVars>
          <dgm:chMax val="1"/>
          <dgm:bulletEnabled val="1"/>
        </dgm:presLayoutVars>
      </dgm:prSet>
      <dgm:spPr/>
      <dgm:t>
        <a:bodyPr/>
        <a:lstStyle/>
        <a:p>
          <a:endParaRPr lang="en-GB"/>
        </a:p>
      </dgm:t>
    </dgm:pt>
    <dgm:pt modelId="{9D6E596B-1709-458E-9F1F-DEE3CC7604DB}" type="pres">
      <dgm:prSet presAssocID="{DB84D6C9-D402-4A4B-B9D4-B2F3E42D5211}" presName="Name8" presStyleCnt="0"/>
      <dgm:spPr/>
    </dgm:pt>
    <dgm:pt modelId="{FEC03010-904E-476C-8E8B-F79ADDFFE674}" type="pres">
      <dgm:prSet presAssocID="{DB84D6C9-D402-4A4B-B9D4-B2F3E42D5211}" presName="level" presStyleLbl="node1" presStyleIdx="2" presStyleCnt="4" custLinFactNeighborX="-580" custLinFactNeighborY="-1988">
        <dgm:presLayoutVars>
          <dgm:chMax val="1"/>
          <dgm:bulletEnabled val="1"/>
        </dgm:presLayoutVars>
      </dgm:prSet>
      <dgm:spPr/>
      <dgm:t>
        <a:bodyPr/>
        <a:lstStyle/>
        <a:p>
          <a:endParaRPr lang="en-US"/>
        </a:p>
      </dgm:t>
    </dgm:pt>
    <dgm:pt modelId="{A4CBFC44-0F6B-45E7-93ED-3080BF387209}" type="pres">
      <dgm:prSet presAssocID="{DB84D6C9-D402-4A4B-B9D4-B2F3E42D5211}" presName="levelTx" presStyleLbl="revTx" presStyleIdx="0" presStyleCnt="0">
        <dgm:presLayoutVars>
          <dgm:chMax val="1"/>
          <dgm:bulletEnabled val="1"/>
        </dgm:presLayoutVars>
      </dgm:prSet>
      <dgm:spPr/>
      <dgm:t>
        <a:bodyPr/>
        <a:lstStyle/>
        <a:p>
          <a:endParaRPr lang="en-US"/>
        </a:p>
      </dgm:t>
    </dgm:pt>
    <dgm:pt modelId="{01CA320C-B00D-4257-80FC-8D5BD42B8EDA}" type="pres">
      <dgm:prSet presAssocID="{BD806A0A-0CB6-450D-937D-302832B6EFEA}" presName="Name8" presStyleCnt="0"/>
      <dgm:spPr/>
    </dgm:pt>
    <dgm:pt modelId="{E47D0CBF-B42D-4C13-8A40-C0999C12C674}" type="pres">
      <dgm:prSet presAssocID="{BD806A0A-0CB6-450D-937D-302832B6EFEA}" presName="level" presStyleLbl="node1" presStyleIdx="3" presStyleCnt="4">
        <dgm:presLayoutVars>
          <dgm:chMax val="1"/>
          <dgm:bulletEnabled val="1"/>
        </dgm:presLayoutVars>
      </dgm:prSet>
      <dgm:spPr/>
      <dgm:t>
        <a:bodyPr/>
        <a:lstStyle/>
        <a:p>
          <a:endParaRPr lang="en-US"/>
        </a:p>
      </dgm:t>
    </dgm:pt>
    <dgm:pt modelId="{9B5F1FFB-CCDE-4E86-B9CE-23BFA179E720}" type="pres">
      <dgm:prSet presAssocID="{BD806A0A-0CB6-450D-937D-302832B6EFEA}" presName="levelTx" presStyleLbl="revTx" presStyleIdx="0" presStyleCnt="0">
        <dgm:presLayoutVars>
          <dgm:chMax val="1"/>
          <dgm:bulletEnabled val="1"/>
        </dgm:presLayoutVars>
      </dgm:prSet>
      <dgm:spPr/>
      <dgm:t>
        <a:bodyPr/>
        <a:lstStyle/>
        <a:p>
          <a:endParaRPr lang="en-US"/>
        </a:p>
      </dgm:t>
    </dgm:pt>
  </dgm:ptLst>
  <dgm:cxnLst>
    <dgm:cxn modelId="{F1BE57B5-3FCD-42BB-82CB-76F1DA64BC96}" srcId="{0BC71894-C4D3-4195-A159-B0D43DF855C6}" destId="{BB85570F-94AC-4B48-9226-8874E62A6300}" srcOrd="1" destOrd="0" parTransId="{FAF6FAB5-4EBC-4834-9753-9CFC2238AF4A}" sibTransId="{768E3BB2-329A-4BD1-93E5-00C05F624B51}"/>
    <dgm:cxn modelId="{870B2B07-21BB-49FD-8E32-8E828E3F53D1}" type="presOf" srcId="{DB84D6C9-D402-4A4B-B9D4-B2F3E42D5211}" destId="{A4CBFC44-0F6B-45E7-93ED-3080BF387209}" srcOrd="1" destOrd="0" presId="urn:microsoft.com/office/officeart/2005/8/layout/pyramid1"/>
    <dgm:cxn modelId="{8FB2700F-51F1-40B8-A2FD-27B909772355}" type="presOf" srcId="{BD806A0A-0CB6-450D-937D-302832B6EFEA}" destId="{E47D0CBF-B42D-4C13-8A40-C0999C12C674}" srcOrd="0" destOrd="0" presId="urn:microsoft.com/office/officeart/2005/8/layout/pyramid1"/>
    <dgm:cxn modelId="{A56B8329-D4D6-439B-8907-F7A526B72686}" type="presOf" srcId="{BB85570F-94AC-4B48-9226-8874E62A6300}" destId="{1749E067-6238-4A6D-A7C4-F2FE51BF8012}" srcOrd="0" destOrd="0" presId="urn:microsoft.com/office/officeart/2005/8/layout/pyramid1"/>
    <dgm:cxn modelId="{C51DCB71-5839-4B4E-B604-7379A43D4354}" type="presOf" srcId="{B7EFC9B9-D8D1-42A7-AAE0-E67B9D139F3A}" destId="{EDF51F73-6DC7-4358-BF19-8654EE13E2DD}" srcOrd="0" destOrd="0" presId="urn:microsoft.com/office/officeart/2005/8/layout/pyramid1"/>
    <dgm:cxn modelId="{87E68B94-2F69-4163-8EF6-27BEE8DA14E7}" srcId="{0BC71894-C4D3-4195-A159-B0D43DF855C6}" destId="{BD806A0A-0CB6-450D-937D-302832B6EFEA}" srcOrd="3" destOrd="0" parTransId="{4BD568E1-0C2A-421B-AB54-F0F31BBB0F34}" sibTransId="{97A472E9-1144-4102-ABD8-319F4B578BA8}"/>
    <dgm:cxn modelId="{B514EE31-A8AA-43C3-B7D4-3D27E6E95D92}" type="presOf" srcId="{BD806A0A-0CB6-450D-937D-302832B6EFEA}" destId="{9B5F1FFB-CCDE-4E86-B9CE-23BFA179E720}" srcOrd="1" destOrd="0" presId="urn:microsoft.com/office/officeart/2005/8/layout/pyramid1"/>
    <dgm:cxn modelId="{F4243753-F1DA-4E9B-9EAB-BBF92FBE9B37}" type="presOf" srcId="{DB84D6C9-D402-4A4B-B9D4-B2F3E42D5211}" destId="{FEC03010-904E-476C-8E8B-F79ADDFFE674}" srcOrd="0" destOrd="0" presId="urn:microsoft.com/office/officeart/2005/8/layout/pyramid1"/>
    <dgm:cxn modelId="{01CB03A5-E3AA-46FC-B4DA-230E3EBB2225}" type="presOf" srcId="{0BC71894-C4D3-4195-A159-B0D43DF855C6}" destId="{67A0FD9C-2687-4B17-9E99-1BD43A3AC17F}" srcOrd="0" destOrd="0" presId="urn:microsoft.com/office/officeart/2005/8/layout/pyramid1"/>
    <dgm:cxn modelId="{384A53B1-1B18-429C-8C54-43E1946E65C7}" type="presOf" srcId="{BB85570F-94AC-4B48-9226-8874E62A6300}" destId="{995E2BFF-20FD-4B3C-8365-E5A93DA9CAC9}" srcOrd="1" destOrd="0" presId="urn:microsoft.com/office/officeart/2005/8/layout/pyramid1"/>
    <dgm:cxn modelId="{96E36284-F595-4881-A812-2F855397E9AD}" srcId="{0BC71894-C4D3-4195-A159-B0D43DF855C6}" destId="{B7EFC9B9-D8D1-42A7-AAE0-E67B9D139F3A}" srcOrd="0" destOrd="0" parTransId="{FCC1ED71-3F10-409C-9559-5382AA6803B2}" sibTransId="{411E6C7E-2F5D-474A-96CF-1228B8CC0E23}"/>
    <dgm:cxn modelId="{2AD22728-DCDA-4F88-B6A4-F16CFF8FE3AA}" type="presOf" srcId="{B7EFC9B9-D8D1-42A7-AAE0-E67B9D139F3A}" destId="{18DB36CF-C80C-4D99-80B5-3BC0863AC1E4}" srcOrd="1" destOrd="0" presId="urn:microsoft.com/office/officeart/2005/8/layout/pyramid1"/>
    <dgm:cxn modelId="{C746FC5D-54AA-4C6A-AB6C-DB9293717D2C}" srcId="{0BC71894-C4D3-4195-A159-B0D43DF855C6}" destId="{DB84D6C9-D402-4A4B-B9D4-B2F3E42D5211}" srcOrd="2" destOrd="0" parTransId="{3CDAFF48-5E4F-4FCC-9E31-BFDEFDA9F276}" sibTransId="{693C8861-AAC1-4998-B6F4-4E4A2BA439C1}"/>
    <dgm:cxn modelId="{92250AD6-EB83-4A96-B605-2D893E61F1C0}" type="presParOf" srcId="{67A0FD9C-2687-4B17-9E99-1BD43A3AC17F}" destId="{2EECFC58-2A7A-411C-8A83-F68C6A13FCDC}" srcOrd="0" destOrd="0" presId="urn:microsoft.com/office/officeart/2005/8/layout/pyramid1"/>
    <dgm:cxn modelId="{9FA9929C-9CA4-4A4B-AB63-89415353AB12}" type="presParOf" srcId="{2EECFC58-2A7A-411C-8A83-F68C6A13FCDC}" destId="{EDF51F73-6DC7-4358-BF19-8654EE13E2DD}" srcOrd="0" destOrd="0" presId="urn:microsoft.com/office/officeart/2005/8/layout/pyramid1"/>
    <dgm:cxn modelId="{D361FE7C-FD33-40B1-B6F6-1EF0591F60CD}" type="presParOf" srcId="{2EECFC58-2A7A-411C-8A83-F68C6A13FCDC}" destId="{18DB36CF-C80C-4D99-80B5-3BC0863AC1E4}" srcOrd="1" destOrd="0" presId="urn:microsoft.com/office/officeart/2005/8/layout/pyramid1"/>
    <dgm:cxn modelId="{D00B5590-3815-4548-B652-A9EAE727D154}" type="presParOf" srcId="{67A0FD9C-2687-4B17-9E99-1BD43A3AC17F}" destId="{46EE9370-503F-4142-AB44-CE3ED6635159}" srcOrd="1" destOrd="0" presId="urn:microsoft.com/office/officeart/2005/8/layout/pyramid1"/>
    <dgm:cxn modelId="{CB1C87E3-E0C3-4F4B-8E34-070D26AD5CDC}" type="presParOf" srcId="{46EE9370-503F-4142-AB44-CE3ED6635159}" destId="{1749E067-6238-4A6D-A7C4-F2FE51BF8012}" srcOrd="0" destOrd="0" presId="urn:microsoft.com/office/officeart/2005/8/layout/pyramid1"/>
    <dgm:cxn modelId="{5A40270D-2508-4AE8-A09C-2143FECB117E}" type="presParOf" srcId="{46EE9370-503F-4142-AB44-CE3ED6635159}" destId="{995E2BFF-20FD-4B3C-8365-E5A93DA9CAC9}" srcOrd="1" destOrd="0" presId="urn:microsoft.com/office/officeart/2005/8/layout/pyramid1"/>
    <dgm:cxn modelId="{42AD0DB1-1FC8-4232-8100-C7E065A4882C}" type="presParOf" srcId="{67A0FD9C-2687-4B17-9E99-1BD43A3AC17F}" destId="{9D6E596B-1709-458E-9F1F-DEE3CC7604DB}" srcOrd="2" destOrd="0" presId="urn:microsoft.com/office/officeart/2005/8/layout/pyramid1"/>
    <dgm:cxn modelId="{F6E13B05-6500-499B-AC31-4AD6E821DADF}" type="presParOf" srcId="{9D6E596B-1709-458E-9F1F-DEE3CC7604DB}" destId="{FEC03010-904E-476C-8E8B-F79ADDFFE674}" srcOrd="0" destOrd="0" presId="urn:microsoft.com/office/officeart/2005/8/layout/pyramid1"/>
    <dgm:cxn modelId="{052B2B0D-9492-4453-BBDD-EEB86BEFB4F6}" type="presParOf" srcId="{9D6E596B-1709-458E-9F1F-DEE3CC7604DB}" destId="{A4CBFC44-0F6B-45E7-93ED-3080BF387209}" srcOrd="1" destOrd="0" presId="urn:microsoft.com/office/officeart/2005/8/layout/pyramid1"/>
    <dgm:cxn modelId="{EFDCC5BC-4F29-40A6-8C25-579AFCDAB244}" type="presParOf" srcId="{67A0FD9C-2687-4B17-9E99-1BD43A3AC17F}" destId="{01CA320C-B00D-4257-80FC-8D5BD42B8EDA}" srcOrd="3" destOrd="0" presId="urn:microsoft.com/office/officeart/2005/8/layout/pyramid1"/>
    <dgm:cxn modelId="{1ABE29AA-E4CB-4173-90EA-53F513BC3AE6}" type="presParOf" srcId="{01CA320C-B00D-4257-80FC-8D5BD42B8EDA}" destId="{E47D0CBF-B42D-4C13-8A40-C0999C12C674}" srcOrd="0" destOrd="0" presId="urn:microsoft.com/office/officeart/2005/8/layout/pyramid1"/>
    <dgm:cxn modelId="{92457220-C98A-4E1C-B76A-82A8375C093F}" type="presParOf" srcId="{01CA320C-B00D-4257-80FC-8D5BD42B8EDA}" destId="{9B5F1FFB-CCDE-4E86-B9CE-23BFA179E720}"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F51F73-6DC7-4358-BF19-8654EE13E2DD}">
      <dsp:nvSpPr>
        <dsp:cNvPr id="0" name=""/>
        <dsp:cNvSpPr/>
      </dsp:nvSpPr>
      <dsp:spPr>
        <a:xfrm>
          <a:off x="1705451" y="0"/>
          <a:ext cx="1136967" cy="657302"/>
        </a:xfrm>
        <a:prstGeom prst="trapezoid">
          <a:avLst>
            <a:gd name="adj" fmla="val 86487"/>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kern="1200"/>
            <a:t>Does</a:t>
          </a:r>
        </a:p>
      </dsp:txBody>
      <dsp:txXfrm>
        <a:off x="1705451" y="0"/>
        <a:ext cx="1136967" cy="657302"/>
      </dsp:txXfrm>
    </dsp:sp>
    <dsp:sp modelId="{1749E067-6238-4A6D-A7C4-F2FE51BF8012}">
      <dsp:nvSpPr>
        <dsp:cNvPr id="0" name=""/>
        <dsp:cNvSpPr/>
      </dsp:nvSpPr>
      <dsp:spPr>
        <a:xfrm>
          <a:off x="1136967" y="657302"/>
          <a:ext cx="2273935" cy="657302"/>
        </a:xfrm>
        <a:prstGeom prst="trapezoid">
          <a:avLst>
            <a:gd name="adj" fmla="val 86487"/>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kern="1200"/>
            <a:t>Shows </a:t>
          </a:r>
        </a:p>
      </dsp:txBody>
      <dsp:txXfrm>
        <a:off x="1534906" y="657302"/>
        <a:ext cx="1478057" cy="657302"/>
      </dsp:txXfrm>
    </dsp:sp>
    <dsp:sp modelId="{FEC03010-904E-476C-8E8B-F79ADDFFE674}">
      <dsp:nvSpPr>
        <dsp:cNvPr id="0" name=""/>
        <dsp:cNvSpPr/>
      </dsp:nvSpPr>
      <dsp:spPr>
        <a:xfrm>
          <a:off x="548700" y="1301536"/>
          <a:ext cx="3410902" cy="657302"/>
        </a:xfrm>
        <a:prstGeom prst="trapezoid">
          <a:avLst>
            <a:gd name="adj" fmla="val 86487"/>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kern="1200"/>
            <a:t>Knows how</a:t>
          </a:r>
        </a:p>
      </dsp:txBody>
      <dsp:txXfrm>
        <a:off x="1145608" y="1301536"/>
        <a:ext cx="2217086" cy="657302"/>
      </dsp:txXfrm>
    </dsp:sp>
    <dsp:sp modelId="{E47D0CBF-B42D-4C13-8A40-C0999C12C674}">
      <dsp:nvSpPr>
        <dsp:cNvPr id="0" name=""/>
        <dsp:cNvSpPr/>
      </dsp:nvSpPr>
      <dsp:spPr>
        <a:xfrm>
          <a:off x="0" y="1971906"/>
          <a:ext cx="4547870" cy="657302"/>
        </a:xfrm>
        <a:prstGeom prst="trapezoid">
          <a:avLst>
            <a:gd name="adj" fmla="val 8648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kern="1200"/>
            <a:t>Knows</a:t>
          </a:r>
        </a:p>
      </dsp:txBody>
      <dsp:txXfrm>
        <a:off x="795877" y="1971906"/>
        <a:ext cx="2956115" cy="65730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0352800-8FCE-4F29-8B3F-01EC204F6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277290</Words>
  <Characters>1580558</Characters>
  <Application>Microsoft Office Word</Application>
  <DocSecurity>0</DocSecurity>
  <Lines>13171</Lines>
  <Paragraphs>3708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Brierley</dc:creator>
  <cp:keywords/>
  <dc:description/>
  <cp:lastModifiedBy>Dan Brierley</cp:lastModifiedBy>
  <cp:revision>19</cp:revision>
  <cp:lastPrinted>2019-08-22T12:01:00Z</cp:lastPrinted>
  <dcterms:created xsi:type="dcterms:W3CDTF">2019-10-29T11:06:00Z</dcterms:created>
  <dcterms:modified xsi:type="dcterms:W3CDTF">2019-11-13T08:39:00Z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b7b9153a-a993-374b-bcf2-39a65d182933</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http://www.zotero.org/styles/springer-vancouver-brackets</vt:lpwstr>
  </property>
  <property fmtid="{D5CDD505-2E9C-101B-9397-08002B2CF9AE}" pid="22" name="Mendeley Recent Style Name 8_1">
    <vt:lpwstr>Springer - Vancouver (brackets)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